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DC0CF">
      <w:pPr>
        <w:rPr>
          <w:rFonts w:hint="eastAsia" w:ascii="宋体" w:eastAsia="宋体" w:cs="宋体"/>
          <w:lang w:eastAsia="zh-CN"/>
        </w:rPr>
      </w:pPr>
    </w:p>
    <w:p w14:paraId="1FCC23D1">
      <w:pPr>
        <w:pStyle w:val="2"/>
        <w:rPr>
          <w:rFonts w:hint="eastAsia" w:ascii="宋体" w:eastAsia="宋体" w:cs="宋体"/>
          <w:lang w:eastAsia="zh-CN"/>
        </w:rPr>
      </w:pPr>
      <w:bookmarkStart w:id="59" w:name="_GoBack"/>
      <w:r>
        <w:rPr>
          <w:rFonts w:hint="eastAsia" w:ascii="宋体" w:eastAsia="宋体" w:cs="宋体"/>
          <w:lang w:eastAsia="zh-CN"/>
        </w:rPr>
        <w:pict>
          <v:shape id="_x0000_i1027" o:spt="75" alt="早晚餐封皮" type="#_x0000_t75" style="height:631.15pt;width:413.6pt;" filled="f" o:preferrelative="t" stroked="f" coordsize="21600,21600">
            <v:path/>
            <v:fill on="f" focussize="0,0"/>
            <v:stroke on="f"/>
            <v:imagedata r:id="rId14" o:title="早晚餐封皮"/>
            <o:lock v:ext="edit" aspectratio="t"/>
            <w10:wrap type="none"/>
            <w10:anchorlock/>
          </v:shape>
        </w:pict>
      </w:r>
      <w:bookmarkEnd w:id="59"/>
    </w:p>
    <w:p w14:paraId="32B77AB1">
      <w:pPr>
        <w:pStyle w:val="3"/>
        <w:rPr>
          <w:rFonts w:hint="eastAsia" w:ascii="宋体" w:eastAsia="宋体" w:cs="宋体"/>
          <w:lang w:eastAsia="zh-CN"/>
        </w:rPr>
      </w:pPr>
    </w:p>
    <w:p w14:paraId="74A0CF5D">
      <w:pPr>
        <w:pStyle w:val="3"/>
        <w:rPr>
          <w:rFonts w:hint="eastAsia" w:ascii="宋体" w:eastAsia="宋体" w:cs="宋体"/>
          <w:lang w:eastAsia="zh-CN"/>
        </w:rPr>
      </w:pPr>
    </w:p>
    <w:p w14:paraId="346763DE">
      <w:pPr>
        <w:pStyle w:val="3"/>
        <w:rPr>
          <w:rFonts w:hint="eastAsia" w:ascii="宋体" w:eastAsia="宋体" w:cs="宋体"/>
          <w:lang w:eastAsia="zh-CN"/>
        </w:rPr>
      </w:pPr>
    </w:p>
    <w:p w14:paraId="5DDC103E">
      <w:pPr>
        <w:pStyle w:val="26"/>
        <w:ind w:firstLine="210"/>
        <w:jc w:val="center"/>
        <w:rPr>
          <w:rFonts w:hint="eastAsia" w:ascii="宋体" w:eastAsia="宋体" w:cs="宋体"/>
          <w:lang w:eastAsia="zh-CN"/>
        </w:rPr>
      </w:pPr>
      <w:r>
        <w:rPr>
          <w:rFonts w:hint="eastAsia" w:ascii="宋体" w:hAnsi="宋体" w:cs="宋体"/>
          <w:b/>
          <w:color w:val="auto"/>
          <w:w w:val="80"/>
          <w:sz w:val="44"/>
          <w:szCs w:val="44"/>
          <w:lang w:eastAsia="zh-CN"/>
        </w:rPr>
        <w:t>社旗县教育体育局2024年9月-2025年2月全县农村义务教育寄宿制学校早晚餐食材项目</w:t>
      </w:r>
    </w:p>
    <w:p w14:paraId="3A8FF750">
      <w:pPr>
        <w:pStyle w:val="2"/>
        <w:rPr>
          <w:rFonts w:ascii="宋体" w:cs="宋体"/>
        </w:rPr>
      </w:pPr>
    </w:p>
    <w:p w14:paraId="0FCD8754">
      <w:pPr>
        <w:pStyle w:val="3"/>
      </w:pPr>
    </w:p>
    <w:p w14:paraId="01B0F3B6">
      <w:pPr>
        <w:spacing w:line="360" w:lineRule="auto"/>
        <w:ind w:right="-333" w:rightChars="-159"/>
        <w:jc w:val="center"/>
        <w:rPr>
          <w:rFonts w:ascii="宋体" w:cs="宋体"/>
          <w:b/>
          <w:color w:val="auto"/>
          <w:sz w:val="96"/>
          <w:szCs w:val="96"/>
        </w:rPr>
      </w:pPr>
      <w:r>
        <w:rPr>
          <w:rFonts w:hint="eastAsia" w:ascii="宋体" w:hAnsi="宋体" w:cs="宋体"/>
          <w:b/>
          <w:color w:val="auto"/>
          <w:sz w:val="96"/>
          <w:szCs w:val="96"/>
        </w:rPr>
        <w:t>招标文件</w:t>
      </w:r>
    </w:p>
    <w:p w14:paraId="1C89D4F9">
      <w:pPr>
        <w:pStyle w:val="104"/>
        <w:ind w:firstLine="420"/>
        <w:rPr>
          <w:rFonts w:ascii="宋体" w:cs="宋体"/>
          <w:color w:val="auto"/>
        </w:rPr>
      </w:pPr>
    </w:p>
    <w:p w14:paraId="256F6F29">
      <w:pPr>
        <w:pStyle w:val="104"/>
        <w:ind w:firstLine="420"/>
        <w:rPr>
          <w:rFonts w:ascii="宋体" w:cs="宋体"/>
          <w:color w:val="auto"/>
        </w:rPr>
      </w:pPr>
    </w:p>
    <w:p w14:paraId="24DC7850">
      <w:pPr>
        <w:spacing w:line="240" w:lineRule="auto"/>
        <w:jc w:val="center"/>
        <w:rPr>
          <w:rFonts w:ascii="宋体" w:cs="宋体"/>
          <w:b/>
          <w:color w:val="auto"/>
          <w:sz w:val="32"/>
          <w:szCs w:val="32"/>
        </w:rPr>
      </w:pPr>
    </w:p>
    <w:p w14:paraId="34DD8737">
      <w:pPr>
        <w:rPr>
          <w:rFonts w:ascii="宋体" w:cs="宋体"/>
        </w:rPr>
      </w:pPr>
    </w:p>
    <w:p w14:paraId="110AED39">
      <w:pPr>
        <w:rPr>
          <w:rFonts w:ascii="宋体" w:cs="宋体"/>
        </w:rPr>
      </w:pPr>
    </w:p>
    <w:p w14:paraId="28E8B3F5">
      <w:pPr>
        <w:rPr>
          <w:rFonts w:ascii="宋体" w:cs="宋体"/>
        </w:rPr>
      </w:pPr>
    </w:p>
    <w:p w14:paraId="7589796D">
      <w:pPr>
        <w:rPr>
          <w:rFonts w:ascii="宋体" w:cs="宋体"/>
        </w:rPr>
      </w:pPr>
    </w:p>
    <w:p w14:paraId="5C6C256C">
      <w:pPr>
        <w:rPr>
          <w:rFonts w:ascii="宋体" w:cs="宋体"/>
        </w:rPr>
      </w:pPr>
    </w:p>
    <w:p w14:paraId="4E35CBDF">
      <w:pPr>
        <w:pStyle w:val="2"/>
        <w:rPr>
          <w:rFonts w:ascii="宋体" w:cs="宋体"/>
        </w:rPr>
      </w:pPr>
    </w:p>
    <w:p w14:paraId="4912C908">
      <w:pPr>
        <w:pStyle w:val="3"/>
        <w:rPr>
          <w:rFonts w:hAnsi="宋体"/>
        </w:rPr>
      </w:pPr>
    </w:p>
    <w:p w14:paraId="5823E0B8">
      <w:pPr>
        <w:pStyle w:val="3"/>
        <w:rPr>
          <w:rFonts w:hAnsi="宋体"/>
        </w:rPr>
      </w:pPr>
    </w:p>
    <w:p w14:paraId="7AFCBDC1">
      <w:pPr>
        <w:pStyle w:val="3"/>
        <w:rPr>
          <w:rFonts w:hAnsi="宋体"/>
        </w:rPr>
      </w:pPr>
    </w:p>
    <w:p w14:paraId="242AB5FB">
      <w:pPr>
        <w:pStyle w:val="3"/>
        <w:rPr>
          <w:rFonts w:hAnsi="宋体"/>
        </w:rPr>
      </w:pPr>
    </w:p>
    <w:p w14:paraId="126BC286">
      <w:pPr>
        <w:pStyle w:val="3"/>
        <w:rPr>
          <w:rFonts w:hAnsi="宋体"/>
        </w:rPr>
      </w:pPr>
    </w:p>
    <w:p w14:paraId="5E1A6979">
      <w:pPr>
        <w:pStyle w:val="3"/>
        <w:rPr>
          <w:rFonts w:hAnsi="宋体"/>
        </w:rPr>
      </w:pPr>
    </w:p>
    <w:p w14:paraId="4D1DB741">
      <w:pPr>
        <w:ind w:firstLine="1200" w:firstLineChars="400"/>
        <w:rPr>
          <w:rFonts w:ascii="宋体" w:cs="宋体"/>
          <w:b/>
          <w:color w:val="auto"/>
          <w:sz w:val="30"/>
          <w:szCs w:val="30"/>
        </w:rPr>
      </w:pPr>
      <w:r>
        <w:rPr>
          <w:rFonts w:hint="eastAsia" w:ascii="宋体" w:hAnsi="宋体" w:cs="宋体"/>
          <w:b/>
          <w:color w:val="auto"/>
          <w:sz w:val="30"/>
          <w:szCs w:val="30"/>
        </w:rPr>
        <w:t>采</w:t>
      </w:r>
      <w:r>
        <w:rPr>
          <w:rFonts w:hint="eastAsia" w:ascii="宋体" w:hAnsi="宋体" w:cs="宋体"/>
          <w:b/>
          <w:color w:val="auto"/>
          <w:sz w:val="30"/>
          <w:szCs w:val="30"/>
          <w:lang w:val="en-US" w:eastAsia="zh-CN"/>
        </w:rPr>
        <w:t xml:space="preserve">   </w:t>
      </w:r>
      <w:r>
        <w:rPr>
          <w:rFonts w:hint="eastAsia" w:ascii="宋体" w:hAnsi="宋体" w:cs="宋体"/>
          <w:b/>
          <w:color w:val="auto"/>
          <w:sz w:val="30"/>
          <w:szCs w:val="30"/>
        </w:rPr>
        <w:t>购</w:t>
      </w:r>
      <w:r>
        <w:rPr>
          <w:rFonts w:hint="eastAsia" w:ascii="宋体" w:hAnsi="宋体" w:cs="宋体"/>
          <w:b/>
          <w:color w:val="auto"/>
          <w:sz w:val="30"/>
          <w:szCs w:val="30"/>
          <w:lang w:val="en-US" w:eastAsia="zh-CN"/>
        </w:rPr>
        <w:t xml:space="preserve">   </w:t>
      </w:r>
      <w:r>
        <w:rPr>
          <w:rFonts w:hint="eastAsia" w:ascii="宋体" w:hAnsi="宋体" w:cs="宋体"/>
          <w:b/>
          <w:color w:val="auto"/>
          <w:sz w:val="30"/>
          <w:szCs w:val="30"/>
        </w:rPr>
        <w:t>人：社旗县教育体育局</w:t>
      </w:r>
    </w:p>
    <w:p w14:paraId="5FBBFB85">
      <w:pPr>
        <w:ind w:firstLine="1200" w:firstLineChars="400"/>
        <w:rPr>
          <w:rFonts w:ascii="宋体" w:cs="宋体"/>
          <w:b/>
          <w:color w:val="auto"/>
          <w:sz w:val="30"/>
          <w:szCs w:val="30"/>
        </w:rPr>
      </w:pPr>
      <w:r>
        <w:rPr>
          <w:rFonts w:hint="eastAsia" w:ascii="宋体" w:hAnsi="宋体" w:cs="宋体"/>
          <w:b/>
          <w:color w:val="auto"/>
          <w:sz w:val="30"/>
          <w:szCs w:val="30"/>
        </w:rPr>
        <w:t>采购代理机构：河南尧天工程管理有限公司</w:t>
      </w:r>
    </w:p>
    <w:p w14:paraId="0A7FE039">
      <w:pPr>
        <w:ind w:firstLine="1200" w:firstLineChars="400"/>
        <w:rPr>
          <w:rFonts w:ascii="宋体" w:cs="宋体"/>
          <w:b/>
          <w:color w:val="auto"/>
          <w:sz w:val="30"/>
          <w:szCs w:val="30"/>
        </w:rPr>
      </w:pPr>
      <w:r>
        <w:rPr>
          <w:rFonts w:hint="eastAsia" w:ascii="宋体" w:hAnsi="宋体" w:cs="宋体"/>
          <w:b/>
          <w:color w:val="auto"/>
          <w:sz w:val="30"/>
          <w:szCs w:val="30"/>
        </w:rPr>
        <w:t>日</w:t>
      </w:r>
      <w:r>
        <w:rPr>
          <w:rFonts w:hint="eastAsia" w:ascii="宋体" w:hAnsi="宋体" w:cs="宋体"/>
          <w:b/>
          <w:color w:val="auto"/>
          <w:sz w:val="30"/>
          <w:szCs w:val="30"/>
          <w:lang w:val="en-US" w:eastAsia="zh-CN"/>
        </w:rPr>
        <w:t xml:space="preserve">        </w:t>
      </w:r>
      <w:r>
        <w:rPr>
          <w:rFonts w:hint="eastAsia" w:ascii="宋体" w:hAnsi="宋体" w:cs="宋体"/>
          <w:b/>
          <w:color w:val="auto"/>
          <w:sz w:val="30"/>
          <w:szCs w:val="30"/>
        </w:rPr>
        <w:t>期：二〇二四年七月</w:t>
      </w:r>
    </w:p>
    <w:p w14:paraId="2BA38ACE">
      <w:pPr>
        <w:rPr>
          <w:rFonts w:ascii="宋体" w:cs="宋体"/>
          <w:b/>
          <w:bCs/>
          <w:color w:val="auto"/>
          <w:sz w:val="44"/>
          <w:szCs w:val="44"/>
        </w:rPr>
        <w:sectPr>
          <w:headerReference r:id="rId6" w:type="first"/>
          <w:headerReference r:id="rId5" w:type="default"/>
          <w:pgSz w:w="11906" w:h="16838"/>
          <w:pgMar w:top="1440" w:right="1800" w:bottom="1440" w:left="1800" w:header="851" w:footer="992" w:gutter="0"/>
          <w:cols w:space="720" w:num="1"/>
          <w:titlePg/>
          <w:docGrid w:type="linesAndChars" w:linePitch="312" w:charSpace="0"/>
        </w:sectPr>
      </w:pPr>
    </w:p>
    <w:p w14:paraId="05674430">
      <w:pPr>
        <w:pStyle w:val="104"/>
        <w:ind w:firstLine="0" w:firstLineChars="0"/>
        <w:rPr>
          <w:rFonts w:ascii="宋体" w:cs="宋体"/>
          <w:color w:val="auto"/>
          <w:lang w:val="en-US"/>
        </w:rPr>
      </w:pPr>
    </w:p>
    <w:p w14:paraId="41DCE6C9">
      <w:pPr>
        <w:pStyle w:val="2"/>
        <w:rPr>
          <w:rFonts w:ascii="宋体" w:cs="宋体"/>
        </w:rPr>
      </w:pPr>
    </w:p>
    <w:p w14:paraId="112D8B18">
      <w:pPr>
        <w:spacing w:before="100" w:beforeAutospacing="1" w:after="100" w:afterAutospacing="1"/>
        <w:jc w:val="center"/>
        <w:rPr>
          <w:rFonts w:ascii="宋体" w:cs="宋体"/>
          <w:b/>
          <w:bCs/>
          <w:color w:val="auto"/>
          <w:sz w:val="44"/>
        </w:rPr>
      </w:pPr>
      <w:r>
        <w:rPr>
          <w:rFonts w:hint="eastAsia" w:ascii="宋体" w:hAnsi="宋体" w:cs="宋体"/>
          <w:b/>
          <w:bCs/>
          <w:color w:val="auto"/>
          <w:sz w:val="44"/>
        </w:rPr>
        <w:t>目录</w:t>
      </w:r>
    </w:p>
    <w:p w14:paraId="29D2D772">
      <w:pPr>
        <w:spacing w:line="360" w:lineRule="auto"/>
        <w:ind w:firstLine="1574" w:firstLineChars="560"/>
        <w:rPr>
          <w:rFonts w:ascii="宋体" w:cs="宋体"/>
          <w:b/>
          <w:color w:val="auto"/>
          <w:sz w:val="28"/>
          <w:szCs w:val="28"/>
        </w:rPr>
      </w:pPr>
      <w:r>
        <w:rPr>
          <w:rFonts w:hint="eastAsia" w:ascii="宋体" w:hAnsi="宋体" w:cs="宋体"/>
          <w:b/>
          <w:color w:val="auto"/>
          <w:sz w:val="28"/>
          <w:szCs w:val="28"/>
        </w:rPr>
        <w:t>第一章招标公告</w:t>
      </w:r>
    </w:p>
    <w:p w14:paraId="47884A65">
      <w:pPr>
        <w:spacing w:line="360" w:lineRule="auto"/>
        <w:ind w:firstLine="1574" w:firstLineChars="560"/>
        <w:rPr>
          <w:rFonts w:ascii="宋体" w:cs="宋体"/>
          <w:b/>
          <w:color w:val="auto"/>
          <w:sz w:val="28"/>
          <w:szCs w:val="28"/>
        </w:rPr>
      </w:pPr>
      <w:r>
        <w:rPr>
          <w:rFonts w:hint="eastAsia" w:ascii="宋体" w:hAnsi="宋体" w:cs="宋体"/>
          <w:b/>
          <w:color w:val="auto"/>
          <w:sz w:val="28"/>
          <w:szCs w:val="28"/>
        </w:rPr>
        <w:t>第二章供应商须知前附表</w:t>
      </w:r>
    </w:p>
    <w:p w14:paraId="3E1D681C">
      <w:pPr>
        <w:spacing w:line="360" w:lineRule="auto"/>
        <w:ind w:firstLine="1574" w:firstLineChars="560"/>
        <w:rPr>
          <w:rFonts w:ascii="宋体" w:cs="宋体"/>
          <w:b/>
          <w:color w:val="auto"/>
          <w:sz w:val="28"/>
          <w:szCs w:val="28"/>
        </w:rPr>
      </w:pPr>
      <w:r>
        <w:rPr>
          <w:rFonts w:hint="eastAsia" w:ascii="宋体" w:hAnsi="宋体" w:cs="宋体"/>
          <w:b/>
          <w:color w:val="auto"/>
          <w:sz w:val="28"/>
          <w:szCs w:val="28"/>
        </w:rPr>
        <w:t>第三章供应商须知</w:t>
      </w:r>
    </w:p>
    <w:p w14:paraId="4395587F">
      <w:pPr>
        <w:spacing w:line="360" w:lineRule="auto"/>
        <w:ind w:firstLine="1574" w:firstLineChars="560"/>
        <w:rPr>
          <w:rFonts w:ascii="宋体" w:cs="宋体"/>
          <w:b/>
          <w:color w:val="auto"/>
          <w:sz w:val="28"/>
          <w:szCs w:val="28"/>
        </w:rPr>
      </w:pPr>
      <w:r>
        <w:rPr>
          <w:rFonts w:hint="eastAsia" w:ascii="宋体" w:hAnsi="宋体" w:cs="宋体"/>
          <w:b/>
          <w:color w:val="auto"/>
          <w:sz w:val="28"/>
          <w:szCs w:val="28"/>
        </w:rPr>
        <w:t>第四章合同格式（仅供参考）</w:t>
      </w:r>
    </w:p>
    <w:p w14:paraId="7F664AC1">
      <w:pPr>
        <w:spacing w:line="360" w:lineRule="auto"/>
        <w:ind w:firstLine="1574" w:firstLineChars="560"/>
        <w:rPr>
          <w:rFonts w:ascii="宋体" w:cs="宋体"/>
          <w:b/>
          <w:color w:val="auto"/>
          <w:sz w:val="28"/>
          <w:szCs w:val="28"/>
        </w:rPr>
      </w:pPr>
      <w:r>
        <w:rPr>
          <w:rFonts w:hint="eastAsia" w:ascii="宋体" w:hAnsi="宋体" w:cs="宋体"/>
          <w:b/>
          <w:color w:val="auto"/>
          <w:sz w:val="28"/>
          <w:szCs w:val="28"/>
        </w:rPr>
        <w:t>第五章投标文件格式</w:t>
      </w:r>
    </w:p>
    <w:p w14:paraId="5B91B7F1">
      <w:pPr>
        <w:spacing w:line="360" w:lineRule="auto"/>
        <w:ind w:firstLine="1574" w:firstLineChars="560"/>
        <w:rPr>
          <w:rFonts w:ascii="宋体" w:cs="宋体"/>
          <w:b/>
          <w:color w:val="auto"/>
          <w:sz w:val="28"/>
          <w:szCs w:val="28"/>
        </w:rPr>
      </w:pPr>
      <w:r>
        <w:rPr>
          <w:rFonts w:hint="eastAsia" w:ascii="宋体" w:hAnsi="宋体" w:cs="宋体"/>
          <w:b/>
          <w:color w:val="auto"/>
          <w:sz w:val="28"/>
          <w:szCs w:val="28"/>
        </w:rPr>
        <w:t>第六章招标项目资料表及评分办法</w:t>
      </w:r>
    </w:p>
    <w:p w14:paraId="7FCDA3B5">
      <w:pPr>
        <w:spacing w:line="360" w:lineRule="auto"/>
        <w:ind w:firstLine="1574" w:firstLineChars="560"/>
        <w:rPr>
          <w:rFonts w:ascii="宋体" w:cs="宋体"/>
          <w:b/>
          <w:color w:val="auto"/>
          <w:sz w:val="28"/>
          <w:szCs w:val="28"/>
        </w:rPr>
      </w:pPr>
      <w:r>
        <w:rPr>
          <w:rFonts w:hint="eastAsia" w:ascii="宋体" w:hAnsi="宋体" w:cs="宋体"/>
          <w:b/>
          <w:color w:val="auto"/>
          <w:sz w:val="28"/>
          <w:szCs w:val="28"/>
        </w:rPr>
        <w:t>第七章项目内容数量及技术要求</w:t>
      </w:r>
    </w:p>
    <w:p w14:paraId="548E68A5">
      <w:pPr>
        <w:rPr>
          <w:rFonts w:ascii="宋体" w:cs="宋体"/>
          <w:color w:val="auto"/>
        </w:rPr>
      </w:pPr>
    </w:p>
    <w:p w14:paraId="7B0DD9F7">
      <w:pPr>
        <w:rPr>
          <w:rFonts w:ascii="宋体" w:cs="宋体"/>
          <w:color w:val="auto"/>
        </w:rPr>
      </w:pPr>
    </w:p>
    <w:p w14:paraId="0B305EFB">
      <w:pPr>
        <w:rPr>
          <w:rFonts w:ascii="宋体" w:cs="宋体"/>
          <w:color w:val="auto"/>
        </w:rPr>
      </w:pPr>
    </w:p>
    <w:p w14:paraId="4C7FDD01">
      <w:pPr>
        <w:rPr>
          <w:rFonts w:ascii="宋体" w:cs="宋体"/>
          <w:color w:val="auto"/>
        </w:rPr>
      </w:pPr>
    </w:p>
    <w:p w14:paraId="0A12C167">
      <w:pPr>
        <w:spacing w:line="360" w:lineRule="auto"/>
        <w:rPr>
          <w:rFonts w:ascii="宋体" w:cs="宋体"/>
          <w:color w:val="auto"/>
        </w:rPr>
      </w:pPr>
    </w:p>
    <w:p w14:paraId="16DD3A3D">
      <w:pPr>
        <w:spacing w:line="360" w:lineRule="auto"/>
        <w:rPr>
          <w:rFonts w:ascii="宋体" w:cs="宋体"/>
          <w:color w:val="auto"/>
        </w:rPr>
      </w:pPr>
    </w:p>
    <w:p w14:paraId="3D553906">
      <w:pPr>
        <w:spacing w:line="360" w:lineRule="auto"/>
        <w:rPr>
          <w:rFonts w:ascii="宋体" w:cs="宋体"/>
          <w:color w:val="auto"/>
        </w:rPr>
      </w:pPr>
    </w:p>
    <w:p w14:paraId="6B25AAFC">
      <w:pPr>
        <w:spacing w:line="360" w:lineRule="auto"/>
        <w:rPr>
          <w:rFonts w:ascii="宋体" w:cs="宋体"/>
          <w:color w:val="auto"/>
        </w:rPr>
      </w:pPr>
    </w:p>
    <w:p w14:paraId="10CCF658">
      <w:pPr>
        <w:spacing w:line="360" w:lineRule="auto"/>
        <w:rPr>
          <w:rFonts w:ascii="宋体" w:cs="宋体"/>
          <w:color w:val="auto"/>
        </w:rPr>
      </w:pPr>
    </w:p>
    <w:p w14:paraId="43333C24">
      <w:pPr>
        <w:spacing w:line="360" w:lineRule="auto"/>
        <w:rPr>
          <w:rFonts w:ascii="宋体" w:cs="宋体"/>
          <w:color w:val="auto"/>
        </w:rPr>
      </w:pPr>
    </w:p>
    <w:p w14:paraId="1DF96940">
      <w:pPr>
        <w:spacing w:line="360" w:lineRule="auto"/>
        <w:rPr>
          <w:rFonts w:ascii="宋体" w:cs="宋体"/>
          <w:color w:val="auto"/>
        </w:rPr>
      </w:pPr>
    </w:p>
    <w:p w14:paraId="257A7CF2">
      <w:pPr>
        <w:spacing w:line="400" w:lineRule="exact"/>
        <w:rPr>
          <w:rFonts w:ascii="宋体" w:cs="宋体"/>
          <w:color w:val="auto"/>
          <w:sz w:val="24"/>
        </w:rPr>
      </w:pPr>
    </w:p>
    <w:p w14:paraId="7DE3BFDF">
      <w:pPr>
        <w:spacing w:line="400" w:lineRule="exact"/>
        <w:ind w:firstLine="360" w:firstLineChars="150"/>
        <w:rPr>
          <w:rFonts w:ascii="宋体" w:cs="宋体"/>
          <w:color w:val="auto"/>
          <w:sz w:val="24"/>
        </w:rPr>
      </w:pPr>
    </w:p>
    <w:p w14:paraId="5CADC626">
      <w:pPr>
        <w:spacing w:line="400" w:lineRule="exact"/>
        <w:ind w:firstLine="360" w:firstLineChars="150"/>
        <w:rPr>
          <w:rFonts w:ascii="宋体" w:cs="宋体"/>
          <w:color w:val="auto"/>
          <w:sz w:val="24"/>
        </w:rPr>
      </w:pPr>
    </w:p>
    <w:p w14:paraId="25F5BC28">
      <w:pPr>
        <w:spacing w:line="400" w:lineRule="exact"/>
        <w:ind w:firstLine="360" w:firstLineChars="150"/>
        <w:rPr>
          <w:rFonts w:ascii="宋体" w:cs="宋体"/>
          <w:color w:val="auto"/>
          <w:sz w:val="24"/>
        </w:rPr>
      </w:pPr>
    </w:p>
    <w:p w14:paraId="6EF683EF">
      <w:pPr>
        <w:spacing w:line="400" w:lineRule="exact"/>
        <w:ind w:firstLine="360" w:firstLineChars="150"/>
        <w:rPr>
          <w:rFonts w:ascii="宋体" w:cs="宋体"/>
          <w:color w:val="auto"/>
          <w:sz w:val="24"/>
        </w:rPr>
      </w:pPr>
    </w:p>
    <w:p w14:paraId="351503E1">
      <w:pPr>
        <w:spacing w:line="400" w:lineRule="exact"/>
        <w:ind w:firstLine="360" w:firstLineChars="150"/>
        <w:rPr>
          <w:rFonts w:ascii="宋体" w:cs="宋体"/>
          <w:color w:val="auto"/>
          <w:sz w:val="24"/>
        </w:rPr>
      </w:pPr>
    </w:p>
    <w:p w14:paraId="36FD1A1B">
      <w:pPr>
        <w:pStyle w:val="4"/>
        <w:spacing w:before="0" w:beforeAutospacing="0" w:after="0" w:afterAutospacing="0" w:line="360" w:lineRule="auto"/>
        <w:jc w:val="center"/>
        <w:rPr>
          <w:rFonts w:cs="宋体"/>
          <w:sz w:val="30"/>
          <w:szCs w:val="30"/>
        </w:rPr>
      </w:pPr>
      <w:r>
        <w:rPr>
          <w:rFonts w:cs="宋体"/>
        </w:rPr>
        <w:br w:type="page"/>
      </w:r>
      <w:r>
        <w:rPr>
          <w:rFonts w:hint="eastAsia" w:cs="宋体"/>
          <w:sz w:val="30"/>
          <w:szCs w:val="30"/>
        </w:rPr>
        <w:t>第一章招标公告</w:t>
      </w:r>
    </w:p>
    <w:p w14:paraId="4CEC73D0">
      <w:pPr>
        <w:spacing w:line="520" w:lineRule="exact"/>
        <w:jc w:val="center"/>
        <w:rPr>
          <w:rFonts w:ascii="宋体" w:cs="宋体"/>
          <w:b/>
          <w:color w:val="auto"/>
          <w:sz w:val="28"/>
          <w:szCs w:val="28"/>
        </w:rPr>
      </w:pPr>
      <w:bookmarkStart w:id="0" w:name="OLE_LINK1"/>
      <w:r>
        <w:rPr>
          <w:rFonts w:hint="eastAsia" w:ascii="宋体" w:hAnsi="宋体" w:cs="宋体"/>
          <w:b/>
          <w:color w:val="auto"/>
          <w:sz w:val="28"/>
          <w:szCs w:val="28"/>
          <w:lang w:eastAsia="zh-CN"/>
        </w:rPr>
        <w:t>社旗县教育体育局2024年9月-2025年2月全县农村义务教育寄宿制学校早晚餐食材项目</w:t>
      </w:r>
      <w:r>
        <w:rPr>
          <w:rFonts w:hint="eastAsia" w:ascii="宋体" w:hAnsi="宋体" w:cs="宋体"/>
          <w:b/>
          <w:color w:val="auto"/>
          <w:sz w:val="28"/>
          <w:szCs w:val="28"/>
        </w:rPr>
        <w:t>招标公告</w:t>
      </w:r>
    </w:p>
    <w:p w14:paraId="15BD8AB4">
      <w:pPr>
        <w:spacing w:line="360" w:lineRule="auto"/>
        <w:ind w:left="426"/>
        <w:rPr>
          <w:rFonts w:ascii="宋体" w:cs="宋体"/>
          <w:b/>
          <w:color w:val="auto"/>
          <w:szCs w:val="21"/>
        </w:rPr>
      </w:pPr>
      <w:r>
        <w:rPr>
          <w:rFonts w:hint="eastAsia" w:ascii="宋体" w:hAnsi="宋体" w:cs="宋体"/>
          <w:b/>
          <w:color w:val="auto"/>
          <w:szCs w:val="21"/>
        </w:rPr>
        <w:t>项目概况</w:t>
      </w:r>
    </w:p>
    <w:p w14:paraId="223FA36B">
      <w:pPr>
        <w:spacing w:line="360" w:lineRule="auto"/>
        <w:ind w:firstLine="420" w:firstLineChars="200"/>
        <w:rPr>
          <w:rFonts w:ascii="宋体" w:cs="宋体"/>
          <w:color w:val="auto"/>
        </w:rPr>
      </w:pPr>
      <w:r>
        <w:rPr>
          <w:rFonts w:hint="eastAsia" w:ascii="宋体" w:hAnsi="宋体" w:cs="宋体"/>
          <w:bCs/>
          <w:color w:val="auto"/>
          <w:szCs w:val="21"/>
          <w:lang w:eastAsia="zh-CN"/>
        </w:rPr>
        <w:t>社旗县教育体育局2024年9月-2025年2月全县农村义务教育寄宿制学校早晚餐食材项目</w:t>
      </w:r>
      <w:r>
        <w:rPr>
          <w:rFonts w:hint="eastAsia" w:ascii="宋体" w:hAnsi="宋体" w:cs="宋体"/>
          <w:bCs/>
          <w:color w:val="auto"/>
          <w:szCs w:val="21"/>
        </w:rPr>
        <w:t>的潜在供应商</w:t>
      </w:r>
      <w:r>
        <w:rPr>
          <w:rFonts w:hint="eastAsia" w:ascii="宋体" w:hAnsi="宋体" w:cs="宋体"/>
          <w:color w:val="auto"/>
        </w:rPr>
        <w:t>应在社旗县公共资源交易</w:t>
      </w:r>
      <w:r>
        <w:rPr>
          <w:rFonts w:hint="eastAsia" w:ascii="宋体" w:hAnsi="宋体" w:cs="宋体"/>
          <w:bCs/>
          <w:color w:val="auto"/>
          <w:szCs w:val="21"/>
        </w:rPr>
        <w:t>中心网站（</w:t>
      </w:r>
      <w:r>
        <w:fldChar w:fldCharType="begin"/>
      </w:r>
      <w:r>
        <w:instrText xml:space="preserve"> HYPERLINK "http://ggzy.sheqi.gov.cn/）获取采购文件，并于2024年8月" </w:instrText>
      </w:r>
      <w:r>
        <w:fldChar w:fldCharType="separate"/>
      </w:r>
      <w:r>
        <w:rPr>
          <w:rStyle w:val="39"/>
          <w:rFonts w:ascii="宋体" w:hAnsi="宋体" w:eastAsia="宋体" w:cs="宋体"/>
          <w:bCs/>
          <w:sz w:val="21"/>
          <w:szCs w:val="21"/>
        </w:rPr>
        <w:t>http:/</w:t>
      </w:r>
      <w:r>
        <w:rPr>
          <w:rStyle w:val="39"/>
          <w:rFonts w:hint="eastAsia" w:ascii="宋体" w:hAnsi="宋体" w:eastAsia="宋体" w:cs="宋体"/>
          <w:bCs/>
          <w:sz w:val="21"/>
          <w:szCs w:val="21"/>
        </w:rPr>
        <w:t>/ggzy.sheqi.gov.cn/）获取采</w:t>
      </w:r>
      <w:r>
        <w:rPr>
          <w:rStyle w:val="39"/>
          <w:rFonts w:hint="eastAsia" w:ascii="宋体" w:hAnsi="宋体" w:eastAsia="宋体" w:cs="宋体"/>
          <w:sz w:val="21"/>
        </w:rPr>
        <w:t>购文件，并于</w:t>
      </w:r>
      <w:r>
        <w:rPr>
          <w:rStyle w:val="39"/>
          <w:rFonts w:ascii="宋体" w:hAnsi="宋体" w:eastAsia="宋体" w:cs="宋体"/>
          <w:sz w:val="21"/>
        </w:rPr>
        <w:t>202</w:t>
      </w:r>
      <w:r>
        <w:rPr>
          <w:rStyle w:val="39"/>
          <w:rFonts w:hint="eastAsia" w:ascii="宋体" w:hAnsi="宋体" w:eastAsia="宋体" w:cs="宋体"/>
          <w:sz w:val="21"/>
        </w:rPr>
        <w:t>4年8月</w:t>
      </w:r>
      <w:r>
        <w:rPr>
          <w:rStyle w:val="39"/>
          <w:rFonts w:hint="eastAsia" w:ascii="宋体" w:hAnsi="宋体" w:eastAsia="宋体" w:cs="宋体"/>
          <w:sz w:val="21"/>
        </w:rPr>
        <w:fldChar w:fldCharType="end"/>
      </w:r>
      <w:r>
        <w:rPr>
          <w:rStyle w:val="39"/>
          <w:rFonts w:hint="eastAsia" w:ascii="宋体" w:hAnsi="宋体" w:cs="宋体"/>
          <w:sz w:val="21"/>
          <w:lang w:val="en-US" w:eastAsia="zh-CN"/>
        </w:rPr>
        <w:t>23</w:t>
      </w:r>
      <w:r>
        <w:rPr>
          <w:rFonts w:hint="eastAsia" w:ascii="宋体" w:hAnsi="宋体" w:cs="宋体"/>
          <w:color w:val="auto"/>
          <w:highlight w:val="none"/>
        </w:rPr>
        <w:t>日</w:t>
      </w:r>
      <w:r>
        <w:rPr>
          <w:rFonts w:ascii="宋体" w:hAnsi="宋体" w:cs="宋体"/>
          <w:color w:val="auto"/>
          <w:highlight w:val="none"/>
        </w:rPr>
        <w:t>1</w:t>
      </w:r>
      <w:r>
        <w:rPr>
          <w:rFonts w:ascii="宋体" w:hAnsi="宋体" w:cs="宋体"/>
          <w:color w:val="auto"/>
        </w:rPr>
        <w:t>0</w:t>
      </w:r>
      <w:r>
        <w:rPr>
          <w:rFonts w:hint="eastAsia" w:ascii="宋体" w:hAnsi="宋体" w:cs="宋体"/>
          <w:color w:val="auto"/>
        </w:rPr>
        <w:t>时</w:t>
      </w:r>
      <w:r>
        <w:rPr>
          <w:rFonts w:ascii="宋体" w:cs="宋体"/>
          <w:color w:val="auto"/>
        </w:rPr>
        <w:t>00</w:t>
      </w:r>
      <w:r>
        <w:rPr>
          <w:rFonts w:hint="eastAsia" w:ascii="宋体" w:hAnsi="宋体" w:cs="宋体"/>
          <w:color w:val="auto"/>
        </w:rPr>
        <w:t>分（北京时间）前递交投标文件。</w:t>
      </w:r>
    </w:p>
    <w:p w14:paraId="2F4F9209">
      <w:pPr>
        <w:spacing w:line="360" w:lineRule="auto"/>
        <w:ind w:firstLine="420" w:firstLineChars="200"/>
        <w:rPr>
          <w:rFonts w:ascii="宋体" w:cs="宋体"/>
        </w:rPr>
      </w:pPr>
      <w:r>
        <w:rPr>
          <w:rFonts w:hint="eastAsia" w:ascii="宋体" w:hAnsi="宋体" w:cs="宋体"/>
        </w:rPr>
        <w:t>一、</w:t>
      </w:r>
      <w:r>
        <w:rPr>
          <w:rFonts w:hint="eastAsia" w:ascii="宋体" w:hAnsi="宋体" w:cs="宋体"/>
          <w:b/>
          <w:color w:val="auto"/>
          <w:szCs w:val="21"/>
        </w:rPr>
        <w:t>项目基本情况</w:t>
      </w:r>
    </w:p>
    <w:p w14:paraId="27EDC67B">
      <w:pPr>
        <w:spacing w:line="360" w:lineRule="auto"/>
        <w:ind w:firstLine="420" w:firstLineChars="200"/>
        <w:rPr>
          <w:rFonts w:hint="default" w:ascii="宋体" w:hAnsi="宋体" w:eastAsia="宋体" w:cs="宋体"/>
          <w:bCs/>
          <w:color w:val="auto"/>
          <w:szCs w:val="21"/>
          <w:highlight w:val="none"/>
          <w:lang w:val="en-US" w:eastAsia="zh-CN"/>
        </w:rPr>
      </w:pPr>
      <w:r>
        <w:rPr>
          <w:rFonts w:ascii="宋体" w:hAnsi="宋体" w:cs="宋体"/>
          <w:bCs/>
          <w:color w:val="auto"/>
          <w:szCs w:val="21"/>
        </w:rPr>
        <w:t>1</w:t>
      </w:r>
      <w:r>
        <w:rPr>
          <w:rFonts w:hint="eastAsia" w:ascii="宋体" w:hAnsi="宋体" w:cs="宋体"/>
          <w:bCs/>
          <w:color w:val="auto"/>
          <w:szCs w:val="21"/>
        </w:rPr>
        <w:t>、项目编号：</w:t>
      </w:r>
      <w:r>
        <w:rPr>
          <w:rFonts w:ascii="宋体" w:hAnsi="宋体" w:cs="宋体"/>
          <w:bCs/>
          <w:color w:val="auto"/>
          <w:szCs w:val="21"/>
          <w:highlight w:val="none"/>
        </w:rPr>
        <w:t>社财采购公开-202</w:t>
      </w:r>
      <w:r>
        <w:rPr>
          <w:rFonts w:hint="eastAsia" w:ascii="宋体" w:hAnsi="宋体" w:cs="宋体"/>
          <w:bCs/>
          <w:color w:val="auto"/>
          <w:szCs w:val="21"/>
          <w:highlight w:val="none"/>
        </w:rPr>
        <w:t>4</w:t>
      </w:r>
      <w:r>
        <w:rPr>
          <w:rFonts w:ascii="宋体" w:hAnsi="宋体" w:cs="宋体"/>
          <w:bCs/>
          <w:color w:val="auto"/>
          <w:szCs w:val="21"/>
          <w:highlight w:val="none"/>
        </w:rPr>
        <w:t>-</w:t>
      </w:r>
      <w:r>
        <w:rPr>
          <w:rFonts w:hint="eastAsia" w:ascii="宋体" w:hAnsi="宋体" w:cs="宋体"/>
          <w:bCs/>
          <w:color w:val="auto"/>
          <w:szCs w:val="21"/>
          <w:highlight w:val="none"/>
          <w:lang w:val="en-US" w:eastAsia="zh-CN"/>
        </w:rPr>
        <w:t>27</w:t>
      </w:r>
    </w:p>
    <w:p w14:paraId="7EE642A1">
      <w:pPr>
        <w:spacing w:line="360" w:lineRule="auto"/>
        <w:ind w:firstLine="200"/>
        <w:rPr>
          <w:rFonts w:ascii="宋体" w:hAnsi="宋体" w:cs="宋体"/>
          <w:bCs/>
          <w:color w:val="auto"/>
          <w:szCs w:val="21"/>
        </w:rPr>
      </w:pPr>
      <w:r>
        <w:rPr>
          <w:rFonts w:ascii="宋体" w:hAnsi="宋体" w:cs="宋体"/>
          <w:bCs/>
          <w:color w:val="auto"/>
          <w:szCs w:val="21"/>
        </w:rPr>
        <w:t xml:space="preserve">  2</w:t>
      </w:r>
      <w:r>
        <w:rPr>
          <w:rFonts w:hint="eastAsia" w:ascii="宋体" w:hAnsi="宋体" w:cs="宋体"/>
          <w:bCs/>
          <w:color w:val="auto"/>
          <w:szCs w:val="21"/>
        </w:rPr>
        <w:t>、采购项目名称：</w:t>
      </w:r>
      <w:r>
        <w:rPr>
          <w:rFonts w:hint="eastAsia" w:ascii="宋体" w:hAnsi="宋体" w:cs="宋体"/>
          <w:bCs/>
          <w:color w:val="auto"/>
          <w:szCs w:val="21"/>
          <w:lang w:eastAsia="zh-CN"/>
        </w:rPr>
        <w:t>社旗县教育体育局2024年9月-2025年2月全县农村义务教育寄宿制学校早晚餐食材项目</w:t>
      </w:r>
      <w:r>
        <w:rPr>
          <w:rFonts w:ascii="宋体" w:hAnsi="宋体" w:cs="宋体"/>
          <w:bCs/>
          <w:color w:val="auto"/>
          <w:szCs w:val="21"/>
        </w:rPr>
        <w:t xml:space="preserve"> </w:t>
      </w:r>
    </w:p>
    <w:p w14:paraId="2C554EC3">
      <w:pPr>
        <w:spacing w:line="360" w:lineRule="auto"/>
        <w:ind w:firstLine="200"/>
        <w:rPr>
          <w:rFonts w:hint="default" w:ascii="宋体" w:eastAsia="宋体" w:cs="宋体"/>
          <w:bCs/>
          <w:color w:val="auto"/>
          <w:szCs w:val="21"/>
          <w:lang w:val="en-US" w:eastAsia="zh-CN"/>
        </w:rPr>
      </w:pPr>
      <w:r>
        <w:rPr>
          <w:rFonts w:ascii="宋体" w:hAnsi="宋体" w:cs="宋体"/>
          <w:bCs/>
          <w:color w:val="auto"/>
          <w:szCs w:val="21"/>
        </w:rPr>
        <w:t xml:space="preserve"> 3</w:t>
      </w:r>
      <w:r>
        <w:rPr>
          <w:rFonts w:hint="eastAsia" w:ascii="宋体" w:hAnsi="宋体" w:cs="宋体"/>
          <w:bCs/>
          <w:color w:val="auto"/>
          <w:szCs w:val="21"/>
        </w:rPr>
        <w:t>、采购方式：公开招标</w:t>
      </w:r>
    </w:p>
    <w:p w14:paraId="6A7AC03E">
      <w:pPr>
        <w:spacing w:line="360" w:lineRule="auto"/>
        <w:ind w:firstLine="200"/>
        <w:rPr>
          <w:rFonts w:ascii="宋体" w:cs="宋体"/>
          <w:bCs/>
          <w:color w:val="auto"/>
          <w:szCs w:val="21"/>
          <w:highlight w:val="none"/>
        </w:rPr>
      </w:pPr>
      <w:r>
        <w:rPr>
          <w:rFonts w:ascii="宋体" w:hAnsi="宋体" w:cs="宋体"/>
          <w:bCs/>
          <w:color w:val="auto"/>
          <w:szCs w:val="21"/>
        </w:rPr>
        <w:t xml:space="preserve">  4</w:t>
      </w:r>
      <w:r>
        <w:rPr>
          <w:rFonts w:hint="eastAsia" w:ascii="宋体" w:hAnsi="宋体" w:cs="宋体"/>
          <w:bCs/>
          <w:color w:val="auto"/>
          <w:szCs w:val="21"/>
          <w:highlight w:val="none"/>
        </w:rPr>
        <w:t>、预算金额：</w:t>
      </w:r>
      <w:r>
        <w:rPr>
          <w:rFonts w:hint="eastAsia" w:ascii="宋体" w:hAnsi="宋体" w:cs="宋体"/>
          <w:bCs/>
          <w:color w:val="auto"/>
          <w:szCs w:val="21"/>
          <w:highlight w:val="none"/>
          <w:lang w:val="en-US" w:eastAsia="zh-CN"/>
        </w:rPr>
        <w:t>18480000.00</w:t>
      </w:r>
      <w:r>
        <w:rPr>
          <w:rFonts w:hint="eastAsia" w:ascii="宋体" w:hAnsi="宋体" w:cs="宋体"/>
          <w:bCs/>
          <w:color w:val="auto"/>
          <w:szCs w:val="21"/>
          <w:highlight w:val="none"/>
        </w:rPr>
        <w:t>元</w:t>
      </w:r>
    </w:p>
    <w:p w14:paraId="1AC68318">
      <w:pPr>
        <w:spacing w:line="360" w:lineRule="auto"/>
        <w:ind w:firstLine="735" w:firstLineChars="350"/>
        <w:rPr>
          <w:rFonts w:ascii="宋体" w:cs="宋体"/>
          <w:bCs/>
          <w:color w:val="auto"/>
          <w:szCs w:val="21"/>
          <w:highlight w:val="none"/>
        </w:rPr>
      </w:pPr>
      <w:r>
        <w:rPr>
          <w:rFonts w:hint="eastAsia" w:ascii="宋体" w:hAnsi="宋体" w:cs="宋体"/>
          <w:bCs/>
          <w:color w:val="auto"/>
          <w:szCs w:val="21"/>
          <w:highlight w:val="none"/>
        </w:rPr>
        <w:t>最高限价：</w:t>
      </w:r>
      <w:r>
        <w:rPr>
          <w:rFonts w:hint="eastAsia" w:ascii="宋体" w:hAnsi="宋体" w:cs="宋体"/>
          <w:bCs/>
          <w:color w:val="auto"/>
          <w:szCs w:val="21"/>
          <w:highlight w:val="none"/>
          <w:lang w:val="en-US" w:eastAsia="zh-CN"/>
        </w:rPr>
        <w:t>18480000.00</w:t>
      </w:r>
      <w:r>
        <w:rPr>
          <w:rFonts w:hint="eastAsia" w:ascii="宋体" w:hAnsi="宋体" w:cs="宋体"/>
          <w:bCs/>
          <w:color w:val="auto"/>
          <w:szCs w:val="21"/>
          <w:highlight w:val="none"/>
        </w:rPr>
        <w:t>元</w:t>
      </w:r>
    </w:p>
    <w:tbl>
      <w:tblPr>
        <w:tblStyle w:val="28"/>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240"/>
        <w:gridCol w:w="3872"/>
        <w:gridCol w:w="1371"/>
        <w:gridCol w:w="1777"/>
      </w:tblGrid>
      <w:tr w14:paraId="6E40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40" w:type="dxa"/>
            <w:vAlign w:val="center"/>
          </w:tcPr>
          <w:p w14:paraId="5C87F8AC">
            <w:pPr>
              <w:widowControl w:val="0"/>
              <w:jc w:val="center"/>
              <w:rPr>
                <w:rFonts w:ascii="宋体"/>
              </w:rPr>
            </w:pPr>
            <w:r>
              <w:rPr>
                <w:rFonts w:hint="eastAsia" w:ascii="宋体" w:hAnsi="宋体"/>
              </w:rPr>
              <w:t>序号</w:t>
            </w:r>
          </w:p>
        </w:tc>
        <w:tc>
          <w:tcPr>
            <w:tcW w:w="1240" w:type="dxa"/>
            <w:vAlign w:val="center"/>
          </w:tcPr>
          <w:p w14:paraId="462EB6AA">
            <w:pPr>
              <w:widowControl w:val="0"/>
              <w:jc w:val="center"/>
              <w:rPr>
                <w:rFonts w:ascii="宋体"/>
              </w:rPr>
            </w:pPr>
            <w:r>
              <w:rPr>
                <w:rFonts w:hint="eastAsia" w:ascii="宋体" w:hAnsi="宋体"/>
              </w:rPr>
              <w:t>包号</w:t>
            </w:r>
          </w:p>
        </w:tc>
        <w:tc>
          <w:tcPr>
            <w:tcW w:w="3872" w:type="dxa"/>
            <w:vAlign w:val="center"/>
          </w:tcPr>
          <w:p w14:paraId="0A125EF3">
            <w:pPr>
              <w:widowControl w:val="0"/>
              <w:jc w:val="center"/>
              <w:rPr>
                <w:rFonts w:ascii="宋体"/>
              </w:rPr>
            </w:pPr>
            <w:r>
              <w:rPr>
                <w:rFonts w:hint="eastAsia" w:ascii="宋体" w:hAnsi="宋体"/>
              </w:rPr>
              <w:t>包名称</w:t>
            </w:r>
          </w:p>
        </w:tc>
        <w:tc>
          <w:tcPr>
            <w:tcW w:w="1371" w:type="dxa"/>
            <w:vAlign w:val="center"/>
          </w:tcPr>
          <w:p w14:paraId="179B80F5">
            <w:pPr>
              <w:widowControl w:val="0"/>
              <w:jc w:val="center"/>
              <w:rPr>
                <w:rFonts w:ascii="宋体"/>
              </w:rPr>
            </w:pPr>
            <w:r>
              <w:rPr>
                <w:rFonts w:hint="eastAsia" w:ascii="宋体" w:hAnsi="宋体"/>
              </w:rPr>
              <w:t>包预算（元）</w:t>
            </w:r>
          </w:p>
        </w:tc>
        <w:tc>
          <w:tcPr>
            <w:tcW w:w="1777" w:type="dxa"/>
            <w:vAlign w:val="center"/>
          </w:tcPr>
          <w:p w14:paraId="0B6E9DBD">
            <w:pPr>
              <w:widowControl w:val="0"/>
              <w:jc w:val="center"/>
              <w:rPr>
                <w:rFonts w:ascii="宋体"/>
              </w:rPr>
            </w:pPr>
            <w:r>
              <w:rPr>
                <w:rFonts w:hint="eastAsia" w:ascii="宋体" w:hAnsi="宋体"/>
              </w:rPr>
              <w:t>包最高限价（元）</w:t>
            </w:r>
          </w:p>
        </w:tc>
      </w:tr>
      <w:tr w14:paraId="1CE9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2AB57C42">
            <w:pPr>
              <w:widowControl w:val="0"/>
              <w:jc w:val="center"/>
              <w:rPr>
                <w:rFonts w:ascii="宋体" w:hAnsi="宋体"/>
                <w:highlight w:val="none"/>
              </w:rPr>
            </w:pPr>
            <w:r>
              <w:rPr>
                <w:rFonts w:ascii="宋体" w:hAnsi="宋体"/>
                <w:highlight w:val="none"/>
              </w:rPr>
              <w:t>1</w:t>
            </w:r>
          </w:p>
        </w:tc>
        <w:tc>
          <w:tcPr>
            <w:tcW w:w="1240" w:type="dxa"/>
            <w:vAlign w:val="center"/>
          </w:tcPr>
          <w:p w14:paraId="4B9B0B4A">
            <w:pPr>
              <w:widowControl w:val="0"/>
              <w:jc w:val="center"/>
              <w:rPr>
                <w:rFonts w:hint="default" w:ascii="宋体" w:eastAsia="宋体"/>
                <w:highlight w:val="none"/>
                <w:lang w:val="en-US" w:eastAsia="zh-CN"/>
              </w:rPr>
            </w:pPr>
            <w:r>
              <w:rPr>
                <w:rFonts w:ascii="宋体" w:hAnsi="宋体" w:cs="宋体"/>
                <w:bCs/>
                <w:color w:val="auto"/>
                <w:szCs w:val="21"/>
                <w:highlight w:val="none"/>
              </w:rPr>
              <w:t>社财采购公开-202</w:t>
            </w:r>
            <w:r>
              <w:rPr>
                <w:rFonts w:hint="eastAsia" w:ascii="宋体" w:hAnsi="宋体" w:cs="宋体"/>
                <w:bCs/>
                <w:color w:val="auto"/>
                <w:szCs w:val="21"/>
                <w:highlight w:val="none"/>
              </w:rPr>
              <w:t>4</w:t>
            </w:r>
            <w:r>
              <w:rPr>
                <w:rFonts w:ascii="宋体" w:hAnsi="宋体" w:cs="宋体"/>
                <w:bCs/>
                <w:color w:val="auto"/>
                <w:szCs w:val="21"/>
                <w:highlight w:val="none"/>
              </w:rPr>
              <w:t>-</w:t>
            </w:r>
            <w:r>
              <w:rPr>
                <w:rFonts w:hint="eastAsia" w:ascii="宋体" w:hAnsi="宋体" w:cs="宋体"/>
                <w:bCs/>
                <w:color w:val="auto"/>
                <w:szCs w:val="21"/>
                <w:highlight w:val="none"/>
                <w:lang w:val="en-US" w:eastAsia="zh-CN"/>
              </w:rPr>
              <w:t>27</w:t>
            </w:r>
          </w:p>
        </w:tc>
        <w:tc>
          <w:tcPr>
            <w:tcW w:w="3872" w:type="dxa"/>
            <w:vAlign w:val="center"/>
          </w:tcPr>
          <w:p w14:paraId="5BBDDA04">
            <w:pPr>
              <w:widowControl w:val="0"/>
              <w:jc w:val="center"/>
              <w:rPr>
                <w:rFonts w:ascii="宋体"/>
              </w:rPr>
            </w:pPr>
            <w:r>
              <w:rPr>
                <w:rFonts w:hint="eastAsia" w:ascii="宋体" w:hAnsi="宋体" w:cs="宋体"/>
                <w:bCs/>
                <w:color w:val="auto"/>
                <w:szCs w:val="21"/>
                <w:lang w:eastAsia="zh-CN"/>
              </w:rPr>
              <w:t>社旗县教育体育局2024年9月-2025年2月全县农村义务教育寄宿制学校早晚餐食材项目</w:t>
            </w:r>
            <w:r>
              <w:rPr>
                <w:rFonts w:hint="eastAsia" w:ascii="宋体" w:hAnsi="宋体" w:cs="宋体"/>
                <w:bCs/>
                <w:color w:val="auto"/>
                <w:szCs w:val="21"/>
              </w:rPr>
              <w:t>一标段</w:t>
            </w:r>
          </w:p>
        </w:tc>
        <w:tc>
          <w:tcPr>
            <w:tcW w:w="1371" w:type="dxa"/>
            <w:vAlign w:val="center"/>
          </w:tcPr>
          <w:p w14:paraId="70693774">
            <w:pPr>
              <w:widowControl w:val="0"/>
              <w:jc w:val="center"/>
              <w:rPr>
                <w:rFonts w:hint="default" w:ascii="宋体" w:hAnsi="宋体" w:eastAsia="宋体"/>
                <w:highlight w:val="none"/>
                <w:lang w:val="en-US" w:eastAsia="zh-CN"/>
              </w:rPr>
            </w:pPr>
            <w:r>
              <w:rPr>
                <w:rFonts w:hint="eastAsia" w:ascii="宋体" w:hAnsi="宋体" w:cs="宋体"/>
                <w:color w:val="auto"/>
                <w:szCs w:val="21"/>
                <w:highlight w:val="none"/>
                <w:shd w:val="clear" w:color="auto" w:fill="FFFFFF"/>
                <w:lang w:val="en-US" w:eastAsia="zh-CN"/>
              </w:rPr>
              <w:t>18480000.00</w:t>
            </w:r>
          </w:p>
        </w:tc>
        <w:tc>
          <w:tcPr>
            <w:tcW w:w="1777" w:type="dxa"/>
            <w:vAlign w:val="center"/>
          </w:tcPr>
          <w:p w14:paraId="408B08AE">
            <w:pPr>
              <w:widowControl w:val="0"/>
              <w:jc w:val="center"/>
              <w:rPr>
                <w:rFonts w:hint="default" w:ascii="宋体" w:hAnsi="宋体" w:eastAsia="宋体"/>
                <w:highlight w:val="none"/>
                <w:lang w:val="en-US" w:eastAsia="zh-CN"/>
              </w:rPr>
            </w:pPr>
            <w:r>
              <w:rPr>
                <w:rFonts w:hint="eastAsia" w:ascii="宋体" w:hAnsi="宋体" w:cs="宋体"/>
                <w:color w:val="auto"/>
                <w:szCs w:val="21"/>
                <w:highlight w:val="none"/>
                <w:shd w:val="clear" w:color="auto" w:fill="FFFFFF"/>
                <w:lang w:val="en-US" w:eastAsia="zh-CN"/>
              </w:rPr>
              <w:t>18480000.00</w:t>
            </w:r>
          </w:p>
        </w:tc>
      </w:tr>
    </w:tbl>
    <w:p w14:paraId="2B467F05">
      <w:pPr>
        <w:spacing w:line="360" w:lineRule="auto"/>
        <w:ind w:firstLine="200"/>
        <w:rPr>
          <w:rFonts w:ascii="宋体" w:cs="宋体"/>
          <w:bCs/>
          <w:color w:val="auto"/>
          <w:szCs w:val="21"/>
        </w:rPr>
      </w:pPr>
      <w:r>
        <w:rPr>
          <w:rFonts w:ascii="宋体" w:hAnsi="宋体" w:cs="宋体"/>
          <w:bCs/>
          <w:color w:val="auto"/>
          <w:szCs w:val="21"/>
        </w:rPr>
        <w:t xml:space="preserve">  5</w:t>
      </w:r>
      <w:r>
        <w:rPr>
          <w:rFonts w:hint="eastAsia" w:ascii="宋体" w:hAnsi="宋体" w:cs="宋体"/>
          <w:bCs/>
          <w:color w:val="auto"/>
          <w:szCs w:val="21"/>
        </w:rPr>
        <w:t>、采购需求：</w:t>
      </w:r>
    </w:p>
    <w:p w14:paraId="32B6DBC4">
      <w:pPr>
        <w:spacing w:line="360" w:lineRule="auto"/>
        <w:ind w:firstLine="420" w:firstLineChars="200"/>
        <w:rPr>
          <w:rFonts w:ascii="宋体" w:cs="宋体"/>
          <w:color w:val="auto"/>
          <w:szCs w:val="21"/>
        </w:rPr>
      </w:pPr>
      <w:r>
        <w:rPr>
          <w:rFonts w:ascii="宋体" w:hAnsi="宋体" w:cs="宋体"/>
          <w:color w:val="auto"/>
          <w:szCs w:val="21"/>
        </w:rPr>
        <w:t>5.1</w:t>
      </w:r>
      <w:r>
        <w:rPr>
          <w:rFonts w:hint="eastAsia" w:ascii="宋体" w:hAnsi="宋体" w:cs="宋体"/>
          <w:color w:val="auto"/>
          <w:szCs w:val="21"/>
        </w:rPr>
        <w:t>采购内容：</w:t>
      </w:r>
      <w:r>
        <w:rPr>
          <w:rFonts w:hint="eastAsia" w:ascii="宋体" w:hAnsi="宋体" w:cs="宋体"/>
          <w:bCs/>
          <w:color w:val="auto"/>
          <w:szCs w:val="21"/>
        </w:rPr>
        <w:t>社旗县教育体育局2024年9月-2025年</w:t>
      </w:r>
      <w:r>
        <w:rPr>
          <w:rFonts w:hint="eastAsia" w:ascii="宋体" w:hAnsi="宋体" w:cs="宋体"/>
          <w:bCs/>
          <w:color w:val="auto"/>
          <w:szCs w:val="21"/>
          <w:lang w:val="en-US" w:eastAsia="zh-CN"/>
        </w:rPr>
        <w:t>2</w:t>
      </w:r>
      <w:r>
        <w:rPr>
          <w:rFonts w:hint="eastAsia" w:ascii="宋体" w:hAnsi="宋体" w:cs="宋体"/>
          <w:bCs/>
          <w:color w:val="auto"/>
          <w:szCs w:val="21"/>
        </w:rPr>
        <w:t>月全县农村义务教育营养改善计划食材供应</w:t>
      </w:r>
      <w:r>
        <w:rPr>
          <w:rFonts w:hint="eastAsia" w:ascii="宋体" w:hAnsi="宋体" w:cs="宋体"/>
          <w:color w:val="auto"/>
          <w:szCs w:val="21"/>
        </w:rPr>
        <w:t>。</w:t>
      </w:r>
      <w:r>
        <w:rPr>
          <w:rFonts w:hint="eastAsia" w:ascii="宋体" w:hAnsi="宋体" w:cs="宋体"/>
          <w:color w:val="auto"/>
          <w:szCs w:val="21"/>
          <w:lang w:val="en-US" w:eastAsia="zh-CN"/>
        </w:rPr>
        <w:t>早晚</w:t>
      </w:r>
      <w:r>
        <w:rPr>
          <w:rFonts w:hint="eastAsia" w:ascii="宋体" w:hAnsi="宋体" w:cs="宋体"/>
          <w:color w:val="auto"/>
          <w:szCs w:val="21"/>
        </w:rPr>
        <w:t>餐供餐学生人数为：</w:t>
      </w:r>
      <w:r>
        <w:rPr>
          <w:rFonts w:hint="eastAsia" w:ascii="宋体" w:hAnsi="宋体" w:cs="宋体"/>
          <w:color w:val="auto"/>
          <w:szCs w:val="21"/>
          <w:highlight w:val="none"/>
        </w:rPr>
        <w:t>约</w:t>
      </w:r>
      <w:r>
        <w:rPr>
          <w:rFonts w:hint="eastAsia" w:ascii="宋体" w:hAnsi="宋体" w:cs="宋体"/>
          <w:color w:val="auto"/>
          <w:szCs w:val="21"/>
          <w:highlight w:val="none"/>
          <w:lang w:val="en-US" w:eastAsia="zh-CN"/>
        </w:rPr>
        <w:t>22000</w:t>
      </w:r>
      <w:r>
        <w:rPr>
          <w:rFonts w:hint="eastAsia" w:ascii="宋体" w:hAnsi="宋体" w:cs="宋体"/>
          <w:color w:val="auto"/>
          <w:szCs w:val="21"/>
          <w:highlight w:val="none"/>
        </w:rPr>
        <w:t>人，</w:t>
      </w:r>
      <w:r>
        <w:rPr>
          <w:rFonts w:hint="eastAsia" w:ascii="宋体" w:hAnsi="宋体" w:cs="宋体"/>
          <w:color w:val="auto"/>
          <w:szCs w:val="21"/>
          <w:highlight w:val="none"/>
          <w:lang w:val="en-US" w:eastAsia="zh-CN"/>
        </w:rPr>
        <w:t>供应标准为：7.00元/每生/每天，</w:t>
      </w:r>
      <w:r>
        <w:rPr>
          <w:rFonts w:hint="eastAsia" w:ascii="宋体" w:hAnsi="宋体" w:cs="宋体"/>
          <w:color w:val="auto"/>
          <w:szCs w:val="21"/>
          <w:highlight w:val="none"/>
        </w:rPr>
        <w:t>供应天数按</w:t>
      </w:r>
      <w:r>
        <w:rPr>
          <w:rFonts w:hint="eastAsia" w:ascii="宋体" w:hAnsi="宋体" w:cs="宋体"/>
          <w:color w:val="auto"/>
          <w:szCs w:val="21"/>
          <w:highlight w:val="none"/>
          <w:lang w:val="en-US" w:eastAsia="zh-CN"/>
        </w:rPr>
        <w:t>12</w:t>
      </w:r>
      <w:r>
        <w:rPr>
          <w:rFonts w:ascii="宋体" w:hAnsi="宋体" w:cs="宋体"/>
          <w:color w:val="auto"/>
          <w:szCs w:val="21"/>
          <w:highlight w:val="none"/>
        </w:rPr>
        <w:t>0</w:t>
      </w:r>
      <w:r>
        <w:rPr>
          <w:rFonts w:hint="eastAsia" w:ascii="宋体" w:hAnsi="宋体" w:cs="宋体"/>
          <w:color w:val="auto"/>
          <w:szCs w:val="21"/>
          <w:highlight w:val="none"/>
        </w:rPr>
        <w:t>天计算；</w:t>
      </w:r>
      <w:r>
        <w:rPr>
          <w:rFonts w:hint="eastAsia" w:ascii="宋体" w:hAnsi="宋体" w:cs="宋体"/>
          <w:color w:val="auto"/>
          <w:szCs w:val="21"/>
        </w:rPr>
        <w:t>项目结算以实际供餐人数、供餐天数为准。</w:t>
      </w:r>
    </w:p>
    <w:p w14:paraId="0F61C5D1">
      <w:pPr>
        <w:spacing w:line="360" w:lineRule="auto"/>
        <w:ind w:firstLine="420" w:firstLineChars="200"/>
        <w:rPr>
          <w:rFonts w:ascii="宋体" w:cs="宋体"/>
          <w:color w:val="auto"/>
          <w:szCs w:val="21"/>
        </w:rPr>
      </w:pPr>
      <w:r>
        <w:rPr>
          <w:rFonts w:ascii="宋体" w:hAnsi="宋体" w:cs="宋体"/>
          <w:color w:val="auto"/>
          <w:szCs w:val="21"/>
        </w:rPr>
        <w:t>5.2</w:t>
      </w:r>
      <w:r>
        <w:rPr>
          <w:rFonts w:hint="eastAsia" w:ascii="宋体" w:hAnsi="宋体" w:cs="宋体"/>
          <w:color w:val="auto"/>
          <w:szCs w:val="21"/>
        </w:rPr>
        <w:t>采购人：社旗县教育体育局</w:t>
      </w:r>
    </w:p>
    <w:p w14:paraId="5451F9E7">
      <w:pPr>
        <w:pStyle w:val="26"/>
        <w:spacing w:line="360" w:lineRule="auto"/>
        <w:ind w:firstLineChars="200"/>
        <w:rPr>
          <w:rFonts w:ascii="宋体" w:cs="宋体"/>
          <w:color w:val="auto"/>
          <w:szCs w:val="21"/>
        </w:rPr>
      </w:pPr>
      <w:r>
        <w:rPr>
          <w:rFonts w:ascii="宋体" w:hAnsi="宋体" w:cs="宋体"/>
          <w:color w:val="auto"/>
          <w:szCs w:val="21"/>
        </w:rPr>
        <w:t>5.3</w:t>
      </w:r>
      <w:r>
        <w:rPr>
          <w:rFonts w:hint="eastAsia" w:ascii="宋体" w:hAnsi="宋体" w:cs="宋体"/>
          <w:color w:val="auto"/>
          <w:szCs w:val="21"/>
        </w:rPr>
        <w:t>资金来源：</w:t>
      </w:r>
      <w:r>
        <w:rPr>
          <w:rFonts w:hint="eastAsia" w:ascii="宋体" w:hAnsi="宋体" w:cs="宋体"/>
          <w:color w:val="auto"/>
          <w:szCs w:val="21"/>
          <w:lang w:val="en-US" w:eastAsia="zh-CN"/>
        </w:rPr>
        <w:t>自筹</w:t>
      </w:r>
      <w:r>
        <w:rPr>
          <w:rFonts w:hint="eastAsia" w:ascii="宋体" w:hAnsi="宋体" w:cs="宋体"/>
          <w:color w:val="auto"/>
          <w:szCs w:val="21"/>
        </w:rPr>
        <w:t>资金</w:t>
      </w:r>
    </w:p>
    <w:p w14:paraId="279252CA">
      <w:pPr>
        <w:pStyle w:val="26"/>
        <w:spacing w:line="360" w:lineRule="auto"/>
        <w:ind w:firstLineChars="200"/>
        <w:rPr>
          <w:rFonts w:ascii="宋体" w:hAnsi="宋体" w:cs="宋体"/>
          <w:color w:val="auto"/>
          <w:szCs w:val="21"/>
        </w:rPr>
      </w:pPr>
      <w:r>
        <w:rPr>
          <w:rFonts w:ascii="宋体" w:hAnsi="宋体" w:cs="宋体"/>
          <w:color w:val="auto"/>
          <w:szCs w:val="21"/>
        </w:rPr>
        <w:t>5.4</w:t>
      </w:r>
      <w:r>
        <w:rPr>
          <w:rFonts w:hint="eastAsia" w:ascii="宋体" w:hAnsi="宋体" w:cs="宋体"/>
          <w:color w:val="auto"/>
          <w:szCs w:val="21"/>
        </w:rPr>
        <w:t>服务期限：</w:t>
      </w:r>
      <w:r>
        <w:rPr>
          <w:rFonts w:hint="eastAsia" w:ascii="宋体" w:hAnsi="宋体" w:cs="宋体"/>
          <w:bCs/>
          <w:color w:val="auto"/>
          <w:szCs w:val="21"/>
        </w:rPr>
        <w:t>2024年9月-2025年</w:t>
      </w:r>
      <w:r>
        <w:rPr>
          <w:rFonts w:hint="eastAsia" w:ascii="宋体" w:hAnsi="宋体" w:cs="宋体"/>
          <w:bCs/>
          <w:color w:val="auto"/>
          <w:szCs w:val="21"/>
          <w:lang w:val="en-US" w:eastAsia="zh-CN"/>
        </w:rPr>
        <w:t>2</w:t>
      </w:r>
      <w:r>
        <w:rPr>
          <w:rFonts w:hint="eastAsia" w:ascii="宋体" w:hAnsi="宋体" w:cs="宋体"/>
          <w:bCs/>
          <w:color w:val="auto"/>
          <w:szCs w:val="21"/>
        </w:rPr>
        <w:t>月</w:t>
      </w:r>
      <w:r>
        <w:rPr>
          <w:rFonts w:hint="eastAsia" w:ascii="宋体" w:hAnsi="宋体" w:cs="宋体"/>
          <w:color w:val="auto"/>
          <w:szCs w:val="21"/>
        </w:rPr>
        <w:t>。</w:t>
      </w:r>
    </w:p>
    <w:p w14:paraId="4EAB78E0">
      <w:pPr>
        <w:pStyle w:val="26"/>
        <w:spacing w:line="360" w:lineRule="auto"/>
        <w:ind w:firstLineChars="200"/>
        <w:rPr>
          <w:rFonts w:ascii="宋体" w:cs="宋体"/>
          <w:color w:val="auto"/>
          <w:szCs w:val="21"/>
        </w:rPr>
      </w:pPr>
      <w:r>
        <w:rPr>
          <w:rFonts w:ascii="宋体" w:hAnsi="宋体" w:cs="宋体"/>
          <w:color w:val="auto"/>
          <w:szCs w:val="21"/>
        </w:rPr>
        <w:t>5.5</w:t>
      </w:r>
      <w:r>
        <w:rPr>
          <w:rFonts w:hint="eastAsia" w:ascii="宋体" w:hAnsi="宋体" w:cs="宋体"/>
          <w:color w:val="auto"/>
          <w:szCs w:val="21"/>
        </w:rPr>
        <w:t>交货地点：采购人指定的交货地点</w:t>
      </w:r>
    </w:p>
    <w:p w14:paraId="1E61F915">
      <w:pPr>
        <w:spacing w:line="360" w:lineRule="auto"/>
        <w:ind w:firstLine="420" w:firstLineChars="200"/>
        <w:rPr>
          <w:rFonts w:ascii="宋体" w:cs="宋体"/>
          <w:color w:val="auto"/>
          <w:szCs w:val="21"/>
        </w:rPr>
      </w:pPr>
      <w:r>
        <w:rPr>
          <w:rFonts w:ascii="宋体" w:hAnsi="宋体" w:cs="宋体"/>
          <w:color w:val="auto"/>
          <w:szCs w:val="21"/>
        </w:rPr>
        <w:t>5.6</w:t>
      </w:r>
      <w:r>
        <w:rPr>
          <w:rFonts w:hint="eastAsia" w:ascii="宋体" w:hAnsi="宋体" w:cs="宋体"/>
          <w:color w:val="auto"/>
          <w:szCs w:val="21"/>
        </w:rPr>
        <w:t>质量要求：合格，符合国家相关行业质量标准</w:t>
      </w:r>
    </w:p>
    <w:p w14:paraId="0C6FFB1E">
      <w:pPr>
        <w:spacing w:line="360" w:lineRule="auto"/>
        <w:ind w:firstLine="420" w:firstLineChars="200"/>
      </w:pPr>
      <w:r>
        <w:rPr>
          <w:rFonts w:ascii="宋体" w:hAnsi="宋体" w:cs="宋体"/>
          <w:color w:val="auto"/>
          <w:szCs w:val="21"/>
        </w:rPr>
        <w:t>5.7</w:t>
      </w:r>
      <w:r>
        <w:rPr>
          <w:rFonts w:hint="eastAsia" w:ascii="宋体" w:hAnsi="宋体" w:cs="宋体"/>
          <w:color w:val="auto"/>
          <w:szCs w:val="21"/>
        </w:rPr>
        <w:t>标段划分：本项目共划分为一个标段</w:t>
      </w:r>
    </w:p>
    <w:p w14:paraId="43A5E9BB">
      <w:pPr>
        <w:spacing w:line="360" w:lineRule="auto"/>
        <w:ind w:firstLine="420" w:firstLineChars="200"/>
        <w:rPr>
          <w:rFonts w:ascii="宋体" w:cs="宋体"/>
          <w:color w:val="auto"/>
          <w:szCs w:val="21"/>
        </w:rPr>
      </w:pPr>
      <w:r>
        <w:rPr>
          <w:rFonts w:ascii="宋体" w:hAnsi="宋体" w:cs="宋体"/>
          <w:bCs/>
          <w:color w:val="auto"/>
          <w:szCs w:val="21"/>
        </w:rPr>
        <w:t>6</w:t>
      </w:r>
      <w:r>
        <w:rPr>
          <w:rFonts w:hint="eastAsia" w:ascii="宋体" w:hAnsi="宋体" w:cs="宋体"/>
          <w:bCs/>
          <w:color w:val="auto"/>
          <w:szCs w:val="21"/>
        </w:rPr>
        <w:t>、合同履行期限：</w:t>
      </w:r>
      <w:r>
        <w:rPr>
          <w:rFonts w:ascii="宋体" w:hAnsi="宋体" w:cs="宋体"/>
          <w:bCs/>
          <w:color w:val="auto"/>
          <w:szCs w:val="21"/>
        </w:rPr>
        <w:t>/</w:t>
      </w:r>
    </w:p>
    <w:p w14:paraId="1335092A">
      <w:pPr>
        <w:spacing w:line="360" w:lineRule="auto"/>
        <w:ind w:firstLine="420" w:firstLineChars="200"/>
        <w:rPr>
          <w:rFonts w:ascii="宋体" w:cs="宋体"/>
          <w:color w:val="auto"/>
          <w:szCs w:val="21"/>
        </w:rPr>
      </w:pPr>
      <w:r>
        <w:rPr>
          <w:rFonts w:ascii="宋体" w:hAnsi="宋体" w:cs="宋体"/>
          <w:bCs/>
          <w:color w:val="auto"/>
          <w:szCs w:val="21"/>
        </w:rPr>
        <w:t>7</w:t>
      </w:r>
      <w:r>
        <w:rPr>
          <w:rFonts w:hint="eastAsia" w:ascii="宋体" w:hAnsi="宋体" w:cs="宋体"/>
          <w:bCs/>
          <w:color w:val="auto"/>
          <w:szCs w:val="21"/>
        </w:rPr>
        <w:t>、本项目是否接受联合体投标：否</w:t>
      </w:r>
    </w:p>
    <w:p w14:paraId="422BDFB9">
      <w:pPr>
        <w:spacing w:line="360" w:lineRule="auto"/>
        <w:ind w:firstLine="420" w:firstLineChars="200"/>
        <w:rPr>
          <w:rFonts w:ascii="宋体" w:cs="宋体"/>
          <w:color w:val="auto"/>
          <w:szCs w:val="21"/>
        </w:rPr>
      </w:pPr>
      <w:r>
        <w:rPr>
          <w:rFonts w:ascii="宋体" w:hAnsi="宋体" w:cs="宋体"/>
          <w:bCs/>
          <w:color w:val="auto"/>
          <w:szCs w:val="21"/>
        </w:rPr>
        <w:t>8</w:t>
      </w:r>
      <w:r>
        <w:rPr>
          <w:rFonts w:hint="eastAsia" w:ascii="宋体" w:hAnsi="宋体" w:cs="宋体"/>
          <w:bCs/>
          <w:color w:val="auto"/>
          <w:szCs w:val="21"/>
        </w:rPr>
        <w:t>、是否接受进口产品：否</w:t>
      </w:r>
    </w:p>
    <w:p w14:paraId="23047565">
      <w:pPr>
        <w:spacing w:line="360" w:lineRule="auto"/>
        <w:ind w:firstLine="422" w:firstLineChars="200"/>
        <w:rPr>
          <w:rFonts w:ascii="宋体" w:cs="宋体"/>
          <w:color w:val="auto"/>
          <w:szCs w:val="21"/>
        </w:rPr>
      </w:pPr>
      <w:r>
        <w:rPr>
          <w:rFonts w:hint="eastAsia" w:ascii="宋体" w:hAnsi="宋体" w:cs="宋体"/>
          <w:b/>
          <w:color w:val="auto"/>
          <w:szCs w:val="21"/>
        </w:rPr>
        <w:t>二、申请人资格要求：</w:t>
      </w:r>
    </w:p>
    <w:p w14:paraId="65A6D45F">
      <w:pPr>
        <w:spacing w:line="360" w:lineRule="auto"/>
        <w:ind w:firstLine="424" w:firstLineChars="202"/>
        <w:rPr>
          <w:rFonts w:ascii="宋体" w:cs="宋体"/>
          <w:szCs w:val="22"/>
          <w:shd w:val="clear" w:color="auto" w:fill="FFFFFF"/>
        </w:rPr>
      </w:pPr>
      <w:r>
        <w:rPr>
          <w:rFonts w:ascii="宋体" w:hAnsi="宋体" w:cs="宋体"/>
          <w:szCs w:val="22"/>
          <w:shd w:val="clear" w:color="auto" w:fill="FFFFFF"/>
        </w:rPr>
        <w:t>1</w:t>
      </w:r>
      <w:r>
        <w:rPr>
          <w:rFonts w:hint="eastAsia" w:ascii="宋体" w:hAnsi="宋体" w:cs="宋体"/>
          <w:szCs w:val="22"/>
          <w:shd w:val="clear" w:color="auto" w:fill="FFFFFF"/>
        </w:rPr>
        <w:t>、满足《中华人民共和国政府采购法》第二十二条规定；</w:t>
      </w:r>
    </w:p>
    <w:p w14:paraId="74F986B8">
      <w:pPr>
        <w:spacing w:line="360" w:lineRule="auto"/>
        <w:ind w:firstLine="424" w:firstLineChars="202"/>
        <w:rPr>
          <w:rFonts w:ascii="宋体" w:cs="宋体"/>
          <w:szCs w:val="22"/>
          <w:shd w:val="clear" w:color="auto" w:fill="FFFFFF"/>
        </w:rPr>
      </w:pPr>
      <w:r>
        <w:rPr>
          <w:rFonts w:ascii="宋体" w:hAnsi="宋体" w:cs="宋体"/>
          <w:szCs w:val="22"/>
          <w:shd w:val="clear" w:color="auto" w:fill="FFFFFF"/>
        </w:rPr>
        <w:t>2</w:t>
      </w:r>
      <w:r>
        <w:rPr>
          <w:rFonts w:hint="eastAsia" w:ascii="宋体" w:hAnsi="宋体" w:cs="宋体"/>
          <w:szCs w:val="22"/>
          <w:shd w:val="clear" w:color="auto" w:fill="FFFFFF"/>
        </w:rPr>
        <w:t>、落实政府采购政策满足的资格要求：</w:t>
      </w:r>
    </w:p>
    <w:p w14:paraId="2E15B47B">
      <w:pPr>
        <w:spacing w:line="360" w:lineRule="auto"/>
        <w:ind w:firstLine="424" w:firstLineChars="202"/>
        <w:rPr>
          <w:rFonts w:ascii="宋体" w:cs="宋体"/>
          <w:szCs w:val="22"/>
          <w:shd w:val="clear" w:color="auto" w:fill="FFFFFF"/>
        </w:rPr>
      </w:pPr>
      <w:r>
        <w:rPr>
          <w:rFonts w:hint="eastAsia" w:ascii="宋体" w:hAnsi="宋体" w:cs="宋体"/>
          <w:szCs w:val="22"/>
          <w:shd w:val="clear" w:color="auto" w:fill="FFFFFF"/>
        </w:rPr>
        <w:t>本项目执行促进中小企业发展、支持监狱企业发展、促进残疾人就业、节能产品、环保产品等政府采购政策。</w:t>
      </w:r>
    </w:p>
    <w:p w14:paraId="25290155">
      <w:pPr>
        <w:spacing w:line="360" w:lineRule="auto"/>
        <w:ind w:firstLine="424" w:firstLineChars="202"/>
        <w:rPr>
          <w:rFonts w:ascii="宋体" w:cs="宋体"/>
          <w:szCs w:val="22"/>
          <w:shd w:val="clear" w:color="auto" w:fill="FFFFFF"/>
        </w:rPr>
      </w:pPr>
      <w:r>
        <w:rPr>
          <w:rFonts w:ascii="宋体" w:hAnsi="宋体" w:cs="宋体"/>
          <w:szCs w:val="22"/>
          <w:shd w:val="clear" w:color="auto" w:fill="FFFFFF"/>
        </w:rPr>
        <w:t>3</w:t>
      </w:r>
      <w:r>
        <w:rPr>
          <w:rFonts w:hint="eastAsia" w:ascii="宋体" w:hAnsi="宋体" w:cs="宋体"/>
          <w:szCs w:val="22"/>
          <w:shd w:val="clear" w:color="auto" w:fill="FFFFFF"/>
        </w:rPr>
        <w:t>、本项目的特定资格要求：</w:t>
      </w:r>
    </w:p>
    <w:p w14:paraId="71AD2A15">
      <w:pPr>
        <w:spacing w:line="360" w:lineRule="auto"/>
        <w:ind w:firstLine="424" w:firstLineChars="202"/>
        <w:rPr>
          <w:rFonts w:ascii="宋体" w:cs="宋体"/>
          <w:szCs w:val="22"/>
          <w:shd w:val="clear" w:color="auto" w:fill="FFFFFF"/>
        </w:rPr>
      </w:pPr>
      <w:r>
        <w:rPr>
          <w:rFonts w:ascii="宋体" w:hAnsi="宋体" w:cs="宋体"/>
          <w:szCs w:val="22"/>
          <w:shd w:val="clear" w:color="auto" w:fill="FFFFFF"/>
        </w:rPr>
        <w:t>3.1</w:t>
      </w:r>
      <w:r>
        <w:rPr>
          <w:rFonts w:hint="eastAsia" w:ascii="宋体" w:hAnsi="宋体" w:cs="宋体"/>
          <w:szCs w:val="22"/>
          <w:shd w:val="clear" w:color="auto" w:fill="FFFFFF"/>
        </w:rPr>
        <w:t>供应商须具有独立法人资格、须提供有效的统一社会信用代码的营业执照；</w:t>
      </w:r>
    </w:p>
    <w:p w14:paraId="753FEAB4">
      <w:pPr>
        <w:spacing w:line="360" w:lineRule="auto"/>
        <w:ind w:firstLine="424" w:firstLineChars="202"/>
        <w:rPr>
          <w:rFonts w:ascii="宋体" w:cs="宋体"/>
          <w:szCs w:val="22"/>
          <w:shd w:val="clear" w:color="auto" w:fill="FFFFFF"/>
        </w:rPr>
      </w:pPr>
      <w:r>
        <w:rPr>
          <w:rFonts w:ascii="宋体" w:hAnsi="宋体" w:cs="宋体"/>
          <w:szCs w:val="22"/>
          <w:shd w:val="clear" w:color="auto" w:fill="FFFFFF"/>
        </w:rPr>
        <w:t>3.2</w:t>
      </w:r>
      <w:r>
        <w:rPr>
          <w:rFonts w:hint="eastAsia" w:ascii="宋体" w:hAnsi="宋体" w:cs="宋体"/>
          <w:szCs w:val="22"/>
          <w:shd w:val="clear" w:color="auto" w:fill="FFFFFF"/>
        </w:rPr>
        <w:t>供应商为经销商须具有有效期内的《食品经营许可证》，供应商为生产厂家时须同时具有《食品生产许可证》和《食品经营许可证》；</w:t>
      </w:r>
    </w:p>
    <w:p w14:paraId="21B42680">
      <w:pPr>
        <w:spacing w:line="360" w:lineRule="auto"/>
        <w:ind w:firstLine="424" w:firstLineChars="202"/>
        <w:rPr>
          <w:rFonts w:ascii="宋体" w:cs="宋体"/>
          <w:szCs w:val="22"/>
          <w:shd w:val="clear" w:color="auto" w:fill="FFFFFF"/>
        </w:rPr>
      </w:pPr>
      <w:r>
        <w:rPr>
          <w:rFonts w:ascii="宋体" w:hAnsi="宋体" w:cs="宋体"/>
          <w:szCs w:val="22"/>
          <w:shd w:val="clear" w:color="auto" w:fill="FFFFFF"/>
        </w:rPr>
        <w:t>3.3</w:t>
      </w:r>
      <w:r>
        <w:rPr>
          <w:rFonts w:hint="eastAsia" w:ascii="宋体" w:hAnsi="宋体" w:cs="宋体"/>
          <w:szCs w:val="22"/>
          <w:shd w:val="clear" w:color="auto" w:fill="FFFFFF"/>
        </w:rPr>
        <w:t>依据财库</w:t>
      </w:r>
      <w:r>
        <w:rPr>
          <w:rFonts w:ascii="宋体" w:hAnsi="宋体" w:cs="宋体"/>
          <w:szCs w:val="22"/>
          <w:shd w:val="clear" w:color="auto" w:fill="FFFFFF"/>
        </w:rPr>
        <w:t>[2016]125</w:t>
      </w:r>
      <w:r>
        <w:rPr>
          <w:rFonts w:hint="eastAsia" w:ascii="宋体" w:hAnsi="宋体" w:cs="宋体"/>
          <w:szCs w:val="22"/>
          <w:shd w:val="clear" w:color="auto" w:fill="FFFFFF"/>
        </w:rPr>
        <w:t>号文件规定，对列入失信被执行人、重大税收违法案件当事人名单、政府采购严重违法失信行为记录名单的供应商，拒绝其参与本项目招投标活动。供应商需提供规范的信用报告，信用报告应通过“信用中国”网站</w:t>
      </w:r>
      <w:r>
        <w:rPr>
          <w:rFonts w:ascii="宋体" w:hAnsi="宋体" w:cs="宋体"/>
          <w:szCs w:val="22"/>
          <w:shd w:val="clear" w:color="auto" w:fill="FFFFFF"/>
        </w:rPr>
        <w:t>(www.creditchina.gov.cn)</w:t>
      </w:r>
      <w:r>
        <w:rPr>
          <w:rFonts w:hint="eastAsia" w:ascii="宋体" w:hAnsi="宋体" w:cs="宋体"/>
          <w:szCs w:val="22"/>
          <w:shd w:val="clear" w:color="auto" w:fill="FFFFFF"/>
        </w:rPr>
        <w:t>下载，信用报告的生成日期不得早于公告发布日期，</w:t>
      </w:r>
      <w:r>
        <w:rPr>
          <w:rFonts w:hint="eastAsia"/>
        </w:rPr>
        <w:t>中国政府采购网</w:t>
      </w:r>
      <w:r>
        <w:t>(www.ccgp.gov.cn)</w:t>
      </w:r>
      <w:r>
        <w:rPr>
          <w:rFonts w:hint="eastAsia"/>
        </w:rPr>
        <w:t>查询政府采购严重违法失信行为记录名单（提供招标公告发布之后的网站查询结果截图）；</w:t>
      </w:r>
    </w:p>
    <w:p w14:paraId="34B185AA">
      <w:pPr>
        <w:spacing w:line="360" w:lineRule="auto"/>
        <w:ind w:firstLine="424" w:firstLineChars="202"/>
        <w:rPr>
          <w:rFonts w:ascii="宋体" w:cs="宋体"/>
          <w:szCs w:val="22"/>
          <w:shd w:val="clear" w:color="auto" w:fill="FFFFFF"/>
        </w:rPr>
      </w:pPr>
      <w:r>
        <w:rPr>
          <w:rFonts w:ascii="宋体" w:hAnsi="宋体" w:cs="宋体"/>
          <w:szCs w:val="22"/>
          <w:shd w:val="clear" w:color="auto" w:fill="FFFFFF"/>
        </w:rPr>
        <w:t>3.4</w:t>
      </w:r>
      <w:r>
        <w:rPr>
          <w:rFonts w:hint="eastAsia" w:ascii="宋体" w:hAnsi="宋体" w:cs="宋体"/>
          <w:szCs w:val="22"/>
          <w:shd w:val="clear" w:color="auto" w:fill="FFFFFF"/>
        </w:rPr>
        <w:t>供应商须提供无行贿犯罪记录承诺函（承诺对象包括：供应商、法定代表人、授权委托人），并对其真实性负责，若承诺不实，造成的后果由供应商自行负责。</w:t>
      </w:r>
    </w:p>
    <w:p w14:paraId="562F4349">
      <w:pPr>
        <w:spacing w:line="360" w:lineRule="auto"/>
        <w:ind w:firstLine="424" w:firstLineChars="202"/>
        <w:rPr>
          <w:rFonts w:ascii="宋体" w:cs="宋体"/>
          <w:bCs/>
          <w:szCs w:val="22"/>
          <w:shd w:val="clear" w:color="auto" w:fill="FFFFFF"/>
        </w:rPr>
      </w:pPr>
      <w:r>
        <w:rPr>
          <w:rFonts w:ascii="宋体" w:hAnsi="宋体" w:cs="宋体"/>
          <w:bCs/>
          <w:szCs w:val="22"/>
          <w:shd w:val="clear" w:color="auto" w:fill="FFFFFF"/>
        </w:rPr>
        <w:t>3.5</w:t>
      </w:r>
      <w:r>
        <w:rPr>
          <w:rFonts w:hint="eastAsia" w:ascii="宋体" w:hAnsi="宋体" w:cs="宋体"/>
          <w:bCs/>
          <w:szCs w:val="22"/>
          <w:shd w:val="clear" w:color="auto" w:fill="FFFFFF"/>
        </w:rPr>
        <w:t>本项目不接受联合体投标，不得分包转包；</w:t>
      </w:r>
    </w:p>
    <w:p w14:paraId="175CC727">
      <w:pPr>
        <w:spacing w:line="360" w:lineRule="auto"/>
        <w:ind w:firstLine="426" w:firstLineChars="202"/>
        <w:rPr>
          <w:rFonts w:ascii="宋体" w:cs="宋体"/>
          <w:b/>
          <w:bCs/>
          <w:szCs w:val="22"/>
          <w:shd w:val="clear" w:color="auto" w:fill="FFFFFF"/>
        </w:rPr>
      </w:pPr>
      <w:r>
        <w:rPr>
          <w:rFonts w:hint="eastAsia" w:ascii="宋体" w:hAnsi="宋体" w:cs="宋体"/>
          <w:b/>
          <w:bCs/>
          <w:szCs w:val="22"/>
          <w:shd w:val="clear" w:color="auto" w:fill="FFFFFF"/>
        </w:rPr>
        <w:t>注：本项目实行资格后审，审查内容以投标截止时间前填报上传</w:t>
      </w:r>
      <w:r>
        <w:rPr>
          <w:rFonts w:hint="eastAsia" w:ascii="宋体" w:hAnsi="宋体" w:cs="宋体"/>
          <w:b/>
          <w:bCs/>
          <w:szCs w:val="22"/>
          <w:shd w:val="clear" w:color="auto" w:fill="FFFFFF"/>
          <w:lang w:eastAsia="zh-CN"/>
        </w:rPr>
        <w:t>市场主体库</w:t>
      </w:r>
      <w:r>
        <w:rPr>
          <w:rFonts w:hint="eastAsia" w:ascii="宋体" w:hAnsi="宋体" w:cs="宋体"/>
          <w:b/>
          <w:bCs/>
          <w:szCs w:val="22"/>
          <w:shd w:val="clear" w:color="auto" w:fill="FFFFFF"/>
        </w:rPr>
        <w:t>信息为准，过期更改的</w:t>
      </w:r>
      <w:r>
        <w:rPr>
          <w:rFonts w:hint="eastAsia" w:ascii="宋体" w:hAnsi="宋体" w:cs="宋体"/>
          <w:b/>
          <w:bCs/>
          <w:szCs w:val="22"/>
          <w:shd w:val="clear" w:color="auto" w:fill="FFFFFF"/>
          <w:lang w:eastAsia="zh-CN"/>
        </w:rPr>
        <w:t>主体库</w:t>
      </w:r>
      <w:r>
        <w:rPr>
          <w:rFonts w:hint="eastAsia" w:ascii="宋体" w:hAnsi="宋体" w:cs="宋体"/>
          <w:b/>
          <w:bCs/>
          <w:szCs w:val="22"/>
          <w:shd w:val="clear" w:color="auto" w:fill="FFFFFF"/>
        </w:rPr>
        <w:t>信息不作为本项目评审依据。开评标现场不接受</w:t>
      </w:r>
      <w:r>
        <w:rPr>
          <w:rFonts w:hint="eastAsia" w:ascii="宋体" w:hAnsi="宋体" w:cs="宋体"/>
          <w:b/>
          <w:bCs/>
          <w:szCs w:val="22"/>
          <w:shd w:val="clear" w:color="auto" w:fill="FFFFFF"/>
          <w:lang w:eastAsia="zh-CN"/>
        </w:rPr>
        <w:t>主体库</w:t>
      </w:r>
      <w:r>
        <w:rPr>
          <w:rFonts w:hint="eastAsia" w:ascii="宋体" w:hAnsi="宋体" w:cs="宋体"/>
          <w:b/>
          <w:bCs/>
          <w:szCs w:val="22"/>
          <w:shd w:val="clear" w:color="auto" w:fill="FFFFFF"/>
        </w:rPr>
        <w:t>信息原件。</w:t>
      </w:r>
      <w:r>
        <w:rPr>
          <w:rFonts w:hint="eastAsia" w:ascii="宋体" w:hAnsi="宋体" w:cs="宋体"/>
          <w:b/>
          <w:bCs/>
          <w:szCs w:val="22"/>
          <w:shd w:val="clear" w:color="auto" w:fill="FFFFFF"/>
          <w:lang w:eastAsia="zh-CN"/>
        </w:rPr>
        <w:t>主体库</w:t>
      </w:r>
      <w:r>
        <w:rPr>
          <w:rFonts w:hint="eastAsia" w:ascii="宋体" w:hAnsi="宋体" w:cs="宋体"/>
          <w:b/>
          <w:bCs/>
          <w:szCs w:val="22"/>
          <w:shd w:val="clear" w:color="auto" w:fill="FFFFFF"/>
        </w:rPr>
        <w:t>上传信息必须内容齐全，真实有效，原件扫描件清晰可辨。否则，由此造成应得分而未得分或资格审查不合格等情况的，由投标人承担责任。</w:t>
      </w:r>
    </w:p>
    <w:p w14:paraId="07D093C5">
      <w:pPr>
        <w:spacing w:line="360" w:lineRule="auto"/>
        <w:ind w:firstLine="510" w:firstLineChars="242"/>
        <w:rPr>
          <w:rFonts w:ascii="宋体" w:cs="宋体"/>
          <w:b/>
          <w:color w:val="auto"/>
          <w:szCs w:val="21"/>
        </w:rPr>
      </w:pPr>
      <w:r>
        <w:rPr>
          <w:rFonts w:hint="eastAsia" w:ascii="宋体" w:hAnsi="宋体" w:cs="宋体"/>
          <w:b/>
          <w:color w:val="auto"/>
          <w:szCs w:val="21"/>
        </w:rPr>
        <w:t>三、获取招标文件：</w:t>
      </w:r>
    </w:p>
    <w:p w14:paraId="1F74230E">
      <w:pPr>
        <w:pStyle w:val="2"/>
        <w:spacing w:line="360" w:lineRule="auto"/>
        <w:ind w:firstLine="400" w:firstLineChars="200"/>
        <w:jc w:val="left"/>
        <w:rPr>
          <w:rFonts w:ascii="宋体"/>
          <w:szCs w:val="21"/>
          <w:highlight w:val="none"/>
        </w:rPr>
      </w:pPr>
      <w:r>
        <w:rPr>
          <w:rFonts w:ascii="宋体" w:hAnsi="宋体"/>
          <w:szCs w:val="21"/>
        </w:rPr>
        <w:t>1.</w:t>
      </w:r>
      <w:r>
        <w:rPr>
          <w:rFonts w:hint="eastAsia" w:ascii="宋体" w:hAnsi="宋体"/>
          <w:szCs w:val="21"/>
        </w:rPr>
        <w:t>时间</w:t>
      </w:r>
      <w:r>
        <w:rPr>
          <w:rFonts w:hint="eastAsia" w:ascii="宋体" w:hAnsi="宋体"/>
          <w:szCs w:val="21"/>
          <w:highlight w:val="none"/>
        </w:rPr>
        <w:t>：2024年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1</w:t>
      </w:r>
      <w:r>
        <w:rPr>
          <w:rFonts w:hint="eastAsia" w:ascii="宋体" w:hAnsi="宋体"/>
          <w:szCs w:val="21"/>
          <w:highlight w:val="none"/>
        </w:rPr>
        <w:t>日 至 2024年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9</w:t>
      </w:r>
      <w:r>
        <w:rPr>
          <w:rFonts w:hint="eastAsia" w:ascii="宋体" w:hAnsi="宋体"/>
          <w:szCs w:val="21"/>
          <w:highlight w:val="none"/>
        </w:rPr>
        <w:t>日，每天上午00:00至12:00，下午12:00至23:59（北京时间，法定节假日除外。）</w:t>
      </w:r>
    </w:p>
    <w:p w14:paraId="64ED6FC0">
      <w:pPr>
        <w:pStyle w:val="3"/>
        <w:spacing w:line="360" w:lineRule="auto"/>
        <w:ind w:firstLine="420" w:firstLineChars="200"/>
        <w:rPr>
          <w:rFonts w:hAnsi="宋体"/>
          <w:sz w:val="21"/>
          <w:szCs w:val="21"/>
          <w:highlight w:val="none"/>
        </w:rPr>
      </w:pPr>
      <w:r>
        <w:rPr>
          <w:rFonts w:hAnsi="宋体"/>
          <w:sz w:val="21"/>
          <w:szCs w:val="21"/>
          <w:highlight w:val="none"/>
        </w:rPr>
        <w:t>2.</w:t>
      </w:r>
      <w:r>
        <w:rPr>
          <w:rFonts w:hint="eastAsia" w:hAnsi="宋体"/>
          <w:sz w:val="21"/>
          <w:szCs w:val="21"/>
          <w:highlight w:val="none"/>
        </w:rPr>
        <w:t>地点：本项目使用不见面开标，投标人无需前往现场来参与投标。具体操作流程详见南阳市公共资源交易中心下载专区栏发布的南阳不见面开标-操作手册（投标人）http://ggzy.sheqi.gov.cn/xzzq/moreinfo.html。</w:t>
      </w:r>
    </w:p>
    <w:p w14:paraId="6AD62651">
      <w:pPr>
        <w:pStyle w:val="3"/>
        <w:spacing w:line="360" w:lineRule="auto"/>
        <w:ind w:firstLine="420" w:firstLineChars="200"/>
        <w:rPr>
          <w:rFonts w:hAnsi="宋体"/>
          <w:sz w:val="21"/>
          <w:szCs w:val="21"/>
          <w:highlight w:val="none"/>
        </w:rPr>
      </w:pPr>
      <w:r>
        <w:rPr>
          <w:rFonts w:hAnsi="宋体"/>
          <w:sz w:val="21"/>
          <w:szCs w:val="21"/>
          <w:highlight w:val="none"/>
        </w:rPr>
        <w:t>3.</w:t>
      </w:r>
      <w:r>
        <w:rPr>
          <w:rFonts w:hint="eastAsia" w:hAnsi="宋体"/>
          <w:sz w:val="21"/>
          <w:szCs w:val="21"/>
          <w:highlight w:val="none"/>
        </w:rPr>
        <w:t>方式：潜在供应商网上自行登录社旗县公共资源交易系统（从社旗县公共资源交易中心网站http://ggzy.sheqi.gov.cn/下方“交易平台登录”入口进入）下载采购文件，若因为自身原因错过文件下载时间，造成损失由潜在供应商自行承担。（操作过程中，请务必保持CA证书在电脑端的正常接入）</w:t>
      </w:r>
    </w:p>
    <w:p w14:paraId="67BE5091">
      <w:pPr>
        <w:pStyle w:val="3"/>
        <w:spacing w:line="360" w:lineRule="auto"/>
        <w:ind w:firstLine="420" w:firstLineChars="200"/>
        <w:rPr>
          <w:rFonts w:hAnsi="宋体"/>
          <w:sz w:val="21"/>
          <w:szCs w:val="21"/>
          <w:highlight w:val="none"/>
        </w:rPr>
      </w:pPr>
      <w:r>
        <w:rPr>
          <w:rFonts w:hAnsi="宋体"/>
          <w:sz w:val="21"/>
          <w:szCs w:val="21"/>
          <w:highlight w:val="none"/>
        </w:rPr>
        <w:t>4.</w:t>
      </w:r>
      <w:r>
        <w:rPr>
          <w:rFonts w:hint="eastAsia" w:hAnsi="宋体"/>
          <w:sz w:val="21"/>
          <w:szCs w:val="21"/>
          <w:highlight w:val="none"/>
        </w:rPr>
        <w:t>售价：</w:t>
      </w:r>
      <w:r>
        <w:rPr>
          <w:rFonts w:hAnsi="宋体"/>
          <w:sz w:val="21"/>
          <w:szCs w:val="21"/>
          <w:highlight w:val="none"/>
        </w:rPr>
        <w:t>0</w:t>
      </w:r>
      <w:r>
        <w:rPr>
          <w:rFonts w:hint="eastAsia" w:hAnsi="宋体"/>
          <w:sz w:val="21"/>
          <w:szCs w:val="21"/>
          <w:highlight w:val="none"/>
        </w:rPr>
        <w:t>元</w:t>
      </w:r>
    </w:p>
    <w:p w14:paraId="4EA5B725">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四、投标截止时间及地点</w:t>
      </w:r>
    </w:p>
    <w:p w14:paraId="1CF8C6EC">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、截止时间：</w:t>
      </w:r>
      <w:r>
        <w:rPr>
          <w:rFonts w:ascii="宋体" w:hAnsi="宋体" w:cs="宋体"/>
          <w:color w:val="auto"/>
          <w:szCs w:val="21"/>
          <w:highlight w:val="none"/>
        </w:rPr>
        <w:t>202</w:t>
      </w:r>
      <w:r>
        <w:rPr>
          <w:rFonts w:hint="eastAsia" w:ascii="宋体" w:hAnsi="宋体" w:cs="宋体"/>
          <w:color w:val="auto"/>
          <w:szCs w:val="21"/>
          <w:highlight w:val="none"/>
        </w:rPr>
        <w:t>4年8月</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日</w:t>
      </w:r>
      <w:r>
        <w:rPr>
          <w:rFonts w:ascii="宋体" w:hAnsi="宋体" w:cs="宋体"/>
          <w:color w:val="auto"/>
          <w:szCs w:val="21"/>
          <w:highlight w:val="none"/>
        </w:rPr>
        <w:t>10</w:t>
      </w:r>
      <w:r>
        <w:rPr>
          <w:rFonts w:hint="eastAsia" w:ascii="宋体" w:hAnsi="宋体" w:cs="宋体"/>
          <w:color w:val="auto"/>
          <w:szCs w:val="21"/>
          <w:highlight w:val="none"/>
        </w:rPr>
        <w:t>时</w:t>
      </w:r>
      <w:r>
        <w:rPr>
          <w:rFonts w:ascii="宋体" w:hAnsi="宋体" w:cs="宋体"/>
          <w:color w:val="auto"/>
          <w:szCs w:val="21"/>
          <w:highlight w:val="none"/>
        </w:rPr>
        <w:t xml:space="preserve">00 </w:t>
      </w:r>
      <w:r>
        <w:rPr>
          <w:rFonts w:hint="eastAsia" w:ascii="宋体" w:hAnsi="宋体" w:cs="宋体"/>
          <w:color w:val="auto"/>
          <w:szCs w:val="21"/>
          <w:highlight w:val="none"/>
        </w:rPr>
        <w:t>分（北京时间）</w:t>
      </w:r>
    </w:p>
    <w:p w14:paraId="55CB73E6">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、地点：</w:t>
      </w:r>
      <w:r>
        <w:rPr>
          <w:highlight w:val="none"/>
        </w:rPr>
        <w:t>http://ggzy.sheqi.gov.cn/</w:t>
      </w:r>
    </w:p>
    <w:p w14:paraId="6DA3A5DF">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五、开标时间及地点</w:t>
      </w:r>
    </w:p>
    <w:p w14:paraId="0EEE113A">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、时间：</w:t>
      </w:r>
      <w:r>
        <w:rPr>
          <w:rFonts w:ascii="宋体" w:hAnsi="宋体" w:cs="宋体"/>
          <w:color w:val="auto"/>
          <w:szCs w:val="21"/>
          <w:highlight w:val="none"/>
        </w:rPr>
        <w:t>202</w:t>
      </w:r>
      <w:r>
        <w:rPr>
          <w:rFonts w:hint="eastAsia" w:ascii="宋体" w:hAnsi="宋体" w:cs="宋体"/>
          <w:color w:val="auto"/>
          <w:szCs w:val="21"/>
          <w:highlight w:val="none"/>
        </w:rPr>
        <w:t>4年8月</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日</w:t>
      </w:r>
      <w:r>
        <w:rPr>
          <w:rFonts w:ascii="宋体" w:hAnsi="宋体" w:cs="宋体"/>
          <w:color w:val="auto"/>
          <w:szCs w:val="21"/>
          <w:highlight w:val="none"/>
        </w:rPr>
        <w:t>10</w:t>
      </w:r>
      <w:r>
        <w:rPr>
          <w:rFonts w:hint="eastAsia" w:ascii="宋体" w:hAnsi="宋体" w:cs="宋体"/>
          <w:color w:val="auto"/>
          <w:szCs w:val="21"/>
          <w:highlight w:val="none"/>
        </w:rPr>
        <w:t>点</w:t>
      </w:r>
      <w:r>
        <w:rPr>
          <w:rFonts w:ascii="宋体" w:cs="宋体"/>
          <w:color w:val="auto"/>
          <w:szCs w:val="21"/>
          <w:highlight w:val="none"/>
        </w:rPr>
        <w:t>00</w:t>
      </w:r>
      <w:r>
        <w:rPr>
          <w:rFonts w:hint="eastAsia" w:ascii="宋体" w:hAnsi="宋体" w:cs="宋体"/>
          <w:color w:val="auto"/>
          <w:szCs w:val="21"/>
          <w:highlight w:val="none"/>
        </w:rPr>
        <w:t>分（北京时间）</w:t>
      </w:r>
    </w:p>
    <w:p w14:paraId="0423FF1D">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、地点：</w:t>
      </w:r>
      <w:r>
        <w:rPr>
          <w:highlight w:val="none"/>
        </w:rPr>
        <w:t>http://ggzy.sheqi.gov.cn/</w:t>
      </w:r>
    </w:p>
    <w:p w14:paraId="764545C5">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六、发布公告的媒介及招标公告期限</w:t>
      </w:r>
    </w:p>
    <w:p w14:paraId="25B62E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本次招标公告在《河南省政府采购网》、《中国招标投标公共服务平台》、《社旗县公共资源交易中心》上发布， 招标公告期限为五个工作日 。</w:t>
      </w:r>
    </w:p>
    <w:p w14:paraId="51D2C7AC">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七、其他补充事宜</w:t>
      </w:r>
    </w:p>
    <w:p w14:paraId="728AC0C5">
      <w:pPr>
        <w:spacing w:line="360" w:lineRule="auto"/>
        <w:ind w:firstLine="420" w:firstLineChars="200"/>
        <w:rPr>
          <w:rFonts w:ascii="宋体" w:hAnsi="宋体" w:cs="宋体"/>
          <w:szCs w:val="21"/>
          <w:highlight w:val="none"/>
        </w:rPr>
      </w:pPr>
      <w:r>
        <w:rPr>
          <w:rFonts w:hint="eastAsia" w:ascii="宋体" w:hAnsi="宋体" w:cs="宋体"/>
          <w:szCs w:val="21"/>
          <w:highlight w:val="none"/>
        </w:rPr>
        <w:t>1、本项目为远程异地评标项目，采用“远程不见面”开标方式，不见面开标大厅地址https://ggzyjy.nanyang.gov.cn/BidOpening/bidhall/nanyang/login.html，投标人无需到社旗县公共资源交易中心现场参加开标会议。投标人应当在投标截止时间前，登录远程开标大厅，在线准时参加开标活动并进行文件解密、答疑澄清等。各投标人应在规定时间内对本单位的投标文件现场解密，因加密电子投标文件未能成功上传或误传而导致的解密失败，投标将被拒绝。</w:t>
      </w:r>
    </w:p>
    <w:p w14:paraId="146ECBBF">
      <w:pPr>
        <w:spacing w:line="360" w:lineRule="auto"/>
        <w:ind w:firstLine="420" w:firstLineChars="200"/>
        <w:rPr>
          <w:rFonts w:ascii="宋体" w:hAnsi="宋体" w:cs="宋体"/>
          <w:szCs w:val="21"/>
          <w:highlight w:val="none"/>
        </w:rPr>
      </w:pPr>
      <w:r>
        <w:rPr>
          <w:rFonts w:hint="eastAsia" w:ascii="宋体" w:hAnsi="宋体" w:cs="宋体"/>
          <w:szCs w:val="21"/>
          <w:highlight w:val="none"/>
        </w:rPr>
        <w:t>2.因投标人无需现场参与开标，所有准备工作需要自行到位。开标过程中如遇到紧急事项，可在不见面开标大厅中进行提出异议或文字交流，严重问题可拨打技术支持电话400-998-0000 。</w:t>
      </w:r>
    </w:p>
    <w:p w14:paraId="68525378">
      <w:pPr>
        <w:spacing w:line="360" w:lineRule="auto"/>
        <w:ind w:firstLine="420" w:firstLineChars="200"/>
        <w:rPr>
          <w:rFonts w:ascii="宋体" w:hAnsi="宋体" w:cs="宋体"/>
          <w:szCs w:val="21"/>
          <w:highlight w:val="none"/>
        </w:rPr>
      </w:pPr>
      <w:r>
        <w:rPr>
          <w:rFonts w:hint="eastAsia" w:ascii="宋体" w:hAnsi="宋体" w:cs="宋体"/>
          <w:szCs w:val="21"/>
          <w:highlight w:val="none"/>
        </w:rPr>
        <w:t>3.不见面开标过程中，如投标人准备不到位，造成无法及时解密、网络问题等情况造成开标无法继续的，视为该投标人自动放弃投标（30分钟内），将被退回投标文件。</w:t>
      </w:r>
    </w:p>
    <w:p w14:paraId="13F1F3B2">
      <w:pPr>
        <w:spacing w:line="360" w:lineRule="auto"/>
        <w:ind w:firstLine="420" w:firstLineChars="200"/>
        <w:rPr>
          <w:rFonts w:ascii="宋体" w:hAnsi="宋体" w:cs="宋体"/>
          <w:szCs w:val="21"/>
          <w:highlight w:val="none"/>
        </w:rPr>
      </w:pPr>
      <w:r>
        <w:rPr>
          <w:rFonts w:hint="eastAsia" w:ascii="宋体" w:hAnsi="宋体" w:cs="宋体"/>
          <w:szCs w:val="21"/>
          <w:highlight w:val="none"/>
        </w:rPr>
        <w:t>4、请各潜在投标人及时关注网站更新信息，若因其他原因未能及时看到网上更新信息而造成的损失，招标人及招标代理机构将不负任何责任。</w:t>
      </w:r>
    </w:p>
    <w:p w14:paraId="73A70128">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5、监督部门：社旗县财政局 联 系 人：</w:t>
      </w:r>
      <w:r>
        <w:rPr>
          <w:rFonts w:hint="eastAsia" w:ascii="宋体" w:hAnsi="宋体" w:cs="宋体"/>
          <w:szCs w:val="21"/>
          <w:highlight w:val="none"/>
          <w:lang w:val="en-US" w:eastAsia="zh-CN"/>
        </w:rPr>
        <w:t>赵云</w:t>
      </w:r>
      <w:r>
        <w:rPr>
          <w:rFonts w:hint="eastAsia" w:ascii="宋体" w:hAnsi="宋体" w:cs="宋体"/>
          <w:szCs w:val="21"/>
          <w:highlight w:val="none"/>
        </w:rPr>
        <w:t xml:space="preserve"> 联系方式：</w:t>
      </w:r>
      <w:r>
        <w:rPr>
          <w:rFonts w:hint="eastAsia" w:ascii="宋体" w:hAnsi="宋体" w:cs="宋体"/>
          <w:szCs w:val="21"/>
          <w:highlight w:val="none"/>
          <w:lang w:val="en-US" w:eastAsia="zh-CN"/>
        </w:rPr>
        <w:t>0377-83978058</w:t>
      </w:r>
    </w:p>
    <w:p w14:paraId="26C68A47">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八、凡对本次招标提出询问，请按以下方式联系</w:t>
      </w:r>
    </w:p>
    <w:p w14:paraId="36EE7B52">
      <w:pPr>
        <w:spacing w:line="360" w:lineRule="auto"/>
        <w:ind w:firstLine="420" w:firstLineChars="200"/>
        <w:rPr>
          <w:rFonts w:ascii="宋体" w:cs="宋体"/>
          <w:szCs w:val="21"/>
          <w:highlight w:val="none"/>
        </w:rPr>
      </w:pPr>
      <w:r>
        <w:rPr>
          <w:rFonts w:ascii="宋体" w:hAnsi="宋体" w:cs="宋体"/>
          <w:szCs w:val="21"/>
          <w:highlight w:val="none"/>
        </w:rPr>
        <w:t>1</w:t>
      </w:r>
      <w:r>
        <w:rPr>
          <w:rFonts w:hint="eastAsia" w:ascii="宋体" w:hAnsi="宋体" w:cs="宋体"/>
          <w:szCs w:val="21"/>
          <w:highlight w:val="none"/>
        </w:rPr>
        <w:t>、采购人信息</w:t>
      </w:r>
    </w:p>
    <w:p w14:paraId="4F075C6E">
      <w:pPr>
        <w:spacing w:line="360" w:lineRule="auto"/>
        <w:ind w:firstLine="420" w:firstLineChars="200"/>
        <w:rPr>
          <w:rFonts w:ascii="宋体" w:cs="宋体"/>
          <w:szCs w:val="21"/>
          <w:highlight w:val="none"/>
        </w:rPr>
      </w:pPr>
      <w:r>
        <w:rPr>
          <w:rFonts w:hint="eastAsia" w:ascii="宋体" w:hAnsi="宋体" w:cs="宋体"/>
          <w:szCs w:val="21"/>
          <w:highlight w:val="none"/>
        </w:rPr>
        <w:t>采购人：社旗县教育体育局</w:t>
      </w:r>
    </w:p>
    <w:p w14:paraId="4F64F1B0">
      <w:pPr>
        <w:spacing w:line="360" w:lineRule="auto"/>
        <w:ind w:firstLine="420" w:firstLineChars="200"/>
        <w:rPr>
          <w:rFonts w:ascii="宋体" w:cs="宋体"/>
          <w:szCs w:val="21"/>
          <w:highlight w:val="none"/>
          <w:shd w:val="clear" w:color="auto" w:fill="FFFFFF"/>
        </w:rPr>
      </w:pPr>
      <w:r>
        <w:rPr>
          <w:rFonts w:hint="eastAsia" w:ascii="宋体" w:hAnsi="宋体" w:cs="宋体"/>
          <w:szCs w:val="21"/>
          <w:highlight w:val="none"/>
          <w:shd w:val="clear" w:color="auto" w:fill="FFFFFF"/>
        </w:rPr>
        <w:t>地址：社旗县红旗路中段</w:t>
      </w:r>
    </w:p>
    <w:p w14:paraId="5980AF78">
      <w:pPr>
        <w:spacing w:line="360" w:lineRule="auto"/>
        <w:ind w:firstLine="420" w:firstLineChars="200"/>
        <w:rPr>
          <w:rFonts w:ascii="宋体" w:cs="宋体"/>
          <w:color w:val="auto"/>
          <w:szCs w:val="21"/>
          <w:highlight w:val="none"/>
          <w:shd w:val="clear" w:color="auto" w:fill="FFFFFF"/>
        </w:rPr>
      </w:pPr>
      <w:r>
        <w:rPr>
          <w:rFonts w:hint="eastAsia" w:ascii="宋体" w:hAnsi="宋体" w:cs="宋体"/>
          <w:color w:val="auto"/>
          <w:szCs w:val="21"/>
          <w:highlight w:val="none"/>
          <w:shd w:val="clear" w:color="auto" w:fill="FFFFFF"/>
        </w:rPr>
        <w:t>联系人：宋玉省</w:t>
      </w:r>
    </w:p>
    <w:p w14:paraId="439CE537">
      <w:pPr>
        <w:spacing w:line="360" w:lineRule="auto"/>
        <w:ind w:firstLine="420" w:firstLineChars="200"/>
        <w:rPr>
          <w:rFonts w:ascii="宋体" w:cs="宋体"/>
          <w:highlight w:val="none"/>
        </w:rPr>
      </w:pPr>
      <w:r>
        <w:rPr>
          <w:rFonts w:hint="eastAsia" w:ascii="宋体" w:hAnsi="宋体" w:cs="宋体"/>
          <w:szCs w:val="21"/>
          <w:highlight w:val="none"/>
          <w:shd w:val="clear" w:color="auto" w:fill="FFFFFF"/>
        </w:rPr>
        <w:t>联系电话：</w:t>
      </w:r>
      <w:r>
        <w:rPr>
          <w:rFonts w:ascii="宋体" w:hAnsi="宋体" w:cs="宋体"/>
          <w:szCs w:val="21"/>
          <w:highlight w:val="none"/>
          <w:shd w:val="clear" w:color="auto" w:fill="FFFFFF"/>
        </w:rPr>
        <w:t>0377-67926129</w:t>
      </w:r>
      <w:r>
        <w:rPr>
          <w:rFonts w:hint="eastAsia" w:ascii="宋体" w:hAnsi="宋体" w:cs="宋体"/>
          <w:szCs w:val="21"/>
          <w:highlight w:val="none"/>
          <w:shd w:val="clear" w:color="auto" w:fill="FFFFFF"/>
        </w:rPr>
        <w:t>（</w:t>
      </w:r>
      <w:r>
        <w:rPr>
          <w:rFonts w:ascii="宋体" w:hAnsi="宋体" w:cs="宋体"/>
          <w:szCs w:val="21"/>
          <w:highlight w:val="none"/>
          <w:shd w:val="clear" w:color="auto" w:fill="FFFFFF"/>
        </w:rPr>
        <w:t>15893328399</w:t>
      </w:r>
      <w:r>
        <w:rPr>
          <w:rFonts w:hint="eastAsia" w:ascii="宋体" w:hAnsi="宋体" w:cs="宋体"/>
          <w:szCs w:val="21"/>
          <w:highlight w:val="none"/>
          <w:shd w:val="clear" w:color="auto" w:fill="FFFFFF"/>
        </w:rPr>
        <w:t>）</w:t>
      </w:r>
    </w:p>
    <w:p w14:paraId="0832B146">
      <w:pPr>
        <w:spacing w:line="360" w:lineRule="auto"/>
        <w:ind w:firstLine="420" w:firstLineChars="200"/>
        <w:rPr>
          <w:rFonts w:ascii="宋体" w:cs="宋体"/>
          <w:szCs w:val="21"/>
          <w:highlight w:val="none"/>
        </w:rPr>
      </w:pPr>
      <w:r>
        <w:rPr>
          <w:rFonts w:ascii="宋体" w:hAnsi="宋体" w:cs="宋体"/>
          <w:szCs w:val="21"/>
          <w:highlight w:val="none"/>
        </w:rPr>
        <w:t>2.</w:t>
      </w:r>
      <w:r>
        <w:rPr>
          <w:rFonts w:hint="eastAsia" w:ascii="宋体" w:hAnsi="宋体" w:cs="宋体"/>
          <w:szCs w:val="21"/>
          <w:highlight w:val="none"/>
        </w:rPr>
        <w:t>采购代理机构信息</w:t>
      </w:r>
    </w:p>
    <w:p w14:paraId="492951E9">
      <w:pPr>
        <w:pStyle w:val="24"/>
        <w:shd w:val="clear" w:color="auto" w:fill="FFFFFF"/>
        <w:spacing w:beforeAutospacing="0" w:afterAutospacing="0" w:line="360" w:lineRule="auto"/>
        <w:ind w:firstLine="420"/>
        <w:jc w:val="both"/>
        <w:rPr>
          <w:rFonts w:cs="宋体"/>
          <w:sz w:val="21"/>
          <w:szCs w:val="21"/>
          <w:highlight w:val="none"/>
        </w:rPr>
      </w:pPr>
      <w:r>
        <w:rPr>
          <w:rFonts w:hint="eastAsia" w:cs="宋体"/>
          <w:sz w:val="21"/>
          <w:szCs w:val="21"/>
          <w:highlight w:val="none"/>
          <w:shd w:val="clear" w:color="auto" w:fill="FFFFFF"/>
        </w:rPr>
        <w:t>名称：河南尧天工程管理有限公司</w:t>
      </w:r>
    </w:p>
    <w:p w14:paraId="553325D9">
      <w:pPr>
        <w:pStyle w:val="24"/>
        <w:shd w:val="clear" w:color="auto" w:fill="FFFFFF"/>
        <w:spacing w:beforeAutospacing="0" w:afterAutospacing="0" w:line="360" w:lineRule="auto"/>
        <w:ind w:firstLine="420"/>
        <w:jc w:val="both"/>
        <w:rPr>
          <w:rFonts w:cs="宋体"/>
          <w:sz w:val="21"/>
          <w:szCs w:val="21"/>
          <w:highlight w:val="none"/>
        </w:rPr>
      </w:pPr>
      <w:r>
        <w:rPr>
          <w:rFonts w:hint="eastAsia" w:cs="宋体"/>
          <w:sz w:val="21"/>
          <w:szCs w:val="21"/>
          <w:highlight w:val="none"/>
          <w:shd w:val="clear" w:color="auto" w:fill="FFFFFF"/>
        </w:rPr>
        <w:t>地址：南阳市独山大道中段</w:t>
      </w:r>
    </w:p>
    <w:p w14:paraId="6B0AB4FD">
      <w:pPr>
        <w:pStyle w:val="24"/>
        <w:shd w:val="clear" w:color="auto" w:fill="FFFFFF"/>
        <w:spacing w:beforeAutospacing="0" w:afterAutospacing="0" w:line="360" w:lineRule="auto"/>
        <w:ind w:firstLine="420"/>
        <w:jc w:val="both"/>
        <w:rPr>
          <w:rFonts w:cs="宋体"/>
          <w:sz w:val="21"/>
          <w:szCs w:val="21"/>
          <w:highlight w:val="none"/>
        </w:rPr>
      </w:pPr>
      <w:r>
        <w:rPr>
          <w:rFonts w:hint="eastAsia" w:cs="宋体"/>
          <w:sz w:val="21"/>
          <w:szCs w:val="21"/>
          <w:highlight w:val="none"/>
          <w:shd w:val="clear" w:color="auto" w:fill="FFFFFF"/>
        </w:rPr>
        <w:t>联系人：翟丰艳</w:t>
      </w:r>
    </w:p>
    <w:p w14:paraId="082E339D">
      <w:pPr>
        <w:pStyle w:val="24"/>
        <w:shd w:val="clear" w:color="auto" w:fill="FFFFFF"/>
        <w:spacing w:beforeAutospacing="0" w:afterAutospacing="0" w:line="360" w:lineRule="auto"/>
        <w:ind w:firstLine="420"/>
        <w:jc w:val="both"/>
        <w:rPr>
          <w:rFonts w:cs="宋体"/>
          <w:sz w:val="21"/>
          <w:szCs w:val="21"/>
          <w:highlight w:val="none"/>
        </w:rPr>
      </w:pPr>
      <w:r>
        <w:rPr>
          <w:rFonts w:hint="eastAsia" w:cs="宋体"/>
          <w:sz w:val="21"/>
          <w:szCs w:val="21"/>
          <w:highlight w:val="none"/>
          <w:shd w:val="clear" w:color="auto" w:fill="FFFFFF"/>
        </w:rPr>
        <w:t>联系方式：16638760606</w:t>
      </w:r>
      <w:r>
        <w:rPr>
          <w:rFonts w:cs="宋体"/>
          <w:sz w:val="21"/>
          <w:szCs w:val="21"/>
          <w:highlight w:val="none"/>
          <w:shd w:val="clear" w:color="auto" w:fill="FFFFFF"/>
        </w:rPr>
        <w:t>   </w:t>
      </w:r>
    </w:p>
    <w:p w14:paraId="17DAC6F8">
      <w:pPr>
        <w:spacing w:line="360" w:lineRule="auto"/>
        <w:ind w:firstLine="420" w:firstLineChars="200"/>
        <w:jc w:val="right"/>
        <w:rPr>
          <w:rFonts w:ascii="宋体" w:cs="宋体"/>
          <w:szCs w:val="21"/>
          <w:highlight w:val="none"/>
          <w:shd w:val="clear" w:color="auto" w:fill="FFFFFF"/>
        </w:rPr>
      </w:pPr>
    </w:p>
    <w:p w14:paraId="61D741DE">
      <w:pPr>
        <w:spacing w:line="360" w:lineRule="auto"/>
        <w:ind w:firstLine="420" w:firstLineChars="200"/>
        <w:jc w:val="right"/>
        <w:rPr>
          <w:rFonts w:ascii="宋体" w:cs="宋体"/>
          <w:szCs w:val="21"/>
          <w:highlight w:val="none"/>
          <w:shd w:val="clear" w:color="auto" w:fill="FFFFFF"/>
        </w:rPr>
      </w:pPr>
      <w:r>
        <w:rPr>
          <w:rFonts w:hint="eastAsia" w:ascii="宋体" w:hAnsi="宋体" w:cs="宋体"/>
          <w:szCs w:val="21"/>
          <w:highlight w:val="none"/>
          <w:shd w:val="clear" w:color="auto" w:fill="FFFFFF"/>
        </w:rPr>
        <w:t>时间：</w:t>
      </w:r>
      <w:r>
        <w:rPr>
          <w:rFonts w:ascii="宋体" w:hAnsi="宋体" w:cs="宋体"/>
          <w:szCs w:val="21"/>
          <w:highlight w:val="none"/>
          <w:shd w:val="clear" w:color="auto" w:fill="FFFFFF"/>
        </w:rPr>
        <w:t>202</w:t>
      </w:r>
      <w:r>
        <w:rPr>
          <w:rFonts w:hint="eastAsia" w:ascii="宋体" w:hAnsi="宋体" w:cs="宋体"/>
          <w:szCs w:val="21"/>
          <w:highlight w:val="none"/>
          <w:shd w:val="clear" w:color="auto" w:fill="FFFFFF"/>
        </w:rPr>
        <w:t>4年7月</w:t>
      </w:r>
      <w:r>
        <w:rPr>
          <w:rFonts w:hint="eastAsia" w:ascii="宋体" w:hAnsi="宋体" w:cs="宋体"/>
          <w:szCs w:val="21"/>
          <w:highlight w:val="none"/>
          <w:shd w:val="clear" w:color="auto" w:fill="FFFFFF"/>
          <w:lang w:val="en-US" w:eastAsia="zh-CN"/>
        </w:rPr>
        <w:t>31</w:t>
      </w:r>
      <w:r>
        <w:rPr>
          <w:rFonts w:hint="eastAsia" w:ascii="宋体" w:hAnsi="宋体" w:cs="宋体"/>
          <w:szCs w:val="21"/>
          <w:highlight w:val="none"/>
          <w:shd w:val="clear" w:color="auto" w:fill="FFFFFF"/>
        </w:rPr>
        <w:t>日</w:t>
      </w:r>
    </w:p>
    <w:bookmarkEnd w:id="0"/>
    <w:p w14:paraId="17576BFD">
      <w:pPr>
        <w:rPr>
          <w:rFonts w:ascii="宋体" w:cs="宋体"/>
          <w:highlight w:val="none"/>
        </w:rPr>
      </w:pPr>
    </w:p>
    <w:p w14:paraId="6F18FF92">
      <w:pPr>
        <w:pStyle w:val="2"/>
        <w:rPr>
          <w:rFonts w:ascii="宋体" w:cs="宋体"/>
        </w:rPr>
      </w:pPr>
      <w:r>
        <w:rPr>
          <w:rFonts w:ascii="宋体" w:cs="宋体"/>
          <w:highlight w:val="none"/>
        </w:rPr>
        <w:br w:type="page"/>
      </w:r>
    </w:p>
    <w:p w14:paraId="4368B369">
      <w:pPr>
        <w:pStyle w:val="25"/>
        <w:rPr>
          <w:rFonts w:ascii="宋体" w:cs="宋体"/>
          <w:sz w:val="30"/>
          <w:szCs w:val="30"/>
        </w:rPr>
      </w:pPr>
      <w:r>
        <w:rPr>
          <w:rFonts w:hint="eastAsia" w:ascii="宋体" w:hAnsi="宋体" w:cs="宋体"/>
          <w:sz w:val="30"/>
          <w:szCs w:val="30"/>
        </w:rPr>
        <w:t>第二章供应商须知前附表</w:t>
      </w:r>
    </w:p>
    <w:tbl>
      <w:tblPr>
        <w:tblStyle w:val="28"/>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50"/>
        <w:gridCol w:w="6710"/>
      </w:tblGrid>
      <w:tr w14:paraId="5B05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4" w:type="dxa"/>
            <w:vAlign w:val="center"/>
          </w:tcPr>
          <w:p w14:paraId="27665842">
            <w:pPr>
              <w:spacing w:line="360" w:lineRule="auto"/>
              <w:jc w:val="center"/>
              <w:rPr>
                <w:rFonts w:ascii="宋体" w:cs="宋体"/>
                <w:b/>
                <w:color w:val="auto"/>
                <w:szCs w:val="21"/>
              </w:rPr>
            </w:pPr>
            <w:r>
              <w:rPr>
                <w:rFonts w:hint="eastAsia" w:ascii="宋体" w:hAnsi="宋体" w:cs="宋体"/>
                <w:b/>
                <w:color w:val="auto"/>
                <w:szCs w:val="21"/>
              </w:rPr>
              <w:t>序号</w:t>
            </w:r>
          </w:p>
        </w:tc>
        <w:tc>
          <w:tcPr>
            <w:tcW w:w="1650" w:type="dxa"/>
            <w:vAlign w:val="center"/>
          </w:tcPr>
          <w:p w14:paraId="50202FBA">
            <w:pPr>
              <w:spacing w:line="360" w:lineRule="auto"/>
              <w:jc w:val="center"/>
              <w:rPr>
                <w:rFonts w:ascii="宋体" w:cs="宋体"/>
                <w:b/>
                <w:color w:val="auto"/>
                <w:szCs w:val="21"/>
              </w:rPr>
            </w:pPr>
            <w:r>
              <w:rPr>
                <w:rFonts w:hint="eastAsia" w:ascii="宋体" w:hAnsi="宋体" w:cs="宋体"/>
                <w:b/>
                <w:color w:val="auto"/>
                <w:szCs w:val="21"/>
              </w:rPr>
              <w:t>项目内容</w:t>
            </w:r>
          </w:p>
        </w:tc>
        <w:tc>
          <w:tcPr>
            <w:tcW w:w="6710" w:type="dxa"/>
            <w:vAlign w:val="center"/>
          </w:tcPr>
          <w:p w14:paraId="50740531">
            <w:pPr>
              <w:spacing w:line="360" w:lineRule="auto"/>
              <w:jc w:val="center"/>
              <w:rPr>
                <w:rFonts w:ascii="宋体" w:cs="宋体"/>
                <w:b/>
                <w:color w:val="auto"/>
                <w:szCs w:val="21"/>
              </w:rPr>
            </w:pPr>
            <w:r>
              <w:rPr>
                <w:rFonts w:hint="eastAsia" w:ascii="宋体" w:hAnsi="宋体" w:cs="宋体"/>
                <w:b/>
                <w:color w:val="auto"/>
                <w:szCs w:val="21"/>
              </w:rPr>
              <w:t>编列内容</w:t>
            </w:r>
          </w:p>
        </w:tc>
      </w:tr>
      <w:tr w14:paraId="58B4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24" w:type="dxa"/>
            <w:vAlign w:val="center"/>
          </w:tcPr>
          <w:p w14:paraId="070A3936">
            <w:pPr>
              <w:numPr>
                <w:ilvl w:val="0"/>
                <w:numId w:val="1"/>
              </w:numPr>
              <w:spacing w:line="360" w:lineRule="auto"/>
              <w:jc w:val="center"/>
              <w:rPr>
                <w:rFonts w:ascii="宋体" w:cs="宋体"/>
                <w:color w:val="auto"/>
                <w:szCs w:val="21"/>
              </w:rPr>
            </w:pPr>
          </w:p>
        </w:tc>
        <w:tc>
          <w:tcPr>
            <w:tcW w:w="1650" w:type="dxa"/>
            <w:vAlign w:val="center"/>
          </w:tcPr>
          <w:p w14:paraId="318054F2">
            <w:pPr>
              <w:spacing w:line="360" w:lineRule="auto"/>
              <w:jc w:val="center"/>
              <w:rPr>
                <w:rFonts w:ascii="宋体" w:cs="宋体"/>
                <w:color w:val="auto"/>
                <w:szCs w:val="21"/>
              </w:rPr>
            </w:pPr>
            <w:r>
              <w:rPr>
                <w:rFonts w:hint="eastAsia" w:ascii="宋体" w:hAnsi="宋体" w:cs="宋体"/>
                <w:color w:val="auto"/>
                <w:szCs w:val="21"/>
              </w:rPr>
              <w:t>采购人</w:t>
            </w:r>
          </w:p>
        </w:tc>
        <w:tc>
          <w:tcPr>
            <w:tcW w:w="6710" w:type="dxa"/>
            <w:vAlign w:val="center"/>
          </w:tcPr>
          <w:p w14:paraId="7404BDEB">
            <w:pPr>
              <w:spacing w:line="360" w:lineRule="auto"/>
              <w:jc w:val="left"/>
              <w:rPr>
                <w:rFonts w:ascii="宋体" w:cs="宋体"/>
                <w:color w:val="auto"/>
                <w:szCs w:val="21"/>
              </w:rPr>
            </w:pPr>
            <w:r>
              <w:rPr>
                <w:rFonts w:hint="eastAsia" w:ascii="宋体" w:hAnsi="宋体" w:cs="宋体"/>
                <w:color w:val="auto"/>
                <w:szCs w:val="21"/>
              </w:rPr>
              <w:t>采购人：社旗县教育体育局</w:t>
            </w:r>
          </w:p>
          <w:p w14:paraId="31C0222B">
            <w:pPr>
              <w:spacing w:line="360" w:lineRule="auto"/>
              <w:jc w:val="left"/>
              <w:rPr>
                <w:rFonts w:ascii="宋体" w:cs="宋体"/>
                <w:color w:val="auto"/>
                <w:szCs w:val="21"/>
              </w:rPr>
            </w:pPr>
            <w:r>
              <w:rPr>
                <w:rFonts w:hint="eastAsia" w:ascii="宋体" w:hAnsi="宋体" w:cs="宋体"/>
                <w:color w:val="auto"/>
                <w:szCs w:val="21"/>
              </w:rPr>
              <w:t>地址：社旗县红旗路中段</w:t>
            </w:r>
          </w:p>
          <w:p w14:paraId="168ADA9E">
            <w:pPr>
              <w:spacing w:line="360" w:lineRule="auto"/>
              <w:jc w:val="left"/>
              <w:rPr>
                <w:rFonts w:ascii="宋体" w:cs="宋体"/>
                <w:color w:val="auto"/>
                <w:szCs w:val="21"/>
              </w:rPr>
            </w:pPr>
            <w:r>
              <w:rPr>
                <w:rFonts w:hint="eastAsia" w:ascii="宋体" w:hAnsi="宋体" w:cs="宋体"/>
                <w:color w:val="auto"/>
                <w:szCs w:val="21"/>
              </w:rPr>
              <w:t>联系人：宋玉省</w:t>
            </w:r>
          </w:p>
          <w:p w14:paraId="39E5ADA1">
            <w:pPr>
              <w:spacing w:line="360" w:lineRule="auto"/>
              <w:jc w:val="left"/>
              <w:rPr>
                <w:rFonts w:ascii="宋体" w:cs="宋体"/>
                <w:color w:val="FF0000"/>
                <w:szCs w:val="21"/>
              </w:rPr>
            </w:pPr>
            <w:r>
              <w:rPr>
                <w:rFonts w:hint="eastAsia" w:ascii="宋体" w:hAnsi="宋体" w:cs="宋体"/>
                <w:szCs w:val="21"/>
              </w:rPr>
              <w:t>联系电话：</w:t>
            </w:r>
            <w:r>
              <w:rPr>
                <w:rFonts w:ascii="宋体" w:hAnsi="宋体" w:cs="宋体"/>
                <w:szCs w:val="21"/>
              </w:rPr>
              <w:t>0377-67926129</w:t>
            </w:r>
            <w:r>
              <w:rPr>
                <w:rFonts w:hint="eastAsia" w:ascii="宋体" w:hAnsi="宋体" w:cs="宋体"/>
                <w:szCs w:val="21"/>
              </w:rPr>
              <w:t>（</w:t>
            </w:r>
            <w:r>
              <w:rPr>
                <w:rFonts w:ascii="宋体" w:hAnsi="宋体" w:cs="宋体"/>
                <w:szCs w:val="21"/>
              </w:rPr>
              <w:t>15893328399</w:t>
            </w:r>
            <w:r>
              <w:rPr>
                <w:rFonts w:hint="eastAsia" w:ascii="宋体" w:hAnsi="宋体" w:cs="宋体"/>
                <w:szCs w:val="21"/>
              </w:rPr>
              <w:t>）</w:t>
            </w:r>
          </w:p>
        </w:tc>
      </w:tr>
      <w:tr w14:paraId="046F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724" w:type="dxa"/>
            <w:vAlign w:val="center"/>
          </w:tcPr>
          <w:p w14:paraId="07C17C91">
            <w:pPr>
              <w:numPr>
                <w:ilvl w:val="0"/>
                <w:numId w:val="1"/>
              </w:numPr>
              <w:spacing w:line="360" w:lineRule="auto"/>
              <w:jc w:val="center"/>
              <w:rPr>
                <w:rFonts w:ascii="宋体" w:cs="宋体"/>
                <w:color w:val="auto"/>
                <w:szCs w:val="21"/>
              </w:rPr>
            </w:pPr>
          </w:p>
        </w:tc>
        <w:tc>
          <w:tcPr>
            <w:tcW w:w="1650" w:type="dxa"/>
            <w:vAlign w:val="center"/>
          </w:tcPr>
          <w:p w14:paraId="3A423E24">
            <w:pPr>
              <w:spacing w:line="360" w:lineRule="auto"/>
              <w:jc w:val="left"/>
              <w:rPr>
                <w:rFonts w:ascii="宋体" w:cs="宋体"/>
                <w:color w:val="auto"/>
                <w:szCs w:val="21"/>
              </w:rPr>
            </w:pPr>
            <w:r>
              <w:rPr>
                <w:rFonts w:hint="eastAsia" w:ascii="宋体" w:hAnsi="宋体" w:cs="宋体"/>
                <w:color w:val="auto"/>
                <w:szCs w:val="21"/>
              </w:rPr>
              <w:t>采购代理机构</w:t>
            </w:r>
          </w:p>
        </w:tc>
        <w:tc>
          <w:tcPr>
            <w:tcW w:w="6710" w:type="dxa"/>
            <w:vAlign w:val="center"/>
          </w:tcPr>
          <w:p w14:paraId="5F27B36C">
            <w:pPr>
              <w:spacing w:line="360" w:lineRule="auto"/>
              <w:jc w:val="left"/>
              <w:rPr>
                <w:rFonts w:ascii="宋体" w:hAnsi="宋体" w:cs="宋体"/>
                <w:color w:val="auto"/>
                <w:szCs w:val="21"/>
              </w:rPr>
            </w:pPr>
            <w:r>
              <w:rPr>
                <w:rFonts w:hint="eastAsia" w:ascii="宋体" w:hAnsi="宋体" w:cs="宋体"/>
                <w:color w:val="auto"/>
                <w:szCs w:val="21"/>
              </w:rPr>
              <w:t>名称：河南尧天工程管理有限公司</w:t>
            </w:r>
          </w:p>
          <w:p w14:paraId="70AF8837">
            <w:pPr>
              <w:spacing w:line="360" w:lineRule="auto"/>
              <w:jc w:val="left"/>
              <w:rPr>
                <w:rFonts w:ascii="宋体" w:hAnsi="宋体" w:cs="宋体"/>
                <w:color w:val="auto"/>
                <w:szCs w:val="21"/>
              </w:rPr>
            </w:pPr>
            <w:r>
              <w:rPr>
                <w:rFonts w:hint="eastAsia" w:ascii="宋体" w:hAnsi="宋体" w:cs="宋体"/>
                <w:color w:val="auto"/>
                <w:szCs w:val="21"/>
              </w:rPr>
              <w:t>地址：南阳市独山大道中段</w:t>
            </w:r>
          </w:p>
          <w:p w14:paraId="4DF73890">
            <w:pPr>
              <w:spacing w:line="360" w:lineRule="auto"/>
              <w:jc w:val="left"/>
              <w:rPr>
                <w:rFonts w:ascii="宋体" w:hAnsi="宋体" w:cs="宋体"/>
                <w:color w:val="auto"/>
                <w:szCs w:val="21"/>
              </w:rPr>
            </w:pPr>
            <w:r>
              <w:rPr>
                <w:rFonts w:hint="eastAsia" w:ascii="宋体" w:hAnsi="宋体" w:cs="宋体"/>
                <w:color w:val="auto"/>
                <w:szCs w:val="21"/>
              </w:rPr>
              <w:t>联系人：翟丰艳</w:t>
            </w:r>
          </w:p>
          <w:p w14:paraId="500E19F3">
            <w:pPr>
              <w:spacing w:line="360" w:lineRule="auto"/>
              <w:jc w:val="left"/>
              <w:rPr>
                <w:rFonts w:ascii="宋体" w:cs="宋体"/>
                <w:color w:val="auto"/>
                <w:szCs w:val="21"/>
                <w:shd w:val="clear" w:color="auto" w:fill="FFFFFF"/>
              </w:rPr>
            </w:pPr>
            <w:r>
              <w:rPr>
                <w:rFonts w:hint="eastAsia" w:ascii="宋体" w:hAnsi="宋体" w:cs="宋体"/>
                <w:color w:val="auto"/>
                <w:szCs w:val="21"/>
              </w:rPr>
              <w:t xml:space="preserve">联系方式：16638760606  </w:t>
            </w:r>
          </w:p>
        </w:tc>
      </w:tr>
      <w:tr w14:paraId="0C90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4" w:type="dxa"/>
            <w:vMerge w:val="restart"/>
            <w:vAlign w:val="center"/>
          </w:tcPr>
          <w:p w14:paraId="429EFF92">
            <w:pPr>
              <w:numPr>
                <w:ilvl w:val="0"/>
                <w:numId w:val="1"/>
              </w:numPr>
              <w:spacing w:line="360" w:lineRule="auto"/>
              <w:jc w:val="center"/>
              <w:rPr>
                <w:rFonts w:ascii="宋体" w:cs="宋体"/>
                <w:color w:val="auto"/>
                <w:szCs w:val="21"/>
              </w:rPr>
            </w:pPr>
          </w:p>
        </w:tc>
        <w:tc>
          <w:tcPr>
            <w:tcW w:w="1650" w:type="dxa"/>
            <w:vMerge w:val="restart"/>
            <w:vAlign w:val="center"/>
          </w:tcPr>
          <w:p w14:paraId="08CC7D77">
            <w:pPr>
              <w:spacing w:line="360" w:lineRule="auto"/>
              <w:jc w:val="center"/>
              <w:rPr>
                <w:rFonts w:ascii="宋体" w:cs="宋体"/>
                <w:color w:val="auto"/>
                <w:szCs w:val="21"/>
              </w:rPr>
            </w:pPr>
            <w:r>
              <w:rPr>
                <w:rFonts w:hint="eastAsia" w:ascii="宋体" w:hAnsi="宋体" w:cs="宋体"/>
                <w:color w:val="auto"/>
                <w:szCs w:val="21"/>
              </w:rPr>
              <w:t>项目名称及</w:t>
            </w:r>
          </w:p>
          <w:p w14:paraId="443F68B1">
            <w:pPr>
              <w:spacing w:line="360" w:lineRule="auto"/>
              <w:jc w:val="center"/>
              <w:rPr>
                <w:rFonts w:ascii="宋体" w:cs="宋体"/>
                <w:color w:val="auto"/>
                <w:szCs w:val="21"/>
              </w:rPr>
            </w:pPr>
            <w:r>
              <w:rPr>
                <w:rFonts w:hint="eastAsia" w:ascii="宋体" w:hAnsi="宋体" w:cs="宋体"/>
                <w:color w:val="auto"/>
                <w:szCs w:val="21"/>
              </w:rPr>
              <w:t>项目编号</w:t>
            </w:r>
          </w:p>
        </w:tc>
        <w:tc>
          <w:tcPr>
            <w:tcW w:w="6710" w:type="dxa"/>
            <w:vAlign w:val="center"/>
          </w:tcPr>
          <w:p w14:paraId="394C0CBC">
            <w:pPr>
              <w:spacing w:line="360" w:lineRule="auto"/>
              <w:rPr>
                <w:rFonts w:hint="eastAsia" w:ascii="宋体" w:eastAsia="宋体" w:cs="宋体"/>
                <w:color w:val="auto"/>
                <w:szCs w:val="21"/>
                <w:lang w:eastAsia="zh-CN"/>
              </w:rPr>
            </w:pPr>
            <w:r>
              <w:rPr>
                <w:rFonts w:hint="eastAsia" w:ascii="宋体" w:hAnsi="宋体" w:cs="宋体"/>
                <w:color w:val="auto"/>
              </w:rPr>
              <w:t>项目名称：</w:t>
            </w:r>
            <w:r>
              <w:rPr>
                <w:rFonts w:hint="eastAsia" w:ascii="宋体" w:hAnsi="宋体" w:cs="宋体"/>
                <w:color w:val="auto"/>
                <w:lang w:eastAsia="zh-CN"/>
              </w:rPr>
              <w:t>社旗县教育体育局2024年9月-2025年2月全县农村义务教育寄宿制学校早晚餐食材项目</w:t>
            </w:r>
          </w:p>
        </w:tc>
      </w:tr>
      <w:tr w14:paraId="3835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4" w:type="dxa"/>
            <w:vMerge w:val="continue"/>
            <w:vAlign w:val="center"/>
          </w:tcPr>
          <w:p w14:paraId="30F53B6D">
            <w:pPr>
              <w:numPr>
                <w:ilvl w:val="0"/>
                <w:numId w:val="1"/>
              </w:numPr>
              <w:spacing w:line="360" w:lineRule="auto"/>
              <w:jc w:val="center"/>
              <w:rPr>
                <w:rFonts w:ascii="宋体" w:cs="宋体"/>
                <w:color w:val="auto"/>
                <w:szCs w:val="21"/>
              </w:rPr>
            </w:pPr>
          </w:p>
        </w:tc>
        <w:tc>
          <w:tcPr>
            <w:tcW w:w="1650" w:type="dxa"/>
            <w:vMerge w:val="continue"/>
            <w:vAlign w:val="center"/>
          </w:tcPr>
          <w:p w14:paraId="40B294ED">
            <w:pPr>
              <w:spacing w:line="360" w:lineRule="auto"/>
              <w:jc w:val="center"/>
              <w:rPr>
                <w:rFonts w:ascii="宋体" w:cs="宋体"/>
                <w:color w:val="auto"/>
                <w:szCs w:val="21"/>
              </w:rPr>
            </w:pPr>
          </w:p>
        </w:tc>
        <w:tc>
          <w:tcPr>
            <w:tcW w:w="6710" w:type="dxa"/>
            <w:vAlign w:val="center"/>
          </w:tcPr>
          <w:p w14:paraId="4090EE74">
            <w:pPr>
              <w:spacing w:line="360" w:lineRule="auto"/>
              <w:rPr>
                <w:rFonts w:hint="default" w:ascii="宋体" w:eastAsia="宋体" w:cs="宋体"/>
                <w:color w:val="auto"/>
                <w:szCs w:val="21"/>
                <w:lang w:val="en-US" w:eastAsia="zh-CN"/>
              </w:rPr>
            </w:pPr>
            <w:r>
              <w:rPr>
                <w:rFonts w:hint="eastAsia" w:ascii="宋体" w:hAnsi="宋体" w:cs="宋体"/>
                <w:color w:val="auto"/>
                <w:highlight w:val="yellow"/>
              </w:rPr>
              <w:t>项目编号：社财采购公开-2024-</w:t>
            </w:r>
            <w:r>
              <w:rPr>
                <w:rFonts w:hint="eastAsia" w:ascii="宋体" w:hAnsi="宋体" w:cs="宋体"/>
                <w:color w:val="auto"/>
                <w:highlight w:val="yellow"/>
                <w:lang w:val="en-US" w:eastAsia="zh-CN"/>
              </w:rPr>
              <w:t>27</w:t>
            </w:r>
          </w:p>
        </w:tc>
      </w:tr>
      <w:tr w14:paraId="2742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Align w:val="center"/>
          </w:tcPr>
          <w:p w14:paraId="2293A3A6">
            <w:pPr>
              <w:numPr>
                <w:ilvl w:val="0"/>
                <w:numId w:val="1"/>
              </w:numPr>
              <w:spacing w:line="360" w:lineRule="auto"/>
              <w:jc w:val="center"/>
              <w:rPr>
                <w:rFonts w:ascii="宋体" w:cs="宋体"/>
                <w:color w:val="auto"/>
                <w:szCs w:val="21"/>
              </w:rPr>
            </w:pPr>
          </w:p>
        </w:tc>
        <w:tc>
          <w:tcPr>
            <w:tcW w:w="1650" w:type="dxa"/>
            <w:vAlign w:val="center"/>
          </w:tcPr>
          <w:p w14:paraId="2652553D">
            <w:pPr>
              <w:spacing w:line="360" w:lineRule="auto"/>
              <w:jc w:val="center"/>
              <w:rPr>
                <w:rFonts w:ascii="宋体" w:cs="宋体"/>
                <w:color w:val="auto"/>
                <w:szCs w:val="21"/>
              </w:rPr>
            </w:pPr>
            <w:r>
              <w:rPr>
                <w:rFonts w:hint="eastAsia" w:ascii="宋体" w:hAnsi="宋体" w:cs="宋体"/>
                <w:color w:val="auto"/>
                <w:szCs w:val="21"/>
              </w:rPr>
              <w:t>交货地点</w:t>
            </w:r>
          </w:p>
        </w:tc>
        <w:tc>
          <w:tcPr>
            <w:tcW w:w="6710" w:type="dxa"/>
            <w:vAlign w:val="center"/>
          </w:tcPr>
          <w:p w14:paraId="47447A22">
            <w:pPr>
              <w:spacing w:line="360" w:lineRule="auto"/>
              <w:rPr>
                <w:rFonts w:ascii="宋体" w:cs="宋体"/>
                <w:color w:val="auto"/>
                <w:szCs w:val="21"/>
              </w:rPr>
            </w:pPr>
            <w:r>
              <w:rPr>
                <w:rFonts w:hint="eastAsia" w:ascii="宋体" w:hAnsi="宋体" w:cs="宋体"/>
                <w:color w:val="auto"/>
              </w:rPr>
              <w:t>采购人指定的交货地点</w:t>
            </w:r>
          </w:p>
        </w:tc>
      </w:tr>
      <w:tr w14:paraId="6BFF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24" w:type="dxa"/>
            <w:vAlign w:val="center"/>
          </w:tcPr>
          <w:p w14:paraId="534F4DA5">
            <w:pPr>
              <w:numPr>
                <w:ilvl w:val="0"/>
                <w:numId w:val="1"/>
              </w:numPr>
              <w:spacing w:line="360" w:lineRule="auto"/>
              <w:jc w:val="center"/>
              <w:rPr>
                <w:rFonts w:ascii="宋体" w:cs="宋体"/>
                <w:color w:val="auto"/>
                <w:szCs w:val="21"/>
              </w:rPr>
            </w:pPr>
          </w:p>
        </w:tc>
        <w:tc>
          <w:tcPr>
            <w:tcW w:w="1650" w:type="dxa"/>
            <w:vAlign w:val="center"/>
          </w:tcPr>
          <w:p w14:paraId="553063E6">
            <w:pPr>
              <w:spacing w:line="360" w:lineRule="auto"/>
              <w:jc w:val="center"/>
              <w:rPr>
                <w:rFonts w:ascii="宋体" w:cs="宋体"/>
                <w:color w:val="auto"/>
                <w:szCs w:val="21"/>
              </w:rPr>
            </w:pPr>
            <w:r>
              <w:rPr>
                <w:rFonts w:hint="eastAsia" w:ascii="宋体" w:hAnsi="宋体" w:cs="宋体"/>
                <w:color w:val="auto"/>
                <w:szCs w:val="21"/>
              </w:rPr>
              <w:t>资金来源</w:t>
            </w:r>
          </w:p>
        </w:tc>
        <w:tc>
          <w:tcPr>
            <w:tcW w:w="6710" w:type="dxa"/>
            <w:vAlign w:val="center"/>
          </w:tcPr>
          <w:p w14:paraId="1E0A25CF">
            <w:pPr>
              <w:spacing w:line="360" w:lineRule="auto"/>
              <w:rPr>
                <w:rFonts w:ascii="宋体" w:cs="宋体"/>
                <w:color w:val="auto"/>
                <w:szCs w:val="21"/>
              </w:rPr>
            </w:pPr>
            <w:r>
              <w:rPr>
                <w:rFonts w:hint="eastAsia" w:ascii="宋体" w:hAnsi="宋体" w:cs="宋体"/>
                <w:color w:val="auto"/>
                <w:szCs w:val="21"/>
              </w:rPr>
              <w:t>财政资金</w:t>
            </w:r>
          </w:p>
        </w:tc>
      </w:tr>
      <w:tr w14:paraId="2836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4" w:type="dxa"/>
            <w:vAlign w:val="center"/>
          </w:tcPr>
          <w:p w14:paraId="51759D1B">
            <w:pPr>
              <w:numPr>
                <w:ilvl w:val="0"/>
                <w:numId w:val="1"/>
              </w:numPr>
              <w:spacing w:line="360" w:lineRule="auto"/>
              <w:jc w:val="center"/>
              <w:rPr>
                <w:rFonts w:ascii="宋体" w:cs="宋体"/>
                <w:color w:val="auto"/>
                <w:szCs w:val="21"/>
              </w:rPr>
            </w:pPr>
          </w:p>
        </w:tc>
        <w:tc>
          <w:tcPr>
            <w:tcW w:w="1650" w:type="dxa"/>
            <w:vAlign w:val="center"/>
          </w:tcPr>
          <w:p w14:paraId="03F41823">
            <w:pPr>
              <w:spacing w:line="360" w:lineRule="auto"/>
              <w:jc w:val="center"/>
              <w:rPr>
                <w:rFonts w:ascii="宋体" w:cs="宋体"/>
                <w:color w:val="auto"/>
                <w:szCs w:val="21"/>
              </w:rPr>
            </w:pPr>
            <w:r>
              <w:rPr>
                <w:rFonts w:hint="eastAsia" w:ascii="宋体" w:hAnsi="宋体" w:cs="宋体"/>
                <w:color w:val="auto"/>
                <w:szCs w:val="21"/>
              </w:rPr>
              <w:t>采购内容</w:t>
            </w:r>
          </w:p>
        </w:tc>
        <w:tc>
          <w:tcPr>
            <w:tcW w:w="6710" w:type="dxa"/>
            <w:vAlign w:val="center"/>
          </w:tcPr>
          <w:p w14:paraId="54111641">
            <w:pPr>
              <w:spacing w:line="360" w:lineRule="auto"/>
              <w:jc w:val="left"/>
              <w:rPr>
                <w:rFonts w:ascii="宋体" w:cs="宋体"/>
                <w:color w:val="auto"/>
                <w:szCs w:val="21"/>
              </w:rPr>
            </w:pPr>
            <w:r>
              <w:rPr>
                <w:rFonts w:hint="eastAsia" w:ascii="宋体" w:hAnsi="宋体" w:cs="宋体"/>
                <w:color w:val="auto"/>
                <w:szCs w:val="21"/>
              </w:rPr>
              <w:t>详见招标项目内容数量及技术要求</w:t>
            </w:r>
          </w:p>
        </w:tc>
      </w:tr>
      <w:tr w14:paraId="338B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24" w:type="dxa"/>
            <w:vAlign w:val="center"/>
          </w:tcPr>
          <w:p w14:paraId="4EEB06C2">
            <w:pPr>
              <w:numPr>
                <w:ilvl w:val="0"/>
                <w:numId w:val="1"/>
              </w:numPr>
              <w:spacing w:line="360" w:lineRule="auto"/>
              <w:jc w:val="center"/>
              <w:rPr>
                <w:rFonts w:ascii="宋体" w:cs="宋体"/>
                <w:color w:val="auto"/>
                <w:szCs w:val="21"/>
              </w:rPr>
            </w:pPr>
          </w:p>
        </w:tc>
        <w:tc>
          <w:tcPr>
            <w:tcW w:w="1650" w:type="dxa"/>
            <w:vAlign w:val="center"/>
          </w:tcPr>
          <w:p w14:paraId="6FEC42C2">
            <w:pPr>
              <w:spacing w:line="360" w:lineRule="auto"/>
              <w:jc w:val="center"/>
              <w:rPr>
                <w:rFonts w:ascii="宋体" w:cs="宋体"/>
                <w:color w:val="auto"/>
                <w:szCs w:val="21"/>
              </w:rPr>
            </w:pPr>
            <w:r>
              <w:rPr>
                <w:rFonts w:ascii="宋体" w:hAnsi="宋体" w:cs="宋体"/>
                <w:color w:val="auto"/>
                <w:szCs w:val="21"/>
              </w:rPr>
              <w:t>*</w:t>
            </w:r>
            <w:r>
              <w:rPr>
                <w:rFonts w:hint="eastAsia" w:ascii="宋体" w:hAnsi="宋体" w:cs="宋体"/>
                <w:color w:val="auto"/>
                <w:szCs w:val="21"/>
              </w:rPr>
              <w:t>服务期限</w:t>
            </w:r>
          </w:p>
        </w:tc>
        <w:tc>
          <w:tcPr>
            <w:tcW w:w="6710" w:type="dxa"/>
            <w:vAlign w:val="center"/>
          </w:tcPr>
          <w:p w14:paraId="7243EEF5">
            <w:pPr>
              <w:spacing w:line="360" w:lineRule="auto"/>
              <w:rPr>
                <w:rFonts w:ascii="宋体" w:cs="宋体"/>
                <w:color w:val="auto"/>
                <w:szCs w:val="21"/>
              </w:rPr>
            </w:pPr>
            <w:r>
              <w:rPr>
                <w:rFonts w:hint="eastAsia" w:ascii="宋体" w:hAnsi="宋体" w:cs="宋体"/>
                <w:bCs/>
                <w:color w:val="auto"/>
                <w:szCs w:val="21"/>
              </w:rPr>
              <w:t>2024年9月-2025年</w:t>
            </w:r>
            <w:r>
              <w:rPr>
                <w:rFonts w:hint="eastAsia" w:ascii="宋体" w:hAnsi="宋体" w:cs="宋体"/>
                <w:bCs/>
                <w:color w:val="auto"/>
                <w:szCs w:val="21"/>
                <w:lang w:val="en-US" w:eastAsia="zh-CN"/>
              </w:rPr>
              <w:t>2</w:t>
            </w:r>
            <w:r>
              <w:rPr>
                <w:rFonts w:hint="eastAsia" w:ascii="宋体" w:hAnsi="宋体" w:cs="宋体"/>
                <w:bCs/>
                <w:color w:val="auto"/>
                <w:szCs w:val="21"/>
              </w:rPr>
              <w:t>月</w:t>
            </w:r>
          </w:p>
        </w:tc>
      </w:tr>
      <w:tr w14:paraId="1096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4" w:type="dxa"/>
            <w:vAlign w:val="center"/>
          </w:tcPr>
          <w:p w14:paraId="581006F8">
            <w:pPr>
              <w:numPr>
                <w:ilvl w:val="0"/>
                <w:numId w:val="1"/>
              </w:numPr>
              <w:spacing w:line="360" w:lineRule="auto"/>
              <w:jc w:val="center"/>
              <w:rPr>
                <w:rFonts w:ascii="宋体" w:cs="宋体"/>
                <w:color w:val="auto"/>
                <w:szCs w:val="21"/>
              </w:rPr>
            </w:pPr>
          </w:p>
        </w:tc>
        <w:tc>
          <w:tcPr>
            <w:tcW w:w="1650" w:type="dxa"/>
            <w:vAlign w:val="center"/>
          </w:tcPr>
          <w:p w14:paraId="3A34B9F3">
            <w:pPr>
              <w:spacing w:line="360" w:lineRule="auto"/>
              <w:jc w:val="center"/>
              <w:rPr>
                <w:rFonts w:ascii="宋体" w:cs="宋体"/>
                <w:color w:val="auto"/>
                <w:szCs w:val="21"/>
              </w:rPr>
            </w:pPr>
            <w:r>
              <w:rPr>
                <w:rFonts w:ascii="宋体" w:hAnsi="宋体" w:cs="宋体"/>
                <w:color w:val="auto"/>
                <w:szCs w:val="21"/>
              </w:rPr>
              <w:t>*</w:t>
            </w:r>
            <w:r>
              <w:rPr>
                <w:rFonts w:hint="eastAsia" w:ascii="宋体" w:hAnsi="宋体" w:cs="宋体"/>
                <w:color w:val="auto"/>
                <w:szCs w:val="21"/>
              </w:rPr>
              <w:t>质量要求</w:t>
            </w:r>
          </w:p>
        </w:tc>
        <w:tc>
          <w:tcPr>
            <w:tcW w:w="6710" w:type="dxa"/>
            <w:vAlign w:val="center"/>
          </w:tcPr>
          <w:p w14:paraId="02E0E76E">
            <w:pPr>
              <w:spacing w:line="360" w:lineRule="auto"/>
              <w:rPr>
                <w:rFonts w:ascii="宋体" w:cs="宋体"/>
                <w:color w:val="auto"/>
                <w:szCs w:val="21"/>
              </w:rPr>
            </w:pPr>
            <w:r>
              <w:rPr>
                <w:rFonts w:hint="eastAsia" w:ascii="宋体" w:hAnsi="宋体" w:cs="宋体"/>
                <w:color w:val="auto"/>
                <w:szCs w:val="21"/>
              </w:rPr>
              <w:t>合格，符合国家相关行业质量标准</w:t>
            </w:r>
          </w:p>
        </w:tc>
      </w:tr>
      <w:tr w14:paraId="08B7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24" w:type="dxa"/>
            <w:vAlign w:val="center"/>
          </w:tcPr>
          <w:p w14:paraId="4F2EDA6D">
            <w:pPr>
              <w:numPr>
                <w:ilvl w:val="0"/>
                <w:numId w:val="1"/>
              </w:numPr>
              <w:spacing w:line="360" w:lineRule="auto"/>
              <w:jc w:val="center"/>
              <w:rPr>
                <w:rFonts w:ascii="宋体" w:cs="宋体"/>
                <w:color w:val="auto"/>
                <w:szCs w:val="21"/>
              </w:rPr>
            </w:pPr>
          </w:p>
        </w:tc>
        <w:tc>
          <w:tcPr>
            <w:tcW w:w="1650" w:type="dxa"/>
            <w:vAlign w:val="center"/>
          </w:tcPr>
          <w:p w14:paraId="58A820F3">
            <w:pPr>
              <w:spacing w:line="360" w:lineRule="auto"/>
              <w:jc w:val="center"/>
              <w:rPr>
                <w:rFonts w:ascii="宋体" w:cs="宋体"/>
                <w:color w:val="auto"/>
                <w:spacing w:val="-8"/>
                <w:szCs w:val="21"/>
              </w:rPr>
            </w:pPr>
            <w:r>
              <w:rPr>
                <w:rFonts w:ascii="宋体" w:hAnsi="宋体" w:cs="宋体"/>
                <w:color w:val="auto"/>
                <w:szCs w:val="21"/>
              </w:rPr>
              <w:t>*</w:t>
            </w:r>
            <w:r>
              <w:rPr>
                <w:rFonts w:hint="eastAsia" w:ascii="宋体" w:hAnsi="宋体" w:cs="宋体"/>
                <w:color w:val="auto"/>
                <w:spacing w:val="-8"/>
                <w:szCs w:val="21"/>
              </w:rPr>
              <w:t>合格供应商</w:t>
            </w:r>
          </w:p>
        </w:tc>
        <w:tc>
          <w:tcPr>
            <w:tcW w:w="6710" w:type="dxa"/>
            <w:vAlign w:val="center"/>
          </w:tcPr>
          <w:p w14:paraId="35EA8C34">
            <w:pPr>
              <w:spacing w:line="360" w:lineRule="auto"/>
              <w:jc w:val="left"/>
              <w:rPr>
                <w:rFonts w:ascii="宋体" w:cs="宋体"/>
                <w:color w:val="auto"/>
                <w:szCs w:val="21"/>
              </w:rPr>
            </w:pPr>
            <w:r>
              <w:rPr>
                <w:rFonts w:hint="eastAsia" w:ascii="宋体" w:hAnsi="宋体" w:cs="宋体"/>
                <w:b/>
                <w:color w:val="auto"/>
                <w:szCs w:val="21"/>
              </w:rPr>
              <w:t>详见“招标公告二、申请人资格要求</w:t>
            </w:r>
            <w:r>
              <w:rPr>
                <w:rFonts w:hint="eastAsia" w:ascii="宋体" w:hAnsi="宋体" w:cs="宋体"/>
                <w:color w:val="auto"/>
                <w:szCs w:val="21"/>
              </w:rPr>
              <w:t>”</w:t>
            </w:r>
          </w:p>
        </w:tc>
      </w:tr>
      <w:tr w14:paraId="0D99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4" w:type="dxa"/>
            <w:vAlign w:val="center"/>
          </w:tcPr>
          <w:p w14:paraId="5F1EF9F1">
            <w:pPr>
              <w:numPr>
                <w:ilvl w:val="0"/>
                <w:numId w:val="1"/>
              </w:numPr>
              <w:spacing w:line="360" w:lineRule="auto"/>
              <w:jc w:val="center"/>
              <w:rPr>
                <w:rFonts w:ascii="宋体" w:cs="宋体"/>
                <w:color w:val="auto"/>
                <w:szCs w:val="21"/>
              </w:rPr>
            </w:pPr>
          </w:p>
        </w:tc>
        <w:tc>
          <w:tcPr>
            <w:tcW w:w="1650" w:type="dxa"/>
            <w:vAlign w:val="center"/>
          </w:tcPr>
          <w:p w14:paraId="38F46C59">
            <w:pPr>
              <w:spacing w:line="360" w:lineRule="auto"/>
              <w:jc w:val="center"/>
              <w:rPr>
                <w:rFonts w:ascii="宋体" w:cs="宋体"/>
                <w:color w:val="auto"/>
                <w:szCs w:val="21"/>
              </w:rPr>
            </w:pPr>
            <w:r>
              <w:rPr>
                <w:rFonts w:hint="eastAsia" w:ascii="宋体" w:hAnsi="宋体" w:cs="宋体"/>
                <w:color w:val="auto"/>
                <w:szCs w:val="21"/>
              </w:rPr>
              <w:t>是否接受联合体投标</w:t>
            </w:r>
          </w:p>
        </w:tc>
        <w:tc>
          <w:tcPr>
            <w:tcW w:w="6710" w:type="dxa"/>
            <w:vAlign w:val="center"/>
          </w:tcPr>
          <w:p w14:paraId="4C678F86">
            <w:pPr>
              <w:spacing w:line="360" w:lineRule="auto"/>
              <w:rPr>
                <w:rFonts w:ascii="宋体" w:cs="宋体"/>
                <w:color w:val="auto"/>
                <w:szCs w:val="21"/>
              </w:rPr>
            </w:pPr>
            <w:r>
              <w:rPr>
                <w:rFonts w:hint="eastAsia" w:ascii="宋体" w:hAnsi="宋体" w:cs="宋体"/>
                <w:color w:val="auto"/>
                <w:szCs w:val="21"/>
              </w:rPr>
              <w:t>不接受</w:t>
            </w:r>
          </w:p>
        </w:tc>
      </w:tr>
      <w:tr w14:paraId="4C72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4" w:type="dxa"/>
            <w:vAlign w:val="center"/>
          </w:tcPr>
          <w:p w14:paraId="485D569D">
            <w:pPr>
              <w:numPr>
                <w:ilvl w:val="0"/>
                <w:numId w:val="1"/>
              </w:numPr>
              <w:spacing w:line="360" w:lineRule="auto"/>
              <w:jc w:val="center"/>
              <w:rPr>
                <w:rFonts w:ascii="宋体" w:cs="宋体"/>
                <w:color w:val="auto"/>
                <w:szCs w:val="21"/>
              </w:rPr>
            </w:pPr>
          </w:p>
        </w:tc>
        <w:tc>
          <w:tcPr>
            <w:tcW w:w="1650" w:type="dxa"/>
            <w:vAlign w:val="center"/>
          </w:tcPr>
          <w:p w14:paraId="69E8A3F6">
            <w:pPr>
              <w:spacing w:line="360" w:lineRule="auto"/>
              <w:jc w:val="center"/>
              <w:rPr>
                <w:rFonts w:ascii="宋体" w:cs="宋体"/>
                <w:color w:val="auto"/>
                <w:szCs w:val="21"/>
              </w:rPr>
            </w:pPr>
            <w:r>
              <w:rPr>
                <w:rFonts w:hint="eastAsia" w:ascii="宋体" w:hAnsi="宋体" w:cs="宋体"/>
                <w:color w:val="auto"/>
                <w:szCs w:val="21"/>
              </w:rPr>
              <w:t>投标预备会</w:t>
            </w:r>
          </w:p>
        </w:tc>
        <w:tc>
          <w:tcPr>
            <w:tcW w:w="6710" w:type="dxa"/>
            <w:vAlign w:val="center"/>
          </w:tcPr>
          <w:p w14:paraId="22DBB748">
            <w:pPr>
              <w:spacing w:line="360" w:lineRule="auto"/>
              <w:rPr>
                <w:rFonts w:ascii="宋体" w:cs="宋体"/>
                <w:color w:val="auto"/>
                <w:szCs w:val="21"/>
              </w:rPr>
            </w:pPr>
            <w:r>
              <w:rPr>
                <w:rFonts w:hint="eastAsia" w:ascii="宋体" w:hAnsi="宋体" w:cs="宋体"/>
                <w:color w:val="auto"/>
                <w:szCs w:val="21"/>
              </w:rPr>
              <w:t>不召开</w:t>
            </w:r>
          </w:p>
        </w:tc>
      </w:tr>
      <w:tr w14:paraId="74F8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4" w:type="dxa"/>
            <w:vAlign w:val="center"/>
          </w:tcPr>
          <w:p w14:paraId="4DA20F1E">
            <w:pPr>
              <w:numPr>
                <w:ilvl w:val="0"/>
                <w:numId w:val="1"/>
              </w:numPr>
              <w:spacing w:line="360" w:lineRule="auto"/>
              <w:jc w:val="center"/>
              <w:rPr>
                <w:rFonts w:ascii="宋体" w:cs="宋体"/>
                <w:color w:val="auto"/>
                <w:szCs w:val="21"/>
              </w:rPr>
            </w:pPr>
          </w:p>
        </w:tc>
        <w:tc>
          <w:tcPr>
            <w:tcW w:w="1650" w:type="dxa"/>
            <w:vAlign w:val="center"/>
          </w:tcPr>
          <w:p w14:paraId="4E75B666">
            <w:pPr>
              <w:spacing w:line="360" w:lineRule="auto"/>
              <w:jc w:val="center"/>
              <w:rPr>
                <w:rFonts w:ascii="宋体" w:cs="宋体"/>
                <w:color w:val="auto"/>
                <w:szCs w:val="21"/>
              </w:rPr>
            </w:pPr>
            <w:r>
              <w:rPr>
                <w:rFonts w:hint="eastAsia" w:ascii="宋体" w:hAnsi="宋体" w:cs="宋体"/>
                <w:color w:val="auto"/>
                <w:szCs w:val="21"/>
              </w:rPr>
              <w:t>踏勘现场</w:t>
            </w:r>
          </w:p>
        </w:tc>
        <w:tc>
          <w:tcPr>
            <w:tcW w:w="6710" w:type="dxa"/>
            <w:vAlign w:val="center"/>
          </w:tcPr>
          <w:p w14:paraId="60E793AC">
            <w:pPr>
              <w:autoSpaceDE w:val="0"/>
              <w:autoSpaceDN w:val="0"/>
              <w:adjustRightInd w:val="0"/>
              <w:spacing w:line="360" w:lineRule="auto"/>
              <w:rPr>
                <w:rFonts w:ascii="宋体" w:cs="宋体"/>
                <w:color w:val="auto"/>
                <w:szCs w:val="21"/>
              </w:rPr>
            </w:pPr>
            <w:r>
              <w:rPr>
                <w:rFonts w:hint="eastAsia" w:ascii="宋体" w:hAnsi="宋体" w:cs="宋体"/>
                <w:color w:val="auto"/>
                <w:szCs w:val="21"/>
              </w:rPr>
              <w:t>不组织</w:t>
            </w:r>
          </w:p>
        </w:tc>
      </w:tr>
      <w:tr w14:paraId="40E5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4" w:type="dxa"/>
            <w:vAlign w:val="center"/>
          </w:tcPr>
          <w:p w14:paraId="2AE99F4E">
            <w:pPr>
              <w:numPr>
                <w:ilvl w:val="0"/>
                <w:numId w:val="1"/>
              </w:numPr>
              <w:spacing w:line="360" w:lineRule="auto"/>
              <w:jc w:val="center"/>
              <w:rPr>
                <w:rFonts w:ascii="宋体" w:cs="宋体"/>
                <w:color w:val="auto"/>
                <w:szCs w:val="21"/>
              </w:rPr>
            </w:pPr>
          </w:p>
        </w:tc>
        <w:tc>
          <w:tcPr>
            <w:tcW w:w="1650" w:type="dxa"/>
            <w:vAlign w:val="center"/>
          </w:tcPr>
          <w:p w14:paraId="4321F072">
            <w:pPr>
              <w:spacing w:line="360" w:lineRule="auto"/>
              <w:jc w:val="center"/>
              <w:rPr>
                <w:rFonts w:ascii="宋体" w:cs="宋体"/>
                <w:color w:val="auto"/>
                <w:szCs w:val="21"/>
              </w:rPr>
            </w:pPr>
            <w:r>
              <w:rPr>
                <w:rFonts w:ascii="宋体" w:hAnsi="宋体" w:cs="宋体"/>
                <w:color w:val="auto"/>
                <w:szCs w:val="21"/>
              </w:rPr>
              <w:t>*</w:t>
            </w:r>
            <w:r>
              <w:rPr>
                <w:rFonts w:hint="eastAsia" w:ascii="宋体" w:hAnsi="宋体" w:cs="宋体"/>
                <w:color w:val="auto"/>
                <w:szCs w:val="21"/>
              </w:rPr>
              <w:t>分包</w:t>
            </w:r>
          </w:p>
        </w:tc>
        <w:tc>
          <w:tcPr>
            <w:tcW w:w="6710" w:type="dxa"/>
            <w:vAlign w:val="center"/>
          </w:tcPr>
          <w:p w14:paraId="20562875">
            <w:pPr>
              <w:spacing w:line="360" w:lineRule="auto"/>
              <w:rPr>
                <w:rFonts w:ascii="宋体" w:cs="宋体"/>
                <w:color w:val="auto"/>
                <w:szCs w:val="21"/>
              </w:rPr>
            </w:pPr>
            <w:r>
              <w:rPr>
                <w:rFonts w:hint="eastAsia" w:ascii="宋体" w:hAnsi="宋体" w:cs="宋体"/>
                <w:color w:val="auto"/>
                <w:szCs w:val="21"/>
              </w:rPr>
              <w:t>中标人必须承担总包责任，</w:t>
            </w:r>
            <w:r>
              <w:rPr>
                <w:rFonts w:hint="eastAsia" w:ascii="宋体" w:hAnsi="宋体" w:cs="宋体"/>
                <w:color w:val="auto"/>
                <w:szCs w:val="21"/>
                <w:lang w:val="en-GB"/>
              </w:rPr>
              <w:t>必须独立完成项目，不得以任何形式转包，</w:t>
            </w:r>
            <w:r>
              <w:rPr>
                <w:rFonts w:hint="eastAsia" w:ascii="宋体" w:hAnsi="宋体" w:cs="宋体"/>
                <w:color w:val="auto"/>
                <w:szCs w:val="21"/>
              </w:rPr>
              <w:t>否则采购人有权终止合同并追究中标人的责任。</w:t>
            </w:r>
          </w:p>
        </w:tc>
      </w:tr>
      <w:tr w14:paraId="5BF1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4" w:type="dxa"/>
            <w:vAlign w:val="center"/>
          </w:tcPr>
          <w:p w14:paraId="2418A0CF">
            <w:pPr>
              <w:numPr>
                <w:ilvl w:val="0"/>
                <w:numId w:val="1"/>
              </w:numPr>
              <w:spacing w:line="360" w:lineRule="auto"/>
              <w:jc w:val="center"/>
              <w:rPr>
                <w:rFonts w:ascii="宋体" w:cs="宋体"/>
                <w:color w:val="auto"/>
                <w:szCs w:val="21"/>
              </w:rPr>
            </w:pPr>
          </w:p>
        </w:tc>
        <w:tc>
          <w:tcPr>
            <w:tcW w:w="1650" w:type="dxa"/>
            <w:vAlign w:val="center"/>
          </w:tcPr>
          <w:p w14:paraId="2D8E97F4">
            <w:pPr>
              <w:spacing w:line="360" w:lineRule="auto"/>
              <w:jc w:val="center"/>
              <w:rPr>
                <w:rFonts w:ascii="宋体" w:cs="宋体"/>
                <w:color w:val="auto"/>
                <w:szCs w:val="21"/>
              </w:rPr>
            </w:pPr>
            <w:r>
              <w:rPr>
                <w:rFonts w:ascii="宋体" w:hAnsi="宋体" w:cs="宋体"/>
                <w:color w:val="auto"/>
                <w:szCs w:val="21"/>
              </w:rPr>
              <w:t>*</w:t>
            </w:r>
            <w:r>
              <w:rPr>
                <w:rFonts w:hint="eastAsia" w:ascii="宋体" w:hAnsi="宋体" w:cs="宋体"/>
                <w:color w:val="auto"/>
                <w:szCs w:val="21"/>
              </w:rPr>
              <w:t>投标有效期</w:t>
            </w:r>
          </w:p>
        </w:tc>
        <w:tc>
          <w:tcPr>
            <w:tcW w:w="6710" w:type="dxa"/>
            <w:vAlign w:val="center"/>
          </w:tcPr>
          <w:p w14:paraId="7318960B">
            <w:pPr>
              <w:spacing w:line="360" w:lineRule="auto"/>
              <w:rPr>
                <w:rFonts w:ascii="宋体" w:cs="宋体"/>
                <w:color w:val="auto"/>
                <w:szCs w:val="21"/>
              </w:rPr>
            </w:pPr>
            <w:r>
              <w:rPr>
                <w:rFonts w:hint="eastAsia" w:ascii="宋体" w:hAnsi="宋体" w:cs="宋体"/>
                <w:color w:val="auto"/>
                <w:szCs w:val="21"/>
              </w:rPr>
              <w:t>自投标截止之日起</w:t>
            </w:r>
            <w:r>
              <w:rPr>
                <w:rFonts w:ascii="宋体" w:hAnsi="宋体" w:cs="宋体"/>
                <w:color w:val="auto"/>
                <w:szCs w:val="21"/>
              </w:rPr>
              <w:t>60</w:t>
            </w:r>
            <w:r>
              <w:rPr>
                <w:rFonts w:hint="eastAsia" w:ascii="宋体" w:hAnsi="宋体" w:cs="宋体"/>
                <w:color w:val="auto"/>
                <w:szCs w:val="21"/>
              </w:rPr>
              <w:t>日历天</w:t>
            </w:r>
          </w:p>
        </w:tc>
      </w:tr>
      <w:tr w14:paraId="13F1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24" w:type="dxa"/>
            <w:vAlign w:val="center"/>
          </w:tcPr>
          <w:p w14:paraId="4CAE4E38">
            <w:pPr>
              <w:numPr>
                <w:ilvl w:val="0"/>
                <w:numId w:val="1"/>
              </w:numPr>
              <w:spacing w:line="360" w:lineRule="auto"/>
              <w:jc w:val="center"/>
              <w:rPr>
                <w:rFonts w:ascii="宋体" w:cs="宋体"/>
                <w:color w:val="auto"/>
                <w:szCs w:val="21"/>
              </w:rPr>
            </w:pPr>
          </w:p>
        </w:tc>
        <w:tc>
          <w:tcPr>
            <w:tcW w:w="1650" w:type="dxa"/>
            <w:vAlign w:val="center"/>
          </w:tcPr>
          <w:p w14:paraId="783C2A64">
            <w:pPr>
              <w:spacing w:line="360" w:lineRule="auto"/>
              <w:jc w:val="center"/>
              <w:rPr>
                <w:rFonts w:ascii="宋体" w:cs="宋体"/>
                <w:color w:val="auto"/>
                <w:szCs w:val="21"/>
              </w:rPr>
            </w:pPr>
            <w:r>
              <w:rPr>
                <w:rFonts w:ascii="宋体" w:hAnsi="宋体" w:cs="宋体"/>
                <w:color w:val="auto"/>
                <w:szCs w:val="21"/>
              </w:rPr>
              <w:t>*</w:t>
            </w:r>
            <w:r>
              <w:rPr>
                <w:rFonts w:hint="eastAsia" w:ascii="宋体" w:hAnsi="宋体" w:cs="宋体"/>
                <w:color w:val="auto"/>
                <w:szCs w:val="21"/>
              </w:rPr>
              <w:t>是否允许递交备选投标方案</w:t>
            </w:r>
          </w:p>
        </w:tc>
        <w:tc>
          <w:tcPr>
            <w:tcW w:w="6710" w:type="dxa"/>
            <w:vAlign w:val="center"/>
          </w:tcPr>
          <w:p w14:paraId="004904B2">
            <w:pPr>
              <w:spacing w:line="360" w:lineRule="auto"/>
              <w:jc w:val="left"/>
              <w:rPr>
                <w:rFonts w:ascii="宋体" w:cs="宋体"/>
                <w:color w:val="auto"/>
                <w:szCs w:val="21"/>
              </w:rPr>
            </w:pPr>
            <w:r>
              <w:rPr>
                <w:rFonts w:hint="eastAsia" w:ascii="宋体" w:hAnsi="宋体" w:cs="宋体"/>
                <w:color w:val="auto"/>
                <w:szCs w:val="21"/>
              </w:rPr>
              <w:t>不允许</w:t>
            </w:r>
          </w:p>
        </w:tc>
      </w:tr>
      <w:tr w14:paraId="586A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24" w:type="dxa"/>
            <w:vAlign w:val="center"/>
          </w:tcPr>
          <w:p w14:paraId="5C75A657">
            <w:pPr>
              <w:numPr>
                <w:ilvl w:val="0"/>
                <w:numId w:val="1"/>
              </w:numPr>
              <w:spacing w:line="360" w:lineRule="auto"/>
              <w:jc w:val="center"/>
              <w:rPr>
                <w:rFonts w:ascii="宋体" w:cs="宋体"/>
                <w:color w:val="auto"/>
                <w:szCs w:val="21"/>
              </w:rPr>
            </w:pPr>
          </w:p>
        </w:tc>
        <w:tc>
          <w:tcPr>
            <w:tcW w:w="1650" w:type="dxa"/>
            <w:vAlign w:val="center"/>
          </w:tcPr>
          <w:p w14:paraId="32C452CC">
            <w:pPr>
              <w:spacing w:line="360" w:lineRule="auto"/>
              <w:jc w:val="center"/>
              <w:rPr>
                <w:rFonts w:ascii="宋体" w:cs="宋体"/>
                <w:color w:val="auto"/>
                <w:szCs w:val="21"/>
              </w:rPr>
            </w:pPr>
            <w:r>
              <w:rPr>
                <w:rFonts w:ascii="宋体" w:hAnsi="宋体" w:cs="宋体"/>
                <w:color w:val="auto"/>
                <w:szCs w:val="21"/>
              </w:rPr>
              <w:t>*</w:t>
            </w:r>
            <w:r>
              <w:rPr>
                <w:rFonts w:hint="eastAsia" w:ascii="宋体" w:hAnsi="宋体" w:cs="宋体"/>
                <w:color w:val="auto"/>
                <w:szCs w:val="21"/>
              </w:rPr>
              <w:t>签字或盖章</w:t>
            </w:r>
          </w:p>
          <w:p w14:paraId="5220AE3B">
            <w:pPr>
              <w:spacing w:line="360" w:lineRule="auto"/>
              <w:jc w:val="center"/>
              <w:rPr>
                <w:rFonts w:ascii="宋体" w:cs="宋体"/>
                <w:color w:val="auto"/>
                <w:szCs w:val="21"/>
                <w:highlight w:val="yellow"/>
              </w:rPr>
            </w:pPr>
            <w:r>
              <w:rPr>
                <w:rFonts w:hint="eastAsia" w:ascii="宋体" w:hAnsi="宋体" w:cs="宋体"/>
                <w:color w:val="auto"/>
                <w:szCs w:val="21"/>
              </w:rPr>
              <w:t>要求</w:t>
            </w:r>
          </w:p>
        </w:tc>
        <w:tc>
          <w:tcPr>
            <w:tcW w:w="6710" w:type="dxa"/>
            <w:vAlign w:val="center"/>
          </w:tcPr>
          <w:p w14:paraId="46D03F36">
            <w:pPr>
              <w:spacing w:line="360" w:lineRule="auto"/>
              <w:jc w:val="left"/>
              <w:rPr>
                <w:rFonts w:ascii="宋体" w:cs="宋体"/>
                <w:color w:val="auto"/>
                <w:szCs w:val="21"/>
              </w:rPr>
            </w:pPr>
            <w:r>
              <w:rPr>
                <w:rFonts w:hint="eastAsia" w:ascii="宋体" w:hAnsi="宋体" w:cs="宋体"/>
                <w:color w:val="auto"/>
                <w:szCs w:val="21"/>
              </w:rPr>
              <w:t>投标人须按照投标文件格式中的规定加盖投标人电子公章或法定代表人电子签名。</w:t>
            </w:r>
          </w:p>
          <w:p w14:paraId="6F483373">
            <w:pPr>
              <w:spacing w:line="360" w:lineRule="auto"/>
              <w:jc w:val="left"/>
              <w:rPr>
                <w:rFonts w:ascii="宋体" w:cs="宋体"/>
                <w:color w:val="auto"/>
                <w:szCs w:val="21"/>
                <w:highlight w:val="yellow"/>
              </w:rPr>
            </w:pPr>
            <w:r>
              <w:rPr>
                <w:rFonts w:hint="eastAsia" w:ascii="宋体" w:hAnsi="宋体" w:cs="宋体"/>
                <w:color w:val="auto"/>
                <w:szCs w:val="21"/>
              </w:rPr>
              <w:t>备注：电子签名是指法定代表人</w:t>
            </w:r>
            <w:r>
              <w:rPr>
                <w:rFonts w:ascii="宋体" w:hAnsi="宋体" w:cs="宋体"/>
                <w:color w:val="auto"/>
                <w:szCs w:val="21"/>
              </w:rPr>
              <w:t>CA</w:t>
            </w:r>
            <w:r>
              <w:rPr>
                <w:rFonts w:hint="eastAsia" w:ascii="宋体" w:hAnsi="宋体" w:cs="宋体"/>
                <w:color w:val="auto"/>
                <w:szCs w:val="21"/>
              </w:rPr>
              <w:t>证书办理时，信息采集的法定代表人亲笔签名或法定代表人印章。</w:t>
            </w:r>
          </w:p>
        </w:tc>
      </w:tr>
      <w:tr w14:paraId="5518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Align w:val="center"/>
          </w:tcPr>
          <w:p w14:paraId="1E8E2F5F">
            <w:pPr>
              <w:numPr>
                <w:ilvl w:val="0"/>
                <w:numId w:val="1"/>
              </w:numPr>
              <w:spacing w:line="360" w:lineRule="auto"/>
              <w:jc w:val="center"/>
              <w:rPr>
                <w:rFonts w:ascii="宋体" w:cs="宋体"/>
                <w:color w:val="auto"/>
                <w:szCs w:val="21"/>
              </w:rPr>
            </w:pPr>
          </w:p>
        </w:tc>
        <w:tc>
          <w:tcPr>
            <w:tcW w:w="1650" w:type="dxa"/>
            <w:vAlign w:val="center"/>
          </w:tcPr>
          <w:p w14:paraId="49A6F2BE">
            <w:pPr>
              <w:spacing w:line="360" w:lineRule="auto"/>
              <w:jc w:val="center"/>
              <w:rPr>
                <w:rFonts w:ascii="宋体" w:cs="宋体"/>
                <w:color w:val="auto"/>
                <w:szCs w:val="21"/>
              </w:rPr>
            </w:pPr>
            <w:r>
              <w:rPr>
                <w:rFonts w:ascii="宋体" w:hAnsi="宋体" w:cs="宋体"/>
                <w:color w:val="auto"/>
                <w:szCs w:val="21"/>
              </w:rPr>
              <w:t>*</w:t>
            </w:r>
            <w:r>
              <w:rPr>
                <w:rFonts w:hint="eastAsia" w:ascii="宋体" w:hAnsi="宋体" w:cs="宋体"/>
                <w:color w:val="auto"/>
                <w:szCs w:val="21"/>
              </w:rPr>
              <w:t>电子投标文件递交</w:t>
            </w:r>
          </w:p>
        </w:tc>
        <w:tc>
          <w:tcPr>
            <w:tcW w:w="6710" w:type="dxa"/>
            <w:vAlign w:val="center"/>
          </w:tcPr>
          <w:p w14:paraId="3CEA9A51">
            <w:pPr>
              <w:spacing w:line="360" w:lineRule="auto"/>
              <w:jc w:val="left"/>
              <w:rPr>
                <w:rFonts w:ascii="宋体" w:hAnsi="宋体" w:cs="宋体"/>
                <w:color w:val="auto"/>
                <w:szCs w:val="21"/>
              </w:rPr>
            </w:pPr>
            <w:r>
              <w:rPr>
                <w:rFonts w:hint="eastAsia" w:ascii="宋体" w:hAnsi="宋体" w:cs="宋体"/>
                <w:color w:val="auto"/>
                <w:szCs w:val="21"/>
              </w:rPr>
              <w:t xml:space="preserve">1、投标人应在南阳市公共资源交易系统下载“电子响应文 件制作工具”，并按照文件要求编制和上传递交加密的电子 响应文件(.nyTF格式)。投标人上传时必须得到系统“上传成功”的确认回复，并认真检查电子响应文件是否完整、正确。递交网址：http://ggzy.sheqi.gov.cn/ </w:t>
            </w:r>
          </w:p>
          <w:p w14:paraId="442DE036">
            <w:pPr>
              <w:spacing w:line="360" w:lineRule="auto"/>
              <w:jc w:val="left"/>
              <w:rPr>
                <w:rFonts w:ascii="宋体" w:hAnsi="宋体" w:cs="宋体"/>
                <w:color w:val="auto"/>
                <w:szCs w:val="21"/>
              </w:rPr>
            </w:pPr>
            <w:r>
              <w:rPr>
                <w:rFonts w:hint="eastAsia" w:ascii="宋体" w:hAnsi="宋体" w:cs="宋体"/>
                <w:color w:val="auto"/>
                <w:szCs w:val="21"/>
              </w:rPr>
              <w:t xml:space="preserve">2、投标人的电子响应文件应在文件规定的投标截止时间前到达交易系统。逾期到达交易系统的电子响应文件视为放弃本次投标。 </w:t>
            </w:r>
          </w:p>
          <w:p w14:paraId="5C400009">
            <w:pPr>
              <w:spacing w:line="360" w:lineRule="auto"/>
              <w:jc w:val="left"/>
              <w:rPr>
                <w:rFonts w:ascii="宋体" w:hAnsi="宋体" w:cs="宋体"/>
                <w:color w:val="auto"/>
                <w:szCs w:val="21"/>
              </w:rPr>
            </w:pPr>
            <w:r>
              <w:rPr>
                <w:rFonts w:hint="eastAsia" w:ascii="宋体" w:hAnsi="宋体" w:cs="宋体"/>
                <w:color w:val="auto"/>
                <w:szCs w:val="21"/>
              </w:rPr>
              <w:t xml:space="preserve">3、投标人所递交的电子响应文件在投标截止时间之后不予退回。 </w:t>
            </w:r>
          </w:p>
          <w:p w14:paraId="0E2220AB">
            <w:pPr>
              <w:spacing w:line="360" w:lineRule="auto"/>
              <w:jc w:val="left"/>
              <w:rPr>
                <w:rFonts w:ascii="宋体" w:hAnsi="宋体" w:cs="宋体"/>
                <w:color w:val="auto"/>
                <w:szCs w:val="21"/>
              </w:rPr>
            </w:pPr>
            <w:r>
              <w:rPr>
                <w:rFonts w:hint="eastAsia" w:ascii="宋体" w:hAnsi="宋体" w:cs="宋体"/>
                <w:color w:val="auto"/>
                <w:szCs w:val="21"/>
              </w:rPr>
              <w:t>递交地点：社旗县公共资源交易中心官网</w:t>
            </w:r>
            <w:r>
              <w:rPr>
                <w:rFonts w:ascii="宋体" w:hAnsi="宋体" w:cs="宋体"/>
                <w:color w:val="auto"/>
                <w:szCs w:val="21"/>
              </w:rPr>
              <w:t xml:space="preserve">http://ggzy.sheqi.gov.cn/ </w:t>
            </w:r>
          </w:p>
        </w:tc>
      </w:tr>
      <w:tr w14:paraId="4626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24" w:type="dxa"/>
            <w:vAlign w:val="center"/>
          </w:tcPr>
          <w:p w14:paraId="50DDE70B">
            <w:pPr>
              <w:numPr>
                <w:ilvl w:val="0"/>
                <w:numId w:val="1"/>
              </w:numPr>
              <w:spacing w:line="360" w:lineRule="auto"/>
              <w:jc w:val="center"/>
              <w:rPr>
                <w:rFonts w:ascii="宋体" w:cs="宋体"/>
                <w:color w:val="auto"/>
                <w:szCs w:val="21"/>
              </w:rPr>
            </w:pPr>
          </w:p>
        </w:tc>
        <w:tc>
          <w:tcPr>
            <w:tcW w:w="1650" w:type="dxa"/>
            <w:vAlign w:val="center"/>
          </w:tcPr>
          <w:p w14:paraId="53D1B607">
            <w:pPr>
              <w:spacing w:line="360" w:lineRule="auto"/>
              <w:jc w:val="center"/>
              <w:rPr>
                <w:rFonts w:ascii="宋体" w:cs="宋体"/>
                <w:color w:val="auto"/>
                <w:szCs w:val="21"/>
              </w:rPr>
            </w:pPr>
            <w:r>
              <w:rPr>
                <w:rFonts w:ascii="宋体" w:hAnsi="宋体" w:cs="宋体"/>
                <w:color w:val="auto"/>
                <w:szCs w:val="21"/>
              </w:rPr>
              <w:t>*</w:t>
            </w:r>
            <w:r>
              <w:rPr>
                <w:rFonts w:hint="eastAsia" w:ascii="宋体" w:hAnsi="宋体" w:cs="宋体"/>
                <w:color w:val="auto"/>
                <w:szCs w:val="21"/>
              </w:rPr>
              <w:t>投标截止时间</w:t>
            </w:r>
          </w:p>
        </w:tc>
        <w:tc>
          <w:tcPr>
            <w:tcW w:w="6710" w:type="dxa"/>
            <w:vAlign w:val="center"/>
          </w:tcPr>
          <w:p w14:paraId="06698E18">
            <w:pPr>
              <w:spacing w:line="360" w:lineRule="auto"/>
              <w:jc w:val="left"/>
              <w:rPr>
                <w:rFonts w:ascii="宋体" w:cs="宋体"/>
                <w:b/>
                <w:color w:val="auto"/>
                <w:szCs w:val="21"/>
              </w:rPr>
            </w:pPr>
            <w:r>
              <w:rPr>
                <w:rFonts w:ascii="宋体" w:hAnsi="宋体" w:cs="宋体"/>
                <w:b/>
                <w:bCs/>
                <w:color w:val="auto"/>
                <w:szCs w:val="21"/>
                <w:highlight w:val="yellow"/>
              </w:rPr>
              <w:t>202</w:t>
            </w:r>
            <w:r>
              <w:rPr>
                <w:rFonts w:hint="eastAsia" w:ascii="宋体" w:hAnsi="宋体" w:cs="宋体"/>
                <w:b/>
                <w:bCs/>
                <w:color w:val="auto"/>
                <w:szCs w:val="21"/>
                <w:highlight w:val="yellow"/>
              </w:rPr>
              <w:t>4年8月</w:t>
            </w:r>
            <w:r>
              <w:rPr>
                <w:rFonts w:hint="eastAsia" w:ascii="宋体" w:hAnsi="宋体" w:cs="宋体"/>
                <w:b/>
                <w:bCs/>
                <w:color w:val="auto"/>
                <w:szCs w:val="21"/>
                <w:highlight w:val="yellow"/>
                <w:lang w:val="en-US" w:eastAsia="zh-CN"/>
              </w:rPr>
              <w:t>23</w:t>
            </w:r>
            <w:r>
              <w:rPr>
                <w:rFonts w:hint="eastAsia" w:ascii="宋体" w:hAnsi="宋体" w:cs="宋体"/>
                <w:b/>
                <w:bCs/>
                <w:color w:val="auto"/>
                <w:szCs w:val="21"/>
                <w:highlight w:val="yellow"/>
              </w:rPr>
              <w:t>日上午</w:t>
            </w:r>
            <w:r>
              <w:rPr>
                <w:rFonts w:ascii="宋体" w:hAnsi="宋体" w:cs="宋体"/>
                <w:b/>
                <w:bCs/>
                <w:color w:val="auto"/>
                <w:szCs w:val="21"/>
                <w:highlight w:val="yellow"/>
              </w:rPr>
              <w:t>10</w:t>
            </w:r>
            <w:r>
              <w:rPr>
                <w:rFonts w:hint="eastAsia" w:ascii="宋体" w:hAnsi="宋体" w:cs="宋体"/>
                <w:b/>
                <w:bCs/>
                <w:color w:val="auto"/>
                <w:szCs w:val="21"/>
                <w:highlight w:val="yellow"/>
              </w:rPr>
              <w:t>时整（北京时间）</w:t>
            </w:r>
          </w:p>
        </w:tc>
      </w:tr>
      <w:tr w14:paraId="2CD6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24" w:type="dxa"/>
            <w:vAlign w:val="center"/>
          </w:tcPr>
          <w:p w14:paraId="59532C75">
            <w:pPr>
              <w:numPr>
                <w:ilvl w:val="0"/>
                <w:numId w:val="1"/>
              </w:numPr>
              <w:spacing w:line="360" w:lineRule="auto"/>
              <w:jc w:val="center"/>
              <w:rPr>
                <w:rFonts w:ascii="宋体" w:cs="宋体"/>
                <w:color w:val="auto"/>
                <w:szCs w:val="21"/>
              </w:rPr>
            </w:pPr>
          </w:p>
        </w:tc>
        <w:tc>
          <w:tcPr>
            <w:tcW w:w="1650" w:type="dxa"/>
            <w:vAlign w:val="center"/>
          </w:tcPr>
          <w:p w14:paraId="5A2B5C80">
            <w:pPr>
              <w:spacing w:line="360" w:lineRule="auto"/>
              <w:jc w:val="center"/>
              <w:rPr>
                <w:rFonts w:ascii="宋体" w:cs="宋体"/>
                <w:color w:val="auto"/>
                <w:szCs w:val="21"/>
              </w:rPr>
            </w:pPr>
            <w:r>
              <w:rPr>
                <w:rFonts w:hint="eastAsia" w:ascii="宋体" w:hAnsi="宋体" w:cs="宋体"/>
                <w:color w:val="auto"/>
                <w:szCs w:val="21"/>
              </w:rPr>
              <w:t>开标时间和</w:t>
            </w:r>
          </w:p>
          <w:p w14:paraId="0CC4F27F">
            <w:pPr>
              <w:spacing w:line="360" w:lineRule="auto"/>
              <w:jc w:val="center"/>
              <w:rPr>
                <w:rFonts w:ascii="宋体" w:cs="宋体"/>
                <w:color w:val="auto"/>
                <w:szCs w:val="21"/>
              </w:rPr>
            </w:pPr>
            <w:r>
              <w:rPr>
                <w:rFonts w:hint="eastAsia" w:ascii="宋体" w:hAnsi="宋体" w:cs="宋体"/>
                <w:color w:val="auto"/>
                <w:szCs w:val="21"/>
              </w:rPr>
              <w:t>地点</w:t>
            </w:r>
          </w:p>
        </w:tc>
        <w:tc>
          <w:tcPr>
            <w:tcW w:w="6710" w:type="dxa"/>
            <w:vAlign w:val="center"/>
          </w:tcPr>
          <w:p w14:paraId="74D65322">
            <w:pPr>
              <w:spacing w:line="360" w:lineRule="auto"/>
              <w:jc w:val="left"/>
              <w:rPr>
                <w:rFonts w:ascii="宋体" w:cs="宋体"/>
                <w:szCs w:val="21"/>
              </w:rPr>
            </w:pPr>
            <w:r>
              <w:rPr>
                <w:rFonts w:hint="eastAsia" w:ascii="宋体" w:hAnsi="宋体" w:cs="宋体"/>
                <w:szCs w:val="21"/>
              </w:rPr>
              <w:t>开标时间：同投标截止时间</w:t>
            </w:r>
          </w:p>
          <w:p w14:paraId="30E1619A">
            <w:pPr>
              <w:spacing w:line="360" w:lineRule="auto"/>
              <w:jc w:val="left"/>
              <w:rPr>
                <w:rFonts w:ascii="宋体" w:cs="宋体"/>
                <w:color w:val="auto"/>
                <w:szCs w:val="21"/>
              </w:rPr>
            </w:pPr>
            <w:r>
              <w:rPr>
                <w:rFonts w:hint="eastAsia" w:ascii="宋体" w:hAnsi="宋体" w:cs="宋体"/>
                <w:szCs w:val="21"/>
              </w:rPr>
              <w:t>开标地点：不见面开标大厅：</w:t>
            </w:r>
            <w:r>
              <w:rPr>
                <w:color w:val="FF0000"/>
              </w:rPr>
              <w:t>https://ggzyjy.nanyang.gov.cn/BidOpening/bidhall/nanyang/lo gin.html</w:t>
            </w:r>
          </w:p>
        </w:tc>
      </w:tr>
      <w:tr w14:paraId="1392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Align w:val="center"/>
          </w:tcPr>
          <w:p w14:paraId="46CB1FDE">
            <w:pPr>
              <w:numPr>
                <w:ilvl w:val="0"/>
                <w:numId w:val="1"/>
              </w:numPr>
              <w:spacing w:line="360" w:lineRule="auto"/>
              <w:jc w:val="center"/>
              <w:rPr>
                <w:rFonts w:ascii="宋体" w:cs="宋体"/>
                <w:color w:val="auto"/>
                <w:szCs w:val="21"/>
              </w:rPr>
            </w:pPr>
          </w:p>
        </w:tc>
        <w:tc>
          <w:tcPr>
            <w:tcW w:w="1650" w:type="dxa"/>
            <w:vAlign w:val="center"/>
          </w:tcPr>
          <w:p w14:paraId="75D4904E">
            <w:pPr>
              <w:spacing w:line="360" w:lineRule="auto"/>
              <w:jc w:val="center"/>
              <w:rPr>
                <w:rFonts w:ascii="宋体" w:cs="宋体"/>
                <w:color w:val="auto"/>
                <w:szCs w:val="21"/>
              </w:rPr>
            </w:pPr>
            <w:r>
              <w:rPr>
                <w:rFonts w:hint="eastAsia" w:ascii="宋体" w:hAnsi="宋体" w:cs="宋体"/>
                <w:color w:val="auto"/>
                <w:szCs w:val="21"/>
              </w:rPr>
              <w:t>开标程序</w:t>
            </w:r>
          </w:p>
        </w:tc>
        <w:tc>
          <w:tcPr>
            <w:tcW w:w="6710" w:type="dxa"/>
            <w:vAlign w:val="center"/>
          </w:tcPr>
          <w:p w14:paraId="08344298">
            <w:pPr>
              <w:spacing w:line="360" w:lineRule="auto"/>
              <w:rPr>
                <w:rFonts w:ascii="宋体" w:hAnsi="宋体" w:cs="宋体"/>
                <w:szCs w:val="21"/>
              </w:rPr>
            </w:pPr>
            <w:r>
              <w:rPr>
                <w:rFonts w:hint="eastAsia" w:ascii="宋体" w:hAnsi="宋体" w:cs="宋体"/>
                <w:szCs w:val="21"/>
              </w:rPr>
              <w:t xml:space="preserve">1、投标人代表持本单位 CA 数字证书提前一小时登录不见面开标系统。 </w:t>
            </w:r>
          </w:p>
          <w:p w14:paraId="26C85780">
            <w:pPr>
              <w:spacing w:line="360" w:lineRule="auto"/>
              <w:rPr>
                <w:rFonts w:ascii="宋体" w:hAnsi="宋体" w:cs="宋体"/>
                <w:szCs w:val="21"/>
              </w:rPr>
            </w:pPr>
            <w:r>
              <w:rPr>
                <w:rFonts w:hint="eastAsia" w:ascii="宋体" w:hAnsi="宋体" w:cs="宋体"/>
                <w:szCs w:val="21"/>
              </w:rPr>
              <w:t xml:space="preserve">2、开标时间到，在线公布投标人、招标人代表、监标人等有关名单。 </w:t>
            </w:r>
          </w:p>
          <w:p w14:paraId="6204D051">
            <w:pPr>
              <w:spacing w:line="360" w:lineRule="auto"/>
              <w:rPr>
                <w:rFonts w:ascii="宋体" w:hAnsi="宋体" w:cs="宋体"/>
                <w:szCs w:val="21"/>
              </w:rPr>
            </w:pPr>
            <w:r>
              <w:rPr>
                <w:rFonts w:hint="eastAsia" w:ascii="宋体" w:hAnsi="宋体" w:cs="宋体"/>
                <w:szCs w:val="21"/>
              </w:rPr>
              <w:t xml:space="preserve">3、开标顺序： </w:t>
            </w:r>
          </w:p>
          <w:p w14:paraId="14B95336">
            <w:pPr>
              <w:spacing w:line="360" w:lineRule="auto"/>
              <w:rPr>
                <w:rFonts w:ascii="宋体" w:hAnsi="宋体" w:cs="宋体"/>
                <w:szCs w:val="21"/>
              </w:rPr>
            </w:pPr>
            <w:r>
              <w:rPr>
                <w:rFonts w:hint="eastAsia" w:ascii="宋体" w:hAnsi="宋体" w:cs="宋体"/>
                <w:szCs w:val="21"/>
              </w:rPr>
              <w:t xml:space="preserve">(1)投标人解密：投标企业制作电子响应文件时，必须使用本单位企业数字证书进行加密，投标企业在开标前须自行检查数字证书有效性。在解密时间到达后，系统做出解密提示，请各投标人自行解密即可。开标解密时未解密成功的视为撤销其响应文件（因电子开标系统原因除外）。 </w:t>
            </w:r>
          </w:p>
          <w:p w14:paraId="69942DC6">
            <w:pPr>
              <w:spacing w:line="360" w:lineRule="auto"/>
              <w:rPr>
                <w:rFonts w:ascii="宋体" w:hAnsi="宋体" w:cs="宋体"/>
                <w:szCs w:val="21"/>
              </w:rPr>
            </w:pPr>
            <w:r>
              <w:rPr>
                <w:rFonts w:hint="eastAsia" w:ascii="宋体" w:hAnsi="宋体" w:cs="宋体"/>
                <w:szCs w:val="21"/>
              </w:rPr>
              <w:t xml:space="preserve">(2)唱标。查看唱标信息（系统不提供语音在线播放，该页面停留 5 分钟供投标人查看，如无异议视为同意）。招标人、监督人需要关注开标过程中，投标人随时在线提出的异议、问题沟通等信息，并做好及时回复。 </w:t>
            </w:r>
          </w:p>
          <w:p w14:paraId="39A877F7">
            <w:pPr>
              <w:spacing w:line="360" w:lineRule="auto"/>
              <w:rPr>
                <w:rFonts w:ascii="宋体" w:hAnsi="宋体" w:cs="宋体"/>
                <w:szCs w:val="21"/>
              </w:rPr>
            </w:pPr>
            <w:r>
              <w:rPr>
                <w:rFonts w:hint="eastAsia" w:ascii="宋体" w:hAnsi="宋体" w:cs="宋体"/>
                <w:szCs w:val="21"/>
              </w:rPr>
              <w:t xml:space="preserve">(3)招标人、监督人等相关人员在开标记录表上（可进入原评标系统直接打印）签字确认。 </w:t>
            </w:r>
          </w:p>
          <w:p w14:paraId="74ACB967">
            <w:pPr>
              <w:spacing w:line="360" w:lineRule="auto"/>
              <w:jc w:val="left"/>
              <w:rPr>
                <w:rFonts w:ascii="宋体" w:cs="宋体"/>
                <w:szCs w:val="21"/>
              </w:rPr>
            </w:pPr>
            <w:r>
              <w:rPr>
                <w:rFonts w:hint="eastAsia" w:ascii="宋体" w:hAnsi="宋体" w:cs="宋体"/>
                <w:szCs w:val="21"/>
              </w:rPr>
              <w:t>(4)招标代理机构在开标结束后将文件和有效电子响应文件和有效电子响应文件导入评标系统</w:t>
            </w:r>
            <w:r>
              <w:rPr>
                <w:rFonts w:ascii="宋体" w:hAnsi="宋体" w:cs="宋体"/>
                <w:szCs w:val="21"/>
              </w:rPr>
              <w:cr/>
            </w:r>
            <w:r>
              <w:rPr>
                <w:rFonts w:hint="eastAsia" w:ascii="宋体" w:hAnsi="宋体" w:cs="宋体"/>
                <w:szCs w:val="21"/>
              </w:rPr>
              <w:t>。</w:t>
            </w:r>
          </w:p>
        </w:tc>
      </w:tr>
      <w:tr w14:paraId="4D1B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724" w:type="dxa"/>
            <w:vAlign w:val="center"/>
          </w:tcPr>
          <w:p w14:paraId="41E53224">
            <w:pPr>
              <w:numPr>
                <w:ilvl w:val="0"/>
                <w:numId w:val="1"/>
              </w:numPr>
              <w:spacing w:line="360" w:lineRule="auto"/>
              <w:jc w:val="center"/>
              <w:rPr>
                <w:rFonts w:ascii="宋体" w:cs="宋体"/>
                <w:color w:val="auto"/>
                <w:szCs w:val="21"/>
              </w:rPr>
            </w:pPr>
          </w:p>
        </w:tc>
        <w:tc>
          <w:tcPr>
            <w:tcW w:w="1650" w:type="dxa"/>
            <w:vAlign w:val="center"/>
          </w:tcPr>
          <w:p w14:paraId="19D4E29C">
            <w:pPr>
              <w:spacing w:line="360" w:lineRule="auto"/>
              <w:jc w:val="center"/>
              <w:rPr>
                <w:rFonts w:ascii="宋体" w:cs="宋体"/>
                <w:color w:val="auto"/>
                <w:szCs w:val="21"/>
              </w:rPr>
            </w:pPr>
            <w:r>
              <w:rPr>
                <w:rFonts w:hint="eastAsia" w:ascii="宋体" w:hAnsi="宋体" w:cs="宋体"/>
                <w:color w:val="auto"/>
                <w:szCs w:val="21"/>
              </w:rPr>
              <w:t>评标委员会的组建</w:t>
            </w:r>
          </w:p>
        </w:tc>
        <w:tc>
          <w:tcPr>
            <w:tcW w:w="6710" w:type="dxa"/>
            <w:vAlign w:val="center"/>
          </w:tcPr>
          <w:p w14:paraId="2E788E50">
            <w:pPr>
              <w:spacing w:line="360" w:lineRule="auto"/>
              <w:rPr>
                <w:rFonts w:ascii="宋体" w:cs="宋体"/>
                <w:color w:val="auto"/>
                <w:szCs w:val="21"/>
              </w:rPr>
            </w:pPr>
            <w:r>
              <w:rPr>
                <w:rFonts w:hint="eastAsia" w:ascii="宋体" w:hAnsi="宋体" w:cs="宋体"/>
                <w:color w:val="auto"/>
                <w:szCs w:val="21"/>
              </w:rPr>
              <w:t>评标委员会由采购人代表和评审专家组成人数：</w:t>
            </w:r>
            <w:r>
              <w:rPr>
                <w:rFonts w:ascii="宋体" w:hAnsi="宋体" w:cs="宋体"/>
                <w:color w:val="auto"/>
                <w:szCs w:val="21"/>
              </w:rPr>
              <w:t>7</w:t>
            </w:r>
            <w:r>
              <w:rPr>
                <w:rFonts w:hint="eastAsia" w:ascii="宋体" w:hAnsi="宋体" w:cs="宋体"/>
                <w:color w:val="auto"/>
                <w:szCs w:val="21"/>
              </w:rPr>
              <w:t>人；</w:t>
            </w:r>
          </w:p>
          <w:p w14:paraId="6631774D">
            <w:pPr>
              <w:spacing w:line="360" w:lineRule="auto"/>
              <w:rPr>
                <w:rFonts w:ascii="宋体" w:cs="宋体"/>
                <w:color w:val="auto"/>
                <w:szCs w:val="21"/>
              </w:rPr>
            </w:pPr>
            <w:r>
              <w:rPr>
                <w:rFonts w:hint="eastAsia" w:ascii="宋体" w:hAnsi="宋体" w:cs="宋体"/>
                <w:color w:val="auto"/>
                <w:szCs w:val="21"/>
              </w:rPr>
              <w:t>其中采购人代表不超过三分之一（</w:t>
            </w:r>
            <w:r>
              <w:rPr>
                <w:rFonts w:ascii="宋体" w:hAnsi="宋体" w:cs="宋体"/>
                <w:color w:val="auto"/>
                <w:szCs w:val="21"/>
                <w:u w:val="single"/>
              </w:rPr>
              <w:t xml:space="preserve">  2  </w:t>
            </w:r>
            <w:r>
              <w:rPr>
                <w:rFonts w:hint="eastAsia" w:ascii="宋体" w:hAnsi="宋体" w:cs="宋体"/>
                <w:color w:val="auto"/>
                <w:szCs w:val="21"/>
              </w:rPr>
              <w:t>人）；</w:t>
            </w:r>
          </w:p>
          <w:p w14:paraId="5D1D4D40">
            <w:pPr>
              <w:spacing w:line="360" w:lineRule="auto"/>
              <w:rPr>
                <w:rFonts w:ascii="宋体" w:cs="宋体"/>
                <w:color w:val="auto"/>
                <w:szCs w:val="21"/>
              </w:rPr>
            </w:pPr>
            <w:r>
              <w:rPr>
                <w:rFonts w:hint="eastAsia" w:ascii="宋体" w:hAnsi="宋体" w:cs="宋体"/>
                <w:color w:val="auto"/>
                <w:szCs w:val="21"/>
              </w:rPr>
              <w:t>评审专家不得少于成员总数的三分之二人数（</w:t>
            </w:r>
            <w:r>
              <w:rPr>
                <w:rFonts w:ascii="宋体" w:hAnsi="宋体" w:cs="宋体"/>
                <w:color w:val="auto"/>
                <w:szCs w:val="21"/>
                <w:u w:val="single"/>
              </w:rPr>
              <w:t xml:space="preserve"> 5  </w:t>
            </w:r>
            <w:r>
              <w:rPr>
                <w:rFonts w:hint="eastAsia" w:ascii="宋体" w:hAnsi="宋体" w:cs="宋体"/>
                <w:color w:val="auto"/>
                <w:szCs w:val="21"/>
              </w:rPr>
              <w:t>人）；</w:t>
            </w:r>
          </w:p>
          <w:p w14:paraId="1A7B5C9D">
            <w:pPr>
              <w:spacing w:line="360" w:lineRule="auto"/>
              <w:rPr>
                <w:rFonts w:ascii="宋体" w:cs="宋体"/>
                <w:color w:val="auto"/>
                <w:szCs w:val="21"/>
              </w:rPr>
            </w:pPr>
            <w:r>
              <w:rPr>
                <w:rFonts w:hint="eastAsia" w:ascii="宋体" w:hAnsi="宋体" w:cs="宋体"/>
                <w:color w:val="auto"/>
                <w:szCs w:val="21"/>
              </w:rPr>
              <w:t>按相关规定从依法组建的专家库中随机抽取。</w:t>
            </w:r>
          </w:p>
        </w:tc>
      </w:tr>
      <w:tr w14:paraId="74A0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Align w:val="center"/>
          </w:tcPr>
          <w:p w14:paraId="5FE5B1AC">
            <w:pPr>
              <w:numPr>
                <w:ilvl w:val="0"/>
                <w:numId w:val="1"/>
              </w:numPr>
              <w:spacing w:line="360" w:lineRule="auto"/>
              <w:jc w:val="center"/>
              <w:rPr>
                <w:rFonts w:ascii="宋体" w:cs="宋体"/>
                <w:color w:val="auto"/>
                <w:szCs w:val="21"/>
              </w:rPr>
            </w:pPr>
          </w:p>
        </w:tc>
        <w:tc>
          <w:tcPr>
            <w:tcW w:w="1650" w:type="dxa"/>
            <w:vAlign w:val="center"/>
          </w:tcPr>
          <w:p w14:paraId="3D3E1CF3">
            <w:pPr>
              <w:spacing w:line="360" w:lineRule="auto"/>
              <w:jc w:val="center"/>
              <w:rPr>
                <w:rFonts w:ascii="宋体" w:cs="宋体"/>
                <w:color w:val="auto"/>
                <w:szCs w:val="21"/>
              </w:rPr>
            </w:pPr>
            <w:r>
              <w:rPr>
                <w:rFonts w:hint="eastAsia" w:ascii="宋体" w:hAnsi="宋体" w:cs="宋体"/>
                <w:color w:val="auto"/>
                <w:szCs w:val="21"/>
              </w:rPr>
              <w:t>是否授权评标委员会确定中标人</w:t>
            </w:r>
          </w:p>
        </w:tc>
        <w:tc>
          <w:tcPr>
            <w:tcW w:w="6710" w:type="dxa"/>
            <w:vAlign w:val="center"/>
          </w:tcPr>
          <w:p w14:paraId="486CD5F7">
            <w:pPr>
              <w:spacing w:line="360" w:lineRule="auto"/>
              <w:rPr>
                <w:rFonts w:ascii="宋体" w:cs="宋体"/>
                <w:color w:val="auto"/>
                <w:szCs w:val="21"/>
              </w:rPr>
            </w:pPr>
            <w:r>
              <w:rPr>
                <w:rFonts w:hint="eastAsia" w:ascii="宋体" w:hAnsi="宋体" w:cs="宋体"/>
                <w:color w:val="auto"/>
                <w:szCs w:val="21"/>
              </w:rPr>
              <w:t>否，推荐的中标候选人数：</w:t>
            </w:r>
            <w:r>
              <w:rPr>
                <w:rFonts w:ascii="宋体" w:hAnsi="宋体" w:cs="宋体"/>
                <w:color w:val="auto"/>
                <w:szCs w:val="21"/>
                <w:u w:val="single"/>
              </w:rPr>
              <w:t xml:space="preserve">  3  </w:t>
            </w:r>
            <w:r>
              <w:rPr>
                <w:rFonts w:hint="eastAsia" w:ascii="宋体" w:hAnsi="宋体" w:cs="宋体"/>
                <w:color w:val="auto"/>
                <w:szCs w:val="21"/>
              </w:rPr>
              <w:t>人；</w:t>
            </w:r>
          </w:p>
          <w:p w14:paraId="254F6330">
            <w:pPr>
              <w:spacing w:line="360" w:lineRule="auto"/>
              <w:ind w:firstLine="315" w:firstLineChars="150"/>
              <w:rPr>
                <w:rFonts w:ascii="宋体" w:cs="宋体"/>
                <w:color w:val="auto"/>
                <w:szCs w:val="21"/>
              </w:rPr>
            </w:pPr>
            <w:r>
              <w:rPr>
                <w:rFonts w:hint="eastAsia" w:ascii="宋体" w:hAnsi="宋体" w:cs="宋体"/>
                <w:color w:val="auto"/>
                <w:szCs w:val="21"/>
              </w:rPr>
              <w:t>采购人应当确定排名第一的中标候选人为本项目中标人。排名</w:t>
            </w:r>
            <w:r>
              <w:rPr>
                <w:rFonts w:hint="eastAsia" w:ascii="宋体" w:hAnsi="宋体" w:cs="宋体"/>
                <w:color w:val="auto"/>
                <w:szCs w:val="21"/>
                <w:lang w:val="en-US" w:eastAsia="zh-CN"/>
              </w:rPr>
              <w:t>第一</w:t>
            </w:r>
            <w:r>
              <w:rPr>
                <w:rFonts w:hint="eastAsia" w:ascii="宋体" w:hAnsi="宋体" w:cs="宋体"/>
                <w:color w:val="auto"/>
                <w:szCs w:val="21"/>
              </w:rPr>
              <w:t>的中标候选人放弃中标、因不可抗力提出不能履行合同，或者被查实存在影响中标结果的违法行为等情形，不符合中标条件的，采购人可以确定排名第</w:t>
            </w:r>
            <w:r>
              <w:rPr>
                <w:rFonts w:hint="eastAsia" w:ascii="宋体" w:hAnsi="宋体" w:cs="宋体"/>
                <w:color w:val="auto"/>
                <w:szCs w:val="21"/>
                <w:lang w:val="en-US" w:eastAsia="zh-CN"/>
              </w:rPr>
              <w:t>二</w:t>
            </w:r>
            <w:r>
              <w:rPr>
                <w:rFonts w:hint="eastAsia" w:ascii="宋体" w:hAnsi="宋体" w:cs="宋体"/>
                <w:color w:val="auto"/>
                <w:szCs w:val="21"/>
              </w:rPr>
              <w:t>的中标候选人为中标人。若排名第</w:t>
            </w:r>
            <w:r>
              <w:rPr>
                <w:rFonts w:hint="eastAsia" w:ascii="宋体" w:hAnsi="宋体" w:cs="宋体"/>
                <w:color w:val="auto"/>
                <w:szCs w:val="21"/>
                <w:lang w:val="en-US" w:eastAsia="zh-CN"/>
              </w:rPr>
              <w:t>二</w:t>
            </w:r>
            <w:r>
              <w:rPr>
                <w:rFonts w:hint="eastAsia" w:ascii="宋体" w:hAnsi="宋体" w:cs="宋体"/>
                <w:color w:val="auto"/>
                <w:szCs w:val="21"/>
              </w:rPr>
              <w:t>的中标候选人出现同样情况时，依次类推。</w:t>
            </w:r>
          </w:p>
        </w:tc>
      </w:tr>
      <w:tr w14:paraId="336D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4" w:type="dxa"/>
            <w:vAlign w:val="center"/>
          </w:tcPr>
          <w:p w14:paraId="6ADFFA2A">
            <w:pPr>
              <w:numPr>
                <w:ilvl w:val="0"/>
                <w:numId w:val="1"/>
              </w:numPr>
              <w:spacing w:line="360" w:lineRule="auto"/>
              <w:jc w:val="center"/>
              <w:rPr>
                <w:rFonts w:ascii="宋体" w:cs="宋体"/>
                <w:color w:val="auto"/>
                <w:szCs w:val="21"/>
              </w:rPr>
            </w:pPr>
          </w:p>
        </w:tc>
        <w:tc>
          <w:tcPr>
            <w:tcW w:w="1650" w:type="dxa"/>
            <w:vAlign w:val="center"/>
          </w:tcPr>
          <w:p w14:paraId="28FFE089">
            <w:pPr>
              <w:spacing w:line="360" w:lineRule="auto"/>
              <w:jc w:val="center"/>
              <w:rPr>
                <w:rFonts w:ascii="宋体" w:cs="宋体"/>
                <w:color w:val="auto"/>
                <w:szCs w:val="21"/>
              </w:rPr>
            </w:pPr>
            <w:r>
              <w:rPr>
                <w:rFonts w:hint="eastAsia" w:ascii="宋体" w:hAnsi="宋体" w:cs="宋体"/>
                <w:color w:val="auto"/>
                <w:szCs w:val="21"/>
              </w:rPr>
              <w:t>中标公示</w:t>
            </w:r>
          </w:p>
        </w:tc>
        <w:tc>
          <w:tcPr>
            <w:tcW w:w="6710" w:type="dxa"/>
            <w:vAlign w:val="center"/>
          </w:tcPr>
          <w:p w14:paraId="4CC47E69">
            <w:pPr>
              <w:spacing w:line="360" w:lineRule="auto"/>
              <w:rPr>
                <w:rFonts w:ascii="宋体" w:cs="宋体"/>
                <w:color w:val="auto"/>
                <w:szCs w:val="21"/>
              </w:rPr>
            </w:pPr>
            <w:r>
              <w:rPr>
                <w:rFonts w:hint="eastAsia" w:ascii="宋体" w:hAnsi="宋体" w:cs="宋体"/>
                <w:color w:val="auto"/>
                <w:szCs w:val="21"/>
              </w:rPr>
              <w:t>在中标通知书发出前，采购人将中标候选人的情况在本招标项目招标公告发布的同一媒体上予以公示，公示期</w:t>
            </w:r>
            <w:r>
              <w:rPr>
                <w:rFonts w:ascii="宋体" w:hAnsi="宋体" w:cs="宋体"/>
                <w:color w:val="auto"/>
                <w:szCs w:val="21"/>
              </w:rPr>
              <w:t>1</w:t>
            </w:r>
            <w:r>
              <w:rPr>
                <w:rFonts w:hint="eastAsia" w:ascii="宋体" w:hAnsi="宋体" w:cs="宋体"/>
                <w:color w:val="auto"/>
                <w:szCs w:val="21"/>
              </w:rPr>
              <w:t>个工作日。</w:t>
            </w:r>
          </w:p>
        </w:tc>
      </w:tr>
      <w:tr w14:paraId="770C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724" w:type="dxa"/>
            <w:vAlign w:val="center"/>
          </w:tcPr>
          <w:p w14:paraId="08537317">
            <w:pPr>
              <w:numPr>
                <w:ilvl w:val="0"/>
                <w:numId w:val="1"/>
              </w:numPr>
              <w:spacing w:line="360" w:lineRule="auto"/>
              <w:jc w:val="center"/>
              <w:rPr>
                <w:rFonts w:ascii="宋体" w:cs="宋体"/>
                <w:color w:val="auto"/>
                <w:szCs w:val="21"/>
              </w:rPr>
            </w:pPr>
          </w:p>
        </w:tc>
        <w:tc>
          <w:tcPr>
            <w:tcW w:w="1650" w:type="dxa"/>
            <w:vAlign w:val="center"/>
          </w:tcPr>
          <w:p w14:paraId="49DAA270">
            <w:pPr>
              <w:spacing w:line="360" w:lineRule="auto"/>
              <w:jc w:val="center"/>
              <w:rPr>
                <w:rFonts w:ascii="宋体" w:cs="宋体"/>
                <w:color w:val="auto"/>
                <w:szCs w:val="21"/>
              </w:rPr>
            </w:pPr>
            <w:r>
              <w:rPr>
                <w:rFonts w:hint="eastAsia" w:ascii="宋体" w:hAnsi="宋体" w:cs="宋体"/>
                <w:color w:val="auto"/>
                <w:szCs w:val="21"/>
              </w:rPr>
              <w:t>重新招标的其他情形</w:t>
            </w:r>
          </w:p>
        </w:tc>
        <w:tc>
          <w:tcPr>
            <w:tcW w:w="6710" w:type="dxa"/>
            <w:vAlign w:val="center"/>
          </w:tcPr>
          <w:p w14:paraId="7C4929EA">
            <w:pPr>
              <w:spacing w:line="360" w:lineRule="auto"/>
              <w:rPr>
                <w:rFonts w:ascii="宋体" w:cs="宋体"/>
                <w:color w:val="auto"/>
                <w:szCs w:val="21"/>
              </w:rPr>
            </w:pPr>
            <w:r>
              <w:rPr>
                <w:rFonts w:hint="eastAsia" w:ascii="宋体" w:hAnsi="宋体" w:cs="宋体"/>
                <w:color w:val="auto"/>
                <w:szCs w:val="21"/>
              </w:rPr>
              <w:t>除供应商须知正文第</w:t>
            </w:r>
            <w:r>
              <w:rPr>
                <w:rFonts w:ascii="宋体" w:hAnsi="宋体" w:cs="宋体"/>
                <w:color w:val="auto"/>
                <w:szCs w:val="21"/>
              </w:rPr>
              <w:t>8</w:t>
            </w:r>
            <w:r>
              <w:rPr>
                <w:rFonts w:hint="eastAsia" w:ascii="宋体" w:hAnsi="宋体" w:cs="宋体"/>
                <w:color w:val="auto"/>
                <w:szCs w:val="21"/>
              </w:rPr>
              <w:t>条规定的情形外，除非已经产生中标候选人，在投标有效期内同意延长投标有效期的供应商少于三个的，采购人应当依法重新招标。</w:t>
            </w:r>
          </w:p>
        </w:tc>
      </w:tr>
      <w:tr w14:paraId="5026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24" w:type="dxa"/>
            <w:vAlign w:val="center"/>
          </w:tcPr>
          <w:p w14:paraId="7B0F0E33">
            <w:pPr>
              <w:numPr>
                <w:ilvl w:val="0"/>
                <w:numId w:val="1"/>
              </w:numPr>
              <w:spacing w:line="360" w:lineRule="auto"/>
              <w:jc w:val="center"/>
              <w:rPr>
                <w:rFonts w:ascii="宋体" w:cs="宋体"/>
                <w:color w:val="auto"/>
                <w:szCs w:val="21"/>
              </w:rPr>
            </w:pPr>
          </w:p>
        </w:tc>
        <w:tc>
          <w:tcPr>
            <w:tcW w:w="1650" w:type="dxa"/>
            <w:vAlign w:val="center"/>
          </w:tcPr>
          <w:p w14:paraId="701C521A">
            <w:pPr>
              <w:spacing w:line="360" w:lineRule="auto"/>
              <w:jc w:val="center"/>
              <w:rPr>
                <w:rFonts w:ascii="宋体" w:cs="宋体"/>
                <w:color w:val="auto"/>
                <w:szCs w:val="21"/>
              </w:rPr>
            </w:pPr>
            <w:r>
              <w:rPr>
                <w:rFonts w:ascii="宋体" w:hAnsi="宋体" w:cs="宋体"/>
                <w:color w:val="auto"/>
                <w:szCs w:val="21"/>
              </w:rPr>
              <w:t>*</w:t>
            </w:r>
            <w:r>
              <w:rPr>
                <w:rFonts w:hint="eastAsia" w:ascii="宋体" w:hAnsi="宋体" w:cs="宋体"/>
                <w:color w:val="auto"/>
                <w:szCs w:val="21"/>
              </w:rPr>
              <w:t>服务费</w:t>
            </w:r>
          </w:p>
        </w:tc>
        <w:tc>
          <w:tcPr>
            <w:tcW w:w="6710" w:type="dxa"/>
            <w:vAlign w:val="center"/>
          </w:tcPr>
          <w:p w14:paraId="13D35A1D">
            <w:pPr>
              <w:spacing w:line="360" w:lineRule="auto"/>
              <w:rPr>
                <w:rFonts w:ascii="宋体" w:cs="宋体"/>
                <w:color w:val="auto"/>
              </w:rPr>
            </w:pPr>
            <w:r>
              <w:rPr>
                <w:rFonts w:hint="eastAsia" w:ascii="宋体" w:hAnsi="宋体" w:cs="宋体"/>
                <w:color w:val="auto"/>
              </w:rPr>
              <w:t>招标代理费由中标人在领取中标通知书的同时向采购代理机构支付，支付标准参照发改计价【</w:t>
            </w:r>
            <w:r>
              <w:rPr>
                <w:rFonts w:ascii="宋体" w:hAnsi="宋体" w:cs="宋体"/>
                <w:color w:val="auto"/>
              </w:rPr>
              <w:t>2015</w:t>
            </w:r>
            <w:r>
              <w:rPr>
                <w:rFonts w:hint="eastAsia" w:ascii="宋体" w:hAnsi="宋体" w:cs="宋体"/>
                <w:color w:val="auto"/>
              </w:rPr>
              <w:t>】</w:t>
            </w:r>
            <w:r>
              <w:rPr>
                <w:rFonts w:ascii="宋体" w:hAnsi="宋体" w:cs="宋体"/>
                <w:color w:val="auto"/>
              </w:rPr>
              <w:t>299</w:t>
            </w:r>
            <w:r>
              <w:rPr>
                <w:rFonts w:hint="eastAsia" w:ascii="宋体" w:hAnsi="宋体" w:cs="宋体"/>
                <w:color w:val="auto"/>
              </w:rPr>
              <w:t>号文件和豫招协【2023】002号文的规定。方式：现金或转账。</w:t>
            </w:r>
          </w:p>
        </w:tc>
      </w:tr>
      <w:tr w14:paraId="1E9B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4" w:type="dxa"/>
            <w:vAlign w:val="center"/>
          </w:tcPr>
          <w:p w14:paraId="6CBD610A">
            <w:pPr>
              <w:numPr>
                <w:ilvl w:val="0"/>
                <w:numId w:val="1"/>
              </w:numPr>
              <w:spacing w:line="360" w:lineRule="auto"/>
              <w:jc w:val="center"/>
              <w:rPr>
                <w:rFonts w:ascii="宋体" w:cs="宋体"/>
                <w:color w:val="auto"/>
                <w:szCs w:val="21"/>
              </w:rPr>
            </w:pPr>
          </w:p>
        </w:tc>
        <w:tc>
          <w:tcPr>
            <w:tcW w:w="1650" w:type="dxa"/>
            <w:vAlign w:val="center"/>
          </w:tcPr>
          <w:p w14:paraId="753B991D">
            <w:pPr>
              <w:spacing w:line="360" w:lineRule="auto"/>
              <w:jc w:val="center"/>
              <w:rPr>
                <w:rFonts w:ascii="宋体" w:cs="宋体"/>
                <w:color w:val="auto"/>
                <w:szCs w:val="21"/>
              </w:rPr>
            </w:pPr>
            <w:r>
              <w:rPr>
                <w:rFonts w:ascii="宋体" w:hAnsi="宋体" w:cs="宋体"/>
                <w:color w:val="auto"/>
                <w:szCs w:val="21"/>
              </w:rPr>
              <w:t>*</w:t>
            </w:r>
            <w:r>
              <w:rPr>
                <w:rFonts w:hint="eastAsia" w:ascii="宋体" w:hAnsi="宋体" w:cs="宋体"/>
                <w:color w:val="auto"/>
                <w:szCs w:val="21"/>
              </w:rPr>
              <w:t>中标候选人</w:t>
            </w:r>
          </w:p>
          <w:p w14:paraId="1206665E">
            <w:pPr>
              <w:spacing w:line="360" w:lineRule="auto"/>
              <w:jc w:val="center"/>
              <w:rPr>
                <w:rFonts w:ascii="宋体" w:cs="宋体"/>
                <w:color w:val="auto"/>
                <w:szCs w:val="21"/>
              </w:rPr>
            </w:pPr>
            <w:r>
              <w:rPr>
                <w:rFonts w:hint="eastAsia" w:ascii="宋体" w:hAnsi="宋体" w:cs="宋体"/>
                <w:color w:val="auto"/>
                <w:szCs w:val="21"/>
              </w:rPr>
              <w:t>评定</w:t>
            </w:r>
          </w:p>
        </w:tc>
        <w:tc>
          <w:tcPr>
            <w:tcW w:w="6710" w:type="dxa"/>
            <w:vAlign w:val="center"/>
          </w:tcPr>
          <w:p w14:paraId="018A2ACB">
            <w:pPr>
              <w:spacing w:line="360" w:lineRule="auto"/>
              <w:rPr>
                <w:rFonts w:ascii="宋体" w:cs="宋体"/>
                <w:color w:val="auto"/>
                <w:szCs w:val="21"/>
              </w:rPr>
            </w:pPr>
            <w:r>
              <w:rPr>
                <w:rFonts w:hint="eastAsia" w:ascii="宋体" w:hAnsi="宋体" w:cs="宋体"/>
                <w:color w:val="auto"/>
                <w:szCs w:val="21"/>
              </w:rPr>
              <w:t>评标委员会应推荐得分最高的为第一中标候选人。若得分相同的，按投标报价由低到高顺序排列；投标报价也相等的，按技术得分高者优先，技术得分也相等的，按技术指标优劣顺序排列；技术指标优劣顺序排列也相等的由采购人确定。</w:t>
            </w:r>
          </w:p>
        </w:tc>
      </w:tr>
      <w:tr w14:paraId="3222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4" w:type="dxa"/>
            <w:vAlign w:val="center"/>
          </w:tcPr>
          <w:p w14:paraId="31D79488">
            <w:pPr>
              <w:numPr>
                <w:ilvl w:val="0"/>
                <w:numId w:val="1"/>
              </w:numPr>
              <w:spacing w:line="360" w:lineRule="auto"/>
              <w:jc w:val="center"/>
              <w:rPr>
                <w:rFonts w:ascii="宋体" w:cs="宋体"/>
                <w:color w:val="auto"/>
                <w:szCs w:val="21"/>
              </w:rPr>
            </w:pPr>
          </w:p>
        </w:tc>
        <w:tc>
          <w:tcPr>
            <w:tcW w:w="1650" w:type="dxa"/>
            <w:vAlign w:val="center"/>
          </w:tcPr>
          <w:p w14:paraId="7A587218">
            <w:pPr>
              <w:spacing w:line="360" w:lineRule="auto"/>
              <w:jc w:val="center"/>
              <w:rPr>
                <w:rFonts w:ascii="宋体" w:cs="宋体"/>
                <w:color w:val="auto"/>
                <w:szCs w:val="21"/>
              </w:rPr>
            </w:pPr>
            <w:r>
              <w:rPr>
                <w:rFonts w:ascii="宋体" w:hAnsi="宋体" w:cs="宋体"/>
                <w:color w:val="auto"/>
                <w:szCs w:val="21"/>
              </w:rPr>
              <w:t>*</w:t>
            </w:r>
            <w:r>
              <w:rPr>
                <w:rFonts w:hint="eastAsia" w:ascii="宋体" w:hAnsi="宋体" w:cs="宋体"/>
                <w:color w:val="auto"/>
                <w:szCs w:val="21"/>
              </w:rPr>
              <w:t>采购预算</w:t>
            </w:r>
          </w:p>
        </w:tc>
        <w:tc>
          <w:tcPr>
            <w:tcW w:w="6710" w:type="dxa"/>
            <w:vAlign w:val="center"/>
          </w:tcPr>
          <w:p w14:paraId="2E2E7D1A">
            <w:pPr>
              <w:spacing w:line="360" w:lineRule="auto"/>
              <w:rPr>
                <w:rFonts w:ascii="宋体" w:cs="宋体"/>
                <w:b/>
              </w:rPr>
            </w:pPr>
            <w:r>
              <w:rPr>
                <w:rFonts w:hint="eastAsia" w:ascii="宋体" w:hAnsi="宋体" w:cs="宋体"/>
                <w:color w:val="auto"/>
                <w:szCs w:val="21"/>
                <w:highlight w:val="red"/>
                <w:shd w:val="clear" w:color="auto" w:fill="FFFFFF"/>
              </w:rPr>
              <w:t>本项目预算金额：</w:t>
            </w:r>
            <w:r>
              <w:rPr>
                <w:rFonts w:hint="eastAsia" w:ascii="宋体" w:hAnsi="宋体" w:cs="宋体"/>
                <w:color w:val="auto"/>
                <w:szCs w:val="21"/>
                <w:highlight w:val="red"/>
                <w:shd w:val="clear" w:color="auto" w:fill="FFFFFF"/>
                <w:lang w:val="en-US" w:eastAsia="zh-CN"/>
              </w:rPr>
              <w:t>18480000.00</w:t>
            </w:r>
            <w:r>
              <w:rPr>
                <w:rFonts w:hint="eastAsia" w:ascii="宋体" w:hAnsi="宋体" w:cs="宋体"/>
                <w:color w:val="auto"/>
                <w:szCs w:val="21"/>
                <w:highlight w:val="red"/>
                <w:shd w:val="clear" w:color="auto" w:fill="FFFFFF"/>
              </w:rPr>
              <w:t>元</w:t>
            </w:r>
          </w:p>
        </w:tc>
      </w:tr>
      <w:tr w14:paraId="38E9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4" w:type="dxa"/>
            <w:vAlign w:val="center"/>
          </w:tcPr>
          <w:p w14:paraId="66D8B139">
            <w:pPr>
              <w:numPr>
                <w:ilvl w:val="0"/>
                <w:numId w:val="1"/>
              </w:numPr>
              <w:spacing w:line="360" w:lineRule="auto"/>
              <w:jc w:val="center"/>
              <w:rPr>
                <w:rFonts w:ascii="宋体" w:cs="宋体"/>
                <w:color w:val="auto"/>
                <w:szCs w:val="21"/>
              </w:rPr>
            </w:pPr>
          </w:p>
        </w:tc>
        <w:tc>
          <w:tcPr>
            <w:tcW w:w="1650" w:type="dxa"/>
            <w:vAlign w:val="center"/>
          </w:tcPr>
          <w:p w14:paraId="44840966">
            <w:pPr>
              <w:spacing w:line="360" w:lineRule="auto"/>
              <w:jc w:val="center"/>
              <w:rPr>
                <w:rFonts w:hint="default" w:ascii="宋体" w:hAnsi="宋体" w:eastAsia="宋体" w:cs="宋体"/>
                <w:b/>
                <w:bCs/>
                <w:color w:val="FF0000"/>
                <w:szCs w:val="21"/>
                <w:lang w:val="en-US" w:eastAsia="zh-CN"/>
              </w:rPr>
            </w:pPr>
            <w:r>
              <w:rPr>
                <w:rFonts w:hint="eastAsia" w:ascii="宋体" w:hAnsi="宋体" w:cs="宋体"/>
                <w:b/>
                <w:bCs/>
                <w:color w:val="FF0000"/>
                <w:szCs w:val="21"/>
                <w:lang w:val="en-US" w:eastAsia="zh-CN"/>
              </w:rPr>
              <w:t>招标控制价</w:t>
            </w:r>
          </w:p>
        </w:tc>
        <w:tc>
          <w:tcPr>
            <w:tcW w:w="6710" w:type="dxa"/>
            <w:vAlign w:val="center"/>
          </w:tcPr>
          <w:p w14:paraId="1804A710">
            <w:pPr>
              <w:spacing w:line="360" w:lineRule="auto"/>
              <w:rPr>
                <w:rFonts w:hint="eastAsia" w:ascii="宋体" w:hAnsi="宋体" w:cs="宋体"/>
                <w:b/>
                <w:bCs/>
                <w:color w:val="FF0000"/>
                <w:szCs w:val="21"/>
                <w:shd w:val="clear" w:color="auto" w:fill="FFFFFF"/>
              </w:rPr>
            </w:pPr>
            <w:r>
              <w:rPr>
                <w:rFonts w:hint="eastAsia" w:ascii="宋体" w:hAnsi="宋体" w:cs="宋体"/>
                <w:b/>
                <w:bCs/>
                <w:color w:val="FF0000"/>
                <w:szCs w:val="21"/>
                <w:shd w:val="clear" w:color="auto" w:fill="FFFFFF"/>
              </w:rPr>
              <w:t>食材报价：</w:t>
            </w:r>
            <w:r>
              <w:rPr>
                <w:rFonts w:hint="eastAsia" w:ascii="宋体" w:hAnsi="宋体" w:cs="宋体"/>
                <w:b/>
                <w:bCs/>
                <w:color w:val="FF0000"/>
                <w:szCs w:val="21"/>
                <w:shd w:val="clear" w:color="auto" w:fill="FFFFFF"/>
                <w:lang w:val="en-US" w:eastAsia="zh-CN"/>
              </w:rPr>
              <w:t>社旗</w:t>
            </w:r>
            <w:r>
              <w:rPr>
                <w:rFonts w:hint="eastAsia" w:ascii="宋体" w:hAnsi="宋体" w:cs="宋体"/>
                <w:b/>
                <w:bCs/>
                <w:color w:val="FF0000"/>
                <w:szCs w:val="21"/>
                <w:shd w:val="clear" w:color="auto" w:fill="FFFFFF"/>
              </w:rPr>
              <w:t>县发展和改委员会食材当期发布价的100%</w:t>
            </w:r>
          </w:p>
          <w:p w14:paraId="49DBAFFB">
            <w:pPr>
              <w:spacing w:line="360" w:lineRule="auto"/>
              <w:rPr>
                <w:rFonts w:hint="eastAsia" w:ascii="宋体" w:hAnsi="宋体" w:cs="宋体"/>
                <w:b/>
                <w:bCs/>
                <w:color w:val="FF0000"/>
                <w:szCs w:val="21"/>
                <w:shd w:val="clear" w:color="auto" w:fill="FFFFFF"/>
              </w:rPr>
            </w:pPr>
            <w:r>
              <w:rPr>
                <w:rFonts w:hint="eastAsia" w:ascii="宋体" w:hAnsi="宋体" w:cs="宋体"/>
                <w:b/>
                <w:bCs/>
                <w:color w:val="FF0000"/>
                <w:szCs w:val="21"/>
                <w:shd w:val="clear" w:color="auto" w:fill="FFFFFF"/>
              </w:rPr>
              <w:t>供应商的食材报价超出招标控制价视为无效报价，其投标按废标处理</w:t>
            </w:r>
          </w:p>
        </w:tc>
      </w:tr>
      <w:tr w14:paraId="435C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4" w:type="dxa"/>
            <w:vAlign w:val="center"/>
          </w:tcPr>
          <w:p w14:paraId="1DB800EB">
            <w:pPr>
              <w:numPr>
                <w:ilvl w:val="0"/>
                <w:numId w:val="1"/>
              </w:numPr>
              <w:spacing w:line="360" w:lineRule="auto"/>
              <w:jc w:val="center"/>
              <w:rPr>
                <w:rFonts w:ascii="宋体" w:cs="宋体"/>
                <w:color w:val="auto"/>
                <w:szCs w:val="21"/>
              </w:rPr>
            </w:pPr>
          </w:p>
        </w:tc>
        <w:tc>
          <w:tcPr>
            <w:tcW w:w="1650" w:type="dxa"/>
            <w:vAlign w:val="center"/>
          </w:tcPr>
          <w:p w14:paraId="5731C229">
            <w:pPr>
              <w:autoSpaceDE w:val="0"/>
              <w:autoSpaceDN w:val="0"/>
              <w:spacing w:line="360" w:lineRule="auto"/>
              <w:ind w:firstLine="211" w:firstLineChars="100"/>
              <w:rPr>
                <w:rFonts w:ascii="宋体" w:hAnsi="宋体" w:cs="宋体"/>
                <w:b/>
                <w:bCs/>
                <w:color w:val="FF0000"/>
                <w:szCs w:val="21"/>
              </w:rPr>
            </w:pPr>
            <w:r>
              <w:rPr>
                <w:rFonts w:hint="eastAsia" w:ascii="宋体" w:hAnsi="宋体" w:cs="宋体"/>
                <w:b/>
                <w:bCs/>
                <w:color w:val="FF0000"/>
                <w:szCs w:val="21"/>
              </w:rPr>
              <w:t>结算方式</w:t>
            </w:r>
          </w:p>
        </w:tc>
        <w:tc>
          <w:tcPr>
            <w:tcW w:w="6710" w:type="dxa"/>
            <w:vAlign w:val="center"/>
          </w:tcPr>
          <w:p w14:paraId="41361875">
            <w:pPr>
              <w:spacing w:line="360" w:lineRule="auto"/>
              <w:rPr>
                <w:rFonts w:hint="eastAsia" w:ascii="宋体" w:hAnsi="宋体" w:eastAsia="宋体" w:cs="宋体"/>
                <w:b/>
                <w:bCs/>
                <w:color w:val="FF0000"/>
                <w:szCs w:val="21"/>
                <w:lang w:eastAsia="zh-CN"/>
              </w:rPr>
            </w:pPr>
            <w:r>
              <w:rPr>
                <w:rFonts w:hint="eastAsia" w:ascii="宋体" w:hAnsi="宋体" w:cs="宋体"/>
                <w:b/>
                <w:bCs/>
                <w:color w:val="FF0000"/>
                <w:szCs w:val="21"/>
              </w:rPr>
              <w:t>据实结算</w:t>
            </w:r>
            <w:r>
              <w:rPr>
                <w:rFonts w:hint="eastAsia" w:ascii="宋体" w:hAnsi="宋体" w:cs="宋体"/>
                <w:b/>
                <w:bCs/>
                <w:color w:val="FF0000"/>
                <w:szCs w:val="21"/>
                <w:lang w:eastAsia="zh-CN"/>
              </w:rPr>
              <w:t>，本项目最终结算以实际供餐量*</w:t>
            </w:r>
            <w:r>
              <w:rPr>
                <w:rFonts w:hint="eastAsia" w:ascii="宋体" w:hAnsi="宋体" w:cs="宋体"/>
                <w:b/>
                <w:bCs/>
                <w:color w:val="FF0000"/>
                <w:szCs w:val="21"/>
                <w:lang w:val="en-US" w:eastAsia="zh-CN"/>
              </w:rPr>
              <w:t>社旗</w:t>
            </w:r>
            <w:r>
              <w:rPr>
                <w:rFonts w:hint="eastAsia" w:ascii="宋体" w:hAnsi="宋体" w:cs="宋体"/>
                <w:b/>
                <w:bCs/>
                <w:color w:val="FF0000"/>
                <w:szCs w:val="21"/>
                <w:lang w:eastAsia="zh-CN"/>
              </w:rPr>
              <w:t>县发展和改委员会食材当期发布价*供应商食材报价为准进行结算。</w:t>
            </w:r>
          </w:p>
        </w:tc>
      </w:tr>
      <w:tr w14:paraId="5AC0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4" w:type="dxa"/>
            <w:vAlign w:val="center"/>
          </w:tcPr>
          <w:p w14:paraId="2D6A3B34">
            <w:pPr>
              <w:numPr>
                <w:ilvl w:val="0"/>
                <w:numId w:val="1"/>
              </w:numPr>
              <w:spacing w:line="360" w:lineRule="auto"/>
              <w:jc w:val="center"/>
              <w:rPr>
                <w:rFonts w:ascii="宋体" w:cs="宋体"/>
                <w:color w:val="auto"/>
                <w:szCs w:val="21"/>
              </w:rPr>
            </w:pPr>
          </w:p>
        </w:tc>
        <w:tc>
          <w:tcPr>
            <w:tcW w:w="1650" w:type="dxa"/>
            <w:vAlign w:val="center"/>
          </w:tcPr>
          <w:p w14:paraId="74A10382">
            <w:pPr>
              <w:autoSpaceDE w:val="0"/>
              <w:autoSpaceDN w:val="0"/>
              <w:spacing w:line="360" w:lineRule="auto"/>
              <w:jc w:val="center"/>
              <w:rPr>
                <w:rFonts w:ascii="宋体" w:hAnsi="宋体" w:cs="宋体"/>
                <w:b/>
                <w:bCs/>
                <w:color w:val="FF0000"/>
                <w:szCs w:val="21"/>
                <w:highlight w:val="none"/>
              </w:rPr>
            </w:pPr>
            <w:r>
              <w:rPr>
                <w:rFonts w:hint="eastAsia" w:ascii="宋体" w:hAnsi="宋体" w:cs="宋体"/>
                <w:b/>
                <w:bCs/>
                <w:color w:val="FF0000"/>
                <w:szCs w:val="21"/>
                <w:highlight w:val="none"/>
              </w:rPr>
              <w:t>投标报价</w:t>
            </w:r>
          </w:p>
        </w:tc>
        <w:tc>
          <w:tcPr>
            <w:tcW w:w="6710" w:type="dxa"/>
            <w:vAlign w:val="center"/>
          </w:tcPr>
          <w:p w14:paraId="4598778D">
            <w:pPr>
              <w:spacing w:line="360" w:lineRule="auto"/>
              <w:rPr>
                <w:rFonts w:hint="eastAsia" w:ascii="宋体" w:hAnsi="宋体" w:cs="宋体"/>
                <w:b/>
                <w:bCs/>
                <w:color w:val="FF0000"/>
                <w:szCs w:val="21"/>
                <w:highlight w:val="none"/>
              </w:rPr>
            </w:pPr>
            <w:r>
              <w:rPr>
                <w:rFonts w:hint="eastAsia" w:ascii="宋体" w:hAnsi="宋体" w:cs="宋体"/>
                <w:b/>
                <w:bCs/>
                <w:color w:val="FF0000"/>
                <w:szCs w:val="21"/>
                <w:highlight w:val="none"/>
              </w:rPr>
              <w:t>具体情形：因系统固定格式原因必须填写价格时，如供应商食材报价为</w:t>
            </w:r>
          </w:p>
          <w:p w14:paraId="7ED5BA57">
            <w:pPr>
              <w:spacing w:line="360" w:lineRule="auto"/>
              <w:rPr>
                <w:rFonts w:ascii="宋体" w:hAnsi="宋体" w:cs="宋体"/>
                <w:b/>
                <w:bCs/>
                <w:color w:val="FF0000"/>
                <w:szCs w:val="21"/>
                <w:highlight w:val="none"/>
              </w:rPr>
            </w:pPr>
            <w:r>
              <w:rPr>
                <w:rFonts w:hint="eastAsia" w:ascii="宋体" w:hAnsi="宋体" w:cs="宋体"/>
                <w:b/>
                <w:bCs/>
                <w:color w:val="FF0000"/>
                <w:szCs w:val="21"/>
                <w:highlight w:val="none"/>
                <w:lang w:val="en-US" w:eastAsia="zh-CN"/>
              </w:rPr>
              <w:t>社旗</w:t>
            </w:r>
            <w:r>
              <w:rPr>
                <w:rFonts w:hint="eastAsia" w:ascii="宋体" w:hAnsi="宋体" w:cs="宋体"/>
                <w:b/>
                <w:bCs/>
                <w:color w:val="FF0000"/>
                <w:szCs w:val="21"/>
                <w:highlight w:val="none"/>
              </w:rPr>
              <w:t>县发展和改委员会食材当期发布价的97%，供应商在系统中投标总报价可填写为0.97元。以此为例，如供应商报价为</w:t>
            </w:r>
            <w:r>
              <w:rPr>
                <w:rFonts w:hint="eastAsia" w:ascii="宋体" w:hAnsi="宋体" w:cs="宋体"/>
                <w:b/>
                <w:bCs/>
                <w:color w:val="FF0000"/>
                <w:szCs w:val="21"/>
                <w:highlight w:val="none"/>
                <w:lang w:val="en-US" w:eastAsia="zh-CN"/>
              </w:rPr>
              <w:t>社旗</w:t>
            </w:r>
            <w:r>
              <w:rPr>
                <w:rFonts w:hint="eastAsia" w:ascii="宋体" w:hAnsi="宋体" w:cs="宋体"/>
                <w:b/>
                <w:bCs/>
                <w:color w:val="FF0000"/>
                <w:szCs w:val="21"/>
                <w:highlight w:val="none"/>
              </w:rPr>
              <w:t>县发展和改委员会食材当期发布价的98%，供应商在系统中投标总报价可填写为0.98元。</w:t>
            </w:r>
          </w:p>
        </w:tc>
      </w:tr>
      <w:tr w14:paraId="409C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4" w:type="dxa"/>
            <w:vAlign w:val="center"/>
          </w:tcPr>
          <w:p w14:paraId="46FF15CF">
            <w:pPr>
              <w:numPr>
                <w:ilvl w:val="0"/>
                <w:numId w:val="1"/>
              </w:numPr>
              <w:spacing w:line="360" w:lineRule="auto"/>
              <w:jc w:val="center"/>
              <w:rPr>
                <w:rFonts w:ascii="宋体" w:cs="宋体"/>
                <w:color w:val="auto"/>
                <w:szCs w:val="21"/>
              </w:rPr>
            </w:pPr>
          </w:p>
        </w:tc>
        <w:tc>
          <w:tcPr>
            <w:tcW w:w="1650" w:type="dxa"/>
            <w:vAlign w:val="center"/>
          </w:tcPr>
          <w:p w14:paraId="5C70C73C">
            <w:pPr>
              <w:autoSpaceDE w:val="0"/>
              <w:autoSpaceDN w:val="0"/>
              <w:spacing w:line="360" w:lineRule="auto"/>
              <w:ind w:firstLine="210" w:firstLineChars="100"/>
              <w:rPr>
                <w:rFonts w:ascii="宋体" w:cs="宋体"/>
                <w:color w:val="auto"/>
                <w:szCs w:val="21"/>
              </w:rPr>
            </w:pPr>
            <w:r>
              <w:rPr>
                <w:rFonts w:hint="eastAsia" w:ascii="宋体" w:hAnsi="宋体" w:cs="宋体"/>
                <w:color w:val="auto"/>
                <w:szCs w:val="21"/>
              </w:rPr>
              <w:t>中小企业</w:t>
            </w:r>
          </w:p>
        </w:tc>
        <w:tc>
          <w:tcPr>
            <w:tcW w:w="6710" w:type="dxa"/>
            <w:vAlign w:val="center"/>
          </w:tcPr>
          <w:p w14:paraId="7860CEE4">
            <w:pPr>
              <w:spacing w:line="360" w:lineRule="auto"/>
              <w:rPr>
                <w:rFonts w:ascii="宋体" w:cs="宋体"/>
                <w:color w:val="auto"/>
                <w:szCs w:val="21"/>
              </w:rPr>
            </w:pPr>
            <w:r>
              <w:rPr>
                <w:rFonts w:ascii="宋体" w:hAnsi="宋体" w:cs="宋体"/>
                <w:color w:val="auto"/>
                <w:szCs w:val="21"/>
              </w:rPr>
              <w:t>1.</w:t>
            </w:r>
            <w:r>
              <w:rPr>
                <w:rFonts w:hint="eastAsia" w:ascii="宋体" w:hAnsi="宋体" w:cs="宋体"/>
                <w:color w:val="auto"/>
                <w:szCs w:val="21"/>
              </w:rPr>
              <w:t>是否为专门面向中小企业采购：否；</w:t>
            </w:r>
          </w:p>
          <w:p w14:paraId="7F7F9DB0">
            <w:pPr>
              <w:spacing w:line="360" w:lineRule="auto"/>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根据关于印发中小企业划型标准规定的通知（工信部联企业〔2011〕300 号）文件，政府采购品目分类目录（2022 年印发）</w:t>
            </w:r>
          </w:p>
          <w:p w14:paraId="019B4A2D">
            <w:pPr>
              <w:spacing w:line="360" w:lineRule="auto"/>
              <w:rPr>
                <w:rFonts w:ascii="宋体" w:hAnsi="宋体" w:cs="宋体"/>
                <w:color w:val="auto"/>
                <w:szCs w:val="21"/>
              </w:rPr>
            </w:pPr>
            <w:r>
              <w:rPr>
                <w:rFonts w:hint="eastAsia" w:ascii="宋体" w:hAnsi="宋体" w:cs="宋体"/>
                <w:color w:val="auto"/>
                <w:szCs w:val="21"/>
              </w:rPr>
              <w:t>工业：1、小麦粉或面条或馒头；2、大米；3、食用油；4、鲜肉；5、干调类。说明：涉及到以农、林、牧、渔业产品为原料进行的谷物磨制、饲料加工、植物油和制糖加工、屠宰及肉类加工、水产品加工，以及蔬菜、水果和坚果等食品的加工。</w:t>
            </w:r>
          </w:p>
          <w:p w14:paraId="63A748A2">
            <w:pPr>
              <w:spacing w:line="360" w:lineRule="auto"/>
              <w:rPr>
                <w:rFonts w:ascii="宋体" w:hAnsi="宋体" w:cs="宋体"/>
                <w:color w:val="auto"/>
                <w:szCs w:val="21"/>
              </w:rPr>
            </w:pPr>
            <w:r>
              <w:rPr>
                <w:rFonts w:hint="eastAsia" w:ascii="宋体" w:hAnsi="宋体" w:cs="宋体"/>
                <w:color w:val="auto"/>
                <w:szCs w:val="21"/>
              </w:rPr>
              <w:t>农林牧渔：6、蔬菜类；7、蛋类。说明：农产品初包装提供至初级市场；</w:t>
            </w:r>
          </w:p>
          <w:p w14:paraId="145F25FB">
            <w:pPr>
              <w:spacing w:line="360" w:lineRule="auto"/>
              <w:rPr>
                <w:rFonts w:ascii="宋体" w:cs="宋体"/>
                <w:b/>
                <w:color w:val="auto"/>
                <w:szCs w:val="21"/>
              </w:rPr>
            </w:pPr>
            <w:r>
              <w:rPr>
                <w:rFonts w:ascii="宋体" w:hAnsi="宋体" w:cs="宋体"/>
                <w:color w:val="auto"/>
                <w:szCs w:val="21"/>
              </w:rPr>
              <w:t>3.</w:t>
            </w:r>
            <w:r>
              <w:rPr>
                <w:rFonts w:hint="eastAsia" w:ascii="宋体" w:hAnsi="宋体" w:cs="宋体"/>
                <w:color w:val="auto"/>
                <w:szCs w:val="21"/>
              </w:rPr>
              <w:t>中标人享受《政府采购促进中小企业发展管理办法》规定的中小企业扶持政策的，采购人、采购代理机构将随中标结果公开中标人的《中小企业声明函》。</w:t>
            </w:r>
          </w:p>
        </w:tc>
      </w:tr>
      <w:tr w14:paraId="33C7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4" w:type="dxa"/>
            <w:vAlign w:val="center"/>
          </w:tcPr>
          <w:p w14:paraId="163C4CA0">
            <w:pPr>
              <w:numPr>
                <w:ilvl w:val="0"/>
                <w:numId w:val="1"/>
              </w:numPr>
              <w:spacing w:line="360" w:lineRule="auto"/>
              <w:jc w:val="center"/>
              <w:rPr>
                <w:rFonts w:ascii="宋体" w:cs="宋体"/>
                <w:color w:val="auto"/>
                <w:szCs w:val="21"/>
              </w:rPr>
            </w:pPr>
          </w:p>
        </w:tc>
        <w:tc>
          <w:tcPr>
            <w:tcW w:w="1650" w:type="dxa"/>
            <w:vAlign w:val="center"/>
          </w:tcPr>
          <w:p w14:paraId="4AAD262F">
            <w:pPr>
              <w:spacing w:line="360" w:lineRule="auto"/>
              <w:jc w:val="center"/>
              <w:rPr>
                <w:rFonts w:ascii="宋体" w:cs="宋体"/>
                <w:color w:val="auto"/>
                <w:szCs w:val="21"/>
              </w:rPr>
            </w:pPr>
            <w:r>
              <w:rPr>
                <w:rFonts w:hint="eastAsia" w:ascii="宋体" w:hAnsi="宋体" w:cs="宋体"/>
                <w:color w:val="auto"/>
                <w:szCs w:val="21"/>
              </w:rPr>
              <w:t>政府采购政策支持</w:t>
            </w:r>
          </w:p>
        </w:tc>
        <w:tc>
          <w:tcPr>
            <w:tcW w:w="6710" w:type="dxa"/>
            <w:vAlign w:val="center"/>
          </w:tcPr>
          <w:p w14:paraId="515F0B7A">
            <w:pPr>
              <w:widowControl w:val="0"/>
              <w:tabs>
                <w:tab w:val="left" w:pos="1005"/>
              </w:tabs>
              <w:spacing w:line="360" w:lineRule="auto"/>
              <w:rPr>
                <w:rFonts w:ascii="宋体" w:cs="宋体"/>
                <w:b/>
                <w:bCs/>
                <w:color w:val="auto"/>
                <w:szCs w:val="21"/>
              </w:rPr>
            </w:pPr>
            <w:r>
              <w:rPr>
                <w:rFonts w:hint="eastAsia" w:ascii="宋体" w:hAnsi="宋体" w:cs="宋体"/>
                <w:b/>
                <w:color w:val="auto"/>
                <w:szCs w:val="21"/>
              </w:rPr>
              <w:t>（一）促进中小企业发展和</w:t>
            </w:r>
            <w:r>
              <w:rPr>
                <w:rFonts w:hint="eastAsia" w:ascii="宋体" w:hAnsi="宋体" w:cs="宋体"/>
                <w:b/>
                <w:bCs/>
                <w:color w:val="auto"/>
                <w:szCs w:val="21"/>
              </w:rPr>
              <w:t>支持监狱企业发展</w:t>
            </w:r>
            <w:r>
              <w:rPr>
                <w:rFonts w:hint="eastAsia" w:ascii="宋体" w:hAnsi="宋体" w:cs="宋体"/>
                <w:b/>
                <w:color w:val="auto"/>
                <w:szCs w:val="21"/>
              </w:rPr>
              <w:t>：</w:t>
            </w:r>
          </w:p>
          <w:p w14:paraId="29C71AC4">
            <w:pPr>
              <w:widowControl w:val="0"/>
              <w:numPr>
                <w:ilvl w:val="0"/>
                <w:numId w:val="2"/>
              </w:numPr>
              <w:tabs>
                <w:tab w:val="left" w:pos="1005"/>
              </w:tabs>
              <w:spacing w:line="360" w:lineRule="auto"/>
              <w:rPr>
                <w:rFonts w:ascii="宋体" w:cs="宋体"/>
                <w:b/>
                <w:bCs/>
                <w:color w:val="auto"/>
                <w:szCs w:val="21"/>
              </w:rPr>
            </w:pPr>
            <w:r>
              <w:rPr>
                <w:rFonts w:hint="eastAsia" w:ascii="宋体" w:hAnsi="宋体" w:cs="宋体"/>
                <w:bCs/>
                <w:szCs w:val="21"/>
              </w:rPr>
              <w:t>根据《政府采购促进中小企业发展管理办法》（财库（</w:t>
            </w:r>
            <w:r>
              <w:rPr>
                <w:rFonts w:ascii="宋体" w:hAnsi="宋体" w:cs="宋体"/>
                <w:bCs/>
                <w:szCs w:val="21"/>
              </w:rPr>
              <w:t>2020</w:t>
            </w:r>
            <w:r>
              <w:rPr>
                <w:rFonts w:hint="eastAsia" w:ascii="宋体" w:hAnsi="宋体" w:cs="宋体"/>
                <w:bCs/>
                <w:szCs w:val="21"/>
              </w:rPr>
              <w:t>）</w:t>
            </w:r>
            <w:r>
              <w:rPr>
                <w:rFonts w:ascii="宋体" w:hAnsi="宋体" w:cs="宋体"/>
                <w:bCs/>
                <w:szCs w:val="21"/>
              </w:rPr>
              <w:t>46</w:t>
            </w:r>
            <w:r>
              <w:rPr>
                <w:rFonts w:hint="eastAsia" w:ascii="宋体" w:hAnsi="宋体" w:cs="宋体"/>
                <w:bCs/>
                <w:szCs w:val="21"/>
              </w:rPr>
              <w:t>号）和《财政部司法部关于政府采购支持监狱企业发展有关问题的通知》（财库（</w:t>
            </w:r>
            <w:r>
              <w:rPr>
                <w:rFonts w:ascii="宋体" w:hAnsi="宋体" w:cs="宋体"/>
                <w:bCs/>
                <w:szCs w:val="21"/>
              </w:rPr>
              <w:t>2014</w:t>
            </w:r>
            <w:r>
              <w:rPr>
                <w:rFonts w:hint="eastAsia" w:ascii="宋体" w:hAnsi="宋体" w:cs="宋体"/>
                <w:bCs/>
                <w:szCs w:val="21"/>
              </w:rPr>
              <w:t>）</w:t>
            </w:r>
            <w:r>
              <w:rPr>
                <w:rFonts w:ascii="宋体" w:hAnsi="宋体" w:cs="宋体"/>
                <w:bCs/>
                <w:szCs w:val="21"/>
              </w:rPr>
              <w:t>68</w:t>
            </w:r>
            <w:r>
              <w:rPr>
                <w:rFonts w:hint="eastAsia" w:ascii="宋体" w:hAnsi="宋体" w:cs="宋体"/>
                <w:bCs/>
                <w:szCs w:val="21"/>
              </w:rPr>
              <w:t>号）的规定</w:t>
            </w:r>
            <w:r>
              <w:rPr>
                <w:rFonts w:hint="eastAsia" w:ascii="宋体" w:hAnsi="宋体" w:cs="宋体"/>
                <w:bCs/>
                <w:color w:val="auto"/>
                <w:szCs w:val="21"/>
              </w:rPr>
              <w:t>，对满足价格扣除条件且在投标文件中提交了《中小企业声明函》或省级以上监狱管理局、戒毒管理局（含新疆生产建设兵团）出具的属于监狱企业的证明文件的供应商，在满足资格项规定的条件后，其投标报价扣除10</w:t>
            </w:r>
            <w:r>
              <w:rPr>
                <w:rFonts w:ascii="宋体" w:hAnsi="宋体" w:cs="宋体"/>
                <w:bCs/>
                <w:color w:val="auto"/>
                <w:szCs w:val="21"/>
              </w:rPr>
              <w:t>%</w:t>
            </w:r>
            <w:r>
              <w:rPr>
                <w:rFonts w:hint="eastAsia" w:ascii="宋体" w:hAnsi="宋体" w:cs="宋体"/>
                <w:bCs/>
                <w:color w:val="auto"/>
                <w:szCs w:val="21"/>
              </w:rPr>
              <w:t>后参与评审。</w:t>
            </w:r>
            <w:r>
              <w:rPr>
                <w:rFonts w:hint="eastAsia" w:ascii="宋体" w:hAnsi="宋体" w:cs="宋体"/>
                <w:b/>
                <w:bCs/>
                <w:color w:val="auto"/>
                <w:szCs w:val="21"/>
              </w:rPr>
              <w:t>（注：多品目投标时所有产品的生产企业须同时为小型、微型企业才能享受价格扣除政策）</w:t>
            </w:r>
          </w:p>
          <w:p w14:paraId="403C7CC2">
            <w:pPr>
              <w:widowControl w:val="0"/>
              <w:numPr>
                <w:ilvl w:val="0"/>
                <w:numId w:val="2"/>
              </w:numPr>
              <w:tabs>
                <w:tab w:val="left" w:pos="1005"/>
              </w:tabs>
              <w:spacing w:line="360" w:lineRule="auto"/>
              <w:rPr>
                <w:rFonts w:ascii="宋体" w:cs="宋体"/>
                <w:bCs/>
                <w:color w:val="auto"/>
                <w:szCs w:val="21"/>
              </w:rPr>
            </w:pPr>
            <w:r>
              <w:rPr>
                <w:rFonts w:hint="eastAsia" w:ascii="宋体" w:hAnsi="宋体" w:cs="宋体"/>
                <w:bCs/>
                <w:color w:val="auto"/>
                <w:szCs w:val="21"/>
              </w:rPr>
              <w:t>中小企业划分标准以工信部联企业【</w:t>
            </w:r>
            <w:r>
              <w:rPr>
                <w:rFonts w:ascii="宋体" w:hAnsi="宋体" w:cs="宋体"/>
                <w:bCs/>
                <w:color w:val="auto"/>
                <w:szCs w:val="21"/>
              </w:rPr>
              <w:t>2011</w:t>
            </w:r>
            <w:r>
              <w:rPr>
                <w:rFonts w:hint="eastAsia" w:ascii="宋体" w:hAnsi="宋体" w:cs="宋体"/>
                <w:bCs/>
                <w:color w:val="auto"/>
                <w:szCs w:val="21"/>
              </w:rPr>
              <w:t>】</w:t>
            </w:r>
            <w:r>
              <w:rPr>
                <w:rFonts w:ascii="宋体" w:hAnsi="宋体" w:cs="宋体"/>
                <w:bCs/>
                <w:color w:val="auto"/>
                <w:szCs w:val="21"/>
              </w:rPr>
              <w:t>300</w:t>
            </w:r>
            <w:r>
              <w:rPr>
                <w:rFonts w:hint="eastAsia" w:ascii="宋体" w:hAnsi="宋体" w:cs="宋体"/>
                <w:bCs/>
                <w:color w:val="auto"/>
                <w:szCs w:val="21"/>
              </w:rPr>
              <w:t>号《工业和信息化部国家统计局国家发展和改革委财政部关于印发中小企业划型标准规定的通知》为依据。</w:t>
            </w:r>
          </w:p>
          <w:p w14:paraId="0F50D958">
            <w:pPr>
              <w:widowControl w:val="0"/>
              <w:tabs>
                <w:tab w:val="left" w:pos="1005"/>
              </w:tabs>
              <w:spacing w:line="360" w:lineRule="auto"/>
              <w:rPr>
                <w:rFonts w:ascii="宋体" w:cs="宋体"/>
                <w:bCs/>
                <w:color w:val="auto"/>
                <w:szCs w:val="21"/>
              </w:rPr>
            </w:pPr>
            <w:r>
              <w:rPr>
                <w:rFonts w:hint="eastAsia" w:ascii="宋体" w:hAnsi="宋体" w:cs="宋体"/>
                <w:b/>
                <w:color w:val="auto"/>
                <w:szCs w:val="21"/>
              </w:rPr>
              <w:t>（二）强制采购节能产品、信息安全产品，优先采购环境标志产品政策。</w:t>
            </w:r>
          </w:p>
          <w:p w14:paraId="3DDCA721">
            <w:pPr>
              <w:widowControl w:val="0"/>
              <w:numPr>
                <w:ilvl w:val="1"/>
                <w:numId w:val="3"/>
              </w:numPr>
              <w:tabs>
                <w:tab w:val="left" w:pos="1005"/>
              </w:tabs>
              <w:spacing w:line="360" w:lineRule="auto"/>
              <w:ind w:left="29" w:hanging="29"/>
              <w:rPr>
                <w:rFonts w:ascii="宋体" w:cs="宋体"/>
                <w:bCs/>
                <w:color w:val="auto"/>
                <w:szCs w:val="21"/>
              </w:rPr>
            </w:pPr>
            <w:r>
              <w:rPr>
                <w:rFonts w:hint="eastAsia" w:ascii="宋体" w:hAnsi="宋体" w:cs="宋体"/>
                <w:bCs/>
                <w:color w:val="auto"/>
                <w:szCs w:val="21"/>
              </w:rPr>
              <w:t>节能产品是指列入财政部、国家发展和改革委员会制定的《节能产品政府采购品目清单》，且经过认定的节能产品；信息安全产品是指列入国家质检总局国家认监委《信息安全产品强制性认证目录》，并获得强制性产品认证证书的产品；环境标志产品是指列入财政部、国家环保总局制定的《环境标志产品政府采购品目清单》，且经过认证的环境标志产品。</w:t>
            </w:r>
          </w:p>
          <w:p w14:paraId="4C233904">
            <w:pPr>
              <w:widowControl w:val="0"/>
              <w:numPr>
                <w:ilvl w:val="1"/>
                <w:numId w:val="3"/>
              </w:numPr>
              <w:tabs>
                <w:tab w:val="left" w:pos="1005"/>
              </w:tabs>
              <w:spacing w:line="360" w:lineRule="auto"/>
              <w:ind w:left="29" w:hanging="29"/>
              <w:rPr>
                <w:rFonts w:ascii="宋体" w:cs="宋体"/>
                <w:bCs/>
                <w:color w:val="auto"/>
                <w:szCs w:val="21"/>
              </w:rPr>
            </w:pPr>
            <w:r>
              <w:rPr>
                <w:rFonts w:hint="eastAsia" w:ascii="宋体" w:hAnsi="宋体" w:cs="宋体"/>
                <w:bCs/>
                <w:color w:val="auto"/>
                <w:szCs w:val="21"/>
              </w:rPr>
              <w:t>提供的产品属于信息安全产品的，供应商应当选择经国家认证的信息安全产品投标，并提供由中国信息安全认证中心按国家标准认证颁发的有效认证证书复印件。</w:t>
            </w:r>
          </w:p>
          <w:p w14:paraId="44B8342E">
            <w:pPr>
              <w:spacing w:line="360" w:lineRule="auto"/>
              <w:rPr>
                <w:rFonts w:ascii="宋体" w:cs="宋体"/>
                <w:b/>
                <w:color w:val="auto"/>
                <w:szCs w:val="21"/>
              </w:rPr>
            </w:pPr>
            <w:r>
              <w:rPr>
                <w:rFonts w:hint="eastAsia" w:ascii="宋体" w:hAnsi="宋体" w:cs="宋体"/>
                <w:bCs/>
                <w:color w:val="auto"/>
                <w:szCs w:val="21"/>
              </w:rPr>
              <w:t>提供的产品属于政府强制采购节能产品的，供应商应当选择《节能产品政府采购品目清单》中的产品投标，并提供有效的节能产品认证证书复印件。</w:t>
            </w:r>
          </w:p>
        </w:tc>
      </w:tr>
      <w:tr w14:paraId="6955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4" w:type="dxa"/>
            <w:vAlign w:val="center"/>
          </w:tcPr>
          <w:p w14:paraId="170DD4DC">
            <w:pPr>
              <w:numPr>
                <w:ilvl w:val="0"/>
                <w:numId w:val="1"/>
              </w:numPr>
              <w:spacing w:line="360" w:lineRule="auto"/>
              <w:jc w:val="center"/>
              <w:rPr>
                <w:rFonts w:ascii="宋体" w:cs="宋体"/>
                <w:color w:val="auto"/>
                <w:szCs w:val="21"/>
              </w:rPr>
            </w:pPr>
          </w:p>
        </w:tc>
        <w:tc>
          <w:tcPr>
            <w:tcW w:w="1650" w:type="dxa"/>
            <w:vAlign w:val="center"/>
          </w:tcPr>
          <w:p w14:paraId="6979B94F">
            <w:pPr>
              <w:spacing w:line="360" w:lineRule="auto"/>
              <w:jc w:val="center"/>
              <w:rPr>
                <w:rFonts w:ascii="宋体" w:cs="宋体"/>
                <w:color w:val="auto"/>
                <w:szCs w:val="21"/>
              </w:rPr>
            </w:pPr>
            <w:r>
              <w:rPr>
                <w:rFonts w:hint="eastAsia" w:ascii="宋体" w:hAnsi="宋体" w:cs="宋体"/>
                <w:color w:val="auto"/>
                <w:szCs w:val="21"/>
              </w:rPr>
              <w:t>企业信用体系</w:t>
            </w:r>
          </w:p>
        </w:tc>
        <w:tc>
          <w:tcPr>
            <w:tcW w:w="6710" w:type="dxa"/>
            <w:vAlign w:val="center"/>
          </w:tcPr>
          <w:p w14:paraId="0A390D21">
            <w:pPr>
              <w:spacing w:line="360" w:lineRule="auto"/>
              <w:rPr>
                <w:rFonts w:ascii="宋体" w:cs="宋体"/>
                <w:bCs/>
                <w:color w:val="auto"/>
                <w:szCs w:val="21"/>
              </w:rPr>
            </w:pPr>
            <w:r>
              <w:rPr>
                <w:rFonts w:hint="eastAsia" w:ascii="宋体" w:hAnsi="宋体" w:cs="宋体"/>
                <w:bCs/>
                <w:color w:val="auto"/>
                <w:szCs w:val="21"/>
              </w:rPr>
              <w:t>根据财库【</w:t>
            </w:r>
            <w:r>
              <w:rPr>
                <w:rFonts w:ascii="宋体" w:hAnsi="宋体" w:cs="宋体"/>
                <w:bCs/>
                <w:color w:val="auto"/>
                <w:szCs w:val="21"/>
              </w:rPr>
              <w:t>2016</w:t>
            </w:r>
            <w:r>
              <w:rPr>
                <w:rFonts w:hint="eastAsia" w:ascii="宋体" w:hAnsi="宋体" w:cs="宋体"/>
                <w:bCs/>
                <w:color w:val="auto"/>
                <w:szCs w:val="21"/>
              </w:rPr>
              <w:t>】</w:t>
            </w:r>
            <w:r>
              <w:rPr>
                <w:rFonts w:ascii="宋体" w:hAnsi="宋体" w:cs="宋体"/>
                <w:bCs/>
                <w:color w:val="auto"/>
                <w:szCs w:val="21"/>
              </w:rPr>
              <w:t>125</w:t>
            </w:r>
            <w:r>
              <w:rPr>
                <w:rFonts w:hint="eastAsia" w:ascii="宋体" w:hAnsi="宋体" w:cs="宋体"/>
                <w:bCs/>
                <w:color w:val="auto"/>
                <w:szCs w:val="21"/>
              </w:rPr>
              <w:t>号文件规定本项目不接受被列入失信被执行人、重大税收违法案件当事人名单、政府采购严重违法失信行为记录名单及其他不符合《中华人民共和国政府采购法》第二十二条规定的供应商投标。以上信息以“信用中国”网站公布为准。对列入失信被执行人、重大税收违法案件当事人名单、政府采购严重违法失信行为记录名单及其他不符合《中华人民共和国政府采购法》第二十二条规定的供应商按废标处理。</w:t>
            </w:r>
          </w:p>
        </w:tc>
      </w:tr>
      <w:tr w14:paraId="0E03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64CC8C45">
            <w:pPr>
              <w:numPr>
                <w:ilvl w:val="0"/>
                <w:numId w:val="1"/>
              </w:numPr>
              <w:spacing w:line="360" w:lineRule="auto"/>
              <w:jc w:val="center"/>
              <w:rPr>
                <w:rFonts w:ascii="宋体" w:cs="宋体"/>
                <w:color w:val="auto"/>
                <w:szCs w:val="21"/>
              </w:rPr>
            </w:pPr>
          </w:p>
        </w:tc>
        <w:tc>
          <w:tcPr>
            <w:tcW w:w="1650" w:type="dxa"/>
            <w:vAlign w:val="center"/>
          </w:tcPr>
          <w:p w14:paraId="4B8D6C95">
            <w:pPr>
              <w:pStyle w:val="13"/>
              <w:spacing w:line="360" w:lineRule="auto"/>
              <w:jc w:val="center"/>
              <w:rPr>
                <w:rFonts w:hAnsi="宋体" w:cs="宋体"/>
                <w:lang w:val="en-US" w:eastAsia="zh-CN"/>
              </w:rPr>
            </w:pPr>
            <w:r>
              <w:rPr>
                <w:rFonts w:hint="eastAsia" w:hAnsi="宋体" w:cs="宋体"/>
                <w:lang w:val="en-US" w:eastAsia="zh-CN"/>
              </w:rPr>
              <w:t>政府采购合同融资政策</w:t>
            </w:r>
          </w:p>
        </w:tc>
        <w:tc>
          <w:tcPr>
            <w:tcW w:w="6710" w:type="dxa"/>
            <w:vAlign w:val="center"/>
          </w:tcPr>
          <w:p w14:paraId="57C843E9">
            <w:pPr>
              <w:spacing w:line="360" w:lineRule="auto"/>
              <w:jc w:val="left"/>
              <w:rPr>
                <w:rFonts w:ascii="宋体" w:cs="宋体"/>
                <w:b/>
                <w:bCs/>
                <w:szCs w:val="21"/>
              </w:rPr>
            </w:pPr>
            <w:r>
              <w:rPr>
                <w:rFonts w:hint="eastAsia" w:ascii="宋体" w:hAnsi="宋体" w:cs="宋体"/>
                <w:b/>
                <w:bCs/>
                <w:szCs w:val="21"/>
              </w:rPr>
              <w:t>政府采购合同融资是河南省财政厅支持中小微企业发展，针对参与政府采购活动的供应商融资难、融资贵问题推出的一项融资政策。潜在供应商若成为本次政府采购项目的中标成交供应商，可持政府采购合同向金融机构申请贷款，无需抵押、担保，融资机构将根据《河南省政府采购合同融资工作实施方案》（豫财购〔</w:t>
            </w:r>
            <w:r>
              <w:rPr>
                <w:rFonts w:ascii="宋体" w:hAnsi="宋体" w:cs="宋体"/>
                <w:b/>
                <w:bCs/>
                <w:szCs w:val="21"/>
              </w:rPr>
              <w:t>2017</w:t>
            </w:r>
            <w:r>
              <w:rPr>
                <w:rFonts w:hint="eastAsia" w:ascii="宋体" w:hAnsi="宋体" w:cs="宋体"/>
                <w:b/>
                <w:bCs/>
                <w:szCs w:val="21"/>
              </w:rPr>
              <w:t>〕</w:t>
            </w:r>
            <w:r>
              <w:rPr>
                <w:rFonts w:ascii="宋体" w:hAnsi="宋体" w:cs="宋体"/>
                <w:b/>
                <w:bCs/>
                <w:szCs w:val="21"/>
              </w:rPr>
              <w:t>10</w:t>
            </w:r>
            <w:r>
              <w:rPr>
                <w:rFonts w:hint="eastAsia" w:ascii="宋体" w:hAnsi="宋体" w:cs="宋体"/>
                <w:b/>
                <w:bCs/>
                <w:szCs w:val="21"/>
              </w:rPr>
              <w:t>），按照双方自愿的原则提供便捷、优惠的贷款服务。贷款渠道和提供贷款的金融机构，可在河南省政府采购网“河南省政府采购合同融资平台”查询联系。</w:t>
            </w:r>
          </w:p>
        </w:tc>
      </w:tr>
      <w:tr w14:paraId="2C5A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41B91CCF">
            <w:pPr>
              <w:numPr>
                <w:ilvl w:val="0"/>
                <w:numId w:val="1"/>
              </w:numPr>
              <w:spacing w:line="360" w:lineRule="auto"/>
              <w:jc w:val="center"/>
              <w:rPr>
                <w:rFonts w:ascii="宋体" w:cs="宋体"/>
                <w:color w:val="auto"/>
                <w:szCs w:val="21"/>
              </w:rPr>
            </w:pPr>
          </w:p>
        </w:tc>
        <w:tc>
          <w:tcPr>
            <w:tcW w:w="1650" w:type="dxa"/>
            <w:vAlign w:val="center"/>
          </w:tcPr>
          <w:p w14:paraId="31EBA4FD">
            <w:pPr>
              <w:tabs>
                <w:tab w:val="left" w:pos="1005"/>
              </w:tabs>
              <w:spacing w:line="360" w:lineRule="auto"/>
              <w:jc w:val="center"/>
              <w:rPr>
                <w:rFonts w:ascii="宋体" w:cs="宋体"/>
              </w:rPr>
            </w:pPr>
            <w:r>
              <w:rPr>
                <w:rFonts w:hint="eastAsia" w:ascii="宋体" w:hAnsi="宋体" w:cs="宋体"/>
                <w:bCs/>
                <w:szCs w:val="21"/>
              </w:rPr>
              <w:t>知识产权</w:t>
            </w:r>
          </w:p>
        </w:tc>
        <w:tc>
          <w:tcPr>
            <w:tcW w:w="6710" w:type="dxa"/>
            <w:vAlign w:val="center"/>
          </w:tcPr>
          <w:p w14:paraId="588AE4DE">
            <w:pPr>
              <w:tabs>
                <w:tab w:val="left" w:pos="1005"/>
              </w:tabs>
              <w:spacing w:line="360" w:lineRule="auto"/>
              <w:rPr>
                <w:rFonts w:ascii="宋体" w:cs="宋体"/>
                <w:bCs/>
                <w:szCs w:val="21"/>
              </w:rPr>
            </w:pPr>
            <w:r>
              <w:rPr>
                <w:rFonts w:hint="eastAsia" w:ascii="宋体" w:hAnsi="宋体" w:cs="宋体"/>
                <w:bCs/>
                <w:szCs w:val="21"/>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总价中必须包括合法获取该知识产权的一切相关费用，如因此导致采购人损失的，供应商须承担全部赔偿责任。</w:t>
            </w:r>
          </w:p>
          <w:p w14:paraId="64D01525">
            <w:pPr>
              <w:tabs>
                <w:tab w:val="left" w:pos="1005"/>
              </w:tabs>
              <w:spacing w:line="360" w:lineRule="auto"/>
              <w:ind w:left="29"/>
              <w:rPr>
                <w:rFonts w:ascii="宋体" w:cs="宋体"/>
                <w:b/>
                <w:bCs/>
                <w:szCs w:val="21"/>
              </w:rPr>
            </w:pPr>
            <w:r>
              <w:rPr>
                <w:rFonts w:hint="eastAsia" w:ascii="宋体" w:hAnsi="宋体" w:cs="宋体"/>
                <w:bCs/>
                <w:szCs w:val="21"/>
              </w:rPr>
              <w:t>供应商如欲在项目实施过程中采用自有知识成果，须在响应文件中声明，并提供相关知识产权证明文件。</w:t>
            </w:r>
          </w:p>
        </w:tc>
      </w:tr>
      <w:tr w14:paraId="1D85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4" w:type="dxa"/>
            <w:vAlign w:val="center"/>
          </w:tcPr>
          <w:p w14:paraId="1BEED439">
            <w:pPr>
              <w:numPr>
                <w:ilvl w:val="0"/>
                <w:numId w:val="1"/>
              </w:numPr>
              <w:spacing w:line="360" w:lineRule="auto"/>
              <w:jc w:val="center"/>
              <w:rPr>
                <w:rFonts w:ascii="宋体" w:cs="宋体"/>
                <w:color w:val="auto"/>
                <w:szCs w:val="21"/>
              </w:rPr>
            </w:pPr>
          </w:p>
        </w:tc>
        <w:tc>
          <w:tcPr>
            <w:tcW w:w="1650" w:type="dxa"/>
            <w:vAlign w:val="center"/>
          </w:tcPr>
          <w:p w14:paraId="748D4EA8">
            <w:pPr>
              <w:pStyle w:val="13"/>
              <w:spacing w:line="360" w:lineRule="auto"/>
              <w:jc w:val="center"/>
              <w:rPr>
                <w:rFonts w:hAnsi="宋体" w:cs="宋体"/>
                <w:bCs/>
                <w:szCs w:val="21"/>
                <w:lang w:val="en-US" w:eastAsia="zh-CN"/>
              </w:rPr>
            </w:pPr>
            <w:r>
              <w:rPr>
                <w:rFonts w:hint="eastAsia" w:hAnsi="宋体" w:cs="宋体"/>
                <w:bCs/>
                <w:szCs w:val="21"/>
                <w:lang w:val="en-US" w:eastAsia="zh-CN"/>
              </w:rPr>
              <w:t>付款方式</w:t>
            </w:r>
          </w:p>
        </w:tc>
        <w:tc>
          <w:tcPr>
            <w:tcW w:w="6710" w:type="dxa"/>
            <w:vAlign w:val="center"/>
          </w:tcPr>
          <w:p w14:paraId="2FF05FDD">
            <w:pPr>
              <w:spacing w:line="360" w:lineRule="auto"/>
              <w:rPr>
                <w:rFonts w:ascii="宋体" w:cs="宋体"/>
                <w:color w:val="auto"/>
                <w:szCs w:val="21"/>
              </w:rPr>
            </w:pPr>
            <w:r>
              <w:rPr>
                <w:rFonts w:hint="eastAsia" w:ascii="宋体" w:hAnsi="宋体" w:cs="宋体"/>
                <w:b/>
                <w:bCs/>
                <w:color w:val="auto"/>
                <w:spacing w:val="10"/>
                <w:szCs w:val="21"/>
              </w:rPr>
              <w:t>双方合同约定</w:t>
            </w:r>
          </w:p>
        </w:tc>
      </w:tr>
      <w:tr w14:paraId="0B1D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4" w:type="dxa"/>
            <w:vAlign w:val="center"/>
          </w:tcPr>
          <w:p w14:paraId="10B4BA6D">
            <w:pPr>
              <w:numPr>
                <w:ilvl w:val="0"/>
                <w:numId w:val="1"/>
              </w:numPr>
              <w:spacing w:line="360" w:lineRule="auto"/>
              <w:jc w:val="center"/>
              <w:rPr>
                <w:rFonts w:ascii="宋体" w:cs="宋体"/>
                <w:color w:val="auto"/>
                <w:szCs w:val="21"/>
              </w:rPr>
            </w:pPr>
          </w:p>
        </w:tc>
        <w:tc>
          <w:tcPr>
            <w:tcW w:w="1650" w:type="dxa"/>
            <w:vAlign w:val="center"/>
          </w:tcPr>
          <w:p w14:paraId="380EF176">
            <w:pPr>
              <w:spacing w:line="360" w:lineRule="auto"/>
              <w:jc w:val="center"/>
              <w:rPr>
                <w:rFonts w:ascii="宋体" w:cs="宋体"/>
                <w:color w:val="auto"/>
              </w:rPr>
            </w:pPr>
            <w:r>
              <w:rPr>
                <w:rFonts w:ascii="宋体" w:hAnsi="宋体" w:cs="宋体"/>
                <w:b/>
                <w:color w:val="auto"/>
                <w:szCs w:val="21"/>
              </w:rPr>
              <w:t>*</w:t>
            </w:r>
            <w:r>
              <w:rPr>
                <w:rFonts w:hint="eastAsia" w:ascii="宋体" w:hAnsi="宋体" w:cs="宋体"/>
                <w:b/>
                <w:color w:val="auto"/>
                <w:szCs w:val="21"/>
              </w:rPr>
              <w:t>投标文件制作机器码相似度</w:t>
            </w:r>
          </w:p>
        </w:tc>
        <w:tc>
          <w:tcPr>
            <w:tcW w:w="6710" w:type="dxa"/>
            <w:vAlign w:val="center"/>
          </w:tcPr>
          <w:p w14:paraId="40713349">
            <w:pPr>
              <w:spacing w:line="360" w:lineRule="auto"/>
              <w:jc w:val="left"/>
              <w:rPr>
                <w:rFonts w:ascii="宋体" w:cs="宋体"/>
                <w:color w:val="auto"/>
              </w:rPr>
            </w:pPr>
            <w:r>
              <w:rPr>
                <w:rFonts w:hint="eastAsia" w:ascii="宋体" w:hAnsi="宋体" w:cs="宋体"/>
                <w:color w:val="auto"/>
                <w:szCs w:val="21"/>
              </w:rPr>
              <w:t>依据豫发改公管</w:t>
            </w:r>
            <w:r>
              <w:rPr>
                <w:rFonts w:ascii="宋体" w:hAnsi="宋体" w:cs="宋体"/>
                <w:color w:val="auto"/>
                <w:szCs w:val="21"/>
              </w:rPr>
              <w:t>[2019]198</w:t>
            </w:r>
            <w:r>
              <w:rPr>
                <w:rFonts w:hint="eastAsia" w:ascii="宋体" w:hAnsi="宋体" w:cs="宋体"/>
                <w:color w:val="auto"/>
                <w:szCs w:val="21"/>
              </w:rPr>
              <w:t>号文要求，供应商投标文件制作机器码一致视为串通投标行为，作废标处理，需供应商自行承担责任。</w:t>
            </w:r>
          </w:p>
        </w:tc>
      </w:tr>
      <w:tr w14:paraId="615D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4B052251">
            <w:pPr>
              <w:numPr>
                <w:ilvl w:val="0"/>
                <w:numId w:val="1"/>
              </w:numPr>
              <w:spacing w:line="360" w:lineRule="auto"/>
              <w:jc w:val="center"/>
              <w:rPr>
                <w:rFonts w:ascii="宋体" w:cs="宋体"/>
                <w:color w:val="auto"/>
                <w:szCs w:val="21"/>
              </w:rPr>
            </w:pPr>
          </w:p>
        </w:tc>
        <w:tc>
          <w:tcPr>
            <w:tcW w:w="1650" w:type="dxa"/>
            <w:vAlign w:val="center"/>
          </w:tcPr>
          <w:p w14:paraId="1362B20D">
            <w:pPr>
              <w:spacing w:line="360" w:lineRule="auto"/>
              <w:jc w:val="center"/>
              <w:rPr>
                <w:rFonts w:ascii="宋体" w:cs="宋体"/>
                <w:color w:val="auto"/>
                <w:szCs w:val="21"/>
              </w:rPr>
            </w:pPr>
            <w:r>
              <w:rPr>
                <w:rFonts w:hint="eastAsia" w:ascii="宋体" w:hAnsi="宋体" w:cs="宋体"/>
                <w:color w:val="auto"/>
                <w:szCs w:val="21"/>
              </w:rPr>
              <w:t>解释权</w:t>
            </w:r>
          </w:p>
        </w:tc>
        <w:tc>
          <w:tcPr>
            <w:tcW w:w="6710" w:type="dxa"/>
            <w:vAlign w:val="center"/>
          </w:tcPr>
          <w:p w14:paraId="3A69384B">
            <w:pPr>
              <w:spacing w:line="360" w:lineRule="auto"/>
              <w:rPr>
                <w:rFonts w:ascii="宋体" w:cs="宋体"/>
                <w:color w:val="auto"/>
                <w:szCs w:val="21"/>
              </w:rPr>
            </w:pPr>
            <w:r>
              <w:rPr>
                <w:rFonts w:hint="eastAsia" w:ascii="宋体" w:hAnsi="宋体" w:cs="宋体"/>
                <w:color w:val="auto"/>
                <w:szCs w:val="21"/>
              </w:rPr>
              <w:t>构成本招标文件的各个组成文件应互为解释，互为说明；如有不明确或不一致，构成合同文件组成内容，以合同文件约定内容为准，且以专用合同条款约定的合同文件优先顺序解释；除招标文件中有特别规定外，仅适用于招标投标阶段的规定，按招标公告、供应商须知、评标办法、投标文件格式的编排顺序在前者为准解释；同一组成文件中就同一事项的规定或约定不一致的，以编排顺序在前者为准；同一组成文件不同版本之间有不一致的，以形成时间在后者为准。按本款前述规定仍不能形成结论的，由采购人负责解释。</w:t>
            </w:r>
          </w:p>
        </w:tc>
      </w:tr>
    </w:tbl>
    <w:p w14:paraId="792E0B29">
      <w:pPr>
        <w:pStyle w:val="25"/>
        <w:rPr>
          <w:rFonts w:ascii="宋体" w:cs="宋体"/>
          <w:sz w:val="30"/>
          <w:szCs w:val="30"/>
        </w:rPr>
      </w:pPr>
      <w:r>
        <w:rPr>
          <w:rFonts w:ascii="宋体" w:cs="宋体"/>
          <w:b w:val="0"/>
          <w:sz w:val="28"/>
          <w:szCs w:val="28"/>
        </w:rPr>
        <w:br w:type="page"/>
      </w:r>
      <w:r>
        <w:rPr>
          <w:rFonts w:hint="eastAsia" w:ascii="宋体" w:hAnsi="宋体" w:cs="宋体"/>
          <w:sz w:val="30"/>
          <w:szCs w:val="30"/>
        </w:rPr>
        <w:t>第三章供应商须知</w:t>
      </w:r>
    </w:p>
    <w:p w14:paraId="6FDD14AB">
      <w:pPr>
        <w:pStyle w:val="5"/>
        <w:numPr>
          <w:ilvl w:val="0"/>
          <w:numId w:val="4"/>
        </w:numPr>
        <w:tabs>
          <w:tab w:val="left" w:pos="405"/>
          <w:tab w:val="left" w:pos="721"/>
        </w:tabs>
        <w:spacing w:before="0" w:after="0" w:line="360" w:lineRule="auto"/>
        <w:ind w:left="0"/>
        <w:rPr>
          <w:rFonts w:ascii="宋体" w:hAnsi="宋体" w:cs="宋体"/>
          <w:sz w:val="24"/>
        </w:rPr>
      </w:pPr>
      <w:bookmarkStart w:id="1" w:name="_Toc342615367"/>
      <w:bookmarkStart w:id="2" w:name="_Toc342594059"/>
      <w:r>
        <w:rPr>
          <w:rFonts w:hint="eastAsia" w:ascii="宋体" w:hAnsi="宋体" w:cs="宋体"/>
          <w:sz w:val="24"/>
        </w:rPr>
        <w:t>说明</w:t>
      </w:r>
      <w:bookmarkEnd w:id="1"/>
      <w:bookmarkEnd w:id="2"/>
    </w:p>
    <w:p w14:paraId="2252634E">
      <w:pPr>
        <w:widowControl w:val="0"/>
        <w:numPr>
          <w:ilvl w:val="0"/>
          <w:numId w:val="5"/>
        </w:numPr>
        <w:tabs>
          <w:tab w:val="left" w:pos="360"/>
        </w:tabs>
        <w:spacing w:line="360" w:lineRule="auto"/>
        <w:ind w:left="540" w:hanging="540"/>
        <w:rPr>
          <w:rFonts w:ascii="宋体" w:cs="宋体"/>
          <w:b/>
          <w:color w:val="auto"/>
          <w:szCs w:val="21"/>
        </w:rPr>
      </w:pPr>
      <w:r>
        <w:rPr>
          <w:rFonts w:hint="eastAsia" w:ascii="宋体" w:hAnsi="宋体" w:cs="宋体"/>
          <w:b/>
          <w:color w:val="auto"/>
          <w:szCs w:val="21"/>
        </w:rPr>
        <w:t>适用范围</w:t>
      </w:r>
    </w:p>
    <w:p w14:paraId="16FE50A3">
      <w:pPr>
        <w:widowControl w:val="0"/>
        <w:numPr>
          <w:ilvl w:val="1"/>
          <w:numId w:val="5"/>
        </w:numPr>
        <w:spacing w:line="360" w:lineRule="auto"/>
        <w:rPr>
          <w:rFonts w:ascii="宋体" w:cs="宋体"/>
          <w:color w:val="auto"/>
          <w:szCs w:val="21"/>
        </w:rPr>
      </w:pPr>
      <w:r>
        <w:rPr>
          <w:rFonts w:hint="eastAsia" w:ascii="宋体" w:hAnsi="宋体" w:cs="宋体"/>
          <w:color w:val="auto"/>
          <w:szCs w:val="21"/>
        </w:rPr>
        <w:t>本招标文件仅适用于“</w:t>
      </w:r>
      <w:r>
        <w:rPr>
          <w:rFonts w:hint="eastAsia" w:ascii="宋体" w:hAnsi="宋体" w:cs="宋体"/>
          <w:color w:val="auto"/>
          <w:szCs w:val="21"/>
          <w:lang w:eastAsia="zh-CN"/>
        </w:rPr>
        <w:t>社旗县教育体育局2024年9月-2025年2月全县农村义务教育寄宿制学校早晚餐食材项目</w:t>
      </w:r>
      <w:r>
        <w:rPr>
          <w:rFonts w:hint="eastAsia" w:ascii="宋体" w:hAnsi="宋体" w:cs="宋体"/>
          <w:color w:val="auto"/>
          <w:szCs w:val="21"/>
        </w:rPr>
        <w:t>”的政府采购公开招标。</w:t>
      </w:r>
    </w:p>
    <w:p w14:paraId="10B289B3">
      <w:pPr>
        <w:widowControl w:val="0"/>
        <w:numPr>
          <w:ilvl w:val="0"/>
          <w:numId w:val="5"/>
        </w:numPr>
        <w:tabs>
          <w:tab w:val="left" w:pos="360"/>
        </w:tabs>
        <w:spacing w:line="360" w:lineRule="auto"/>
        <w:ind w:left="720" w:hanging="720"/>
        <w:rPr>
          <w:rFonts w:ascii="宋体" w:cs="宋体"/>
          <w:b/>
          <w:color w:val="auto"/>
          <w:szCs w:val="21"/>
        </w:rPr>
      </w:pPr>
      <w:r>
        <w:rPr>
          <w:rFonts w:hint="eastAsia" w:ascii="宋体" w:hAnsi="宋体" w:cs="宋体"/>
          <w:b/>
          <w:color w:val="auto"/>
          <w:szCs w:val="21"/>
        </w:rPr>
        <w:t>定义</w:t>
      </w:r>
    </w:p>
    <w:p w14:paraId="1B5E23D2">
      <w:pPr>
        <w:tabs>
          <w:tab w:val="left" w:pos="720"/>
        </w:tabs>
        <w:spacing w:line="360" w:lineRule="auto"/>
        <w:ind w:left="720" w:hanging="720"/>
        <w:rPr>
          <w:rFonts w:ascii="宋体" w:cs="宋体"/>
          <w:color w:val="auto"/>
          <w:szCs w:val="21"/>
        </w:rPr>
      </w:pPr>
      <w:r>
        <w:rPr>
          <w:rFonts w:ascii="宋体" w:hAnsi="宋体" w:cs="宋体"/>
          <w:color w:val="auto"/>
          <w:szCs w:val="21"/>
        </w:rPr>
        <w:t xml:space="preserve">2.1    </w:t>
      </w:r>
      <w:r>
        <w:rPr>
          <w:rFonts w:hint="eastAsia" w:ascii="宋体" w:hAnsi="宋体" w:cs="宋体"/>
          <w:color w:val="auto"/>
          <w:szCs w:val="21"/>
        </w:rPr>
        <w:t>采购人：社旗县教育体育局。</w:t>
      </w:r>
    </w:p>
    <w:p w14:paraId="6CDBE793">
      <w:pPr>
        <w:widowControl w:val="0"/>
        <w:numPr>
          <w:ilvl w:val="1"/>
          <w:numId w:val="6"/>
        </w:numPr>
        <w:spacing w:line="360" w:lineRule="auto"/>
        <w:rPr>
          <w:rFonts w:ascii="宋体" w:cs="宋体"/>
          <w:b/>
          <w:color w:val="auto"/>
          <w:szCs w:val="21"/>
        </w:rPr>
      </w:pPr>
      <w:r>
        <w:rPr>
          <w:rFonts w:hint="eastAsia" w:ascii="宋体" w:hAnsi="宋体" w:cs="宋体"/>
          <w:color w:val="auto"/>
          <w:szCs w:val="21"/>
        </w:rPr>
        <w:t>采购代理机构：</w:t>
      </w:r>
      <w:r>
        <w:rPr>
          <w:rFonts w:hint="eastAsia" w:ascii="宋体" w:hAnsi="宋体" w:cs="宋体"/>
        </w:rPr>
        <w:t>河南尧天工程管理有限公司</w:t>
      </w:r>
      <w:r>
        <w:rPr>
          <w:rFonts w:hint="eastAsia" w:ascii="宋体" w:hAnsi="宋体" w:cs="宋体"/>
          <w:color w:val="auto"/>
          <w:szCs w:val="21"/>
        </w:rPr>
        <w:t>。</w:t>
      </w:r>
    </w:p>
    <w:p w14:paraId="3A6059A3">
      <w:pPr>
        <w:widowControl w:val="0"/>
        <w:numPr>
          <w:ilvl w:val="1"/>
          <w:numId w:val="6"/>
        </w:numPr>
        <w:spacing w:line="360" w:lineRule="auto"/>
        <w:rPr>
          <w:rFonts w:ascii="宋体" w:cs="宋体"/>
          <w:color w:val="auto"/>
          <w:szCs w:val="21"/>
        </w:rPr>
      </w:pPr>
      <w:r>
        <w:rPr>
          <w:rFonts w:hint="eastAsia" w:ascii="宋体" w:hAnsi="宋体" w:cs="宋体"/>
          <w:color w:val="auto"/>
          <w:szCs w:val="21"/>
        </w:rPr>
        <w:t>合格供应商：</w:t>
      </w:r>
    </w:p>
    <w:p w14:paraId="2E42AB99">
      <w:pPr>
        <w:widowControl w:val="0"/>
        <w:spacing w:line="360" w:lineRule="auto"/>
        <w:ind w:left="718" w:leftChars="342"/>
        <w:rPr>
          <w:rFonts w:ascii="宋体" w:cs="宋体"/>
          <w:color w:val="auto"/>
          <w:szCs w:val="21"/>
        </w:rPr>
      </w:pPr>
      <w:r>
        <w:rPr>
          <w:rFonts w:hint="eastAsia" w:ascii="宋体" w:hAnsi="宋体" w:cs="宋体"/>
          <w:color w:val="auto"/>
          <w:szCs w:val="21"/>
        </w:rPr>
        <w:t>参加政府采购活动的供应商应当具备政府采购法第二十二条第一款规定的条件，提供下列材料：</w:t>
      </w:r>
    </w:p>
    <w:p w14:paraId="460FF246">
      <w:pPr>
        <w:widowControl w:val="0"/>
        <w:spacing w:line="360" w:lineRule="auto"/>
        <w:rPr>
          <w:rFonts w:ascii="宋体" w:cs="宋体"/>
          <w:color w:val="auto"/>
          <w:szCs w:val="21"/>
        </w:rPr>
      </w:pPr>
      <w:r>
        <w:rPr>
          <w:rFonts w:ascii="宋体" w:hAnsi="宋体" w:cs="宋体"/>
          <w:color w:val="auto"/>
          <w:szCs w:val="21"/>
        </w:rPr>
        <w:t xml:space="preserve">       1</w:t>
      </w:r>
      <w:r>
        <w:rPr>
          <w:rFonts w:hint="eastAsia" w:ascii="宋体" w:hAnsi="宋体" w:cs="宋体"/>
          <w:color w:val="auto"/>
          <w:szCs w:val="21"/>
        </w:rPr>
        <w:t>）法人或者其他组织的营业执照等证明文件，自然人的身份证明；</w:t>
      </w:r>
    </w:p>
    <w:p w14:paraId="1C6548FE">
      <w:pPr>
        <w:widowControl w:val="0"/>
        <w:spacing w:line="360" w:lineRule="auto"/>
        <w:rPr>
          <w:rFonts w:ascii="宋体" w:cs="宋体"/>
          <w:color w:val="auto"/>
          <w:szCs w:val="21"/>
        </w:rPr>
      </w:pPr>
      <w:r>
        <w:rPr>
          <w:rFonts w:ascii="宋体" w:hAnsi="宋体" w:cs="宋体"/>
          <w:color w:val="auto"/>
          <w:szCs w:val="21"/>
        </w:rPr>
        <w:t xml:space="preserve">       2</w:t>
      </w:r>
      <w:r>
        <w:rPr>
          <w:rFonts w:hint="eastAsia" w:ascii="宋体" w:hAnsi="宋体" w:cs="宋体"/>
          <w:color w:val="auto"/>
          <w:szCs w:val="21"/>
        </w:rPr>
        <w:t>）财务状况报告，依法缴纳税收和社会保障资金的相关材料；</w:t>
      </w:r>
    </w:p>
    <w:p w14:paraId="15F56B9C">
      <w:pPr>
        <w:widowControl w:val="0"/>
        <w:spacing w:line="360" w:lineRule="auto"/>
        <w:rPr>
          <w:rFonts w:ascii="宋体" w:cs="宋体"/>
          <w:color w:val="auto"/>
          <w:szCs w:val="21"/>
        </w:rPr>
      </w:pPr>
      <w:r>
        <w:rPr>
          <w:rFonts w:ascii="宋体" w:hAnsi="宋体" w:cs="宋体"/>
          <w:color w:val="auto"/>
          <w:szCs w:val="21"/>
        </w:rPr>
        <w:t xml:space="preserve">       3</w:t>
      </w:r>
      <w:r>
        <w:rPr>
          <w:rFonts w:hint="eastAsia" w:ascii="宋体" w:hAnsi="宋体" w:cs="宋体"/>
          <w:color w:val="auto"/>
          <w:szCs w:val="21"/>
        </w:rPr>
        <w:t>）具备履行合同所必需的设备和专业技术能力的证明材料；</w:t>
      </w:r>
    </w:p>
    <w:p w14:paraId="0C643FC8">
      <w:pPr>
        <w:widowControl w:val="0"/>
        <w:spacing w:line="360" w:lineRule="auto"/>
        <w:ind w:left="718" w:leftChars="342"/>
        <w:rPr>
          <w:rFonts w:ascii="宋体" w:cs="宋体"/>
          <w:color w:val="auto"/>
          <w:szCs w:val="21"/>
        </w:rPr>
      </w:pPr>
      <w:r>
        <w:rPr>
          <w:rFonts w:ascii="宋体" w:hAnsi="宋体" w:cs="宋体"/>
          <w:color w:val="auto"/>
          <w:szCs w:val="21"/>
        </w:rPr>
        <w:t>4</w:t>
      </w:r>
      <w:r>
        <w:rPr>
          <w:rFonts w:hint="eastAsia" w:ascii="宋体" w:hAnsi="宋体" w:cs="宋体"/>
          <w:color w:val="auto"/>
          <w:szCs w:val="21"/>
        </w:rPr>
        <w:t>）参加政府采购活动前</w:t>
      </w:r>
      <w:r>
        <w:rPr>
          <w:rFonts w:ascii="宋体" w:hAnsi="宋体" w:cs="宋体"/>
          <w:color w:val="auto"/>
          <w:szCs w:val="21"/>
        </w:rPr>
        <w:t>3</w:t>
      </w:r>
      <w:r>
        <w:rPr>
          <w:rFonts w:hint="eastAsia" w:ascii="宋体" w:hAnsi="宋体" w:cs="宋体"/>
          <w:color w:val="auto"/>
          <w:szCs w:val="21"/>
        </w:rPr>
        <w:t>年内在经营活动中没有重大违法记录的书面声明；</w:t>
      </w:r>
    </w:p>
    <w:p w14:paraId="1FF30F8C">
      <w:pPr>
        <w:widowControl w:val="0"/>
        <w:spacing w:line="360" w:lineRule="auto"/>
        <w:ind w:left="718" w:leftChars="342"/>
        <w:rPr>
          <w:rFonts w:ascii="宋体" w:cs="宋体"/>
          <w:color w:val="auto"/>
          <w:szCs w:val="21"/>
        </w:rPr>
      </w:pPr>
      <w:r>
        <w:rPr>
          <w:rFonts w:ascii="宋体" w:hAnsi="宋体" w:cs="宋体"/>
          <w:color w:val="auto"/>
          <w:szCs w:val="21"/>
        </w:rPr>
        <w:t>5</w:t>
      </w:r>
      <w:r>
        <w:rPr>
          <w:rFonts w:hint="eastAsia" w:ascii="宋体" w:hAnsi="宋体" w:cs="宋体"/>
          <w:color w:val="auto"/>
          <w:szCs w:val="21"/>
        </w:rPr>
        <w:t>）具备法律、行政法规规定的其他条件的证明材料。</w:t>
      </w:r>
    </w:p>
    <w:p w14:paraId="72951CDC">
      <w:pPr>
        <w:widowControl w:val="0"/>
        <w:spacing w:line="360" w:lineRule="auto"/>
        <w:ind w:left="718" w:leftChars="342"/>
        <w:rPr>
          <w:rFonts w:ascii="宋体" w:cs="宋体"/>
          <w:color w:val="auto"/>
          <w:szCs w:val="21"/>
        </w:rPr>
      </w:pPr>
      <w:r>
        <w:rPr>
          <w:rFonts w:ascii="宋体" w:hAnsi="宋体" w:cs="宋体"/>
          <w:color w:val="auto"/>
          <w:szCs w:val="21"/>
        </w:rPr>
        <w:t>6</w:t>
      </w:r>
      <w:r>
        <w:rPr>
          <w:rFonts w:hint="eastAsia" w:ascii="宋体" w:hAnsi="宋体" w:cs="宋体"/>
          <w:color w:val="auto"/>
          <w:szCs w:val="21"/>
        </w:rPr>
        <w:t>）采购项目有特殊要求的，供应商还应当提供其符合特殊要求的证明材料或者情况说明；</w:t>
      </w:r>
    </w:p>
    <w:p w14:paraId="0A00AE81">
      <w:pPr>
        <w:widowControl w:val="0"/>
        <w:spacing w:line="360" w:lineRule="auto"/>
        <w:ind w:left="718" w:leftChars="342"/>
        <w:rPr>
          <w:rFonts w:ascii="宋体" w:cs="宋体"/>
          <w:color w:val="auto"/>
          <w:szCs w:val="21"/>
        </w:rPr>
      </w:pPr>
      <w:r>
        <w:rPr>
          <w:rFonts w:ascii="宋体" w:hAnsi="宋体" w:cs="宋体"/>
          <w:color w:val="auto"/>
          <w:szCs w:val="21"/>
        </w:rPr>
        <w:t>7</w:t>
      </w:r>
      <w:r>
        <w:rPr>
          <w:rFonts w:hint="eastAsia" w:ascii="宋体" w:hAnsi="宋体" w:cs="宋体"/>
          <w:color w:val="auto"/>
          <w:szCs w:val="21"/>
        </w:rPr>
        <w:t>）单位负责人为同一人或者存在直接控股、管理关系的不同供应商，不得参加同一合同项下的政府采购活动；</w:t>
      </w:r>
    </w:p>
    <w:p w14:paraId="1B41C714">
      <w:pPr>
        <w:widowControl w:val="0"/>
        <w:spacing w:line="360" w:lineRule="auto"/>
        <w:ind w:left="718" w:leftChars="342"/>
        <w:rPr>
          <w:rFonts w:ascii="宋体" w:cs="宋体"/>
          <w:color w:val="auto"/>
          <w:szCs w:val="21"/>
        </w:rPr>
      </w:pPr>
      <w:r>
        <w:rPr>
          <w:rFonts w:ascii="宋体" w:hAnsi="宋体" w:cs="宋体"/>
          <w:color w:val="auto"/>
          <w:szCs w:val="21"/>
        </w:rPr>
        <w:t>8</w:t>
      </w:r>
      <w:r>
        <w:rPr>
          <w:rFonts w:hint="eastAsia" w:ascii="宋体" w:hAnsi="宋体" w:cs="宋体"/>
          <w:color w:val="auto"/>
          <w:szCs w:val="21"/>
        </w:rPr>
        <w:t>）与采购人、采购人就本次招标的产品委托的咨询机构、采购代理机构、以及上述机构的附属机构没有行政或经济关联；</w:t>
      </w:r>
    </w:p>
    <w:p w14:paraId="6D0DF7D2">
      <w:pPr>
        <w:widowControl w:val="0"/>
        <w:spacing w:line="360" w:lineRule="auto"/>
        <w:ind w:left="718" w:leftChars="342"/>
        <w:rPr>
          <w:rFonts w:ascii="宋体" w:cs="宋体"/>
          <w:color w:val="auto"/>
          <w:szCs w:val="21"/>
        </w:rPr>
      </w:pPr>
      <w:r>
        <w:rPr>
          <w:rFonts w:ascii="宋体" w:hAnsi="宋体" w:cs="宋体"/>
          <w:color w:val="auto"/>
          <w:szCs w:val="21"/>
        </w:rPr>
        <w:t>9</w:t>
      </w:r>
      <w:r>
        <w:rPr>
          <w:rFonts w:hint="eastAsia" w:ascii="宋体" w:hAnsi="宋体" w:cs="宋体"/>
          <w:color w:val="auto"/>
          <w:szCs w:val="21"/>
        </w:rPr>
        <w:t>）遵守国家法律、法规和各地市政府采购及采购代理机构有关招标的规定；</w:t>
      </w:r>
    </w:p>
    <w:p w14:paraId="72B01B73">
      <w:pPr>
        <w:widowControl w:val="0"/>
        <w:spacing w:line="360" w:lineRule="auto"/>
        <w:ind w:left="718" w:leftChars="342"/>
        <w:rPr>
          <w:rFonts w:ascii="宋体" w:cs="宋体"/>
          <w:color w:val="auto"/>
          <w:szCs w:val="21"/>
        </w:rPr>
      </w:pPr>
      <w:r>
        <w:rPr>
          <w:rFonts w:ascii="宋体" w:hAnsi="宋体" w:cs="宋体"/>
          <w:color w:val="auto"/>
          <w:szCs w:val="21"/>
        </w:rPr>
        <w:t>10</w:t>
      </w:r>
      <w:r>
        <w:rPr>
          <w:rFonts w:hint="eastAsia" w:ascii="宋体" w:hAnsi="宋体" w:cs="宋体"/>
          <w:color w:val="auto"/>
          <w:szCs w:val="21"/>
        </w:rPr>
        <w:t>）招标文件中规定的供应商资格及其他条件。</w:t>
      </w:r>
    </w:p>
    <w:p w14:paraId="1A64F475">
      <w:pPr>
        <w:widowControl w:val="0"/>
        <w:numPr>
          <w:ilvl w:val="1"/>
          <w:numId w:val="6"/>
        </w:numPr>
        <w:spacing w:line="360" w:lineRule="auto"/>
        <w:rPr>
          <w:rFonts w:ascii="宋体" w:cs="宋体"/>
          <w:color w:val="auto"/>
          <w:szCs w:val="21"/>
        </w:rPr>
      </w:pPr>
      <w:r>
        <w:rPr>
          <w:rFonts w:hint="eastAsia" w:ascii="宋体" w:hAnsi="宋体" w:cs="宋体"/>
          <w:color w:val="auto"/>
          <w:szCs w:val="21"/>
        </w:rPr>
        <w:t>中标人：接到并接受中标通知书，最终被授予合同的供应商。</w:t>
      </w:r>
    </w:p>
    <w:p w14:paraId="418E5AA9">
      <w:pPr>
        <w:widowControl w:val="0"/>
        <w:numPr>
          <w:ilvl w:val="1"/>
          <w:numId w:val="6"/>
        </w:numPr>
        <w:spacing w:line="360" w:lineRule="auto"/>
        <w:rPr>
          <w:rFonts w:ascii="宋体" w:cs="宋体"/>
          <w:color w:val="auto"/>
          <w:szCs w:val="21"/>
        </w:rPr>
      </w:pPr>
      <w:r>
        <w:rPr>
          <w:rFonts w:hint="eastAsia" w:ascii="宋体" w:hAnsi="宋体" w:cs="宋体"/>
          <w:color w:val="auto"/>
          <w:szCs w:val="21"/>
        </w:rPr>
        <w:t>联合体投标：</w:t>
      </w:r>
    </w:p>
    <w:p w14:paraId="62F008CA">
      <w:pPr>
        <w:widowControl w:val="0"/>
        <w:numPr>
          <w:ilvl w:val="0"/>
          <w:numId w:val="7"/>
        </w:numPr>
        <w:spacing w:line="360" w:lineRule="auto"/>
        <w:ind w:left="709" w:firstLine="0"/>
        <w:rPr>
          <w:rFonts w:ascii="宋体" w:cs="宋体"/>
          <w:color w:val="FF0000"/>
          <w:szCs w:val="21"/>
        </w:rPr>
      </w:pPr>
      <w:r>
        <w:rPr>
          <w:rFonts w:hint="eastAsia" w:ascii="宋体" w:hAnsi="宋体" w:cs="宋体"/>
          <w:color w:val="000000" w:themeColor="text1"/>
          <w:szCs w:val="21"/>
        </w:rPr>
        <w:t>两个以上的自然人、法人或者其他组织可以组成一个联合体，以一个供应商的身份共同参加政府采购。</w:t>
      </w:r>
    </w:p>
    <w:p w14:paraId="170CC7BA">
      <w:pPr>
        <w:widowControl w:val="0"/>
        <w:numPr>
          <w:ilvl w:val="0"/>
          <w:numId w:val="7"/>
        </w:numPr>
        <w:spacing w:line="360" w:lineRule="auto"/>
        <w:ind w:left="709" w:firstLine="0"/>
        <w:rPr>
          <w:rFonts w:ascii="宋体" w:cs="宋体"/>
          <w:color w:val="auto"/>
          <w:szCs w:val="21"/>
        </w:rPr>
      </w:pPr>
      <w:r>
        <w:rPr>
          <w:rFonts w:hint="eastAsia" w:ascii="宋体" w:hAnsi="宋体" w:cs="宋体"/>
          <w:color w:val="auto"/>
          <w:szCs w:val="21"/>
        </w:rPr>
        <w:t>以联合体形式进行政府采购的，参加联合体的供应商均应当具备政府采购法第二十二条规定的条件，并应当向采购人提交联合协议，载明联合体各方承担的工作和义务。</w:t>
      </w:r>
    </w:p>
    <w:p w14:paraId="26680CAA">
      <w:pPr>
        <w:widowControl w:val="0"/>
        <w:numPr>
          <w:ilvl w:val="0"/>
          <w:numId w:val="7"/>
        </w:numPr>
        <w:spacing w:line="360" w:lineRule="auto"/>
        <w:ind w:left="709" w:firstLine="0"/>
        <w:rPr>
          <w:rFonts w:ascii="宋体" w:cs="宋体"/>
          <w:color w:val="auto"/>
          <w:szCs w:val="21"/>
        </w:rPr>
      </w:pPr>
      <w:r>
        <w:rPr>
          <w:rFonts w:hint="eastAsia" w:ascii="宋体" w:hAnsi="宋体" w:cs="宋体"/>
          <w:color w:val="auto"/>
          <w:szCs w:val="21"/>
        </w:rPr>
        <w:t>联合体各方应当共同与采购人签订采购合同，就采购合同约定的事项对采购人承担连带责任。</w:t>
      </w:r>
    </w:p>
    <w:p w14:paraId="5F91A01C">
      <w:pPr>
        <w:widowControl w:val="0"/>
        <w:numPr>
          <w:ilvl w:val="0"/>
          <w:numId w:val="7"/>
        </w:numPr>
        <w:spacing w:line="360" w:lineRule="auto"/>
        <w:ind w:left="709" w:firstLine="0"/>
        <w:rPr>
          <w:rFonts w:ascii="宋体" w:cs="宋体"/>
          <w:color w:val="auto"/>
          <w:szCs w:val="21"/>
        </w:rPr>
      </w:pPr>
      <w:r>
        <w:rPr>
          <w:rFonts w:hint="eastAsia" w:ascii="宋体" w:hAnsi="宋体" w:cs="宋体"/>
          <w:color w:val="auto"/>
          <w:szCs w:val="21"/>
        </w:rPr>
        <w:t>联合体中有同类资质的供应商按照联合体分工承担相同工作的，应当按照资质等级较低的供应商确定资质等级。</w:t>
      </w:r>
    </w:p>
    <w:p w14:paraId="285F0042">
      <w:pPr>
        <w:widowControl w:val="0"/>
        <w:numPr>
          <w:ilvl w:val="0"/>
          <w:numId w:val="7"/>
        </w:numPr>
        <w:spacing w:line="360" w:lineRule="auto"/>
        <w:ind w:left="709" w:firstLine="0"/>
        <w:rPr>
          <w:rFonts w:ascii="宋体" w:cs="宋体"/>
          <w:color w:val="auto"/>
          <w:szCs w:val="21"/>
        </w:rPr>
      </w:pPr>
      <w:r>
        <w:rPr>
          <w:rFonts w:hint="eastAsia" w:ascii="宋体" w:hAnsi="宋体" w:cs="宋体"/>
          <w:color w:val="auto"/>
          <w:szCs w:val="21"/>
        </w:rPr>
        <w:t>以联合体形式参加政府采购活动的，联合体各方不得再单独参加或者与其他供应商另外组成联合体参加同一合同项下的政府采购活动。</w:t>
      </w:r>
    </w:p>
    <w:p w14:paraId="0456A870">
      <w:pPr>
        <w:widowControl w:val="0"/>
        <w:numPr>
          <w:ilvl w:val="1"/>
          <w:numId w:val="6"/>
        </w:numPr>
        <w:spacing w:line="360" w:lineRule="auto"/>
        <w:rPr>
          <w:rFonts w:ascii="宋体" w:cs="宋体"/>
          <w:color w:val="auto"/>
          <w:szCs w:val="21"/>
        </w:rPr>
      </w:pPr>
      <w:r>
        <w:rPr>
          <w:rFonts w:hint="eastAsia" w:ascii="宋体" w:hAnsi="宋体" w:cs="宋体"/>
          <w:color w:val="auto"/>
          <w:szCs w:val="21"/>
        </w:rPr>
        <w:t>投标文件：指供应商根据招标文件要求提交的所有文件。</w:t>
      </w:r>
    </w:p>
    <w:p w14:paraId="7E68A1B5">
      <w:pPr>
        <w:widowControl w:val="0"/>
        <w:numPr>
          <w:ilvl w:val="1"/>
          <w:numId w:val="6"/>
        </w:numPr>
        <w:spacing w:line="360" w:lineRule="auto"/>
        <w:rPr>
          <w:rFonts w:ascii="宋体" w:cs="宋体"/>
          <w:color w:val="auto"/>
          <w:szCs w:val="21"/>
        </w:rPr>
      </w:pPr>
      <w:r>
        <w:rPr>
          <w:rFonts w:hint="eastAsia" w:ascii="宋体" w:hAnsi="宋体" w:cs="宋体"/>
          <w:color w:val="auto"/>
          <w:szCs w:val="21"/>
        </w:rPr>
        <w:t>供应商：根据政府采购合同，向采购人提供货物、工程或者服务的法人、其他组织或者自然人。</w:t>
      </w:r>
    </w:p>
    <w:p w14:paraId="692E4082">
      <w:pPr>
        <w:widowControl w:val="0"/>
        <w:numPr>
          <w:ilvl w:val="1"/>
          <w:numId w:val="6"/>
        </w:numPr>
        <w:spacing w:line="360" w:lineRule="auto"/>
        <w:rPr>
          <w:rFonts w:ascii="宋体" w:cs="宋体"/>
          <w:color w:val="auto"/>
          <w:szCs w:val="21"/>
        </w:rPr>
      </w:pPr>
      <w:r>
        <w:rPr>
          <w:rFonts w:hint="eastAsia" w:ascii="宋体" w:hAnsi="宋体" w:cs="宋体"/>
          <w:color w:val="auto"/>
          <w:szCs w:val="21"/>
        </w:rPr>
        <w:t>货物：指除了咨询服务以外的所有的物品、设备、装置和</w:t>
      </w:r>
      <w:r>
        <w:rPr>
          <w:rFonts w:ascii="宋体" w:hAnsi="宋体" w:cs="宋体"/>
          <w:color w:val="auto"/>
          <w:szCs w:val="21"/>
        </w:rPr>
        <w:t>/</w:t>
      </w:r>
      <w:r>
        <w:rPr>
          <w:rFonts w:hint="eastAsia" w:ascii="宋体" w:hAnsi="宋体" w:cs="宋体"/>
          <w:color w:val="auto"/>
          <w:szCs w:val="21"/>
        </w:rPr>
        <w:t>或包括附件、备品备件、图纸、技术文件、用于运输和安装的包装、维修和其他类似服务的供应。</w:t>
      </w:r>
    </w:p>
    <w:p w14:paraId="122C19F3">
      <w:pPr>
        <w:widowControl w:val="0"/>
        <w:numPr>
          <w:ilvl w:val="1"/>
          <w:numId w:val="6"/>
        </w:numPr>
        <w:spacing w:line="360" w:lineRule="auto"/>
        <w:rPr>
          <w:rFonts w:ascii="宋体" w:cs="宋体"/>
          <w:color w:val="auto"/>
          <w:szCs w:val="21"/>
        </w:rPr>
      </w:pPr>
      <w:r>
        <w:rPr>
          <w:rFonts w:hint="eastAsia" w:ascii="宋体" w:hAnsi="宋体" w:cs="宋体"/>
          <w:color w:val="auto"/>
          <w:szCs w:val="21"/>
        </w:rPr>
        <w:t>货物伴随服务：指招标文件规定的供应商应承担的技术服务、技术协助、校准及售后服务和其他类似的义务。</w:t>
      </w:r>
    </w:p>
    <w:p w14:paraId="5D544390">
      <w:pPr>
        <w:widowControl w:val="0"/>
        <w:numPr>
          <w:ilvl w:val="1"/>
          <w:numId w:val="6"/>
        </w:numPr>
        <w:spacing w:line="360" w:lineRule="auto"/>
        <w:rPr>
          <w:rFonts w:ascii="宋体" w:cs="宋体"/>
          <w:color w:val="auto"/>
          <w:szCs w:val="21"/>
        </w:rPr>
      </w:pPr>
      <w:r>
        <w:rPr>
          <w:rFonts w:hint="eastAsia" w:ascii="宋体" w:hAnsi="宋体" w:cs="宋体"/>
          <w:color w:val="auto"/>
          <w:szCs w:val="21"/>
        </w:rPr>
        <w:t>质保：本次采购所要求的质保或质保期限，是指供应商所提供的产品在承诺的质保期限内发生质量问题，必须提供伴随服务及必须无条件更换产品（注：所需的一切费用均已包含在该标段（包）投标总报价中），并由此享有原投标文件中承诺的质保期限及伴随服务。</w:t>
      </w:r>
    </w:p>
    <w:p w14:paraId="666198B6">
      <w:pPr>
        <w:widowControl w:val="0"/>
        <w:numPr>
          <w:ilvl w:val="1"/>
          <w:numId w:val="6"/>
        </w:numPr>
        <w:spacing w:line="360" w:lineRule="auto"/>
        <w:rPr>
          <w:rFonts w:ascii="宋体" w:cs="宋体"/>
          <w:color w:val="auto"/>
          <w:szCs w:val="21"/>
        </w:rPr>
      </w:pPr>
      <w:r>
        <w:rPr>
          <w:rFonts w:hint="eastAsia" w:ascii="宋体" w:hAnsi="宋体" w:cs="宋体"/>
          <w:color w:val="auto"/>
          <w:szCs w:val="21"/>
        </w:rPr>
        <w:t>进口产品：是指通过中国海关报关验放进入中国境内且产自关境外的产品。本招标文件中如有“进口货物”的描述，是指采购人已按照财政部《政府采购进口产品管理办法》的通知财库</w:t>
      </w:r>
      <w:r>
        <w:rPr>
          <w:rFonts w:ascii="宋体" w:hAnsi="宋体" w:cs="宋体"/>
          <w:color w:val="auto"/>
          <w:szCs w:val="21"/>
        </w:rPr>
        <w:t xml:space="preserve">[2007]119 </w:t>
      </w:r>
      <w:r>
        <w:rPr>
          <w:rFonts w:hint="eastAsia" w:ascii="宋体" w:hAnsi="宋体" w:cs="宋体"/>
          <w:color w:val="auto"/>
          <w:szCs w:val="21"/>
        </w:rPr>
        <w:t>号、财政部办公厅关于政府采购进口产品管理有关问题的通知财办库</w:t>
      </w:r>
      <w:r>
        <w:rPr>
          <w:rFonts w:ascii="宋体" w:hAnsi="宋体" w:cs="宋体"/>
          <w:color w:val="auto"/>
          <w:szCs w:val="21"/>
        </w:rPr>
        <w:t xml:space="preserve">[2008]248 </w:t>
      </w:r>
      <w:r>
        <w:rPr>
          <w:rFonts w:hint="eastAsia" w:ascii="宋体" w:hAnsi="宋体" w:cs="宋体"/>
          <w:color w:val="auto"/>
          <w:szCs w:val="21"/>
        </w:rPr>
        <w:t>号文件要求的程序办理过报批手续。</w:t>
      </w:r>
    </w:p>
    <w:p w14:paraId="65B3133D">
      <w:pPr>
        <w:widowControl w:val="0"/>
        <w:numPr>
          <w:ilvl w:val="0"/>
          <w:numId w:val="5"/>
        </w:numPr>
        <w:spacing w:line="360" w:lineRule="auto"/>
        <w:rPr>
          <w:rFonts w:ascii="宋体" w:cs="宋体"/>
          <w:b/>
          <w:color w:val="auto"/>
          <w:szCs w:val="21"/>
        </w:rPr>
      </w:pPr>
      <w:r>
        <w:rPr>
          <w:rFonts w:hint="eastAsia" w:ascii="宋体" w:hAnsi="宋体" w:cs="宋体"/>
          <w:b/>
          <w:color w:val="auto"/>
          <w:szCs w:val="21"/>
        </w:rPr>
        <w:t>投标费用</w:t>
      </w:r>
    </w:p>
    <w:p w14:paraId="7E0E542A">
      <w:pPr>
        <w:widowControl w:val="0"/>
        <w:numPr>
          <w:ilvl w:val="1"/>
          <w:numId w:val="8"/>
        </w:numPr>
        <w:tabs>
          <w:tab w:val="left" w:pos="720"/>
          <w:tab w:val="left" w:pos="1904"/>
          <w:tab w:val="clear" w:pos="360"/>
        </w:tabs>
        <w:spacing w:line="360" w:lineRule="auto"/>
        <w:ind w:left="720" w:hanging="720"/>
        <w:rPr>
          <w:rFonts w:ascii="宋体" w:cs="宋体"/>
          <w:color w:val="auto"/>
          <w:szCs w:val="21"/>
        </w:rPr>
      </w:pPr>
      <w:r>
        <w:rPr>
          <w:rFonts w:hint="eastAsia" w:ascii="宋体" w:hAnsi="宋体" w:cs="宋体"/>
          <w:color w:val="auto"/>
          <w:szCs w:val="21"/>
        </w:rPr>
        <w:t>无论投标过程中的做法和结果如何，供应商应自行承担所有与参加投标有关的全部费用，采购代理机构在任何情况下均无义务和责任承担上述费用。</w:t>
      </w:r>
    </w:p>
    <w:p w14:paraId="448CE3F9">
      <w:pPr>
        <w:widowControl w:val="0"/>
        <w:numPr>
          <w:ilvl w:val="0"/>
          <w:numId w:val="8"/>
        </w:numPr>
        <w:spacing w:line="360" w:lineRule="auto"/>
        <w:rPr>
          <w:rFonts w:ascii="宋体" w:cs="宋体"/>
          <w:b/>
          <w:color w:val="auto"/>
          <w:szCs w:val="21"/>
        </w:rPr>
      </w:pPr>
      <w:r>
        <w:rPr>
          <w:rFonts w:hint="eastAsia" w:ascii="宋体" w:hAnsi="宋体" w:cs="宋体"/>
          <w:b/>
          <w:color w:val="auto"/>
          <w:szCs w:val="21"/>
        </w:rPr>
        <w:t>踏勘现场</w:t>
      </w:r>
    </w:p>
    <w:p w14:paraId="293E356D">
      <w:pPr>
        <w:widowControl w:val="0"/>
        <w:numPr>
          <w:ilvl w:val="1"/>
          <w:numId w:val="8"/>
        </w:numPr>
        <w:tabs>
          <w:tab w:val="left" w:pos="720"/>
          <w:tab w:val="left" w:pos="1904"/>
          <w:tab w:val="clear" w:pos="360"/>
        </w:tabs>
        <w:spacing w:line="360" w:lineRule="auto"/>
        <w:ind w:left="720" w:hanging="720"/>
        <w:rPr>
          <w:rFonts w:ascii="宋体" w:cs="宋体"/>
          <w:color w:val="auto"/>
          <w:szCs w:val="21"/>
        </w:rPr>
      </w:pPr>
      <w:r>
        <w:rPr>
          <w:rFonts w:hint="eastAsia" w:ascii="宋体" w:hAnsi="宋体" w:cs="宋体"/>
          <w:color w:val="auto"/>
          <w:szCs w:val="21"/>
        </w:rPr>
        <w:t>供应商须知前附表中规定组织踏勘现场的，采购人按供应商须知前附表中规定的时间、地点组织供应商踏勘项目现场。</w:t>
      </w:r>
    </w:p>
    <w:p w14:paraId="1574980F">
      <w:pPr>
        <w:widowControl w:val="0"/>
        <w:numPr>
          <w:ilvl w:val="1"/>
          <w:numId w:val="8"/>
        </w:numPr>
        <w:tabs>
          <w:tab w:val="left" w:pos="720"/>
          <w:tab w:val="left" w:pos="1904"/>
          <w:tab w:val="clear" w:pos="360"/>
        </w:tabs>
        <w:spacing w:line="360" w:lineRule="auto"/>
        <w:ind w:left="720" w:hanging="720"/>
        <w:rPr>
          <w:rFonts w:ascii="宋体" w:cs="宋体"/>
          <w:color w:val="auto"/>
          <w:szCs w:val="21"/>
        </w:rPr>
      </w:pPr>
      <w:r>
        <w:rPr>
          <w:rFonts w:hint="eastAsia" w:ascii="宋体" w:hAnsi="宋体" w:cs="宋体"/>
          <w:color w:val="auto"/>
          <w:szCs w:val="21"/>
        </w:rPr>
        <w:t>供应商以获取须自己负责的有关编制投标文件和签署合同所需的所有资料，货物安装、调试环境等因素而进行的现场考察原则如下：</w:t>
      </w:r>
    </w:p>
    <w:p w14:paraId="57467551">
      <w:pPr>
        <w:widowControl w:val="0"/>
        <w:tabs>
          <w:tab w:val="left" w:pos="720"/>
          <w:tab w:val="left" w:pos="1904"/>
        </w:tabs>
        <w:spacing w:line="360" w:lineRule="auto"/>
        <w:ind w:left="720"/>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）货物和服务招标一般不统一组织供应商踏勘现场，招标文件中约定在标前某个时间、地点进行考察的，则由代理机构统一组织，供应商自愿参加的原则进行。</w:t>
      </w:r>
    </w:p>
    <w:p w14:paraId="5DF76F4F">
      <w:pPr>
        <w:widowControl w:val="0"/>
        <w:tabs>
          <w:tab w:val="left" w:pos="720"/>
          <w:tab w:val="left" w:pos="1904"/>
        </w:tabs>
        <w:spacing w:line="360" w:lineRule="auto"/>
        <w:ind w:left="720"/>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）招标文件中未约定在标前某个时间、地点进行考察的，则由供应商自行参加的原则进行。</w:t>
      </w:r>
    </w:p>
    <w:p w14:paraId="26AC0E17">
      <w:pPr>
        <w:widowControl w:val="0"/>
        <w:tabs>
          <w:tab w:val="left" w:pos="720"/>
          <w:tab w:val="left" w:pos="1904"/>
        </w:tabs>
        <w:spacing w:line="360" w:lineRule="auto"/>
        <w:ind w:left="720"/>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）勘察现场所发生的差旅费、住宿费、交通费、车辆及人身安全等费用由供应商自己承担。</w:t>
      </w:r>
    </w:p>
    <w:p w14:paraId="6E0083D6">
      <w:pPr>
        <w:widowControl w:val="0"/>
        <w:tabs>
          <w:tab w:val="left" w:pos="720"/>
          <w:tab w:val="left" w:pos="1904"/>
        </w:tabs>
        <w:spacing w:line="360" w:lineRule="auto"/>
        <w:ind w:left="720"/>
        <w:rPr>
          <w:rFonts w:asci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）采购人在踏勘现场中介绍的项目场地和相关的周边环境情况，供供应商在编制投标文件时参考，采购人不对供应商据此作出的判断和决策负责。</w:t>
      </w:r>
    </w:p>
    <w:p w14:paraId="5D9AD6D5">
      <w:pPr>
        <w:widowControl w:val="0"/>
        <w:tabs>
          <w:tab w:val="left" w:pos="720"/>
          <w:tab w:val="left" w:pos="1904"/>
        </w:tabs>
        <w:spacing w:line="360" w:lineRule="auto"/>
        <w:ind w:left="720"/>
        <w:rPr>
          <w:rFonts w:asci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）供应商自行负责在踏勘现场中所发生的人员伤亡和财产损失。</w:t>
      </w:r>
    </w:p>
    <w:p w14:paraId="6A893246">
      <w:pPr>
        <w:widowControl w:val="0"/>
        <w:numPr>
          <w:ilvl w:val="0"/>
          <w:numId w:val="8"/>
        </w:numPr>
        <w:spacing w:line="360" w:lineRule="auto"/>
        <w:rPr>
          <w:rFonts w:ascii="宋体" w:cs="宋体"/>
          <w:b/>
          <w:color w:val="auto"/>
          <w:szCs w:val="21"/>
        </w:rPr>
      </w:pPr>
      <w:r>
        <w:rPr>
          <w:rFonts w:hint="eastAsia" w:ascii="宋体" w:hAnsi="宋体" w:cs="宋体"/>
          <w:b/>
          <w:color w:val="auto"/>
          <w:szCs w:val="21"/>
        </w:rPr>
        <w:t>投标预备会</w:t>
      </w:r>
    </w:p>
    <w:p w14:paraId="282F9836">
      <w:pPr>
        <w:widowControl w:val="0"/>
        <w:numPr>
          <w:ilvl w:val="1"/>
          <w:numId w:val="8"/>
        </w:numPr>
        <w:tabs>
          <w:tab w:val="left" w:pos="720"/>
          <w:tab w:val="left" w:pos="1904"/>
          <w:tab w:val="clear" w:pos="360"/>
        </w:tabs>
        <w:spacing w:line="360" w:lineRule="auto"/>
        <w:ind w:left="720" w:hanging="720"/>
        <w:rPr>
          <w:rFonts w:ascii="宋体" w:cs="宋体"/>
          <w:color w:val="auto"/>
          <w:szCs w:val="21"/>
        </w:rPr>
      </w:pPr>
      <w:r>
        <w:rPr>
          <w:rFonts w:hint="eastAsia" w:ascii="宋体" w:hAnsi="宋体" w:cs="宋体"/>
          <w:color w:val="auto"/>
          <w:szCs w:val="21"/>
        </w:rPr>
        <w:t>供应商须知前附表中规定召开投标预备会的，采购人按供应商须知前附表中规定的时间和地点召开投标预备会，澄清供应商提出的问题。</w:t>
      </w:r>
    </w:p>
    <w:p w14:paraId="569437D2">
      <w:pPr>
        <w:widowControl w:val="0"/>
        <w:numPr>
          <w:ilvl w:val="1"/>
          <w:numId w:val="8"/>
        </w:numPr>
        <w:tabs>
          <w:tab w:val="left" w:pos="720"/>
          <w:tab w:val="left" w:pos="1904"/>
          <w:tab w:val="clear" w:pos="360"/>
        </w:tabs>
        <w:spacing w:line="360" w:lineRule="auto"/>
        <w:ind w:left="720" w:hanging="720"/>
        <w:rPr>
          <w:rFonts w:ascii="宋体" w:cs="宋体"/>
          <w:color w:val="auto"/>
          <w:szCs w:val="21"/>
        </w:rPr>
      </w:pPr>
      <w:r>
        <w:rPr>
          <w:rFonts w:hint="eastAsia" w:ascii="宋体" w:hAnsi="宋体" w:cs="宋体"/>
          <w:color w:val="auto"/>
          <w:szCs w:val="21"/>
        </w:rPr>
        <w:t>供应商应在供应商须知前附表中规定的时间前，以书面形式将提出的问题送达采购人，以便采购人在会议期间澄清。</w:t>
      </w:r>
    </w:p>
    <w:p w14:paraId="4F8EA111">
      <w:pPr>
        <w:widowControl w:val="0"/>
        <w:numPr>
          <w:ilvl w:val="1"/>
          <w:numId w:val="8"/>
        </w:numPr>
        <w:tabs>
          <w:tab w:val="left" w:pos="720"/>
          <w:tab w:val="left" w:pos="1904"/>
          <w:tab w:val="clear" w:pos="360"/>
        </w:tabs>
        <w:spacing w:line="360" w:lineRule="auto"/>
        <w:ind w:left="720" w:hanging="720"/>
        <w:rPr>
          <w:rFonts w:ascii="宋体" w:cs="宋体"/>
          <w:color w:val="auto"/>
          <w:szCs w:val="21"/>
        </w:rPr>
      </w:pPr>
      <w:r>
        <w:rPr>
          <w:rFonts w:hint="eastAsia" w:ascii="宋体" w:hAnsi="宋体" w:cs="宋体"/>
          <w:color w:val="auto"/>
          <w:szCs w:val="21"/>
        </w:rPr>
        <w:t>投标预备会后，采购人在供应商须知前附表中规定的时间内，将对供应商所提问题的澄清，以书面方式通知所有购买招标文件的供应商。该澄清内容为招标文件的组成部分。</w:t>
      </w:r>
    </w:p>
    <w:p w14:paraId="20123DFA">
      <w:pPr>
        <w:pStyle w:val="5"/>
        <w:numPr>
          <w:ilvl w:val="0"/>
          <w:numId w:val="4"/>
        </w:numPr>
        <w:tabs>
          <w:tab w:val="left" w:pos="405"/>
          <w:tab w:val="left" w:pos="721"/>
        </w:tabs>
        <w:spacing w:before="0" w:after="0" w:line="360" w:lineRule="auto"/>
        <w:ind w:left="0"/>
        <w:rPr>
          <w:rFonts w:ascii="宋体" w:hAnsi="宋体" w:cs="宋体"/>
          <w:sz w:val="24"/>
        </w:rPr>
      </w:pPr>
      <w:r>
        <w:rPr>
          <w:rFonts w:hint="eastAsia" w:ascii="宋体" w:hAnsi="宋体" w:cs="宋体"/>
          <w:sz w:val="24"/>
        </w:rPr>
        <w:t>招标文件</w:t>
      </w:r>
    </w:p>
    <w:p w14:paraId="65C79384">
      <w:pPr>
        <w:widowControl w:val="0"/>
        <w:numPr>
          <w:ilvl w:val="0"/>
          <w:numId w:val="8"/>
        </w:numPr>
        <w:tabs>
          <w:tab w:val="left" w:pos="1904"/>
        </w:tabs>
        <w:spacing w:line="360" w:lineRule="auto"/>
        <w:ind w:left="720" w:hanging="720"/>
        <w:rPr>
          <w:rFonts w:ascii="宋体" w:cs="宋体"/>
          <w:b/>
          <w:color w:val="auto"/>
          <w:szCs w:val="21"/>
        </w:rPr>
      </w:pPr>
      <w:r>
        <w:rPr>
          <w:rFonts w:hint="eastAsia" w:ascii="宋体" w:hAnsi="宋体" w:cs="宋体"/>
          <w:b/>
          <w:color w:val="auto"/>
          <w:szCs w:val="21"/>
        </w:rPr>
        <w:t>招标文件的构成</w:t>
      </w:r>
    </w:p>
    <w:p w14:paraId="61857B33">
      <w:pPr>
        <w:widowControl w:val="0"/>
        <w:numPr>
          <w:ilvl w:val="1"/>
          <w:numId w:val="8"/>
        </w:numPr>
        <w:tabs>
          <w:tab w:val="left" w:pos="720"/>
          <w:tab w:val="left" w:pos="1904"/>
          <w:tab w:val="clear" w:pos="360"/>
        </w:tabs>
        <w:spacing w:line="360" w:lineRule="auto"/>
        <w:ind w:left="720" w:hanging="720"/>
        <w:rPr>
          <w:rFonts w:ascii="宋体" w:cs="宋体"/>
          <w:color w:val="auto"/>
          <w:szCs w:val="21"/>
        </w:rPr>
      </w:pPr>
      <w:r>
        <w:rPr>
          <w:rFonts w:hint="eastAsia" w:ascii="宋体" w:hAnsi="宋体" w:cs="宋体"/>
          <w:color w:val="auto"/>
          <w:szCs w:val="21"/>
        </w:rPr>
        <w:t>招标文件用以阐明本次招标的货物要求、招标投标程序和合同条件。</w:t>
      </w:r>
    </w:p>
    <w:p w14:paraId="37A04A83">
      <w:pPr>
        <w:pStyle w:val="23"/>
        <w:tabs>
          <w:tab w:val="left" w:pos="720"/>
          <w:tab w:val="left" w:pos="1080"/>
        </w:tabs>
        <w:spacing w:line="360" w:lineRule="auto"/>
        <w:ind w:left="720" w:firstLine="0"/>
        <w:rPr>
          <w:rFonts w:ascii="宋体" w:hAnsi="宋体" w:eastAsia="宋体" w:cs="宋体"/>
          <w:sz w:val="21"/>
          <w:szCs w:val="21"/>
        </w:rPr>
      </w:pPr>
      <w:r>
        <w:rPr>
          <w:rFonts w:hint="eastAsia" w:ascii="宋体" w:hAnsi="宋体" w:eastAsia="宋体" w:cs="宋体"/>
          <w:sz w:val="21"/>
          <w:szCs w:val="21"/>
        </w:rPr>
        <w:t>招标文件由下述部分组成：</w:t>
      </w:r>
    </w:p>
    <w:p w14:paraId="46754301">
      <w:pPr>
        <w:spacing w:line="360" w:lineRule="auto"/>
        <w:ind w:left="359" w:leftChars="171" w:firstLine="420" w:firstLineChars="200"/>
        <w:rPr>
          <w:rFonts w:ascii="宋体" w:cs="宋体"/>
          <w:color w:val="auto"/>
          <w:szCs w:val="21"/>
        </w:rPr>
      </w:pPr>
      <w:r>
        <w:rPr>
          <w:rFonts w:hint="eastAsia" w:ascii="宋体" w:hAnsi="宋体" w:cs="宋体"/>
          <w:color w:val="auto"/>
          <w:szCs w:val="21"/>
        </w:rPr>
        <w:t>第一卷</w:t>
      </w:r>
    </w:p>
    <w:p w14:paraId="1E7254AE">
      <w:pPr>
        <w:spacing w:line="360" w:lineRule="auto"/>
        <w:ind w:left="359" w:leftChars="171" w:firstLine="420" w:firstLineChars="200"/>
        <w:rPr>
          <w:rFonts w:ascii="宋体" w:cs="宋体"/>
          <w:color w:val="auto"/>
          <w:szCs w:val="21"/>
        </w:rPr>
      </w:pPr>
      <w:r>
        <w:rPr>
          <w:rFonts w:hint="eastAsia" w:ascii="宋体" w:hAnsi="宋体" w:cs="宋体"/>
          <w:color w:val="auto"/>
          <w:szCs w:val="21"/>
        </w:rPr>
        <w:t>第一章招标公告</w:t>
      </w:r>
    </w:p>
    <w:p w14:paraId="069193AE">
      <w:pPr>
        <w:spacing w:line="360" w:lineRule="auto"/>
        <w:ind w:left="359" w:leftChars="171" w:firstLine="420" w:firstLineChars="200"/>
        <w:rPr>
          <w:rFonts w:ascii="宋体" w:cs="宋体"/>
          <w:color w:val="auto"/>
          <w:szCs w:val="21"/>
        </w:rPr>
      </w:pPr>
      <w:r>
        <w:rPr>
          <w:rFonts w:hint="eastAsia" w:ascii="宋体" w:hAnsi="宋体" w:cs="宋体"/>
          <w:color w:val="auto"/>
          <w:szCs w:val="21"/>
        </w:rPr>
        <w:t>第二章供应商须知前附表</w:t>
      </w:r>
    </w:p>
    <w:p w14:paraId="70A6CE82">
      <w:pPr>
        <w:spacing w:line="360" w:lineRule="auto"/>
        <w:ind w:left="359" w:leftChars="171" w:firstLine="420" w:firstLineChars="200"/>
        <w:rPr>
          <w:rFonts w:ascii="宋体" w:cs="宋体"/>
          <w:color w:val="auto"/>
          <w:szCs w:val="21"/>
        </w:rPr>
      </w:pPr>
      <w:r>
        <w:rPr>
          <w:rFonts w:hint="eastAsia" w:ascii="宋体" w:hAnsi="宋体" w:cs="宋体"/>
          <w:color w:val="auto"/>
          <w:szCs w:val="21"/>
        </w:rPr>
        <w:t>第三章供应商须知</w:t>
      </w:r>
    </w:p>
    <w:p w14:paraId="76F97146">
      <w:pPr>
        <w:spacing w:line="360" w:lineRule="auto"/>
        <w:ind w:left="359" w:leftChars="171" w:firstLine="420" w:firstLineChars="200"/>
        <w:rPr>
          <w:rFonts w:ascii="宋体" w:cs="宋体"/>
          <w:color w:val="auto"/>
          <w:szCs w:val="21"/>
        </w:rPr>
      </w:pPr>
      <w:r>
        <w:rPr>
          <w:rFonts w:hint="eastAsia" w:ascii="宋体" w:hAnsi="宋体" w:cs="宋体"/>
          <w:color w:val="auto"/>
          <w:szCs w:val="21"/>
        </w:rPr>
        <w:t>第二卷</w:t>
      </w:r>
    </w:p>
    <w:p w14:paraId="0D852EB5">
      <w:pPr>
        <w:spacing w:line="360" w:lineRule="auto"/>
        <w:ind w:left="359" w:leftChars="171" w:firstLine="420" w:firstLineChars="200"/>
        <w:rPr>
          <w:rFonts w:ascii="宋体" w:cs="宋体"/>
          <w:color w:val="auto"/>
          <w:szCs w:val="21"/>
        </w:rPr>
      </w:pPr>
      <w:r>
        <w:rPr>
          <w:rFonts w:hint="eastAsia" w:ascii="宋体" w:hAnsi="宋体" w:cs="宋体"/>
          <w:color w:val="auto"/>
          <w:szCs w:val="21"/>
        </w:rPr>
        <w:t>第四章合同格式（仅供参考）</w:t>
      </w:r>
    </w:p>
    <w:p w14:paraId="73EB90F8">
      <w:pPr>
        <w:spacing w:line="360" w:lineRule="auto"/>
        <w:ind w:left="359" w:leftChars="171" w:firstLine="420" w:firstLineChars="200"/>
        <w:rPr>
          <w:rFonts w:ascii="宋体" w:cs="宋体"/>
          <w:color w:val="auto"/>
          <w:szCs w:val="21"/>
        </w:rPr>
      </w:pPr>
      <w:r>
        <w:rPr>
          <w:rFonts w:hint="eastAsia" w:ascii="宋体" w:hAnsi="宋体" w:cs="宋体"/>
          <w:color w:val="auto"/>
          <w:szCs w:val="21"/>
        </w:rPr>
        <w:t>第五章投标文件格式</w:t>
      </w:r>
    </w:p>
    <w:p w14:paraId="21676640">
      <w:pPr>
        <w:spacing w:line="360" w:lineRule="auto"/>
        <w:ind w:left="359" w:leftChars="171" w:firstLine="420" w:firstLineChars="200"/>
        <w:rPr>
          <w:rFonts w:ascii="宋体" w:cs="宋体"/>
          <w:color w:val="auto"/>
          <w:szCs w:val="21"/>
        </w:rPr>
      </w:pPr>
      <w:r>
        <w:rPr>
          <w:rFonts w:hint="eastAsia" w:ascii="宋体" w:hAnsi="宋体" w:cs="宋体"/>
          <w:color w:val="auto"/>
          <w:szCs w:val="21"/>
        </w:rPr>
        <w:t>第六章招标项目资料表及评分办法</w:t>
      </w:r>
    </w:p>
    <w:p w14:paraId="0F61FCFE">
      <w:pPr>
        <w:spacing w:line="360" w:lineRule="auto"/>
        <w:ind w:left="359" w:leftChars="171" w:firstLine="420" w:firstLineChars="200"/>
        <w:rPr>
          <w:rFonts w:ascii="宋体" w:cs="宋体"/>
          <w:color w:val="auto"/>
          <w:szCs w:val="21"/>
        </w:rPr>
      </w:pPr>
      <w:r>
        <w:rPr>
          <w:rFonts w:hint="eastAsia" w:ascii="宋体" w:hAnsi="宋体" w:cs="宋体"/>
          <w:color w:val="auto"/>
          <w:szCs w:val="21"/>
        </w:rPr>
        <w:t>第七章项目内容数量及技术要求</w:t>
      </w:r>
    </w:p>
    <w:p w14:paraId="72024EFE">
      <w:pPr>
        <w:pStyle w:val="23"/>
        <w:numPr>
          <w:ilvl w:val="1"/>
          <w:numId w:val="8"/>
        </w:numPr>
        <w:tabs>
          <w:tab w:val="left" w:pos="720"/>
          <w:tab w:val="clear" w:pos="360"/>
        </w:tabs>
        <w:spacing w:line="360" w:lineRule="auto"/>
        <w:ind w:left="720" w:hanging="720"/>
        <w:rPr>
          <w:rFonts w:ascii="宋体" w:hAnsi="宋体" w:eastAsia="宋体" w:cs="宋体"/>
          <w:sz w:val="21"/>
          <w:szCs w:val="21"/>
        </w:rPr>
      </w:pPr>
      <w:r>
        <w:rPr>
          <w:rFonts w:hint="eastAsia" w:ascii="宋体" w:hAnsi="宋体" w:eastAsia="宋体" w:cs="宋体"/>
          <w:sz w:val="21"/>
          <w:szCs w:val="21"/>
        </w:rPr>
        <w:t>供应商应仔细阅读招标文件中供应商须知、合同条款的所有事项、格式要求和技术规范，按招标文件的要求提供投标文件，并保证所提供的全部资料的真实性，以使其投标对招标文件做出实质性响应，否则，将承担其投标被拒绝的风险。</w:t>
      </w:r>
    </w:p>
    <w:p w14:paraId="786A8578">
      <w:pPr>
        <w:widowControl w:val="0"/>
        <w:numPr>
          <w:ilvl w:val="0"/>
          <w:numId w:val="8"/>
        </w:numPr>
        <w:spacing w:line="360" w:lineRule="auto"/>
        <w:ind w:left="720" w:hanging="720"/>
        <w:rPr>
          <w:rFonts w:ascii="宋体" w:cs="宋体"/>
          <w:b/>
          <w:color w:val="auto"/>
          <w:szCs w:val="21"/>
        </w:rPr>
      </w:pPr>
      <w:r>
        <w:rPr>
          <w:rFonts w:hint="eastAsia" w:ascii="宋体" w:hAnsi="宋体" w:cs="宋体"/>
          <w:b/>
          <w:color w:val="auto"/>
          <w:szCs w:val="21"/>
        </w:rPr>
        <w:t>招标文件的澄清</w:t>
      </w:r>
    </w:p>
    <w:p w14:paraId="10879E86">
      <w:pPr>
        <w:pStyle w:val="23"/>
        <w:numPr>
          <w:ilvl w:val="1"/>
          <w:numId w:val="8"/>
        </w:numPr>
        <w:tabs>
          <w:tab w:val="left" w:pos="720"/>
          <w:tab w:val="clear" w:pos="360"/>
        </w:tabs>
        <w:spacing w:line="360" w:lineRule="auto"/>
        <w:ind w:left="720" w:hanging="720"/>
        <w:rPr>
          <w:rFonts w:ascii="宋体" w:hAnsi="宋体" w:eastAsia="宋体" w:cs="宋体"/>
          <w:sz w:val="21"/>
          <w:szCs w:val="21"/>
        </w:rPr>
      </w:pPr>
      <w:r>
        <w:rPr>
          <w:rFonts w:hint="eastAsia" w:ascii="宋体" w:hAnsi="宋体" w:eastAsia="宋体" w:cs="宋体"/>
          <w:sz w:val="21"/>
          <w:szCs w:val="21"/>
        </w:rPr>
        <w:t>供应商应仔细阅读和检查招标文件的全部内容。如发现缺页或附件不全，应及时向采购人提出，以便补齐。如有疑问，应在投标截止之日十日前通过公共资源交易系统，要求采购人或采购代理机构对招标文件予以澄清。在规定的时间内未提出疑问的，将被视为对招标文件完全认可。</w:t>
      </w:r>
    </w:p>
    <w:p w14:paraId="5F8C048C">
      <w:pPr>
        <w:pStyle w:val="23"/>
        <w:numPr>
          <w:ilvl w:val="1"/>
          <w:numId w:val="8"/>
        </w:numPr>
        <w:tabs>
          <w:tab w:val="left" w:pos="720"/>
          <w:tab w:val="clear" w:pos="360"/>
        </w:tabs>
        <w:spacing w:line="360" w:lineRule="auto"/>
        <w:ind w:left="720" w:hanging="720"/>
        <w:rPr>
          <w:rFonts w:ascii="宋体" w:hAnsi="宋体" w:eastAsia="宋体" w:cs="宋体"/>
          <w:sz w:val="21"/>
          <w:szCs w:val="21"/>
        </w:rPr>
      </w:pPr>
      <w:r>
        <w:rPr>
          <w:rFonts w:hint="eastAsia" w:ascii="宋体" w:hAnsi="宋体" w:eastAsia="宋体" w:cs="宋体"/>
          <w:sz w:val="21"/>
          <w:szCs w:val="21"/>
        </w:rPr>
        <w:t>招标文件的澄清将通过公共资源交易系统发给所有下载招标文件的供应商，但不指明澄清问题的来源。如果澄清发出的时间距投标截止时间不足</w:t>
      </w:r>
      <w:r>
        <w:rPr>
          <w:rFonts w:ascii="宋体" w:hAnsi="宋体" w:eastAsia="宋体" w:cs="宋体"/>
          <w:sz w:val="21"/>
          <w:szCs w:val="21"/>
        </w:rPr>
        <w:t>15</w:t>
      </w:r>
      <w:r>
        <w:rPr>
          <w:rFonts w:hint="eastAsia" w:ascii="宋体" w:hAnsi="宋体" w:eastAsia="宋体" w:cs="宋体"/>
          <w:sz w:val="21"/>
          <w:szCs w:val="21"/>
        </w:rPr>
        <w:t>天，相应延长投标截止时间。</w:t>
      </w:r>
    </w:p>
    <w:p w14:paraId="50256D9D">
      <w:pPr>
        <w:widowControl w:val="0"/>
        <w:numPr>
          <w:ilvl w:val="0"/>
          <w:numId w:val="8"/>
        </w:numPr>
        <w:spacing w:line="360" w:lineRule="auto"/>
        <w:ind w:left="720" w:hanging="720"/>
        <w:rPr>
          <w:rFonts w:ascii="宋体" w:cs="宋体"/>
          <w:b/>
          <w:color w:val="auto"/>
          <w:szCs w:val="21"/>
        </w:rPr>
      </w:pPr>
      <w:r>
        <w:rPr>
          <w:rFonts w:hint="eastAsia" w:ascii="宋体" w:hAnsi="宋体" w:cs="宋体"/>
          <w:b/>
          <w:color w:val="auto"/>
          <w:szCs w:val="21"/>
        </w:rPr>
        <w:t>招标文件的修改</w:t>
      </w:r>
    </w:p>
    <w:p w14:paraId="0E5C6B25">
      <w:pPr>
        <w:pStyle w:val="23"/>
        <w:numPr>
          <w:ilvl w:val="1"/>
          <w:numId w:val="8"/>
        </w:numPr>
        <w:tabs>
          <w:tab w:val="left" w:pos="720"/>
          <w:tab w:val="clear" w:pos="360"/>
        </w:tabs>
        <w:spacing w:line="360" w:lineRule="auto"/>
        <w:ind w:left="720" w:hanging="720"/>
        <w:rPr>
          <w:rFonts w:ascii="宋体" w:hAnsi="宋体" w:eastAsia="宋体" w:cs="宋体"/>
          <w:sz w:val="21"/>
          <w:szCs w:val="21"/>
        </w:rPr>
      </w:pPr>
      <w:bookmarkStart w:id="3" w:name="_Toc342615369"/>
      <w:bookmarkStart w:id="4" w:name="_Toc342594061"/>
      <w:r>
        <w:rPr>
          <w:rFonts w:hint="eastAsia" w:ascii="宋体" w:hAnsi="宋体" w:eastAsia="宋体" w:cs="宋体"/>
          <w:sz w:val="21"/>
          <w:szCs w:val="21"/>
        </w:rPr>
        <w:t>在投标截止时间</w:t>
      </w:r>
      <w:r>
        <w:rPr>
          <w:rFonts w:ascii="宋体" w:hAnsi="宋体" w:eastAsia="宋体" w:cs="宋体"/>
          <w:sz w:val="21"/>
          <w:szCs w:val="21"/>
        </w:rPr>
        <w:t>15</w:t>
      </w:r>
      <w:r>
        <w:rPr>
          <w:rFonts w:hint="eastAsia" w:ascii="宋体" w:hAnsi="宋体" w:eastAsia="宋体" w:cs="宋体"/>
          <w:sz w:val="21"/>
          <w:szCs w:val="21"/>
        </w:rPr>
        <w:t>日前，采购人可以通过公共资源交易系统修改招标文件。如果修改招标文件的时间距投标截止时间不足</w:t>
      </w:r>
      <w:r>
        <w:rPr>
          <w:rFonts w:ascii="宋体" w:hAnsi="宋体" w:eastAsia="宋体" w:cs="宋体"/>
          <w:sz w:val="21"/>
          <w:szCs w:val="21"/>
        </w:rPr>
        <w:t>15</w:t>
      </w:r>
      <w:r>
        <w:rPr>
          <w:rFonts w:hint="eastAsia" w:ascii="宋体" w:hAnsi="宋体" w:eastAsia="宋体" w:cs="宋体"/>
          <w:sz w:val="21"/>
          <w:szCs w:val="21"/>
        </w:rPr>
        <w:t>天，相应延长投标截止时间。</w:t>
      </w:r>
    </w:p>
    <w:p w14:paraId="3DE6591F">
      <w:pPr>
        <w:pStyle w:val="23"/>
        <w:numPr>
          <w:ilvl w:val="1"/>
          <w:numId w:val="8"/>
        </w:numPr>
        <w:tabs>
          <w:tab w:val="left" w:pos="720"/>
          <w:tab w:val="clear" w:pos="360"/>
        </w:tabs>
        <w:spacing w:line="360" w:lineRule="auto"/>
        <w:ind w:left="720" w:hanging="720"/>
        <w:rPr>
          <w:rFonts w:ascii="宋体" w:hAnsi="宋体" w:eastAsia="宋体" w:cs="宋体"/>
          <w:sz w:val="21"/>
          <w:szCs w:val="21"/>
        </w:rPr>
      </w:pPr>
      <w:r>
        <w:rPr>
          <w:rFonts w:hint="eastAsia" w:ascii="宋体" w:hAnsi="宋体" w:eastAsia="宋体" w:cs="宋体"/>
          <w:sz w:val="21"/>
          <w:szCs w:val="21"/>
        </w:rPr>
        <w:t>招标文件的修改将构成招标文件的一部分，对所有供应商均具有约束力。</w:t>
      </w:r>
    </w:p>
    <w:p w14:paraId="25EE7AF5">
      <w:pPr>
        <w:pStyle w:val="23"/>
        <w:numPr>
          <w:ilvl w:val="1"/>
          <w:numId w:val="8"/>
        </w:numPr>
        <w:tabs>
          <w:tab w:val="left" w:pos="720"/>
          <w:tab w:val="clear" w:pos="360"/>
        </w:tabs>
        <w:spacing w:line="360" w:lineRule="auto"/>
        <w:ind w:left="720" w:hanging="720"/>
        <w:rPr>
          <w:rFonts w:ascii="宋体" w:hAnsi="宋体" w:eastAsia="宋体" w:cs="宋体"/>
          <w:sz w:val="21"/>
          <w:szCs w:val="21"/>
        </w:rPr>
      </w:pPr>
      <w:r>
        <w:rPr>
          <w:rFonts w:hint="eastAsia" w:ascii="宋体" w:hAnsi="宋体" w:eastAsia="宋体" w:cs="宋体"/>
          <w:sz w:val="21"/>
          <w:szCs w:val="21"/>
        </w:rPr>
        <w:t>供应商应注意及时浏览公共资源交易系统发布的澄清和修改内容，因供应商原因未及时获知澄清、修改内容而导致的任何后果，概由供应商自己承担。</w:t>
      </w:r>
    </w:p>
    <w:p w14:paraId="705AD8D4">
      <w:pPr>
        <w:pStyle w:val="23"/>
        <w:tabs>
          <w:tab w:val="left" w:pos="720"/>
        </w:tabs>
        <w:spacing w:line="360" w:lineRule="auto"/>
        <w:ind w:left="720" w:firstLine="0"/>
        <w:rPr>
          <w:rFonts w:ascii="宋体" w:hAnsi="宋体" w:eastAsia="宋体" w:cs="宋体"/>
          <w:sz w:val="21"/>
          <w:szCs w:val="21"/>
        </w:rPr>
      </w:pPr>
    </w:p>
    <w:p w14:paraId="4C1FB391">
      <w:pPr>
        <w:pStyle w:val="5"/>
        <w:numPr>
          <w:ilvl w:val="0"/>
          <w:numId w:val="4"/>
        </w:numPr>
        <w:tabs>
          <w:tab w:val="left" w:pos="405"/>
          <w:tab w:val="left" w:pos="721"/>
        </w:tabs>
        <w:spacing w:before="0" w:after="0" w:line="360" w:lineRule="auto"/>
        <w:ind w:left="0"/>
        <w:rPr>
          <w:rFonts w:ascii="宋体" w:hAnsi="宋体" w:cs="宋体"/>
          <w:sz w:val="24"/>
        </w:rPr>
      </w:pPr>
      <w:r>
        <w:rPr>
          <w:rFonts w:hint="eastAsia" w:ascii="宋体" w:hAnsi="宋体" w:cs="宋体"/>
          <w:sz w:val="24"/>
        </w:rPr>
        <w:t>投标文件的编写</w:t>
      </w:r>
      <w:bookmarkEnd w:id="3"/>
      <w:bookmarkEnd w:id="4"/>
    </w:p>
    <w:p w14:paraId="1B172AE8">
      <w:pPr>
        <w:widowControl w:val="0"/>
        <w:numPr>
          <w:ilvl w:val="0"/>
          <w:numId w:val="8"/>
        </w:numPr>
        <w:tabs>
          <w:tab w:val="left" w:pos="1904"/>
        </w:tabs>
        <w:spacing w:line="360" w:lineRule="auto"/>
        <w:rPr>
          <w:rFonts w:ascii="宋体" w:cs="宋体"/>
          <w:b/>
          <w:color w:val="auto"/>
          <w:szCs w:val="21"/>
        </w:rPr>
      </w:pPr>
      <w:r>
        <w:rPr>
          <w:rFonts w:hint="eastAsia" w:ascii="宋体" w:hAnsi="宋体" w:cs="宋体"/>
          <w:b/>
          <w:color w:val="auto"/>
          <w:szCs w:val="21"/>
        </w:rPr>
        <w:t>投标语言</w:t>
      </w:r>
    </w:p>
    <w:p w14:paraId="3EB78C5B">
      <w:pPr>
        <w:pStyle w:val="23"/>
        <w:numPr>
          <w:ilvl w:val="1"/>
          <w:numId w:val="8"/>
        </w:numPr>
        <w:tabs>
          <w:tab w:val="left" w:pos="720"/>
          <w:tab w:val="clear" w:pos="360"/>
        </w:tabs>
        <w:spacing w:line="360" w:lineRule="auto"/>
        <w:ind w:left="720" w:hanging="720"/>
        <w:rPr>
          <w:rFonts w:ascii="宋体" w:hAnsi="宋体" w:eastAsia="宋体" w:cs="宋体"/>
          <w:sz w:val="21"/>
          <w:szCs w:val="21"/>
        </w:rPr>
      </w:pPr>
      <w:r>
        <w:rPr>
          <w:rFonts w:hint="eastAsia" w:ascii="宋体" w:hAnsi="宋体" w:eastAsia="宋体" w:cs="宋体"/>
          <w:sz w:val="21"/>
          <w:szCs w:val="21"/>
        </w:rPr>
        <w:t>投标文件以及供应商所有与采购人及采购代理机构就投标来往的函电均使用中文。供应商提供的外文资料应附有相应的中文译本，并以中文译本为准。</w:t>
      </w:r>
    </w:p>
    <w:p w14:paraId="1ABC3068">
      <w:pPr>
        <w:widowControl w:val="0"/>
        <w:numPr>
          <w:ilvl w:val="0"/>
          <w:numId w:val="8"/>
        </w:numPr>
        <w:tabs>
          <w:tab w:val="left" w:pos="1904"/>
        </w:tabs>
        <w:spacing w:line="360" w:lineRule="auto"/>
        <w:rPr>
          <w:rFonts w:ascii="宋体" w:cs="宋体"/>
          <w:b/>
          <w:color w:val="auto"/>
          <w:szCs w:val="21"/>
        </w:rPr>
      </w:pPr>
      <w:r>
        <w:rPr>
          <w:rFonts w:hint="eastAsia" w:ascii="宋体" w:hAnsi="宋体" w:cs="宋体"/>
          <w:b/>
          <w:color w:val="auto"/>
          <w:szCs w:val="21"/>
        </w:rPr>
        <w:t>投标文件计量单位</w:t>
      </w:r>
    </w:p>
    <w:p w14:paraId="63A0BE1E">
      <w:pPr>
        <w:pStyle w:val="20"/>
        <w:tabs>
          <w:tab w:val="left" w:pos="721"/>
        </w:tabs>
        <w:spacing w:line="360" w:lineRule="auto"/>
        <w:ind w:left="360" w:hanging="360"/>
        <w:rPr>
          <w:rFonts w:ascii="宋体" w:hAnsi="宋体" w:eastAsia="宋体" w:cs="宋体"/>
          <w:sz w:val="21"/>
          <w:szCs w:val="21"/>
        </w:rPr>
      </w:pPr>
      <w:r>
        <w:rPr>
          <w:rFonts w:ascii="宋体" w:hAnsi="宋体" w:eastAsia="宋体" w:cs="宋体"/>
          <w:sz w:val="21"/>
          <w:szCs w:val="21"/>
        </w:rPr>
        <w:t xml:space="preserve">10.1   </w:t>
      </w:r>
      <w:r>
        <w:rPr>
          <w:rFonts w:hint="eastAsia" w:ascii="宋体" w:hAnsi="宋体" w:eastAsia="宋体" w:cs="宋体"/>
          <w:sz w:val="21"/>
          <w:szCs w:val="21"/>
        </w:rPr>
        <w:t>除在招标文件中另有规定外，计量单位均使用公制计量单位。</w:t>
      </w:r>
    </w:p>
    <w:p w14:paraId="1F62B8AC">
      <w:pPr>
        <w:widowControl w:val="0"/>
        <w:numPr>
          <w:ilvl w:val="0"/>
          <w:numId w:val="8"/>
        </w:numPr>
        <w:tabs>
          <w:tab w:val="left" w:pos="1904"/>
        </w:tabs>
        <w:spacing w:line="360" w:lineRule="auto"/>
        <w:rPr>
          <w:rFonts w:ascii="宋体" w:cs="宋体"/>
          <w:b/>
          <w:color w:val="auto"/>
          <w:szCs w:val="21"/>
        </w:rPr>
      </w:pPr>
      <w:r>
        <w:rPr>
          <w:rFonts w:hint="eastAsia" w:ascii="宋体" w:hAnsi="宋体" w:cs="宋体"/>
          <w:b/>
          <w:color w:val="auto"/>
          <w:szCs w:val="21"/>
        </w:rPr>
        <w:t>投标文件的组成</w:t>
      </w:r>
    </w:p>
    <w:p w14:paraId="037F552C">
      <w:pPr>
        <w:widowControl w:val="0"/>
        <w:numPr>
          <w:ilvl w:val="1"/>
          <w:numId w:val="8"/>
        </w:numPr>
        <w:tabs>
          <w:tab w:val="left" w:pos="720"/>
          <w:tab w:val="clear" w:pos="360"/>
        </w:tabs>
        <w:spacing w:line="360" w:lineRule="auto"/>
        <w:ind w:left="720" w:hanging="720"/>
        <w:rPr>
          <w:rFonts w:ascii="宋体" w:cs="宋体"/>
          <w:b/>
          <w:bCs/>
          <w:color w:val="auto"/>
          <w:szCs w:val="21"/>
        </w:rPr>
      </w:pPr>
      <w:r>
        <w:rPr>
          <w:rFonts w:hint="eastAsia" w:ascii="宋体" w:hAnsi="宋体" w:cs="宋体"/>
          <w:color w:val="auto"/>
          <w:szCs w:val="21"/>
        </w:rPr>
        <w:t>投标文件包含的内容详见第五章“投标文件格式”。</w:t>
      </w:r>
    </w:p>
    <w:p w14:paraId="2BFC4587">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b/>
          <w:color w:val="auto"/>
          <w:szCs w:val="21"/>
        </w:rPr>
        <w:t>投标文件应与招标文件要求的投标文件格式次序一一对应</w:t>
      </w:r>
      <w:r>
        <w:rPr>
          <w:rFonts w:hint="eastAsia" w:ascii="宋体" w:hAnsi="宋体" w:cs="宋体"/>
          <w:color w:val="auto"/>
          <w:szCs w:val="21"/>
        </w:rPr>
        <w:t>。</w:t>
      </w:r>
    </w:p>
    <w:p w14:paraId="2062DA3C">
      <w:pPr>
        <w:widowControl w:val="0"/>
        <w:numPr>
          <w:ilvl w:val="0"/>
          <w:numId w:val="8"/>
        </w:numPr>
        <w:tabs>
          <w:tab w:val="left" w:pos="1904"/>
        </w:tabs>
        <w:spacing w:line="360" w:lineRule="auto"/>
        <w:rPr>
          <w:rFonts w:ascii="宋体" w:cs="宋体"/>
          <w:b/>
          <w:color w:val="auto"/>
          <w:szCs w:val="21"/>
        </w:rPr>
      </w:pPr>
      <w:r>
        <w:rPr>
          <w:rFonts w:hint="eastAsia" w:ascii="宋体" w:hAnsi="宋体" w:cs="宋体"/>
          <w:b/>
          <w:color w:val="auto"/>
          <w:szCs w:val="21"/>
        </w:rPr>
        <w:t>投标格式</w:t>
      </w:r>
    </w:p>
    <w:p w14:paraId="088C01B0">
      <w:pPr>
        <w:spacing w:line="360" w:lineRule="auto"/>
        <w:ind w:left="720" w:hanging="720"/>
        <w:rPr>
          <w:rFonts w:ascii="宋体" w:cs="宋体"/>
          <w:color w:val="auto"/>
          <w:szCs w:val="21"/>
        </w:rPr>
      </w:pPr>
      <w:r>
        <w:rPr>
          <w:rFonts w:ascii="宋体" w:hAnsi="宋体" w:cs="宋体"/>
          <w:color w:val="auto"/>
          <w:szCs w:val="21"/>
        </w:rPr>
        <w:t xml:space="preserve">12.1  </w:t>
      </w:r>
      <w:r>
        <w:rPr>
          <w:rFonts w:hint="eastAsia" w:ascii="宋体" w:hAnsi="宋体" w:cs="宋体"/>
          <w:color w:val="auto"/>
          <w:szCs w:val="21"/>
        </w:rPr>
        <w:t>供应商应按照招标文件中提供的格式完整地填写投标函、开标一览表、主要货物分项报价表等，按招标文件提供的资格证明格式（见投标文件格式）提交招标文件要求的资格证明文件。</w:t>
      </w:r>
    </w:p>
    <w:p w14:paraId="41667E28">
      <w:pPr>
        <w:widowControl w:val="0"/>
        <w:numPr>
          <w:ilvl w:val="0"/>
          <w:numId w:val="8"/>
        </w:numPr>
        <w:tabs>
          <w:tab w:val="left" w:pos="1904"/>
        </w:tabs>
        <w:spacing w:line="360" w:lineRule="auto"/>
        <w:rPr>
          <w:rFonts w:ascii="宋体" w:cs="宋体"/>
          <w:b/>
          <w:color w:val="auto"/>
          <w:szCs w:val="21"/>
        </w:rPr>
      </w:pPr>
      <w:r>
        <w:rPr>
          <w:rFonts w:hint="eastAsia" w:ascii="宋体" w:hAnsi="宋体" w:cs="宋体"/>
          <w:b/>
          <w:color w:val="auto"/>
          <w:szCs w:val="21"/>
        </w:rPr>
        <w:t>投标报价</w:t>
      </w:r>
    </w:p>
    <w:p w14:paraId="1B33A6F4">
      <w:pPr>
        <w:pStyle w:val="23"/>
        <w:numPr>
          <w:ilvl w:val="1"/>
          <w:numId w:val="8"/>
        </w:numPr>
        <w:tabs>
          <w:tab w:val="left" w:pos="720"/>
          <w:tab w:val="clear" w:pos="360"/>
        </w:tabs>
        <w:spacing w:line="360" w:lineRule="auto"/>
        <w:ind w:left="720" w:hanging="720"/>
        <w:rPr>
          <w:rFonts w:ascii="宋体" w:hAnsi="宋体" w:eastAsia="宋体"/>
          <w:color w:val="000000"/>
          <w:sz w:val="21"/>
          <w:szCs w:val="21"/>
        </w:rPr>
      </w:pPr>
      <w:r>
        <w:rPr>
          <w:rFonts w:hint="eastAsia" w:ascii="宋体" w:hAnsi="宋体" w:eastAsia="宋体"/>
          <w:color w:val="000000"/>
          <w:sz w:val="21"/>
          <w:szCs w:val="21"/>
        </w:rPr>
        <w:t>供应商应按照采购文件提供的投标报价表格式填写提供各项货物及服务的单价、分项总价和总投标价。如果单价、分项总价和总投标价之间有差异，评标以单价为准。供应商必须无条件接受以其所报单价为基准的价格调整，否则其投标文件将被拒绝。</w:t>
      </w:r>
    </w:p>
    <w:p w14:paraId="2DCB0072">
      <w:pPr>
        <w:pStyle w:val="23"/>
        <w:numPr>
          <w:ilvl w:val="1"/>
          <w:numId w:val="8"/>
        </w:numPr>
        <w:tabs>
          <w:tab w:val="left" w:pos="720"/>
          <w:tab w:val="clear" w:pos="360"/>
        </w:tabs>
        <w:spacing w:line="360" w:lineRule="auto"/>
        <w:ind w:left="720" w:hanging="720"/>
        <w:rPr>
          <w:rFonts w:ascii="宋体" w:hAnsi="宋体" w:eastAsia="宋体"/>
          <w:color w:val="000000"/>
          <w:sz w:val="21"/>
          <w:szCs w:val="21"/>
        </w:rPr>
      </w:pPr>
      <w:r>
        <w:rPr>
          <w:rFonts w:hint="eastAsia" w:ascii="宋体" w:hAnsi="宋体" w:eastAsia="宋体"/>
          <w:color w:val="000000"/>
          <w:sz w:val="21"/>
          <w:szCs w:val="21"/>
        </w:rPr>
        <w:t>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6037547A">
      <w:pPr>
        <w:pStyle w:val="23"/>
        <w:numPr>
          <w:ilvl w:val="1"/>
          <w:numId w:val="8"/>
        </w:numPr>
        <w:tabs>
          <w:tab w:val="left" w:pos="720"/>
          <w:tab w:val="clear" w:pos="360"/>
        </w:tabs>
        <w:spacing w:line="360" w:lineRule="auto"/>
        <w:ind w:left="720" w:hanging="720"/>
        <w:rPr>
          <w:rFonts w:ascii="宋体" w:hAnsi="宋体" w:eastAsia="宋体"/>
          <w:color w:val="000000"/>
          <w:sz w:val="21"/>
          <w:szCs w:val="21"/>
        </w:rPr>
      </w:pPr>
      <w:r>
        <w:rPr>
          <w:rFonts w:hint="eastAsia" w:ascii="宋体" w:hAnsi="宋体" w:eastAsia="宋体"/>
          <w:color w:val="000000"/>
          <w:sz w:val="21"/>
          <w:szCs w:val="21"/>
        </w:rPr>
        <w:t>投标总报价应是采购人指定地点交货的包括完成该项目的总报价。各项报价应准确填入投标报价表相应栏内。供应商漏报的单价或每单价报价中漏报、少报的费用，视为此项费用已隐含在投标报价中，中标后不得再向采购人收取任何费用。</w:t>
      </w:r>
    </w:p>
    <w:p w14:paraId="16A1464A">
      <w:pPr>
        <w:pStyle w:val="23"/>
        <w:numPr>
          <w:ilvl w:val="1"/>
          <w:numId w:val="8"/>
        </w:numPr>
        <w:tabs>
          <w:tab w:val="left" w:pos="720"/>
          <w:tab w:val="clear" w:pos="360"/>
        </w:tabs>
        <w:spacing w:line="360" w:lineRule="auto"/>
        <w:ind w:left="720" w:hanging="720"/>
        <w:rPr>
          <w:rFonts w:ascii="宋体" w:hAnsi="宋体" w:eastAsia="宋体" w:cs="宋体"/>
          <w:sz w:val="21"/>
          <w:szCs w:val="21"/>
        </w:rPr>
      </w:pPr>
      <w:r>
        <w:rPr>
          <w:rFonts w:hint="eastAsia" w:ascii="宋体" w:hAnsi="宋体" w:eastAsia="宋体" w:cs="宋体"/>
          <w:sz w:val="21"/>
          <w:szCs w:val="21"/>
        </w:rPr>
        <w:t>供应商对每种货物只允许有一个报价，采购人和采购代理机构不接受有任何选择报价的投标。</w:t>
      </w:r>
    </w:p>
    <w:p w14:paraId="489391C3">
      <w:pPr>
        <w:pStyle w:val="23"/>
        <w:numPr>
          <w:ilvl w:val="1"/>
          <w:numId w:val="8"/>
        </w:numPr>
        <w:tabs>
          <w:tab w:val="left" w:pos="720"/>
          <w:tab w:val="clear" w:pos="360"/>
        </w:tabs>
        <w:spacing w:line="360" w:lineRule="auto"/>
        <w:ind w:left="720" w:hanging="720"/>
        <w:rPr>
          <w:rFonts w:ascii="宋体" w:hAnsi="宋体" w:eastAsia="宋体" w:cs="宋体"/>
          <w:sz w:val="21"/>
          <w:szCs w:val="21"/>
        </w:rPr>
      </w:pPr>
      <w:r>
        <w:rPr>
          <w:rFonts w:hint="eastAsia" w:ascii="宋体" w:hAnsi="宋体" w:eastAsia="宋体" w:cs="宋体"/>
          <w:sz w:val="21"/>
          <w:szCs w:val="21"/>
        </w:rPr>
        <w:t>除特殊情况，供应商不得以任何理由在开标后对投标报价予以修改，报价在投标有效期内是固定的，不因任何原因而改变。任何包含价格调整要求和条件的投标，将被视为非实质性响应投标而予以拒绝。</w:t>
      </w:r>
    </w:p>
    <w:p w14:paraId="23C66AC9">
      <w:pPr>
        <w:widowControl w:val="0"/>
        <w:numPr>
          <w:ilvl w:val="0"/>
          <w:numId w:val="8"/>
        </w:numPr>
        <w:spacing w:line="360" w:lineRule="auto"/>
        <w:ind w:left="720" w:hanging="720"/>
        <w:rPr>
          <w:rFonts w:ascii="宋体" w:cs="宋体"/>
          <w:b/>
          <w:snapToGrid w:val="0"/>
          <w:color w:val="auto"/>
          <w:szCs w:val="21"/>
        </w:rPr>
      </w:pPr>
      <w:r>
        <w:rPr>
          <w:rFonts w:hint="eastAsia" w:ascii="宋体" w:hAnsi="宋体" w:cs="宋体"/>
          <w:b/>
          <w:snapToGrid w:val="0"/>
          <w:color w:val="auto"/>
          <w:szCs w:val="21"/>
        </w:rPr>
        <w:t>投标货币</w:t>
      </w:r>
    </w:p>
    <w:p w14:paraId="20AB3065">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除非另有规定，供应商提供的所有货物和服务用人民币报价。</w:t>
      </w:r>
    </w:p>
    <w:p w14:paraId="6EF821AD">
      <w:pPr>
        <w:widowControl w:val="0"/>
        <w:numPr>
          <w:ilvl w:val="0"/>
          <w:numId w:val="8"/>
        </w:numPr>
        <w:spacing w:line="360" w:lineRule="auto"/>
        <w:ind w:left="540" w:hanging="540"/>
        <w:rPr>
          <w:rFonts w:ascii="宋体" w:cs="宋体"/>
          <w:b/>
          <w:color w:val="auto"/>
          <w:szCs w:val="21"/>
        </w:rPr>
      </w:pPr>
      <w:r>
        <w:rPr>
          <w:rFonts w:hint="eastAsia" w:ascii="宋体" w:hAnsi="宋体" w:cs="宋体"/>
          <w:b/>
          <w:color w:val="auto"/>
          <w:szCs w:val="21"/>
        </w:rPr>
        <w:t>供应商资格的证明文件</w:t>
      </w:r>
    </w:p>
    <w:p w14:paraId="046499AE">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详见第五章“投标文件格式”附件</w:t>
      </w:r>
      <w:r>
        <w:rPr>
          <w:rFonts w:ascii="宋体" w:hAnsi="宋体" w:cs="宋体"/>
          <w:color w:val="auto"/>
          <w:szCs w:val="21"/>
        </w:rPr>
        <w:t>2</w:t>
      </w:r>
      <w:r>
        <w:rPr>
          <w:rFonts w:hint="eastAsia" w:ascii="宋体" w:hAnsi="宋体" w:cs="宋体"/>
          <w:color w:val="auto"/>
          <w:szCs w:val="21"/>
        </w:rPr>
        <w:t>的相关内容。</w:t>
      </w:r>
    </w:p>
    <w:p w14:paraId="2E7BCD02">
      <w:pPr>
        <w:widowControl w:val="0"/>
        <w:numPr>
          <w:ilvl w:val="0"/>
          <w:numId w:val="8"/>
        </w:numPr>
        <w:spacing w:line="360" w:lineRule="auto"/>
        <w:rPr>
          <w:rFonts w:ascii="宋体" w:cs="宋体"/>
          <w:b/>
          <w:color w:val="auto"/>
          <w:szCs w:val="21"/>
        </w:rPr>
      </w:pPr>
      <w:r>
        <w:rPr>
          <w:rFonts w:hint="eastAsia" w:ascii="宋体" w:hAnsi="宋体" w:cs="宋体"/>
          <w:b/>
          <w:color w:val="auto"/>
          <w:szCs w:val="21"/>
        </w:rPr>
        <w:t>证明投标货物符合招标文件技术要求的文件</w:t>
      </w:r>
    </w:p>
    <w:p w14:paraId="3B0870D4">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技术资料证明文件</w:t>
      </w:r>
    </w:p>
    <w:p w14:paraId="26C8DA84">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运营方案及有关承诺运营服务方案：</w:t>
      </w:r>
    </w:p>
    <w:p w14:paraId="384B23F9">
      <w:pPr>
        <w:widowControl w:val="0"/>
        <w:tabs>
          <w:tab w:val="left" w:pos="720"/>
        </w:tabs>
        <w:spacing w:line="360" w:lineRule="auto"/>
        <w:rPr>
          <w:rFonts w:ascii="宋体" w:cs="宋体"/>
          <w:color w:val="auto"/>
          <w:szCs w:val="21"/>
        </w:rPr>
      </w:pPr>
      <w:r>
        <w:rPr>
          <w:rFonts w:hint="eastAsia" w:ascii="宋体" w:hAnsi="宋体" w:cs="宋体"/>
          <w:color w:val="auto"/>
          <w:szCs w:val="21"/>
        </w:rPr>
        <w:t>应包括但不限于以下内容：食品质量控制方案、服务质量控制方案、卫生管理控制方案（食品卫生，人员卫生，环境卫生，垃圾处理方案等）、原材料采购管理方案、食品保存管理方案、人员职责与管理方案、投诉处理方案、消防、治安及意外事故处理、以及其他服务内容、服务规范、服务标准、服务措施系、人员配置方案及其他有利于采购人的承诺</w:t>
      </w:r>
    </w:p>
    <w:p w14:paraId="35214969">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服务人员组成结构、名单，及主要服务人员的资历及其证明文件</w:t>
      </w:r>
    </w:p>
    <w:p w14:paraId="58E84C54">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采购文件中要求的其它投标货物的技术证明文件、资料</w:t>
      </w:r>
    </w:p>
    <w:p w14:paraId="724906EE">
      <w:pPr>
        <w:widowControl w:val="0"/>
        <w:numPr>
          <w:ilvl w:val="0"/>
          <w:numId w:val="8"/>
        </w:numPr>
        <w:spacing w:line="360" w:lineRule="auto"/>
        <w:rPr>
          <w:rFonts w:ascii="宋体" w:cs="宋体"/>
          <w:b/>
          <w:color w:val="auto"/>
          <w:szCs w:val="21"/>
        </w:rPr>
      </w:pPr>
      <w:r>
        <w:rPr>
          <w:rFonts w:hint="eastAsia" w:ascii="宋体" w:hAnsi="宋体" w:cs="宋体"/>
          <w:b/>
          <w:color w:val="auto"/>
          <w:szCs w:val="21"/>
        </w:rPr>
        <w:t>证明符合招标文件商务要求的证明文件</w:t>
      </w:r>
    </w:p>
    <w:p w14:paraId="1B798115">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详见第五章“投标文件格式”附件</w:t>
      </w:r>
      <w:r>
        <w:rPr>
          <w:rFonts w:ascii="宋体" w:hAnsi="宋体" w:cs="宋体"/>
          <w:color w:val="auto"/>
          <w:szCs w:val="21"/>
        </w:rPr>
        <w:t>4</w:t>
      </w:r>
      <w:r>
        <w:rPr>
          <w:rFonts w:hint="eastAsia" w:ascii="宋体" w:hAnsi="宋体" w:cs="宋体"/>
          <w:color w:val="auto"/>
          <w:szCs w:val="21"/>
        </w:rPr>
        <w:t>的相关内容。</w:t>
      </w:r>
    </w:p>
    <w:p w14:paraId="25F6A9EE">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供应商认为需要提交的其他商务要求证明资料。</w:t>
      </w:r>
    </w:p>
    <w:p w14:paraId="7B8B5043">
      <w:pPr>
        <w:widowControl w:val="0"/>
        <w:numPr>
          <w:ilvl w:val="0"/>
          <w:numId w:val="8"/>
        </w:numPr>
        <w:spacing w:line="360" w:lineRule="auto"/>
        <w:ind w:left="720" w:hanging="720"/>
        <w:rPr>
          <w:rFonts w:ascii="宋体" w:cs="宋体"/>
          <w:b/>
          <w:color w:val="auto"/>
          <w:szCs w:val="21"/>
        </w:rPr>
      </w:pPr>
      <w:r>
        <w:rPr>
          <w:rFonts w:hint="eastAsia" w:ascii="宋体" w:hAnsi="宋体" w:cs="宋体"/>
          <w:b/>
          <w:color w:val="auto"/>
          <w:szCs w:val="21"/>
        </w:rPr>
        <w:t>投标有效期</w:t>
      </w:r>
    </w:p>
    <w:p w14:paraId="3A795140">
      <w:pPr>
        <w:pStyle w:val="20"/>
        <w:numPr>
          <w:ilvl w:val="1"/>
          <w:numId w:val="8"/>
        </w:numPr>
        <w:tabs>
          <w:tab w:val="left" w:pos="720"/>
          <w:tab w:val="clear" w:pos="360"/>
        </w:tabs>
        <w:spacing w:line="360" w:lineRule="auto"/>
        <w:ind w:left="720" w:hanging="720"/>
        <w:rPr>
          <w:rFonts w:ascii="宋体" w:hAnsi="宋体" w:eastAsia="宋体" w:cs="宋体"/>
          <w:sz w:val="21"/>
          <w:szCs w:val="21"/>
        </w:rPr>
      </w:pPr>
      <w:r>
        <w:rPr>
          <w:rFonts w:hint="eastAsia" w:ascii="宋体" w:hAnsi="宋体" w:eastAsia="宋体" w:cs="宋体"/>
          <w:sz w:val="21"/>
          <w:szCs w:val="21"/>
        </w:rPr>
        <w:t>投标有效期是保障投标、开标、评标、定标以及签订合同全过程时效要求，是招标、投标体现法律效力的前提条件。</w:t>
      </w:r>
    </w:p>
    <w:p w14:paraId="461D5117">
      <w:pPr>
        <w:pStyle w:val="20"/>
        <w:numPr>
          <w:ilvl w:val="1"/>
          <w:numId w:val="8"/>
        </w:numPr>
        <w:tabs>
          <w:tab w:val="left" w:pos="720"/>
          <w:tab w:val="clear" w:pos="360"/>
        </w:tabs>
        <w:spacing w:line="360" w:lineRule="auto"/>
        <w:ind w:left="720" w:hanging="720"/>
        <w:rPr>
          <w:rFonts w:ascii="宋体" w:hAnsi="宋体" w:eastAsia="宋体" w:cs="宋体"/>
          <w:sz w:val="21"/>
          <w:szCs w:val="21"/>
        </w:rPr>
      </w:pPr>
      <w:r>
        <w:rPr>
          <w:rFonts w:hint="eastAsia" w:ascii="宋体" w:hAnsi="宋体" w:eastAsia="宋体" w:cs="宋体"/>
          <w:sz w:val="21"/>
          <w:szCs w:val="21"/>
        </w:rPr>
        <w:t>投标文件应自投标规定的开标之日起，在“供应商须知前附表”规定的时间内保持有效。投标有效期不足的将被视为非响应投标而予以拒绝。</w:t>
      </w:r>
    </w:p>
    <w:p w14:paraId="058C2CD4">
      <w:pPr>
        <w:pStyle w:val="20"/>
        <w:numPr>
          <w:ilvl w:val="1"/>
          <w:numId w:val="8"/>
        </w:numPr>
        <w:tabs>
          <w:tab w:val="left" w:pos="720"/>
          <w:tab w:val="clear" w:pos="360"/>
        </w:tabs>
        <w:spacing w:line="360" w:lineRule="auto"/>
        <w:ind w:left="720" w:hanging="720"/>
        <w:rPr>
          <w:rFonts w:ascii="宋体" w:hAnsi="宋体" w:eastAsia="宋体" w:cs="宋体"/>
          <w:sz w:val="21"/>
          <w:szCs w:val="21"/>
        </w:rPr>
      </w:pPr>
      <w:r>
        <w:rPr>
          <w:rFonts w:hint="eastAsia" w:ascii="宋体" w:hAnsi="宋体" w:eastAsia="宋体" w:cs="宋体"/>
          <w:sz w:val="21"/>
          <w:szCs w:val="21"/>
        </w:rPr>
        <w:t>在特殊情况下，投标有效期在期满之前，采购人可以以书面形式要求供应商延长投标有效期。供应商可以同意或拒绝这种要求。同意延期的供应商将不会被要求也不允许修改其投标文件。不同意延期的供应商将被视为自动放弃投标。</w:t>
      </w:r>
    </w:p>
    <w:p w14:paraId="43804548">
      <w:pPr>
        <w:widowControl w:val="0"/>
        <w:numPr>
          <w:ilvl w:val="0"/>
          <w:numId w:val="8"/>
        </w:numPr>
        <w:spacing w:line="360" w:lineRule="auto"/>
        <w:ind w:left="720" w:hanging="720"/>
        <w:rPr>
          <w:rFonts w:ascii="宋体" w:cs="宋体"/>
          <w:b/>
          <w:color w:val="auto"/>
          <w:szCs w:val="21"/>
        </w:rPr>
      </w:pPr>
      <w:r>
        <w:rPr>
          <w:rFonts w:hint="eastAsia" w:ascii="宋体" w:hAnsi="宋体" w:cs="宋体"/>
          <w:b/>
          <w:color w:val="auto"/>
          <w:szCs w:val="21"/>
        </w:rPr>
        <w:t>投标文件的式样和文件签署</w:t>
      </w:r>
    </w:p>
    <w:p w14:paraId="63AA85A7">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详见“供应商须知前附表”要求和第五章投标文件格式填写。</w:t>
      </w:r>
    </w:p>
    <w:p w14:paraId="56E06329">
      <w:pPr>
        <w:pStyle w:val="5"/>
        <w:numPr>
          <w:ilvl w:val="0"/>
          <w:numId w:val="4"/>
        </w:numPr>
        <w:tabs>
          <w:tab w:val="left" w:pos="405"/>
          <w:tab w:val="left" w:pos="721"/>
        </w:tabs>
        <w:spacing w:before="0" w:after="0" w:line="360" w:lineRule="auto"/>
        <w:ind w:left="0"/>
        <w:rPr>
          <w:rFonts w:ascii="宋体" w:hAnsi="宋体" w:cs="宋体"/>
          <w:sz w:val="24"/>
        </w:rPr>
      </w:pPr>
      <w:bookmarkStart w:id="5" w:name="_Toc342615370"/>
      <w:bookmarkStart w:id="6" w:name="_Toc342594062"/>
      <w:r>
        <w:rPr>
          <w:rFonts w:hint="eastAsia" w:ascii="宋体" w:hAnsi="宋体" w:cs="宋体"/>
          <w:sz w:val="24"/>
        </w:rPr>
        <w:t>投标文件的递交</w:t>
      </w:r>
      <w:bookmarkEnd w:id="5"/>
      <w:bookmarkEnd w:id="6"/>
    </w:p>
    <w:p w14:paraId="1B625585">
      <w:pPr>
        <w:widowControl w:val="0"/>
        <w:numPr>
          <w:ilvl w:val="0"/>
          <w:numId w:val="8"/>
        </w:numPr>
        <w:tabs>
          <w:tab w:val="left" w:pos="720"/>
        </w:tabs>
        <w:spacing w:line="360" w:lineRule="auto"/>
        <w:ind w:left="720" w:hanging="720"/>
        <w:rPr>
          <w:rFonts w:ascii="宋体" w:cs="宋体"/>
          <w:b/>
          <w:color w:val="auto"/>
          <w:szCs w:val="21"/>
        </w:rPr>
      </w:pPr>
      <w:r>
        <w:rPr>
          <w:rFonts w:hint="eastAsia" w:ascii="宋体" w:hAnsi="宋体" w:cs="宋体"/>
          <w:b/>
          <w:color w:val="auto"/>
          <w:szCs w:val="21"/>
        </w:rPr>
        <w:t>递交投标文件的要求</w:t>
      </w:r>
    </w:p>
    <w:p w14:paraId="4985A6DD">
      <w:pPr>
        <w:widowControl w:val="0"/>
        <w:numPr>
          <w:ilvl w:val="1"/>
          <w:numId w:val="8"/>
        </w:numPr>
        <w:tabs>
          <w:tab w:val="left" w:pos="720"/>
        </w:tabs>
        <w:spacing w:line="360" w:lineRule="auto"/>
        <w:ind w:left="720" w:hanging="720"/>
        <w:rPr>
          <w:rFonts w:ascii="宋体" w:cs="宋体"/>
          <w:color w:val="auto"/>
          <w:szCs w:val="21"/>
        </w:rPr>
      </w:pPr>
      <w:r>
        <w:rPr>
          <w:rFonts w:hint="eastAsia" w:ascii="宋体" w:hAnsi="宋体" w:cs="宋体"/>
          <w:color w:val="auto"/>
          <w:szCs w:val="21"/>
        </w:rPr>
        <w:t>供应商应在投标截止时间前通过社旗县公共资源交易平台递交电子投标文件</w:t>
      </w:r>
      <w:r>
        <w:rPr>
          <w:rFonts w:ascii="宋体" w:hAnsi="宋体" w:cs="宋体"/>
          <w:szCs w:val="21"/>
        </w:rPr>
        <w:t>(.NYTF</w:t>
      </w:r>
      <w:r>
        <w:rPr>
          <w:rFonts w:hint="eastAsia" w:ascii="宋体" w:hAnsi="宋体" w:cs="宋体"/>
          <w:szCs w:val="21"/>
        </w:rPr>
        <w:t>格式</w:t>
      </w:r>
      <w:r>
        <w:rPr>
          <w:rFonts w:ascii="宋体" w:hAnsi="宋体" w:cs="宋体"/>
          <w:szCs w:val="21"/>
        </w:rPr>
        <w:t>)</w:t>
      </w:r>
      <w:r>
        <w:rPr>
          <w:rFonts w:hint="eastAsia" w:ascii="宋体" w:hAnsi="宋体" w:cs="宋体"/>
          <w:color w:val="auto"/>
          <w:szCs w:val="21"/>
        </w:rPr>
        <w:t>，上传时必须得到系统“上传成功”的确认回复，并认真检查电子投标文件是否完整、正确。未在投标截止时间前完成上传的，采购人将不予受理。</w:t>
      </w:r>
    </w:p>
    <w:p w14:paraId="3BDF967C">
      <w:pPr>
        <w:widowControl w:val="0"/>
        <w:numPr>
          <w:ilvl w:val="1"/>
          <w:numId w:val="8"/>
        </w:numPr>
        <w:tabs>
          <w:tab w:val="left" w:pos="720"/>
        </w:tabs>
        <w:spacing w:line="360" w:lineRule="auto"/>
        <w:ind w:left="720" w:hanging="720"/>
        <w:rPr>
          <w:rFonts w:ascii="宋体" w:cs="宋体"/>
          <w:color w:val="auto"/>
          <w:szCs w:val="21"/>
        </w:rPr>
      </w:pPr>
      <w:r>
        <w:rPr>
          <w:rFonts w:hint="eastAsia" w:ascii="宋体" w:hAnsi="宋体" w:cs="宋体"/>
          <w:color w:val="auto"/>
          <w:szCs w:val="21"/>
        </w:rPr>
        <w:t>供应商的电子投标文件应在招标文件规定的投标截止时间前到达交易系统。逾期到达交易系统的电子投标文件视为放弃本次投标。</w:t>
      </w:r>
    </w:p>
    <w:p w14:paraId="356E22F1">
      <w:pPr>
        <w:widowControl w:val="0"/>
        <w:numPr>
          <w:ilvl w:val="1"/>
          <w:numId w:val="8"/>
        </w:numPr>
        <w:tabs>
          <w:tab w:val="left" w:pos="720"/>
        </w:tabs>
        <w:spacing w:line="360" w:lineRule="auto"/>
        <w:ind w:left="720" w:hanging="720"/>
        <w:rPr>
          <w:rFonts w:ascii="宋体" w:cs="宋体"/>
          <w:color w:val="auto"/>
          <w:szCs w:val="21"/>
        </w:rPr>
      </w:pPr>
      <w:r>
        <w:rPr>
          <w:rFonts w:hint="eastAsia" w:ascii="宋体" w:hAnsi="宋体" w:cs="宋体"/>
          <w:color w:val="auto"/>
          <w:szCs w:val="21"/>
        </w:rPr>
        <w:t>供应商所递交的电子投标文件在投标截止时间之后不予退回。</w:t>
      </w:r>
    </w:p>
    <w:p w14:paraId="29601236">
      <w:pPr>
        <w:pStyle w:val="103"/>
        <w:numPr>
          <w:ilvl w:val="0"/>
          <w:numId w:val="8"/>
        </w:numPr>
        <w:spacing w:line="360" w:lineRule="auto"/>
        <w:ind w:firstLineChars="0"/>
        <w:rPr>
          <w:rFonts w:ascii="宋体" w:cs="宋体"/>
          <w:b/>
          <w:bCs/>
          <w:szCs w:val="21"/>
        </w:rPr>
      </w:pPr>
      <w:r>
        <w:rPr>
          <w:rFonts w:hint="eastAsia" w:ascii="宋体" w:hAnsi="宋体" w:cs="宋体"/>
          <w:b/>
          <w:bCs/>
          <w:szCs w:val="21"/>
        </w:rPr>
        <w:t>备份投标文件的提交</w:t>
      </w:r>
    </w:p>
    <w:p w14:paraId="74C6B077">
      <w:pPr>
        <w:widowControl w:val="0"/>
        <w:numPr>
          <w:ilvl w:val="1"/>
          <w:numId w:val="8"/>
        </w:numPr>
        <w:tabs>
          <w:tab w:val="left" w:pos="720"/>
        </w:tabs>
        <w:spacing w:line="360" w:lineRule="auto"/>
        <w:ind w:left="720" w:hanging="720"/>
        <w:rPr>
          <w:rFonts w:ascii="宋体" w:cs="宋体"/>
          <w:color w:val="auto"/>
          <w:szCs w:val="21"/>
        </w:rPr>
      </w:pPr>
      <w:r>
        <w:rPr>
          <w:rFonts w:hint="eastAsia" w:ascii="宋体" w:hAnsi="宋体" w:cs="宋体"/>
          <w:color w:val="auto"/>
          <w:szCs w:val="21"/>
        </w:rPr>
        <w:t>本项目实行不见面开标。供应商无需前往开标现场开标。</w:t>
      </w:r>
    </w:p>
    <w:p w14:paraId="717131E4">
      <w:pPr>
        <w:widowControl w:val="0"/>
        <w:numPr>
          <w:ilvl w:val="1"/>
          <w:numId w:val="8"/>
        </w:numPr>
        <w:tabs>
          <w:tab w:val="left" w:pos="720"/>
        </w:tabs>
        <w:spacing w:line="360" w:lineRule="auto"/>
        <w:ind w:left="720" w:hanging="720"/>
        <w:rPr>
          <w:rFonts w:ascii="宋体" w:cs="宋体"/>
          <w:color w:val="auto"/>
          <w:szCs w:val="21"/>
        </w:rPr>
      </w:pPr>
      <w:r>
        <w:rPr>
          <w:rFonts w:hint="eastAsia" w:ascii="宋体" w:hAnsi="宋体" w:cs="宋体"/>
          <w:color w:val="auto"/>
          <w:szCs w:val="21"/>
        </w:rPr>
        <w:t>若中标，供应商须向采购人提供纸质版投标文件，具体要求详见第二章供应商须知前附表。</w:t>
      </w:r>
    </w:p>
    <w:p w14:paraId="10B47242">
      <w:pPr>
        <w:widowControl w:val="0"/>
        <w:numPr>
          <w:ilvl w:val="0"/>
          <w:numId w:val="8"/>
        </w:numPr>
        <w:tabs>
          <w:tab w:val="left" w:pos="720"/>
        </w:tabs>
        <w:spacing w:line="360" w:lineRule="auto"/>
        <w:ind w:left="720" w:hanging="720"/>
        <w:rPr>
          <w:rFonts w:ascii="宋体" w:cs="宋体"/>
          <w:b/>
          <w:color w:val="auto"/>
          <w:szCs w:val="21"/>
        </w:rPr>
      </w:pPr>
      <w:r>
        <w:rPr>
          <w:rFonts w:hint="eastAsia" w:ascii="宋体" w:hAnsi="宋体" w:cs="宋体"/>
          <w:b/>
          <w:color w:val="auto"/>
          <w:szCs w:val="21"/>
        </w:rPr>
        <w:t>投标截止期</w:t>
      </w:r>
    </w:p>
    <w:p w14:paraId="3C883D5D">
      <w:pPr>
        <w:widowControl w:val="0"/>
        <w:numPr>
          <w:ilvl w:val="1"/>
          <w:numId w:val="8"/>
        </w:numPr>
        <w:tabs>
          <w:tab w:val="left" w:pos="720"/>
          <w:tab w:val="left" w:pos="1185"/>
        </w:tabs>
        <w:spacing w:line="360" w:lineRule="auto"/>
        <w:ind w:left="720" w:hanging="720"/>
        <w:rPr>
          <w:rFonts w:ascii="宋体" w:cs="宋体"/>
          <w:color w:val="auto"/>
          <w:szCs w:val="21"/>
        </w:rPr>
      </w:pPr>
      <w:r>
        <w:rPr>
          <w:rFonts w:hint="eastAsia" w:ascii="宋体" w:hAnsi="宋体" w:cs="宋体"/>
          <w:color w:val="auto"/>
          <w:szCs w:val="21"/>
        </w:rPr>
        <w:t>供应商应在不迟于“供应商须知前附表”中规定的时间将电子投标文件</w:t>
      </w:r>
      <w:r>
        <w:rPr>
          <w:rFonts w:hint="eastAsia" w:ascii="宋体" w:hAnsi="宋体" w:cs="宋体"/>
          <w:szCs w:val="21"/>
        </w:rPr>
        <w:t>提交至交易系统</w:t>
      </w:r>
      <w:r>
        <w:rPr>
          <w:rFonts w:hint="eastAsia" w:ascii="宋体" w:hAnsi="宋体" w:cs="宋体"/>
          <w:color w:val="auto"/>
          <w:szCs w:val="21"/>
        </w:rPr>
        <w:t>。</w:t>
      </w:r>
    </w:p>
    <w:p w14:paraId="2CE239FE">
      <w:pPr>
        <w:widowControl w:val="0"/>
        <w:numPr>
          <w:ilvl w:val="1"/>
          <w:numId w:val="8"/>
        </w:numPr>
        <w:tabs>
          <w:tab w:val="left" w:pos="720"/>
          <w:tab w:val="left" w:pos="1185"/>
        </w:tabs>
        <w:spacing w:line="360" w:lineRule="auto"/>
        <w:ind w:left="720" w:hanging="720"/>
        <w:rPr>
          <w:rFonts w:ascii="宋体" w:cs="宋体"/>
          <w:color w:val="auto"/>
          <w:szCs w:val="21"/>
        </w:rPr>
      </w:pPr>
      <w:r>
        <w:rPr>
          <w:rFonts w:hint="eastAsia" w:ascii="宋体" w:hAnsi="宋体" w:cs="宋体"/>
          <w:color w:val="auto"/>
          <w:szCs w:val="21"/>
        </w:rPr>
        <w:t>采购人和采购代理机构可以按第</w:t>
      </w:r>
      <w:r>
        <w:rPr>
          <w:rFonts w:ascii="宋体" w:hAnsi="宋体" w:cs="宋体"/>
          <w:color w:val="auto"/>
          <w:szCs w:val="21"/>
        </w:rPr>
        <w:t>8</w:t>
      </w:r>
      <w:r>
        <w:rPr>
          <w:rFonts w:hint="eastAsia" w:ascii="宋体" w:hAnsi="宋体" w:cs="宋体"/>
          <w:color w:val="auto"/>
          <w:szCs w:val="21"/>
        </w:rPr>
        <w:t>条规定，通过修改招标文件自行决定酌情延长投标截止期限。在此情况下，采购人、采购代理机构和供应商受投标截止期制约的所有权利和义务均应延长至新的截止日期。</w:t>
      </w:r>
    </w:p>
    <w:p w14:paraId="42E8B6EE">
      <w:pPr>
        <w:pStyle w:val="14"/>
        <w:numPr>
          <w:ilvl w:val="1"/>
          <w:numId w:val="8"/>
        </w:numPr>
        <w:tabs>
          <w:tab w:val="left" w:pos="720"/>
        </w:tabs>
        <w:spacing w:line="360" w:lineRule="auto"/>
        <w:ind w:left="720" w:hanging="720"/>
        <w:textAlignment w:val="auto"/>
        <w:rPr>
          <w:rFonts w:ascii="宋体" w:cs="宋体"/>
          <w:sz w:val="21"/>
          <w:szCs w:val="21"/>
        </w:rPr>
      </w:pPr>
      <w:r>
        <w:rPr>
          <w:rFonts w:hint="eastAsia" w:ascii="宋体" w:hAnsi="宋体" w:cs="宋体"/>
          <w:sz w:val="21"/>
          <w:szCs w:val="21"/>
        </w:rPr>
        <w:t>采购代理机构将拒绝并退回在投标截止期后收到的任何投标文件。</w:t>
      </w:r>
    </w:p>
    <w:p w14:paraId="50A8489D">
      <w:pPr>
        <w:widowControl w:val="0"/>
        <w:numPr>
          <w:ilvl w:val="0"/>
          <w:numId w:val="8"/>
        </w:numPr>
        <w:tabs>
          <w:tab w:val="left" w:pos="720"/>
        </w:tabs>
        <w:spacing w:line="360" w:lineRule="auto"/>
        <w:ind w:left="720" w:hanging="720"/>
        <w:rPr>
          <w:rFonts w:ascii="宋体" w:cs="宋体"/>
          <w:b/>
          <w:color w:val="auto"/>
          <w:szCs w:val="21"/>
        </w:rPr>
      </w:pPr>
      <w:r>
        <w:rPr>
          <w:rFonts w:hint="eastAsia" w:ascii="宋体" w:hAnsi="宋体" w:cs="宋体"/>
          <w:b/>
          <w:color w:val="auto"/>
          <w:szCs w:val="21"/>
        </w:rPr>
        <w:t>投标文件的修改和撤回</w:t>
      </w:r>
    </w:p>
    <w:p w14:paraId="142329AD">
      <w:pPr>
        <w:pStyle w:val="14"/>
        <w:numPr>
          <w:ilvl w:val="1"/>
          <w:numId w:val="8"/>
        </w:numPr>
        <w:tabs>
          <w:tab w:val="left" w:pos="720"/>
        </w:tabs>
        <w:spacing w:line="360" w:lineRule="auto"/>
        <w:ind w:left="720" w:hanging="720"/>
        <w:textAlignment w:val="auto"/>
        <w:rPr>
          <w:rFonts w:ascii="宋体" w:cs="宋体"/>
          <w:sz w:val="21"/>
          <w:szCs w:val="21"/>
        </w:rPr>
      </w:pPr>
      <w:r>
        <w:rPr>
          <w:rFonts w:hint="eastAsia" w:ascii="宋体" w:hAnsi="宋体" w:cs="宋体"/>
          <w:sz w:val="21"/>
          <w:szCs w:val="21"/>
        </w:rPr>
        <w:t>供应商在递交投标文件后，在投标截止时间之前可以补充、修改或撤回其投标文件，供应商的补充、修改应按第</w:t>
      </w:r>
      <w:r>
        <w:rPr>
          <w:rFonts w:ascii="宋体" w:hAnsi="宋体" w:cs="宋体"/>
          <w:sz w:val="21"/>
          <w:szCs w:val="21"/>
        </w:rPr>
        <w:t>20</w:t>
      </w:r>
      <w:r>
        <w:rPr>
          <w:rFonts w:hint="eastAsia" w:ascii="宋体" w:hAnsi="宋体" w:cs="宋体"/>
          <w:sz w:val="21"/>
          <w:szCs w:val="21"/>
        </w:rPr>
        <w:t>条规定加密上传。</w:t>
      </w:r>
    </w:p>
    <w:p w14:paraId="78FDF02D">
      <w:pPr>
        <w:pStyle w:val="14"/>
        <w:numPr>
          <w:ilvl w:val="1"/>
          <w:numId w:val="8"/>
        </w:numPr>
        <w:tabs>
          <w:tab w:val="left" w:pos="720"/>
        </w:tabs>
        <w:spacing w:line="360" w:lineRule="auto"/>
        <w:ind w:left="720" w:hanging="720"/>
        <w:textAlignment w:val="auto"/>
        <w:rPr>
          <w:rFonts w:ascii="宋体" w:cs="宋体"/>
          <w:sz w:val="21"/>
          <w:szCs w:val="21"/>
        </w:rPr>
      </w:pPr>
      <w:r>
        <w:rPr>
          <w:rFonts w:hint="eastAsia" w:ascii="宋体" w:hAnsi="宋体" w:cs="宋体"/>
          <w:sz w:val="21"/>
          <w:szCs w:val="21"/>
        </w:rPr>
        <w:t>在投标截止期之后，供应商不得对其投标文件做任何修改。</w:t>
      </w:r>
    </w:p>
    <w:p w14:paraId="205B954E">
      <w:pPr>
        <w:pStyle w:val="14"/>
        <w:numPr>
          <w:ilvl w:val="1"/>
          <w:numId w:val="8"/>
        </w:numPr>
        <w:tabs>
          <w:tab w:val="left" w:pos="720"/>
        </w:tabs>
        <w:spacing w:line="360" w:lineRule="auto"/>
        <w:ind w:left="720" w:hanging="720"/>
        <w:textAlignment w:val="auto"/>
        <w:rPr>
          <w:rFonts w:ascii="宋体" w:cs="宋体"/>
          <w:sz w:val="21"/>
          <w:szCs w:val="21"/>
        </w:rPr>
      </w:pPr>
      <w:r>
        <w:rPr>
          <w:rFonts w:hint="eastAsia" w:ascii="宋体" w:hAnsi="宋体" w:cs="宋体"/>
          <w:sz w:val="21"/>
          <w:szCs w:val="21"/>
        </w:rPr>
        <w:t>从投标截止期至供应商在投标文件中载明的投标有效期满期间，供应商不得撤回其投标。</w:t>
      </w:r>
    </w:p>
    <w:p w14:paraId="4C273885">
      <w:pPr>
        <w:pStyle w:val="5"/>
        <w:numPr>
          <w:ilvl w:val="0"/>
          <w:numId w:val="4"/>
        </w:numPr>
        <w:tabs>
          <w:tab w:val="left" w:pos="405"/>
          <w:tab w:val="left" w:pos="720"/>
        </w:tabs>
        <w:spacing w:before="0" w:after="0" w:line="360" w:lineRule="auto"/>
        <w:ind w:left="0"/>
        <w:rPr>
          <w:rFonts w:ascii="宋体" w:hAnsi="宋体" w:cs="宋体"/>
          <w:sz w:val="24"/>
        </w:rPr>
      </w:pPr>
      <w:bookmarkStart w:id="7" w:name="_Toc342615371"/>
      <w:bookmarkStart w:id="8" w:name="_Toc342594063"/>
      <w:r>
        <w:rPr>
          <w:rFonts w:hint="eastAsia" w:ascii="宋体" w:hAnsi="宋体" w:cs="宋体"/>
          <w:sz w:val="24"/>
        </w:rPr>
        <w:t>开标与评标</w:t>
      </w:r>
      <w:bookmarkEnd w:id="7"/>
      <w:bookmarkEnd w:id="8"/>
    </w:p>
    <w:p w14:paraId="2D7EADD2">
      <w:pPr>
        <w:widowControl w:val="0"/>
        <w:numPr>
          <w:ilvl w:val="0"/>
          <w:numId w:val="8"/>
        </w:numPr>
        <w:tabs>
          <w:tab w:val="left" w:pos="720"/>
        </w:tabs>
        <w:spacing w:line="360" w:lineRule="auto"/>
        <w:ind w:left="720" w:hanging="720"/>
        <w:rPr>
          <w:rFonts w:ascii="宋体" w:cs="宋体"/>
          <w:b/>
          <w:color w:val="auto"/>
          <w:szCs w:val="21"/>
        </w:rPr>
      </w:pPr>
      <w:r>
        <w:rPr>
          <w:rFonts w:hint="eastAsia" w:ascii="宋体" w:hAnsi="宋体" w:cs="宋体"/>
          <w:b/>
          <w:color w:val="auto"/>
          <w:szCs w:val="21"/>
        </w:rPr>
        <w:t>开标</w:t>
      </w:r>
    </w:p>
    <w:p w14:paraId="3AC15586">
      <w:pPr>
        <w:widowControl w:val="0"/>
        <w:numPr>
          <w:ilvl w:val="1"/>
          <w:numId w:val="8"/>
        </w:numPr>
        <w:tabs>
          <w:tab w:val="left" w:pos="720"/>
        </w:tabs>
        <w:spacing w:line="360" w:lineRule="auto"/>
        <w:ind w:left="720" w:hanging="720"/>
        <w:rPr>
          <w:rFonts w:ascii="宋体" w:cs="宋体"/>
          <w:color w:val="auto"/>
          <w:szCs w:val="21"/>
        </w:rPr>
      </w:pPr>
      <w:r>
        <w:rPr>
          <w:rFonts w:hint="eastAsia" w:ascii="宋体" w:hAnsi="宋体" w:cs="宋体"/>
          <w:color w:val="auto"/>
          <w:szCs w:val="21"/>
        </w:rPr>
        <w:t>该项目需要使用网上远程不见面开标系统开标，供应商无需前往现场参与投标。各供应商根据操作手册要求，提前做好相关准备工作，</w:t>
      </w:r>
      <w:r>
        <w:rPr>
          <w:rFonts w:hint="eastAsia" w:ascii="宋体" w:hAnsi="宋体" w:cs="宋体"/>
          <w:szCs w:val="21"/>
        </w:rPr>
        <w:t>操作手册地址</w:t>
      </w:r>
      <w:r>
        <w:rPr>
          <w:rFonts w:ascii="宋体" w:hAnsi="宋体" w:cs="宋体"/>
          <w:szCs w:val="21"/>
        </w:rPr>
        <w:t>(</w:t>
      </w:r>
      <w:r>
        <w:rPr>
          <w:rFonts w:hint="eastAsia" w:ascii="宋体" w:hAnsi="宋体" w:cs="宋体"/>
          <w:szCs w:val="21"/>
        </w:rPr>
        <w:t>下载专区中自行下载</w:t>
      </w:r>
      <w:r>
        <w:rPr>
          <w:rFonts w:ascii="宋体" w:hAnsi="宋体" w:cs="宋体"/>
          <w:szCs w:val="21"/>
        </w:rPr>
        <w:t>)</w:t>
      </w:r>
      <w:r>
        <w:rPr>
          <w:rFonts w:hint="eastAsia" w:ascii="宋体" w:hAnsi="宋体" w:cs="宋体"/>
          <w:szCs w:val="21"/>
        </w:rPr>
        <w:t>、不见面开标大厅地址</w:t>
      </w:r>
      <w:r>
        <w:t>https://ggzyjy.nanyang.gov.cn/BidOpening/bidhall/nanyang/lo gin.html</w:t>
      </w:r>
      <w:r>
        <w:rPr>
          <w:rFonts w:hint="eastAsia" w:ascii="宋体" w:hAnsi="宋体" w:cs="宋体"/>
          <w:szCs w:val="21"/>
        </w:rPr>
        <w:t>；</w:t>
      </w:r>
      <w:r>
        <w:rPr>
          <w:rFonts w:hint="eastAsia" w:ascii="宋体" w:hAnsi="宋体" w:cs="宋体"/>
          <w:color w:val="auto"/>
          <w:szCs w:val="21"/>
        </w:rPr>
        <w:t>所有准备工作需自行到位，</w:t>
      </w:r>
      <w:r>
        <w:rPr>
          <w:rFonts w:hint="eastAsia" w:ascii="宋体" w:hAnsi="宋体" w:cs="宋体"/>
          <w:szCs w:val="21"/>
        </w:rPr>
        <w:t>开标过程中如遇到紧急事项，可在不见面开标大厅中进行提出异议或文字交流，严重问题可拨打技术支持电话</w:t>
      </w:r>
      <w:r>
        <w:rPr>
          <w:rFonts w:ascii="宋体" w:hAnsi="宋体" w:cs="宋体"/>
          <w:szCs w:val="21"/>
        </w:rPr>
        <w:t>0377-61176137</w:t>
      </w:r>
      <w:r>
        <w:rPr>
          <w:rFonts w:hint="eastAsia" w:ascii="宋体" w:hAnsi="宋体" w:cs="宋体"/>
          <w:szCs w:val="21"/>
        </w:rPr>
        <w:t>。</w:t>
      </w:r>
      <w:r>
        <w:rPr>
          <w:rFonts w:hint="eastAsia" w:ascii="宋体" w:hAnsi="宋体" w:cs="宋体"/>
          <w:color w:val="auto"/>
          <w:szCs w:val="21"/>
        </w:rPr>
        <w:t>各供应商需在投标截止前</w:t>
      </w:r>
      <w:r>
        <w:rPr>
          <w:rFonts w:ascii="宋体" w:hAnsi="宋体" w:cs="宋体"/>
          <w:color w:val="auto"/>
          <w:szCs w:val="21"/>
        </w:rPr>
        <w:t>1</w:t>
      </w:r>
      <w:r>
        <w:rPr>
          <w:rFonts w:hint="eastAsia" w:ascii="宋体" w:hAnsi="宋体" w:cs="宋体"/>
          <w:color w:val="auto"/>
          <w:szCs w:val="21"/>
        </w:rPr>
        <w:t>小时登录网上不见面系统进行等候签到。</w:t>
      </w:r>
    </w:p>
    <w:p w14:paraId="1F7521EE">
      <w:pPr>
        <w:widowControl w:val="0"/>
        <w:numPr>
          <w:ilvl w:val="1"/>
          <w:numId w:val="8"/>
        </w:numPr>
        <w:tabs>
          <w:tab w:val="left" w:pos="720"/>
        </w:tabs>
        <w:spacing w:line="360" w:lineRule="auto"/>
        <w:ind w:left="720" w:hanging="720"/>
        <w:rPr>
          <w:rFonts w:ascii="宋体" w:cs="宋体"/>
          <w:color w:val="auto"/>
          <w:szCs w:val="21"/>
        </w:rPr>
      </w:pPr>
      <w:r>
        <w:rPr>
          <w:rFonts w:hint="eastAsia" w:ascii="宋体" w:hAnsi="宋体" w:cs="宋体"/>
          <w:color w:val="auto"/>
          <w:szCs w:val="21"/>
        </w:rPr>
        <w:t>网上不见面开标过程中，如投标人准备不到位，造成无法及时解密、网络问题等情况造成开标无法继续的，视为该供应商自动放弃投标（签到截止时间</w:t>
      </w:r>
      <w:r>
        <w:rPr>
          <w:rFonts w:ascii="宋体" w:hAnsi="宋体" w:cs="宋体"/>
          <w:color w:val="auto"/>
          <w:szCs w:val="21"/>
        </w:rPr>
        <w:t>40</w:t>
      </w:r>
      <w:r>
        <w:rPr>
          <w:rFonts w:hint="eastAsia" w:ascii="宋体" w:hAnsi="宋体" w:cs="宋体"/>
          <w:color w:val="auto"/>
          <w:szCs w:val="21"/>
        </w:rPr>
        <w:t>分钟内），不再执行投标文件解密。</w:t>
      </w:r>
    </w:p>
    <w:p w14:paraId="391B229A">
      <w:pPr>
        <w:widowControl w:val="0"/>
        <w:numPr>
          <w:ilvl w:val="1"/>
          <w:numId w:val="8"/>
        </w:numPr>
        <w:tabs>
          <w:tab w:val="left" w:pos="720"/>
        </w:tabs>
        <w:spacing w:line="360" w:lineRule="auto"/>
        <w:rPr>
          <w:rFonts w:ascii="宋体" w:cs="宋体"/>
          <w:color w:val="auto"/>
          <w:szCs w:val="21"/>
        </w:rPr>
      </w:pPr>
      <w:r>
        <w:rPr>
          <w:rFonts w:hint="eastAsia" w:ascii="宋体" w:hAnsi="宋体" w:cs="宋体"/>
          <w:color w:val="auto"/>
          <w:szCs w:val="21"/>
        </w:rPr>
        <w:t>开标程序：详见“供应商须知前附表”。</w:t>
      </w:r>
    </w:p>
    <w:p w14:paraId="60E65707">
      <w:pPr>
        <w:widowControl w:val="0"/>
        <w:numPr>
          <w:ilvl w:val="1"/>
          <w:numId w:val="8"/>
        </w:numPr>
        <w:tabs>
          <w:tab w:val="left" w:pos="720"/>
        </w:tabs>
        <w:spacing w:line="360" w:lineRule="auto"/>
        <w:ind w:left="720" w:hanging="720"/>
        <w:rPr>
          <w:rFonts w:ascii="宋体" w:cs="宋体"/>
          <w:color w:val="auto"/>
          <w:szCs w:val="21"/>
        </w:rPr>
      </w:pPr>
      <w:r>
        <w:rPr>
          <w:rFonts w:hint="eastAsia" w:ascii="宋体" w:hAnsi="宋体" w:cs="宋体"/>
          <w:color w:val="auto"/>
          <w:szCs w:val="21"/>
        </w:rPr>
        <w:t>供应商不足</w:t>
      </w:r>
      <w:r>
        <w:rPr>
          <w:rFonts w:ascii="宋体" w:hAnsi="宋体" w:cs="宋体"/>
          <w:color w:val="auto"/>
          <w:szCs w:val="21"/>
        </w:rPr>
        <w:t>3</w:t>
      </w:r>
      <w:r>
        <w:rPr>
          <w:rFonts w:hint="eastAsia" w:ascii="宋体" w:hAnsi="宋体" w:cs="宋体"/>
          <w:color w:val="auto"/>
          <w:szCs w:val="21"/>
        </w:rPr>
        <w:t>家的，不得开标。</w:t>
      </w:r>
    </w:p>
    <w:p w14:paraId="2873EC63">
      <w:pPr>
        <w:widowControl w:val="0"/>
        <w:numPr>
          <w:ilvl w:val="0"/>
          <w:numId w:val="8"/>
        </w:numPr>
        <w:tabs>
          <w:tab w:val="left" w:pos="720"/>
        </w:tabs>
        <w:spacing w:line="360" w:lineRule="auto"/>
        <w:ind w:left="720" w:hanging="720"/>
        <w:rPr>
          <w:rFonts w:ascii="宋体" w:cs="宋体"/>
          <w:b/>
          <w:color w:val="auto"/>
          <w:szCs w:val="21"/>
        </w:rPr>
      </w:pPr>
      <w:r>
        <w:rPr>
          <w:rFonts w:hint="eastAsia" w:ascii="宋体" w:hAnsi="宋体" w:cs="宋体"/>
          <w:b/>
          <w:color w:val="auto"/>
          <w:szCs w:val="21"/>
        </w:rPr>
        <w:t>评标工作</w:t>
      </w:r>
    </w:p>
    <w:p w14:paraId="34D7349B">
      <w:pPr>
        <w:widowControl w:val="0"/>
        <w:numPr>
          <w:ilvl w:val="1"/>
          <w:numId w:val="8"/>
        </w:numPr>
        <w:tabs>
          <w:tab w:val="left" w:pos="720"/>
        </w:tabs>
        <w:spacing w:line="360" w:lineRule="auto"/>
        <w:ind w:left="720" w:hanging="720"/>
        <w:rPr>
          <w:rFonts w:ascii="宋体" w:cs="宋体"/>
          <w:color w:val="auto"/>
          <w:szCs w:val="21"/>
        </w:rPr>
      </w:pPr>
      <w:r>
        <w:rPr>
          <w:rFonts w:hint="eastAsia" w:ascii="宋体" w:hAnsi="宋体" w:cs="宋体"/>
          <w:color w:val="auto"/>
          <w:szCs w:val="21"/>
        </w:rPr>
        <w:t>依据《政府采购货物和服务招标投标管理办法》第四十五条规定，评标由依法组建的评标委员会（下称评标委员会）负责。评标委员会成员人数详见供应商须知前附表，由采购人代表和评审专家组成，按有关规定从依法组建的专家库中随机抽取。</w:t>
      </w:r>
    </w:p>
    <w:p w14:paraId="60347219">
      <w:pPr>
        <w:widowControl w:val="0"/>
        <w:numPr>
          <w:ilvl w:val="1"/>
          <w:numId w:val="8"/>
        </w:numPr>
        <w:tabs>
          <w:tab w:val="left" w:pos="720"/>
        </w:tabs>
        <w:spacing w:line="360" w:lineRule="auto"/>
        <w:ind w:left="720" w:hanging="720"/>
        <w:rPr>
          <w:rFonts w:ascii="宋体" w:cs="宋体"/>
          <w:color w:val="auto"/>
          <w:szCs w:val="21"/>
        </w:rPr>
      </w:pPr>
      <w:r>
        <w:rPr>
          <w:rFonts w:hint="eastAsia" w:ascii="宋体" w:hAnsi="宋体" w:cs="宋体"/>
          <w:color w:val="auto"/>
          <w:szCs w:val="21"/>
        </w:rPr>
        <w:t>采购人或者采购代理机构负责组织评标工作，并履行下列职责：</w:t>
      </w:r>
    </w:p>
    <w:p w14:paraId="2B602C46">
      <w:pPr>
        <w:pStyle w:val="20"/>
        <w:numPr>
          <w:ilvl w:val="0"/>
          <w:numId w:val="9"/>
        </w:numPr>
        <w:tabs>
          <w:tab w:val="left" w:pos="720"/>
        </w:tabs>
        <w:spacing w:line="360" w:lineRule="auto"/>
        <w:ind w:left="708" w:leftChars="337" w:firstLine="0"/>
        <w:rPr>
          <w:rFonts w:ascii="宋体" w:hAnsi="宋体" w:eastAsia="宋体" w:cs="宋体"/>
          <w:sz w:val="21"/>
          <w:szCs w:val="21"/>
        </w:rPr>
      </w:pPr>
      <w:r>
        <w:rPr>
          <w:rFonts w:hint="eastAsia" w:ascii="宋体" w:hAnsi="宋体" w:eastAsia="宋体" w:cs="宋体"/>
          <w:sz w:val="21"/>
          <w:szCs w:val="21"/>
        </w:rPr>
        <w:t>核对评审专家身份和采购人代表授权函，对评审专家在政府采购活动中的职责履行情况予以记录，并及时将有关违法违规行为向财政部门报告；</w:t>
      </w:r>
    </w:p>
    <w:p w14:paraId="08CF50F3">
      <w:pPr>
        <w:pStyle w:val="20"/>
        <w:numPr>
          <w:ilvl w:val="0"/>
          <w:numId w:val="9"/>
        </w:numPr>
        <w:tabs>
          <w:tab w:val="left" w:pos="720"/>
        </w:tabs>
        <w:spacing w:line="360" w:lineRule="auto"/>
        <w:ind w:left="708" w:leftChars="337" w:firstLine="0"/>
        <w:rPr>
          <w:rFonts w:ascii="宋体" w:hAnsi="宋体" w:eastAsia="宋体" w:cs="宋体"/>
          <w:sz w:val="21"/>
          <w:szCs w:val="21"/>
        </w:rPr>
      </w:pPr>
      <w:r>
        <w:rPr>
          <w:rFonts w:hint="eastAsia" w:ascii="宋体" w:hAnsi="宋体" w:eastAsia="宋体" w:cs="宋体"/>
          <w:sz w:val="21"/>
          <w:szCs w:val="21"/>
        </w:rPr>
        <w:t>宣布评标纪律；</w:t>
      </w:r>
    </w:p>
    <w:p w14:paraId="6528528D">
      <w:pPr>
        <w:pStyle w:val="20"/>
        <w:numPr>
          <w:ilvl w:val="0"/>
          <w:numId w:val="9"/>
        </w:numPr>
        <w:tabs>
          <w:tab w:val="left" w:pos="720"/>
        </w:tabs>
        <w:spacing w:line="360" w:lineRule="auto"/>
        <w:ind w:left="708" w:leftChars="337" w:firstLine="0"/>
        <w:rPr>
          <w:rFonts w:ascii="宋体" w:hAnsi="宋体" w:eastAsia="宋体" w:cs="宋体"/>
          <w:sz w:val="21"/>
          <w:szCs w:val="21"/>
        </w:rPr>
      </w:pPr>
      <w:r>
        <w:rPr>
          <w:rFonts w:hint="eastAsia" w:ascii="宋体" w:hAnsi="宋体" w:eastAsia="宋体" w:cs="宋体"/>
          <w:sz w:val="21"/>
          <w:szCs w:val="21"/>
        </w:rPr>
        <w:t>公布供应商名单，告知评审专家应当回避的情形；</w:t>
      </w:r>
    </w:p>
    <w:p w14:paraId="16B9828C">
      <w:pPr>
        <w:pStyle w:val="20"/>
        <w:numPr>
          <w:ilvl w:val="0"/>
          <w:numId w:val="9"/>
        </w:numPr>
        <w:tabs>
          <w:tab w:val="left" w:pos="720"/>
        </w:tabs>
        <w:spacing w:line="360" w:lineRule="auto"/>
        <w:ind w:left="708" w:leftChars="337" w:firstLine="0"/>
        <w:rPr>
          <w:rFonts w:ascii="宋体" w:hAnsi="宋体" w:eastAsia="宋体" w:cs="宋体"/>
          <w:sz w:val="21"/>
          <w:szCs w:val="21"/>
        </w:rPr>
      </w:pPr>
      <w:r>
        <w:rPr>
          <w:rFonts w:hint="eastAsia" w:ascii="宋体" w:hAnsi="宋体" w:eastAsia="宋体" w:cs="宋体"/>
          <w:sz w:val="21"/>
          <w:szCs w:val="21"/>
        </w:rPr>
        <w:t>组织评标委员会推选评标组长，采购人代表不得担任组长；</w:t>
      </w:r>
    </w:p>
    <w:p w14:paraId="665EC634">
      <w:pPr>
        <w:pStyle w:val="20"/>
        <w:numPr>
          <w:ilvl w:val="0"/>
          <w:numId w:val="9"/>
        </w:numPr>
        <w:tabs>
          <w:tab w:val="left" w:pos="720"/>
        </w:tabs>
        <w:spacing w:line="360" w:lineRule="auto"/>
        <w:ind w:left="708" w:leftChars="337" w:firstLine="0"/>
        <w:rPr>
          <w:rFonts w:ascii="宋体" w:hAnsi="宋体" w:eastAsia="宋体" w:cs="宋体"/>
          <w:sz w:val="21"/>
          <w:szCs w:val="21"/>
        </w:rPr>
      </w:pPr>
      <w:r>
        <w:rPr>
          <w:rFonts w:hint="eastAsia" w:ascii="宋体" w:hAnsi="宋体" w:eastAsia="宋体" w:cs="宋体"/>
          <w:sz w:val="21"/>
          <w:szCs w:val="21"/>
        </w:rPr>
        <w:t>在评标期间采取必要的通讯管理措施，保证评标活动不受外界干扰；</w:t>
      </w:r>
    </w:p>
    <w:p w14:paraId="39EF01FC">
      <w:pPr>
        <w:pStyle w:val="20"/>
        <w:numPr>
          <w:ilvl w:val="0"/>
          <w:numId w:val="9"/>
        </w:numPr>
        <w:tabs>
          <w:tab w:val="left" w:pos="720"/>
        </w:tabs>
        <w:spacing w:line="360" w:lineRule="auto"/>
        <w:ind w:left="708" w:leftChars="337" w:firstLine="0"/>
        <w:rPr>
          <w:rFonts w:ascii="宋体" w:hAnsi="宋体" w:eastAsia="宋体" w:cs="宋体"/>
          <w:sz w:val="21"/>
          <w:szCs w:val="21"/>
        </w:rPr>
      </w:pPr>
      <w:r>
        <w:rPr>
          <w:rFonts w:hint="eastAsia" w:ascii="宋体" w:hAnsi="宋体" w:eastAsia="宋体" w:cs="宋体"/>
          <w:sz w:val="21"/>
          <w:szCs w:val="21"/>
        </w:rPr>
        <w:t>根据评标委员会的要求介绍政府采购相关政策法规、招标文件；</w:t>
      </w:r>
    </w:p>
    <w:p w14:paraId="4F7E0CC7">
      <w:pPr>
        <w:pStyle w:val="20"/>
        <w:numPr>
          <w:ilvl w:val="0"/>
          <w:numId w:val="9"/>
        </w:numPr>
        <w:tabs>
          <w:tab w:val="left" w:pos="720"/>
        </w:tabs>
        <w:spacing w:line="360" w:lineRule="auto"/>
        <w:ind w:left="708" w:leftChars="337" w:firstLine="0"/>
        <w:rPr>
          <w:rFonts w:ascii="宋体" w:hAnsi="宋体" w:eastAsia="宋体" w:cs="宋体"/>
          <w:sz w:val="21"/>
          <w:szCs w:val="21"/>
        </w:rPr>
      </w:pPr>
      <w:r>
        <w:rPr>
          <w:rFonts w:hint="eastAsia" w:ascii="宋体" w:hAnsi="宋体" w:eastAsia="宋体" w:cs="宋体"/>
          <w:sz w:val="21"/>
          <w:szCs w:val="21"/>
        </w:rPr>
        <w:t>维护评标秩序，监督评标委员会依照招标文件规定的评标程序、方法和标准进行独立评审，及时制止和纠正采购人代表、评审专家的倾向性言论或者违法违规行为；</w:t>
      </w:r>
    </w:p>
    <w:p w14:paraId="774760EC">
      <w:pPr>
        <w:pStyle w:val="20"/>
        <w:numPr>
          <w:ilvl w:val="0"/>
          <w:numId w:val="9"/>
        </w:numPr>
        <w:tabs>
          <w:tab w:val="left" w:pos="720"/>
        </w:tabs>
        <w:spacing w:line="360" w:lineRule="auto"/>
        <w:ind w:left="708" w:leftChars="337" w:firstLine="0"/>
        <w:rPr>
          <w:rFonts w:ascii="宋体" w:hAnsi="宋体" w:eastAsia="宋体" w:cs="宋体"/>
          <w:sz w:val="21"/>
          <w:szCs w:val="21"/>
        </w:rPr>
      </w:pPr>
      <w:r>
        <w:rPr>
          <w:rFonts w:hint="eastAsia" w:ascii="宋体" w:hAnsi="宋体" w:eastAsia="宋体" w:cs="宋体"/>
          <w:sz w:val="21"/>
          <w:szCs w:val="21"/>
        </w:rPr>
        <w:t>核对评标结果，有《政府采购货物和服务招标投标管理办法》（</w:t>
      </w:r>
      <w:r>
        <w:rPr>
          <w:rFonts w:ascii="宋体" w:hAnsi="宋体" w:eastAsia="宋体" w:cs="宋体"/>
          <w:sz w:val="21"/>
          <w:szCs w:val="21"/>
        </w:rPr>
        <w:t>87</w:t>
      </w:r>
      <w:r>
        <w:rPr>
          <w:rFonts w:hint="eastAsia" w:ascii="宋体" w:hAnsi="宋体" w:eastAsia="宋体" w:cs="宋体"/>
          <w:sz w:val="21"/>
          <w:szCs w:val="21"/>
        </w:rPr>
        <w:t>号令）第六十四条规定情形的，要求评标委员会复核或者书面说明理由，评标委员会拒绝的，应予记录并向本级财政部门报告；</w:t>
      </w:r>
    </w:p>
    <w:p w14:paraId="464F3495">
      <w:pPr>
        <w:pStyle w:val="20"/>
        <w:numPr>
          <w:ilvl w:val="0"/>
          <w:numId w:val="9"/>
        </w:numPr>
        <w:tabs>
          <w:tab w:val="left" w:pos="720"/>
        </w:tabs>
        <w:spacing w:line="360" w:lineRule="auto"/>
        <w:ind w:left="708" w:leftChars="337" w:firstLine="0"/>
        <w:rPr>
          <w:rFonts w:ascii="宋体" w:hAnsi="宋体" w:eastAsia="宋体" w:cs="宋体"/>
          <w:sz w:val="21"/>
          <w:szCs w:val="21"/>
        </w:rPr>
      </w:pPr>
      <w:r>
        <w:rPr>
          <w:rFonts w:hint="eastAsia" w:ascii="宋体" w:hAnsi="宋体" w:eastAsia="宋体" w:cs="宋体"/>
          <w:sz w:val="21"/>
          <w:szCs w:val="21"/>
        </w:rPr>
        <w:t>评审工作完成后，按照规定向评审专家支付劳务报酬和异地评审差旅费，不得向评审专家以外的其他人员支付评审劳务报酬；</w:t>
      </w:r>
    </w:p>
    <w:p w14:paraId="09B6278C">
      <w:pPr>
        <w:pStyle w:val="20"/>
        <w:numPr>
          <w:ilvl w:val="0"/>
          <w:numId w:val="9"/>
        </w:numPr>
        <w:tabs>
          <w:tab w:val="left" w:pos="720"/>
        </w:tabs>
        <w:spacing w:line="360" w:lineRule="auto"/>
        <w:ind w:left="708" w:leftChars="337" w:firstLine="0"/>
        <w:rPr>
          <w:rFonts w:ascii="宋体" w:hAnsi="宋体" w:eastAsia="宋体" w:cs="宋体"/>
          <w:sz w:val="21"/>
          <w:szCs w:val="21"/>
        </w:rPr>
      </w:pPr>
      <w:r>
        <w:rPr>
          <w:rFonts w:hint="eastAsia" w:ascii="宋体" w:hAnsi="宋体" w:eastAsia="宋体" w:cs="宋体"/>
          <w:sz w:val="21"/>
          <w:szCs w:val="21"/>
        </w:rPr>
        <w:t>处理与评标有关的其他事项。</w:t>
      </w:r>
    </w:p>
    <w:p w14:paraId="7C108252">
      <w:pPr>
        <w:widowControl w:val="0"/>
        <w:numPr>
          <w:ilvl w:val="1"/>
          <w:numId w:val="8"/>
        </w:numPr>
        <w:tabs>
          <w:tab w:val="left" w:pos="720"/>
        </w:tabs>
        <w:spacing w:line="360" w:lineRule="auto"/>
        <w:ind w:left="720" w:hanging="720"/>
        <w:rPr>
          <w:rFonts w:ascii="宋体" w:cs="宋体"/>
          <w:color w:val="auto"/>
          <w:szCs w:val="21"/>
        </w:rPr>
      </w:pPr>
      <w:r>
        <w:rPr>
          <w:rFonts w:hint="eastAsia" w:ascii="宋体" w:hAnsi="宋体" w:cs="宋体"/>
          <w:color w:val="auto"/>
          <w:szCs w:val="21"/>
        </w:rPr>
        <w:t>评标委员会负责具体评标事务，并独立履行下列职责：</w:t>
      </w:r>
    </w:p>
    <w:p w14:paraId="7F2B1CB0">
      <w:pPr>
        <w:pStyle w:val="20"/>
        <w:numPr>
          <w:ilvl w:val="0"/>
          <w:numId w:val="10"/>
        </w:numPr>
        <w:tabs>
          <w:tab w:val="left" w:pos="720"/>
        </w:tabs>
        <w:spacing w:line="360" w:lineRule="auto"/>
        <w:ind w:left="1050" w:leftChars="300"/>
        <w:rPr>
          <w:rFonts w:ascii="宋体" w:hAnsi="宋体" w:eastAsia="宋体" w:cs="宋体"/>
          <w:sz w:val="21"/>
          <w:szCs w:val="21"/>
        </w:rPr>
      </w:pPr>
      <w:r>
        <w:rPr>
          <w:rFonts w:hint="eastAsia" w:ascii="宋体" w:hAnsi="宋体" w:eastAsia="宋体" w:cs="宋体"/>
          <w:sz w:val="21"/>
          <w:szCs w:val="21"/>
        </w:rPr>
        <w:t>审查、评价投标文件是否符合招标文件的商务、技术等实质性要求；</w:t>
      </w:r>
    </w:p>
    <w:p w14:paraId="24511AAB">
      <w:pPr>
        <w:pStyle w:val="20"/>
        <w:numPr>
          <w:ilvl w:val="0"/>
          <w:numId w:val="10"/>
        </w:numPr>
        <w:tabs>
          <w:tab w:val="left" w:pos="720"/>
        </w:tabs>
        <w:spacing w:line="360" w:lineRule="auto"/>
        <w:ind w:left="1050" w:leftChars="300"/>
        <w:rPr>
          <w:rFonts w:ascii="宋体" w:hAnsi="宋体" w:eastAsia="宋体" w:cs="宋体"/>
          <w:sz w:val="21"/>
          <w:szCs w:val="21"/>
        </w:rPr>
      </w:pPr>
      <w:r>
        <w:rPr>
          <w:rFonts w:hint="eastAsia" w:ascii="宋体" w:hAnsi="宋体" w:eastAsia="宋体" w:cs="宋体"/>
          <w:sz w:val="21"/>
          <w:szCs w:val="21"/>
        </w:rPr>
        <w:t>要求供应商对投标文件有关事项作出澄清或者说明；</w:t>
      </w:r>
    </w:p>
    <w:p w14:paraId="78A1E8C3">
      <w:pPr>
        <w:pStyle w:val="20"/>
        <w:numPr>
          <w:ilvl w:val="0"/>
          <w:numId w:val="10"/>
        </w:numPr>
        <w:tabs>
          <w:tab w:val="left" w:pos="720"/>
        </w:tabs>
        <w:spacing w:line="360" w:lineRule="auto"/>
        <w:ind w:left="1050" w:leftChars="300"/>
        <w:rPr>
          <w:rFonts w:ascii="宋体" w:hAnsi="宋体" w:eastAsia="宋体" w:cs="宋体"/>
          <w:sz w:val="21"/>
          <w:szCs w:val="21"/>
        </w:rPr>
      </w:pPr>
      <w:r>
        <w:rPr>
          <w:rFonts w:hint="eastAsia" w:ascii="宋体" w:hAnsi="宋体" w:eastAsia="宋体" w:cs="宋体"/>
          <w:sz w:val="21"/>
          <w:szCs w:val="21"/>
        </w:rPr>
        <w:t>对投标文件进行比较和评价；</w:t>
      </w:r>
    </w:p>
    <w:p w14:paraId="0292DA0E">
      <w:pPr>
        <w:pStyle w:val="20"/>
        <w:numPr>
          <w:ilvl w:val="0"/>
          <w:numId w:val="10"/>
        </w:numPr>
        <w:tabs>
          <w:tab w:val="left" w:pos="720"/>
        </w:tabs>
        <w:spacing w:line="360" w:lineRule="auto"/>
        <w:ind w:left="1050" w:leftChars="300"/>
        <w:rPr>
          <w:rFonts w:ascii="宋体" w:hAnsi="宋体" w:eastAsia="宋体" w:cs="宋体"/>
          <w:sz w:val="21"/>
          <w:szCs w:val="21"/>
        </w:rPr>
      </w:pPr>
      <w:r>
        <w:rPr>
          <w:rFonts w:hint="eastAsia" w:ascii="宋体" w:hAnsi="宋体" w:eastAsia="宋体" w:cs="宋体"/>
          <w:sz w:val="21"/>
          <w:szCs w:val="21"/>
        </w:rPr>
        <w:t>确定中标候选人名单，以及根据采购人委托直接确定中标人；</w:t>
      </w:r>
    </w:p>
    <w:p w14:paraId="0A3C6BC3">
      <w:pPr>
        <w:pStyle w:val="20"/>
        <w:numPr>
          <w:ilvl w:val="0"/>
          <w:numId w:val="10"/>
        </w:numPr>
        <w:tabs>
          <w:tab w:val="left" w:pos="720"/>
        </w:tabs>
        <w:spacing w:line="360" w:lineRule="auto"/>
        <w:ind w:left="1050" w:leftChars="300"/>
        <w:rPr>
          <w:rFonts w:ascii="宋体" w:hAnsi="宋体" w:eastAsia="宋体" w:cs="宋体"/>
          <w:sz w:val="21"/>
          <w:szCs w:val="21"/>
        </w:rPr>
      </w:pPr>
      <w:r>
        <w:rPr>
          <w:rFonts w:hint="eastAsia" w:ascii="宋体" w:hAnsi="宋体" w:eastAsia="宋体" w:cs="宋体"/>
          <w:sz w:val="21"/>
          <w:szCs w:val="21"/>
        </w:rPr>
        <w:t>向采购人、采购代理机构或者有关部门报告评标中发现的违法行为。</w:t>
      </w:r>
    </w:p>
    <w:p w14:paraId="483F0EB0">
      <w:pPr>
        <w:widowControl w:val="0"/>
        <w:numPr>
          <w:ilvl w:val="1"/>
          <w:numId w:val="8"/>
        </w:numPr>
        <w:tabs>
          <w:tab w:val="left" w:pos="720"/>
        </w:tabs>
        <w:spacing w:line="360" w:lineRule="auto"/>
        <w:ind w:left="720" w:hanging="720"/>
        <w:rPr>
          <w:rFonts w:ascii="宋体" w:cs="宋体"/>
          <w:color w:val="auto"/>
          <w:szCs w:val="21"/>
        </w:rPr>
      </w:pPr>
      <w:r>
        <w:rPr>
          <w:rFonts w:hint="eastAsia" w:ascii="宋体" w:hAnsi="宋体" w:cs="宋体"/>
          <w:color w:val="auto"/>
          <w:szCs w:val="21"/>
        </w:rPr>
        <w:t>评标委员会及其成员不得有下列行为：</w:t>
      </w:r>
    </w:p>
    <w:p w14:paraId="3F12243D">
      <w:pPr>
        <w:pStyle w:val="20"/>
        <w:numPr>
          <w:ilvl w:val="0"/>
          <w:numId w:val="11"/>
        </w:numPr>
        <w:tabs>
          <w:tab w:val="left" w:pos="720"/>
        </w:tabs>
        <w:spacing w:line="360" w:lineRule="auto"/>
        <w:ind w:left="1068" w:leftChars="337" w:hanging="360"/>
        <w:rPr>
          <w:rFonts w:ascii="宋体" w:hAnsi="宋体" w:eastAsia="宋体" w:cs="宋体"/>
          <w:sz w:val="21"/>
          <w:szCs w:val="21"/>
        </w:rPr>
      </w:pPr>
      <w:r>
        <w:rPr>
          <w:rFonts w:hint="eastAsia" w:ascii="宋体" w:hAnsi="宋体" w:eastAsia="宋体" w:cs="宋体"/>
          <w:sz w:val="21"/>
          <w:szCs w:val="21"/>
        </w:rPr>
        <w:t>确定参与评标至评标结束前私自接触供应商；</w:t>
      </w:r>
    </w:p>
    <w:p w14:paraId="010EC243">
      <w:pPr>
        <w:pStyle w:val="20"/>
        <w:numPr>
          <w:ilvl w:val="0"/>
          <w:numId w:val="11"/>
        </w:numPr>
        <w:tabs>
          <w:tab w:val="left" w:pos="720"/>
        </w:tabs>
        <w:spacing w:line="360" w:lineRule="auto"/>
        <w:ind w:left="1068" w:leftChars="337" w:hanging="360"/>
        <w:rPr>
          <w:rFonts w:ascii="宋体" w:hAnsi="宋体" w:eastAsia="宋体" w:cs="宋体"/>
          <w:sz w:val="21"/>
          <w:szCs w:val="21"/>
        </w:rPr>
      </w:pPr>
      <w:r>
        <w:rPr>
          <w:rFonts w:hint="eastAsia" w:ascii="宋体" w:hAnsi="宋体" w:eastAsia="宋体" w:cs="宋体"/>
          <w:sz w:val="21"/>
          <w:szCs w:val="21"/>
        </w:rPr>
        <w:t>接受供应商提出的与投标文件不一致的澄清或者说明，第</w:t>
      </w:r>
      <w:r>
        <w:rPr>
          <w:rFonts w:ascii="宋体" w:hAnsi="宋体" w:eastAsia="宋体" w:cs="宋体"/>
          <w:sz w:val="21"/>
          <w:szCs w:val="21"/>
        </w:rPr>
        <w:t>28.5</w:t>
      </w:r>
      <w:r>
        <w:rPr>
          <w:rFonts w:hint="eastAsia" w:ascii="宋体" w:hAnsi="宋体" w:eastAsia="宋体" w:cs="宋体"/>
          <w:sz w:val="21"/>
          <w:szCs w:val="21"/>
        </w:rPr>
        <w:t>条规定的情形除外；</w:t>
      </w:r>
    </w:p>
    <w:p w14:paraId="08206BA2">
      <w:pPr>
        <w:pStyle w:val="20"/>
        <w:numPr>
          <w:ilvl w:val="0"/>
          <w:numId w:val="11"/>
        </w:numPr>
        <w:tabs>
          <w:tab w:val="left" w:pos="720"/>
        </w:tabs>
        <w:spacing w:line="360" w:lineRule="auto"/>
        <w:ind w:left="1068" w:leftChars="337" w:hanging="360"/>
        <w:rPr>
          <w:rFonts w:ascii="宋体" w:hAnsi="宋体" w:eastAsia="宋体" w:cs="宋体"/>
          <w:sz w:val="21"/>
          <w:szCs w:val="21"/>
        </w:rPr>
      </w:pPr>
      <w:r>
        <w:rPr>
          <w:rFonts w:hint="eastAsia" w:ascii="宋体" w:hAnsi="宋体" w:eastAsia="宋体" w:cs="宋体"/>
          <w:sz w:val="21"/>
          <w:szCs w:val="21"/>
        </w:rPr>
        <w:t>违反评标纪律发表倾向性意见或者征询采购人的倾向性意见；</w:t>
      </w:r>
    </w:p>
    <w:p w14:paraId="40C4BA71">
      <w:pPr>
        <w:pStyle w:val="20"/>
        <w:numPr>
          <w:ilvl w:val="0"/>
          <w:numId w:val="11"/>
        </w:numPr>
        <w:tabs>
          <w:tab w:val="left" w:pos="720"/>
        </w:tabs>
        <w:spacing w:line="360" w:lineRule="auto"/>
        <w:ind w:left="1068" w:leftChars="337" w:hanging="360"/>
        <w:rPr>
          <w:rFonts w:ascii="宋体" w:hAnsi="宋体" w:eastAsia="宋体" w:cs="宋体"/>
          <w:sz w:val="21"/>
          <w:szCs w:val="21"/>
        </w:rPr>
      </w:pPr>
      <w:r>
        <w:rPr>
          <w:rFonts w:hint="eastAsia" w:ascii="宋体" w:hAnsi="宋体" w:eastAsia="宋体" w:cs="宋体"/>
          <w:sz w:val="21"/>
          <w:szCs w:val="21"/>
        </w:rPr>
        <w:t>对需要专业判断的主观评审因素协商评分；</w:t>
      </w:r>
    </w:p>
    <w:p w14:paraId="56EC1D9D">
      <w:pPr>
        <w:pStyle w:val="20"/>
        <w:numPr>
          <w:ilvl w:val="0"/>
          <w:numId w:val="11"/>
        </w:numPr>
        <w:tabs>
          <w:tab w:val="left" w:pos="720"/>
        </w:tabs>
        <w:spacing w:line="360" w:lineRule="auto"/>
        <w:ind w:left="1068" w:leftChars="337" w:hanging="360"/>
        <w:rPr>
          <w:rFonts w:ascii="宋体" w:hAnsi="宋体" w:eastAsia="宋体" w:cs="宋体"/>
          <w:sz w:val="21"/>
          <w:szCs w:val="21"/>
        </w:rPr>
      </w:pPr>
      <w:r>
        <w:rPr>
          <w:rFonts w:hint="eastAsia" w:ascii="宋体" w:hAnsi="宋体" w:eastAsia="宋体" w:cs="宋体"/>
          <w:sz w:val="21"/>
          <w:szCs w:val="21"/>
        </w:rPr>
        <w:t>在评标过程中擅离职守，影响评标程序正常进行的；</w:t>
      </w:r>
    </w:p>
    <w:p w14:paraId="6698E52B">
      <w:pPr>
        <w:pStyle w:val="20"/>
        <w:numPr>
          <w:ilvl w:val="0"/>
          <w:numId w:val="11"/>
        </w:numPr>
        <w:tabs>
          <w:tab w:val="left" w:pos="720"/>
        </w:tabs>
        <w:spacing w:line="360" w:lineRule="auto"/>
        <w:ind w:left="1068" w:leftChars="337" w:hanging="360"/>
        <w:rPr>
          <w:rFonts w:ascii="宋体" w:hAnsi="宋体" w:eastAsia="宋体" w:cs="宋体"/>
          <w:sz w:val="21"/>
          <w:szCs w:val="21"/>
        </w:rPr>
      </w:pPr>
      <w:r>
        <w:rPr>
          <w:rFonts w:hint="eastAsia" w:ascii="宋体" w:hAnsi="宋体" w:eastAsia="宋体" w:cs="宋体"/>
          <w:sz w:val="21"/>
          <w:szCs w:val="21"/>
        </w:rPr>
        <w:t>记录、复制或者带走任何评标资料；</w:t>
      </w:r>
    </w:p>
    <w:p w14:paraId="4325725B">
      <w:pPr>
        <w:pStyle w:val="20"/>
        <w:numPr>
          <w:ilvl w:val="0"/>
          <w:numId w:val="11"/>
        </w:numPr>
        <w:tabs>
          <w:tab w:val="left" w:pos="720"/>
        </w:tabs>
        <w:spacing w:line="360" w:lineRule="auto"/>
        <w:ind w:left="1068" w:leftChars="337" w:hanging="360"/>
        <w:rPr>
          <w:rFonts w:ascii="宋体" w:hAnsi="宋体" w:eastAsia="宋体" w:cs="宋体"/>
          <w:sz w:val="21"/>
          <w:szCs w:val="21"/>
        </w:rPr>
      </w:pPr>
      <w:r>
        <w:rPr>
          <w:rFonts w:hint="eastAsia" w:ascii="宋体" w:hAnsi="宋体" w:eastAsia="宋体" w:cs="宋体"/>
          <w:sz w:val="21"/>
          <w:szCs w:val="21"/>
        </w:rPr>
        <w:t>其他不遵守评标纪律的行为。</w:t>
      </w:r>
    </w:p>
    <w:p w14:paraId="2225A4B8">
      <w:pPr>
        <w:pStyle w:val="20"/>
        <w:tabs>
          <w:tab w:val="left" w:pos="720"/>
        </w:tabs>
        <w:spacing w:line="360" w:lineRule="auto"/>
        <w:ind w:left="630" w:leftChars="300" w:firstLine="0"/>
        <w:rPr>
          <w:rFonts w:ascii="宋体" w:hAnsi="宋体" w:eastAsia="宋体" w:cs="宋体"/>
          <w:sz w:val="21"/>
          <w:szCs w:val="21"/>
        </w:rPr>
      </w:pPr>
      <w:r>
        <w:rPr>
          <w:rFonts w:hint="eastAsia" w:ascii="宋体" w:hAnsi="宋体" w:eastAsia="宋体" w:cs="宋体"/>
          <w:sz w:val="21"/>
          <w:szCs w:val="21"/>
        </w:rPr>
        <w:t>评标委员会成员有前款第一至五项行为之一的，其评审意见无效，并不得获取评审劳务报酬和报销异地评审差旅费。</w:t>
      </w:r>
    </w:p>
    <w:p w14:paraId="41D67072">
      <w:pPr>
        <w:widowControl w:val="0"/>
        <w:numPr>
          <w:ilvl w:val="0"/>
          <w:numId w:val="8"/>
        </w:numPr>
        <w:tabs>
          <w:tab w:val="left" w:pos="720"/>
        </w:tabs>
        <w:spacing w:line="360" w:lineRule="auto"/>
        <w:ind w:left="720" w:hanging="720"/>
        <w:rPr>
          <w:rFonts w:ascii="宋体" w:cs="宋体"/>
          <w:b/>
          <w:color w:val="auto"/>
          <w:szCs w:val="21"/>
        </w:rPr>
      </w:pPr>
      <w:r>
        <w:rPr>
          <w:rFonts w:hint="eastAsia" w:ascii="宋体" w:hAnsi="宋体" w:cs="宋体"/>
          <w:b/>
          <w:color w:val="auto"/>
          <w:szCs w:val="21"/>
        </w:rPr>
        <w:t>投标文件的初审</w:t>
      </w:r>
    </w:p>
    <w:p w14:paraId="132C6C97">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公开招标采购项目开标结束后，采购人或者采购代理机构应当依法对供应商的资格进行审查。</w:t>
      </w:r>
    </w:p>
    <w:p w14:paraId="080DCD7C">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评标委员会对符合资格的供应商的投标文件进行符合性审查，以确定其是否满足招标文件的实质性要求。</w:t>
      </w:r>
    </w:p>
    <w:p w14:paraId="3B6FE523">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评委会将审查投标文件是否完整、总体编排是否有序、文件签署是否合格、有无计算上的错误等。</w:t>
      </w:r>
    </w:p>
    <w:p w14:paraId="1849F4F9">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允许修正投标文件中不构成重大偏离的、微小的、非正规的、不一致或不规则的地方。</w:t>
      </w:r>
    </w:p>
    <w:p w14:paraId="5E6DDA85">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在对投标文件进行详细评估之前，评委会将确定每一投标是否对招标文件的要求做出了实质性的响应，而没有实质偏离。实质性响应的投标是指投标符合招标文件的所有条款、条件和规定且没有实质偏离和保留。实质偏离和保留是指对招标文件规定的范围、质量和性能产生重大或不可接受的偏差，或限制了采购代理机构、采购人的权力和供应商的义务的规定，而纠正这些偏离将影响到其它提交实质性响应投标的供应商的公平竞争地位。</w:t>
      </w:r>
    </w:p>
    <w:p w14:paraId="536BCD02">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评委会判断投标文件的响应性仅基于投标文件本身内容而不靠外部证据。</w:t>
      </w:r>
    </w:p>
    <w:p w14:paraId="66C67192">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实质上没有响应招标文件要求的投标将被拒绝，供应商不得通过修正或撤销不符之处而使其投标成为实质上响应投标。</w:t>
      </w:r>
    </w:p>
    <w:p w14:paraId="61F8B606">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评标委员会应当按照招标文件中规定的评标办法和标准，对符合性审查合格的投标文件进行商务和技术评估，综合比较与评价。</w:t>
      </w:r>
    </w:p>
    <w:p w14:paraId="2B01D224">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投标文件有下列情形之一的，采购人不予受理：</w:t>
      </w:r>
    </w:p>
    <w:p w14:paraId="2F15D91D">
      <w:pPr>
        <w:tabs>
          <w:tab w:val="left" w:pos="720"/>
        </w:tabs>
        <w:spacing w:line="360" w:lineRule="auto"/>
        <w:ind w:firstLine="716" w:firstLineChars="341"/>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）逾期上传的；</w:t>
      </w:r>
    </w:p>
    <w:p w14:paraId="77EEF209">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投标文件出现下列情形之一的，按无效投标文件不再进行评审：</w:t>
      </w:r>
    </w:p>
    <w:p w14:paraId="27B6A498">
      <w:pPr>
        <w:spacing w:line="360" w:lineRule="auto"/>
        <w:ind w:left="716" w:leftChars="341"/>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）未按招标文件规定格式电子签字、电子签章的；</w:t>
      </w:r>
    </w:p>
    <w:p w14:paraId="40A31689">
      <w:pPr>
        <w:spacing w:line="360" w:lineRule="auto"/>
        <w:ind w:left="716" w:leftChars="341"/>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）供应商不符合国家或者招标文件规定的资格条件；</w:t>
      </w:r>
    </w:p>
    <w:p w14:paraId="3D74C324">
      <w:pPr>
        <w:spacing w:line="360" w:lineRule="auto"/>
        <w:ind w:left="716" w:leftChars="341"/>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）同一供应商提交两个以上不同的投标文件或者投标报价，但招标文件要求提交备选投标的除外；</w:t>
      </w:r>
    </w:p>
    <w:p w14:paraId="170D2EB1">
      <w:pPr>
        <w:spacing w:line="360" w:lineRule="auto"/>
        <w:ind w:left="716" w:leftChars="341"/>
        <w:rPr>
          <w:rFonts w:asci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）投标报价低于成本或者高于政府采购预算价；</w:t>
      </w:r>
    </w:p>
    <w:p w14:paraId="49C1575F">
      <w:pPr>
        <w:spacing w:line="360" w:lineRule="auto"/>
        <w:ind w:left="716" w:leftChars="341"/>
        <w:rPr>
          <w:rFonts w:asci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）货物质量、交付使用时间等实质性要求未满足招标文件要求的；</w:t>
      </w:r>
    </w:p>
    <w:p w14:paraId="5CB66283">
      <w:pPr>
        <w:spacing w:line="360" w:lineRule="auto"/>
        <w:ind w:left="716" w:leftChars="341"/>
        <w:rPr>
          <w:rFonts w:ascii="宋体" w:cs="宋体"/>
          <w:color w:val="auto"/>
          <w:szCs w:val="21"/>
        </w:rPr>
      </w:pPr>
      <w:r>
        <w:rPr>
          <w:rFonts w:hint="eastAsia" w:ascii="宋体" w:hAnsi="宋体" w:cs="宋体"/>
          <w:color w:val="auto"/>
          <w:szCs w:val="21"/>
        </w:rPr>
        <w:t>（</w:t>
      </w:r>
      <w:r>
        <w:rPr>
          <w:rFonts w:ascii="宋体" w:hAnsi="宋体" w:cs="宋体"/>
          <w:color w:val="auto"/>
          <w:szCs w:val="21"/>
        </w:rPr>
        <w:t>6</w:t>
      </w:r>
      <w:r>
        <w:rPr>
          <w:rFonts w:hint="eastAsia" w:ascii="宋体" w:hAnsi="宋体" w:cs="宋体"/>
          <w:color w:val="auto"/>
          <w:szCs w:val="21"/>
        </w:rPr>
        <w:t>）供应商有串通投标、弄虚作假、行贿等违法行为的；</w:t>
      </w:r>
    </w:p>
    <w:p w14:paraId="6273CCC4">
      <w:pPr>
        <w:spacing w:line="360" w:lineRule="auto"/>
        <w:ind w:left="716" w:leftChars="341"/>
        <w:rPr>
          <w:rFonts w:ascii="宋体" w:cs="宋体"/>
          <w:color w:val="auto"/>
          <w:szCs w:val="21"/>
        </w:rPr>
      </w:pPr>
      <w:r>
        <w:rPr>
          <w:rFonts w:hint="eastAsia" w:ascii="宋体" w:hAnsi="宋体" w:cs="宋体"/>
          <w:color w:val="auto"/>
          <w:szCs w:val="21"/>
        </w:rPr>
        <w:t>（</w:t>
      </w:r>
      <w:r>
        <w:rPr>
          <w:rFonts w:ascii="宋体" w:hAnsi="宋体" w:cs="宋体"/>
          <w:color w:val="auto"/>
          <w:szCs w:val="21"/>
        </w:rPr>
        <w:t>7</w:t>
      </w:r>
      <w:r>
        <w:rPr>
          <w:rFonts w:hint="eastAsia" w:ascii="宋体" w:hAnsi="宋体" w:cs="宋体"/>
          <w:color w:val="auto"/>
          <w:szCs w:val="21"/>
        </w:rPr>
        <w:t>）投标文件附有采购人不能接受的条件的。</w:t>
      </w:r>
    </w:p>
    <w:p w14:paraId="1A28D885">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有下列情形之一的，属于采取不正当手段诋毁、排斥其他供应商的行为，其</w:t>
      </w:r>
      <w:r>
        <w:rPr>
          <w:rFonts w:hint="eastAsia" w:ascii="宋体" w:hAnsi="宋体" w:cs="宋体"/>
          <w:color w:val="auto"/>
          <w:spacing w:val="8"/>
          <w:szCs w:val="21"/>
        </w:rPr>
        <w:t>投标文件按无效处理</w:t>
      </w:r>
      <w:r>
        <w:rPr>
          <w:rFonts w:hint="eastAsia" w:ascii="宋体" w:hAnsi="宋体" w:cs="宋体"/>
          <w:color w:val="auto"/>
          <w:szCs w:val="21"/>
        </w:rPr>
        <w:t>：</w:t>
      </w:r>
    </w:p>
    <w:p w14:paraId="6BC4EF48">
      <w:pPr>
        <w:tabs>
          <w:tab w:val="left" w:pos="747"/>
        </w:tabs>
        <w:spacing w:line="360" w:lineRule="auto"/>
        <w:ind w:firstLine="735" w:firstLineChars="350"/>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）供应商之间协商报价、技术方案等投标文件或者投标文件的实质性内容；</w:t>
      </w:r>
    </w:p>
    <w:p w14:paraId="599774FD">
      <w:pPr>
        <w:tabs>
          <w:tab w:val="left" w:pos="747"/>
        </w:tabs>
        <w:spacing w:line="360" w:lineRule="auto"/>
        <w:ind w:firstLine="735" w:firstLineChars="350"/>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）供应商之间事先约定由某一特定供应商中标、成交；</w:t>
      </w:r>
    </w:p>
    <w:p w14:paraId="0519E283">
      <w:pPr>
        <w:tabs>
          <w:tab w:val="left" w:pos="747"/>
        </w:tabs>
        <w:spacing w:line="360" w:lineRule="auto"/>
        <w:ind w:firstLine="735" w:firstLineChars="350"/>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）供应商之间商定部分供应商放弃参加政府采购活动或者放弃中标、成交；</w:t>
      </w:r>
    </w:p>
    <w:p w14:paraId="05824F51">
      <w:pPr>
        <w:tabs>
          <w:tab w:val="left" w:pos="747"/>
        </w:tabs>
        <w:spacing w:line="360" w:lineRule="auto"/>
        <w:ind w:firstLine="735" w:firstLineChars="350"/>
        <w:rPr>
          <w:rFonts w:asci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）属于同一集团、协会、商会等组织成员的供应商按照该组织要求协同参加投标；</w:t>
      </w:r>
    </w:p>
    <w:p w14:paraId="77050DE9">
      <w:pPr>
        <w:tabs>
          <w:tab w:val="left" w:pos="747"/>
        </w:tabs>
        <w:spacing w:line="360" w:lineRule="auto"/>
        <w:ind w:firstLine="735" w:firstLineChars="350"/>
        <w:rPr>
          <w:rFonts w:asci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）供应商之间为谋取中标或者排斥特定供应商而采取的其他联合行动。</w:t>
      </w:r>
    </w:p>
    <w:p w14:paraId="1104271D">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有下列情形之一的，视为供应商相互串通投标：</w:t>
      </w:r>
    </w:p>
    <w:p w14:paraId="09538747">
      <w:pPr>
        <w:tabs>
          <w:tab w:val="left" w:pos="720"/>
        </w:tabs>
        <w:spacing w:line="360" w:lineRule="auto"/>
        <w:ind w:firstLine="735" w:firstLineChars="350"/>
        <w:jc w:val="left"/>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）不同供应商的投标文件由同一单位或者个人编制；</w:t>
      </w:r>
    </w:p>
    <w:p w14:paraId="5F2CED64">
      <w:pPr>
        <w:tabs>
          <w:tab w:val="left" w:pos="720"/>
        </w:tabs>
        <w:spacing w:line="360" w:lineRule="auto"/>
        <w:ind w:firstLine="735" w:firstLineChars="350"/>
        <w:jc w:val="left"/>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）不同供应商委托同一单位或者个人办理投标事宜；</w:t>
      </w:r>
    </w:p>
    <w:p w14:paraId="416E3548">
      <w:pPr>
        <w:tabs>
          <w:tab w:val="left" w:pos="720"/>
        </w:tabs>
        <w:spacing w:line="360" w:lineRule="auto"/>
        <w:ind w:firstLine="735" w:firstLineChars="350"/>
        <w:jc w:val="left"/>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）不同供应商的投标文件载明的项目管理成员或者联系人员为同一人；</w:t>
      </w:r>
    </w:p>
    <w:p w14:paraId="373246FC">
      <w:pPr>
        <w:tabs>
          <w:tab w:val="left" w:pos="720"/>
        </w:tabs>
        <w:spacing w:line="360" w:lineRule="auto"/>
        <w:ind w:firstLine="735" w:firstLineChars="350"/>
        <w:jc w:val="left"/>
        <w:rPr>
          <w:rFonts w:asci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）不同投标人的投标文件制作机器码一致时按废标处理。</w:t>
      </w:r>
    </w:p>
    <w:p w14:paraId="7C52D62B">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供应商有下列情形之一的，属于以其他方式弄虚作假的行为，其</w:t>
      </w:r>
      <w:r>
        <w:rPr>
          <w:rFonts w:hint="eastAsia" w:ascii="宋体" w:hAnsi="宋体" w:cs="宋体"/>
          <w:color w:val="auto"/>
          <w:spacing w:val="8"/>
          <w:szCs w:val="21"/>
        </w:rPr>
        <w:t>投标文件按无效处理</w:t>
      </w:r>
      <w:r>
        <w:rPr>
          <w:rFonts w:hint="eastAsia" w:ascii="宋体" w:hAnsi="宋体" w:cs="宋体"/>
          <w:color w:val="auto"/>
          <w:szCs w:val="21"/>
        </w:rPr>
        <w:t>：</w:t>
      </w:r>
    </w:p>
    <w:p w14:paraId="53E04ADF">
      <w:pPr>
        <w:tabs>
          <w:tab w:val="left" w:pos="900"/>
        </w:tabs>
        <w:spacing w:line="360" w:lineRule="auto"/>
        <w:ind w:left="-359" w:leftChars="-171" w:firstLine="1008" w:firstLineChars="480"/>
        <w:jc w:val="left"/>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）使用伪造、变造的许可证件；</w:t>
      </w:r>
    </w:p>
    <w:p w14:paraId="4E11560C">
      <w:pPr>
        <w:tabs>
          <w:tab w:val="left" w:pos="900"/>
        </w:tabs>
        <w:spacing w:line="360" w:lineRule="auto"/>
        <w:ind w:left="-359" w:leftChars="-171" w:firstLine="1008" w:firstLineChars="480"/>
        <w:jc w:val="left"/>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）提供虚假的财务状况或者业绩；</w:t>
      </w:r>
    </w:p>
    <w:p w14:paraId="40BBCDCA">
      <w:pPr>
        <w:tabs>
          <w:tab w:val="left" w:pos="900"/>
        </w:tabs>
        <w:spacing w:line="360" w:lineRule="auto"/>
        <w:ind w:left="-359" w:leftChars="-171" w:firstLine="1008" w:firstLineChars="480"/>
        <w:jc w:val="left"/>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）提供虚假的项目负责人或者主要技术人员简历、劳动关系证明；</w:t>
      </w:r>
    </w:p>
    <w:p w14:paraId="144968BD">
      <w:pPr>
        <w:tabs>
          <w:tab w:val="left" w:pos="900"/>
        </w:tabs>
        <w:spacing w:line="360" w:lineRule="auto"/>
        <w:ind w:left="-359" w:leftChars="-171" w:firstLine="1008" w:firstLineChars="480"/>
        <w:jc w:val="left"/>
        <w:rPr>
          <w:rFonts w:asci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）提供虚假的信用状况；</w:t>
      </w:r>
    </w:p>
    <w:p w14:paraId="7F9D950A">
      <w:pPr>
        <w:tabs>
          <w:tab w:val="left" w:pos="900"/>
        </w:tabs>
        <w:spacing w:line="360" w:lineRule="auto"/>
        <w:ind w:left="-359" w:leftChars="-171" w:firstLine="1008" w:firstLineChars="480"/>
        <w:jc w:val="left"/>
        <w:rPr>
          <w:rFonts w:asci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）其他弄虚作假的行为。</w:t>
      </w:r>
    </w:p>
    <w:p w14:paraId="21A84254">
      <w:pPr>
        <w:widowControl w:val="0"/>
        <w:numPr>
          <w:ilvl w:val="0"/>
          <w:numId w:val="8"/>
        </w:numPr>
        <w:tabs>
          <w:tab w:val="left" w:pos="720"/>
        </w:tabs>
        <w:spacing w:line="360" w:lineRule="auto"/>
        <w:ind w:left="720" w:hanging="720"/>
        <w:rPr>
          <w:rFonts w:ascii="宋体" w:cs="宋体"/>
          <w:b/>
          <w:color w:val="auto"/>
          <w:szCs w:val="21"/>
        </w:rPr>
      </w:pPr>
      <w:r>
        <w:rPr>
          <w:rFonts w:hint="eastAsia" w:ascii="宋体" w:hAnsi="宋体" w:cs="宋体"/>
          <w:b/>
          <w:color w:val="auto"/>
          <w:szCs w:val="21"/>
        </w:rPr>
        <w:t>投标的评价</w:t>
      </w:r>
    </w:p>
    <w:p w14:paraId="27690EE7">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评标委员会成员应当按照客观、公正、审慎的原则，根据招标文件规定的评审程序、评审方法和评审标准进行独立评审。</w:t>
      </w:r>
    </w:p>
    <w:p w14:paraId="540742F3">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招标文件中没有规定的评标标准不得作为评审的依据。</w:t>
      </w:r>
    </w:p>
    <w:p w14:paraId="5B73650B">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评标委员会成员应当在评审报告上签字，对自己的评审意见承担法律责任。对评审报告有异议的，应当在评审报告上签署不同意见，并说明理由，否则视为同意评审报告。</w:t>
      </w:r>
    </w:p>
    <w:p w14:paraId="7AEE60BD">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评委会只对已判定为实质性响应的投标文件进行评价和比较。</w:t>
      </w:r>
    </w:p>
    <w:p w14:paraId="0CD1A389">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计算评标价时，以货物到达采购人指定的目的地交货单价为标准，其中已包含各种税费、运费及保险费、运杂费等以及伴随的其它服务费。</w:t>
      </w:r>
    </w:p>
    <w:p w14:paraId="065378F2">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评委会在评标时，除根据第</w:t>
      </w:r>
      <w:r>
        <w:rPr>
          <w:rFonts w:ascii="宋体" w:hAnsi="宋体" w:cs="宋体"/>
          <w:color w:val="auto"/>
          <w:szCs w:val="21"/>
        </w:rPr>
        <w:t>13</w:t>
      </w:r>
      <w:r>
        <w:rPr>
          <w:rFonts w:hint="eastAsia" w:ascii="宋体" w:hAnsi="宋体" w:cs="宋体"/>
          <w:color w:val="auto"/>
          <w:szCs w:val="21"/>
        </w:rPr>
        <w:t>条的规定考虑供应商的报价外，还将考虑量化以下因素：</w:t>
      </w:r>
    </w:p>
    <w:p w14:paraId="3D6B8DB7">
      <w:pPr>
        <w:widowControl w:val="0"/>
        <w:numPr>
          <w:ilvl w:val="0"/>
          <w:numId w:val="12"/>
        </w:numPr>
        <w:tabs>
          <w:tab w:val="left" w:pos="1260"/>
          <w:tab w:val="clear" w:pos="1080"/>
        </w:tabs>
        <w:spacing w:line="360" w:lineRule="auto"/>
        <w:ind w:left="1260" w:hanging="540"/>
        <w:rPr>
          <w:rFonts w:ascii="宋体" w:cs="宋体"/>
          <w:color w:val="auto"/>
          <w:szCs w:val="21"/>
        </w:rPr>
      </w:pPr>
      <w:r>
        <w:rPr>
          <w:rFonts w:hint="eastAsia" w:ascii="宋体" w:hAnsi="宋体" w:cs="宋体"/>
          <w:color w:val="auto"/>
          <w:szCs w:val="21"/>
        </w:rPr>
        <w:t>投标文件申明的货物交付使用时间；</w:t>
      </w:r>
    </w:p>
    <w:p w14:paraId="064551B4">
      <w:pPr>
        <w:widowControl w:val="0"/>
        <w:numPr>
          <w:ilvl w:val="0"/>
          <w:numId w:val="12"/>
        </w:numPr>
        <w:tabs>
          <w:tab w:val="left" w:pos="1260"/>
          <w:tab w:val="clear" w:pos="1080"/>
        </w:tabs>
        <w:spacing w:line="360" w:lineRule="auto"/>
        <w:ind w:left="1260" w:hanging="540"/>
        <w:rPr>
          <w:rFonts w:ascii="宋体" w:cs="宋体"/>
          <w:color w:val="auto"/>
          <w:szCs w:val="21"/>
        </w:rPr>
      </w:pPr>
      <w:r>
        <w:rPr>
          <w:rFonts w:hint="eastAsia" w:ascii="宋体" w:hAnsi="宋体" w:cs="宋体"/>
          <w:color w:val="auto"/>
          <w:szCs w:val="21"/>
        </w:rPr>
        <w:t>与合同条款规定的付款条件的偏差；</w:t>
      </w:r>
    </w:p>
    <w:p w14:paraId="0FE7A1B5">
      <w:pPr>
        <w:widowControl w:val="0"/>
        <w:numPr>
          <w:ilvl w:val="0"/>
          <w:numId w:val="12"/>
        </w:numPr>
        <w:tabs>
          <w:tab w:val="left" w:pos="1260"/>
          <w:tab w:val="clear" w:pos="1080"/>
        </w:tabs>
        <w:spacing w:line="360" w:lineRule="auto"/>
        <w:ind w:left="1260" w:hanging="540"/>
        <w:rPr>
          <w:rFonts w:ascii="宋体" w:cs="宋体"/>
          <w:color w:val="auto"/>
          <w:szCs w:val="21"/>
        </w:rPr>
      </w:pPr>
      <w:r>
        <w:rPr>
          <w:rFonts w:hint="eastAsia" w:ascii="宋体" w:hAnsi="宋体" w:cs="宋体"/>
          <w:color w:val="auto"/>
          <w:szCs w:val="21"/>
        </w:rPr>
        <w:t>供应商所提供的售后服务承诺计划；</w:t>
      </w:r>
    </w:p>
    <w:p w14:paraId="09842869">
      <w:pPr>
        <w:widowControl w:val="0"/>
        <w:numPr>
          <w:ilvl w:val="0"/>
          <w:numId w:val="12"/>
        </w:numPr>
        <w:tabs>
          <w:tab w:val="left" w:pos="1260"/>
          <w:tab w:val="clear" w:pos="1080"/>
        </w:tabs>
        <w:spacing w:line="360" w:lineRule="auto"/>
        <w:ind w:left="1260" w:hanging="540"/>
        <w:rPr>
          <w:rFonts w:ascii="宋体" w:cs="宋体"/>
          <w:color w:val="auto"/>
          <w:szCs w:val="21"/>
        </w:rPr>
      </w:pPr>
      <w:r>
        <w:rPr>
          <w:rFonts w:hint="eastAsia" w:ascii="宋体" w:hAnsi="宋体" w:cs="宋体"/>
          <w:color w:val="auto"/>
          <w:szCs w:val="21"/>
        </w:rPr>
        <w:t>供应商的综合实力；</w:t>
      </w:r>
    </w:p>
    <w:p w14:paraId="660DA333">
      <w:pPr>
        <w:widowControl w:val="0"/>
        <w:numPr>
          <w:ilvl w:val="0"/>
          <w:numId w:val="12"/>
        </w:numPr>
        <w:tabs>
          <w:tab w:val="left" w:pos="1260"/>
          <w:tab w:val="clear" w:pos="1080"/>
        </w:tabs>
        <w:spacing w:line="360" w:lineRule="auto"/>
        <w:ind w:left="1260" w:hanging="540"/>
        <w:rPr>
          <w:rFonts w:ascii="宋体" w:cs="宋体"/>
          <w:color w:val="auto"/>
          <w:szCs w:val="21"/>
        </w:rPr>
      </w:pPr>
      <w:r>
        <w:rPr>
          <w:rFonts w:hint="eastAsia" w:ascii="宋体" w:hAnsi="宋体" w:cs="宋体"/>
          <w:color w:val="auto"/>
          <w:szCs w:val="21"/>
        </w:rPr>
        <w:t>其它评标因素。</w:t>
      </w:r>
    </w:p>
    <w:p w14:paraId="66B5C20C">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在“招标项目资料表及评分办法”中列出评标因素及打分办法，是评标委员会进行评标的依据。</w:t>
      </w:r>
    </w:p>
    <w:p w14:paraId="3308E146">
      <w:pPr>
        <w:widowControl w:val="0"/>
        <w:numPr>
          <w:ilvl w:val="0"/>
          <w:numId w:val="8"/>
        </w:numPr>
        <w:tabs>
          <w:tab w:val="left" w:pos="720"/>
        </w:tabs>
        <w:spacing w:line="360" w:lineRule="auto"/>
        <w:ind w:left="720" w:hanging="720"/>
        <w:rPr>
          <w:rFonts w:ascii="宋体" w:cs="宋体"/>
          <w:b/>
          <w:color w:val="auto"/>
          <w:szCs w:val="21"/>
        </w:rPr>
      </w:pPr>
      <w:r>
        <w:rPr>
          <w:rFonts w:hint="eastAsia" w:ascii="宋体" w:hAnsi="宋体" w:cs="宋体"/>
          <w:b/>
          <w:color w:val="auto"/>
          <w:szCs w:val="21"/>
        </w:rPr>
        <w:t>投标文件的澄清</w:t>
      </w:r>
    </w:p>
    <w:p w14:paraId="7CDDF087">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为了有助于对投标文件进行审查、评估和比较，评委会有权向供应商质疑，请供应商澄清其投标内容。供应商有责任按照采购代理机构通知的时间、地点、方式由供应商或被授权人进行答疑和澄清。供应商不进行澄清的，将承担一切不利于投标的后果。</w:t>
      </w:r>
    </w:p>
    <w:p w14:paraId="09E412EE">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重要澄清的答复应是书面的，并由供应商企业法定代表人或其委托代理人签字。</w:t>
      </w:r>
    </w:p>
    <w:p w14:paraId="14077E22">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供应商的澄清文件是投标文件的组成部分，并取代投标文件中被澄清的部分。</w:t>
      </w:r>
    </w:p>
    <w:p w14:paraId="1BAD07CB">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投标文件的澄清不得对投标内容进行实质性修改。</w:t>
      </w:r>
    </w:p>
    <w:p w14:paraId="723793CC">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对于投标文件中含义不明确、同类问题表述不一致或者有明显文字和计算错误的内容，评标委员会应当以书面形式要求供应商作出必要的澄清、说明或者补正。</w:t>
      </w:r>
    </w:p>
    <w:p w14:paraId="0BB16B39">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供应商的澄清、说明或者补正应当采用书面形式，并加盖公章，或者由法定代表人或其授权的代表签字。供应商的澄清、说明或者补正不得超出投标文件的范围或者改变投标文件的实质性内容。</w:t>
      </w:r>
    </w:p>
    <w:p w14:paraId="1C29E0D9">
      <w:pPr>
        <w:widowControl w:val="0"/>
        <w:numPr>
          <w:ilvl w:val="0"/>
          <w:numId w:val="8"/>
        </w:numPr>
        <w:spacing w:line="360" w:lineRule="auto"/>
        <w:rPr>
          <w:rFonts w:ascii="宋体" w:cs="宋体"/>
          <w:b/>
          <w:color w:val="auto"/>
          <w:szCs w:val="21"/>
        </w:rPr>
      </w:pPr>
      <w:r>
        <w:rPr>
          <w:rFonts w:hint="eastAsia" w:ascii="宋体" w:hAnsi="宋体" w:cs="宋体"/>
          <w:b/>
          <w:color w:val="auto"/>
          <w:szCs w:val="21"/>
        </w:rPr>
        <w:t>错误的修正</w:t>
      </w:r>
    </w:p>
    <w:p w14:paraId="0478B865">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投标文件报价出现前后不一致的，除招标文件另有规定外，按照下列规定修正：</w:t>
      </w:r>
    </w:p>
    <w:p w14:paraId="65F478F3">
      <w:pPr>
        <w:widowControl w:val="0"/>
        <w:tabs>
          <w:tab w:val="left" w:pos="720"/>
        </w:tabs>
        <w:spacing w:line="360" w:lineRule="auto"/>
        <w:ind w:left="708" w:leftChars="337" w:firstLine="1"/>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）投标文件中开标一览表（报价表）内容与投标文件中相应内容不一致的，以开标一览表（报价表）为准；</w:t>
      </w:r>
    </w:p>
    <w:p w14:paraId="74F9D82A">
      <w:pPr>
        <w:widowControl w:val="0"/>
        <w:tabs>
          <w:tab w:val="left" w:pos="720"/>
        </w:tabs>
        <w:spacing w:line="360" w:lineRule="auto"/>
        <w:ind w:left="708" w:leftChars="337" w:firstLine="1"/>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）大写金额和小写金额不一致的，以大写金额为准；</w:t>
      </w:r>
    </w:p>
    <w:p w14:paraId="3B315093">
      <w:pPr>
        <w:spacing w:line="360" w:lineRule="auto"/>
        <w:ind w:firstLine="735" w:firstLineChars="350"/>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）总价金额与按单价汇总金额不一致的，以单价金额计算结果为准。</w:t>
      </w:r>
    </w:p>
    <w:p w14:paraId="0A87848C">
      <w:pPr>
        <w:widowControl w:val="0"/>
        <w:tabs>
          <w:tab w:val="left" w:pos="720"/>
        </w:tabs>
        <w:spacing w:line="360" w:lineRule="auto"/>
        <w:ind w:left="840" w:leftChars="400"/>
        <w:rPr>
          <w:rFonts w:ascii="宋体" w:cs="宋体"/>
          <w:color w:val="auto"/>
          <w:szCs w:val="21"/>
        </w:rPr>
      </w:pPr>
      <w:r>
        <w:rPr>
          <w:rFonts w:hint="eastAsia" w:ascii="宋体" w:hAnsi="宋体" w:cs="宋体"/>
          <w:color w:val="auto"/>
        </w:rPr>
        <w:t>同时出现不一致的，按照本条</w:t>
      </w:r>
      <w:r>
        <w:rPr>
          <w:rFonts w:ascii="宋体" w:hAnsi="宋体" w:cs="宋体"/>
          <w:color w:val="auto"/>
        </w:rPr>
        <w:t>1-3</w:t>
      </w:r>
      <w:r>
        <w:rPr>
          <w:rFonts w:hint="eastAsia" w:ascii="宋体" w:hAnsi="宋体" w:cs="宋体"/>
          <w:color w:val="auto"/>
        </w:rPr>
        <w:t>款规定的顺序修正。修正后的报价按照本条的规定经供应商确认后产生约束力，供应商不确认的，其投标无效。</w:t>
      </w:r>
    </w:p>
    <w:p w14:paraId="753E98F2">
      <w:pPr>
        <w:widowControl w:val="0"/>
        <w:numPr>
          <w:ilvl w:val="0"/>
          <w:numId w:val="8"/>
        </w:numPr>
        <w:spacing w:line="360" w:lineRule="auto"/>
        <w:rPr>
          <w:rFonts w:ascii="宋体" w:cs="宋体"/>
          <w:b/>
          <w:color w:val="auto"/>
          <w:szCs w:val="21"/>
        </w:rPr>
      </w:pPr>
      <w:r>
        <w:rPr>
          <w:rFonts w:hint="eastAsia" w:ascii="宋体" w:hAnsi="宋体" w:cs="宋体"/>
          <w:b/>
          <w:color w:val="auto"/>
          <w:szCs w:val="21"/>
        </w:rPr>
        <w:t>中标候选人的确定</w:t>
      </w:r>
    </w:p>
    <w:p w14:paraId="2E8DA62E">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根据第</w:t>
      </w:r>
      <w:r>
        <w:rPr>
          <w:rFonts w:ascii="宋体" w:hAnsi="宋体" w:cs="宋体"/>
          <w:color w:val="auto"/>
          <w:szCs w:val="21"/>
        </w:rPr>
        <w:t>26</w:t>
      </w:r>
      <w:r>
        <w:rPr>
          <w:rFonts w:hint="eastAsia" w:ascii="宋体" w:hAnsi="宋体" w:cs="宋体"/>
          <w:color w:val="auto"/>
          <w:szCs w:val="21"/>
        </w:rPr>
        <w:t>、</w:t>
      </w:r>
      <w:r>
        <w:rPr>
          <w:rFonts w:ascii="宋体" w:hAnsi="宋体" w:cs="宋体"/>
          <w:color w:val="auto"/>
          <w:szCs w:val="21"/>
        </w:rPr>
        <w:t>27</w:t>
      </w:r>
      <w:r>
        <w:rPr>
          <w:rFonts w:hint="eastAsia" w:ascii="宋体" w:hAnsi="宋体" w:cs="宋体"/>
          <w:color w:val="auto"/>
          <w:szCs w:val="21"/>
        </w:rPr>
        <w:t>、</w:t>
      </w:r>
      <w:r>
        <w:rPr>
          <w:rFonts w:ascii="宋体" w:hAnsi="宋体" w:cs="宋体"/>
          <w:color w:val="auto"/>
          <w:szCs w:val="21"/>
        </w:rPr>
        <w:t>28</w:t>
      </w:r>
      <w:r>
        <w:rPr>
          <w:rFonts w:hint="eastAsia" w:ascii="宋体" w:hAnsi="宋体" w:cs="宋体"/>
          <w:color w:val="auto"/>
          <w:szCs w:val="21"/>
        </w:rPr>
        <w:t>、</w:t>
      </w:r>
      <w:r>
        <w:rPr>
          <w:rFonts w:ascii="宋体" w:hAnsi="宋体" w:cs="宋体"/>
          <w:color w:val="auto"/>
          <w:szCs w:val="21"/>
        </w:rPr>
        <w:t>29</w:t>
      </w:r>
      <w:r>
        <w:rPr>
          <w:rFonts w:hint="eastAsia" w:ascii="宋体" w:hAnsi="宋体" w:cs="宋体"/>
          <w:color w:val="auto"/>
          <w:szCs w:val="21"/>
        </w:rPr>
        <w:t>条综合审查评定，依照综合评分法，按评审得分由高到低顺序推荐</w:t>
      </w:r>
      <w:r>
        <w:rPr>
          <w:rFonts w:ascii="宋体" w:hAnsi="宋体" w:cs="宋体"/>
          <w:color w:val="auto"/>
          <w:szCs w:val="21"/>
        </w:rPr>
        <w:t>3</w:t>
      </w:r>
      <w:r>
        <w:rPr>
          <w:rFonts w:hint="eastAsia" w:ascii="宋体" w:hAnsi="宋体" w:cs="宋体"/>
          <w:color w:val="auto"/>
          <w:szCs w:val="21"/>
        </w:rPr>
        <w:t>名中标候选人。若得分相同的，按投标报价由低到高顺序排列；投标报价也相等的，按技术得分高者优先，技术得分也相等的，按技术指标优劣顺序排列；技术指标优劣顺序排列也相等的由采购人确定。</w:t>
      </w:r>
    </w:p>
    <w:p w14:paraId="4FA99357">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采购代理机构应当在评标结束当日将评标报告送采购人。</w:t>
      </w:r>
    </w:p>
    <w:p w14:paraId="2538A17E">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采购人应当自收到评标报告之日起</w:t>
      </w:r>
      <w:r>
        <w:rPr>
          <w:rFonts w:ascii="宋体" w:hAnsi="宋体" w:cs="宋体"/>
          <w:color w:val="auto"/>
          <w:szCs w:val="21"/>
        </w:rPr>
        <w:t>3</w:t>
      </w:r>
      <w:r>
        <w:rPr>
          <w:rFonts w:hint="eastAsia" w:ascii="宋体" w:hAnsi="宋体" w:cs="宋体"/>
          <w:color w:val="auto"/>
          <w:szCs w:val="21"/>
        </w:rPr>
        <w:t>个工作日内，在评标报告确定的中标候选人名单中按顺序确定中标人。中标候选人并列的，按招标文件规定由采购人授权评标委员会确定中标人；招标文件未规定的，采取随机抽取的方式确定。</w:t>
      </w:r>
    </w:p>
    <w:p w14:paraId="4792CE0F">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采购人自行组织招标的，应当在评标结束后</w:t>
      </w:r>
      <w:r>
        <w:rPr>
          <w:rFonts w:ascii="宋体" w:hAnsi="宋体" w:cs="宋体"/>
          <w:color w:val="auto"/>
          <w:szCs w:val="21"/>
        </w:rPr>
        <w:t>3</w:t>
      </w:r>
      <w:r>
        <w:rPr>
          <w:rFonts w:hint="eastAsia" w:ascii="宋体" w:hAnsi="宋体" w:cs="宋体"/>
          <w:color w:val="auto"/>
          <w:szCs w:val="21"/>
        </w:rPr>
        <w:t>个工作日内确定中标人。</w:t>
      </w:r>
    </w:p>
    <w:p w14:paraId="6DBC7F69">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采购人在收到评标报告</w:t>
      </w:r>
      <w:r>
        <w:rPr>
          <w:rFonts w:ascii="宋体" w:hAnsi="宋体" w:cs="宋体"/>
          <w:color w:val="auto"/>
          <w:szCs w:val="21"/>
        </w:rPr>
        <w:t>3</w:t>
      </w:r>
      <w:r>
        <w:rPr>
          <w:rFonts w:hint="eastAsia" w:ascii="宋体" w:hAnsi="宋体" w:cs="宋体"/>
          <w:color w:val="auto"/>
          <w:szCs w:val="21"/>
        </w:rPr>
        <w:t>个工作日内未按评标报告推荐的中标候选人顺序确定中标人，又不能说明合法理由的，视同按评标报告推荐的顺序确定排名第一的中标候选人为中标人。</w:t>
      </w:r>
    </w:p>
    <w:p w14:paraId="58EA8916">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采购人或者采购代理机构应当自中标人确定之日起</w:t>
      </w:r>
      <w:r>
        <w:rPr>
          <w:rFonts w:ascii="宋体" w:hAnsi="宋体" w:cs="宋体"/>
          <w:color w:val="auto"/>
          <w:szCs w:val="21"/>
        </w:rPr>
        <w:t>3</w:t>
      </w:r>
      <w:r>
        <w:rPr>
          <w:rFonts w:hint="eastAsia" w:ascii="宋体" w:hAnsi="宋体" w:cs="宋体"/>
          <w:color w:val="auto"/>
          <w:szCs w:val="21"/>
        </w:rPr>
        <w:t>个工作日内，在省级以上财政部门指定的媒体上公告中标结果，招标文件应当随中标结果同时公告。</w:t>
      </w:r>
      <w:r>
        <w:rPr>
          <w:rFonts w:hint="eastAsia" w:ascii="宋体" w:hAnsi="宋体" w:cs="宋体"/>
        </w:rPr>
        <w:t>在公告中标结果的同时，向中标人发出中标通知书。</w:t>
      </w:r>
    </w:p>
    <w:p w14:paraId="3ABD0E39">
      <w:pPr>
        <w:widowControl w:val="0"/>
        <w:numPr>
          <w:ilvl w:val="0"/>
          <w:numId w:val="8"/>
        </w:numPr>
        <w:tabs>
          <w:tab w:val="left" w:pos="720"/>
        </w:tabs>
        <w:spacing w:line="360" w:lineRule="auto"/>
        <w:ind w:left="720" w:hanging="720"/>
        <w:rPr>
          <w:rFonts w:ascii="宋体" w:cs="宋体"/>
          <w:b/>
          <w:color w:val="auto"/>
          <w:szCs w:val="21"/>
        </w:rPr>
      </w:pPr>
      <w:r>
        <w:rPr>
          <w:rFonts w:hint="eastAsia" w:ascii="宋体" w:hAnsi="宋体" w:cs="宋体"/>
          <w:b/>
          <w:color w:val="auto"/>
          <w:szCs w:val="21"/>
        </w:rPr>
        <w:t>保密及其它注意事项</w:t>
      </w:r>
    </w:p>
    <w:p w14:paraId="52A5EA51">
      <w:pPr>
        <w:widowControl w:val="0"/>
        <w:numPr>
          <w:ilvl w:val="1"/>
          <w:numId w:val="8"/>
        </w:numPr>
        <w:tabs>
          <w:tab w:val="left" w:pos="720"/>
          <w:tab w:val="clear" w:pos="360"/>
        </w:tabs>
        <w:spacing w:line="360" w:lineRule="auto"/>
        <w:ind w:left="720" w:hanging="720"/>
        <w:rPr>
          <w:rFonts w:ascii="宋体" w:cs="宋体"/>
          <w:color w:val="auto"/>
          <w:szCs w:val="21"/>
        </w:rPr>
      </w:pPr>
      <w:bookmarkStart w:id="9" w:name="_Toc342615372"/>
      <w:r>
        <w:rPr>
          <w:rFonts w:hint="eastAsia" w:ascii="宋体" w:hAnsi="宋体" w:cs="宋体"/>
          <w:color w:val="auto"/>
          <w:szCs w:val="21"/>
        </w:rPr>
        <w:t>评标是招标工作的重要环节，评标工作在评委会内独立进行。</w:t>
      </w:r>
    </w:p>
    <w:p w14:paraId="3B627113">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评委会将遵照规定的评标方法，公正、平等地对待所有供应商。</w:t>
      </w:r>
    </w:p>
    <w:p w14:paraId="2F8B84DA">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政府采购评审专家应当遵守评审工作纪律，不得泄露评审文件、评审情况和评审中获悉的商业秘密。</w:t>
      </w:r>
    </w:p>
    <w:p w14:paraId="6E12BEF7">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在开标、评标期间，供应商不得向评委询问评标情况，不得进行旨在影响评标结果的活动。否则其投标可能被拒绝。</w:t>
      </w:r>
    </w:p>
    <w:p w14:paraId="15C6AA7E">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为保证评标的公正性，开标后直至授予供应商合同，评委不得与供应商私下交换意见。</w:t>
      </w:r>
    </w:p>
    <w:p w14:paraId="5C1E4F54">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在评标工作结束后，凡与评标情况有接触的任何人不得擅自将评标情况扩散出评标人员之外。</w:t>
      </w:r>
    </w:p>
    <w:p w14:paraId="2ED707E0">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评标委员会成员在评审过程中发现供应商有行贿、提供虚假材料或者串通等违法行为的，应当及时向财政部门报告。</w:t>
      </w:r>
    </w:p>
    <w:p w14:paraId="7C58870E">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政府采购评审专家在评审过程中受到非法干预的，应当及时向财政、监察等部门举报。</w:t>
      </w:r>
    </w:p>
    <w:p w14:paraId="35F8B143">
      <w:pPr>
        <w:pStyle w:val="5"/>
        <w:numPr>
          <w:ilvl w:val="0"/>
          <w:numId w:val="4"/>
        </w:numPr>
        <w:tabs>
          <w:tab w:val="left" w:pos="405"/>
          <w:tab w:val="left" w:pos="721"/>
        </w:tabs>
        <w:spacing w:before="0" w:after="0" w:line="360" w:lineRule="auto"/>
        <w:ind w:left="0"/>
        <w:rPr>
          <w:rFonts w:ascii="宋体" w:hAnsi="宋体" w:cs="宋体"/>
          <w:sz w:val="24"/>
        </w:rPr>
      </w:pPr>
      <w:r>
        <w:rPr>
          <w:rFonts w:hint="eastAsia" w:ascii="宋体" w:hAnsi="宋体" w:cs="宋体"/>
          <w:sz w:val="24"/>
        </w:rPr>
        <w:t>授予合同</w:t>
      </w:r>
      <w:bookmarkEnd w:id="9"/>
    </w:p>
    <w:p w14:paraId="68994D1A">
      <w:pPr>
        <w:widowControl w:val="0"/>
        <w:numPr>
          <w:ilvl w:val="0"/>
          <w:numId w:val="8"/>
        </w:numPr>
        <w:tabs>
          <w:tab w:val="left" w:pos="720"/>
        </w:tabs>
        <w:spacing w:line="360" w:lineRule="auto"/>
        <w:ind w:left="720" w:hanging="720"/>
        <w:rPr>
          <w:rFonts w:ascii="宋体" w:cs="宋体"/>
          <w:b/>
          <w:color w:val="auto"/>
          <w:szCs w:val="21"/>
        </w:rPr>
      </w:pPr>
      <w:r>
        <w:rPr>
          <w:rFonts w:hint="eastAsia" w:ascii="宋体" w:hAnsi="宋体" w:cs="宋体"/>
          <w:b/>
          <w:color w:val="auto"/>
          <w:szCs w:val="21"/>
        </w:rPr>
        <w:t>中标结果的公告</w:t>
      </w:r>
    </w:p>
    <w:p w14:paraId="1C86D88F">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采购代理机构应当自评审结束当日内将评审报告送交采购人。采购人应当自收到评审报告之日起</w:t>
      </w:r>
      <w:r>
        <w:rPr>
          <w:rFonts w:ascii="宋体" w:hAnsi="宋体" w:cs="宋体"/>
          <w:color w:val="auto"/>
          <w:szCs w:val="21"/>
        </w:rPr>
        <w:t>3</w:t>
      </w:r>
      <w:r>
        <w:rPr>
          <w:rFonts w:hint="eastAsia" w:ascii="宋体" w:hAnsi="宋体" w:cs="宋体"/>
          <w:color w:val="auto"/>
          <w:szCs w:val="21"/>
        </w:rPr>
        <w:t>个工作日内在评审报告推荐的中标候选人中按顺序确定中标供应商。</w:t>
      </w:r>
    </w:p>
    <w:p w14:paraId="02CB66B5">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中标结果确定后，将在《河南省政府采购网》、《中国招标投标公共服务平台》、《社旗县公共资源交易中心》等相关网站上发布中标的公告，公告期为</w:t>
      </w:r>
      <w:r>
        <w:rPr>
          <w:rFonts w:ascii="宋体" w:hAnsi="宋体" w:cs="宋体"/>
          <w:color w:val="auto"/>
          <w:szCs w:val="21"/>
        </w:rPr>
        <w:t>1</w:t>
      </w:r>
      <w:r>
        <w:rPr>
          <w:rFonts w:hint="eastAsia" w:ascii="宋体" w:hAnsi="宋体" w:cs="宋体"/>
          <w:color w:val="auto"/>
          <w:szCs w:val="21"/>
        </w:rPr>
        <w:t>个工作日。</w:t>
      </w:r>
    </w:p>
    <w:p w14:paraId="56B072E8">
      <w:pPr>
        <w:widowControl w:val="0"/>
        <w:numPr>
          <w:ilvl w:val="0"/>
          <w:numId w:val="8"/>
        </w:numPr>
        <w:tabs>
          <w:tab w:val="left" w:pos="720"/>
        </w:tabs>
        <w:spacing w:line="360" w:lineRule="auto"/>
        <w:ind w:left="720" w:hanging="720"/>
        <w:rPr>
          <w:rFonts w:ascii="宋体" w:cs="宋体"/>
          <w:b/>
          <w:color w:val="auto"/>
          <w:szCs w:val="21"/>
        </w:rPr>
      </w:pPr>
      <w:r>
        <w:rPr>
          <w:rFonts w:hint="eastAsia" w:ascii="宋体" w:hAnsi="宋体" w:cs="宋体"/>
          <w:b/>
          <w:color w:val="auto"/>
          <w:szCs w:val="21"/>
        </w:rPr>
        <w:t>接受和拒绝任何或所有投标的权利</w:t>
      </w:r>
    </w:p>
    <w:p w14:paraId="20F0DA6F">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如出现重大变故，采购任务取消情况，采购代理机构和采购人保留因此原因在授标之前任何时候接受或拒绝任何投标、以及宣布招标无效或拒绝所有投标的权力，对受影响的供应商不承担任何责任。</w:t>
      </w:r>
    </w:p>
    <w:p w14:paraId="3086CB5D">
      <w:pPr>
        <w:widowControl w:val="0"/>
        <w:numPr>
          <w:ilvl w:val="0"/>
          <w:numId w:val="8"/>
        </w:numPr>
        <w:tabs>
          <w:tab w:val="left" w:pos="720"/>
        </w:tabs>
        <w:spacing w:line="360" w:lineRule="auto"/>
        <w:ind w:left="720" w:hanging="720"/>
        <w:rPr>
          <w:rFonts w:ascii="宋体" w:cs="宋体"/>
          <w:b/>
          <w:color w:val="auto"/>
          <w:szCs w:val="21"/>
        </w:rPr>
      </w:pPr>
      <w:r>
        <w:rPr>
          <w:rFonts w:hint="eastAsia" w:ascii="宋体" w:hAnsi="宋体" w:cs="宋体"/>
          <w:b/>
          <w:color w:val="auto"/>
          <w:szCs w:val="21"/>
        </w:rPr>
        <w:t>中标通知书</w:t>
      </w:r>
    </w:p>
    <w:p w14:paraId="07093753">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中标公告发布的同时，采购代理机构向中标人发出中标通知书；中标通知书将作为进行合同谈判和签订合同的依据，对采购人和中标供应商具有同等法律效力。</w:t>
      </w:r>
    </w:p>
    <w:p w14:paraId="149A6473">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自中标通知书发出之日起</w:t>
      </w:r>
      <w:r>
        <w:rPr>
          <w:rFonts w:ascii="宋体" w:hAnsi="宋体" w:cs="宋体"/>
          <w:color w:val="auto"/>
          <w:szCs w:val="21"/>
        </w:rPr>
        <w:t>30</w:t>
      </w:r>
      <w:r>
        <w:rPr>
          <w:rFonts w:hint="eastAsia" w:ascii="宋体" w:hAnsi="宋体" w:cs="宋体"/>
          <w:color w:val="auto"/>
          <w:szCs w:val="21"/>
        </w:rPr>
        <w:t>日内若中标人不领取中标通知书，即视为自动放弃中标资格。</w:t>
      </w:r>
    </w:p>
    <w:p w14:paraId="3634612B">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中标通知书发出后，采购人改变中标结果，或者中标供应商放弃中标，应当承担相应的法律责任。</w:t>
      </w:r>
    </w:p>
    <w:p w14:paraId="5279E10A">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中标或者成交供应商拒绝与采购人签订合同的，采购人可以按照评审报告推荐的中标或者成交候选人名单排序，确定下一候选人为中标或者成交供应商，也可以重新开展政府采购活动。</w:t>
      </w:r>
    </w:p>
    <w:p w14:paraId="2CB93E25">
      <w:pPr>
        <w:widowControl w:val="0"/>
        <w:numPr>
          <w:ilvl w:val="0"/>
          <w:numId w:val="8"/>
        </w:numPr>
        <w:tabs>
          <w:tab w:val="left" w:pos="720"/>
        </w:tabs>
        <w:spacing w:line="360" w:lineRule="auto"/>
        <w:ind w:left="720" w:hanging="720"/>
        <w:rPr>
          <w:rFonts w:ascii="宋体" w:cs="宋体"/>
          <w:b/>
          <w:color w:val="auto"/>
          <w:szCs w:val="21"/>
        </w:rPr>
      </w:pPr>
      <w:r>
        <w:rPr>
          <w:rFonts w:hint="eastAsia" w:ascii="宋体" w:hAnsi="宋体" w:cs="宋体"/>
          <w:b/>
          <w:color w:val="auto"/>
          <w:szCs w:val="21"/>
        </w:rPr>
        <w:t>签订合同</w:t>
      </w:r>
    </w:p>
    <w:p w14:paraId="01EC31F2">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b/>
          <w:bCs/>
          <w:color w:val="auto"/>
          <w:szCs w:val="21"/>
        </w:rPr>
        <w:t>采购人应当自中标通知书发出之日起</w:t>
      </w:r>
      <w:r>
        <w:rPr>
          <w:rFonts w:ascii="宋体" w:hAnsi="宋体" w:cs="宋体"/>
          <w:b/>
          <w:bCs/>
          <w:szCs w:val="21"/>
        </w:rPr>
        <w:t>5</w:t>
      </w:r>
      <w:r>
        <w:rPr>
          <w:rFonts w:hint="eastAsia" w:ascii="宋体" w:hAnsi="宋体" w:cs="宋体"/>
          <w:b/>
          <w:bCs/>
          <w:szCs w:val="21"/>
        </w:rPr>
        <w:t>个工作日内</w:t>
      </w:r>
      <w:r>
        <w:rPr>
          <w:rFonts w:hint="eastAsia" w:ascii="宋体" w:hAnsi="宋体" w:cs="宋体"/>
          <w:b/>
          <w:bCs/>
          <w:color w:val="auto"/>
          <w:szCs w:val="21"/>
        </w:rPr>
        <w:t>，按照招标文件和中标人投标文件的规定，与中标人签订书面合同。</w:t>
      </w:r>
    </w:p>
    <w:p w14:paraId="3018CDEB">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中标人应按中标通知书指定的时间、地点与采购人签订合同。</w:t>
      </w:r>
    </w:p>
    <w:p w14:paraId="10CD2EC4">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在订定合同过程中，如发现中标人以他人名义投标或者以其它方式弄虚作假，骗取中标的，采购人有权取消其中标资格，并将排名第二的中标备选人确定为中标人。</w:t>
      </w:r>
    </w:p>
    <w:p w14:paraId="2ECA7B01">
      <w:pPr>
        <w:widowControl w:val="0"/>
        <w:numPr>
          <w:ilvl w:val="0"/>
          <w:numId w:val="8"/>
        </w:numPr>
        <w:tabs>
          <w:tab w:val="left" w:pos="720"/>
        </w:tabs>
        <w:spacing w:line="360" w:lineRule="auto"/>
        <w:ind w:left="720" w:hanging="720"/>
        <w:rPr>
          <w:rFonts w:ascii="宋体" w:cs="宋体"/>
          <w:b/>
          <w:color w:val="auto"/>
          <w:szCs w:val="21"/>
        </w:rPr>
      </w:pPr>
      <w:r>
        <w:rPr>
          <w:rFonts w:hint="eastAsia" w:ascii="宋体" w:hAnsi="宋体" w:cs="宋体"/>
          <w:b/>
          <w:color w:val="auto"/>
          <w:szCs w:val="21"/>
        </w:rPr>
        <w:t>合同融资</w:t>
      </w:r>
    </w:p>
    <w:p w14:paraId="42DE766E">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合同融资：中标人在中标成交后可以持政府釆购合同向融资机构申请贷款（具体内容详见本章附件</w:t>
      </w:r>
      <w:r>
        <w:rPr>
          <w:rFonts w:ascii="宋体" w:hAnsi="宋体" w:cs="宋体"/>
          <w:color w:val="auto"/>
          <w:szCs w:val="21"/>
        </w:rPr>
        <w:t>1</w:t>
      </w:r>
      <w:r>
        <w:rPr>
          <w:rFonts w:hint="eastAsia" w:ascii="宋体" w:hAnsi="宋体" w:cs="宋体"/>
          <w:color w:val="auto"/>
          <w:szCs w:val="21"/>
        </w:rPr>
        <w:t>）。</w:t>
      </w:r>
    </w:p>
    <w:p w14:paraId="7A759FD0">
      <w:pPr>
        <w:pStyle w:val="5"/>
        <w:numPr>
          <w:ilvl w:val="0"/>
          <w:numId w:val="4"/>
        </w:numPr>
        <w:tabs>
          <w:tab w:val="left" w:pos="405"/>
          <w:tab w:val="left" w:pos="721"/>
        </w:tabs>
        <w:spacing w:before="0" w:after="0" w:line="360" w:lineRule="auto"/>
        <w:ind w:left="0"/>
        <w:rPr>
          <w:rFonts w:ascii="宋体" w:hAnsi="宋体" w:cs="宋体"/>
          <w:sz w:val="24"/>
          <w:szCs w:val="22"/>
        </w:rPr>
      </w:pPr>
      <w:r>
        <w:rPr>
          <w:rFonts w:hint="eastAsia" w:ascii="宋体" w:hAnsi="宋体" w:cs="宋体"/>
          <w:sz w:val="24"/>
          <w:szCs w:val="22"/>
        </w:rPr>
        <w:t>其它</w:t>
      </w:r>
    </w:p>
    <w:p w14:paraId="75A4E5C6">
      <w:pPr>
        <w:widowControl w:val="0"/>
        <w:numPr>
          <w:ilvl w:val="0"/>
          <w:numId w:val="8"/>
        </w:numPr>
        <w:tabs>
          <w:tab w:val="left" w:pos="720"/>
        </w:tabs>
        <w:spacing w:line="360" w:lineRule="auto"/>
        <w:ind w:left="720" w:hanging="720"/>
        <w:rPr>
          <w:rFonts w:ascii="宋体" w:cs="宋体"/>
          <w:b/>
          <w:color w:val="auto"/>
          <w:szCs w:val="21"/>
        </w:rPr>
      </w:pPr>
      <w:r>
        <w:rPr>
          <w:rFonts w:ascii="宋体" w:hAnsi="宋体" w:cs="宋体"/>
          <w:b/>
          <w:color w:val="auto"/>
          <w:szCs w:val="21"/>
        </w:rPr>
        <w:t>*</w:t>
      </w:r>
      <w:r>
        <w:rPr>
          <w:rFonts w:hint="eastAsia" w:ascii="宋体" w:hAnsi="宋体" w:cs="宋体"/>
          <w:b/>
          <w:color w:val="auto"/>
          <w:szCs w:val="21"/>
        </w:rPr>
        <w:t>付款方式：</w:t>
      </w:r>
    </w:p>
    <w:p w14:paraId="70BAABDE">
      <w:pPr>
        <w:widowControl w:val="0"/>
        <w:numPr>
          <w:ilvl w:val="1"/>
          <w:numId w:val="8"/>
        </w:numPr>
        <w:tabs>
          <w:tab w:val="left" w:pos="720"/>
          <w:tab w:val="clear" w:pos="360"/>
        </w:tabs>
        <w:spacing w:line="360" w:lineRule="auto"/>
        <w:ind w:left="720" w:hanging="720"/>
        <w:rPr>
          <w:rFonts w:ascii="宋体" w:cs="宋体"/>
          <w:bCs/>
          <w:color w:val="auto"/>
          <w:szCs w:val="21"/>
        </w:rPr>
      </w:pPr>
      <w:r>
        <w:rPr>
          <w:rFonts w:hint="eastAsia" w:ascii="宋体" w:hAnsi="宋体" w:cs="宋体"/>
          <w:bCs/>
          <w:color w:val="auto"/>
          <w:szCs w:val="21"/>
        </w:rPr>
        <w:t>具体付款比例及付款进度按双方合同约定执行。</w:t>
      </w:r>
    </w:p>
    <w:p w14:paraId="55E85994">
      <w:pPr>
        <w:widowControl w:val="0"/>
        <w:numPr>
          <w:ilvl w:val="0"/>
          <w:numId w:val="8"/>
        </w:numPr>
        <w:tabs>
          <w:tab w:val="left" w:pos="720"/>
        </w:tabs>
        <w:spacing w:line="360" w:lineRule="auto"/>
        <w:ind w:left="720" w:hanging="720"/>
        <w:rPr>
          <w:rFonts w:ascii="宋体" w:cs="宋体"/>
          <w:b/>
          <w:color w:val="auto"/>
          <w:szCs w:val="21"/>
        </w:rPr>
      </w:pPr>
      <w:r>
        <w:rPr>
          <w:rFonts w:hint="eastAsia" w:ascii="宋体" w:hAnsi="宋体" w:cs="宋体"/>
          <w:b/>
          <w:color w:val="auto"/>
          <w:szCs w:val="21"/>
        </w:rPr>
        <w:t>服务费</w:t>
      </w:r>
    </w:p>
    <w:p w14:paraId="7C562EB1">
      <w:pPr>
        <w:widowControl w:val="0"/>
        <w:numPr>
          <w:ilvl w:val="1"/>
          <w:numId w:val="8"/>
        </w:numPr>
        <w:tabs>
          <w:tab w:val="left" w:pos="720"/>
          <w:tab w:val="clear" w:pos="360"/>
        </w:tabs>
        <w:spacing w:line="360" w:lineRule="auto"/>
        <w:ind w:left="720" w:hanging="720"/>
        <w:rPr>
          <w:rFonts w:ascii="宋体" w:cs="宋体"/>
          <w:bCs/>
          <w:color w:val="auto"/>
          <w:szCs w:val="21"/>
        </w:rPr>
      </w:pPr>
      <w:r>
        <w:rPr>
          <w:rFonts w:hint="eastAsia" w:ascii="宋体" w:hAnsi="宋体" w:cs="宋体"/>
          <w:bCs/>
          <w:color w:val="auto"/>
          <w:szCs w:val="21"/>
        </w:rPr>
        <w:t>中标人在领取中标通知书时，应向采购代理机构一次性支付中标服务费。同时应按照规定向公证处缴纳公证费。</w:t>
      </w:r>
    </w:p>
    <w:p w14:paraId="773D0DA9">
      <w:pPr>
        <w:widowControl w:val="0"/>
        <w:numPr>
          <w:ilvl w:val="0"/>
          <w:numId w:val="8"/>
        </w:numPr>
        <w:tabs>
          <w:tab w:val="left" w:pos="720"/>
        </w:tabs>
        <w:spacing w:line="360" w:lineRule="auto"/>
        <w:ind w:left="720" w:hanging="720"/>
        <w:rPr>
          <w:rFonts w:ascii="宋体" w:cs="宋体"/>
          <w:b/>
          <w:color w:val="auto"/>
          <w:szCs w:val="21"/>
        </w:rPr>
      </w:pPr>
      <w:r>
        <w:rPr>
          <w:rFonts w:hint="eastAsia" w:ascii="宋体" w:hAnsi="宋体" w:cs="宋体"/>
          <w:b/>
          <w:color w:val="auto"/>
          <w:szCs w:val="21"/>
        </w:rPr>
        <w:t>质疑与答复</w:t>
      </w:r>
    </w:p>
    <w:p w14:paraId="5AFE54E1">
      <w:pPr>
        <w:widowControl w:val="0"/>
        <w:numPr>
          <w:ilvl w:val="1"/>
          <w:numId w:val="8"/>
        </w:numPr>
        <w:tabs>
          <w:tab w:val="left" w:pos="720"/>
          <w:tab w:val="clear" w:pos="360"/>
        </w:tabs>
        <w:spacing w:line="360" w:lineRule="auto"/>
        <w:ind w:left="720" w:hanging="720"/>
        <w:rPr>
          <w:rFonts w:ascii="宋体" w:cs="宋体"/>
          <w:bCs/>
          <w:color w:val="auto"/>
          <w:szCs w:val="21"/>
        </w:rPr>
      </w:pPr>
      <w:r>
        <w:rPr>
          <w:rFonts w:hint="eastAsia" w:ascii="宋体" w:hAnsi="宋体" w:cs="宋体"/>
          <w:bCs/>
          <w:color w:val="auto"/>
          <w:szCs w:val="21"/>
        </w:rPr>
        <w:t>接收质疑函的方式：各有关当事人对成交结果有异议的，可以在结果公告发布之日起七个工作日内，以书面形式同时向采购人和采购代理机构提出质疑（加盖单位公章且法定代表人签字），由法定代表人或其授权代表携带企业营业执照复印件（加盖公章）及本人身份证（原件）一并提交（邮件、传真件不予受理），并以有效质疑函接受确认日期为受理时间。逾期提交或未按要求提交的质疑函将不予受理。</w:t>
      </w:r>
    </w:p>
    <w:p w14:paraId="18B4FC8A">
      <w:pPr>
        <w:widowControl w:val="0"/>
        <w:numPr>
          <w:ilvl w:val="1"/>
          <w:numId w:val="8"/>
        </w:numPr>
        <w:tabs>
          <w:tab w:val="left" w:pos="720"/>
          <w:tab w:val="clear" w:pos="360"/>
        </w:tabs>
        <w:spacing w:line="360" w:lineRule="auto"/>
        <w:ind w:left="720" w:hanging="720"/>
        <w:rPr>
          <w:rFonts w:ascii="宋体" w:cs="宋体"/>
        </w:rPr>
      </w:pPr>
      <w:r>
        <w:rPr>
          <w:rFonts w:hint="eastAsia" w:ascii="宋体" w:hAnsi="宋体" w:cs="宋体"/>
          <w:bCs/>
          <w:color w:val="auto"/>
          <w:szCs w:val="21"/>
        </w:rPr>
        <w:t>联系部门：采购人：社旗县教育体育局，地址：社旗县红旗路中段，联系人：宋玉省，联系方式：</w:t>
      </w:r>
      <w:r>
        <w:rPr>
          <w:rFonts w:ascii="宋体" w:hAnsi="宋体" w:cs="宋体"/>
          <w:bCs/>
          <w:color w:val="auto"/>
          <w:szCs w:val="21"/>
        </w:rPr>
        <w:t>0377-67926129</w:t>
      </w:r>
      <w:r>
        <w:rPr>
          <w:rFonts w:hint="eastAsia" w:ascii="宋体" w:hAnsi="宋体" w:cs="宋体"/>
          <w:bCs/>
          <w:color w:val="auto"/>
          <w:szCs w:val="21"/>
        </w:rPr>
        <w:t>；采购代理机构：河南尧天工程管理有限公司，地址：南阳市独山大道中段，联系人：翟丰艳，电话：16638760606。</w:t>
      </w:r>
    </w:p>
    <w:p w14:paraId="79D098C1">
      <w:pPr>
        <w:widowControl w:val="0"/>
        <w:numPr>
          <w:ilvl w:val="1"/>
          <w:numId w:val="8"/>
        </w:numPr>
        <w:tabs>
          <w:tab w:val="left" w:pos="720"/>
          <w:tab w:val="clear" w:pos="360"/>
        </w:tabs>
        <w:spacing w:line="360" w:lineRule="auto"/>
        <w:ind w:left="720" w:hanging="720"/>
        <w:rPr>
          <w:rFonts w:ascii="宋体" w:cs="宋体"/>
          <w:bCs/>
          <w:color w:val="auto"/>
          <w:szCs w:val="21"/>
        </w:rPr>
      </w:pPr>
      <w:r>
        <w:rPr>
          <w:rFonts w:hint="eastAsia" w:ascii="宋体" w:hAnsi="宋体" w:cs="宋体"/>
          <w:bCs/>
          <w:color w:val="auto"/>
          <w:szCs w:val="21"/>
        </w:rPr>
        <w:t>根据《政府采购质疑和投诉办法》（中华人民共和国财政部第</w:t>
      </w:r>
      <w:r>
        <w:rPr>
          <w:rFonts w:ascii="宋体" w:hAnsi="宋体" w:cs="宋体"/>
          <w:bCs/>
          <w:color w:val="auto"/>
          <w:szCs w:val="21"/>
        </w:rPr>
        <w:t>94</w:t>
      </w:r>
      <w:r>
        <w:rPr>
          <w:rFonts w:hint="eastAsia" w:ascii="宋体" w:hAnsi="宋体" w:cs="宋体"/>
          <w:bCs/>
          <w:color w:val="auto"/>
          <w:szCs w:val="21"/>
        </w:rPr>
        <w:t>号令）的有关规定，供应商认为采购文件、采购过程、中标或者成交结果使自己的权益受到损害的，可以在知道或者应知其权益受到损害之日起</w:t>
      </w:r>
      <w:r>
        <w:rPr>
          <w:rFonts w:ascii="宋体" w:hAnsi="宋体" w:cs="宋体"/>
          <w:bCs/>
          <w:color w:val="auto"/>
          <w:szCs w:val="21"/>
        </w:rPr>
        <w:t>7</w:t>
      </w:r>
      <w:r>
        <w:rPr>
          <w:rFonts w:hint="eastAsia" w:ascii="宋体" w:hAnsi="宋体" w:cs="宋体"/>
          <w:bCs/>
          <w:color w:val="auto"/>
          <w:szCs w:val="21"/>
        </w:rPr>
        <w:t>个工作日内，以书面形式向采购人、采购代理机构提出质疑。供应商须在法定质疑期内一次性提出针对同一采购程序环节的质疑。质疑事项应具体、明确，并有必要的事实依据和法律依据。超出法定质疑期的、重复提出的、分次提出的或内容、形式不符合《政府采购质疑和投诉办法》的，采购人和采购代理机构可以拒收，质疑供应商将依法承担不利后果。</w:t>
      </w:r>
    </w:p>
    <w:p w14:paraId="0C7BDDBA">
      <w:pPr>
        <w:widowControl w:val="0"/>
        <w:numPr>
          <w:ilvl w:val="1"/>
          <w:numId w:val="8"/>
        </w:numPr>
        <w:tabs>
          <w:tab w:val="left" w:pos="720"/>
          <w:tab w:val="clear" w:pos="360"/>
        </w:tabs>
        <w:spacing w:line="360" w:lineRule="auto"/>
        <w:ind w:left="720" w:hanging="720"/>
        <w:rPr>
          <w:rFonts w:ascii="宋体" w:cs="宋体"/>
          <w:bCs/>
          <w:color w:val="auto"/>
          <w:szCs w:val="21"/>
        </w:rPr>
      </w:pPr>
      <w:r>
        <w:rPr>
          <w:rFonts w:hint="eastAsia" w:ascii="宋体" w:hAnsi="宋体" w:cs="宋体"/>
          <w:bCs/>
          <w:color w:val="auto"/>
          <w:szCs w:val="21"/>
        </w:rPr>
        <w:t>采购人和采购代理机构在收到质疑函后</w:t>
      </w:r>
      <w:r>
        <w:rPr>
          <w:rFonts w:ascii="宋体" w:hAnsi="宋体" w:cs="宋体"/>
          <w:bCs/>
          <w:color w:val="auto"/>
          <w:szCs w:val="21"/>
        </w:rPr>
        <w:t>7</w:t>
      </w:r>
      <w:r>
        <w:rPr>
          <w:rFonts w:hint="eastAsia" w:ascii="宋体" w:hAnsi="宋体" w:cs="宋体"/>
          <w:bCs/>
          <w:color w:val="auto"/>
          <w:szCs w:val="21"/>
        </w:rPr>
        <w:t>个工作日内作出答复，并以书面形式通知质疑供应商和其他有关供应商。</w:t>
      </w:r>
    </w:p>
    <w:p w14:paraId="4C0070F0">
      <w:pPr>
        <w:widowControl w:val="0"/>
        <w:numPr>
          <w:ilvl w:val="1"/>
          <w:numId w:val="8"/>
        </w:numPr>
        <w:tabs>
          <w:tab w:val="left" w:pos="720"/>
          <w:tab w:val="clear" w:pos="360"/>
        </w:tabs>
        <w:spacing w:line="360" w:lineRule="auto"/>
        <w:ind w:left="720" w:hanging="720"/>
        <w:rPr>
          <w:rFonts w:ascii="宋体" w:cs="宋体"/>
          <w:bCs/>
          <w:color w:val="auto"/>
          <w:szCs w:val="21"/>
        </w:rPr>
      </w:pPr>
      <w:r>
        <w:rPr>
          <w:rFonts w:hint="eastAsia" w:ascii="宋体" w:hAnsi="宋体" w:cs="宋体"/>
          <w:bCs/>
          <w:color w:val="auto"/>
          <w:szCs w:val="21"/>
        </w:rPr>
        <w:t>供应商应当知道在法定质疑期内一次性提出针对同一采购程序环节的质疑。</w:t>
      </w:r>
    </w:p>
    <w:p w14:paraId="603AD5A7">
      <w:pPr>
        <w:widowControl w:val="0"/>
        <w:numPr>
          <w:ilvl w:val="0"/>
          <w:numId w:val="8"/>
        </w:numPr>
        <w:tabs>
          <w:tab w:val="left" w:pos="720"/>
        </w:tabs>
        <w:spacing w:line="360" w:lineRule="auto"/>
        <w:ind w:left="720" w:hanging="720"/>
        <w:rPr>
          <w:rFonts w:ascii="宋体" w:cs="宋体"/>
          <w:b/>
          <w:color w:val="auto"/>
          <w:szCs w:val="21"/>
        </w:rPr>
      </w:pPr>
      <w:r>
        <w:rPr>
          <w:rFonts w:hint="eastAsia" w:ascii="宋体" w:hAnsi="宋体" w:cs="宋体"/>
          <w:b/>
          <w:color w:val="auto"/>
          <w:szCs w:val="21"/>
        </w:rPr>
        <w:t>法律责任</w:t>
      </w:r>
    </w:p>
    <w:p w14:paraId="57D06190">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供应商有下列情形之一的，依照政府采购法第七十七条第一款的规定追究法律责任：</w:t>
      </w:r>
    </w:p>
    <w:p w14:paraId="19579187">
      <w:pPr>
        <w:numPr>
          <w:ilvl w:val="0"/>
          <w:numId w:val="13"/>
        </w:numPr>
        <w:spacing w:line="360" w:lineRule="auto"/>
        <w:ind w:firstLine="289"/>
        <w:jc w:val="left"/>
        <w:rPr>
          <w:rFonts w:ascii="宋体" w:cs="宋体"/>
          <w:color w:val="auto"/>
          <w:szCs w:val="21"/>
        </w:rPr>
      </w:pPr>
      <w:r>
        <w:rPr>
          <w:rFonts w:hint="eastAsia" w:ascii="宋体" w:hAnsi="宋体" w:cs="宋体"/>
          <w:color w:val="auto"/>
          <w:szCs w:val="21"/>
        </w:rPr>
        <w:t>中标或者成交后无正当理由拒不与采购人签订政府采购合同；</w:t>
      </w:r>
    </w:p>
    <w:p w14:paraId="530C43FD">
      <w:pPr>
        <w:numPr>
          <w:ilvl w:val="0"/>
          <w:numId w:val="13"/>
        </w:numPr>
        <w:spacing w:line="360" w:lineRule="auto"/>
        <w:ind w:firstLine="289"/>
        <w:jc w:val="left"/>
        <w:rPr>
          <w:rFonts w:ascii="宋体" w:cs="宋体"/>
          <w:color w:val="auto"/>
          <w:szCs w:val="21"/>
        </w:rPr>
      </w:pPr>
      <w:r>
        <w:rPr>
          <w:rFonts w:hint="eastAsia" w:ascii="宋体" w:hAnsi="宋体" w:cs="宋体"/>
          <w:color w:val="auto"/>
          <w:szCs w:val="21"/>
        </w:rPr>
        <w:t>未按照招标文件确定的事项签订政府采购合同；</w:t>
      </w:r>
    </w:p>
    <w:p w14:paraId="765E2907">
      <w:pPr>
        <w:numPr>
          <w:ilvl w:val="0"/>
          <w:numId w:val="13"/>
        </w:numPr>
        <w:spacing w:line="360" w:lineRule="auto"/>
        <w:ind w:firstLine="289"/>
        <w:jc w:val="left"/>
        <w:rPr>
          <w:rFonts w:ascii="宋体" w:cs="宋体"/>
          <w:color w:val="auto"/>
          <w:szCs w:val="21"/>
        </w:rPr>
      </w:pPr>
      <w:r>
        <w:rPr>
          <w:rFonts w:hint="eastAsia" w:ascii="宋体" w:hAnsi="宋体" w:cs="宋体"/>
          <w:color w:val="auto"/>
          <w:szCs w:val="21"/>
        </w:rPr>
        <w:t>将政府采购合同转包；</w:t>
      </w:r>
    </w:p>
    <w:p w14:paraId="7F14DB02">
      <w:pPr>
        <w:numPr>
          <w:ilvl w:val="0"/>
          <w:numId w:val="13"/>
        </w:numPr>
        <w:spacing w:line="360" w:lineRule="auto"/>
        <w:ind w:firstLine="289"/>
        <w:jc w:val="left"/>
        <w:rPr>
          <w:rFonts w:ascii="宋体" w:cs="宋体"/>
          <w:color w:val="auto"/>
          <w:szCs w:val="21"/>
        </w:rPr>
      </w:pPr>
      <w:r>
        <w:rPr>
          <w:rFonts w:hint="eastAsia" w:ascii="宋体" w:hAnsi="宋体" w:cs="宋体"/>
          <w:color w:val="auto"/>
          <w:szCs w:val="21"/>
        </w:rPr>
        <w:t>提供假冒伪劣产品；</w:t>
      </w:r>
    </w:p>
    <w:p w14:paraId="76BF8463">
      <w:pPr>
        <w:numPr>
          <w:ilvl w:val="0"/>
          <w:numId w:val="13"/>
        </w:numPr>
        <w:spacing w:line="360" w:lineRule="auto"/>
        <w:ind w:firstLine="289"/>
        <w:jc w:val="left"/>
        <w:rPr>
          <w:rFonts w:ascii="宋体" w:cs="宋体"/>
          <w:color w:val="auto"/>
          <w:szCs w:val="21"/>
        </w:rPr>
      </w:pPr>
      <w:r>
        <w:rPr>
          <w:rFonts w:hint="eastAsia" w:ascii="宋体" w:hAnsi="宋体" w:cs="宋体"/>
          <w:color w:val="auto"/>
          <w:szCs w:val="21"/>
        </w:rPr>
        <w:t>擅自变更、中止或者终止政府采购合同。</w:t>
      </w:r>
    </w:p>
    <w:p w14:paraId="3A78785D">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供应商有</w:t>
      </w:r>
      <w:r>
        <w:rPr>
          <w:rFonts w:ascii="宋体" w:hAnsi="宋体" w:cs="宋体"/>
          <w:color w:val="auto"/>
          <w:szCs w:val="21"/>
        </w:rPr>
        <w:t>44.1</w:t>
      </w:r>
      <w:r>
        <w:rPr>
          <w:rFonts w:hint="eastAsia" w:ascii="宋体" w:hAnsi="宋体" w:cs="宋体"/>
          <w:color w:val="auto"/>
          <w:szCs w:val="21"/>
        </w:rPr>
        <w:t>项规定情形的，中标、成交无效。</w:t>
      </w:r>
    </w:p>
    <w:p w14:paraId="2299AB9E">
      <w:pPr>
        <w:widowControl w:val="0"/>
        <w:numPr>
          <w:ilvl w:val="1"/>
          <w:numId w:val="8"/>
        </w:numPr>
        <w:tabs>
          <w:tab w:val="left" w:pos="720"/>
          <w:tab w:val="clear" w:pos="360"/>
        </w:tabs>
        <w:spacing w:line="360" w:lineRule="auto"/>
        <w:ind w:left="720" w:hanging="720"/>
        <w:rPr>
          <w:rFonts w:ascii="宋体" w:cs="宋体"/>
          <w:color w:val="auto"/>
          <w:szCs w:val="21"/>
        </w:rPr>
      </w:pPr>
      <w:r>
        <w:rPr>
          <w:rFonts w:hint="eastAsia" w:ascii="宋体" w:hAnsi="宋体" w:cs="宋体"/>
          <w:color w:val="auto"/>
          <w:szCs w:val="21"/>
        </w:rPr>
        <w:t>若供应商在评审阶段资格发生变化的应按规定及时通知采购人及采购代理机构。因供应商未依照有关规定及时通知采购人和采购代理机构的，采购人及采购代理机构有权上报监督部门对其处罚并列入不良行为记录名单，同时其中标、成交无效。</w:t>
      </w:r>
    </w:p>
    <w:p w14:paraId="04D97BEF">
      <w:pPr>
        <w:rPr>
          <w:rFonts w:ascii="宋体" w:cs="宋体"/>
          <w:b/>
        </w:rPr>
      </w:pPr>
    </w:p>
    <w:p w14:paraId="36F50D48">
      <w:pPr>
        <w:rPr>
          <w:rFonts w:ascii="宋体" w:cs="宋体"/>
          <w:b/>
        </w:rPr>
      </w:pPr>
    </w:p>
    <w:p w14:paraId="33B981E5">
      <w:pPr>
        <w:rPr>
          <w:rFonts w:ascii="宋体" w:cs="宋体"/>
          <w:b/>
        </w:rPr>
      </w:pPr>
    </w:p>
    <w:p w14:paraId="4E281585">
      <w:pPr>
        <w:rPr>
          <w:rFonts w:ascii="宋体" w:cs="宋体"/>
          <w:b/>
        </w:rPr>
      </w:pPr>
    </w:p>
    <w:p w14:paraId="522DC1E6">
      <w:pPr>
        <w:rPr>
          <w:rFonts w:ascii="宋体" w:cs="宋体"/>
          <w:b/>
        </w:rPr>
      </w:pPr>
    </w:p>
    <w:p w14:paraId="7D64EC7A">
      <w:pPr>
        <w:rPr>
          <w:rFonts w:ascii="宋体" w:cs="宋体"/>
          <w:b/>
        </w:rPr>
      </w:pPr>
    </w:p>
    <w:p w14:paraId="7FF6923C">
      <w:pPr>
        <w:pStyle w:val="2"/>
      </w:pPr>
    </w:p>
    <w:p w14:paraId="0B77710C">
      <w:pPr>
        <w:rPr>
          <w:rFonts w:ascii="宋体" w:cs="宋体"/>
          <w:b/>
        </w:rPr>
      </w:pPr>
    </w:p>
    <w:p w14:paraId="7F5DE1C0">
      <w:pPr>
        <w:rPr>
          <w:rFonts w:ascii="宋体" w:cs="宋体"/>
          <w:b/>
        </w:rPr>
      </w:pPr>
    </w:p>
    <w:p w14:paraId="0C439CF0">
      <w:pPr>
        <w:rPr>
          <w:rFonts w:ascii="宋体" w:cs="宋体"/>
          <w:b/>
        </w:rPr>
      </w:pPr>
    </w:p>
    <w:p w14:paraId="09F49276">
      <w:pPr>
        <w:rPr>
          <w:rFonts w:ascii="宋体" w:cs="宋体"/>
          <w:b/>
        </w:rPr>
      </w:pPr>
      <w:r>
        <w:rPr>
          <w:rFonts w:hint="eastAsia" w:ascii="宋体" w:hAnsi="宋体" w:cs="宋体"/>
          <w:b/>
        </w:rPr>
        <w:t>附件</w:t>
      </w:r>
      <w:r>
        <w:rPr>
          <w:rFonts w:ascii="宋体" w:hAnsi="宋体" w:cs="宋体"/>
          <w:b/>
        </w:rPr>
        <w:t>1</w:t>
      </w:r>
    </w:p>
    <w:p w14:paraId="506B1FCD">
      <w:pPr>
        <w:pStyle w:val="107"/>
        <w:keepNext/>
        <w:keepLines/>
        <w:shd w:val="clear" w:color="auto" w:fill="auto"/>
        <w:spacing w:before="0" w:after="430" w:line="440" w:lineRule="exact"/>
        <w:ind w:left="40"/>
        <w:jc w:val="center"/>
        <w:outlineLvl w:val="9"/>
        <w:rPr>
          <w:rFonts w:ascii="宋体" w:hAnsi="宋体" w:eastAsia="宋体" w:cs="宋体"/>
          <w:b/>
          <w:sz w:val="24"/>
          <w:szCs w:val="24"/>
        </w:rPr>
      </w:pPr>
      <w:r>
        <w:rPr>
          <w:rFonts w:hint="eastAsia" w:ascii="宋体" w:hAnsi="宋体" w:eastAsia="宋体" w:cs="宋体"/>
          <w:b/>
          <w:color w:val="000000"/>
          <w:sz w:val="24"/>
          <w:szCs w:val="24"/>
          <w:lang w:val="zh-CN"/>
        </w:rPr>
        <w:t>河南省政府采购合同融资政策告知函</w:t>
      </w:r>
    </w:p>
    <w:p w14:paraId="66604E2B">
      <w:pPr>
        <w:pStyle w:val="108"/>
        <w:shd w:val="clear" w:color="auto" w:fill="auto"/>
        <w:spacing w:before="0" w:after="0" w:line="600" w:lineRule="exact"/>
        <w:jc w:val="both"/>
        <w:rPr>
          <w:rFonts w:ascii="宋体" w:hAnsi="宋体" w:eastAsia="宋体" w:cs="宋体"/>
          <w:sz w:val="21"/>
          <w:szCs w:val="21"/>
        </w:rPr>
      </w:pPr>
      <w:r>
        <w:rPr>
          <w:rFonts w:hint="eastAsia" w:ascii="宋体" w:hAnsi="宋体" w:eastAsia="宋体" w:cs="宋体"/>
          <w:color w:val="000000"/>
          <w:sz w:val="21"/>
          <w:szCs w:val="21"/>
          <w:lang w:val="zh-CN"/>
        </w:rPr>
        <w:t>各供应商：</w:t>
      </w:r>
    </w:p>
    <w:p w14:paraId="258478D3">
      <w:pPr>
        <w:pStyle w:val="108"/>
        <w:shd w:val="clear" w:color="auto" w:fill="auto"/>
        <w:spacing w:before="0" w:after="0" w:line="600" w:lineRule="exact"/>
        <w:ind w:left="220" w:firstLine="460"/>
        <w:jc w:val="left"/>
        <w:rPr>
          <w:rFonts w:ascii="宋体" w:hAnsi="宋体" w:eastAsia="宋体" w:cs="宋体"/>
          <w:sz w:val="21"/>
          <w:szCs w:val="21"/>
        </w:rPr>
      </w:pPr>
      <w:r>
        <w:rPr>
          <w:rFonts w:hint="eastAsia" w:ascii="宋体" w:hAnsi="宋体" w:eastAsia="宋体" w:cs="宋体"/>
          <w:color w:val="000000"/>
          <w:sz w:val="21"/>
          <w:szCs w:val="21"/>
          <w:lang w:val="zh-CN"/>
        </w:rPr>
        <w:t>欢迎贵公司参与河南省政府釆购活动！</w:t>
      </w:r>
    </w:p>
    <w:p w14:paraId="35E39AE7">
      <w:pPr>
        <w:pStyle w:val="108"/>
        <w:shd w:val="clear" w:color="auto" w:fill="auto"/>
        <w:spacing w:before="0" w:after="0" w:line="600" w:lineRule="exact"/>
        <w:ind w:firstLine="680"/>
        <w:jc w:val="both"/>
        <w:rPr>
          <w:rFonts w:ascii="宋体" w:hAnsi="宋体" w:eastAsia="宋体" w:cs="宋体"/>
          <w:sz w:val="21"/>
          <w:szCs w:val="21"/>
        </w:rPr>
      </w:pPr>
      <w:r>
        <w:rPr>
          <w:rFonts w:hint="eastAsia" w:ascii="宋体" w:hAnsi="宋体" w:eastAsia="宋体" w:cs="宋体"/>
          <w:color w:val="000000"/>
          <w:sz w:val="21"/>
          <w:szCs w:val="21"/>
          <w:lang w:val="zh-CN"/>
        </w:rPr>
        <w:t>政府釆购合同融资是河南省财政厅支持中小微企业发展，针对参与政府釆购活动的供应商融资难、融资贵问题推出的一项融资政策。贵公司若成为本次政府釆购项目的中标成交供应商，可持政府釆购合同向金融机构申请贷款，无需抵押、担保</w:t>
      </w:r>
      <w:r>
        <w:rPr>
          <w:rFonts w:ascii="宋体" w:hAnsi="宋体" w:eastAsia="宋体" w:cs="宋体"/>
          <w:color w:val="000000"/>
          <w:sz w:val="21"/>
          <w:szCs w:val="21"/>
          <w:lang w:val="zh-CN"/>
        </w:rPr>
        <w:t xml:space="preserve">, </w:t>
      </w:r>
      <w:r>
        <w:rPr>
          <w:rFonts w:hint="eastAsia" w:ascii="宋体" w:hAnsi="宋体" w:eastAsia="宋体" w:cs="宋体"/>
          <w:color w:val="000000"/>
          <w:sz w:val="21"/>
          <w:szCs w:val="21"/>
          <w:lang w:val="zh-CN"/>
        </w:rPr>
        <w:t>融资机构将根据《河南省政府釆购合同融资工作实施方案》（豫财购〔</w:t>
      </w:r>
      <w:r>
        <w:rPr>
          <w:rFonts w:ascii="宋体" w:hAnsi="宋体" w:eastAsia="宋体" w:cs="宋体"/>
          <w:color w:val="000000"/>
          <w:sz w:val="21"/>
          <w:szCs w:val="21"/>
          <w:lang w:val="zh-CN"/>
        </w:rPr>
        <w:t>2017</w:t>
      </w:r>
      <w:r>
        <w:rPr>
          <w:rFonts w:hint="eastAsia" w:ascii="宋体" w:hAnsi="宋体" w:eastAsia="宋体" w:cs="宋体"/>
          <w:color w:val="000000"/>
          <w:sz w:val="21"/>
          <w:szCs w:val="21"/>
          <w:lang w:val="zh-CN"/>
        </w:rPr>
        <w:t>〕</w:t>
      </w:r>
      <w:r>
        <w:rPr>
          <w:rFonts w:ascii="宋体" w:hAnsi="宋体" w:eastAsia="宋体" w:cs="宋体"/>
          <w:color w:val="000000"/>
          <w:sz w:val="21"/>
          <w:szCs w:val="21"/>
          <w:lang w:val="zh-CN"/>
        </w:rPr>
        <w:t>10</w:t>
      </w:r>
      <w:r>
        <w:rPr>
          <w:rFonts w:hint="eastAsia" w:ascii="宋体" w:hAnsi="宋体" w:eastAsia="宋体" w:cs="宋体"/>
          <w:color w:val="000000"/>
          <w:sz w:val="21"/>
          <w:szCs w:val="21"/>
          <w:lang w:val="zh-CN"/>
        </w:rPr>
        <w:t>号</w:t>
      </w:r>
      <w:r>
        <w:rPr>
          <w:rFonts w:hint="eastAsia" w:ascii="宋体" w:hAnsi="宋体" w:eastAsia="宋体" w:cs="宋体"/>
          <w:color w:val="000000"/>
          <w:sz w:val="21"/>
          <w:szCs w:val="21"/>
        </w:rPr>
        <w:t>），</w:t>
      </w:r>
      <w:r>
        <w:rPr>
          <w:rFonts w:hint="eastAsia" w:ascii="宋体" w:hAnsi="宋体" w:eastAsia="宋体" w:cs="宋体"/>
          <w:color w:val="000000"/>
          <w:sz w:val="21"/>
          <w:szCs w:val="21"/>
          <w:lang w:val="zh-CN"/>
        </w:rPr>
        <w:t>按照双方自愿的原则提供便捷、优惠的贷款服务。</w:t>
      </w:r>
    </w:p>
    <w:p w14:paraId="3F120AF6">
      <w:pPr>
        <w:pStyle w:val="108"/>
        <w:shd w:val="clear" w:color="auto" w:fill="auto"/>
        <w:spacing w:before="0" w:after="4200" w:line="600" w:lineRule="exact"/>
        <w:ind w:left="220" w:firstLine="460"/>
        <w:jc w:val="left"/>
        <w:rPr>
          <w:rFonts w:ascii="宋体" w:hAnsi="宋体" w:eastAsia="宋体" w:cs="宋体"/>
          <w:color w:val="000000"/>
          <w:sz w:val="21"/>
          <w:szCs w:val="21"/>
          <w:lang w:val="zh-CN"/>
        </w:rPr>
      </w:pPr>
      <w:r>
        <w:rPr>
          <w:rFonts w:hint="eastAsia" w:ascii="宋体" w:hAnsi="宋体" w:eastAsia="宋体" w:cs="宋体"/>
          <w:color w:val="000000"/>
          <w:sz w:val="21"/>
          <w:szCs w:val="21"/>
          <w:lang w:val="zh-CN"/>
        </w:rPr>
        <w:t>贷款渠道和提供贷款的金融机构，可在河南省政府釆购网“河南省政府釆购合同融资平台”查询联系。</w:t>
      </w:r>
    </w:p>
    <w:p w14:paraId="6C030632">
      <w:pPr>
        <w:spacing w:line="400" w:lineRule="exact"/>
        <w:rPr>
          <w:rFonts w:ascii="宋体" w:cs="宋体"/>
          <w:color w:val="auto"/>
          <w:sz w:val="24"/>
        </w:rPr>
      </w:pPr>
    </w:p>
    <w:p w14:paraId="640506F2">
      <w:pPr>
        <w:spacing w:line="400" w:lineRule="exact"/>
        <w:ind w:firstLine="360" w:firstLineChars="150"/>
        <w:rPr>
          <w:rFonts w:ascii="宋体" w:cs="宋体"/>
          <w:color w:val="auto"/>
          <w:sz w:val="24"/>
        </w:rPr>
      </w:pPr>
    </w:p>
    <w:p w14:paraId="7A83DE25">
      <w:pPr>
        <w:spacing w:line="400" w:lineRule="exact"/>
        <w:ind w:firstLine="360" w:firstLineChars="150"/>
        <w:rPr>
          <w:rFonts w:ascii="宋体" w:cs="宋体"/>
          <w:color w:val="auto"/>
          <w:sz w:val="24"/>
        </w:rPr>
      </w:pPr>
    </w:p>
    <w:p w14:paraId="7E796522">
      <w:pPr>
        <w:spacing w:line="400" w:lineRule="exact"/>
        <w:ind w:firstLine="360" w:firstLineChars="150"/>
        <w:rPr>
          <w:rFonts w:ascii="宋体" w:cs="宋体"/>
          <w:color w:val="auto"/>
          <w:sz w:val="24"/>
        </w:rPr>
      </w:pPr>
    </w:p>
    <w:p w14:paraId="60979C03">
      <w:pPr>
        <w:spacing w:line="400" w:lineRule="exact"/>
        <w:ind w:firstLine="360" w:firstLineChars="150"/>
        <w:rPr>
          <w:rFonts w:ascii="宋体" w:cs="宋体"/>
          <w:color w:val="auto"/>
          <w:sz w:val="24"/>
        </w:rPr>
      </w:pPr>
    </w:p>
    <w:p w14:paraId="5BF46239">
      <w:pPr>
        <w:spacing w:line="400" w:lineRule="exact"/>
        <w:ind w:firstLine="360" w:firstLineChars="150"/>
        <w:rPr>
          <w:rFonts w:ascii="宋体" w:cs="宋体"/>
          <w:color w:val="auto"/>
          <w:sz w:val="24"/>
        </w:rPr>
      </w:pPr>
    </w:p>
    <w:p w14:paraId="6B92E4F3">
      <w:pPr>
        <w:pStyle w:val="25"/>
        <w:rPr>
          <w:rFonts w:ascii="宋体" w:cs="宋体"/>
          <w:sz w:val="30"/>
          <w:szCs w:val="30"/>
        </w:rPr>
      </w:pPr>
      <w:r>
        <w:rPr>
          <w:rFonts w:ascii="宋体" w:cs="宋体"/>
        </w:rPr>
        <w:br w:type="page"/>
      </w:r>
      <w:bookmarkStart w:id="10" w:name="_Toc317255549"/>
      <w:bookmarkStart w:id="11" w:name="_Toc342615445"/>
      <w:r>
        <w:rPr>
          <w:rFonts w:hint="eastAsia" w:ascii="宋体" w:hAnsi="宋体" w:cs="宋体"/>
        </w:rPr>
        <w:t>第四章</w:t>
      </w:r>
      <w:r>
        <w:rPr>
          <w:rFonts w:hint="eastAsia" w:ascii="宋体" w:hAnsi="宋体" w:cs="宋体"/>
          <w:sz w:val="30"/>
          <w:szCs w:val="30"/>
        </w:rPr>
        <w:t>合同格式</w:t>
      </w:r>
      <w:bookmarkEnd w:id="10"/>
      <w:bookmarkEnd w:id="11"/>
      <w:r>
        <w:rPr>
          <w:rFonts w:hint="eastAsia" w:ascii="宋体" w:hAnsi="宋体" w:cs="宋体"/>
          <w:sz w:val="30"/>
          <w:szCs w:val="30"/>
        </w:rPr>
        <w:t>（仅供参考）</w:t>
      </w:r>
    </w:p>
    <w:p w14:paraId="02C0651A">
      <w:pPr>
        <w:spacing w:line="360" w:lineRule="auto"/>
      </w:pPr>
      <w:bookmarkStart w:id="12" w:name="_Toc342615447"/>
      <w:r>
        <w:rPr>
          <w:rFonts w:hint="eastAsia"/>
        </w:rPr>
        <w:t>甲方（需方）：</w:t>
      </w:r>
    </w:p>
    <w:p w14:paraId="163DE0F2">
      <w:pPr>
        <w:spacing w:line="360" w:lineRule="auto"/>
      </w:pPr>
      <w:r>
        <w:rPr>
          <w:rFonts w:hint="eastAsia"/>
        </w:rPr>
        <w:t>乙方（供方）：</w:t>
      </w:r>
    </w:p>
    <w:p w14:paraId="73321DBB">
      <w:pPr>
        <w:spacing w:line="360" w:lineRule="auto"/>
      </w:pPr>
      <w:r>
        <w:rPr>
          <w:rFonts w:hint="eastAsia"/>
        </w:rPr>
        <w:t>采购编号：</w:t>
      </w:r>
    </w:p>
    <w:p w14:paraId="6CC50DC4">
      <w:pPr>
        <w:spacing w:line="360" w:lineRule="auto"/>
        <w:ind w:firstLine="424" w:firstLineChars="202"/>
        <w:rPr>
          <w:rFonts w:ascii="宋体" w:cs="宋体"/>
          <w:szCs w:val="21"/>
        </w:rPr>
      </w:pPr>
      <w:r>
        <w:rPr>
          <w:rFonts w:hint="eastAsia" w:ascii="宋体" w:hAnsi="宋体" w:cs="宋体"/>
          <w:color w:val="auto"/>
          <w:szCs w:val="21"/>
        </w:rPr>
        <w:t>为</w:t>
      </w:r>
      <w:r>
        <w:rPr>
          <w:rFonts w:hint="eastAsia" w:ascii="宋体" w:hAnsi="宋体" w:cs="宋体"/>
          <w:szCs w:val="21"/>
        </w:rPr>
        <w:t>全面改善我县农村义务教育阶段学生的营养状况，结合我县学生营养改善计划的实际需要，社旗县教育体育局受县政府委托，通过公开招标方式，确定乙方承接（项目名称），双方本着平等、自愿、守信的原则，经协商一致，特签订本合同。甲乙双方将共同遵守、执行下列之条款。</w:t>
      </w:r>
    </w:p>
    <w:p w14:paraId="2C6F259E">
      <w:pPr>
        <w:spacing w:line="360" w:lineRule="auto"/>
        <w:rPr>
          <w:rFonts w:ascii="宋体" w:cs="宋体"/>
          <w:color w:val="FF0000"/>
          <w:szCs w:val="21"/>
        </w:rPr>
      </w:pPr>
      <w:r>
        <w:rPr>
          <w:rFonts w:hint="eastAsia" w:ascii="宋体" w:hAnsi="宋体" w:cs="宋体"/>
          <w:b/>
          <w:bCs/>
          <w:szCs w:val="21"/>
        </w:rPr>
        <w:t>一、本合同实施依据</w:t>
      </w:r>
    </w:p>
    <w:p w14:paraId="65CE025B">
      <w:pPr>
        <w:spacing w:line="360" w:lineRule="auto"/>
        <w:ind w:firstLine="424" w:firstLineChars="202"/>
        <w:rPr>
          <w:rFonts w:ascii="宋体" w:cs="宋体"/>
          <w:szCs w:val="21"/>
        </w:rPr>
      </w:pPr>
      <w:r>
        <w:rPr>
          <w:rFonts w:hint="eastAsia" w:ascii="宋体" w:hAnsi="宋体" w:cs="宋体"/>
          <w:szCs w:val="21"/>
        </w:rPr>
        <w:t>1、《农村义务教育学生营养改善计划实施办法》（教财【2022】2号）</w:t>
      </w:r>
      <w:r>
        <w:rPr>
          <w:rFonts w:hint="eastAsia" w:ascii="宋体" w:hAnsi="宋体" w:cs="宋体"/>
          <w:color w:val="auto"/>
          <w:szCs w:val="21"/>
        </w:rPr>
        <w:t>；</w:t>
      </w:r>
    </w:p>
    <w:p w14:paraId="37A01350">
      <w:pPr>
        <w:spacing w:line="360" w:lineRule="auto"/>
        <w:ind w:firstLine="424" w:firstLineChars="202"/>
        <w:rPr>
          <w:rFonts w:ascii="宋体" w:cs="宋体"/>
          <w:szCs w:val="21"/>
        </w:rPr>
      </w:pPr>
      <w:r>
        <w:rPr>
          <w:rFonts w:hint="eastAsia" w:ascii="宋体" w:hAnsi="宋体" w:cs="宋体"/>
          <w:szCs w:val="21"/>
        </w:rPr>
        <w:t>2、《中华人民共和国合同法》、</w:t>
      </w:r>
      <w:r>
        <w:rPr>
          <w:rFonts w:hint="eastAsia"/>
          <w:color w:val="auto"/>
        </w:rPr>
        <w:t>《中华人民共和国食品安全法》《学校食品安全与营养健康管理规定》和</w:t>
      </w:r>
      <w:r>
        <w:rPr>
          <w:rFonts w:hint="eastAsia" w:ascii="宋体" w:hAnsi="宋体" w:cs="宋体"/>
          <w:szCs w:val="21"/>
        </w:rPr>
        <w:t>有关法律行政法规；</w:t>
      </w:r>
    </w:p>
    <w:p w14:paraId="56E76526">
      <w:pPr>
        <w:spacing w:line="360" w:lineRule="auto"/>
        <w:ind w:firstLine="424" w:firstLineChars="202"/>
        <w:rPr>
          <w:rFonts w:ascii="宋体" w:cs="宋体"/>
          <w:szCs w:val="21"/>
        </w:rPr>
      </w:pPr>
      <w:r>
        <w:rPr>
          <w:rFonts w:hint="eastAsia" w:ascii="宋体" w:hAnsi="宋体" w:cs="宋体"/>
          <w:szCs w:val="21"/>
        </w:rPr>
        <w:t>3、《中华人民共和国政府采购法》；</w:t>
      </w:r>
    </w:p>
    <w:p w14:paraId="1908F695">
      <w:pPr>
        <w:spacing w:line="360" w:lineRule="auto"/>
        <w:ind w:firstLine="424" w:firstLineChars="202"/>
        <w:rPr>
          <w:rFonts w:ascii="宋体" w:cs="宋体"/>
          <w:szCs w:val="21"/>
        </w:rPr>
      </w:pPr>
      <w:r>
        <w:rPr>
          <w:rFonts w:hint="eastAsia" w:ascii="宋体" w:hAnsi="宋体" w:cs="宋体"/>
          <w:szCs w:val="21"/>
        </w:rPr>
        <w:t>4、本项目中标通知书、采购文件、乙方投标文件等相关资料；</w:t>
      </w:r>
    </w:p>
    <w:p w14:paraId="6E934BA9">
      <w:pPr>
        <w:spacing w:line="360" w:lineRule="auto"/>
        <w:rPr>
          <w:rFonts w:ascii="宋体" w:cs="宋体"/>
          <w:b/>
          <w:bCs/>
          <w:szCs w:val="21"/>
        </w:rPr>
      </w:pPr>
      <w:r>
        <w:rPr>
          <w:rFonts w:hint="eastAsia" w:ascii="宋体" w:hAnsi="宋体" w:cs="宋体"/>
          <w:b/>
          <w:bCs/>
          <w:szCs w:val="21"/>
        </w:rPr>
        <w:t>二、供应的范围、内容及质量标准</w:t>
      </w:r>
    </w:p>
    <w:p w14:paraId="5C5231F6">
      <w:pPr>
        <w:spacing w:line="360" w:lineRule="auto"/>
        <w:ind w:firstLine="424" w:firstLineChars="202"/>
        <w:rPr>
          <w:rFonts w:ascii="宋体" w:cs="宋体"/>
          <w:szCs w:val="21"/>
        </w:rPr>
      </w:pPr>
      <w:r>
        <w:rPr>
          <w:rFonts w:ascii="宋体" w:hAnsi="宋体" w:cs="宋体"/>
          <w:szCs w:val="21"/>
        </w:rPr>
        <w:t>1</w:t>
      </w:r>
      <w:r>
        <w:rPr>
          <w:rFonts w:hint="eastAsia" w:ascii="宋体" w:hAnsi="宋体" w:cs="宋体"/>
          <w:szCs w:val="21"/>
        </w:rPr>
        <w:t>、供应的范围为；</w:t>
      </w:r>
    </w:p>
    <w:p w14:paraId="0745A1FA">
      <w:pPr>
        <w:spacing w:line="360" w:lineRule="auto"/>
        <w:ind w:firstLine="424" w:firstLineChars="202"/>
        <w:rPr>
          <w:rFonts w:ascii="宋体" w:cs="宋体"/>
          <w:szCs w:val="21"/>
        </w:rPr>
      </w:pPr>
      <w:r>
        <w:rPr>
          <w:rFonts w:ascii="宋体" w:hAnsi="宋体" w:cs="宋体"/>
          <w:szCs w:val="21"/>
        </w:rPr>
        <w:t>2</w:t>
      </w:r>
      <w:r>
        <w:rPr>
          <w:rFonts w:hint="eastAsia" w:ascii="宋体" w:hAnsi="宋体" w:cs="宋体"/>
          <w:szCs w:val="21"/>
        </w:rPr>
        <w:t>、营养食品的内容为“</w:t>
      </w:r>
      <w:r>
        <w:rPr>
          <w:rFonts w:hint="eastAsia" w:ascii="宋体" w:hAnsi="宋体" w:cs="宋体"/>
          <w:szCs w:val="21"/>
          <w:u w:val="single"/>
        </w:rPr>
        <w:t>”</w:t>
      </w:r>
      <w:r>
        <w:rPr>
          <w:rFonts w:hint="eastAsia" w:ascii="宋体" w:hAnsi="宋体" w:cs="宋体"/>
          <w:szCs w:val="21"/>
        </w:rPr>
        <w:t>；</w:t>
      </w:r>
    </w:p>
    <w:p w14:paraId="624EA1F2">
      <w:pPr>
        <w:spacing w:line="360" w:lineRule="auto"/>
        <w:ind w:firstLine="424" w:firstLineChars="202"/>
        <w:rPr>
          <w:rFonts w:ascii="宋体" w:cs="宋体"/>
          <w:szCs w:val="21"/>
        </w:rPr>
      </w:pPr>
      <w:r>
        <w:rPr>
          <w:rFonts w:ascii="宋体" w:hAnsi="宋体" w:cs="宋体"/>
          <w:szCs w:val="21"/>
        </w:rPr>
        <w:t>3</w:t>
      </w:r>
      <w:r>
        <w:rPr>
          <w:rFonts w:hint="eastAsia" w:ascii="宋体" w:hAnsi="宋体" w:cs="宋体"/>
          <w:szCs w:val="21"/>
        </w:rPr>
        <w:t>、质量标准必须符合国家相关标准和强制性规定要求；</w:t>
      </w:r>
    </w:p>
    <w:p w14:paraId="2299AD74">
      <w:pPr>
        <w:spacing w:line="360" w:lineRule="auto"/>
        <w:ind w:firstLine="424" w:firstLineChars="202"/>
        <w:jc w:val="left"/>
        <w:rPr>
          <w:rFonts w:ascii="宋体" w:cs="宋体"/>
          <w:szCs w:val="21"/>
          <w:u w:val="single"/>
        </w:rPr>
      </w:pPr>
      <w:r>
        <w:rPr>
          <w:rFonts w:ascii="宋体" w:hAnsi="宋体" w:cs="宋体"/>
          <w:szCs w:val="21"/>
        </w:rPr>
        <w:t>4</w:t>
      </w:r>
      <w:r>
        <w:rPr>
          <w:rFonts w:hint="eastAsia" w:ascii="宋体" w:hAnsi="宋体" w:cs="宋体"/>
          <w:szCs w:val="21"/>
        </w:rPr>
        <w:t>、乙方在供货期对所有供货产品进行投保产品质量保险：</w:t>
      </w:r>
      <w:r>
        <w:rPr>
          <w:rFonts w:hint="eastAsia" w:ascii="宋体" w:hAnsi="宋体" w:cs="宋体"/>
          <w:szCs w:val="21"/>
          <w:u w:val="single"/>
        </w:rPr>
        <w:t>；</w:t>
      </w:r>
    </w:p>
    <w:p w14:paraId="75197532">
      <w:pPr>
        <w:spacing w:line="360" w:lineRule="auto"/>
        <w:ind w:firstLine="424" w:firstLineChars="202"/>
        <w:rPr>
          <w:rFonts w:ascii="宋体" w:cs="宋体"/>
          <w:szCs w:val="21"/>
        </w:rPr>
      </w:pPr>
      <w:r>
        <w:rPr>
          <w:rFonts w:ascii="宋体" w:hAnsi="宋体" w:cs="宋体"/>
          <w:szCs w:val="21"/>
        </w:rPr>
        <w:t>5</w:t>
      </w:r>
      <w:r>
        <w:rPr>
          <w:rFonts w:hint="eastAsia" w:ascii="宋体" w:hAnsi="宋体" w:cs="宋体"/>
          <w:szCs w:val="21"/>
        </w:rPr>
        <w:t>、其他：</w:t>
      </w:r>
      <w:r>
        <w:rPr>
          <w:rFonts w:hint="eastAsia" w:ascii="宋体" w:hAnsi="宋体" w:cs="宋体"/>
          <w:szCs w:val="21"/>
          <w:u w:val="single"/>
        </w:rPr>
        <w:t>。</w:t>
      </w:r>
    </w:p>
    <w:p w14:paraId="2EC6420D">
      <w:pPr>
        <w:spacing w:line="360" w:lineRule="auto"/>
        <w:rPr>
          <w:rFonts w:ascii="宋体" w:cs="宋体"/>
          <w:b/>
          <w:bCs/>
          <w:szCs w:val="21"/>
        </w:rPr>
      </w:pPr>
      <w:r>
        <w:rPr>
          <w:rFonts w:hint="eastAsia" w:ascii="宋体" w:hAnsi="宋体" w:cs="宋体"/>
          <w:b/>
          <w:bCs/>
          <w:szCs w:val="21"/>
        </w:rPr>
        <w:t>三、供餐方式：</w:t>
      </w:r>
    </w:p>
    <w:p w14:paraId="5A885361">
      <w:pPr>
        <w:spacing w:line="360" w:lineRule="auto"/>
        <w:ind w:firstLine="424" w:firstLineChars="202"/>
        <w:rPr>
          <w:rFonts w:ascii="宋体" w:cs="宋体"/>
          <w:szCs w:val="21"/>
        </w:rPr>
      </w:pPr>
      <w:r>
        <w:rPr>
          <w:rFonts w:ascii="宋体" w:hAnsi="宋体" w:cs="宋体"/>
          <w:szCs w:val="21"/>
        </w:rPr>
        <w:t>1</w:t>
      </w:r>
      <w:r>
        <w:rPr>
          <w:rFonts w:hint="eastAsia" w:ascii="宋体" w:hAnsi="宋体" w:cs="宋体"/>
          <w:szCs w:val="21"/>
        </w:rPr>
        <w:t>、供餐方式：</w:t>
      </w:r>
      <w:r>
        <w:rPr>
          <w:rFonts w:hint="eastAsia" w:ascii="宋体" w:hAnsi="宋体" w:cs="宋体"/>
          <w:szCs w:val="21"/>
          <w:u w:val="single"/>
        </w:rPr>
        <w:t>；</w:t>
      </w:r>
    </w:p>
    <w:p w14:paraId="78A040AA">
      <w:pPr>
        <w:spacing w:line="360" w:lineRule="auto"/>
        <w:rPr>
          <w:rFonts w:ascii="宋体" w:cs="宋体"/>
          <w:b/>
          <w:bCs/>
          <w:szCs w:val="21"/>
        </w:rPr>
      </w:pPr>
      <w:r>
        <w:rPr>
          <w:rFonts w:hint="eastAsia" w:ascii="宋体" w:hAnsi="宋体" w:cs="宋体"/>
          <w:b/>
          <w:bCs/>
          <w:szCs w:val="21"/>
        </w:rPr>
        <w:t>四、资金结算</w:t>
      </w:r>
    </w:p>
    <w:p w14:paraId="4EEE9D47">
      <w:pPr>
        <w:spacing w:line="360" w:lineRule="auto"/>
        <w:ind w:firstLine="424" w:firstLineChars="202"/>
        <w:rPr>
          <w:rFonts w:ascii="宋体" w:cs="宋体"/>
          <w:szCs w:val="21"/>
        </w:rPr>
      </w:pPr>
      <w:r>
        <w:rPr>
          <w:rFonts w:ascii="宋体" w:hAnsi="宋体" w:cs="宋体"/>
          <w:szCs w:val="21"/>
        </w:rPr>
        <w:t>1</w:t>
      </w:r>
      <w:r>
        <w:rPr>
          <w:rFonts w:hint="eastAsia" w:ascii="宋体" w:hAnsi="宋体" w:cs="宋体"/>
          <w:szCs w:val="21"/>
        </w:rPr>
        <w:t>、按照价格核算每天费用；</w:t>
      </w:r>
    </w:p>
    <w:p w14:paraId="12F5F6EA">
      <w:pPr>
        <w:spacing w:line="360" w:lineRule="auto"/>
        <w:ind w:firstLine="424" w:firstLineChars="202"/>
        <w:rPr>
          <w:rFonts w:ascii="宋体" w:cs="宋体"/>
          <w:szCs w:val="21"/>
        </w:rPr>
      </w:pPr>
      <w:r>
        <w:rPr>
          <w:rFonts w:ascii="宋体" w:hAnsi="宋体" w:cs="宋体"/>
          <w:szCs w:val="21"/>
        </w:rPr>
        <w:t>2</w:t>
      </w:r>
      <w:r>
        <w:rPr>
          <w:rFonts w:hint="eastAsia" w:ascii="宋体" w:hAnsi="宋体" w:cs="宋体"/>
          <w:szCs w:val="21"/>
        </w:rPr>
        <w:t>、乙方提供各学校的签字接收手续，由甲方协助乙方到县财政局办理支付手续；</w:t>
      </w:r>
    </w:p>
    <w:p w14:paraId="69E2322A">
      <w:pPr>
        <w:spacing w:line="360" w:lineRule="auto"/>
        <w:ind w:firstLine="424" w:firstLineChars="202"/>
        <w:rPr>
          <w:rFonts w:ascii="宋体" w:cs="宋体"/>
          <w:szCs w:val="21"/>
        </w:rPr>
      </w:pPr>
      <w:r>
        <w:rPr>
          <w:rFonts w:ascii="宋体" w:hAnsi="宋体" w:cs="宋体"/>
          <w:szCs w:val="21"/>
        </w:rPr>
        <w:t>3</w:t>
      </w:r>
      <w:r>
        <w:rPr>
          <w:rFonts w:hint="eastAsia" w:ascii="宋体" w:hAnsi="宋体" w:cs="宋体"/>
          <w:szCs w:val="21"/>
        </w:rPr>
        <w:t>、次月月初结算上月费用（特殊情况除外）；</w:t>
      </w:r>
    </w:p>
    <w:p w14:paraId="4B0EA8AE">
      <w:pPr>
        <w:spacing w:line="360" w:lineRule="auto"/>
        <w:ind w:firstLine="424" w:firstLineChars="202"/>
        <w:rPr>
          <w:rFonts w:ascii="宋体" w:cs="宋体"/>
          <w:szCs w:val="21"/>
        </w:rPr>
      </w:pPr>
      <w:r>
        <w:rPr>
          <w:rFonts w:ascii="宋体" w:hAnsi="宋体" w:cs="宋体"/>
          <w:szCs w:val="21"/>
        </w:rPr>
        <w:t>4</w:t>
      </w:r>
      <w:r>
        <w:rPr>
          <w:rFonts w:hint="eastAsia" w:ascii="宋体" w:hAnsi="宋体" w:cs="宋体"/>
          <w:szCs w:val="21"/>
        </w:rPr>
        <w:t>、供应商将具体供餐学生人数上报采购人，采购人根据供应商上报情况对向各个学校进行核实统计，据实付款。</w:t>
      </w:r>
    </w:p>
    <w:p w14:paraId="523F6F18">
      <w:pPr>
        <w:spacing w:line="360" w:lineRule="auto"/>
        <w:rPr>
          <w:rFonts w:ascii="宋体" w:cs="宋体"/>
          <w:b/>
          <w:bCs/>
          <w:szCs w:val="21"/>
        </w:rPr>
      </w:pPr>
      <w:r>
        <w:rPr>
          <w:rFonts w:hint="eastAsia" w:ascii="宋体" w:hAnsi="宋体" w:cs="宋体"/>
          <w:b/>
          <w:bCs/>
          <w:szCs w:val="21"/>
        </w:rPr>
        <w:t>五、双方权利与义务</w:t>
      </w:r>
    </w:p>
    <w:p w14:paraId="0A1F438A">
      <w:pPr>
        <w:spacing w:line="360" w:lineRule="auto"/>
        <w:ind w:firstLine="424" w:firstLineChars="202"/>
        <w:rPr>
          <w:rFonts w:ascii="宋体" w:cs="宋体"/>
          <w:szCs w:val="21"/>
        </w:rPr>
      </w:pPr>
      <w:r>
        <w:rPr>
          <w:rFonts w:hint="eastAsia" w:ascii="宋体" w:hAnsi="宋体" w:cs="宋体"/>
          <w:szCs w:val="21"/>
        </w:rPr>
        <w:t>（一）甲方权利与义务</w:t>
      </w:r>
    </w:p>
    <w:p w14:paraId="091B0E02">
      <w:pPr>
        <w:spacing w:line="360" w:lineRule="auto"/>
        <w:ind w:firstLine="424" w:firstLineChars="202"/>
        <w:rPr>
          <w:rFonts w:ascii="宋体" w:cs="宋体"/>
          <w:szCs w:val="21"/>
        </w:rPr>
      </w:pPr>
      <w:r>
        <w:rPr>
          <w:rFonts w:ascii="宋体" w:hAnsi="宋体" w:cs="宋体"/>
          <w:szCs w:val="21"/>
        </w:rPr>
        <w:t>1</w:t>
      </w:r>
      <w:r>
        <w:rPr>
          <w:rFonts w:hint="eastAsia" w:ascii="宋体" w:hAnsi="宋体" w:cs="宋体"/>
          <w:szCs w:val="21"/>
        </w:rPr>
        <w:t>、按照《河南省人民政府关于印发河南省农村义务教育学生营养改善计划试点工作实施方案》规定，加强对乙方供应的课间加餐食品安全和配送工作进行监督和管理。</w:t>
      </w:r>
    </w:p>
    <w:p w14:paraId="388A99A6">
      <w:pPr>
        <w:spacing w:line="360" w:lineRule="auto"/>
        <w:ind w:firstLine="424" w:firstLineChars="202"/>
        <w:rPr>
          <w:rFonts w:ascii="宋体" w:cs="宋体"/>
          <w:szCs w:val="21"/>
        </w:rPr>
      </w:pPr>
      <w:r>
        <w:rPr>
          <w:rFonts w:ascii="宋体" w:hAnsi="宋体" w:cs="宋体"/>
          <w:szCs w:val="21"/>
        </w:rPr>
        <w:t>2</w:t>
      </w:r>
      <w:r>
        <w:rPr>
          <w:rFonts w:hint="eastAsia" w:ascii="宋体" w:hAnsi="宋体" w:cs="宋体"/>
          <w:szCs w:val="21"/>
        </w:rPr>
        <w:t>、协助乙方按本合同约定的时间和金额向乙方及时支付结算费用；</w:t>
      </w:r>
    </w:p>
    <w:p w14:paraId="61AC06DC">
      <w:pPr>
        <w:spacing w:line="360" w:lineRule="auto"/>
        <w:ind w:firstLine="424" w:firstLineChars="202"/>
        <w:rPr>
          <w:rFonts w:ascii="宋体" w:cs="宋体"/>
          <w:szCs w:val="21"/>
        </w:rPr>
      </w:pPr>
      <w:r>
        <w:rPr>
          <w:rFonts w:ascii="宋体" w:hAnsi="宋体" w:cs="宋体"/>
          <w:szCs w:val="21"/>
        </w:rPr>
        <w:t>3</w:t>
      </w:r>
      <w:r>
        <w:rPr>
          <w:rFonts w:hint="eastAsia" w:ascii="宋体" w:hAnsi="宋体" w:cs="宋体"/>
          <w:szCs w:val="21"/>
        </w:rPr>
        <w:t>、学校在接收到货物后将对货物的质量、规格、数量进行检验，并配合做好储存、储藏及再配发工作。如发现货物的规格，数量或者质量与合同不符，有权拒收。</w:t>
      </w:r>
    </w:p>
    <w:p w14:paraId="6AE12A51">
      <w:pPr>
        <w:spacing w:line="360" w:lineRule="auto"/>
        <w:ind w:firstLine="424" w:firstLineChars="202"/>
        <w:rPr>
          <w:rFonts w:ascii="宋体" w:cs="宋体"/>
          <w:szCs w:val="21"/>
        </w:rPr>
      </w:pPr>
      <w:r>
        <w:rPr>
          <w:rFonts w:ascii="宋体" w:hAnsi="宋体" w:cs="宋体"/>
          <w:szCs w:val="21"/>
        </w:rPr>
        <w:t>4</w:t>
      </w:r>
      <w:r>
        <w:rPr>
          <w:rFonts w:hint="eastAsia" w:ascii="宋体" w:hAnsi="宋体" w:cs="宋体"/>
          <w:szCs w:val="21"/>
        </w:rPr>
        <w:t>、督促学校及时向甲方和乙方反馈营养食品的质量、标准、配送周期等供应情况；</w:t>
      </w:r>
    </w:p>
    <w:p w14:paraId="56B02121">
      <w:pPr>
        <w:spacing w:line="360" w:lineRule="auto"/>
        <w:ind w:firstLine="424" w:firstLineChars="202"/>
        <w:rPr>
          <w:rFonts w:ascii="宋体" w:cs="宋体"/>
          <w:szCs w:val="21"/>
        </w:rPr>
      </w:pPr>
      <w:r>
        <w:rPr>
          <w:rFonts w:ascii="宋体" w:hAnsi="宋体" w:cs="宋体"/>
          <w:szCs w:val="21"/>
        </w:rPr>
        <w:t>5</w:t>
      </w:r>
      <w:r>
        <w:rPr>
          <w:rFonts w:hint="eastAsia" w:ascii="宋体" w:hAnsi="宋体" w:cs="宋体"/>
          <w:szCs w:val="21"/>
        </w:rPr>
        <w:t>、对乙方供应营养餐的卫生、质量、价格、服务态度等方面有检查监督权力</w:t>
      </w:r>
      <w:r>
        <w:rPr>
          <w:rFonts w:ascii="宋体" w:cs="宋体"/>
          <w:szCs w:val="21"/>
        </w:rPr>
        <w:t>,</w:t>
      </w:r>
      <w:r>
        <w:rPr>
          <w:rFonts w:hint="eastAsia" w:ascii="宋体" w:hAnsi="宋体" w:cs="宋体"/>
          <w:szCs w:val="21"/>
        </w:rPr>
        <w:t>乙方应服从甲方及相关职能部门管理</w:t>
      </w:r>
      <w:r>
        <w:rPr>
          <w:rFonts w:ascii="宋体" w:cs="宋体"/>
          <w:szCs w:val="21"/>
        </w:rPr>
        <w:t>,</w:t>
      </w:r>
      <w:r>
        <w:rPr>
          <w:rFonts w:hint="eastAsia" w:ascii="宋体" w:hAnsi="宋体" w:cs="宋体"/>
          <w:szCs w:val="21"/>
        </w:rPr>
        <w:t>并予以积极配合。甲方有权了解和查看乙方财务经营收支状况；</w:t>
      </w:r>
    </w:p>
    <w:p w14:paraId="58BAC6F6">
      <w:pPr>
        <w:spacing w:line="360" w:lineRule="auto"/>
        <w:ind w:firstLine="424" w:firstLineChars="202"/>
        <w:rPr>
          <w:rFonts w:ascii="宋体" w:cs="宋体"/>
          <w:szCs w:val="21"/>
        </w:rPr>
      </w:pPr>
      <w:r>
        <w:rPr>
          <w:rFonts w:ascii="宋体" w:hAnsi="宋体" w:cs="宋体"/>
          <w:szCs w:val="21"/>
        </w:rPr>
        <w:t>6</w:t>
      </w:r>
      <w:r>
        <w:rPr>
          <w:rFonts w:hint="eastAsia" w:ascii="宋体" w:hAnsi="宋体" w:cs="宋体"/>
          <w:szCs w:val="21"/>
        </w:rPr>
        <w:t>、组织有关部门每学年对供应营养餐服务进行考核评估，考核评估不合格者，限期进行整改，二</w:t>
      </w:r>
      <w:bookmarkStart w:id="13" w:name="page25"/>
      <w:bookmarkEnd w:id="13"/>
      <w:r>
        <w:rPr>
          <w:rFonts w:hint="eastAsia" w:ascii="宋体" w:hAnsi="宋体" w:cs="宋体"/>
          <w:szCs w:val="21"/>
        </w:rPr>
        <w:t>次考核评估不合格，甲方有权解除合同。（考核内容由甲方制定）</w:t>
      </w:r>
    </w:p>
    <w:p w14:paraId="00AB8E16">
      <w:pPr>
        <w:spacing w:line="360" w:lineRule="auto"/>
        <w:rPr>
          <w:rFonts w:ascii="宋体" w:cs="宋体"/>
          <w:szCs w:val="21"/>
        </w:rPr>
      </w:pPr>
      <w:r>
        <w:rPr>
          <w:rFonts w:hint="eastAsia" w:ascii="宋体" w:hAnsi="宋体" w:cs="宋体"/>
          <w:szCs w:val="21"/>
        </w:rPr>
        <w:t>（二）乙方权利与义务</w:t>
      </w:r>
    </w:p>
    <w:p w14:paraId="100D8F66">
      <w:pPr>
        <w:spacing w:line="360" w:lineRule="auto"/>
        <w:ind w:firstLine="424" w:firstLineChars="202"/>
        <w:rPr>
          <w:rFonts w:ascii="宋体" w:cs="宋体"/>
          <w:szCs w:val="21"/>
        </w:rPr>
      </w:pPr>
      <w:r>
        <w:rPr>
          <w:rFonts w:ascii="宋体" w:hAnsi="宋体" w:cs="宋体"/>
          <w:szCs w:val="21"/>
        </w:rPr>
        <w:t>1</w:t>
      </w:r>
      <w:r>
        <w:rPr>
          <w:rFonts w:hint="eastAsia" w:ascii="宋体" w:hAnsi="宋体" w:cs="宋体"/>
          <w:szCs w:val="21"/>
        </w:rPr>
        <w:t>、以为学生提供优质营养食品供应服务作为企业的经营理念和职业道德，并充分认识为学生提供营养食品所具有的公益性和社会责任，按照投标文件承诺的食品搭配方案，及时制定食品原材料生产、采购和储存，食品加工、配送、留样及食品安全事故应急预案等管理制度和预案，并在食品供应前提供给甲方；</w:t>
      </w:r>
    </w:p>
    <w:p w14:paraId="2B044A71">
      <w:pPr>
        <w:spacing w:line="360" w:lineRule="auto"/>
        <w:ind w:firstLine="424" w:firstLineChars="202"/>
        <w:rPr>
          <w:rFonts w:ascii="宋体" w:cs="宋体"/>
          <w:szCs w:val="21"/>
        </w:rPr>
      </w:pPr>
      <w:r>
        <w:rPr>
          <w:rFonts w:ascii="宋体" w:hAnsi="宋体" w:cs="宋体"/>
          <w:szCs w:val="21"/>
        </w:rPr>
        <w:t>2</w:t>
      </w:r>
      <w:r>
        <w:rPr>
          <w:rFonts w:hint="eastAsia" w:ascii="宋体" w:hAnsi="宋体" w:cs="宋体"/>
          <w:szCs w:val="21"/>
        </w:rPr>
        <w:t>、配送的食品必须是投标文件配餐方案中承诺的食品且符合国家关于学生营养餐相关规定，必须保质保量，新鲜可口，必须把食品安全和供餐安全放在第一位；</w:t>
      </w:r>
    </w:p>
    <w:p w14:paraId="71007771">
      <w:pPr>
        <w:spacing w:line="360" w:lineRule="auto"/>
        <w:ind w:firstLine="424" w:firstLineChars="202"/>
        <w:rPr>
          <w:rFonts w:ascii="宋体" w:cs="宋体"/>
          <w:szCs w:val="21"/>
        </w:rPr>
      </w:pPr>
      <w:r>
        <w:rPr>
          <w:rFonts w:ascii="宋体" w:hAnsi="宋体" w:cs="宋体"/>
          <w:szCs w:val="21"/>
        </w:rPr>
        <w:t>3</w:t>
      </w:r>
      <w:r>
        <w:rPr>
          <w:rFonts w:hint="eastAsia" w:ascii="宋体" w:hAnsi="宋体" w:cs="宋体"/>
          <w:szCs w:val="21"/>
        </w:rPr>
        <w:t>、按批次做好食品留样工作，每一次供应食品时无偿提供留样食品两份（业主从提供的食品中随机抽取）；</w:t>
      </w:r>
    </w:p>
    <w:p w14:paraId="42E545C9">
      <w:pPr>
        <w:spacing w:line="360" w:lineRule="auto"/>
        <w:ind w:firstLine="424" w:firstLineChars="202"/>
        <w:rPr>
          <w:rFonts w:ascii="宋体" w:cs="宋体"/>
          <w:szCs w:val="21"/>
        </w:rPr>
      </w:pPr>
      <w:r>
        <w:rPr>
          <w:rFonts w:ascii="宋体" w:hAnsi="宋体" w:cs="宋体"/>
          <w:szCs w:val="21"/>
        </w:rPr>
        <w:t>4</w:t>
      </w:r>
      <w:r>
        <w:rPr>
          <w:rFonts w:hint="eastAsia" w:ascii="宋体" w:hAnsi="宋体" w:cs="宋体"/>
          <w:szCs w:val="21"/>
        </w:rPr>
        <w:t>、配送营养食品所需的交通、储藏等设备、用具，必须保持清洁、卫生，经常消毒，必须使用密封装载交通工具配送；</w:t>
      </w:r>
    </w:p>
    <w:p w14:paraId="308CFDF1">
      <w:pPr>
        <w:spacing w:line="360" w:lineRule="auto"/>
        <w:ind w:firstLine="424" w:firstLineChars="202"/>
        <w:rPr>
          <w:rFonts w:ascii="宋体" w:cs="宋体"/>
          <w:szCs w:val="21"/>
        </w:rPr>
      </w:pPr>
      <w:r>
        <w:rPr>
          <w:rFonts w:ascii="宋体" w:hAnsi="宋体" w:cs="宋体"/>
          <w:szCs w:val="21"/>
        </w:rPr>
        <w:t>6</w:t>
      </w:r>
      <w:r>
        <w:rPr>
          <w:rFonts w:hint="eastAsia" w:ascii="宋体" w:hAnsi="宋体" w:cs="宋体"/>
          <w:szCs w:val="21"/>
        </w:rPr>
        <w:t>、必须将营养食品配送到合同约定的学校的指定地点；</w:t>
      </w:r>
    </w:p>
    <w:p w14:paraId="51582042">
      <w:pPr>
        <w:spacing w:line="360" w:lineRule="auto"/>
        <w:ind w:firstLine="424" w:firstLineChars="202"/>
        <w:rPr>
          <w:rFonts w:ascii="宋体" w:cs="宋体"/>
          <w:szCs w:val="21"/>
        </w:rPr>
      </w:pPr>
      <w:r>
        <w:rPr>
          <w:rFonts w:ascii="宋体" w:hAnsi="宋体" w:cs="宋体"/>
          <w:szCs w:val="21"/>
        </w:rPr>
        <w:t>7</w:t>
      </w:r>
      <w:r>
        <w:rPr>
          <w:rFonts w:hint="eastAsia" w:ascii="宋体" w:hAnsi="宋体" w:cs="宋体"/>
          <w:szCs w:val="21"/>
        </w:rPr>
        <w:t>、配合甲方做好营养食品供应的其他工作；</w:t>
      </w:r>
    </w:p>
    <w:p w14:paraId="307AA64D">
      <w:pPr>
        <w:spacing w:line="360" w:lineRule="auto"/>
        <w:ind w:firstLine="424" w:firstLineChars="202"/>
        <w:rPr>
          <w:rFonts w:ascii="宋体" w:cs="宋体"/>
          <w:szCs w:val="21"/>
        </w:rPr>
      </w:pPr>
      <w:r>
        <w:rPr>
          <w:rFonts w:ascii="宋体" w:hAnsi="宋体" w:cs="宋体"/>
          <w:szCs w:val="21"/>
        </w:rPr>
        <w:t>8</w:t>
      </w:r>
      <w:r>
        <w:rPr>
          <w:rFonts w:hint="eastAsia" w:ascii="宋体" w:hAnsi="宋体" w:cs="宋体"/>
          <w:szCs w:val="21"/>
        </w:rPr>
        <w:t>、乙方必须严格遵守《食品安全法》、《环境保护法》、《学校食堂与学生集体用餐卫生管理规定》、《消防安全法》、《学校食品安全与营养健康管理规定》及有关学生营养改善计划的相关规定。</w:t>
      </w:r>
    </w:p>
    <w:p w14:paraId="02548BB0">
      <w:pPr>
        <w:spacing w:line="360" w:lineRule="auto"/>
        <w:ind w:firstLine="424" w:firstLineChars="202"/>
        <w:rPr>
          <w:rFonts w:ascii="宋体" w:cs="宋体"/>
          <w:szCs w:val="21"/>
        </w:rPr>
      </w:pPr>
      <w:r>
        <w:rPr>
          <w:rFonts w:ascii="宋体" w:hAnsi="宋体" w:cs="宋体"/>
          <w:szCs w:val="21"/>
        </w:rPr>
        <w:t>9</w:t>
      </w:r>
      <w:r>
        <w:rPr>
          <w:rFonts w:hint="eastAsia" w:ascii="宋体" w:hAnsi="宋体" w:cs="宋体"/>
          <w:szCs w:val="21"/>
        </w:rPr>
        <w:t>、因产品质量问题发生争议，由质量监督部门或指定单位进行质量鉴定，如有质量问题，由乙方企业承担相关法律责任及全部经济损失。</w:t>
      </w:r>
    </w:p>
    <w:p w14:paraId="29BABCF6">
      <w:pPr>
        <w:spacing w:line="360" w:lineRule="auto"/>
        <w:ind w:firstLine="424" w:firstLineChars="202"/>
        <w:rPr>
          <w:rFonts w:ascii="宋体" w:cs="宋体"/>
          <w:szCs w:val="21"/>
        </w:rPr>
      </w:pPr>
      <w:r>
        <w:rPr>
          <w:rFonts w:ascii="宋体" w:hAnsi="宋体" w:cs="宋体"/>
          <w:szCs w:val="21"/>
        </w:rPr>
        <w:t>10</w:t>
      </w:r>
      <w:r>
        <w:rPr>
          <w:rFonts w:hint="eastAsia" w:ascii="宋体" w:hAnsi="宋体" w:cs="宋体"/>
          <w:szCs w:val="21"/>
        </w:rPr>
        <w:t>、乙方必须提供一切营养餐食品所必需的有效合法手续，同时接受相关职能部门的监督。</w:t>
      </w:r>
    </w:p>
    <w:p w14:paraId="2B528566">
      <w:pPr>
        <w:spacing w:line="360" w:lineRule="auto"/>
        <w:rPr>
          <w:rFonts w:ascii="宋体" w:cs="宋体"/>
          <w:b/>
          <w:bCs/>
          <w:szCs w:val="21"/>
        </w:rPr>
      </w:pPr>
      <w:bookmarkStart w:id="14" w:name="page26"/>
      <w:bookmarkEnd w:id="14"/>
      <w:r>
        <w:rPr>
          <w:rFonts w:hint="eastAsia" w:ascii="宋体" w:hAnsi="宋体" w:cs="宋体"/>
          <w:b/>
          <w:bCs/>
          <w:szCs w:val="21"/>
        </w:rPr>
        <w:t>六、双方责任</w:t>
      </w:r>
    </w:p>
    <w:p w14:paraId="3E318E28">
      <w:pPr>
        <w:spacing w:line="360" w:lineRule="auto"/>
        <w:rPr>
          <w:rFonts w:ascii="宋体" w:cs="宋体"/>
          <w:szCs w:val="21"/>
        </w:rPr>
      </w:pPr>
      <w:r>
        <w:rPr>
          <w:rFonts w:hint="eastAsia" w:ascii="宋体" w:hAnsi="宋体" w:cs="宋体"/>
          <w:szCs w:val="21"/>
        </w:rPr>
        <w:t>（一）甲方责任</w:t>
      </w:r>
    </w:p>
    <w:p w14:paraId="6EDD687C">
      <w:pPr>
        <w:spacing w:line="360" w:lineRule="auto"/>
        <w:ind w:firstLine="424" w:firstLineChars="202"/>
        <w:rPr>
          <w:rFonts w:ascii="宋体" w:cs="宋体"/>
          <w:szCs w:val="21"/>
        </w:rPr>
      </w:pPr>
      <w:r>
        <w:rPr>
          <w:rFonts w:ascii="宋体" w:hAnsi="宋体" w:cs="宋体"/>
          <w:szCs w:val="21"/>
        </w:rPr>
        <w:t>1</w:t>
      </w:r>
      <w:r>
        <w:rPr>
          <w:rFonts w:hint="eastAsia" w:ascii="宋体" w:hAnsi="宋体" w:cs="宋体"/>
          <w:szCs w:val="21"/>
        </w:rPr>
        <w:t>、甲方应当履行本合同约定的义务，承担履约责任，如有违反则应承担违约责任，赔偿给乙方造成的经济损失；</w:t>
      </w:r>
    </w:p>
    <w:p w14:paraId="38C23B97">
      <w:pPr>
        <w:spacing w:line="360" w:lineRule="auto"/>
        <w:ind w:firstLine="424" w:firstLineChars="202"/>
        <w:rPr>
          <w:rFonts w:ascii="宋体" w:cs="宋体"/>
          <w:szCs w:val="21"/>
        </w:rPr>
      </w:pPr>
      <w:r>
        <w:rPr>
          <w:rFonts w:ascii="宋体" w:hAnsi="宋体" w:cs="宋体"/>
          <w:szCs w:val="21"/>
        </w:rPr>
        <w:t>2</w:t>
      </w:r>
      <w:r>
        <w:rPr>
          <w:rFonts w:hint="eastAsia" w:ascii="宋体" w:hAnsi="宋体" w:cs="宋体"/>
          <w:szCs w:val="21"/>
        </w:rPr>
        <w:t>、甲方有责任责成学校对供餐企业供应的每一批次营养食品进行监督、检查，发现问题及时报告；</w:t>
      </w:r>
    </w:p>
    <w:p w14:paraId="410148BE">
      <w:pPr>
        <w:spacing w:line="360" w:lineRule="auto"/>
        <w:ind w:firstLine="424" w:firstLineChars="202"/>
        <w:rPr>
          <w:rFonts w:ascii="宋体" w:cs="宋体"/>
          <w:szCs w:val="21"/>
        </w:rPr>
      </w:pPr>
      <w:r>
        <w:rPr>
          <w:rFonts w:ascii="宋体" w:hAnsi="宋体" w:cs="宋体"/>
          <w:szCs w:val="21"/>
        </w:rPr>
        <w:t>3</w:t>
      </w:r>
      <w:r>
        <w:rPr>
          <w:rFonts w:hint="eastAsia" w:ascii="宋体" w:hAnsi="宋体" w:cs="宋体"/>
          <w:szCs w:val="21"/>
        </w:rPr>
        <w:t>、督促学校对乙方营养食品配送的交通、储藏等工具、用具的安全和卫生情况进行监督和管理，发现问题及时向乙方提出，并监督整改到位；</w:t>
      </w:r>
    </w:p>
    <w:p w14:paraId="3A87D48D">
      <w:pPr>
        <w:spacing w:line="360" w:lineRule="auto"/>
        <w:ind w:firstLine="424" w:firstLineChars="202"/>
        <w:rPr>
          <w:rFonts w:ascii="宋体" w:cs="宋体"/>
          <w:szCs w:val="21"/>
        </w:rPr>
      </w:pPr>
      <w:r>
        <w:rPr>
          <w:rFonts w:ascii="宋体" w:hAnsi="宋体" w:cs="宋体"/>
          <w:szCs w:val="21"/>
        </w:rPr>
        <w:t>4</w:t>
      </w:r>
      <w:r>
        <w:rPr>
          <w:rFonts w:hint="eastAsia" w:ascii="宋体" w:hAnsi="宋体" w:cs="宋体"/>
          <w:szCs w:val="21"/>
        </w:rPr>
        <w:t>、建立食品安全责任制和责任追究制，制定食品安全突发事件应急预案，杜绝食源性疾患和食物中毒事故发生。</w:t>
      </w:r>
    </w:p>
    <w:p w14:paraId="7793D558">
      <w:pPr>
        <w:spacing w:line="360" w:lineRule="auto"/>
        <w:rPr>
          <w:rFonts w:ascii="宋体" w:cs="宋体"/>
          <w:szCs w:val="21"/>
        </w:rPr>
      </w:pPr>
      <w:r>
        <w:rPr>
          <w:rFonts w:hint="eastAsia" w:ascii="宋体" w:hAnsi="宋体" w:cs="宋体"/>
          <w:szCs w:val="21"/>
        </w:rPr>
        <w:t>（二）乙方责任</w:t>
      </w:r>
    </w:p>
    <w:p w14:paraId="085E77A2">
      <w:pPr>
        <w:spacing w:line="360" w:lineRule="auto"/>
        <w:ind w:firstLine="424" w:firstLineChars="202"/>
        <w:rPr>
          <w:rFonts w:ascii="宋体" w:cs="宋体"/>
          <w:szCs w:val="21"/>
        </w:rPr>
      </w:pPr>
      <w:r>
        <w:rPr>
          <w:rFonts w:ascii="宋体" w:hAnsi="宋体" w:cs="宋体"/>
          <w:szCs w:val="21"/>
        </w:rPr>
        <w:t>1</w:t>
      </w:r>
      <w:r>
        <w:rPr>
          <w:rFonts w:hint="eastAsia" w:ascii="宋体" w:hAnsi="宋体" w:cs="宋体"/>
          <w:szCs w:val="21"/>
        </w:rPr>
        <w:t>、乙方因违反《食品安全法》、《环境保护法》、《学校食堂与学生集体用餐卫生管理规定》、《消防安全法》及有关学生营养改善计划等相关法律法规及学校有关规定给学校及师生造成损失</w:t>
      </w:r>
      <w:r>
        <w:rPr>
          <w:rFonts w:ascii="宋体" w:cs="宋体"/>
          <w:szCs w:val="21"/>
        </w:rPr>
        <w:t>,</w:t>
      </w:r>
      <w:r>
        <w:rPr>
          <w:rFonts w:hint="eastAsia" w:ascii="宋体" w:hAnsi="宋体" w:cs="宋体"/>
          <w:szCs w:val="21"/>
        </w:rPr>
        <w:t>乙方应负相关法律责任及全部经济责任。</w:t>
      </w:r>
    </w:p>
    <w:p w14:paraId="7C9FE49C">
      <w:pPr>
        <w:spacing w:line="360" w:lineRule="auto"/>
        <w:ind w:firstLine="424" w:firstLineChars="202"/>
        <w:rPr>
          <w:rFonts w:ascii="宋体" w:cs="宋体"/>
          <w:szCs w:val="21"/>
        </w:rPr>
      </w:pPr>
      <w:r>
        <w:rPr>
          <w:rFonts w:ascii="宋体" w:hAnsi="宋体" w:cs="宋体"/>
          <w:szCs w:val="21"/>
        </w:rPr>
        <w:t>2</w:t>
      </w:r>
      <w:r>
        <w:rPr>
          <w:rFonts w:hint="eastAsia" w:ascii="宋体" w:hAnsi="宋体" w:cs="宋体"/>
          <w:szCs w:val="21"/>
        </w:rPr>
        <w:t>、对供应的营养食品的质量、安全和卫生负全责，保证供应的营养食品质量达标、安全可靠、卫生清洁；</w:t>
      </w:r>
    </w:p>
    <w:p w14:paraId="0DF3D613">
      <w:pPr>
        <w:spacing w:line="360" w:lineRule="auto"/>
        <w:ind w:firstLine="424" w:firstLineChars="202"/>
        <w:rPr>
          <w:rFonts w:ascii="宋体" w:cs="宋体"/>
          <w:szCs w:val="21"/>
        </w:rPr>
      </w:pPr>
      <w:r>
        <w:rPr>
          <w:rFonts w:ascii="宋体" w:hAnsi="宋体" w:cs="宋体"/>
          <w:szCs w:val="21"/>
        </w:rPr>
        <w:t>3</w:t>
      </w:r>
      <w:r>
        <w:rPr>
          <w:rFonts w:hint="eastAsia" w:ascii="宋体" w:hAnsi="宋体" w:cs="宋体"/>
          <w:szCs w:val="21"/>
        </w:rPr>
        <w:t>、按照有关食品安全突发事件应急预案快速处理，并依法承担相应责任；</w:t>
      </w:r>
    </w:p>
    <w:p w14:paraId="3345880D">
      <w:pPr>
        <w:spacing w:line="360" w:lineRule="auto"/>
        <w:ind w:firstLine="424" w:firstLineChars="202"/>
        <w:rPr>
          <w:rFonts w:ascii="宋体" w:cs="宋体"/>
          <w:szCs w:val="21"/>
        </w:rPr>
      </w:pPr>
      <w:r>
        <w:rPr>
          <w:rFonts w:ascii="宋体" w:hAnsi="宋体" w:cs="宋体"/>
          <w:szCs w:val="21"/>
        </w:rPr>
        <w:t>4</w:t>
      </w:r>
      <w:r>
        <w:rPr>
          <w:rFonts w:hint="eastAsia" w:ascii="宋体" w:hAnsi="宋体" w:cs="宋体"/>
          <w:szCs w:val="21"/>
        </w:rPr>
        <w:t>、按投标文件的承诺按质按时配送营养食品，如有降低营养食品质量标准、延时、减量、服务态度恶劣、随意变更供应方案、严重缺失食品安全保障条件等情况，视为违约行为，情节严重的，甲方可以单方解除与乙方的合同，并追究法律责任；</w:t>
      </w:r>
    </w:p>
    <w:p w14:paraId="02566A8C">
      <w:pPr>
        <w:spacing w:line="360" w:lineRule="auto"/>
        <w:ind w:firstLine="424" w:firstLineChars="202"/>
        <w:rPr>
          <w:rFonts w:ascii="宋体" w:cs="宋体"/>
          <w:szCs w:val="21"/>
        </w:rPr>
      </w:pPr>
      <w:r>
        <w:rPr>
          <w:rFonts w:ascii="宋体" w:hAnsi="宋体" w:cs="宋体"/>
          <w:szCs w:val="21"/>
        </w:rPr>
        <w:t>5</w:t>
      </w:r>
      <w:r>
        <w:rPr>
          <w:rFonts w:hint="eastAsia" w:ascii="宋体" w:hAnsi="宋体" w:cs="宋体"/>
          <w:szCs w:val="21"/>
        </w:rPr>
        <w:t>、营养食品应打包装箱，便于运输和储藏；对配送营养食品所使用的交通工具和装载工具，必须保持安全、清洁、卫生；符合甲方对本项目配送要求；</w:t>
      </w:r>
    </w:p>
    <w:p w14:paraId="0D21DF72">
      <w:pPr>
        <w:spacing w:line="360" w:lineRule="auto"/>
        <w:ind w:firstLine="424" w:firstLineChars="202"/>
        <w:rPr>
          <w:rFonts w:ascii="宋体" w:cs="宋体"/>
          <w:szCs w:val="21"/>
        </w:rPr>
      </w:pPr>
      <w:r>
        <w:rPr>
          <w:rFonts w:ascii="宋体" w:hAnsi="宋体" w:cs="宋体"/>
          <w:szCs w:val="21"/>
        </w:rPr>
        <w:t>6</w:t>
      </w:r>
      <w:r>
        <w:rPr>
          <w:rFonts w:hint="eastAsia" w:ascii="宋体" w:hAnsi="宋体" w:cs="宋体"/>
          <w:szCs w:val="21"/>
        </w:rPr>
        <w:t>、严格执行有关饮食卫生规定，防止出现饮食事故，做好安全生产和安全防火工作，防止重大责任事故发生，否则一切责任（包括法律责任）由乙方负责，并赔偿学校的一切损失。</w:t>
      </w:r>
    </w:p>
    <w:p w14:paraId="6B05767D">
      <w:pPr>
        <w:spacing w:line="360" w:lineRule="auto"/>
        <w:ind w:firstLine="424" w:firstLineChars="202"/>
        <w:rPr>
          <w:rFonts w:ascii="宋体" w:cs="宋体"/>
          <w:szCs w:val="21"/>
        </w:rPr>
      </w:pPr>
      <w:r>
        <w:rPr>
          <w:rFonts w:ascii="宋体" w:hAnsi="宋体" w:cs="宋体"/>
          <w:szCs w:val="21"/>
        </w:rPr>
        <w:t>7</w:t>
      </w:r>
      <w:r>
        <w:rPr>
          <w:rFonts w:hint="eastAsia" w:ascii="宋体" w:hAnsi="宋体" w:cs="宋体"/>
          <w:szCs w:val="21"/>
        </w:rPr>
        <w:t>、遵守学校的作息时间，不得影响学生的学习与休息</w:t>
      </w:r>
    </w:p>
    <w:p w14:paraId="763AFA55">
      <w:pPr>
        <w:spacing w:line="360" w:lineRule="auto"/>
        <w:ind w:firstLine="424" w:firstLineChars="202"/>
        <w:rPr>
          <w:rFonts w:ascii="宋体" w:cs="宋体"/>
          <w:szCs w:val="21"/>
        </w:rPr>
      </w:pPr>
      <w:r>
        <w:rPr>
          <w:rFonts w:ascii="宋体" w:hAnsi="宋体" w:cs="宋体"/>
          <w:szCs w:val="21"/>
        </w:rPr>
        <w:t>8</w:t>
      </w:r>
      <w:r>
        <w:rPr>
          <w:rFonts w:hint="eastAsia" w:ascii="宋体" w:hAnsi="宋体" w:cs="宋体"/>
          <w:szCs w:val="21"/>
        </w:rPr>
        <w:t>、每个食堂配备一名有相当专业知识的专职卫生安全监督员，专门负责本食堂的生产过程的卫生和安全监督工作，依据有关法律和规定，进行全面监督，并接监管部门的业务指导。</w:t>
      </w:r>
    </w:p>
    <w:p w14:paraId="06DB073C">
      <w:pPr>
        <w:spacing w:line="360" w:lineRule="auto"/>
        <w:ind w:firstLine="424" w:firstLineChars="202"/>
        <w:rPr>
          <w:rFonts w:ascii="宋体" w:cs="宋体"/>
          <w:szCs w:val="21"/>
        </w:rPr>
      </w:pPr>
      <w:r>
        <w:rPr>
          <w:rFonts w:ascii="宋体" w:hAnsi="宋体" w:cs="宋体"/>
          <w:szCs w:val="21"/>
        </w:rPr>
        <w:t>9</w:t>
      </w:r>
      <w:r>
        <w:rPr>
          <w:rFonts w:hint="eastAsia" w:ascii="宋体" w:hAnsi="宋体" w:cs="宋体"/>
          <w:szCs w:val="21"/>
        </w:rPr>
        <w:t>、在所投标经营场所规定的范围内合法经营。按甲方规定的加工、生产、销售的流程进行加工、生产和销售。</w:t>
      </w:r>
    </w:p>
    <w:p w14:paraId="2AEEAE0C">
      <w:pPr>
        <w:spacing w:line="360" w:lineRule="auto"/>
        <w:ind w:firstLine="424" w:firstLineChars="202"/>
        <w:rPr>
          <w:rFonts w:ascii="宋体" w:cs="宋体"/>
          <w:szCs w:val="21"/>
        </w:rPr>
      </w:pPr>
      <w:r>
        <w:rPr>
          <w:rFonts w:ascii="宋体" w:hAnsi="宋体" w:cs="宋体"/>
          <w:szCs w:val="21"/>
        </w:rPr>
        <w:t>10</w:t>
      </w:r>
      <w:r>
        <w:rPr>
          <w:rFonts w:hint="eastAsia" w:ascii="宋体" w:hAnsi="宋体" w:cs="宋体"/>
          <w:szCs w:val="21"/>
        </w:rPr>
        <w:t>、乙方负责按照就餐人数免费提供餐具及相关设施设备。</w:t>
      </w:r>
    </w:p>
    <w:p w14:paraId="3D51A973">
      <w:pPr>
        <w:spacing w:line="360" w:lineRule="auto"/>
        <w:ind w:firstLine="424" w:firstLineChars="202"/>
        <w:rPr>
          <w:rFonts w:ascii="宋体" w:cs="宋体"/>
          <w:color w:val="auto"/>
          <w:szCs w:val="21"/>
        </w:rPr>
      </w:pPr>
      <w:r>
        <w:rPr>
          <w:rFonts w:ascii="宋体" w:hAnsi="宋体" w:cs="宋体"/>
          <w:szCs w:val="21"/>
        </w:rPr>
        <w:t>11</w:t>
      </w:r>
      <w:r>
        <w:rPr>
          <w:rFonts w:hint="eastAsia" w:ascii="宋体" w:hAnsi="宋体" w:cs="宋体"/>
          <w:szCs w:val="21"/>
        </w:rPr>
        <w:t>、禁止向学生销售烟酒、散装熟食、凉菜、药品及违禁物品，义务教育学校要</w:t>
      </w:r>
      <w:r>
        <w:rPr>
          <w:rFonts w:hint="eastAsia" w:ascii="宋体" w:hAnsi="宋体" w:cs="宋体"/>
          <w:color w:val="auto"/>
          <w:szCs w:val="21"/>
        </w:rPr>
        <w:t>禁止油炸食品、膨化食品、碳酸饮料等不健康食品出售。</w:t>
      </w:r>
    </w:p>
    <w:p w14:paraId="2D69ABC4">
      <w:pPr>
        <w:spacing w:line="360" w:lineRule="auto"/>
        <w:ind w:firstLine="424" w:firstLineChars="202"/>
        <w:rPr>
          <w:rFonts w:ascii="宋体" w:cs="宋体"/>
          <w:szCs w:val="21"/>
        </w:rPr>
      </w:pPr>
      <w:r>
        <w:rPr>
          <w:rFonts w:ascii="宋体" w:hAnsi="宋体" w:cs="宋体"/>
          <w:szCs w:val="21"/>
        </w:rPr>
        <w:t>12</w:t>
      </w:r>
      <w:r>
        <w:rPr>
          <w:rFonts w:hint="eastAsia" w:ascii="宋体" w:hAnsi="宋体" w:cs="宋体"/>
          <w:szCs w:val="21"/>
        </w:rPr>
        <w:t>、为学校提供质量可溯源的食材。</w:t>
      </w:r>
    </w:p>
    <w:p w14:paraId="41C6B186">
      <w:pPr>
        <w:spacing w:line="360" w:lineRule="auto"/>
        <w:ind w:firstLine="424" w:firstLineChars="202"/>
        <w:rPr>
          <w:rFonts w:ascii="宋体" w:cs="宋体"/>
          <w:szCs w:val="21"/>
        </w:rPr>
      </w:pPr>
      <w:r>
        <w:rPr>
          <w:rFonts w:ascii="宋体" w:hAnsi="宋体" w:cs="宋体"/>
          <w:szCs w:val="21"/>
        </w:rPr>
        <w:t>13</w:t>
      </w:r>
      <w:r>
        <w:rPr>
          <w:rFonts w:hint="eastAsia" w:ascii="宋体" w:hAnsi="宋体" w:cs="宋体"/>
          <w:szCs w:val="21"/>
        </w:rPr>
        <w:t>、未经学校事先同意</w:t>
      </w:r>
      <w:r>
        <w:rPr>
          <w:rFonts w:ascii="宋体" w:cs="宋体"/>
          <w:szCs w:val="21"/>
        </w:rPr>
        <w:t>,</w:t>
      </w:r>
      <w:r>
        <w:rPr>
          <w:rFonts w:hint="eastAsia" w:ascii="宋体" w:hAnsi="宋体" w:cs="宋体"/>
          <w:szCs w:val="21"/>
        </w:rPr>
        <w:t>乙方不得对食堂和服务部实施水、电改造、房屋装修以及结构改造。否则</w:t>
      </w:r>
      <w:r>
        <w:rPr>
          <w:rFonts w:ascii="宋体" w:cs="宋体"/>
          <w:szCs w:val="21"/>
        </w:rPr>
        <w:t>,</w:t>
      </w:r>
      <w:r>
        <w:rPr>
          <w:rFonts w:hint="eastAsia" w:ascii="宋体" w:hAnsi="宋体" w:cs="宋体"/>
          <w:szCs w:val="21"/>
        </w:rPr>
        <w:t>若发生任何意外事件</w:t>
      </w:r>
      <w:r>
        <w:rPr>
          <w:rFonts w:ascii="宋体" w:cs="宋体"/>
          <w:szCs w:val="21"/>
        </w:rPr>
        <w:t>,</w:t>
      </w:r>
      <w:r>
        <w:rPr>
          <w:rFonts w:hint="eastAsia" w:ascii="宋体" w:hAnsi="宋体" w:cs="宋体"/>
          <w:szCs w:val="21"/>
        </w:rPr>
        <w:t>其后果一律由乙方承担。厨房及餐厅内配电箱、开关、插座及灭火器由乙方指定专人负责检查，不得随意移动，灭火器使用后应及时报告更换，食堂人员应每天对其性能进行检查，用电设备等更换需报告学校后，由专人负责维修，相关设备非正常使用损坏，费用由乙方承担。</w:t>
      </w:r>
    </w:p>
    <w:p w14:paraId="383FAF5F">
      <w:pPr>
        <w:spacing w:line="360" w:lineRule="auto"/>
        <w:ind w:firstLine="424" w:firstLineChars="202"/>
        <w:rPr>
          <w:rFonts w:ascii="宋体" w:cs="宋体"/>
          <w:szCs w:val="21"/>
        </w:rPr>
      </w:pPr>
      <w:r>
        <w:rPr>
          <w:rFonts w:ascii="宋体" w:hAnsi="宋体" w:cs="宋体"/>
          <w:szCs w:val="21"/>
        </w:rPr>
        <w:t>14</w:t>
      </w:r>
      <w:r>
        <w:rPr>
          <w:rFonts w:hint="eastAsia" w:ascii="宋体" w:hAnsi="宋体" w:cs="宋体"/>
          <w:color w:val="auto"/>
          <w:szCs w:val="21"/>
        </w:rPr>
        <w:t>、</w:t>
      </w:r>
      <w:r>
        <w:rPr>
          <w:rFonts w:hint="eastAsia" w:ascii="宋体" w:hAnsi="宋体" w:cs="宋体"/>
          <w:szCs w:val="21"/>
        </w:rPr>
        <w:t>服务师生和保障师生的身体健康为宗旨</w:t>
      </w:r>
      <w:r>
        <w:rPr>
          <w:rFonts w:ascii="宋体" w:cs="宋体"/>
          <w:szCs w:val="21"/>
        </w:rPr>
        <w:t>,</w:t>
      </w:r>
      <w:r>
        <w:rPr>
          <w:rFonts w:hint="eastAsia" w:ascii="宋体" w:hAnsi="宋体" w:cs="宋体"/>
          <w:szCs w:val="21"/>
        </w:rPr>
        <w:t>严格遵守《食品卫生法》的有关规定</w:t>
      </w:r>
      <w:r>
        <w:rPr>
          <w:rFonts w:ascii="宋体" w:cs="宋体"/>
          <w:szCs w:val="21"/>
        </w:rPr>
        <w:t>,</w:t>
      </w:r>
      <w:r>
        <w:rPr>
          <w:rFonts w:hint="eastAsia" w:ascii="宋体" w:hAnsi="宋体" w:cs="宋体"/>
          <w:szCs w:val="21"/>
        </w:rPr>
        <w:t>严禁销售不合格食品，发生食物中毒事故的</w:t>
      </w:r>
      <w:r>
        <w:rPr>
          <w:rFonts w:ascii="宋体" w:cs="宋体"/>
          <w:szCs w:val="21"/>
        </w:rPr>
        <w:t>,</w:t>
      </w:r>
      <w:r>
        <w:rPr>
          <w:rFonts w:hint="eastAsia" w:ascii="宋体" w:hAnsi="宋体" w:cs="宋体"/>
          <w:szCs w:val="21"/>
        </w:rPr>
        <w:t>乙方应负经济和法律责任。</w:t>
      </w:r>
    </w:p>
    <w:p w14:paraId="31A850EE">
      <w:pPr>
        <w:spacing w:line="360" w:lineRule="auto"/>
        <w:ind w:firstLine="424" w:firstLineChars="202"/>
        <w:rPr>
          <w:rFonts w:ascii="宋体" w:cs="宋体"/>
          <w:szCs w:val="21"/>
        </w:rPr>
      </w:pPr>
      <w:r>
        <w:rPr>
          <w:rFonts w:ascii="宋体" w:hAnsi="宋体" w:cs="宋体"/>
          <w:szCs w:val="21"/>
        </w:rPr>
        <w:t>15</w:t>
      </w:r>
      <w:r>
        <w:rPr>
          <w:rFonts w:hint="eastAsia" w:ascii="宋体" w:hAnsi="宋体" w:cs="宋体"/>
          <w:szCs w:val="21"/>
        </w:rPr>
        <w:t>、严把原料和副食品的采购检验关</w:t>
      </w:r>
      <w:r>
        <w:rPr>
          <w:rFonts w:ascii="宋体" w:cs="宋体"/>
          <w:szCs w:val="21"/>
        </w:rPr>
        <w:t>,</w:t>
      </w:r>
      <w:r>
        <w:rPr>
          <w:rFonts w:hint="eastAsia" w:ascii="宋体" w:hAnsi="宋体" w:cs="宋体"/>
          <w:szCs w:val="21"/>
        </w:rPr>
        <w:t>应向供方索取卫生许可证和产品检验合格证。外购的粮油</w:t>
      </w:r>
      <w:r>
        <w:rPr>
          <w:rFonts w:hint="eastAsia" w:ascii="宋体" w:hAnsi="宋体" w:cs="宋体"/>
          <w:color w:val="auto"/>
          <w:szCs w:val="21"/>
        </w:rPr>
        <w:t>、肉类</w:t>
      </w:r>
      <w:r>
        <w:rPr>
          <w:rFonts w:hint="eastAsia" w:ascii="宋体" w:hAnsi="宋体" w:cs="宋体"/>
          <w:szCs w:val="21"/>
        </w:rPr>
        <w:t>、蔬菜类等</w:t>
      </w:r>
      <w:r>
        <w:rPr>
          <w:rFonts w:ascii="宋体" w:cs="宋体"/>
          <w:szCs w:val="21"/>
        </w:rPr>
        <w:t>,</w:t>
      </w:r>
      <w:r>
        <w:rPr>
          <w:rFonts w:hint="eastAsia" w:ascii="宋体" w:hAnsi="宋体" w:cs="宋体"/>
          <w:szCs w:val="21"/>
        </w:rPr>
        <w:t>应严格按照《食品卫生法》及有关规定</w:t>
      </w:r>
      <w:r>
        <w:rPr>
          <w:rFonts w:ascii="宋体" w:cs="宋体"/>
          <w:szCs w:val="21"/>
        </w:rPr>
        <w:t>,</w:t>
      </w:r>
      <w:r>
        <w:rPr>
          <w:rFonts w:hint="eastAsia" w:ascii="宋体" w:hAnsi="宋体" w:cs="宋体"/>
          <w:szCs w:val="21"/>
        </w:rPr>
        <w:t>符合卫生和质量要求。定型的食品</w:t>
      </w:r>
      <w:r>
        <w:rPr>
          <w:rFonts w:ascii="宋体" w:hAnsi="宋体" w:cs="宋体"/>
          <w:szCs w:val="21"/>
        </w:rPr>
        <w:t>(</w:t>
      </w:r>
      <w:r>
        <w:rPr>
          <w:rFonts w:hint="eastAsia" w:ascii="宋体" w:hAnsi="宋体" w:cs="宋体"/>
          <w:szCs w:val="21"/>
        </w:rPr>
        <w:t>商品</w:t>
      </w:r>
      <w:r>
        <w:rPr>
          <w:rFonts w:ascii="宋体" w:hAnsi="宋体" w:cs="宋体"/>
          <w:szCs w:val="21"/>
        </w:rPr>
        <w:t>)</w:t>
      </w:r>
      <w:r>
        <w:rPr>
          <w:rFonts w:hint="eastAsia" w:ascii="宋体" w:hAnsi="宋体" w:cs="宋体"/>
          <w:szCs w:val="21"/>
        </w:rPr>
        <w:t>包装应有厂名、厂址、生产日期和保质期</w:t>
      </w:r>
      <w:r>
        <w:rPr>
          <w:rFonts w:ascii="宋体" w:cs="宋体"/>
          <w:szCs w:val="21"/>
        </w:rPr>
        <w:t>,</w:t>
      </w:r>
      <w:r>
        <w:rPr>
          <w:rFonts w:hint="eastAsia" w:ascii="宋体" w:hAnsi="宋体" w:cs="宋体"/>
          <w:szCs w:val="21"/>
        </w:rPr>
        <w:t>坚决杜绝伪劣商品和“三无”食品进入学校</w:t>
      </w:r>
      <w:r>
        <w:rPr>
          <w:rFonts w:ascii="宋体" w:cs="宋体"/>
          <w:szCs w:val="21"/>
        </w:rPr>
        <w:t>,</w:t>
      </w:r>
      <w:r>
        <w:rPr>
          <w:rFonts w:hint="eastAsia" w:ascii="宋体" w:hAnsi="宋体" w:cs="宋体"/>
          <w:szCs w:val="21"/>
        </w:rPr>
        <w:t>并建立好台帐制度。</w:t>
      </w:r>
    </w:p>
    <w:p w14:paraId="19628BE3">
      <w:pPr>
        <w:spacing w:line="360" w:lineRule="auto"/>
        <w:ind w:firstLine="424" w:firstLineChars="202"/>
        <w:rPr>
          <w:rFonts w:ascii="宋体" w:cs="宋体"/>
          <w:szCs w:val="21"/>
        </w:rPr>
      </w:pPr>
      <w:r>
        <w:rPr>
          <w:rFonts w:ascii="宋体" w:hAnsi="宋体" w:cs="宋体"/>
          <w:szCs w:val="21"/>
        </w:rPr>
        <w:t>16</w:t>
      </w:r>
      <w:r>
        <w:rPr>
          <w:rFonts w:hint="eastAsia" w:ascii="宋体" w:hAnsi="宋体" w:cs="宋体"/>
          <w:szCs w:val="21"/>
        </w:rPr>
        <w:t>、食品、食品原料的采购要定人定点</w:t>
      </w:r>
      <w:r>
        <w:rPr>
          <w:rFonts w:ascii="宋体" w:cs="宋体"/>
          <w:szCs w:val="21"/>
        </w:rPr>
        <w:t>,</w:t>
      </w:r>
      <w:r>
        <w:rPr>
          <w:rFonts w:hint="eastAsia" w:ascii="宋体" w:hAnsi="宋体" w:cs="宋体"/>
          <w:szCs w:val="21"/>
        </w:rPr>
        <w:t>确保新鲜</w:t>
      </w:r>
      <w:r>
        <w:rPr>
          <w:rFonts w:ascii="宋体" w:cs="宋体"/>
          <w:szCs w:val="21"/>
        </w:rPr>
        <w:t>,</w:t>
      </w:r>
      <w:r>
        <w:rPr>
          <w:rFonts w:hint="eastAsia" w:ascii="宋体" w:hAnsi="宋体" w:cs="宋体"/>
          <w:szCs w:val="21"/>
        </w:rPr>
        <w:t>无过期变质</w:t>
      </w:r>
      <w:r>
        <w:rPr>
          <w:rFonts w:ascii="宋体" w:cs="宋体"/>
          <w:szCs w:val="21"/>
        </w:rPr>
        <w:t>,</w:t>
      </w:r>
      <w:r>
        <w:rPr>
          <w:rFonts w:hint="eastAsia" w:ascii="宋体" w:hAnsi="宋体" w:cs="宋体"/>
          <w:szCs w:val="21"/>
        </w:rPr>
        <w:t>直接入口的热食品、定形包装的食品采购要建立索证制度</w:t>
      </w:r>
      <w:r>
        <w:rPr>
          <w:rFonts w:ascii="宋体" w:hAnsi="宋体" w:cs="宋体"/>
          <w:szCs w:val="21"/>
        </w:rPr>
        <w:t>(</w:t>
      </w:r>
      <w:r>
        <w:rPr>
          <w:rFonts w:hint="eastAsia" w:ascii="宋体" w:hAnsi="宋体" w:cs="宋体"/>
          <w:szCs w:val="21"/>
        </w:rPr>
        <w:t>即向供应方索取有效的《卫生许可证》及该批次产品检验合格证的复印件。</w:t>
      </w:r>
    </w:p>
    <w:p w14:paraId="6F61C8F8">
      <w:pPr>
        <w:spacing w:line="360" w:lineRule="auto"/>
        <w:ind w:firstLine="424" w:firstLineChars="202"/>
        <w:rPr>
          <w:rFonts w:ascii="宋体" w:cs="宋体"/>
          <w:szCs w:val="21"/>
        </w:rPr>
      </w:pPr>
      <w:r>
        <w:rPr>
          <w:rFonts w:ascii="宋体" w:hAnsi="宋体" w:cs="宋体"/>
          <w:szCs w:val="21"/>
        </w:rPr>
        <w:t>17</w:t>
      </w:r>
      <w:r>
        <w:rPr>
          <w:rFonts w:hint="eastAsia" w:ascii="宋体" w:hAnsi="宋体" w:cs="宋体"/>
          <w:szCs w:val="21"/>
        </w:rPr>
        <w:t>、仓库应防蝇、防鼠、防蟑螂、防潮、通风</w:t>
      </w:r>
      <w:r>
        <w:rPr>
          <w:rFonts w:ascii="宋体" w:cs="宋体"/>
          <w:szCs w:val="21"/>
        </w:rPr>
        <w:t>,</w:t>
      </w:r>
      <w:r>
        <w:rPr>
          <w:rFonts w:hint="eastAsia" w:ascii="宋体" w:hAnsi="宋体" w:cs="宋体"/>
          <w:szCs w:val="21"/>
        </w:rPr>
        <w:t>环境要整洁</w:t>
      </w:r>
      <w:r>
        <w:rPr>
          <w:rFonts w:ascii="宋体" w:cs="宋体"/>
          <w:szCs w:val="21"/>
        </w:rPr>
        <w:t>,</w:t>
      </w:r>
      <w:r>
        <w:rPr>
          <w:rFonts w:hint="eastAsia" w:ascii="宋体" w:hAnsi="宋体" w:cs="宋体"/>
          <w:szCs w:val="21"/>
        </w:rPr>
        <w:t>布局应合理</w:t>
      </w:r>
      <w:r>
        <w:rPr>
          <w:rFonts w:ascii="宋体" w:cs="宋体"/>
          <w:szCs w:val="21"/>
        </w:rPr>
        <w:t>,</w:t>
      </w:r>
      <w:r>
        <w:rPr>
          <w:rFonts w:hint="eastAsia" w:ascii="宋体" w:hAnsi="宋体" w:cs="宋体"/>
          <w:szCs w:val="21"/>
        </w:rPr>
        <w:t>所有的食品应分类分架</w:t>
      </w:r>
      <w:r>
        <w:rPr>
          <w:rFonts w:ascii="宋体" w:cs="宋体"/>
          <w:szCs w:val="21"/>
        </w:rPr>
        <w:t>,</w:t>
      </w:r>
      <w:r>
        <w:rPr>
          <w:rFonts w:hint="eastAsia" w:ascii="宋体" w:hAnsi="宋体" w:cs="宋体"/>
          <w:szCs w:val="21"/>
        </w:rPr>
        <w:t>贴上标签</w:t>
      </w:r>
      <w:r>
        <w:rPr>
          <w:rFonts w:ascii="宋体" w:cs="宋体"/>
          <w:szCs w:val="21"/>
        </w:rPr>
        <w:t>,</w:t>
      </w:r>
      <w:r>
        <w:rPr>
          <w:rFonts w:hint="eastAsia" w:ascii="宋体" w:hAnsi="宋体" w:cs="宋体"/>
          <w:szCs w:val="21"/>
        </w:rPr>
        <w:t>隔地离墙排列存放</w:t>
      </w:r>
      <w:r>
        <w:rPr>
          <w:rFonts w:ascii="宋体" w:cs="宋体"/>
          <w:szCs w:val="21"/>
        </w:rPr>
        <w:t>,</w:t>
      </w:r>
      <w:r>
        <w:rPr>
          <w:rFonts w:hint="eastAsia" w:ascii="宋体" w:hAnsi="宋体" w:cs="宋体"/>
          <w:szCs w:val="21"/>
        </w:rPr>
        <w:t>并定期对库存的食品进行检验</w:t>
      </w:r>
      <w:r>
        <w:rPr>
          <w:rFonts w:ascii="宋体" w:cs="宋体"/>
          <w:szCs w:val="21"/>
        </w:rPr>
        <w:t>,</w:t>
      </w:r>
      <w:r>
        <w:rPr>
          <w:rFonts w:hint="eastAsia" w:ascii="宋体" w:hAnsi="宋体" w:cs="宋体"/>
          <w:szCs w:val="21"/>
        </w:rPr>
        <w:t>防止销售使用过期、变质的食品。</w:t>
      </w:r>
    </w:p>
    <w:p w14:paraId="0B2097F1">
      <w:pPr>
        <w:spacing w:line="360" w:lineRule="auto"/>
        <w:ind w:firstLine="424" w:firstLineChars="202"/>
        <w:rPr>
          <w:rFonts w:ascii="宋体" w:cs="宋体"/>
          <w:szCs w:val="21"/>
        </w:rPr>
      </w:pPr>
      <w:r>
        <w:rPr>
          <w:rFonts w:ascii="宋体" w:hAnsi="宋体" w:cs="宋体"/>
          <w:szCs w:val="21"/>
        </w:rPr>
        <w:t>18</w:t>
      </w:r>
      <w:r>
        <w:rPr>
          <w:rFonts w:hint="eastAsia" w:ascii="宋体" w:hAnsi="宋体" w:cs="宋体"/>
          <w:szCs w:val="21"/>
        </w:rPr>
        <w:t>应在固定的区位堆放未清洗的蔬菜</w:t>
      </w:r>
      <w:r>
        <w:rPr>
          <w:rFonts w:ascii="宋体" w:cs="宋体"/>
          <w:szCs w:val="21"/>
        </w:rPr>
        <w:t>,</w:t>
      </w:r>
      <w:r>
        <w:rPr>
          <w:rFonts w:hint="eastAsia" w:ascii="宋体" w:hAnsi="宋体" w:cs="宋体"/>
          <w:szCs w:val="21"/>
        </w:rPr>
        <w:t>蔬菜的冲洗应按程序进行充分的浸泡、清洗干净</w:t>
      </w:r>
      <w:r>
        <w:rPr>
          <w:rFonts w:ascii="宋体" w:cs="宋体"/>
          <w:szCs w:val="21"/>
        </w:rPr>
        <w:t>,</w:t>
      </w:r>
      <w:r>
        <w:rPr>
          <w:rFonts w:hint="eastAsia" w:ascii="宋体" w:hAnsi="宋体" w:cs="宋体"/>
          <w:szCs w:val="21"/>
        </w:rPr>
        <w:t>以防止农药的成分残留</w:t>
      </w:r>
      <w:r>
        <w:rPr>
          <w:rFonts w:ascii="宋体" w:cs="宋体"/>
          <w:szCs w:val="21"/>
        </w:rPr>
        <w:t>,</w:t>
      </w:r>
      <w:r>
        <w:rPr>
          <w:rFonts w:hint="eastAsia" w:ascii="宋体" w:hAnsi="宋体" w:cs="宋体"/>
          <w:szCs w:val="21"/>
        </w:rPr>
        <w:t>已清洗干净和切好的蔬菜必须放在固定的器具内</w:t>
      </w:r>
      <w:r>
        <w:rPr>
          <w:rFonts w:ascii="宋体" w:cs="宋体"/>
          <w:szCs w:val="21"/>
        </w:rPr>
        <w:t>,</w:t>
      </w:r>
      <w:r>
        <w:rPr>
          <w:rFonts w:hint="eastAsia" w:ascii="宋体" w:hAnsi="宋体" w:cs="宋体"/>
          <w:szCs w:val="21"/>
        </w:rPr>
        <w:t>并用白色的布加罩</w:t>
      </w:r>
      <w:r>
        <w:rPr>
          <w:rFonts w:ascii="宋体" w:cs="宋体"/>
          <w:szCs w:val="21"/>
        </w:rPr>
        <w:t>,</w:t>
      </w:r>
      <w:r>
        <w:rPr>
          <w:rFonts w:hint="eastAsia" w:ascii="宋体" w:hAnsi="宋体" w:cs="宋体"/>
          <w:szCs w:val="21"/>
        </w:rPr>
        <w:t>不得随意堆放。</w:t>
      </w:r>
    </w:p>
    <w:p w14:paraId="3DAD0F2B">
      <w:pPr>
        <w:spacing w:line="360" w:lineRule="auto"/>
        <w:ind w:firstLine="424" w:firstLineChars="202"/>
        <w:rPr>
          <w:rFonts w:ascii="宋体" w:cs="宋体"/>
          <w:szCs w:val="21"/>
        </w:rPr>
      </w:pPr>
      <w:r>
        <w:rPr>
          <w:rFonts w:ascii="宋体" w:hAnsi="宋体" w:cs="宋体"/>
          <w:szCs w:val="21"/>
        </w:rPr>
        <w:t>19</w:t>
      </w:r>
      <w:r>
        <w:rPr>
          <w:rFonts w:hint="eastAsia" w:ascii="宋体" w:hAnsi="宋体" w:cs="宋体"/>
          <w:szCs w:val="21"/>
        </w:rPr>
        <w:t>、已熟的菜肴应用干净的不锈钢、铝合金等器具装盛</w:t>
      </w:r>
      <w:r>
        <w:rPr>
          <w:rFonts w:ascii="宋体" w:hAnsi="宋体" w:cs="宋体"/>
          <w:szCs w:val="21"/>
        </w:rPr>
        <w:t>(</w:t>
      </w:r>
      <w:r>
        <w:rPr>
          <w:rFonts w:hint="eastAsia" w:ascii="宋体" w:hAnsi="宋体" w:cs="宋体"/>
          <w:szCs w:val="21"/>
        </w:rPr>
        <w:t>不能用塑料器具</w:t>
      </w:r>
      <w:r>
        <w:rPr>
          <w:rFonts w:ascii="宋体" w:hAnsi="宋体" w:cs="宋体"/>
          <w:szCs w:val="21"/>
        </w:rPr>
        <w:t>),</w:t>
      </w:r>
      <w:r>
        <w:rPr>
          <w:rFonts w:hint="eastAsia" w:ascii="宋体" w:hAnsi="宋体" w:cs="宋体"/>
          <w:szCs w:val="21"/>
        </w:rPr>
        <w:t>并存放在分菜间的案桌上</w:t>
      </w:r>
      <w:r>
        <w:rPr>
          <w:rFonts w:ascii="宋体" w:cs="宋体"/>
          <w:szCs w:val="21"/>
        </w:rPr>
        <w:t>,</w:t>
      </w:r>
      <w:r>
        <w:rPr>
          <w:rFonts w:hint="eastAsia" w:ascii="宋体" w:hAnsi="宋体" w:cs="宋体"/>
          <w:szCs w:val="21"/>
        </w:rPr>
        <w:t>在未出售期间应加盖或罩上白色干净</w:t>
      </w:r>
      <w:r>
        <w:rPr>
          <w:rFonts w:ascii="宋体" w:hAnsi="宋体" w:cs="宋体"/>
          <w:szCs w:val="21"/>
        </w:rPr>
        <w:t>(</w:t>
      </w:r>
      <w:r>
        <w:rPr>
          <w:rFonts w:hint="eastAsia" w:ascii="宋体" w:hAnsi="宋体" w:cs="宋体"/>
          <w:szCs w:val="21"/>
        </w:rPr>
        <w:t>已消毒</w:t>
      </w:r>
      <w:r>
        <w:rPr>
          <w:rFonts w:ascii="宋体" w:hAnsi="宋体" w:cs="宋体"/>
          <w:szCs w:val="21"/>
        </w:rPr>
        <w:t>)</w:t>
      </w:r>
      <w:r>
        <w:rPr>
          <w:rFonts w:hint="eastAsia" w:ascii="宋体" w:hAnsi="宋体" w:cs="宋体"/>
          <w:szCs w:val="21"/>
        </w:rPr>
        <w:t>的布</w:t>
      </w:r>
      <w:r>
        <w:rPr>
          <w:rFonts w:ascii="宋体" w:cs="宋体"/>
          <w:szCs w:val="21"/>
        </w:rPr>
        <w:t>,</w:t>
      </w:r>
      <w:r>
        <w:rPr>
          <w:rFonts w:hint="eastAsia" w:ascii="宋体" w:hAnsi="宋体" w:cs="宋体"/>
          <w:szCs w:val="21"/>
        </w:rPr>
        <w:t>包括半成品。罩生菜的白布和罩熟菜的白布不能混用，饭菜必须保温。</w:t>
      </w:r>
    </w:p>
    <w:p w14:paraId="2FB883C8">
      <w:pPr>
        <w:spacing w:line="360" w:lineRule="auto"/>
        <w:ind w:firstLine="424" w:firstLineChars="202"/>
        <w:rPr>
          <w:rFonts w:ascii="宋体" w:cs="宋体"/>
          <w:szCs w:val="21"/>
        </w:rPr>
      </w:pPr>
      <w:r>
        <w:rPr>
          <w:rFonts w:ascii="宋体" w:hAnsi="宋体" w:cs="宋体"/>
          <w:szCs w:val="21"/>
        </w:rPr>
        <w:t>20</w:t>
      </w:r>
      <w:r>
        <w:rPr>
          <w:rFonts w:hint="eastAsia" w:ascii="宋体" w:hAnsi="宋体" w:cs="宋体"/>
          <w:szCs w:val="21"/>
        </w:rPr>
        <w:t>、应有专用餐具洗消间</w:t>
      </w:r>
      <w:r>
        <w:rPr>
          <w:rFonts w:ascii="宋体" w:cs="宋体"/>
          <w:szCs w:val="21"/>
        </w:rPr>
        <w:t>,</w:t>
      </w:r>
      <w:r>
        <w:rPr>
          <w:rFonts w:hint="eastAsia" w:ascii="宋体" w:hAnsi="宋体" w:cs="宋体"/>
          <w:szCs w:val="21"/>
        </w:rPr>
        <w:t>设有三口以上专用洗刷水池</w:t>
      </w:r>
      <w:r>
        <w:rPr>
          <w:rFonts w:ascii="宋体" w:cs="宋体"/>
          <w:szCs w:val="21"/>
        </w:rPr>
        <w:t>,</w:t>
      </w:r>
      <w:r>
        <w:rPr>
          <w:rFonts w:hint="eastAsia" w:ascii="宋体" w:hAnsi="宋体" w:cs="宋体"/>
          <w:szCs w:val="21"/>
        </w:rPr>
        <w:t>具有充足有效的消毒及完善的保洁措施。乙方的餐具和储食具应经过“一刮、二洗、三冲、四消毒、五保洁”的程序</w:t>
      </w:r>
      <w:r>
        <w:rPr>
          <w:rFonts w:ascii="宋体" w:cs="宋体"/>
          <w:szCs w:val="21"/>
        </w:rPr>
        <w:t>,</w:t>
      </w:r>
      <w:r>
        <w:rPr>
          <w:rFonts w:hint="eastAsia" w:ascii="宋体" w:hAnsi="宋体" w:cs="宋体"/>
          <w:szCs w:val="21"/>
        </w:rPr>
        <w:t>并有严格的消毒和保洁措施。冰箱要定期清洗、确保没有异味</w:t>
      </w:r>
      <w:r>
        <w:rPr>
          <w:rFonts w:ascii="宋体" w:cs="宋体"/>
          <w:szCs w:val="21"/>
        </w:rPr>
        <w:t>,</w:t>
      </w:r>
      <w:r>
        <w:rPr>
          <w:rFonts w:hint="eastAsia" w:ascii="宋体" w:hAnsi="宋体" w:cs="宋体"/>
          <w:szCs w:val="21"/>
        </w:rPr>
        <w:t>冰箱内的食品要生、熟、成品分开存放</w:t>
      </w:r>
      <w:r>
        <w:rPr>
          <w:rFonts w:ascii="宋体" w:cs="宋体"/>
          <w:szCs w:val="21"/>
        </w:rPr>
        <w:t>,</w:t>
      </w:r>
      <w:r>
        <w:rPr>
          <w:rFonts w:hint="eastAsia" w:ascii="宋体" w:hAnsi="宋体" w:cs="宋体"/>
          <w:szCs w:val="21"/>
        </w:rPr>
        <w:t>防止发生交叉污染。</w:t>
      </w:r>
    </w:p>
    <w:p w14:paraId="778E84A1">
      <w:pPr>
        <w:spacing w:line="360" w:lineRule="auto"/>
        <w:ind w:firstLine="424" w:firstLineChars="202"/>
        <w:rPr>
          <w:rFonts w:ascii="宋体" w:cs="宋体"/>
          <w:szCs w:val="21"/>
        </w:rPr>
      </w:pPr>
      <w:r>
        <w:rPr>
          <w:rFonts w:ascii="宋体" w:hAnsi="宋体" w:cs="宋体"/>
          <w:szCs w:val="21"/>
        </w:rPr>
        <w:t>21</w:t>
      </w:r>
      <w:r>
        <w:rPr>
          <w:rFonts w:hint="eastAsia" w:ascii="宋体" w:hAnsi="宋体" w:cs="宋体"/>
          <w:szCs w:val="21"/>
        </w:rPr>
        <w:t>、乙方应严禁非食堂人员进入食品加工操作间、售菜间</w:t>
      </w:r>
      <w:r>
        <w:rPr>
          <w:rFonts w:ascii="宋体" w:cs="宋体"/>
          <w:szCs w:val="21"/>
        </w:rPr>
        <w:t>,</w:t>
      </w:r>
      <w:r>
        <w:rPr>
          <w:rFonts w:hint="eastAsia" w:ascii="宋体" w:hAnsi="宋体" w:cs="宋体"/>
          <w:szCs w:val="21"/>
        </w:rPr>
        <w:t>食品原料存放间内</w:t>
      </w:r>
      <w:r>
        <w:rPr>
          <w:rFonts w:ascii="宋体" w:cs="宋体"/>
          <w:szCs w:val="21"/>
        </w:rPr>
        <w:t>,</w:t>
      </w:r>
      <w:r>
        <w:rPr>
          <w:rFonts w:hint="eastAsia" w:ascii="宋体" w:hAnsi="宋体" w:cs="宋体"/>
          <w:szCs w:val="21"/>
        </w:rPr>
        <w:t>严防投毒事件的发生</w:t>
      </w:r>
      <w:r>
        <w:rPr>
          <w:rFonts w:ascii="宋体" w:cs="宋体"/>
          <w:szCs w:val="21"/>
        </w:rPr>
        <w:t>,</w:t>
      </w:r>
      <w:r>
        <w:rPr>
          <w:rFonts w:hint="eastAsia" w:ascii="宋体" w:hAnsi="宋体" w:cs="宋体"/>
          <w:szCs w:val="21"/>
        </w:rPr>
        <w:t>以确保饮食卫生和安全。</w:t>
      </w:r>
    </w:p>
    <w:p w14:paraId="568C9F18">
      <w:pPr>
        <w:spacing w:line="360" w:lineRule="auto"/>
        <w:ind w:firstLine="424" w:firstLineChars="202"/>
        <w:rPr>
          <w:rFonts w:ascii="宋体" w:cs="宋体"/>
          <w:szCs w:val="21"/>
        </w:rPr>
      </w:pPr>
      <w:r>
        <w:rPr>
          <w:rFonts w:ascii="宋体" w:hAnsi="宋体" w:cs="宋体"/>
          <w:szCs w:val="21"/>
        </w:rPr>
        <w:t>22</w:t>
      </w:r>
      <w:r>
        <w:rPr>
          <w:rFonts w:hint="eastAsia" w:ascii="宋体" w:hAnsi="宋体" w:cs="宋体"/>
          <w:szCs w:val="21"/>
        </w:rPr>
        <w:t>、</w:t>
      </w:r>
      <w:r>
        <w:rPr>
          <w:rFonts w:hint="eastAsia" w:ascii="宋体" w:hAnsi="宋体" w:cs="宋体"/>
          <w:color w:val="auto"/>
          <w:szCs w:val="21"/>
        </w:rPr>
        <w:t>从业人员应相对稳定，不能频繁更换，所聘用人员</w:t>
      </w:r>
      <w:r>
        <w:rPr>
          <w:rFonts w:hint="eastAsia" w:ascii="宋体" w:hAnsi="宋体" w:cs="宋体"/>
          <w:szCs w:val="21"/>
        </w:rPr>
        <w:t>应报学校备案。应身体健康</w:t>
      </w:r>
      <w:r>
        <w:rPr>
          <w:rFonts w:ascii="宋体" w:cs="宋体"/>
          <w:szCs w:val="21"/>
        </w:rPr>
        <w:t>,</w:t>
      </w:r>
      <w:r>
        <w:rPr>
          <w:rFonts w:hint="eastAsia" w:ascii="宋体" w:hAnsi="宋体" w:cs="宋体"/>
          <w:szCs w:val="21"/>
        </w:rPr>
        <w:t>持健康证上岗</w:t>
      </w:r>
      <w:r>
        <w:rPr>
          <w:rFonts w:ascii="宋体" w:cs="宋体"/>
          <w:szCs w:val="21"/>
        </w:rPr>
        <w:t>,</w:t>
      </w:r>
      <w:r>
        <w:rPr>
          <w:rFonts w:hint="eastAsia" w:ascii="宋体" w:hAnsi="宋体" w:cs="宋体"/>
          <w:szCs w:val="21"/>
        </w:rPr>
        <w:t>能讲究个人卫生</w:t>
      </w:r>
      <w:r>
        <w:rPr>
          <w:rFonts w:ascii="宋体" w:cs="宋体"/>
          <w:szCs w:val="21"/>
        </w:rPr>
        <w:t>,</w:t>
      </w:r>
      <w:r>
        <w:rPr>
          <w:rFonts w:hint="eastAsia" w:ascii="宋体" w:hAnsi="宋体" w:cs="宋体"/>
          <w:szCs w:val="21"/>
        </w:rPr>
        <w:t>从事食品加工、销售的工作人员在上班期间必须穿工作服</w:t>
      </w:r>
      <w:r>
        <w:rPr>
          <w:rFonts w:ascii="宋体" w:cs="宋体"/>
          <w:szCs w:val="21"/>
        </w:rPr>
        <w:t>,</w:t>
      </w:r>
      <w:r>
        <w:rPr>
          <w:rFonts w:hint="eastAsia" w:ascii="宋体" w:hAnsi="宋体" w:cs="宋体"/>
          <w:szCs w:val="21"/>
        </w:rPr>
        <w:t>戴工作帽</w:t>
      </w:r>
      <w:r>
        <w:rPr>
          <w:rFonts w:ascii="宋体" w:cs="宋体"/>
          <w:szCs w:val="21"/>
        </w:rPr>
        <w:t>,</w:t>
      </w:r>
      <w:r>
        <w:rPr>
          <w:rFonts w:hint="eastAsia" w:ascii="宋体" w:hAnsi="宋体" w:cs="宋体"/>
          <w:szCs w:val="21"/>
        </w:rPr>
        <w:t>并佩戴工作标志</w:t>
      </w:r>
      <w:r>
        <w:rPr>
          <w:rFonts w:ascii="宋体" w:cs="宋体"/>
          <w:szCs w:val="21"/>
        </w:rPr>
        <w:t>,</w:t>
      </w:r>
      <w:r>
        <w:rPr>
          <w:rFonts w:hint="eastAsia" w:ascii="宋体" w:hAnsi="宋体" w:cs="宋体"/>
          <w:szCs w:val="21"/>
        </w:rPr>
        <w:t>保持服饰整洁</w:t>
      </w:r>
      <w:r>
        <w:rPr>
          <w:rFonts w:ascii="宋体" w:cs="宋体"/>
          <w:szCs w:val="21"/>
        </w:rPr>
        <w:t>,</w:t>
      </w:r>
      <w:r>
        <w:rPr>
          <w:rFonts w:hint="eastAsia" w:ascii="宋体" w:hAnsi="宋体" w:cs="宋体"/>
          <w:szCs w:val="21"/>
        </w:rPr>
        <w:t>严禁留长指甲、长发、戴戒指、染指甲。逾期无法办理从业人员健康证</w:t>
      </w:r>
      <w:r>
        <w:rPr>
          <w:rFonts w:ascii="宋体" w:cs="宋体"/>
          <w:szCs w:val="21"/>
        </w:rPr>
        <w:t>,</w:t>
      </w:r>
      <w:r>
        <w:rPr>
          <w:rFonts w:hint="eastAsia" w:ascii="宋体" w:hAnsi="宋体" w:cs="宋体"/>
          <w:szCs w:val="21"/>
        </w:rPr>
        <w:t>学校有权责令乙方整改。因乙方不具备上述证件而使学校被卫生防疫部门处罚</w:t>
      </w:r>
      <w:r>
        <w:rPr>
          <w:rFonts w:ascii="宋体" w:cs="宋体"/>
          <w:szCs w:val="21"/>
        </w:rPr>
        <w:t>,</w:t>
      </w:r>
      <w:r>
        <w:rPr>
          <w:rFonts w:hint="eastAsia" w:ascii="宋体" w:hAnsi="宋体" w:cs="宋体"/>
          <w:szCs w:val="21"/>
        </w:rPr>
        <w:t>乙方应负赔偿责任。</w:t>
      </w:r>
    </w:p>
    <w:p w14:paraId="6A9B5C99">
      <w:pPr>
        <w:spacing w:line="360" w:lineRule="auto"/>
        <w:ind w:firstLine="424" w:firstLineChars="202"/>
        <w:rPr>
          <w:rFonts w:ascii="宋体" w:cs="宋体"/>
          <w:szCs w:val="21"/>
        </w:rPr>
      </w:pPr>
      <w:r>
        <w:rPr>
          <w:rFonts w:ascii="宋体" w:hAnsi="宋体" w:cs="宋体"/>
          <w:szCs w:val="21"/>
        </w:rPr>
        <w:t>23</w:t>
      </w:r>
      <w:r>
        <w:rPr>
          <w:rFonts w:hint="eastAsia" w:ascii="宋体" w:hAnsi="宋体" w:cs="宋体"/>
          <w:szCs w:val="21"/>
        </w:rPr>
        <w:t>、乙方应指定专人随时冲洗</w:t>
      </w:r>
      <w:r>
        <w:rPr>
          <w:rFonts w:ascii="宋体" w:cs="宋体"/>
          <w:szCs w:val="21"/>
        </w:rPr>
        <w:t>,</w:t>
      </w:r>
      <w:r>
        <w:rPr>
          <w:rFonts w:hint="eastAsia" w:ascii="宋体" w:hAnsi="宋体" w:cs="宋体"/>
          <w:szCs w:val="21"/>
        </w:rPr>
        <w:t>保持学生餐厅、厨房、售菜间的地面和灶台、工作台、柜台、货架、门窗、墙裙、包干区等环境卫生</w:t>
      </w:r>
      <w:r>
        <w:rPr>
          <w:rFonts w:ascii="宋体" w:cs="宋体"/>
          <w:szCs w:val="21"/>
        </w:rPr>
        <w:t>,</w:t>
      </w:r>
      <w:r>
        <w:rPr>
          <w:rFonts w:hint="eastAsia" w:ascii="宋体" w:hAnsi="宋体" w:cs="宋体"/>
          <w:szCs w:val="21"/>
        </w:rPr>
        <w:t>并及时清扫转运垃圾</w:t>
      </w:r>
      <w:r>
        <w:rPr>
          <w:rFonts w:ascii="宋体" w:cs="宋体"/>
          <w:szCs w:val="21"/>
        </w:rPr>
        <w:t>,</w:t>
      </w:r>
      <w:r>
        <w:rPr>
          <w:rFonts w:hint="eastAsia" w:ascii="宋体" w:hAnsi="宋体" w:cs="宋体"/>
          <w:szCs w:val="21"/>
        </w:rPr>
        <w:t>定期进行消毒</w:t>
      </w:r>
      <w:r>
        <w:rPr>
          <w:rFonts w:ascii="宋体" w:cs="宋体"/>
          <w:szCs w:val="21"/>
        </w:rPr>
        <w:t>,</w:t>
      </w:r>
      <w:r>
        <w:rPr>
          <w:rFonts w:hint="eastAsia" w:ascii="宋体" w:hAnsi="宋体" w:cs="宋体"/>
          <w:szCs w:val="21"/>
        </w:rPr>
        <w:t>厨房及餐厅的垃圾要随手加盖</w:t>
      </w:r>
      <w:r>
        <w:rPr>
          <w:rFonts w:ascii="宋体" w:cs="宋体"/>
          <w:szCs w:val="21"/>
        </w:rPr>
        <w:t>,</w:t>
      </w:r>
      <w:r>
        <w:rPr>
          <w:rFonts w:hint="eastAsia" w:ascii="宋体" w:hAnsi="宋体" w:cs="宋体"/>
          <w:szCs w:val="21"/>
        </w:rPr>
        <w:t>垃圾要随时清理。</w:t>
      </w:r>
    </w:p>
    <w:p w14:paraId="0C9FA1C6">
      <w:pPr>
        <w:spacing w:line="360" w:lineRule="auto"/>
        <w:ind w:firstLine="424" w:firstLineChars="202"/>
        <w:rPr>
          <w:rFonts w:ascii="宋体" w:cs="宋体"/>
          <w:szCs w:val="21"/>
        </w:rPr>
      </w:pPr>
      <w:r>
        <w:rPr>
          <w:rFonts w:ascii="宋体" w:hAnsi="宋体" w:cs="宋体"/>
          <w:szCs w:val="21"/>
        </w:rPr>
        <w:t>24</w:t>
      </w:r>
      <w:r>
        <w:rPr>
          <w:rFonts w:hint="eastAsia" w:ascii="宋体" w:hAnsi="宋体" w:cs="宋体"/>
          <w:szCs w:val="21"/>
        </w:rPr>
        <w:t>不得在食堂和服务部周围及其它场所搭盖、摆摊设点和堆放杂物</w:t>
      </w:r>
      <w:r>
        <w:rPr>
          <w:rFonts w:ascii="宋体" w:cs="宋体"/>
          <w:szCs w:val="21"/>
        </w:rPr>
        <w:t>,</w:t>
      </w:r>
      <w:r>
        <w:rPr>
          <w:rFonts w:hint="eastAsia" w:ascii="宋体" w:hAnsi="宋体" w:cs="宋体"/>
          <w:szCs w:val="21"/>
        </w:rPr>
        <w:t>不允许以各种名义到学生宿舍销售饭菜和食品。</w:t>
      </w:r>
    </w:p>
    <w:p w14:paraId="6CA694EC">
      <w:pPr>
        <w:spacing w:line="360" w:lineRule="auto"/>
        <w:ind w:firstLine="424" w:firstLineChars="202"/>
        <w:rPr>
          <w:rFonts w:ascii="宋体" w:cs="宋体"/>
          <w:szCs w:val="21"/>
        </w:rPr>
      </w:pPr>
      <w:r>
        <w:rPr>
          <w:rFonts w:ascii="宋体" w:hAnsi="宋体" w:cs="宋体"/>
          <w:szCs w:val="21"/>
        </w:rPr>
        <w:t>25</w:t>
      </w:r>
      <w:r>
        <w:rPr>
          <w:rFonts w:hint="eastAsia" w:ascii="宋体" w:hAnsi="宋体" w:cs="宋体"/>
          <w:szCs w:val="21"/>
        </w:rPr>
        <w:t>、服从甲方的管理</w:t>
      </w:r>
      <w:r>
        <w:rPr>
          <w:rFonts w:ascii="宋体" w:cs="宋体"/>
          <w:szCs w:val="21"/>
        </w:rPr>
        <w:t>,</w:t>
      </w:r>
      <w:r>
        <w:rPr>
          <w:rFonts w:hint="eastAsia" w:ascii="宋体" w:hAnsi="宋体" w:cs="宋体"/>
          <w:szCs w:val="21"/>
        </w:rPr>
        <w:t>自觉遵守学校的有关管理规定</w:t>
      </w:r>
      <w:r>
        <w:rPr>
          <w:rFonts w:ascii="宋体" w:cs="宋体"/>
          <w:szCs w:val="21"/>
        </w:rPr>
        <w:t>,</w:t>
      </w:r>
      <w:r>
        <w:rPr>
          <w:rFonts w:hint="eastAsia" w:ascii="宋体" w:hAnsi="宋体" w:cs="宋体"/>
          <w:szCs w:val="21"/>
        </w:rPr>
        <w:t>工作制度和门禁制度</w:t>
      </w:r>
      <w:r>
        <w:rPr>
          <w:rFonts w:ascii="宋体" w:cs="宋体"/>
          <w:szCs w:val="21"/>
        </w:rPr>
        <w:t>,</w:t>
      </w:r>
      <w:r>
        <w:rPr>
          <w:rFonts w:hint="eastAsia" w:ascii="宋体" w:hAnsi="宋体" w:cs="宋体"/>
          <w:szCs w:val="21"/>
        </w:rPr>
        <w:t>晚间营业一般不超过熄灯的时间。不得播放内容反动或黄色音像制品</w:t>
      </w:r>
      <w:r>
        <w:rPr>
          <w:rFonts w:ascii="宋体" w:cs="宋体"/>
          <w:szCs w:val="21"/>
        </w:rPr>
        <w:t>,</w:t>
      </w:r>
      <w:r>
        <w:rPr>
          <w:rFonts w:hint="eastAsia" w:ascii="宋体" w:hAnsi="宋体" w:cs="宋体"/>
          <w:szCs w:val="21"/>
        </w:rPr>
        <w:t>在晚自习和上课时间内不得播放音像制品。</w:t>
      </w:r>
    </w:p>
    <w:p w14:paraId="4D787DB4">
      <w:pPr>
        <w:spacing w:line="360" w:lineRule="auto"/>
        <w:ind w:firstLine="424" w:firstLineChars="202"/>
        <w:rPr>
          <w:rFonts w:ascii="宋体" w:cs="宋体"/>
          <w:szCs w:val="21"/>
        </w:rPr>
      </w:pPr>
      <w:r>
        <w:rPr>
          <w:rFonts w:ascii="宋体" w:hAnsi="宋体" w:cs="宋体"/>
          <w:szCs w:val="21"/>
        </w:rPr>
        <w:t>27</w:t>
      </w:r>
      <w:r>
        <w:rPr>
          <w:rFonts w:hint="eastAsia" w:ascii="宋体" w:hAnsi="宋体" w:cs="宋体"/>
          <w:szCs w:val="21"/>
        </w:rPr>
        <w:t>、从业人员必须按规定要求自费办理好《健康证》</w:t>
      </w:r>
      <w:r>
        <w:rPr>
          <w:rFonts w:ascii="宋体" w:cs="宋体"/>
          <w:szCs w:val="21"/>
        </w:rPr>
        <w:t>,</w:t>
      </w:r>
      <w:r>
        <w:rPr>
          <w:rFonts w:hint="eastAsia" w:ascii="宋体" w:hAnsi="宋体" w:cs="宋体"/>
          <w:szCs w:val="21"/>
        </w:rPr>
        <w:t>属于外来人口还应到户口管理部门自费办理《暂住证》。食堂从业人员必须符合以下条件</w:t>
      </w:r>
      <w:r>
        <w:rPr>
          <w:rFonts w:ascii="宋体" w:hAnsi="宋体" w:cs="宋体"/>
          <w:szCs w:val="21"/>
        </w:rPr>
        <w:t>:(1)</w:t>
      </w:r>
      <w:r>
        <w:rPr>
          <w:rFonts w:hint="eastAsia" w:ascii="宋体" w:hAnsi="宋体" w:cs="宋体"/>
          <w:szCs w:val="21"/>
        </w:rPr>
        <w:t>年龄为</w:t>
      </w:r>
      <w:r>
        <w:rPr>
          <w:rFonts w:ascii="宋体" w:hAnsi="宋体" w:cs="宋体"/>
          <w:szCs w:val="21"/>
        </w:rPr>
        <w:t>18-50</w:t>
      </w:r>
      <w:r>
        <w:rPr>
          <w:rFonts w:hint="eastAsia" w:ascii="宋体" w:hAnsi="宋体" w:cs="宋体"/>
          <w:szCs w:val="21"/>
        </w:rPr>
        <w:t>周岁</w:t>
      </w:r>
      <w:r>
        <w:rPr>
          <w:rFonts w:ascii="宋体" w:hAnsi="宋体" w:cs="宋体"/>
          <w:szCs w:val="21"/>
        </w:rPr>
        <w:t>,(2)</w:t>
      </w:r>
      <w:r>
        <w:rPr>
          <w:rFonts w:hint="eastAsia" w:ascii="宋体" w:hAnsi="宋体" w:cs="宋体"/>
          <w:szCs w:val="21"/>
        </w:rPr>
        <w:t>具有身份证</w:t>
      </w:r>
      <w:r>
        <w:rPr>
          <w:rFonts w:ascii="宋体" w:cs="宋体"/>
          <w:szCs w:val="21"/>
        </w:rPr>
        <w:t>,</w:t>
      </w:r>
      <w:r>
        <w:rPr>
          <w:rFonts w:hint="eastAsia" w:ascii="宋体" w:hAnsi="宋体" w:cs="宋体"/>
          <w:szCs w:val="21"/>
        </w:rPr>
        <w:t>健康证</w:t>
      </w:r>
      <w:r>
        <w:rPr>
          <w:rFonts w:ascii="宋体" w:cs="宋体"/>
          <w:szCs w:val="21"/>
        </w:rPr>
        <w:t>,</w:t>
      </w:r>
      <w:r>
        <w:rPr>
          <w:rFonts w:hint="eastAsia" w:ascii="宋体" w:hAnsi="宋体" w:cs="宋体"/>
          <w:szCs w:val="21"/>
        </w:rPr>
        <w:t>小学以上文化程度</w:t>
      </w:r>
      <w:r>
        <w:rPr>
          <w:rFonts w:ascii="宋体" w:cs="宋体"/>
          <w:szCs w:val="21"/>
        </w:rPr>
        <w:t>,</w:t>
      </w:r>
      <w:r>
        <w:rPr>
          <w:rFonts w:hint="eastAsia" w:ascii="宋体" w:hAnsi="宋体" w:cs="宋体"/>
          <w:szCs w:val="21"/>
        </w:rPr>
        <w:t>生育证明。</w:t>
      </w:r>
    </w:p>
    <w:p w14:paraId="288CFAD7">
      <w:pPr>
        <w:spacing w:line="360" w:lineRule="auto"/>
        <w:ind w:firstLine="424" w:firstLineChars="202"/>
        <w:rPr>
          <w:rFonts w:ascii="宋体" w:cs="宋体"/>
          <w:szCs w:val="21"/>
        </w:rPr>
      </w:pPr>
      <w:r>
        <w:rPr>
          <w:rFonts w:ascii="宋体" w:hAnsi="宋体" w:cs="宋体"/>
          <w:szCs w:val="21"/>
        </w:rPr>
        <w:t>28</w:t>
      </w:r>
      <w:r>
        <w:rPr>
          <w:rFonts w:hint="eastAsia" w:ascii="宋体" w:hAnsi="宋体" w:cs="宋体"/>
          <w:szCs w:val="21"/>
        </w:rPr>
        <w:t>、应严格遵守甲方的有关消防安全管理规定</w:t>
      </w:r>
      <w:r>
        <w:rPr>
          <w:rFonts w:ascii="宋体" w:cs="宋体"/>
          <w:szCs w:val="21"/>
        </w:rPr>
        <w:t>,</w:t>
      </w:r>
      <w:r>
        <w:rPr>
          <w:rFonts w:hint="eastAsia" w:ascii="宋体" w:hAnsi="宋体" w:cs="宋体"/>
          <w:szCs w:val="21"/>
        </w:rPr>
        <w:t>严禁乱拉电线</w:t>
      </w:r>
      <w:r>
        <w:rPr>
          <w:rFonts w:ascii="宋体" w:cs="宋体"/>
          <w:szCs w:val="21"/>
        </w:rPr>
        <w:t>,</w:t>
      </w:r>
      <w:r>
        <w:rPr>
          <w:rFonts w:hint="eastAsia" w:ascii="宋体" w:hAnsi="宋体" w:cs="宋体"/>
          <w:szCs w:val="21"/>
        </w:rPr>
        <w:t>乱装闸刀开关和插座等。不能烧煤。液化气的存放和使用应远离明火</w:t>
      </w:r>
      <w:r>
        <w:rPr>
          <w:rFonts w:ascii="宋体" w:cs="宋体"/>
          <w:szCs w:val="21"/>
        </w:rPr>
        <w:t>,</w:t>
      </w:r>
      <w:r>
        <w:rPr>
          <w:rFonts w:hint="eastAsia" w:ascii="宋体" w:hAnsi="宋体" w:cs="宋体"/>
          <w:szCs w:val="21"/>
        </w:rPr>
        <w:t>并努力做好防火、防毒、防盗、防意外事故的发生等工作</w:t>
      </w:r>
      <w:r>
        <w:rPr>
          <w:rFonts w:ascii="宋体" w:cs="宋体"/>
          <w:szCs w:val="21"/>
        </w:rPr>
        <w:t>,</w:t>
      </w:r>
      <w:r>
        <w:rPr>
          <w:rFonts w:hint="eastAsia" w:ascii="宋体" w:hAnsi="宋体" w:cs="宋体"/>
          <w:szCs w:val="21"/>
        </w:rPr>
        <w:t>防患于未然。</w:t>
      </w:r>
    </w:p>
    <w:p w14:paraId="5A65C797">
      <w:pPr>
        <w:spacing w:line="360" w:lineRule="auto"/>
        <w:ind w:firstLine="424" w:firstLineChars="202"/>
        <w:rPr>
          <w:rFonts w:ascii="宋体" w:cs="宋体"/>
          <w:szCs w:val="21"/>
        </w:rPr>
      </w:pPr>
      <w:r>
        <w:rPr>
          <w:rFonts w:ascii="宋体" w:hAnsi="宋体" w:cs="宋体"/>
          <w:szCs w:val="21"/>
        </w:rPr>
        <w:t>29</w:t>
      </w:r>
      <w:r>
        <w:rPr>
          <w:rFonts w:hint="eastAsia" w:ascii="宋体" w:hAnsi="宋体" w:cs="宋体"/>
          <w:szCs w:val="21"/>
        </w:rPr>
        <w:t>、承包者应配备较强的管理人员</w:t>
      </w:r>
      <w:r>
        <w:rPr>
          <w:rFonts w:ascii="宋体" w:cs="宋体"/>
          <w:szCs w:val="21"/>
        </w:rPr>
        <w:t>,</w:t>
      </w:r>
      <w:r>
        <w:rPr>
          <w:rFonts w:hint="eastAsia" w:ascii="宋体" w:hAnsi="宋体" w:cs="宋体"/>
          <w:szCs w:val="21"/>
        </w:rPr>
        <w:t>不得委托他人代管</w:t>
      </w:r>
      <w:r>
        <w:rPr>
          <w:rFonts w:ascii="宋体" w:cs="宋体"/>
          <w:szCs w:val="21"/>
        </w:rPr>
        <w:t>,</w:t>
      </w:r>
      <w:r>
        <w:rPr>
          <w:rFonts w:hint="eastAsia" w:ascii="宋体" w:hAnsi="宋体" w:cs="宋体"/>
          <w:szCs w:val="21"/>
        </w:rPr>
        <w:t>不得中途转让承包合同</w:t>
      </w:r>
      <w:r>
        <w:rPr>
          <w:rFonts w:ascii="宋体" w:cs="宋体"/>
          <w:szCs w:val="21"/>
        </w:rPr>
        <w:t>,</w:t>
      </w:r>
      <w:r>
        <w:rPr>
          <w:rFonts w:hint="eastAsia" w:ascii="宋体" w:hAnsi="宋体" w:cs="宋体"/>
          <w:szCs w:val="21"/>
        </w:rPr>
        <w:t>否则取消承包经营权以及承担相关责任。</w:t>
      </w:r>
    </w:p>
    <w:p w14:paraId="2C738C66">
      <w:pPr>
        <w:spacing w:line="360" w:lineRule="auto"/>
        <w:ind w:firstLine="424" w:firstLineChars="202"/>
        <w:rPr>
          <w:rFonts w:ascii="宋体" w:cs="宋体"/>
          <w:szCs w:val="21"/>
        </w:rPr>
      </w:pPr>
      <w:r>
        <w:rPr>
          <w:rFonts w:ascii="宋体" w:hAnsi="宋体" w:cs="宋体"/>
          <w:szCs w:val="21"/>
        </w:rPr>
        <w:t>30</w:t>
      </w:r>
      <w:r>
        <w:rPr>
          <w:rFonts w:hint="eastAsia" w:ascii="宋体" w:hAnsi="宋体" w:cs="宋体"/>
          <w:szCs w:val="21"/>
        </w:rPr>
        <w:t>、若需借用学校的用品</w:t>
      </w:r>
      <w:r>
        <w:rPr>
          <w:rFonts w:ascii="宋体" w:cs="宋体"/>
          <w:szCs w:val="21"/>
        </w:rPr>
        <w:t>,</w:t>
      </w:r>
      <w:r>
        <w:rPr>
          <w:rFonts w:hint="eastAsia" w:ascii="宋体" w:hAnsi="宋体" w:cs="宋体"/>
          <w:szCs w:val="21"/>
        </w:rPr>
        <w:t>必须造册登记</w:t>
      </w:r>
      <w:r>
        <w:rPr>
          <w:rFonts w:ascii="宋体" w:cs="宋体"/>
          <w:szCs w:val="21"/>
        </w:rPr>
        <w:t>,</w:t>
      </w:r>
      <w:r>
        <w:rPr>
          <w:rFonts w:hint="eastAsia" w:ascii="宋体" w:hAnsi="宋体" w:cs="宋体"/>
          <w:szCs w:val="21"/>
        </w:rPr>
        <w:t>损坏或丢失的应照价赔偿。</w:t>
      </w:r>
    </w:p>
    <w:p w14:paraId="54C6FF32">
      <w:pPr>
        <w:spacing w:line="360" w:lineRule="auto"/>
        <w:ind w:firstLine="424" w:firstLineChars="202"/>
        <w:rPr>
          <w:rFonts w:ascii="宋体" w:cs="宋体"/>
          <w:szCs w:val="21"/>
        </w:rPr>
      </w:pPr>
      <w:r>
        <w:rPr>
          <w:rFonts w:ascii="宋体" w:hAnsi="宋体" w:cs="宋体"/>
          <w:szCs w:val="21"/>
        </w:rPr>
        <w:t>31</w:t>
      </w:r>
      <w:r>
        <w:rPr>
          <w:rFonts w:hint="eastAsia" w:ascii="宋体" w:hAnsi="宋体" w:cs="宋体"/>
          <w:szCs w:val="21"/>
        </w:rPr>
        <w:t>、若产生食物中毒、卫生不合格等原因被罚款、和由此产生的医疗等相关费用</w:t>
      </w:r>
      <w:r>
        <w:rPr>
          <w:rFonts w:ascii="宋体" w:cs="宋体"/>
          <w:szCs w:val="21"/>
        </w:rPr>
        <w:t>,</w:t>
      </w:r>
      <w:r>
        <w:rPr>
          <w:rFonts w:hint="eastAsia" w:ascii="宋体" w:hAnsi="宋体" w:cs="宋体"/>
          <w:szCs w:val="21"/>
        </w:rPr>
        <w:t>由乙方承担</w:t>
      </w:r>
      <w:r>
        <w:rPr>
          <w:rFonts w:ascii="宋体" w:cs="宋体"/>
          <w:szCs w:val="21"/>
        </w:rPr>
        <w:t>,</w:t>
      </w:r>
      <w:r>
        <w:rPr>
          <w:rFonts w:hint="eastAsia" w:ascii="宋体" w:hAnsi="宋体" w:cs="宋体"/>
          <w:szCs w:val="21"/>
        </w:rPr>
        <w:t>与甲方无关。</w:t>
      </w:r>
    </w:p>
    <w:p w14:paraId="3C7F42C8">
      <w:pPr>
        <w:spacing w:line="360" w:lineRule="auto"/>
        <w:rPr>
          <w:rFonts w:ascii="宋体" w:cs="宋体"/>
          <w:b/>
          <w:bCs/>
          <w:szCs w:val="21"/>
        </w:rPr>
      </w:pPr>
      <w:r>
        <w:rPr>
          <w:rFonts w:hint="eastAsia" w:ascii="宋体" w:hAnsi="宋体" w:cs="宋体"/>
          <w:b/>
          <w:bCs/>
          <w:szCs w:val="21"/>
        </w:rPr>
        <w:t>七、违约责任</w:t>
      </w:r>
    </w:p>
    <w:p w14:paraId="42A8BABC">
      <w:pPr>
        <w:spacing w:line="360" w:lineRule="auto"/>
        <w:ind w:firstLine="424" w:firstLineChars="202"/>
        <w:rPr>
          <w:rFonts w:ascii="宋体" w:cs="宋体"/>
          <w:szCs w:val="21"/>
        </w:rPr>
      </w:pPr>
      <w:r>
        <w:rPr>
          <w:rFonts w:ascii="宋体" w:hAnsi="宋体" w:cs="宋体"/>
          <w:szCs w:val="21"/>
        </w:rPr>
        <w:t>1</w:t>
      </w:r>
      <w:r>
        <w:rPr>
          <w:rFonts w:hint="eastAsia" w:ascii="宋体" w:hAnsi="宋体" w:cs="宋体"/>
          <w:szCs w:val="21"/>
        </w:rPr>
        <w:t>、乙方若中途擅自停止供货、供餐</w:t>
      </w:r>
      <w:r>
        <w:rPr>
          <w:rFonts w:ascii="宋体" w:cs="宋体"/>
          <w:szCs w:val="21"/>
        </w:rPr>
        <w:t>,</w:t>
      </w:r>
      <w:r>
        <w:rPr>
          <w:rFonts w:hint="eastAsia" w:ascii="宋体" w:hAnsi="宋体" w:cs="宋体"/>
          <w:szCs w:val="21"/>
        </w:rPr>
        <w:t>甲方有权解除与乙方的合同。</w:t>
      </w:r>
    </w:p>
    <w:p w14:paraId="79CA7F16">
      <w:pPr>
        <w:spacing w:line="360" w:lineRule="auto"/>
        <w:ind w:firstLine="424" w:firstLineChars="202"/>
        <w:rPr>
          <w:rFonts w:ascii="宋体" w:cs="宋体"/>
          <w:szCs w:val="21"/>
        </w:rPr>
      </w:pPr>
      <w:r>
        <w:rPr>
          <w:rFonts w:ascii="宋体" w:hAnsi="宋体" w:cs="宋体"/>
          <w:szCs w:val="21"/>
        </w:rPr>
        <w:t>2</w:t>
      </w:r>
      <w:r>
        <w:rPr>
          <w:rFonts w:hint="eastAsia" w:ascii="宋体" w:hAnsi="宋体" w:cs="宋体"/>
          <w:szCs w:val="21"/>
        </w:rPr>
        <w:t>、如果经营期间发生学生食物中毒或安全生产责任事故，且造成严重后果的；或是因食品价格、质量、卫生和服务态度而引发学生罢餐、静坐、游行、上访、网络投诉、打砸等群体性事件，影响恶劣的，以及在经营过程中，存在掺杂作假，销售劣质、有害和无证食品等违规行为的，甲方有权单方解除合同，并追究经济赔偿及法律责任。</w:t>
      </w:r>
    </w:p>
    <w:p w14:paraId="34396576">
      <w:pPr>
        <w:spacing w:line="360" w:lineRule="auto"/>
        <w:ind w:firstLine="424" w:firstLineChars="202"/>
        <w:rPr>
          <w:rFonts w:ascii="宋体" w:cs="宋体"/>
          <w:szCs w:val="21"/>
        </w:rPr>
      </w:pPr>
      <w:r>
        <w:rPr>
          <w:rFonts w:ascii="宋体" w:hAnsi="宋体" w:cs="宋体"/>
          <w:szCs w:val="21"/>
        </w:rPr>
        <w:t>3</w:t>
      </w:r>
      <w:r>
        <w:rPr>
          <w:rFonts w:hint="eastAsia" w:ascii="宋体" w:hAnsi="宋体" w:cs="宋体"/>
          <w:szCs w:val="21"/>
        </w:rPr>
        <w:t>、若乙方违反本合同的任一条款</w:t>
      </w:r>
      <w:r>
        <w:rPr>
          <w:rFonts w:ascii="宋体" w:cs="宋体"/>
          <w:szCs w:val="21"/>
        </w:rPr>
        <w:t>,</w:t>
      </w:r>
      <w:r>
        <w:rPr>
          <w:rFonts w:hint="eastAsia" w:ascii="宋体" w:hAnsi="宋体" w:cs="宋体"/>
          <w:szCs w:val="21"/>
        </w:rPr>
        <w:t>甲方将有权责令其限期整改。</w:t>
      </w:r>
    </w:p>
    <w:p w14:paraId="08A1C0CF">
      <w:pPr>
        <w:spacing w:line="360" w:lineRule="auto"/>
        <w:ind w:firstLine="424" w:firstLineChars="202"/>
        <w:rPr>
          <w:rFonts w:ascii="宋体" w:cs="宋体"/>
          <w:szCs w:val="21"/>
        </w:rPr>
      </w:pPr>
      <w:r>
        <w:rPr>
          <w:rFonts w:ascii="宋体" w:hAnsi="宋体" w:cs="宋体"/>
          <w:szCs w:val="21"/>
        </w:rPr>
        <w:t>4</w:t>
      </w:r>
      <w:r>
        <w:rPr>
          <w:rFonts w:hint="eastAsia" w:ascii="宋体" w:hAnsi="宋体" w:cs="宋体"/>
          <w:szCs w:val="21"/>
        </w:rPr>
        <w:t>、乙方出现以下情况之一的，甲方有权停止乙方供应资格。</w:t>
      </w:r>
    </w:p>
    <w:p w14:paraId="1D18ECD1">
      <w:pPr>
        <w:spacing w:line="360" w:lineRule="auto"/>
        <w:ind w:firstLine="424" w:firstLineChars="202"/>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）乙方签约人无故更换的；</w:t>
      </w:r>
    </w:p>
    <w:p w14:paraId="17121062">
      <w:pPr>
        <w:spacing w:line="360" w:lineRule="auto"/>
        <w:ind w:firstLine="424" w:firstLineChars="202"/>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cs="宋体"/>
          <w:color w:val="auto"/>
          <w:szCs w:val="21"/>
        </w:rPr>
        <w:t>市场监督管理部门</w:t>
      </w:r>
      <w:r>
        <w:rPr>
          <w:rFonts w:hint="eastAsia" w:ascii="宋体" w:hAnsi="宋体" w:cs="宋体"/>
          <w:szCs w:val="21"/>
        </w:rPr>
        <w:t>及有关职能部门在监督检查中发现存在采购加工《食品安全法》禁止生产经营的食品、使用非食用物质、降低安全保障条件等，掺杂使假，使用无证、过期、有害食品，危害学生身心健康，情节严重的；</w:t>
      </w:r>
    </w:p>
    <w:p w14:paraId="0BDF2B30">
      <w:pPr>
        <w:spacing w:line="360" w:lineRule="auto"/>
        <w:ind w:firstLine="424" w:firstLineChars="202"/>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）违反食品安全法律法规被</w:t>
      </w:r>
      <w:r>
        <w:rPr>
          <w:rFonts w:hint="eastAsia" w:ascii="宋体" w:hAnsi="宋体" w:cs="宋体"/>
          <w:color w:val="auto"/>
          <w:szCs w:val="21"/>
        </w:rPr>
        <w:t>市场监督管理部门</w:t>
      </w:r>
      <w:r>
        <w:rPr>
          <w:rFonts w:hint="eastAsia" w:ascii="宋体" w:hAnsi="宋体" w:cs="宋体"/>
          <w:szCs w:val="21"/>
        </w:rPr>
        <w:t>吊销或注销食品经营许可证的；</w:t>
      </w:r>
    </w:p>
    <w:p w14:paraId="5C5BF00B">
      <w:pPr>
        <w:spacing w:line="360" w:lineRule="auto"/>
        <w:ind w:firstLine="424" w:firstLineChars="202"/>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）营养食品供应期间发生重大食品安全事故的；</w:t>
      </w:r>
    </w:p>
    <w:p w14:paraId="7FC41399">
      <w:pPr>
        <w:spacing w:line="360" w:lineRule="auto"/>
        <w:ind w:firstLine="424" w:firstLineChars="202"/>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）在履约期间，出现多次不按时按质按量供餐的；</w:t>
      </w:r>
    </w:p>
    <w:p w14:paraId="08CB6449">
      <w:pPr>
        <w:spacing w:line="360" w:lineRule="auto"/>
        <w:ind w:firstLine="424" w:firstLineChars="202"/>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）在县级及以上组织的营养食品质量抽检中两次不合格的。</w:t>
      </w:r>
    </w:p>
    <w:p w14:paraId="0A39EA4B">
      <w:pPr>
        <w:spacing w:line="360" w:lineRule="auto"/>
        <w:ind w:firstLine="424" w:firstLineChars="202"/>
        <w:rPr>
          <w:rFonts w:asci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）不服从甲方、学校管理的，或者在满意度测评中，满意度低于</w:t>
      </w:r>
      <w:r>
        <w:rPr>
          <w:rFonts w:ascii="宋体" w:hAnsi="宋体" w:cs="宋体"/>
          <w:szCs w:val="21"/>
        </w:rPr>
        <w:t xml:space="preserve"> 60%</w:t>
      </w:r>
      <w:r>
        <w:rPr>
          <w:rFonts w:hint="eastAsia" w:ascii="宋体" w:hAnsi="宋体" w:cs="宋体"/>
          <w:szCs w:val="21"/>
        </w:rPr>
        <w:t>的。</w:t>
      </w:r>
    </w:p>
    <w:p w14:paraId="3F1CCA79">
      <w:pPr>
        <w:spacing w:line="360" w:lineRule="auto"/>
        <w:rPr>
          <w:rFonts w:ascii="宋体" w:cs="宋体"/>
          <w:b/>
          <w:bCs/>
          <w:szCs w:val="21"/>
        </w:rPr>
      </w:pPr>
      <w:r>
        <w:rPr>
          <w:rFonts w:hint="eastAsia" w:ascii="宋体" w:hAnsi="宋体" w:cs="宋体"/>
          <w:b/>
          <w:bCs/>
          <w:szCs w:val="21"/>
        </w:rPr>
        <w:t>九、合同期限</w:t>
      </w:r>
    </w:p>
    <w:p w14:paraId="33223E96">
      <w:pPr>
        <w:spacing w:line="360" w:lineRule="auto"/>
        <w:ind w:firstLine="424" w:firstLineChars="202"/>
        <w:rPr>
          <w:rFonts w:ascii="宋体" w:cs="宋体"/>
          <w:color w:val="auto"/>
          <w:szCs w:val="21"/>
          <w:u w:val="single"/>
        </w:rPr>
      </w:pPr>
      <w:r>
        <w:rPr>
          <w:rFonts w:ascii="宋体" w:hAnsi="宋体" w:cs="宋体"/>
          <w:color w:val="auto"/>
          <w:szCs w:val="21"/>
        </w:rPr>
        <w:t>1</w:t>
      </w:r>
      <w:r>
        <w:rPr>
          <w:rFonts w:hint="eastAsia" w:ascii="宋体" w:hAnsi="宋体" w:cs="宋体"/>
          <w:color w:val="auto"/>
          <w:szCs w:val="21"/>
        </w:rPr>
        <w:t>、本合同有效期。</w:t>
      </w:r>
    </w:p>
    <w:p w14:paraId="0F8B0211">
      <w:pPr>
        <w:spacing w:line="360" w:lineRule="auto"/>
        <w:ind w:firstLine="424" w:firstLineChars="202"/>
        <w:rPr>
          <w:rFonts w:ascii="宋体" w:cs="宋体"/>
          <w:szCs w:val="21"/>
        </w:rPr>
      </w:pPr>
      <w:r>
        <w:rPr>
          <w:rFonts w:ascii="宋体" w:hAnsi="宋体" w:cs="宋体"/>
          <w:szCs w:val="21"/>
        </w:rPr>
        <w:t>2</w:t>
      </w:r>
      <w:r>
        <w:rPr>
          <w:rFonts w:hint="eastAsia" w:ascii="宋体" w:hAnsi="宋体" w:cs="宋体"/>
          <w:szCs w:val="21"/>
        </w:rPr>
        <w:t>、本合同签订和履行适用《中华人民共和国合同法》，因履行合同发生的争议，由供需双方直接协商解决，如协商不成，可向合同签订地人民法院诉讼。</w:t>
      </w:r>
    </w:p>
    <w:p w14:paraId="037455A1">
      <w:pPr>
        <w:spacing w:line="360" w:lineRule="auto"/>
        <w:rPr>
          <w:rFonts w:ascii="宋体" w:cs="宋体"/>
          <w:b/>
          <w:bCs/>
          <w:szCs w:val="21"/>
        </w:rPr>
      </w:pPr>
      <w:r>
        <w:rPr>
          <w:rFonts w:hint="eastAsia" w:ascii="宋体" w:hAnsi="宋体" w:cs="宋体"/>
          <w:b/>
          <w:bCs/>
          <w:szCs w:val="21"/>
        </w:rPr>
        <w:t>十、其他</w:t>
      </w:r>
    </w:p>
    <w:p w14:paraId="1B70B98F">
      <w:pPr>
        <w:spacing w:line="360" w:lineRule="auto"/>
        <w:ind w:firstLine="424" w:firstLineChars="202"/>
        <w:rPr>
          <w:rFonts w:ascii="宋体" w:cs="宋体"/>
          <w:szCs w:val="21"/>
        </w:rPr>
      </w:pPr>
      <w:r>
        <w:rPr>
          <w:rFonts w:ascii="宋体" w:hAnsi="宋体" w:cs="宋体"/>
          <w:szCs w:val="21"/>
        </w:rPr>
        <w:t>1</w:t>
      </w:r>
      <w:r>
        <w:rPr>
          <w:rFonts w:hint="eastAsia" w:ascii="宋体" w:hAnsi="宋体" w:cs="宋体"/>
          <w:szCs w:val="21"/>
        </w:rPr>
        <w:t>、供应商必须具备一定的资金垫付能力，若因采购人资金不能及时到位按时付款时，供应商不能因此因素影响供餐。</w:t>
      </w:r>
    </w:p>
    <w:p w14:paraId="202BB246">
      <w:pPr>
        <w:spacing w:line="360" w:lineRule="auto"/>
        <w:ind w:firstLine="424" w:firstLineChars="202"/>
        <w:rPr>
          <w:rFonts w:ascii="宋体" w:cs="宋体"/>
          <w:szCs w:val="21"/>
        </w:rPr>
      </w:pPr>
      <w:r>
        <w:rPr>
          <w:rFonts w:ascii="宋体" w:hAnsi="宋体" w:cs="宋体"/>
          <w:szCs w:val="21"/>
        </w:rPr>
        <w:t>2</w:t>
      </w:r>
      <w:r>
        <w:rPr>
          <w:rFonts w:hint="eastAsia" w:ascii="宋体" w:hAnsi="宋体" w:cs="宋体"/>
          <w:szCs w:val="21"/>
        </w:rPr>
        <w:t>、若因国家发生重大政策性调整</w:t>
      </w:r>
      <w:r>
        <w:rPr>
          <w:rFonts w:ascii="宋体" w:cs="宋体"/>
          <w:szCs w:val="21"/>
        </w:rPr>
        <w:t>,</w:t>
      </w:r>
      <w:r>
        <w:rPr>
          <w:rFonts w:hint="eastAsia" w:ascii="宋体" w:hAnsi="宋体" w:cs="宋体"/>
          <w:szCs w:val="21"/>
        </w:rPr>
        <w:t>或发生自然灾害等不可抗拒的因素致使合同无法履行时</w:t>
      </w:r>
      <w:r>
        <w:rPr>
          <w:rFonts w:ascii="宋体" w:cs="宋体"/>
          <w:szCs w:val="21"/>
        </w:rPr>
        <w:t>,</w:t>
      </w:r>
      <w:r>
        <w:rPr>
          <w:rFonts w:hint="eastAsia" w:ascii="宋体" w:hAnsi="宋体" w:cs="宋体"/>
          <w:szCs w:val="21"/>
        </w:rPr>
        <w:t>甲方有权解除合同。</w:t>
      </w:r>
    </w:p>
    <w:p w14:paraId="33067AA8">
      <w:pPr>
        <w:spacing w:line="360" w:lineRule="auto"/>
        <w:rPr>
          <w:rFonts w:ascii="宋体" w:cs="宋体"/>
          <w:b/>
          <w:bCs/>
          <w:szCs w:val="21"/>
        </w:rPr>
      </w:pPr>
      <w:r>
        <w:rPr>
          <w:rFonts w:hint="eastAsia" w:ascii="宋体" w:hAnsi="宋体" w:cs="宋体"/>
          <w:b/>
          <w:bCs/>
          <w:szCs w:val="21"/>
        </w:rPr>
        <w:t>十一、本合同有效附件</w:t>
      </w:r>
    </w:p>
    <w:p w14:paraId="77FD1C82">
      <w:pPr>
        <w:spacing w:line="360" w:lineRule="auto"/>
        <w:ind w:firstLine="424" w:firstLineChars="202"/>
        <w:rPr>
          <w:rFonts w:ascii="宋体" w:cs="宋体"/>
          <w:szCs w:val="21"/>
        </w:rPr>
      </w:pPr>
      <w:r>
        <w:rPr>
          <w:rFonts w:ascii="宋体" w:hAnsi="宋体" w:cs="宋体"/>
          <w:szCs w:val="21"/>
        </w:rPr>
        <w:t>1</w:t>
      </w:r>
      <w:r>
        <w:rPr>
          <w:rFonts w:hint="eastAsia" w:ascii="宋体" w:hAnsi="宋体" w:cs="宋体"/>
          <w:szCs w:val="21"/>
        </w:rPr>
        <w:t>、中标通知书。</w:t>
      </w:r>
      <w:r>
        <w:rPr>
          <w:rFonts w:ascii="宋体" w:cs="宋体"/>
          <w:szCs w:val="21"/>
        </w:rPr>
        <w:tab/>
      </w:r>
    </w:p>
    <w:p w14:paraId="55619780">
      <w:pPr>
        <w:spacing w:line="360" w:lineRule="auto"/>
        <w:ind w:firstLine="424" w:firstLineChars="202"/>
        <w:rPr>
          <w:rFonts w:ascii="宋体" w:cs="宋体"/>
          <w:szCs w:val="21"/>
        </w:rPr>
      </w:pPr>
      <w:r>
        <w:rPr>
          <w:rFonts w:ascii="宋体" w:hAnsi="宋体" w:cs="宋体"/>
          <w:szCs w:val="21"/>
        </w:rPr>
        <w:t>2</w:t>
      </w:r>
      <w:r>
        <w:rPr>
          <w:rFonts w:hint="eastAsia" w:ascii="宋体" w:hAnsi="宋体" w:cs="宋体"/>
          <w:szCs w:val="21"/>
        </w:rPr>
        <w:t>、本项目采购文件。</w:t>
      </w:r>
    </w:p>
    <w:p w14:paraId="31F6B3F7">
      <w:pPr>
        <w:spacing w:line="360" w:lineRule="auto"/>
        <w:ind w:firstLine="424" w:firstLineChars="202"/>
        <w:rPr>
          <w:rFonts w:ascii="宋体" w:cs="宋体"/>
          <w:szCs w:val="21"/>
        </w:rPr>
      </w:pPr>
      <w:r>
        <w:rPr>
          <w:rFonts w:ascii="宋体" w:hAnsi="宋体" w:cs="宋体"/>
          <w:szCs w:val="21"/>
        </w:rPr>
        <w:t>3</w:t>
      </w:r>
      <w:r>
        <w:rPr>
          <w:rFonts w:hint="eastAsia" w:ascii="宋体" w:hAnsi="宋体" w:cs="宋体"/>
          <w:szCs w:val="21"/>
        </w:rPr>
        <w:t>、本项目投标文件。</w:t>
      </w:r>
    </w:p>
    <w:p w14:paraId="384FAE58">
      <w:pPr>
        <w:spacing w:line="360" w:lineRule="auto"/>
        <w:rPr>
          <w:rFonts w:ascii="宋体" w:cs="宋体"/>
          <w:b/>
          <w:bCs/>
          <w:szCs w:val="21"/>
        </w:rPr>
      </w:pPr>
      <w:r>
        <w:rPr>
          <w:rFonts w:hint="eastAsia" w:ascii="宋体" w:hAnsi="宋体" w:cs="宋体"/>
          <w:b/>
          <w:bCs/>
          <w:szCs w:val="21"/>
        </w:rPr>
        <w:t>十二、合同份数</w:t>
      </w:r>
    </w:p>
    <w:p w14:paraId="2932C02C">
      <w:pPr>
        <w:spacing w:line="360" w:lineRule="auto"/>
        <w:ind w:firstLine="424" w:firstLineChars="202"/>
        <w:rPr>
          <w:rFonts w:ascii="宋体" w:cs="宋体"/>
          <w:szCs w:val="21"/>
        </w:rPr>
      </w:pPr>
      <w:r>
        <w:rPr>
          <w:rFonts w:hint="eastAsia" w:ascii="宋体" w:hAnsi="宋体" w:cs="宋体"/>
          <w:szCs w:val="21"/>
        </w:rPr>
        <w:t>本合同经供、需双方代表签字盖章生效。本协议一式</w:t>
      </w:r>
      <w:r>
        <w:rPr>
          <w:rFonts w:ascii="宋体" w:cs="宋体"/>
          <w:szCs w:val="21"/>
          <w:u w:val="single"/>
        </w:rPr>
        <w:tab/>
      </w:r>
      <w:r>
        <w:rPr>
          <w:rFonts w:hint="eastAsia" w:ascii="宋体" w:hAnsi="宋体" w:cs="宋体"/>
          <w:szCs w:val="21"/>
        </w:rPr>
        <w:t>份，供、需双方各执</w:t>
      </w:r>
      <w:r>
        <w:rPr>
          <w:rFonts w:ascii="宋体" w:cs="宋体"/>
          <w:szCs w:val="21"/>
        </w:rPr>
        <w:tab/>
      </w:r>
      <w:r>
        <w:rPr>
          <w:rFonts w:hint="eastAsia" w:ascii="宋体" w:hAnsi="宋体" w:cs="宋体"/>
          <w:szCs w:val="21"/>
        </w:rPr>
        <w:t>份，其余呈送相关职能部门。本合同从双方签订之日起生效。</w:t>
      </w:r>
    </w:p>
    <w:p w14:paraId="2DC531C9">
      <w:pPr>
        <w:spacing w:line="360" w:lineRule="auto"/>
        <w:rPr>
          <w:rFonts w:ascii="宋体" w:cs="宋体"/>
          <w:b/>
          <w:bCs/>
          <w:szCs w:val="21"/>
        </w:rPr>
      </w:pPr>
      <w:r>
        <w:rPr>
          <w:rFonts w:hint="eastAsia" w:ascii="宋体" w:hAnsi="宋体" w:cs="宋体"/>
          <w:b/>
          <w:bCs/>
          <w:szCs w:val="21"/>
        </w:rPr>
        <w:t>十二、补充条款</w:t>
      </w:r>
    </w:p>
    <w:p w14:paraId="21F222AF">
      <w:pPr>
        <w:spacing w:line="360" w:lineRule="auto"/>
        <w:ind w:firstLine="424" w:firstLineChars="202"/>
        <w:rPr>
          <w:rFonts w:ascii="宋体" w:cs="宋体"/>
          <w:szCs w:val="21"/>
        </w:rPr>
      </w:pPr>
      <w:r>
        <w:rPr>
          <w:rFonts w:hint="eastAsia" w:ascii="宋体" w:hAnsi="宋体" w:cs="宋体"/>
          <w:szCs w:val="21"/>
        </w:rPr>
        <w:t>未尽事宜由供需双方协商解决，供需双方可签订补充协议，补充协议与本合同具有同等法律效力。</w:t>
      </w:r>
    </w:p>
    <w:p w14:paraId="64F259D2">
      <w:pPr>
        <w:spacing w:line="360" w:lineRule="auto"/>
        <w:rPr>
          <w:rFonts w:ascii="宋体" w:cs="宋体"/>
          <w:szCs w:val="21"/>
        </w:rPr>
      </w:pPr>
      <w:r>
        <w:rPr>
          <w:rFonts w:ascii="宋体" w:cs="宋体"/>
          <w:szCs w:val="21"/>
        </w:rPr>
        <w:br w:type="page"/>
      </w:r>
      <w:r>
        <w:rPr>
          <w:rFonts w:hint="eastAsia" w:ascii="宋体" w:hAnsi="宋体" w:cs="宋体"/>
          <w:szCs w:val="21"/>
        </w:rPr>
        <w:t>附件一</w:t>
      </w:r>
      <w:r>
        <w:rPr>
          <w:rFonts w:ascii="宋体" w:hAnsi="宋体" w:cs="宋体"/>
          <w:szCs w:val="21"/>
        </w:rPr>
        <w:t>:</w:t>
      </w:r>
    </w:p>
    <w:p w14:paraId="2DDC9AC5">
      <w:pPr>
        <w:spacing w:line="360" w:lineRule="auto"/>
        <w:rPr>
          <w:rFonts w:ascii="宋体" w:cs="宋体"/>
          <w:b/>
          <w:szCs w:val="21"/>
        </w:rPr>
      </w:pPr>
      <w:r>
        <w:rPr>
          <w:rFonts w:hint="eastAsia" w:ascii="宋体" w:hAnsi="宋体" w:cs="宋体"/>
          <w:b/>
          <w:szCs w:val="21"/>
        </w:rPr>
        <w:t>一、工作人员个人卫生</w:t>
      </w:r>
    </w:p>
    <w:p w14:paraId="02805A6B">
      <w:pPr>
        <w:spacing w:line="360" w:lineRule="auto"/>
        <w:ind w:firstLine="424" w:firstLineChars="202"/>
        <w:rPr>
          <w:rFonts w:ascii="宋体" w:cs="宋体"/>
          <w:szCs w:val="21"/>
        </w:rPr>
      </w:pPr>
      <w:r>
        <w:rPr>
          <w:rFonts w:ascii="宋体" w:hAnsi="宋体" w:cs="宋体"/>
          <w:szCs w:val="21"/>
        </w:rPr>
        <w:t>1</w:t>
      </w:r>
      <w:r>
        <w:rPr>
          <w:rFonts w:hint="eastAsia" w:ascii="宋体" w:hAnsi="宋体" w:cs="宋体"/>
          <w:szCs w:val="21"/>
        </w:rPr>
        <w:t>、着装仪表</w:t>
      </w:r>
      <w:r>
        <w:rPr>
          <w:rFonts w:ascii="宋体" w:hAnsi="宋体" w:cs="宋体"/>
          <w:szCs w:val="21"/>
        </w:rPr>
        <w:t>:</w:t>
      </w:r>
      <w:r>
        <w:rPr>
          <w:rFonts w:hint="eastAsia" w:ascii="宋体" w:hAnsi="宋体" w:cs="宋体"/>
          <w:szCs w:val="21"/>
        </w:rPr>
        <w:t>工作人员在工作时必须将工作服、工作帽穿戴整齐</w:t>
      </w:r>
      <w:r>
        <w:rPr>
          <w:rFonts w:ascii="宋体" w:hAnsi="宋体" w:cs="宋体"/>
          <w:szCs w:val="21"/>
        </w:rPr>
        <w:t>;</w:t>
      </w:r>
      <w:r>
        <w:rPr>
          <w:rFonts w:hint="eastAsia" w:ascii="宋体" w:hAnsi="宋体" w:cs="宋体"/>
          <w:szCs w:val="21"/>
        </w:rPr>
        <w:t>头部要保持清洁</w:t>
      </w:r>
      <w:r>
        <w:rPr>
          <w:rFonts w:ascii="宋体" w:cs="宋体"/>
          <w:szCs w:val="21"/>
        </w:rPr>
        <w:t>,</w:t>
      </w:r>
      <w:r>
        <w:rPr>
          <w:rFonts w:hint="eastAsia" w:ascii="宋体" w:hAnsi="宋体" w:cs="宋体"/>
          <w:szCs w:val="21"/>
        </w:rPr>
        <w:t>发型和长发不得影响工作和卫生为标准</w:t>
      </w:r>
      <w:r>
        <w:rPr>
          <w:rFonts w:ascii="宋体" w:hAnsi="宋体" w:cs="宋体"/>
          <w:szCs w:val="21"/>
        </w:rPr>
        <w:t>;</w:t>
      </w:r>
      <w:r>
        <w:rPr>
          <w:rFonts w:hint="eastAsia" w:ascii="宋体" w:hAnsi="宋体" w:cs="宋体"/>
          <w:szCs w:val="21"/>
        </w:rPr>
        <w:t>女性工作人员不可以化妆和佩戴首饰</w:t>
      </w:r>
      <w:r>
        <w:rPr>
          <w:rFonts w:ascii="宋体" w:hAnsi="宋体" w:cs="宋体"/>
          <w:szCs w:val="21"/>
        </w:rPr>
        <w:t>;</w:t>
      </w:r>
      <w:r>
        <w:rPr>
          <w:rFonts w:hint="eastAsia" w:ascii="宋体" w:hAnsi="宋体" w:cs="宋体"/>
          <w:szCs w:val="21"/>
        </w:rPr>
        <w:t>工作服要保持清洁卫生</w:t>
      </w:r>
      <w:r>
        <w:rPr>
          <w:rFonts w:ascii="宋体" w:cs="宋体"/>
          <w:szCs w:val="21"/>
        </w:rPr>
        <w:t>,</w:t>
      </w:r>
      <w:r>
        <w:rPr>
          <w:rFonts w:hint="eastAsia" w:ascii="宋体" w:hAnsi="宋体" w:cs="宋体"/>
          <w:szCs w:val="21"/>
        </w:rPr>
        <w:t>勤洗勤换并做到专人专用</w:t>
      </w:r>
      <w:r>
        <w:rPr>
          <w:rFonts w:ascii="宋体" w:hAnsi="宋体" w:cs="宋体"/>
          <w:szCs w:val="21"/>
        </w:rPr>
        <w:t>;</w:t>
      </w:r>
      <w:r>
        <w:rPr>
          <w:rFonts w:hint="eastAsia" w:ascii="宋体" w:hAnsi="宋体" w:cs="宋体"/>
          <w:szCs w:val="21"/>
        </w:rPr>
        <w:t>严禁穿背心、内衣裤、超短裙、裤以及睡衣上岗</w:t>
      </w:r>
      <w:r>
        <w:rPr>
          <w:rFonts w:ascii="宋体" w:hAnsi="宋体" w:cs="宋体"/>
          <w:szCs w:val="21"/>
        </w:rPr>
        <w:t>;</w:t>
      </w:r>
      <w:r>
        <w:rPr>
          <w:rFonts w:hint="eastAsia" w:ascii="宋体" w:hAnsi="宋体" w:cs="宋体"/>
          <w:szCs w:val="21"/>
        </w:rPr>
        <w:t>上厕所应及时换下工作服。违规者每人次罚款</w:t>
      </w:r>
      <w:r>
        <w:rPr>
          <w:rFonts w:ascii="宋体" w:hAnsi="宋体" w:cs="宋体"/>
          <w:szCs w:val="21"/>
        </w:rPr>
        <w:t>20</w:t>
      </w:r>
      <w:r>
        <w:rPr>
          <w:rFonts w:hint="eastAsia" w:ascii="宋体" w:hAnsi="宋体" w:cs="宋体"/>
          <w:szCs w:val="21"/>
        </w:rPr>
        <w:t>元。</w:t>
      </w:r>
    </w:p>
    <w:p w14:paraId="26C031D2">
      <w:pPr>
        <w:spacing w:line="360" w:lineRule="auto"/>
        <w:ind w:firstLine="424" w:firstLineChars="202"/>
        <w:rPr>
          <w:rFonts w:ascii="宋体" w:cs="宋体"/>
          <w:szCs w:val="21"/>
        </w:rPr>
      </w:pPr>
      <w:r>
        <w:rPr>
          <w:rFonts w:ascii="宋体" w:hAnsi="宋体" w:cs="宋体"/>
          <w:szCs w:val="21"/>
        </w:rPr>
        <w:t>2</w:t>
      </w:r>
      <w:r>
        <w:rPr>
          <w:rFonts w:hint="eastAsia" w:ascii="宋体" w:hAnsi="宋体" w:cs="宋体"/>
          <w:szCs w:val="21"/>
        </w:rPr>
        <w:t>、男工作人员严禁留长发、胡子、长指甲</w:t>
      </w:r>
      <w:r>
        <w:rPr>
          <w:rFonts w:ascii="宋体" w:hAnsi="宋体" w:cs="宋体"/>
          <w:szCs w:val="21"/>
        </w:rPr>
        <w:t>;</w:t>
      </w:r>
      <w:r>
        <w:rPr>
          <w:rFonts w:hint="eastAsia" w:ascii="宋体" w:hAnsi="宋体" w:cs="宋体"/>
          <w:szCs w:val="21"/>
        </w:rPr>
        <w:t>女工作人员头发盘在工作帽内为宜</w:t>
      </w:r>
      <w:r>
        <w:rPr>
          <w:rFonts w:ascii="宋体" w:cs="宋体"/>
          <w:szCs w:val="21"/>
        </w:rPr>
        <w:t>,</w:t>
      </w:r>
      <w:r>
        <w:rPr>
          <w:rFonts w:hint="eastAsia" w:ascii="宋体" w:hAnsi="宋体" w:cs="宋体"/>
          <w:szCs w:val="21"/>
        </w:rPr>
        <w:t>严禁留长指甲及涂指甲油。违规者每人次罚款</w:t>
      </w:r>
      <w:r>
        <w:rPr>
          <w:rFonts w:ascii="宋体" w:hAnsi="宋体" w:cs="宋体"/>
          <w:szCs w:val="21"/>
        </w:rPr>
        <w:t>20</w:t>
      </w:r>
      <w:r>
        <w:rPr>
          <w:rFonts w:hint="eastAsia" w:ascii="宋体" w:hAnsi="宋体" w:cs="宋体"/>
          <w:szCs w:val="21"/>
        </w:rPr>
        <w:t>元。</w:t>
      </w:r>
    </w:p>
    <w:p w14:paraId="21A48419">
      <w:pPr>
        <w:spacing w:line="360" w:lineRule="auto"/>
        <w:ind w:firstLine="424" w:firstLineChars="202"/>
        <w:rPr>
          <w:rFonts w:ascii="宋体" w:cs="宋体"/>
          <w:szCs w:val="21"/>
        </w:rPr>
      </w:pPr>
      <w:r>
        <w:rPr>
          <w:rFonts w:ascii="宋体" w:hAnsi="宋体" w:cs="宋体"/>
          <w:szCs w:val="21"/>
        </w:rPr>
        <w:t>3</w:t>
      </w:r>
      <w:r>
        <w:rPr>
          <w:rFonts w:hint="eastAsia" w:ascii="宋体" w:hAnsi="宋体" w:cs="宋体"/>
          <w:szCs w:val="21"/>
        </w:rPr>
        <w:t>、严禁工作人员上班时间掏耳朵、挖鼻孔、搔头发、抓痒或对着别人打喷嚏</w:t>
      </w:r>
      <w:r>
        <w:rPr>
          <w:rFonts w:ascii="宋体" w:cs="宋体"/>
          <w:szCs w:val="21"/>
        </w:rPr>
        <w:t>,</w:t>
      </w:r>
      <w:r>
        <w:rPr>
          <w:rFonts w:hint="eastAsia" w:ascii="宋体" w:hAnsi="宋体" w:cs="宋体"/>
          <w:szCs w:val="21"/>
        </w:rPr>
        <w:t>严禁随地吐痰、乱抛垃圾。违规者每人次罚款</w:t>
      </w:r>
      <w:r>
        <w:rPr>
          <w:rFonts w:ascii="宋体" w:hAnsi="宋体" w:cs="宋体"/>
          <w:szCs w:val="21"/>
        </w:rPr>
        <w:t>20</w:t>
      </w:r>
      <w:r>
        <w:rPr>
          <w:rFonts w:hint="eastAsia" w:ascii="宋体" w:hAnsi="宋体" w:cs="宋体"/>
          <w:szCs w:val="21"/>
        </w:rPr>
        <w:t>元。</w:t>
      </w:r>
    </w:p>
    <w:p w14:paraId="7E3F6D67">
      <w:pPr>
        <w:spacing w:line="360" w:lineRule="auto"/>
        <w:ind w:firstLine="424" w:firstLineChars="202"/>
        <w:rPr>
          <w:rFonts w:ascii="宋体" w:cs="宋体"/>
          <w:szCs w:val="21"/>
        </w:rPr>
      </w:pPr>
      <w:r>
        <w:rPr>
          <w:rFonts w:ascii="宋体" w:hAnsi="宋体" w:cs="宋体"/>
          <w:szCs w:val="21"/>
        </w:rPr>
        <w:t>4</w:t>
      </w:r>
      <w:r>
        <w:rPr>
          <w:rFonts w:hint="eastAsia" w:ascii="宋体" w:hAnsi="宋体" w:cs="宋体"/>
          <w:szCs w:val="21"/>
        </w:rPr>
        <w:t>、严禁在洗碗池、洗菜池内洗涤衣服、袜或其它私人物品。违规者每人次罚款</w:t>
      </w:r>
      <w:r>
        <w:rPr>
          <w:rFonts w:ascii="宋体" w:hAnsi="宋体" w:cs="宋体"/>
          <w:szCs w:val="21"/>
        </w:rPr>
        <w:t>100</w:t>
      </w:r>
      <w:r>
        <w:rPr>
          <w:rFonts w:hint="eastAsia" w:ascii="宋体" w:hAnsi="宋体" w:cs="宋体"/>
          <w:szCs w:val="21"/>
        </w:rPr>
        <w:t>元。</w:t>
      </w:r>
    </w:p>
    <w:p w14:paraId="4EC2CFB5">
      <w:pPr>
        <w:spacing w:line="360" w:lineRule="auto"/>
        <w:ind w:firstLine="424" w:firstLineChars="202"/>
        <w:rPr>
          <w:rFonts w:ascii="宋体" w:cs="宋体"/>
          <w:szCs w:val="21"/>
        </w:rPr>
      </w:pPr>
      <w:r>
        <w:rPr>
          <w:rFonts w:ascii="宋体" w:hAnsi="宋体" w:cs="宋体"/>
          <w:szCs w:val="21"/>
        </w:rPr>
        <w:t>5</w:t>
      </w:r>
      <w:r>
        <w:rPr>
          <w:rFonts w:hint="eastAsia" w:ascii="宋体" w:hAnsi="宋体" w:cs="宋体"/>
          <w:szCs w:val="21"/>
        </w:rPr>
        <w:t>、所有工作人员在供餐时需要用手接触食品及餐具时必须戴上一次性卫生手套。违规者每人次罚款</w:t>
      </w:r>
      <w:r>
        <w:rPr>
          <w:rFonts w:ascii="宋体" w:hAnsi="宋体" w:cs="宋体"/>
          <w:szCs w:val="21"/>
        </w:rPr>
        <w:t>20</w:t>
      </w:r>
      <w:r>
        <w:rPr>
          <w:rFonts w:hint="eastAsia" w:ascii="宋体" w:hAnsi="宋体" w:cs="宋体"/>
          <w:szCs w:val="21"/>
        </w:rPr>
        <w:t>元。</w:t>
      </w:r>
    </w:p>
    <w:p w14:paraId="560694AD">
      <w:pPr>
        <w:spacing w:line="360" w:lineRule="auto"/>
        <w:ind w:firstLine="424" w:firstLineChars="202"/>
        <w:rPr>
          <w:rFonts w:ascii="宋体" w:cs="宋体"/>
          <w:szCs w:val="21"/>
        </w:rPr>
      </w:pPr>
      <w:r>
        <w:rPr>
          <w:rFonts w:ascii="宋体" w:hAnsi="宋体" w:cs="宋体"/>
          <w:szCs w:val="21"/>
        </w:rPr>
        <w:t>6</w:t>
      </w:r>
      <w:r>
        <w:rPr>
          <w:rFonts w:hint="eastAsia" w:ascii="宋体" w:hAnsi="宋体" w:cs="宋体"/>
          <w:szCs w:val="21"/>
        </w:rPr>
        <w:t>、所有工作人员在工作时间内抽烟、喝酒、吃零食或嬉笑打闹、吵架、打架、赌博等非工作所需的行为。违规者每人次罚款</w:t>
      </w:r>
      <w:r>
        <w:rPr>
          <w:rFonts w:ascii="宋体" w:hAnsi="宋体" w:cs="宋体"/>
          <w:szCs w:val="21"/>
        </w:rPr>
        <w:t>100</w:t>
      </w:r>
      <w:r>
        <w:rPr>
          <w:rFonts w:hint="eastAsia" w:ascii="宋体" w:hAnsi="宋体" w:cs="宋体"/>
          <w:szCs w:val="21"/>
        </w:rPr>
        <w:t>元。</w:t>
      </w:r>
    </w:p>
    <w:p w14:paraId="5E947854">
      <w:pPr>
        <w:spacing w:line="360" w:lineRule="auto"/>
        <w:ind w:firstLine="424" w:firstLineChars="202"/>
        <w:rPr>
          <w:rFonts w:ascii="宋体" w:cs="宋体"/>
          <w:szCs w:val="21"/>
        </w:rPr>
      </w:pPr>
      <w:r>
        <w:rPr>
          <w:rFonts w:ascii="宋体" w:hAnsi="宋体" w:cs="宋体"/>
          <w:szCs w:val="21"/>
        </w:rPr>
        <w:t>7</w:t>
      </w:r>
      <w:r>
        <w:rPr>
          <w:rFonts w:hint="eastAsia" w:ascii="宋体" w:hAnsi="宋体" w:cs="宋体"/>
          <w:szCs w:val="21"/>
        </w:rPr>
        <w:t>、从业人员持有健康证明上岗。违规者每人次罚款</w:t>
      </w:r>
      <w:r>
        <w:rPr>
          <w:rFonts w:ascii="宋体" w:hAnsi="宋体" w:cs="宋体"/>
          <w:szCs w:val="21"/>
        </w:rPr>
        <w:t>300</w:t>
      </w:r>
      <w:r>
        <w:rPr>
          <w:rFonts w:hint="eastAsia" w:ascii="宋体" w:hAnsi="宋体" w:cs="宋体"/>
          <w:szCs w:val="21"/>
        </w:rPr>
        <w:t>元。</w:t>
      </w:r>
    </w:p>
    <w:p w14:paraId="3AA5EF2A">
      <w:pPr>
        <w:spacing w:line="360" w:lineRule="auto"/>
        <w:rPr>
          <w:rFonts w:ascii="宋体" w:cs="宋体"/>
          <w:b/>
          <w:szCs w:val="21"/>
        </w:rPr>
      </w:pPr>
      <w:r>
        <w:rPr>
          <w:rFonts w:hint="eastAsia" w:ascii="宋体" w:hAnsi="宋体" w:cs="宋体"/>
          <w:b/>
          <w:szCs w:val="21"/>
        </w:rPr>
        <w:t>二、仓库管理：</w:t>
      </w:r>
    </w:p>
    <w:p w14:paraId="25326E1A">
      <w:pPr>
        <w:spacing w:line="360" w:lineRule="auto"/>
        <w:ind w:firstLine="424" w:firstLineChars="202"/>
        <w:rPr>
          <w:rFonts w:ascii="宋体" w:cs="宋体"/>
          <w:szCs w:val="21"/>
        </w:rPr>
      </w:pPr>
      <w:r>
        <w:rPr>
          <w:rFonts w:ascii="宋体" w:hAnsi="宋体" w:cs="宋体"/>
          <w:szCs w:val="21"/>
        </w:rPr>
        <w:t>1</w:t>
      </w:r>
      <w:r>
        <w:rPr>
          <w:rFonts w:hint="eastAsia" w:ascii="宋体" w:hAnsi="宋体" w:cs="宋体"/>
          <w:szCs w:val="21"/>
        </w:rPr>
        <w:t>、仓库严禁存入清洁用品及有强烈气味、有毒、有害或非食用的物品。</w:t>
      </w:r>
    </w:p>
    <w:p w14:paraId="1B2AF64D">
      <w:pPr>
        <w:spacing w:line="360" w:lineRule="auto"/>
        <w:ind w:firstLine="424" w:firstLineChars="202"/>
        <w:rPr>
          <w:rFonts w:ascii="宋体" w:cs="宋体"/>
          <w:szCs w:val="21"/>
        </w:rPr>
      </w:pPr>
      <w:r>
        <w:rPr>
          <w:rFonts w:ascii="宋体" w:hAnsi="宋体" w:cs="宋体"/>
          <w:szCs w:val="21"/>
        </w:rPr>
        <w:t>2</w:t>
      </w:r>
      <w:r>
        <w:rPr>
          <w:rFonts w:hint="eastAsia" w:ascii="宋体" w:hAnsi="宋体" w:cs="宋体"/>
          <w:szCs w:val="21"/>
        </w:rPr>
        <w:t>、仓库必须通风、干燥、干净卫生、整齐有序</w:t>
      </w:r>
      <w:r>
        <w:rPr>
          <w:rFonts w:ascii="宋体" w:cs="宋体"/>
          <w:szCs w:val="21"/>
        </w:rPr>
        <w:t>,</w:t>
      </w:r>
      <w:r>
        <w:rPr>
          <w:rFonts w:hint="eastAsia" w:ascii="宋体" w:hAnsi="宋体" w:cs="宋体"/>
          <w:szCs w:val="21"/>
        </w:rPr>
        <w:t>每天专人负责定时清洁。</w:t>
      </w:r>
    </w:p>
    <w:p w14:paraId="4ECA4166">
      <w:pPr>
        <w:spacing w:line="360" w:lineRule="auto"/>
        <w:ind w:firstLine="424" w:firstLineChars="202"/>
        <w:rPr>
          <w:rFonts w:ascii="宋体" w:cs="宋体"/>
          <w:szCs w:val="21"/>
        </w:rPr>
      </w:pPr>
      <w:r>
        <w:rPr>
          <w:rFonts w:ascii="宋体" w:hAnsi="宋体" w:cs="宋体"/>
          <w:szCs w:val="21"/>
        </w:rPr>
        <w:t>3</w:t>
      </w:r>
      <w:r>
        <w:rPr>
          <w:rFonts w:hint="eastAsia" w:ascii="宋体" w:hAnsi="宋体" w:cs="宋体"/>
          <w:szCs w:val="21"/>
        </w:rPr>
        <w:t>、仓库必须实行专人定点管理</w:t>
      </w:r>
      <w:r>
        <w:rPr>
          <w:rFonts w:ascii="宋体" w:cs="宋体"/>
          <w:szCs w:val="21"/>
        </w:rPr>
        <w:t>,</w:t>
      </w:r>
      <w:r>
        <w:rPr>
          <w:rFonts w:hint="eastAsia" w:ascii="宋体" w:hAnsi="宋体" w:cs="宋体"/>
          <w:szCs w:val="21"/>
        </w:rPr>
        <w:t>注意防盗、防火、防虫害、人离开时必须锁好仓库门</w:t>
      </w:r>
      <w:r>
        <w:rPr>
          <w:rFonts w:ascii="宋体" w:cs="宋体"/>
          <w:szCs w:val="21"/>
        </w:rPr>
        <w:t>,</w:t>
      </w:r>
      <w:r>
        <w:rPr>
          <w:rFonts w:hint="eastAsia" w:ascii="宋体" w:hAnsi="宋体" w:cs="宋体"/>
          <w:szCs w:val="21"/>
        </w:rPr>
        <w:t>按规定定期杀虫灭鼠</w:t>
      </w:r>
      <w:r>
        <w:rPr>
          <w:rFonts w:ascii="宋体" w:cs="宋体"/>
          <w:szCs w:val="21"/>
        </w:rPr>
        <w:t>,</w:t>
      </w:r>
      <w:r>
        <w:rPr>
          <w:rFonts w:hint="eastAsia" w:ascii="宋体" w:hAnsi="宋体" w:cs="宋体"/>
          <w:szCs w:val="21"/>
        </w:rPr>
        <w:t>确保无苍蝇、蚊子、老鼠、蟑螂等害虫。</w:t>
      </w:r>
    </w:p>
    <w:p w14:paraId="1197623D">
      <w:pPr>
        <w:spacing w:line="360" w:lineRule="auto"/>
        <w:ind w:firstLine="424" w:firstLineChars="202"/>
        <w:rPr>
          <w:rFonts w:ascii="宋体" w:cs="宋体"/>
          <w:szCs w:val="21"/>
        </w:rPr>
      </w:pPr>
      <w:r>
        <w:rPr>
          <w:rFonts w:hint="eastAsia" w:ascii="宋体" w:hAnsi="宋体" w:cs="宋体"/>
          <w:szCs w:val="21"/>
        </w:rPr>
        <w:t>违规以上之一的</w:t>
      </w:r>
      <w:r>
        <w:rPr>
          <w:rFonts w:ascii="宋体" w:cs="宋体"/>
          <w:szCs w:val="21"/>
        </w:rPr>
        <w:t>,</w:t>
      </w:r>
      <w:r>
        <w:rPr>
          <w:rFonts w:hint="eastAsia" w:ascii="宋体" w:hAnsi="宋体" w:cs="宋体"/>
          <w:szCs w:val="21"/>
        </w:rPr>
        <w:t>每次罚款</w:t>
      </w:r>
      <w:r>
        <w:rPr>
          <w:rFonts w:ascii="宋体" w:hAnsi="宋体" w:cs="宋体"/>
          <w:szCs w:val="21"/>
        </w:rPr>
        <w:t>200</w:t>
      </w:r>
      <w:r>
        <w:rPr>
          <w:rFonts w:hint="eastAsia" w:ascii="宋体" w:hAnsi="宋体" w:cs="宋体"/>
          <w:szCs w:val="21"/>
        </w:rPr>
        <w:t>元。</w:t>
      </w:r>
    </w:p>
    <w:p w14:paraId="191A50AB">
      <w:pPr>
        <w:spacing w:line="360" w:lineRule="auto"/>
        <w:rPr>
          <w:rFonts w:ascii="宋体" w:cs="宋体"/>
          <w:b/>
          <w:szCs w:val="21"/>
        </w:rPr>
      </w:pPr>
      <w:r>
        <w:rPr>
          <w:rFonts w:hint="eastAsia" w:ascii="宋体" w:hAnsi="宋体" w:cs="宋体"/>
          <w:b/>
          <w:szCs w:val="21"/>
        </w:rPr>
        <w:t>三、物质防疫制度：</w:t>
      </w:r>
    </w:p>
    <w:p w14:paraId="02406F67">
      <w:pPr>
        <w:spacing w:line="360" w:lineRule="auto"/>
        <w:ind w:firstLine="424" w:firstLineChars="202"/>
        <w:rPr>
          <w:rFonts w:ascii="宋体" w:cs="宋体"/>
          <w:szCs w:val="21"/>
        </w:rPr>
      </w:pPr>
      <w:r>
        <w:rPr>
          <w:rFonts w:hint="eastAsia" w:ascii="宋体" w:hAnsi="宋体" w:cs="宋体"/>
          <w:szCs w:val="21"/>
        </w:rPr>
        <w:t>食源性细菌感染病</w:t>
      </w:r>
      <w:r>
        <w:rPr>
          <w:rFonts w:ascii="宋体" w:cs="宋体"/>
          <w:szCs w:val="21"/>
        </w:rPr>
        <w:t>,</w:t>
      </w:r>
      <w:r>
        <w:rPr>
          <w:rFonts w:hint="eastAsia" w:ascii="宋体" w:hAnsi="宋体" w:cs="宋体"/>
          <w:szCs w:val="21"/>
        </w:rPr>
        <w:t>主要有霍乱弧菌、志贺痢疾杆菌、沙门菌、弯曲菌、致病大肠菌和利期特菌等引起。为了最大限度减少食源性感染病的发生</w:t>
      </w:r>
      <w:r>
        <w:rPr>
          <w:rFonts w:ascii="宋体" w:cs="宋体"/>
          <w:szCs w:val="21"/>
        </w:rPr>
        <w:t>,</w:t>
      </w:r>
      <w:r>
        <w:rPr>
          <w:rFonts w:hint="eastAsia" w:ascii="宋体" w:hAnsi="宋体" w:cs="宋体"/>
          <w:szCs w:val="21"/>
        </w:rPr>
        <w:t>应严格遵守以下措施。</w:t>
      </w:r>
    </w:p>
    <w:p w14:paraId="74FFA5BA">
      <w:pPr>
        <w:numPr>
          <w:ilvl w:val="0"/>
          <w:numId w:val="14"/>
        </w:numPr>
        <w:spacing w:line="360" w:lineRule="auto"/>
        <w:ind w:firstLine="424" w:firstLineChars="202"/>
        <w:rPr>
          <w:rFonts w:ascii="宋体" w:cs="宋体"/>
          <w:szCs w:val="21"/>
        </w:rPr>
      </w:pPr>
      <w:r>
        <w:rPr>
          <w:rFonts w:hint="eastAsia" w:ascii="宋体" w:hAnsi="宋体" w:cs="宋体"/>
          <w:szCs w:val="21"/>
        </w:rPr>
        <w:t>用于原料、关于成品、成品的食品容器和工具标识清楚</w:t>
      </w:r>
      <w:r>
        <w:rPr>
          <w:rFonts w:ascii="宋体" w:cs="宋体"/>
          <w:szCs w:val="21"/>
        </w:rPr>
        <w:t>,</w:t>
      </w:r>
      <w:r>
        <w:rPr>
          <w:rFonts w:hint="eastAsia" w:ascii="宋体" w:hAnsi="宋体" w:cs="宋体"/>
          <w:szCs w:val="21"/>
        </w:rPr>
        <w:t>做到分开使用。</w:t>
      </w:r>
    </w:p>
    <w:p w14:paraId="4A478E4A">
      <w:pPr>
        <w:numPr>
          <w:ilvl w:val="0"/>
          <w:numId w:val="14"/>
        </w:numPr>
        <w:spacing w:line="360" w:lineRule="auto"/>
        <w:ind w:firstLine="424" w:firstLineChars="202"/>
        <w:rPr>
          <w:rFonts w:ascii="宋体" w:cs="宋体"/>
          <w:szCs w:val="21"/>
        </w:rPr>
      </w:pPr>
      <w:r>
        <w:rPr>
          <w:rFonts w:hint="eastAsia" w:ascii="宋体" w:hAnsi="宋体" w:cs="宋体"/>
          <w:szCs w:val="21"/>
        </w:rPr>
        <w:t>冷冻肉类</w:t>
      </w:r>
      <w:r>
        <w:rPr>
          <w:rFonts w:ascii="宋体" w:hAnsi="宋体" w:cs="宋体"/>
          <w:szCs w:val="21"/>
        </w:rPr>
        <w:t>(</w:t>
      </w:r>
      <w:r>
        <w:rPr>
          <w:rFonts w:hint="eastAsia" w:ascii="宋体" w:hAnsi="宋体" w:cs="宋体"/>
          <w:szCs w:val="21"/>
        </w:rPr>
        <w:t>包括冻结的熟肉半成品</w:t>
      </w:r>
      <w:r>
        <w:rPr>
          <w:rFonts w:ascii="宋体" w:hAnsi="宋体" w:cs="宋体"/>
          <w:szCs w:val="21"/>
        </w:rPr>
        <w:t>)</w:t>
      </w:r>
      <w:r>
        <w:rPr>
          <w:rFonts w:hint="eastAsia" w:ascii="宋体" w:hAnsi="宋体" w:cs="宋体"/>
          <w:szCs w:val="21"/>
        </w:rPr>
        <w:t>在烹调前应完全解冻。</w:t>
      </w:r>
    </w:p>
    <w:p w14:paraId="67260F5F">
      <w:pPr>
        <w:numPr>
          <w:ilvl w:val="0"/>
          <w:numId w:val="14"/>
        </w:numPr>
        <w:spacing w:line="360" w:lineRule="auto"/>
        <w:ind w:firstLine="424" w:firstLineChars="202"/>
        <w:rPr>
          <w:rFonts w:ascii="宋体" w:cs="宋体"/>
          <w:szCs w:val="21"/>
        </w:rPr>
      </w:pPr>
      <w:r>
        <w:rPr>
          <w:rFonts w:hint="eastAsia" w:ascii="宋体" w:hAnsi="宋体" w:cs="宋体"/>
          <w:szCs w:val="21"/>
        </w:rPr>
        <w:t>烧熟煮透所有食物尤其是肉、奶、蛋及其制品</w:t>
      </w:r>
      <w:r>
        <w:rPr>
          <w:rFonts w:ascii="宋体" w:cs="宋体"/>
          <w:szCs w:val="21"/>
        </w:rPr>
        <w:t>,</w:t>
      </w:r>
      <w:r>
        <w:rPr>
          <w:rFonts w:hint="eastAsia" w:ascii="宋体" w:hAnsi="宋体" w:cs="宋体"/>
          <w:szCs w:val="21"/>
        </w:rPr>
        <w:t>大块食物的中心温度不低于</w:t>
      </w:r>
      <w:r>
        <w:rPr>
          <w:rFonts w:ascii="宋体" w:hAnsi="宋体" w:cs="宋体"/>
          <w:szCs w:val="21"/>
        </w:rPr>
        <w:t>70</w:t>
      </w:r>
      <w:r>
        <w:rPr>
          <w:rFonts w:hint="eastAsia" w:ascii="宋体" w:hAnsi="宋体" w:cs="宋体"/>
          <w:szCs w:val="21"/>
        </w:rPr>
        <w:t>℃。</w:t>
      </w:r>
    </w:p>
    <w:p w14:paraId="484A471C">
      <w:pPr>
        <w:numPr>
          <w:ilvl w:val="0"/>
          <w:numId w:val="14"/>
        </w:numPr>
        <w:spacing w:line="360" w:lineRule="auto"/>
        <w:ind w:firstLine="424" w:firstLineChars="202"/>
        <w:rPr>
          <w:rFonts w:ascii="宋体" w:cs="宋体"/>
          <w:szCs w:val="21"/>
        </w:rPr>
      </w:pPr>
      <w:r>
        <w:rPr>
          <w:rFonts w:hint="eastAsia" w:ascii="宋体" w:hAnsi="宋体" w:cs="宋体"/>
          <w:szCs w:val="21"/>
        </w:rPr>
        <w:t>蔬菜烹调程序</w:t>
      </w:r>
      <w:r>
        <w:rPr>
          <w:rFonts w:ascii="宋体" w:hAnsi="宋体" w:cs="宋体"/>
          <w:szCs w:val="21"/>
        </w:rPr>
        <w:t>:</w:t>
      </w:r>
      <w:r>
        <w:rPr>
          <w:rFonts w:hint="eastAsia" w:ascii="宋体" w:hAnsi="宋体" w:cs="宋体"/>
          <w:szCs w:val="21"/>
        </w:rPr>
        <w:t>一洗二浸三烫四炒。</w:t>
      </w:r>
    </w:p>
    <w:p w14:paraId="560716BC">
      <w:pPr>
        <w:numPr>
          <w:ilvl w:val="0"/>
          <w:numId w:val="14"/>
        </w:numPr>
        <w:spacing w:line="360" w:lineRule="auto"/>
        <w:ind w:firstLine="424" w:firstLineChars="202"/>
        <w:rPr>
          <w:rFonts w:ascii="宋体" w:cs="宋体"/>
          <w:szCs w:val="21"/>
        </w:rPr>
      </w:pPr>
      <w:r>
        <w:rPr>
          <w:rFonts w:hint="eastAsia" w:ascii="宋体" w:hAnsi="宋体" w:cs="宋体"/>
          <w:szCs w:val="21"/>
        </w:rPr>
        <w:t>不加工冷荤凉菜。</w:t>
      </w:r>
    </w:p>
    <w:p w14:paraId="30AB2459">
      <w:pPr>
        <w:numPr>
          <w:ilvl w:val="0"/>
          <w:numId w:val="14"/>
        </w:numPr>
        <w:spacing w:line="360" w:lineRule="auto"/>
        <w:ind w:firstLine="424" w:firstLineChars="202"/>
        <w:rPr>
          <w:rFonts w:ascii="宋体" w:cs="宋体"/>
          <w:szCs w:val="21"/>
        </w:rPr>
      </w:pPr>
      <w:r>
        <w:rPr>
          <w:rFonts w:hint="eastAsia" w:ascii="宋体" w:hAnsi="宋体" w:cs="宋体"/>
          <w:szCs w:val="21"/>
        </w:rPr>
        <w:t>食品以即制即售为佳</w:t>
      </w:r>
      <w:r>
        <w:rPr>
          <w:rFonts w:ascii="宋体" w:cs="宋体"/>
          <w:szCs w:val="21"/>
        </w:rPr>
        <w:t>,</w:t>
      </w:r>
      <w:r>
        <w:rPr>
          <w:rFonts w:hint="eastAsia" w:ascii="宋体" w:hAnsi="宋体" w:cs="宋体"/>
          <w:szCs w:val="21"/>
        </w:rPr>
        <w:t>制作完成至出售一般不要超过</w:t>
      </w:r>
      <w:r>
        <w:rPr>
          <w:rFonts w:ascii="宋体" w:hAnsi="宋体" w:cs="宋体"/>
          <w:szCs w:val="21"/>
        </w:rPr>
        <w:t>2</w:t>
      </w:r>
      <w:r>
        <w:rPr>
          <w:rFonts w:hint="eastAsia" w:ascii="宋体" w:hAnsi="宋体" w:cs="宋体"/>
          <w:szCs w:val="21"/>
        </w:rPr>
        <w:t>小时。</w:t>
      </w:r>
    </w:p>
    <w:p w14:paraId="29F95254">
      <w:pPr>
        <w:numPr>
          <w:ilvl w:val="0"/>
          <w:numId w:val="14"/>
        </w:numPr>
        <w:spacing w:line="360" w:lineRule="auto"/>
        <w:ind w:firstLine="424" w:firstLineChars="202"/>
        <w:rPr>
          <w:rFonts w:ascii="宋体" w:cs="宋体"/>
          <w:color w:val="auto"/>
          <w:szCs w:val="21"/>
        </w:rPr>
      </w:pPr>
      <w:r>
        <w:rPr>
          <w:rFonts w:hint="eastAsia" w:ascii="宋体" w:hAnsi="宋体" w:cs="宋体"/>
          <w:color w:val="auto"/>
          <w:szCs w:val="21"/>
        </w:rPr>
        <w:t>剩余食品禁止再次加工出售。</w:t>
      </w:r>
    </w:p>
    <w:p w14:paraId="5819A947">
      <w:pPr>
        <w:numPr>
          <w:ilvl w:val="0"/>
          <w:numId w:val="14"/>
        </w:numPr>
        <w:spacing w:line="360" w:lineRule="auto"/>
        <w:ind w:firstLine="424" w:firstLineChars="202"/>
        <w:rPr>
          <w:rFonts w:ascii="宋体" w:cs="宋体"/>
          <w:szCs w:val="21"/>
        </w:rPr>
      </w:pPr>
      <w:r>
        <w:rPr>
          <w:rFonts w:hint="eastAsia" w:ascii="宋体" w:hAnsi="宋体" w:cs="宋体"/>
          <w:szCs w:val="21"/>
        </w:rPr>
        <w:t>不使用发芽马铃薯、野生蘑菇、葫芦瓜等可能含有毒有害物质的原料加工食品。入库食品有专人验收</w:t>
      </w:r>
      <w:r>
        <w:rPr>
          <w:rFonts w:ascii="宋体" w:cs="宋体"/>
          <w:szCs w:val="21"/>
        </w:rPr>
        <w:t>,</w:t>
      </w:r>
      <w:r>
        <w:rPr>
          <w:rFonts w:hint="eastAsia" w:ascii="宋体" w:hAnsi="宋体" w:cs="宋体"/>
          <w:szCs w:val="21"/>
        </w:rPr>
        <w:t>食品分类上架摆放。</w:t>
      </w:r>
    </w:p>
    <w:p w14:paraId="2B1C3CE9">
      <w:pPr>
        <w:numPr>
          <w:ilvl w:val="0"/>
          <w:numId w:val="14"/>
        </w:numPr>
        <w:spacing w:line="360" w:lineRule="auto"/>
        <w:ind w:firstLine="424" w:firstLineChars="202"/>
        <w:rPr>
          <w:rFonts w:ascii="宋体" w:cs="宋体"/>
          <w:szCs w:val="21"/>
        </w:rPr>
      </w:pPr>
      <w:r>
        <w:rPr>
          <w:rFonts w:hint="eastAsia" w:ascii="宋体" w:hAnsi="宋体" w:cs="宋体"/>
          <w:szCs w:val="21"/>
        </w:rPr>
        <w:t>食品存放严格做到生熟分开</w:t>
      </w:r>
      <w:r>
        <w:rPr>
          <w:rFonts w:ascii="宋体" w:cs="宋体"/>
          <w:szCs w:val="21"/>
        </w:rPr>
        <w:t>,</w:t>
      </w:r>
      <w:r>
        <w:rPr>
          <w:rFonts w:hint="eastAsia" w:ascii="宋体" w:hAnsi="宋体" w:cs="宋体"/>
          <w:szCs w:val="21"/>
        </w:rPr>
        <w:t>避免交叉污染。</w:t>
      </w:r>
    </w:p>
    <w:p w14:paraId="6D7B3091">
      <w:pPr>
        <w:numPr>
          <w:ilvl w:val="0"/>
          <w:numId w:val="14"/>
        </w:numPr>
        <w:spacing w:line="360" w:lineRule="auto"/>
        <w:ind w:firstLine="424" w:firstLineChars="202"/>
        <w:rPr>
          <w:rFonts w:ascii="宋体" w:cs="宋体"/>
          <w:szCs w:val="21"/>
        </w:rPr>
      </w:pPr>
      <w:r>
        <w:rPr>
          <w:rFonts w:hint="eastAsia" w:ascii="宋体" w:hAnsi="宋体" w:cs="宋体"/>
          <w:szCs w:val="21"/>
        </w:rPr>
        <w:t>生、熟食品使用的刀具、砧板严格分开使用。</w:t>
      </w:r>
    </w:p>
    <w:p w14:paraId="7704F861">
      <w:pPr>
        <w:numPr>
          <w:ilvl w:val="0"/>
          <w:numId w:val="14"/>
        </w:numPr>
        <w:spacing w:line="360" w:lineRule="auto"/>
        <w:ind w:firstLine="424" w:firstLineChars="202"/>
        <w:rPr>
          <w:rFonts w:ascii="宋体" w:cs="宋体"/>
          <w:szCs w:val="21"/>
        </w:rPr>
      </w:pPr>
      <w:r>
        <w:rPr>
          <w:rFonts w:hint="eastAsia" w:ascii="宋体" w:hAnsi="宋体" w:cs="宋体"/>
          <w:szCs w:val="21"/>
        </w:rPr>
        <w:t>妥善保管有毒物质</w:t>
      </w:r>
      <w:r>
        <w:rPr>
          <w:rFonts w:ascii="宋体" w:cs="宋体"/>
          <w:szCs w:val="21"/>
        </w:rPr>
        <w:t>,</w:t>
      </w:r>
      <w:r>
        <w:rPr>
          <w:rFonts w:hint="eastAsia" w:ascii="宋体" w:hAnsi="宋体" w:cs="宋体"/>
          <w:szCs w:val="21"/>
        </w:rPr>
        <w:t>灭鼠药、杀虫剂等有毒有害物质</w:t>
      </w:r>
      <w:r>
        <w:rPr>
          <w:rFonts w:ascii="宋体" w:cs="宋体"/>
          <w:szCs w:val="21"/>
        </w:rPr>
        <w:t>,</w:t>
      </w:r>
      <w:r>
        <w:rPr>
          <w:rFonts w:hint="eastAsia" w:ascii="宋体" w:hAnsi="宋体" w:cs="宋体"/>
          <w:szCs w:val="21"/>
        </w:rPr>
        <w:t>不得存放在食品库房、食品加工和进餐场所。</w:t>
      </w:r>
    </w:p>
    <w:p w14:paraId="25901C35">
      <w:pPr>
        <w:numPr>
          <w:ilvl w:val="0"/>
          <w:numId w:val="14"/>
        </w:numPr>
        <w:spacing w:line="360" w:lineRule="auto"/>
        <w:ind w:firstLine="424" w:firstLineChars="202"/>
        <w:rPr>
          <w:rFonts w:ascii="宋体" w:cs="宋体"/>
          <w:szCs w:val="21"/>
        </w:rPr>
      </w:pPr>
      <w:r>
        <w:rPr>
          <w:rFonts w:hint="eastAsia" w:ascii="宋体" w:hAnsi="宋体" w:cs="宋体"/>
          <w:szCs w:val="21"/>
        </w:rPr>
        <w:t>存放硝酸盐、亚硝酸盐的容器须有明显标志</w:t>
      </w:r>
      <w:r>
        <w:rPr>
          <w:rFonts w:ascii="宋体" w:cs="宋体"/>
          <w:szCs w:val="21"/>
        </w:rPr>
        <w:t>,</w:t>
      </w:r>
      <w:r>
        <w:rPr>
          <w:rFonts w:hint="eastAsia" w:ascii="宋体" w:hAnsi="宋体" w:cs="宋体"/>
          <w:szCs w:val="21"/>
        </w:rPr>
        <w:t>避免误食、误用。</w:t>
      </w:r>
    </w:p>
    <w:p w14:paraId="6063C94F">
      <w:pPr>
        <w:numPr>
          <w:ilvl w:val="0"/>
          <w:numId w:val="14"/>
        </w:numPr>
        <w:spacing w:line="360" w:lineRule="auto"/>
        <w:ind w:firstLine="424" w:firstLineChars="202"/>
        <w:rPr>
          <w:rFonts w:ascii="宋体" w:cs="宋体"/>
          <w:szCs w:val="21"/>
        </w:rPr>
      </w:pPr>
      <w:r>
        <w:rPr>
          <w:rFonts w:hint="eastAsia" w:ascii="宋体" w:hAnsi="宋体" w:cs="宋体"/>
          <w:szCs w:val="21"/>
        </w:rPr>
        <w:t>冰箱等冷藏设备要定期清洁</w:t>
      </w:r>
      <w:r>
        <w:rPr>
          <w:rFonts w:ascii="宋体" w:cs="宋体"/>
          <w:szCs w:val="21"/>
        </w:rPr>
        <w:t>,</w:t>
      </w:r>
      <w:r>
        <w:rPr>
          <w:rFonts w:hint="eastAsia" w:ascii="宋体" w:hAnsi="宋体" w:cs="宋体"/>
          <w:szCs w:val="21"/>
        </w:rPr>
        <w:t>并保证冰箱的冷藏效果。</w:t>
      </w:r>
    </w:p>
    <w:p w14:paraId="7AFFD9D2">
      <w:pPr>
        <w:numPr>
          <w:ilvl w:val="0"/>
          <w:numId w:val="14"/>
        </w:numPr>
        <w:spacing w:line="360" w:lineRule="auto"/>
        <w:ind w:firstLine="424" w:firstLineChars="202"/>
        <w:rPr>
          <w:rFonts w:ascii="宋体" w:cs="宋体"/>
          <w:szCs w:val="21"/>
        </w:rPr>
      </w:pPr>
      <w:r>
        <w:rPr>
          <w:rFonts w:hint="eastAsia" w:ascii="宋体" w:hAnsi="宋体" w:cs="宋体"/>
          <w:szCs w:val="21"/>
        </w:rPr>
        <w:t>餐具洗消程序</w:t>
      </w:r>
      <w:r>
        <w:rPr>
          <w:rFonts w:ascii="宋体" w:hAnsi="宋体" w:cs="宋体"/>
          <w:szCs w:val="21"/>
        </w:rPr>
        <w:t>:</w:t>
      </w:r>
      <w:r>
        <w:rPr>
          <w:rFonts w:hint="eastAsia" w:ascii="宋体" w:hAnsi="宋体" w:cs="宋体"/>
          <w:szCs w:val="21"/>
        </w:rPr>
        <w:t>一刮、二洗、三冲、四消毒、五保洁</w:t>
      </w:r>
      <w:r>
        <w:rPr>
          <w:rFonts w:hint="eastAsia" w:ascii="宋体" w:hAnsi="宋体" w:cs="宋体"/>
          <w:color w:val="FF0000"/>
          <w:szCs w:val="21"/>
        </w:rPr>
        <w:t>、。</w:t>
      </w:r>
    </w:p>
    <w:p w14:paraId="598C9DAA">
      <w:pPr>
        <w:numPr>
          <w:ilvl w:val="0"/>
          <w:numId w:val="14"/>
        </w:numPr>
        <w:spacing w:line="360" w:lineRule="auto"/>
        <w:ind w:firstLine="424" w:firstLineChars="202"/>
        <w:rPr>
          <w:rFonts w:ascii="宋体" w:cs="宋体"/>
          <w:szCs w:val="21"/>
        </w:rPr>
      </w:pPr>
      <w:r>
        <w:rPr>
          <w:rFonts w:hint="eastAsia" w:ascii="宋体" w:hAnsi="宋体" w:cs="宋体"/>
          <w:szCs w:val="21"/>
        </w:rPr>
        <w:t>热力消毒要求</w:t>
      </w:r>
      <w:r>
        <w:rPr>
          <w:rFonts w:ascii="宋体" w:hAnsi="宋体" w:cs="宋体"/>
          <w:szCs w:val="21"/>
        </w:rPr>
        <w:t>:</w:t>
      </w:r>
      <w:r>
        <w:rPr>
          <w:rFonts w:hint="eastAsia" w:ascii="宋体" w:hAnsi="宋体" w:cs="宋体"/>
          <w:szCs w:val="21"/>
        </w:rPr>
        <w:t>蒸汽消毒</w:t>
      </w:r>
      <w:r>
        <w:rPr>
          <w:rFonts w:ascii="宋体" w:hAnsi="宋体" w:cs="宋体"/>
          <w:szCs w:val="21"/>
        </w:rPr>
        <w:t>100</w:t>
      </w:r>
      <w:r>
        <w:rPr>
          <w:rFonts w:hint="eastAsia" w:ascii="宋体" w:hAnsi="宋体" w:cs="宋体"/>
          <w:szCs w:val="21"/>
        </w:rPr>
        <w:t>℃</w:t>
      </w:r>
      <w:r>
        <w:rPr>
          <w:rFonts w:ascii="宋体" w:hAnsi="宋体" w:cs="宋体"/>
          <w:szCs w:val="21"/>
        </w:rPr>
        <w:t>10</w:t>
      </w:r>
      <w:r>
        <w:rPr>
          <w:rFonts w:hint="eastAsia" w:ascii="宋体" w:hAnsi="宋体" w:cs="宋体"/>
          <w:szCs w:val="21"/>
        </w:rPr>
        <w:t>分钟以上</w:t>
      </w:r>
      <w:r>
        <w:rPr>
          <w:rFonts w:ascii="宋体" w:cs="宋体"/>
          <w:szCs w:val="21"/>
        </w:rPr>
        <w:t>,</w:t>
      </w:r>
      <w:r>
        <w:rPr>
          <w:rFonts w:hint="eastAsia" w:ascii="宋体" w:hAnsi="宋体" w:cs="宋体"/>
          <w:color w:val="auto"/>
          <w:szCs w:val="21"/>
        </w:rPr>
        <w:t>干热</w:t>
      </w:r>
      <w:r>
        <w:rPr>
          <w:rFonts w:hint="eastAsia" w:ascii="宋体" w:hAnsi="宋体" w:cs="宋体"/>
          <w:szCs w:val="21"/>
        </w:rPr>
        <w:t>消毒</w:t>
      </w:r>
      <w:r>
        <w:rPr>
          <w:rFonts w:ascii="宋体" w:hAnsi="宋体" w:cs="宋体"/>
          <w:szCs w:val="21"/>
        </w:rPr>
        <w:t>120</w:t>
      </w:r>
      <w:r>
        <w:rPr>
          <w:rFonts w:hint="eastAsia" w:ascii="宋体" w:hAnsi="宋体" w:cs="宋体"/>
          <w:szCs w:val="21"/>
        </w:rPr>
        <w:t>℃</w:t>
      </w:r>
      <w:r>
        <w:rPr>
          <w:rFonts w:ascii="宋体" w:hAnsi="宋体" w:cs="宋体"/>
          <w:szCs w:val="21"/>
        </w:rPr>
        <w:t xml:space="preserve"> 15-20</w:t>
      </w:r>
      <w:r>
        <w:rPr>
          <w:rFonts w:hint="eastAsia" w:ascii="宋体" w:hAnsi="宋体" w:cs="宋体"/>
          <w:szCs w:val="21"/>
        </w:rPr>
        <w:t>分钟</w:t>
      </w:r>
      <w:r>
        <w:rPr>
          <w:rFonts w:ascii="宋体" w:cs="宋体"/>
          <w:szCs w:val="21"/>
        </w:rPr>
        <w:t>,</w:t>
      </w:r>
      <w:r>
        <w:rPr>
          <w:rFonts w:hint="eastAsia" w:ascii="宋体" w:hAnsi="宋体" w:cs="宋体"/>
          <w:szCs w:val="21"/>
        </w:rPr>
        <w:t>煮沸消毒</w:t>
      </w:r>
      <w:r>
        <w:rPr>
          <w:rFonts w:ascii="宋体" w:hAnsi="宋体" w:cs="宋体"/>
          <w:szCs w:val="21"/>
        </w:rPr>
        <w:t>15</w:t>
      </w:r>
      <w:r>
        <w:rPr>
          <w:rFonts w:hint="eastAsia" w:ascii="宋体" w:hAnsi="宋体" w:cs="宋体"/>
          <w:szCs w:val="21"/>
        </w:rPr>
        <w:t>分钟以上。</w:t>
      </w:r>
    </w:p>
    <w:p w14:paraId="7015685A">
      <w:pPr>
        <w:numPr>
          <w:ilvl w:val="0"/>
          <w:numId w:val="14"/>
        </w:numPr>
        <w:spacing w:line="360" w:lineRule="auto"/>
        <w:ind w:firstLine="424" w:firstLineChars="202"/>
        <w:rPr>
          <w:rFonts w:ascii="宋体" w:cs="宋体"/>
          <w:szCs w:val="21"/>
        </w:rPr>
      </w:pPr>
      <w:r>
        <w:rPr>
          <w:rFonts w:hint="eastAsia" w:ascii="宋体" w:hAnsi="宋体" w:cs="宋体"/>
          <w:szCs w:val="21"/>
        </w:rPr>
        <w:t>消毒柜消毒要求</w:t>
      </w:r>
      <w:r>
        <w:rPr>
          <w:rFonts w:ascii="宋体" w:hAnsi="宋体" w:cs="宋体"/>
          <w:szCs w:val="21"/>
        </w:rPr>
        <w:t>:</w:t>
      </w:r>
      <w:r>
        <w:rPr>
          <w:rFonts w:hint="eastAsia" w:ascii="宋体" w:hAnsi="宋体" w:cs="宋体"/>
          <w:szCs w:val="21"/>
        </w:rPr>
        <w:t>严格按消毒柜指示时间消毒</w:t>
      </w:r>
      <w:r>
        <w:rPr>
          <w:rFonts w:ascii="宋体" w:cs="宋体"/>
          <w:szCs w:val="21"/>
        </w:rPr>
        <w:t>,</w:t>
      </w:r>
      <w:r>
        <w:rPr>
          <w:rFonts w:hint="eastAsia" w:ascii="宋体" w:hAnsi="宋体" w:cs="宋体"/>
          <w:szCs w:val="21"/>
        </w:rPr>
        <w:t>定期检查</w:t>
      </w:r>
      <w:r>
        <w:rPr>
          <w:rFonts w:ascii="宋体" w:cs="宋体"/>
          <w:szCs w:val="21"/>
        </w:rPr>
        <w:t>,</w:t>
      </w:r>
      <w:r>
        <w:rPr>
          <w:rFonts w:hint="eastAsia" w:ascii="宋体" w:hAnsi="宋体" w:cs="宋体"/>
          <w:szCs w:val="21"/>
        </w:rPr>
        <w:t>保证消毒效果凡发现食源性细菌感病</w:t>
      </w:r>
      <w:r>
        <w:rPr>
          <w:rFonts w:ascii="宋体" w:cs="宋体"/>
          <w:szCs w:val="21"/>
        </w:rPr>
        <w:t>,</w:t>
      </w:r>
      <w:r>
        <w:rPr>
          <w:rFonts w:hint="eastAsia" w:ascii="宋体" w:hAnsi="宋体" w:cs="宋体"/>
          <w:szCs w:val="21"/>
        </w:rPr>
        <w:t>经检验检疫部门确认以上某环节出问题</w:t>
      </w:r>
      <w:r>
        <w:rPr>
          <w:rFonts w:ascii="宋体" w:cs="宋体"/>
          <w:szCs w:val="21"/>
        </w:rPr>
        <w:t>,</w:t>
      </w:r>
      <w:r>
        <w:rPr>
          <w:rFonts w:hint="eastAsia" w:ascii="宋体" w:hAnsi="宋体" w:cs="宋体"/>
          <w:szCs w:val="21"/>
        </w:rPr>
        <w:t>除相关部门的处罚外</w:t>
      </w:r>
      <w:r>
        <w:rPr>
          <w:rFonts w:ascii="宋体" w:cs="宋体"/>
          <w:szCs w:val="21"/>
        </w:rPr>
        <w:t>,</w:t>
      </w:r>
      <w:r>
        <w:rPr>
          <w:rFonts w:hint="eastAsia" w:ascii="宋体" w:hAnsi="宋体" w:cs="宋体"/>
          <w:szCs w:val="21"/>
        </w:rPr>
        <w:t>甲方对乙方处以</w:t>
      </w:r>
      <w:r>
        <w:rPr>
          <w:rFonts w:ascii="宋体" w:hAnsi="宋体" w:cs="宋体"/>
          <w:color w:val="auto"/>
          <w:szCs w:val="21"/>
        </w:rPr>
        <w:t xml:space="preserve">2000 </w:t>
      </w:r>
      <w:r>
        <w:rPr>
          <w:rFonts w:hint="eastAsia" w:ascii="宋体" w:hAnsi="宋体" w:cs="宋体"/>
          <w:color w:val="auto"/>
          <w:szCs w:val="21"/>
        </w:rPr>
        <w:t>元</w:t>
      </w:r>
      <w:r>
        <w:rPr>
          <w:rFonts w:ascii="宋体" w:hAnsi="宋体" w:cs="宋体"/>
          <w:color w:val="auto"/>
          <w:szCs w:val="21"/>
        </w:rPr>
        <w:t>/</w:t>
      </w:r>
      <w:r>
        <w:rPr>
          <w:rFonts w:hint="eastAsia" w:ascii="宋体" w:hAnsi="宋体" w:cs="宋体"/>
          <w:color w:val="auto"/>
          <w:szCs w:val="21"/>
        </w:rPr>
        <w:t>次</w:t>
      </w:r>
      <w:r>
        <w:rPr>
          <w:rFonts w:hint="eastAsia" w:ascii="宋体" w:hAnsi="宋体" w:cs="宋体"/>
          <w:szCs w:val="21"/>
        </w:rPr>
        <w:t>的罚款。</w:t>
      </w:r>
    </w:p>
    <w:p w14:paraId="20AE164C">
      <w:pPr>
        <w:spacing w:line="360" w:lineRule="auto"/>
        <w:rPr>
          <w:rFonts w:ascii="宋体" w:cs="宋体"/>
          <w:b/>
          <w:szCs w:val="21"/>
        </w:rPr>
      </w:pPr>
      <w:r>
        <w:rPr>
          <w:rFonts w:hint="eastAsia" w:ascii="宋体" w:hAnsi="宋体" w:cs="宋体"/>
          <w:b/>
          <w:szCs w:val="21"/>
        </w:rPr>
        <w:t>四、餐具卫生</w:t>
      </w:r>
      <w:r>
        <w:rPr>
          <w:rFonts w:ascii="宋体" w:hAnsi="宋体" w:cs="宋体"/>
          <w:b/>
          <w:szCs w:val="21"/>
        </w:rPr>
        <w:t>:</w:t>
      </w:r>
    </w:p>
    <w:p w14:paraId="51949B31">
      <w:pPr>
        <w:spacing w:line="360" w:lineRule="auto"/>
        <w:ind w:firstLine="424" w:firstLineChars="202"/>
        <w:rPr>
          <w:rFonts w:ascii="宋体" w:cs="宋体"/>
          <w:szCs w:val="21"/>
        </w:rPr>
      </w:pPr>
      <w:r>
        <w:rPr>
          <w:rFonts w:ascii="宋体" w:hAnsi="宋体" w:cs="宋体"/>
          <w:szCs w:val="21"/>
        </w:rPr>
        <w:t>1</w:t>
      </w:r>
      <w:r>
        <w:rPr>
          <w:rFonts w:hint="eastAsia" w:ascii="宋体" w:hAnsi="宋体" w:cs="宋体"/>
          <w:szCs w:val="21"/>
        </w:rPr>
        <w:t>、打饭的勺子、汤勺、菜勺、铲子不能直接放在台面上</w:t>
      </w:r>
      <w:r>
        <w:rPr>
          <w:rFonts w:ascii="宋体" w:cs="宋体"/>
          <w:szCs w:val="21"/>
        </w:rPr>
        <w:t>,</w:t>
      </w:r>
      <w:r>
        <w:rPr>
          <w:rFonts w:hint="eastAsia" w:ascii="宋体" w:hAnsi="宋体" w:cs="宋体"/>
          <w:szCs w:val="21"/>
        </w:rPr>
        <w:t>应放置在干净的桶内或盆子里且须有区域标识。</w:t>
      </w:r>
    </w:p>
    <w:p w14:paraId="0E48890B">
      <w:pPr>
        <w:spacing w:line="360" w:lineRule="auto"/>
        <w:ind w:firstLine="424" w:firstLineChars="202"/>
        <w:rPr>
          <w:rFonts w:ascii="宋体" w:cs="宋体"/>
          <w:szCs w:val="21"/>
        </w:rPr>
      </w:pPr>
      <w:r>
        <w:rPr>
          <w:rFonts w:ascii="宋体" w:hAnsi="宋体" w:cs="宋体"/>
          <w:szCs w:val="21"/>
        </w:rPr>
        <w:t>2</w:t>
      </w:r>
      <w:r>
        <w:rPr>
          <w:rFonts w:hint="eastAsia" w:ascii="宋体" w:hAnsi="宋体" w:cs="宋体"/>
          <w:szCs w:val="21"/>
        </w:rPr>
        <w:t>、使用后的饭碗、汤碗、菜碟、筷子等餐具必须经过开水漂洗、清水加洗洁精清洗、清水漂洗、高温消毒四道程序的处理</w:t>
      </w:r>
      <w:r>
        <w:rPr>
          <w:rFonts w:ascii="宋体" w:cs="宋体"/>
          <w:szCs w:val="21"/>
        </w:rPr>
        <w:t>,</w:t>
      </w:r>
      <w:r>
        <w:rPr>
          <w:rFonts w:hint="eastAsia" w:ascii="宋体" w:hAnsi="宋体" w:cs="宋体"/>
          <w:szCs w:val="21"/>
        </w:rPr>
        <w:t>保证餐具内外干净、干燥、无饭菜渣、无油迹、无洗洁精泡沫、无异味方可投入使用。</w:t>
      </w:r>
    </w:p>
    <w:p w14:paraId="28D00FA6">
      <w:pPr>
        <w:spacing w:line="360" w:lineRule="auto"/>
        <w:rPr>
          <w:rFonts w:ascii="宋体" w:cs="宋体"/>
          <w:b/>
          <w:szCs w:val="21"/>
        </w:rPr>
      </w:pPr>
      <w:r>
        <w:rPr>
          <w:rFonts w:hint="eastAsia" w:ascii="宋体" w:hAnsi="宋体" w:cs="宋体"/>
          <w:b/>
          <w:szCs w:val="21"/>
        </w:rPr>
        <w:t>五、厨房卫生</w:t>
      </w:r>
      <w:r>
        <w:rPr>
          <w:rFonts w:ascii="宋体" w:hAnsi="宋体" w:cs="宋体"/>
          <w:b/>
          <w:szCs w:val="21"/>
        </w:rPr>
        <w:t>:</w:t>
      </w:r>
    </w:p>
    <w:p w14:paraId="3B093786">
      <w:pPr>
        <w:spacing w:line="360" w:lineRule="auto"/>
        <w:ind w:firstLine="424" w:firstLineChars="202"/>
        <w:rPr>
          <w:rFonts w:ascii="宋体" w:cs="宋体"/>
          <w:szCs w:val="21"/>
        </w:rPr>
      </w:pPr>
      <w:r>
        <w:rPr>
          <w:rFonts w:ascii="宋体" w:hAnsi="宋体" w:cs="宋体"/>
          <w:szCs w:val="21"/>
        </w:rPr>
        <w:t>1</w:t>
      </w:r>
      <w:r>
        <w:rPr>
          <w:rFonts w:hint="eastAsia" w:ascii="宋体" w:hAnsi="宋体" w:cs="宋体"/>
          <w:szCs w:val="21"/>
        </w:rPr>
        <w:t>、炉灶、蒸柜等厨房设备每天清洁</w:t>
      </w:r>
      <w:r>
        <w:rPr>
          <w:rFonts w:ascii="宋体" w:cs="宋体"/>
          <w:szCs w:val="21"/>
        </w:rPr>
        <w:t>,</w:t>
      </w:r>
      <w:r>
        <w:rPr>
          <w:rFonts w:hint="eastAsia" w:ascii="宋体" w:hAnsi="宋体" w:cs="宋体"/>
          <w:szCs w:val="21"/>
        </w:rPr>
        <w:t>抽油烟系统定期清洁。</w:t>
      </w:r>
    </w:p>
    <w:p w14:paraId="4F749FC5">
      <w:pPr>
        <w:spacing w:line="360" w:lineRule="auto"/>
        <w:ind w:firstLine="424" w:firstLineChars="202"/>
        <w:rPr>
          <w:rFonts w:ascii="宋体" w:cs="宋体"/>
          <w:szCs w:val="21"/>
        </w:rPr>
      </w:pPr>
      <w:r>
        <w:rPr>
          <w:rFonts w:ascii="宋体" w:hAnsi="宋体" w:cs="宋体"/>
          <w:szCs w:val="21"/>
        </w:rPr>
        <w:t>2</w:t>
      </w:r>
      <w:r>
        <w:rPr>
          <w:rFonts w:hint="eastAsia" w:ascii="宋体" w:hAnsi="宋体" w:cs="宋体"/>
          <w:szCs w:val="21"/>
        </w:rPr>
        <w:t>、工作台、货架、调料台随时保持清洁干净。</w:t>
      </w:r>
    </w:p>
    <w:p w14:paraId="3703402A">
      <w:pPr>
        <w:spacing w:line="360" w:lineRule="auto"/>
        <w:ind w:firstLine="424" w:firstLineChars="202"/>
        <w:rPr>
          <w:rFonts w:ascii="宋体" w:cs="宋体"/>
          <w:szCs w:val="21"/>
        </w:rPr>
      </w:pPr>
      <w:r>
        <w:rPr>
          <w:rFonts w:ascii="宋体" w:hAnsi="宋体" w:cs="宋体"/>
          <w:szCs w:val="21"/>
        </w:rPr>
        <w:t>3</w:t>
      </w:r>
      <w:r>
        <w:rPr>
          <w:rFonts w:hint="eastAsia" w:ascii="宋体" w:hAnsi="宋体" w:cs="宋体"/>
          <w:szCs w:val="21"/>
        </w:rPr>
        <w:t>、油、盐、酱油等尚用配料和未用完的米、菜</w:t>
      </w:r>
      <w:r>
        <w:rPr>
          <w:rFonts w:ascii="宋体" w:cs="宋体"/>
          <w:szCs w:val="21"/>
        </w:rPr>
        <w:t>,</w:t>
      </w:r>
      <w:r>
        <w:rPr>
          <w:rFonts w:hint="eastAsia" w:ascii="宋体" w:hAnsi="宋体" w:cs="宋体"/>
          <w:szCs w:val="21"/>
        </w:rPr>
        <w:t>下班前要盖好。</w:t>
      </w:r>
    </w:p>
    <w:p w14:paraId="315E59E4">
      <w:pPr>
        <w:spacing w:line="360" w:lineRule="auto"/>
        <w:ind w:firstLine="424" w:firstLineChars="202"/>
        <w:rPr>
          <w:rFonts w:ascii="宋体" w:cs="宋体"/>
          <w:szCs w:val="21"/>
        </w:rPr>
      </w:pPr>
      <w:r>
        <w:rPr>
          <w:rFonts w:ascii="宋体" w:hAnsi="宋体" w:cs="宋体"/>
          <w:szCs w:val="21"/>
        </w:rPr>
        <w:t>4</w:t>
      </w:r>
      <w:r>
        <w:rPr>
          <w:rFonts w:hint="eastAsia" w:ascii="宋体" w:hAnsi="宋体" w:cs="宋体"/>
          <w:szCs w:val="21"/>
        </w:rPr>
        <w:t>、定期清洗冰箱冰柜</w:t>
      </w:r>
      <w:r>
        <w:rPr>
          <w:rFonts w:ascii="宋体" w:cs="宋体"/>
          <w:szCs w:val="21"/>
        </w:rPr>
        <w:t>,</w:t>
      </w:r>
      <w:r>
        <w:rPr>
          <w:rFonts w:hint="eastAsia" w:ascii="宋体" w:hAnsi="宋体" w:cs="宋体"/>
          <w:szCs w:val="21"/>
        </w:rPr>
        <w:t>保证清洁卫生。</w:t>
      </w:r>
    </w:p>
    <w:p w14:paraId="790E77AA">
      <w:pPr>
        <w:spacing w:line="360" w:lineRule="auto"/>
        <w:ind w:firstLine="424" w:firstLineChars="202"/>
        <w:rPr>
          <w:rFonts w:ascii="宋体" w:cs="宋体"/>
          <w:szCs w:val="21"/>
        </w:rPr>
      </w:pPr>
      <w:r>
        <w:rPr>
          <w:rFonts w:ascii="宋体" w:hAnsi="宋体" w:cs="宋体"/>
          <w:szCs w:val="21"/>
        </w:rPr>
        <w:t>5</w:t>
      </w:r>
      <w:r>
        <w:rPr>
          <w:rFonts w:hint="eastAsia" w:ascii="宋体" w:hAnsi="宋体" w:cs="宋体"/>
          <w:szCs w:val="21"/>
        </w:rPr>
        <w:t>、每周必须对食堂进行一次彻底的卫生大扫除</w:t>
      </w:r>
      <w:r>
        <w:rPr>
          <w:rFonts w:ascii="宋体" w:cs="宋体"/>
          <w:szCs w:val="21"/>
        </w:rPr>
        <w:t>,</w:t>
      </w:r>
      <w:r>
        <w:rPr>
          <w:rFonts w:hint="eastAsia" w:ascii="宋体" w:hAnsi="宋体" w:cs="宋体"/>
          <w:szCs w:val="21"/>
        </w:rPr>
        <w:t>范围包括</w:t>
      </w:r>
      <w:r>
        <w:rPr>
          <w:rFonts w:ascii="宋体" w:hAnsi="宋体" w:cs="宋体"/>
          <w:szCs w:val="21"/>
        </w:rPr>
        <w:t>:</w:t>
      </w:r>
      <w:r>
        <w:rPr>
          <w:rFonts w:hint="eastAsia" w:ascii="宋体" w:hAnsi="宋体" w:cs="宋体"/>
          <w:szCs w:val="21"/>
        </w:rPr>
        <w:t>仓库、办公室、洗手间、餐厅等。</w:t>
      </w:r>
    </w:p>
    <w:p w14:paraId="63B357DC">
      <w:pPr>
        <w:spacing w:line="360" w:lineRule="auto"/>
        <w:ind w:firstLine="424" w:firstLineChars="202"/>
        <w:rPr>
          <w:rFonts w:ascii="宋体" w:cs="宋体"/>
          <w:szCs w:val="21"/>
        </w:rPr>
      </w:pPr>
      <w:r>
        <w:rPr>
          <w:rFonts w:ascii="宋体" w:hAnsi="宋体" w:cs="宋体"/>
          <w:szCs w:val="21"/>
        </w:rPr>
        <w:t>6</w:t>
      </w:r>
      <w:r>
        <w:rPr>
          <w:rFonts w:hint="eastAsia" w:ascii="宋体" w:hAnsi="宋体" w:cs="宋体"/>
          <w:szCs w:val="21"/>
        </w:rPr>
        <w:t>、垃圾桶和馊水桶需基本保持干净、标识明确并加盖</w:t>
      </w:r>
      <w:r>
        <w:rPr>
          <w:rFonts w:ascii="宋体" w:cs="宋体"/>
          <w:szCs w:val="21"/>
        </w:rPr>
        <w:t>,</w:t>
      </w:r>
      <w:r>
        <w:rPr>
          <w:rFonts w:hint="eastAsia" w:ascii="宋体" w:hAnsi="宋体" w:cs="宋体"/>
          <w:szCs w:val="21"/>
        </w:rPr>
        <w:t>按时清理。</w:t>
      </w:r>
    </w:p>
    <w:p w14:paraId="574616BC">
      <w:pPr>
        <w:spacing w:line="360" w:lineRule="auto"/>
        <w:rPr>
          <w:rFonts w:ascii="宋体" w:cs="宋体"/>
          <w:b/>
          <w:szCs w:val="21"/>
        </w:rPr>
      </w:pPr>
      <w:r>
        <w:rPr>
          <w:rFonts w:hint="eastAsia" w:ascii="宋体" w:hAnsi="宋体" w:cs="宋体"/>
          <w:b/>
          <w:szCs w:val="21"/>
        </w:rPr>
        <w:t>六、餐厅卫生：</w:t>
      </w:r>
    </w:p>
    <w:p w14:paraId="7811090D">
      <w:pPr>
        <w:spacing w:line="360" w:lineRule="auto"/>
        <w:ind w:firstLine="424" w:firstLineChars="202"/>
        <w:rPr>
          <w:rFonts w:ascii="宋体" w:cs="宋体"/>
          <w:szCs w:val="21"/>
        </w:rPr>
      </w:pPr>
      <w:r>
        <w:rPr>
          <w:rFonts w:ascii="宋体" w:hAnsi="宋体" w:cs="宋体"/>
          <w:szCs w:val="21"/>
        </w:rPr>
        <w:t>1</w:t>
      </w:r>
      <w:r>
        <w:rPr>
          <w:rFonts w:hint="eastAsia" w:ascii="宋体" w:hAnsi="宋体" w:cs="宋体"/>
          <w:szCs w:val="21"/>
        </w:rPr>
        <w:t>、开餐前餐厅内的桌椅必须保持干净</w:t>
      </w:r>
      <w:r>
        <w:rPr>
          <w:rFonts w:ascii="宋体" w:cs="宋体"/>
          <w:szCs w:val="21"/>
        </w:rPr>
        <w:t>,</w:t>
      </w:r>
      <w:r>
        <w:rPr>
          <w:rFonts w:hint="eastAsia" w:ascii="宋体" w:hAnsi="宋体" w:cs="宋体"/>
          <w:szCs w:val="21"/>
        </w:rPr>
        <w:t>台面无饭粒菜渣、无油污水渍</w:t>
      </w:r>
      <w:r>
        <w:rPr>
          <w:rFonts w:ascii="宋体" w:cs="宋体"/>
          <w:szCs w:val="21"/>
        </w:rPr>
        <w:t>,</w:t>
      </w:r>
      <w:r>
        <w:rPr>
          <w:rFonts w:hint="eastAsia" w:ascii="宋体" w:hAnsi="宋体" w:cs="宋体"/>
          <w:szCs w:val="21"/>
        </w:rPr>
        <w:t>凳脚无积尘杂物</w:t>
      </w:r>
      <w:r>
        <w:rPr>
          <w:rFonts w:ascii="宋体" w:cs="宋体"/>
          <w:szCs w:val="21"/>
        </w:rPr>
        <w:t>,</w:t>
      </w:r>
      <w:r>
        <w:rPr>
          <w:rFonts w:hint="eastAsia" w:ascii="宋体" w:hAnsi="宋体" w:cs="宋体"/>
          <w:szCs w:val="21"/>
        </w:rPr>
        <w:t>地面干净无油污</w:t>
      </w:r>
      <w:r>
        <w:rPr>
          <w:rFonts w:ascii="宋体" w:cs="宋体"/>
          <w:szCs w:val="21"/>
        </w:rPr>
        <w:t>,</w:t>
      </w:r>
      <w:r>
        <w:rPr>
          <w:rFonts w:hint="eastAsia" w:ascii="宋体" w:hAnsi="宋体" w:cs="宋体"/>
          <w:szCs w:val="21"/>
        </w:rPr>
        <w:t>开餐过程中也必须有专人维护餐厅内的清洁。</w:t>
      </w:r>
    </w:p>
    <w:p w14:paraId="00E61E0A">
      <w:pPr>
        <w:spacing w:line="360" w:lineRule="auto"/>
        <w:ind w:firstLine="424" w:firstLineChars="202"/>
        <w:rPr>
          <w:rFonts w:ascii="宋体" w:cs="宋体"/>
          <w:szCs w:val="21"/>
        </w:rPr>
      </w:pPr>
      <w:r>
        <w:rPr>
          <w:rFonts w:ascii="宋体" w:hAnsi="宋体" w:cs="宋体"/>
          <w:szCs w:val="21"/>
        </w:rPr>
        <w:t>2</w:t>
      </w:r>
      <w:r>
        <w:rPr>
          <w:rFonts w:hint="eastAsia" w:ascii="宋体" w:hAnsi="宋体" w:cs="宋体"/>
          <w:szCs w:val="21"/>
        </w:rPr>
        <w:t>、餐厅内的墙面、门窗、天花板、瓷砖、玻璃需保持无灰尘、蜘蛛网</w:t>
      </w:r>
      <w:r>
        <w:rPr>
          <w:rFonts w:ascii="宋体" w:cs="宋体"/>
          <w:szCs w:val="21"/>
        </w:rPr>
        <w:t>,</w:t>
      </w:r>
      <w:r>
        <w:rPr>
          <w:rFonts w:hint="eastAsia" w:ascii="宋体" w:hAnsi="宋体" w:cs="宋体"/>
          <w:szCs w:val="21"/>
        </w:rPr>
        <w:t>风扇、灯管、灭蚊灯、宣传标语、开关插座要长期保持干净。</w:t>
      </w:r>
    </w:p>
    <w:p w14:paraId="1B70266D">
      <w:pPr>
        <w:spacing w:line="360" w:lineRule="auto"/>
        <w:ind w:firstLine="424" w:firstLineChars="202"/>
        <w:rPr>
          <w:rFonts w:ascii="宋体" w:cs="宋体"/>
          <w:szCs w:val="21"/>
        </w:rPr>
      </w:pPr>
      <w:r>
        <w:rPr>
          <w:rFonts w:ascii="宋体" w:hAnsi="宋体" w:cs="宋体"/>
          <w:szCs w:val="21"/>
        </w:rPr>
        <w:t>3</w:t>
      </w:r>
      <w:r>
        <w:rPr>
          <w:rFonts w:hint="eastAsia" w:ascii="宋体" w:hAnsi="宋体" w:cs="宋体"/>
          <w:szCs w:val="21"/>
        </w:rPr>
        <w:t>、每周一次大扫除</w:t>
      </w:r>
      <w:r>
        <w:rPr>
          <w:rFonts w:ascii="宋体" w:cs="宋体"/>
          <w:szCs w:val="21"/>
        </w:rPr>
        <w:t>,</w:t>
      </w:r>
      <w:r>
        <w:rPr>
          <w:rFonts w:hint="eastAsia" w:ascii="宋体" w:hAnsi="宋体" w:cs="宋体"/>
          <w:szCs w:val="21"/>
        </w:rPr>
        <w:t>用清洁剂清洗台面、地面</w:t>
      </w:r>
      <w:r>
        <w:rPr>
          <w:rFonts w:ascii="宋体" w:cs="宋体"/>
          <w:szCs w:val="21"/>
        </w:rPr>
        <w:t>,</w:t>
      </w:r>
      <w:r>
        <w:rPr>
          <w:rFonts w:hint="eastAsia" w:ascii="宋体" w:hAnsi="宋体" w:cs="宋体"/>
          <w:szCs w:val="21"/>
        </w:rPr>
        <w:t>尽量做到餐厅内无蝇、蚊、蟑螂、老鼠等。</w:t>
      </w:r>
    </w:p>
    <w:p w14:paraId="6916529A">
      <w:pPr>
        <w:spacing w:line="360" w:lineRule="auto"/>
        <w:ind w:firstLine="424" w:firstLineChars="202"/>
        <w:rPr>
          <w:rFonts w:ascii="宋体" w:cs="宋体"/>
          <w:szCs w:val="21"/>
        </w:rPr>
      </w:pPr>
      <w:r>
        <w:rPr>
          <w:rFonts w:ascii="宋体" w:hAnsi="宋体" w:cs="宋体"/>
          <w:szCs w:val="21"/>
        </w:rPr>
        <w:t>4</w:t>
      </w:r>
      <w:r>
        <w:rPr>
          <w:rFonts w:hint="eastAsia" w:ascii="宋体" w:hAnsi="宋体" w:cs="宋体"/>
          <w:szCs w:val="21"/>
        </w:rPr>
        <w:t>、专人回收餐具、不得乱放乱扔</w:t>
      </w:r>
      <w:r>
        <w:rPr>
          <w:rFonts w:ascii="宋体" w:cs="宋体"/>
          <w:szCs w:val="21"/>
        </w:rPr>
        <w:t>,</w:t>
      </w:r>
      <w:r>
        <w:rPr>
          <w:rFonts w:hint="eastAsia" w:ascii="宋体" w:hAnsi="宋体" w:cs="宋体"/>
          <w:szCs w:val="21"/>
        </w:rPr>
        <w:t>剩菜要及时运走</w:t>
      </w:r>
      <w:r>
        <w:rPr>
          <w:rFonts w:ascii="宋体" w:cs="宋体"/>
          <w:szCs w:val="21"/>
        </w:rPr>
        <w:t>,</w:t>
      </w:r>
      <w:r>
        <w:rPr>
          <w:rFonts w:hint="eastAsia" w:ascii="宋体" w:hAnsi="宋体" w:cs="宋体"/>
          <w:szCs w:val="21"/>
        </w:rPr>
        <w:t>保证餐厅无异味。</w:t>
      </w:r>
    </w:p>
    <w:p w14:paraId="6937C0A0">
      <w:pPr>
        <w:spacing w:line="360" w:lineRule="auto"/>
        <w:ind w:firstLine="424" w:firstLineChars="202"/>
        <w:rPr>
          <w:rFonts w:ascii="宋体" w:cs="宋体"/>
          <w:szCs w:val="21"/>
        </w:rPr>
      </w:pPr>
      <w:r>
        <w:rPr>
          <w:rFonts w:ascii="宋体" w:hAnsi="宋体" w:cs="宋体"/>
          <w:szCs w:val="21"/>
        </w:rPr>
        <w:t>5</w:t>
      </w:r>
      <w:r>
        <w:rPr>
          <w:rFonts w:hint="eastAsia" w:ascii="宋体" w:hAnsi="宋体" w:cs="宋体"/>
          <w:szCs w:val="21"/>
        </w:rPr>
        <w:t>、在学校组织的有关检查中</w:t>
      </w:r>
      <w:r>
        <w:rPr>
          <w:rFonts w:ascii="宋体" w:cs="宋体"/>
          <w:szCs w:val="21"/>
        </w:rPr>
        <w:t>,</w:t>
      </w:r>
      <w:r>
        <w:rPr>
          <w:rFonts w:hint="eastAsia" w:ascii="宋体" w:hAnsi="宋体" w:cs="宋体"/>
          <w:szCs w:val="21"/>
        </w:rPr>
        <w:t>若发现违反以上四、五、六条的规定</w:t>
      </w:r>
      <w:r>
        <w:rPr>
          <w:rFonts w:ascii="宋体" w:cs="宋体"/>
          <w:szCs w:val="21"/>
        </w:rPr>
        <w:t>,</w:t>
      </w:r>
      <w:r>
        <w:rPr>
          <w:rFonts w:hint="eastAsia" w:ascii="宋体" w:hAnsi="宋体" w:cs="宋体"/>
          <w:szCs w:val="21"/>
        </w:rPr>
        <w:t>将视其严重程度处以</w:t>
      </w:r>
      <w:r>
        <w:rPr>
          <w:rFonts w:ascii="宋体" w:hAnsi="宋体" w:cs="宋体"/>
          <w:szCs w:val="21"/>
        </w:rPr>
        <w:t>10</w:t>
      </w:r>
      <w:r>
        <w:rPr>
          <w:rFonts w:hint="eastAsia" w:ascii="宋体" w:hAnsi="宋体" w:cs="宋体"/>
          <w:szCs w:val="21"/>
        </w:rPr>
        <w:t>元――</w:t>
      </w:r>
      <w:r>
        <w:rPr>
          <w:rFonts w:ascii="宋体" w:hAnsi="宋体" w:cs="宋体"/>
          <w:szCs w:val="21"/>
        </w:rPr>
        <w:t>500</w:t>
      </w:r>
      <w:r>
        <w:rPr>
          <w:rFonts w:hint="eastAsia" w:ascii="宋体" w:hAnsi="宋体" w:cs="宋体"/>
          <w:szCs w:val="21"/>
        </w:rPr>
        <w:t>元的罚款。</w:t>
      </w:r>
    </w:p>
    <w:p w14:paraId="46C1C3FA">
      <w:pPr>
        <w:spacing w:line="360" w:lineRule="auto"/>
        <w:rPr>
          <w:rFonts w:ascii="宋体" w:cs="宋体"/>
          <w:szCs w:val="21"/>
        </w:rPr>
      </w:pPr>
      <w:r>
        <w:rPr>
          <w:rFonts w:hint="eastAsia" w:ascii="宋体" w:hAnsi="宋体" w:cs="宋体"/>
          <w:b/>
          <w:szCs w:val="21"/>
        </w:rPr>
        <w:t>七、其他</w:t>
      </w:r>
    </w:p>
    <w:p w14:paraId="098A0B87">
      <w:pPr>
        <w:spacing w:line="360" w:lineRule="auto"/>
        <w:ind w:firstLine="424" w:firstLineChars="202"/>
        <w:rPr>
          <w:rFonts w:ascii="宋体" w:cs="宋体"/>
          <w:szCs w:val="21"/>
        </w:rPr>
      </w:pPr>
      <w:r>
        <w:rPr>
          <w:rFonts w:ascii="宋体" w:hAnsi="宋体" w:cs="宋体"/>
          <w:szCs w:val="21"/>
        </w:rPr>
        <w:t>1</w:t>
      </w:r>
      <w:r>
        <w:rPr>
          <w:rFonts w:hint="eastAsia" w:ascii="宋体" w:hAnsi="宋体" w:cs="宋体"/>
          <w:szCs w:val="21"/>
        </w:rPr>
        <w:t>、有关部门将定期组织用餐学生对伙食状况进行评估（不记名投票，投票过程乙方须参加），如达不到规定标准者，限期承包者进行整改，如在限期内无法达标则根据情节轻重处以</w:t>
      </w:r>
      <w:r>
        <w:rPr>
          <w:rFonts w:ascii="宋体" w:hAnsi="宋体" w:cs="宋体"/>
          <w:szCs w:val="21"/>
        </w:rPr>
        <w:t>5000—10000</w:t>
      </w:r>
      <w:r>
        <w:rPr>
          <w:rFonts w:hint="eastAsia" w:ascii="宋体" w:hAnsi="宋体" w:cs="宋体"/>
          <w:szCs w:val="21"/>
        </w:rPr>
        <w:t>元罚金，每年评估不合格达三次以上者，甲方有权解除合同。</w:t>
      </w:r>
    </w:p>
    <w:p w14:paraId="265D53D1">
      <w:pPr>
        <w:spacing w:line="360" w:lineRule="auto"/>
        <w:ind w:firstLine="424" w:firstLineChars="202"/>
        <w:rPr>
          <w:rFonts w:ascii="宋体" w:cs="宋体"/>
          <w:szCs w:val="21"/>
        </w:rPr>
      </w:pPr>
      <w:r>
        <w:rPr>
          <w:rFonts w:ascii="宋体" w:hAnsi="宋体" w:cs="宋体"/>
          <w:szCs w:val="21"/>
        </w:rPr>
        <w:t>2</w:t>
      </w:r>
      <w:r>
        <w:rPr>
          <w:rFonts w:hint="eastAsia" w:ascii="宋体" w:hAnsi="宋体" w:cs="宋体"/>
          <w:szCs w:val="21"/>
        </w:rPr>
        <w:t>、乙方必须严格按照国家有关规定办理卫生许可证，以及为每位工作人员办理健康证和其它相关证件。乙方职工上班期间应穿戴工作服、工作帽。以上费用由乙方负责。若被发现未穿戴工作服、帽操作者处以每人</w:t>
      </w:r>
      <w:r>
        <w:rPr>
          <w:rFonts w:ascii="宋体" w:hAnsi="宋体" w:cs="宋体"/>
          <w:szCs w:val="21"/>
        </w:rPr>
        <w:t>50</w:t>
      </w:r>
      <w:r>
        <w:rPr>
          <w:rFonts w:hint="eastAsia" w:ascii="宋体" w:hAnsi="宋体" w:cs="宋体"/>
          <w:szCs w:val="21"/>
        </w:rPr>
        <w:t>元罚款。</w:t>
      </w:r>
    </w:p>
    <w:p w14:paraId="61A8569C">
      <w:pPr>
        <w:spacing w:line="360" w:lineRule="auto"/>
        <w:ind w:firstLine="424" w:firstLineChars="202"/>
        <w:rPr>
          <w:rFonts w:ascii="宋体" w:cs="宋体"/>
          <w:szCs w:val="21"/>
        </w:rPr>
      </w:pPr>
      <w:r>
        <w:rPr>
          <w:rFonts w:ascii="宋体" w:hAnsi="宋体" w:cs="宋体"/>
          <w:szCs w:val="21"/>
        </w:rPr>
        <w:t>3</w:t>
      </w:r>
      <w:r>
        <w:rPr>
          <w:rFonts w:hint="eastAsia" w:ascii="宋体" w:hAnsi="宋体" w:cs="宋体"/>
          <w:szCs w:val="21"/>
        </w:rPr>
        <w:t>、乙方聘用的炊事工作人员除身体健康外还应具有完全民事行为能力和合适的年龄，并具有良好的职业道德。工作期间不得有打骂学生的现象，如发现罚款</w:t>
      </w:r>
      <w:r>
        <w:rPr>
          <w:rFonts w:ascii="宋体" w:hAnsi="宋体" w:cs="宋体"/>
          <w:szCs w:val="21"/>
        </w:rPr>
        <w:t>100</w:t>
      </w:r>
      <w:r>
        <w:rPr>
          <w:rFonts w:hint="eastAsia" w:ascii="宋体" w:hAnsi="宋体" w:cs="宋体"/>
          <w:szCs w:val="21"/>
        </w:rPr>
        <w:t>元，乙方应立即予以解聘。聘用合同的签订、终止、工资福利待遇等由乙方根据《劳动法》及有关地方性法规来确定，与甲方无关。</w:t>
      </w:r>
    </w:p>
    <w:p w14:paraId="506E7FBA">
      <w:pPr>
        <w:spacing w:line="360" w:lineRule="auto"/>
        <w:ind w:firstLine="424" w:firstLineChars="202"/>
        <w:rPr>
          <w:rFonts w:ascii="宋体" w:cs="宋体"/>
          <w:szCs w:val="21"/>
        </w:rPr>
      </w:pPr>
      <w:r>
        <w:rPr>
          <w:rFonts w:ascii="宋体" w:hAnsi="宋体" w:cs="宋体"/>
          <w:szCs w:val="21"/>
        </w:rPr>
        <w:t>4</w:t>
      </w:r>
      <w:r>
        <w:rPr>
          <w:rFonts w:hint="eastAsia" w:ascii="宋体" w:hAnsi="宋体" w:cs="宋体"/>
          <w:szCs w:val="21"/>
        </w:rPr>
        <w:t>、乙方必须认真做好食堂内外的环境卫生和除四害工作，接受教育行政部门、卫生执法部门的检查监督。若不达标，除卫生执法部门给予的处罚自理外，甲方还将对乙方处</w:t>
      </w:r>
      <w:r>
        <w:rPr>
          <w:rFonts w:ascii="宋体" w:hAnsi="宋体" w:cs="宋体"/>
          <w:szCs w:val="21"/>
        </w:rPr>
        <w:t>1000</w:t>
      </w:r>
      <w:r>
        <w:rPr>
          <w:rFonts w:hint="eastAsia" w:ascii="宋体" w:hAnsi="宋体" w:cs="宋体"/>
          <w:szCs w:val="21"/>
        </w:rPr>
        <w:t>元的罚款。</w:t>
      </w:r>
    </w:p>
    <w:p w14:paraId="5276480B">
      <w:pPr>
        <w:spacing w:line="360" w:lineRule="auto"/>
        <w:ind w:firstLine="424" w:firstLineChars="202"/>
        <w:rPr>
          <w:rFonts w:ascii="宋体" w:cs="宋体"/>
          <w:szCs w:val="21"/>
        </w:rPr>
      </w:pPr>
      <w:r>
        <w:rPr>
          <w:rFonts w:ascii="宋体" w:hAnsi="宋体" w:cs="宋体"/>
          <w:szCs w:val="21"/>
        </w:rPr>
        <w:t>5</w:t>
      </w:r>
      <w:r>
        <w:rPr>
          <w:rFonts w:hint="eastAsia" w:ascii="宋体" w:hAnsi="宋体" w:cs="宋体"/>
          <w:szCs w:val="21"/>
        </w:rPr>
        <w:t>、严禁供应各类酒和香烟</w:t>
      </w:r>
      <w:r>
        <w:rPr>
          <w:rFonts w:ascii="宋体" w:cs="宋体"/>
          <w:szCs w:val="21"/>
        </w:rPr>
        <w:t>,</w:t>
      </w:r>
      <w:r>
        <w:rPr>
          <w:rFonts w:hint="eastAsia" w:ascii="宋体" w:hAnsi="宋体" w:cs="宋体"/>
          <w:szCs w:val="21"/>
        </w:rPr>
        <w:t>否则按乙方违约处理。情节较轻罚款</w:t>
      </w:r>
      <w:r>
        <w:rPr>
          <w:rFonts w:ascii="宋体" w:hAnsi="宋体" w:cs="宋体"/>
          <w:szCs w:val="21"/>
        </w:rPr>
        <w:t>200</w:t>
      </w:r>
      <w:r>
        <w:rPr>
          <w:rFonts w:hint="eastAsia" w:ascii="宋体" w:hAnsi="宋体" w:cs="宋体"/>
          <w:szCs w:val="21"/>
        </w:rPr>
        <w:t>元</w:t>
      </w:r>
      <w:r>
        <w:rPr>
          <w:rFonts w:ascii="宋体" w:cs="宋体"/>
          <w:szCs w:val="21"/>
        </w:rPr>
        <w:t>,</w:t>
      </w:r>
      <w:r>
        <w:rPr>
          <w:rFonts w:hint="eastAsia" w:ascii="宋体" w:hAnsi="宋体" w:cs="宋体"/>
          <w:szCs w:val="21"/>
        </w:rPr>
        <w:t>情节严重的罚款</w:t>
      </w:r>
      <w:r>
        <w:rPr>
          <w:rFonts w:ascii="宋体" w:hAnsi="宋体" w:cs="宋体"/>
          <w:szCs w:val="21"/>
        </w:rPr>
        <w:t>5000</w:t>
      </w:r>
      <w:r>
        <w:rPr>
          <w:rFonts w:hint="eastAsia" w:ascii="宋体" w:hAnsi="宋体" w:cs="宋体"/>
          <w:szCs w:val="21"/>
        </w:rPr>
        <w:t>元以上直至强行终止合同。</w:t>
      </w:r>
    </w:p>
    <w:p w14:paraId="5B6B84FC">
      <w:pPr>
        <w:spacing w:line="360" w:lineRule="auto"/>
        <w:ind w:firstLine="424" w:firstLineChars="202"/>
        <w:rPr>
          <w:rFonts w:ascii="宋体" w:cs="宋体"/>
          <w:szCs w:val="21"/>
        </w:rPr>
      </w:pPr>
      <w:r>
        <w:rPr>
          <w:rFonts w:ascii="宋体" w:hAnsi="宋体" w:cs="宋体"/>
          <w:szCs w:val="21"/>
        </w:rPr>
        <w:t>6</w:t>
      </w:r>
      <w:r>
        <w:rPr>
          <w:rFonts w:hint="eastAsia" w:ascii="宋体" w:hAnsi="宋体" w:cs="宋体"/>
          <w:szCs w:val="21"/>
        </w:rPr>
        <w:t>、中午营业时间不开音响</w:t>
      </w:r>
      <w:r>
        <w:rPr>
          <w:rFonts w:ascii="宋体" w:cs="宋体"/>
          <w:szCs w:val="21"/>
        </w:rPr>
        <w:t>,</w:t>
      </w:r>
      <w:r>
        <w:rPr>
          <w:rFonts w:hint="eastAsia" w:ascii="宋体" w:hAnsi="宋体" w:cs="宋体"/>
          <w:szCs w:val="21"/>
        </w:rPr>
        <w:t>以不影响周边住户的正常休息为准</w:t>
      </w:r>
      <w:r>
        <w:rPr>
          <w:rFonts w:ascii="宋体" w:cs="宋体"/>
          <w:szCs w:val="21"/>
        </w:rPr>
        <w:t>,</w:t>
      </w:r>
      <w:r>
        <w:rPr>
          <w:rFonts w:hint="eastAsia" w:ascii="宋体" w:hAnsi="宋体" w:cs="宋体"/>
          <w:szCs w:val="21"/>
        </w:rPr>
        <w:t>否则按乙方违约处理</w:t>
      </w:r>
      <w:r>
        <w:rPr>
          <w:rFonts w:ascii="宋体" w:cs="宋体"/>
          <w:szCs w:val="21"/>
        </w:rPr>
        <w:t>,</w:t>
      </w:r>
      <w:r>
        <w:rPr>
          <w:rFonts w:hint="eastAsia" w:ascii="宋体" w:hAnsi="宋体" w:cs="宋体"/>
          <w:szCs w:val="21"/>
        </w:rPr>
        <w:t>每次罚款</w:t>
      </w:r>
      <w:r>
        <w:rPr>
          <w:rFonts w:ascii="宋体" w:hAnsi="宋体" w:cs="宋体"/>
          <w:szCs w:val="21"/>
        </w:rPr>
        <w:t>100</w:t>
      </w:r>
      <w:r>
        <w:rPr>
          <w:rFonts w:hint="eastAsia" w:ascii="宋体" w:hAnsi="宋体" w:cs="宋体"/>
          <w:szCs w:val="21"/>
        </w:rPr>
        <w:t>元</w:t>
      </w:r>
      <w:r>
        <w:rPr>
          <w:rFonts w:ascii="宋体" w:cs="宋体"/>
          <w:szCs w:val="21"/>
        </w:rPr>
        <w:t>,</w:t>
      </w:r>
      <w:r>
        <w:rPr>
          <w:rFonts w:hint="eastAsia" w:ascii="宋体" w:hAnsi="宋体" w:cs="宋体"/>
          <w:szCs w:val="21"/>
        </w:rPr>
        <w:t>情节严重的罚款</w:t>
      </w:r>
      <w:r>
        <w:rPr>
          <w:rFonts w:ascii="宋体" w:hAnsi="宋体" w:cs="宋体"/>
          <w:szCs w:val="21"/>
        </w:rPr>
        <w:t>500</w:t>
      </w:r>
      <w:r>
        <w:rPr>
          <w:rFonts w:hint="eastAsia" w:ascii="宋体" w:hAnsi="宋体" w:cs="宋体"/>
          <w:szCs w:val="21"/>
        </w:rPr>
        <w:t>元以上直至强行终止合同。</w:t>
      </w:r>
    </w:p>
    <w:p w14:paraId="4E1E6AA6">
      <w:pPr>
        <w:spacing w:line="360" w:lineRule="auto"/>
        <w:ind w:firstLine="424" w:firstLineChars="202"/>
        <w:rPr>
          <w:rFonts w:ascii="宋体" w:cs="宋体"/>
          <w:szCs w:val="21"/>
        </w:rPr>
      </w:pPr>
      <w:r>
        <w:rPr>
          <w:rFonts w:hint="eastAsia" w:ascii="宋体" w:hAnsi="宋体" w:cs="宋体"/>
          <w:szCs w:val="21"/>
        </w:rPr>
        <w:t>甲方师生员工、职能部门领导有对食堂工作进行监督的权利，并有共同维护就餐秩序的义务。</w:t>
      </w:r>
    </w:p>
    <w:p w14:paraId="7A1DB0D6">
      <w:pPr>
        <w:spacing w:line="360" w:lineRule="auto"/>
        <w:ind w:firstLine="424" w:firstLineChars="202"/>
        <w:rPr>
          <w:rFonts w:ascii="宋体" w:cs="宋体"/>
          <w:szCs w:val="21"/>
        </w:rPr>
      </w:pPr>
    </w:p>
    <w:p w14:paraId="5A17CED9">
      <w:pPr>
        <w:spacing w:line="360" w:lineRule="auto"/>
        <w:ind w:firstLine="426" w:firstLineChars="202"/>
        <w:jc w:val="center"/>
        <w:rPr>
          <w:rFonts w:ascii="宋体" w:cs="宋体"/>
          <w:b/>
          <w:szCs w:val="21"/>
        </w:rPr>
      </w:pPr>
      <w:r>
        <w:rPr>
          <w:rFonts w:hint="eastAsia" w:ascii="宋体" w:hAnsi="宋体" w:cs="宋体"/>
          <w:b/>
          <w:szCs w:val="21"/>
        </w:rPr>
        <w:t>（本合同仅供参考，具体合同事宜由双方签订时商定）</w:t>
      </w:r>
    </w:p>
    <w:p w14:paraId="052AB466">
      <w:pPr>
        <w:pStyle w:val="25"/>
        <w:outlineLvl w:val="9"/>
        <w:rPr>
          <w:rFonts w:ascii="宋体" w:cs="宋体"/>
          <w:sz w:val="30"/>
          <w:szCs w:val="30"/>
        </w:rPr>
      </w:pPr>
    </w:p>
    <w:p w14:paraId="664EFCE1">
      <w:pPr>
        <w:rPr>
          <w:rFonts w:ascii="宋体" w:cs="宋体"/>
          <w:sz w:val="30"/>
          <w:szCs w:val="30"/>
        </w:rPr>
      </w:pPr>
      <w:r>
        <w:rPr>
          <w:rFonts w:ascii="宋体" w:cs="宋体"/>
          <w:sz w:val="30"/>
          <w:szCs w:val="30"/>
        </w:rPr>
        <w:br w:type="page"/>
      </w:r>
    </w:p>
    <w:p w14:paraId="0B1D7CCC">
      <w:pPr>
        <w:pStyle w:val="25"/>
        <w:outlineLvl w:val="9"/>
        <w:rPr>
          <w:rFonts w:ascii="宋体" w:cs="宋体"/>
          <w:sz w:val="30"/>
          <w:szCs w:val="30"/>
        </w:rPr>
      </w:pPr>
    </w:p>
    <w:p w14:paraId="4CA99E7B">
      <w:pPr>
        <w:pStyle w:val="25"/>
        <w:rPr>
          <w:rFonts w:ascii="宋体" w:cs="宋体"/>
        </w:rPr>
      </w:pPr>
      <w:r>
        <w:rPr>
          <w:rFonts w:hint="eastAsia" w:ascii="宋体" w:hAnsi="宋体" w:cs="宋体"/>
        </w:rPr>
        <w:t>第五章投标文件格式</w:t>
      </w:r>
    </w:p>
    <w:bookmarkEnd w:id="12"/>
    <w:p w14:paraId="267E182B">
      <w:pPr>
        <w:spacing w:line="500" w:lineRule="exact"/>
        <w:jc w:val="center"/>
        <w:rPr>
          <w:rFonts w:ascii="宋体" w:cs="宋体"/>
          <w:b/>
          <w:color w:val="auto"/>
          <w:sz w:val="32"/>
          <w:szCs w:val="32"/>
          <w:u w:val="single"/>
        </w:rPr>
      </w:pPr>
      <w:bookmarkStart w:id="15" w:name="_Toc342615476"/>
    </w:p>
    <w:p w14:paraId="30C6A666">
      <w:pPr>
        <w:spacing w:line="500" w:lineRule="exact"/>
        <w:ind w:firstLine="2875" w:firstLineChars="895"/>
        <w:jc w:val="left"/>
        <w:rPr>
          <w:rFonts w:ascii="宋体" w:cs="宋体"/>
          <w:b/>
          <w:color w:val="auto"/>
          <w:sz w:val="32"/>
          <w:szCs w:val="32"/>
        </w:rPr>
      </w:pPr>
      <w:r>
        <w:rPr>
          <w:rFonts w:hint="eastAsia" w:ascii="宋体" w:hAnsi="宋体" w:cs="宋体"/>
          <w:b/>
          <w:color w:val="auto"/>
          <w:sz w:val="32"/>
          <w:szCs w:val="32"/>
        </w:rPr>
        <w:t>项目名称</w:t>
      </w:r>
    </w:p>
    <w:p w14:paraId="1A305A9D">
      <w:pPr>
        <w:spacing w:line="500" w:lineRule="exact"/>
        <w:jc w:val="center"/>
        <w:rPr>
          <w:rFonts w:ascii="宋体" w:cs="宋体"/>
          <w:b/>
          <w:color w:val="auto"/>
          <w:sz w:val="28"/>
          <w:szCs w:val="28"/>
        </w:rPr>
      </w:pPr>
    </w:p>
    <w:p w14:paraId="1A31F160">
      <w:pPr>
        <w:spacing w:line="500" w:lineRule="exact"/>
        <w:ind w:firstLine="2923" w:firstLineChars="1040"/>
        <w:rPr>
          <w:rFonts w:ascii="宋体" w:cs="宋体"/>
          <w:b/>
          <w:color w:val="auto"/>
          <w:sz w:val="28"/>
          <w:szCs w:val="28"/>
          <w:u w:val="single"/>
        </w:rPr>
      </w:pPr>
      <w:r>
        <w:rPr>
          <w:rFonts w:hint="eastAsia" w:ascii="宋体" w:hAnsi="宋体" w:cs="宋体"/>
          <w:b/>
          <w:color w:val="auto"/>
          <w:sz w:val="28"/>
          <w:szCs w:val="28"/>
        </w:rPr>
        <w:t>项目编号：</w:t>
      </w:r>
    </w:p>
    <w:p w14:paraId="5A1DAB7A">
      <w:pPr>
        <w:spacing w:line="500" w:lineRule="exact"/>
        <w:jc w:val="center"/>
        <w:rPr>
          <w:rFonts w:ascii="宋体" w:cs="宋体"/>
          <w:color w:val="auto"/>
          <w:sz w:val="28"/>
          <w:szCs w:val="28"/>
        </w:rPr>
      </w:pPr>
    </w:p>
    <w:p w14:paraId="45760BFE">
      <w:pPr>
        <w:spacing w:line="500" w:lineRule="exact"/>
        <w:rPr>
          <w:rFonts w:ascii="宋体" w:cs="宋体"/>
          <w:color w:val="auto"/>
          <w:sz w:val="24"/>
        </w:rPr>
      </w:pPr>
    </w:p>
    <w:p w14:paraId="342192E5">
      <w:pPr>
        <w:spacing w:line="500" w:lineRule="exact"/>
        <w:ind w:firstLine="480" w:firstLineChars="200"/>
        <w:rPr>
          <w:rFonts w:ascii="宋体" w:cs="宋体"/>
          <w:color w:val="auto"/>
          <w:sz w:val="24"/>
        </w:rPr>
      </w:pPr>
    </w:p>
    <w:p w14:paraId="7E521540">
      <w:pPr>
        <w:rPr>
          <w:rFonts w:ascii="宋体" w:cs="宋体"/>
        </w:rPr>
      </w:pPr>
    </w:p>
    <w:p w14:paraId="7F88BA2A">
      <w:pPr>
        <w:jc w:val="center"/>
        <w:rPr>
          <w:rFonts w:ascii="宋体" w:cs="宋体"/>
          <w:b/>
          <w:color w:val="auto"/>
          <w:sz w:val="72"/>
          <w:szCs w:val="72"/>
        </w:rPr>
      </w:pPr>
      <w:bookmarkStart w:id="16" w:name="_Toc311276275"/>
      <w:r>
        <w:rPr>
          <w:rFonts w:hint="eastAsia" w:ascii="宋体" w:hAnsi="宋体" w:cs="宋体"/>
          <w:b/>
          <w:color w:val="auto"/>
          <w:sz w:val="72"/>
          <w:szCs w:val="72"/>
        </w:rPr>
        <w:t>投标文件</w:t>
      </w:r>
      <w:bookmarkEnd w:id="16"/>
    </w:p>
    <w:p w14:paraId="64B6A1F1">
      <w:pPr>
        <w:jc w:val="center"/>
        <w:rPr>
          <w:rFonts w:ascii="宋体" w:cs="宋体"/>
          <w:color w:val="auto"/>
        </w:rPr>
      </w:pPr>
    </w:p>
    <w:p w14:paraId="4FCDF8D8">
      <w:pPr>
        <w:spacing w:line="500" w:lineRule="exact"/>
        <w:ind w:firstLine="480" w:firstLineChars="200"/>
        <w:rPr>
          <w:rFonts w:ascii="宋体" w:cs="宋体"/>
          <w:color w:val="auto"/>
          <w:sz w:val="24"/>
        </w:rPr>
      </w:pPr>
    </w:p>
    <w:p w14:paraId="78AB5849">
      <w:pPr>
        <w:pStyle w:val="27"/>
        <w:ind w:left="0" w:firstLine="0" w:firstLineChars="0"/>
        <w:rPr>
          <w:rFonts w:ascii="宋体" w:cs="宋体"/>
          <w:color w:val="auto"/>
        </w:rPr>
      </w:pPr>
    </w:p>
    <w:p w14:paraId="69C279A1">
      <w:pPr>
        <w:pStyle w:val="27"/>
        <w:ind w:left="0" w:firstLine="0" w:firstLineChars="0"/>
        <w:rPr>
          <w:rFonts w:ascii="宋体" w:cs="宋体"/>
          <w:color w:val="auto"/>
        </w:rPr>
      </w:pPr>
    </w:p>
    <w:p w14:paraId="46596097">
      <w:pPr>
        <w:spacing w:line="500" w:lineRule="exact"/>
        <w:ind w:firstLine="480" w:firstLineChars="200"/>
        <w:rPr>
          <w:rFonts w:ascii="宋体" w:cs="宋体"/>
          <w:color w:val="auto"/>
          <w:sz w:val="24"/>
        </w:rPr>
      </w:pPr>
    </w:p>
    <w:p w14:paraId="49EE8139">
      <w:pPr>
        <w:pStyle w:val="104"/>
        <w:ind w:firstLine="420"/>
        <w:rPr>
          <w:rFonts w:ascii="宋体" w:cs="宋体"/>
          <w:color w:val="auto"/>
        </w:rPr>
      </w:pPr>
    </w:p>
    <w:p w14:paraId="3AB39E58">
      <w:pPr>
        <w:spacing w:line="720" w:lineRule="auto"/>
        <w:ind w:firstLine="829" w:firstLineChars="295"/>
        <w:rPr>
          <w:rFonts w:ascii="宋体" w:cs="宋体"/>
          <w:b/>
          <w:color w:val="auto"/>
          <w:sz w:val="28"/>
          <w:szCs w:val="28"/>
        </w:rPr>
      </w:pPr>
      <w:r>
        <w:rPr>
          <w:rFonts w:hint="eastAsia" w:ascii="宋体" w:hAnsi="宋体" w:cs="宋体"/>
          <w:b/>
          <w:color w:val="auto"/>
          <w:sz w:val="28"/>
          <w:szCs w:val="28"/>
        </w:rPr>
        <w:t>供应商名称：（电子签章）</w:t>
      </w:r>
    </w:p>
    <w:p w14:paraId="0E31D2CB">
      <w:pPr>
        <w:spacing w:line="720" w:lineRule="auto"/>
        <w:ind w:firstLine="843" w:firstLineChars="300"/>
        <w:rPr>
          <w:rFonts w:ascii="宋体" w:cs="宋体"/>
          <w:b/>
          <w:color w:val="auto"/>
          <w:sz w:val="28"/>
          <w:szCs w:val="28"/>
        </w:rPr>
      </w:pPr>
      <w:r>
        <w:rPr>
          <w:rFonts w:hint="eastAsia" w:ascii="宋体" w:hAnsi="宋体" w:cs="宋体"/>
          <w:b/>
          <w:color w:val="auto"/>
          <w:sz w:val="28"/>
          <w:szCs w:val="28"/>
        </w:rPr>
        <w:t>法定代表人：（电子签名）</w:t>
      </w:r>
    </w:p>
    <w:p w14:paraId="0EBFF308">
      <w:pPr>
        <w:spacing w:line="720" w:lineRule="auto"/>
        <w:ind w:firstLine="843" w:firstLineChars="300"/>
        <w:jc w:val="left"/>
        <w:rPr>
          <w:rFonts w:ascii="宋体" w:cs="宋体"/>
          <w:b/>
          <w:color w:val="auto"/>
          <w:sz w:val="28"/>
          <w:szCs w:val="28"/>
        </w:rPr>
      </w:pPr>
      <w:r>
        <w:rPr>
          <w:rFonts w:hint="eastAsia" w:ascii="宋体" w:hAnsi="宋体" w:cs="宋体"/>
          <w:b/>
          <w:color w:val="auto"/>
          <w:sz w:val="28"/>
          <w:szCs w:val="28"/>
        </w:rPr>
        <w:t>年月日</w:t>
      </w:r>
    </w:p>
    <w:p w14:paraId="544D8102">
      <w:pPr>
        <w:pStyle w:val="5"/>
        <w:keepNext w:val="0"/>
        <w:keepLines w:val="0"/>
        <w:spacing w:before="0" w:after="0" w:line="360" w:lineRule="auto"/>
        <w:ind w:left="0" w:firstLine="0"/>
        <w:jc w:val="left"/>
        <w:rPr>
          <w:rFonts w:ascii="宋体" w:hAnsi="宋体" w:cs="宋体"/>
          <w:sz w:val="24"/>
          <w:szCs w:val="24"/>
        </w:rPr>
      </w:pPr>
      <w:r>
        <w:rPr>
          <w:rFonts w:ascii="宋体" w:hAnsi="宋体" w:cs="宋体"/>
          <w:sz w:val="24"/>
          <w:szCs w:val="24"/>
        </w:rPr>
        <w:br w:type="page"/>
      </w:r>
      <w:r>
        <w:rPr>
          <w:rFonts w:hint="eastAsia" w:ascii="宋体" w:hAnsi="宋体" w:cs="宋体"/>
          <w:sz w:val="24"/>
          <w:szCs w:val="24"/>
        </w:rPr>
        <w:t>附件</w:t>
      </w:r>
      <w:r>
        <w:rPr>
          <w:rFonts w:ascii="宋体" w:hAnsi="宋体" w:cs="宋体"/>
          <w:sz w:val="24"/>
          <w:szCs w:val="24"/>
        </w:rPr>
        <w:t>1</w:t>
      </w:r>
      <w:r>
        <w:rPr>
          <w:rFonts w:hint="eastAsia" w:ascii="宋体" w:hAnsi="宋体" w:cs="宋体"/>
          <w:sz w:val="24"/>
          <w:szCs w:val="24"/>
        </w:rPr>
        <w:t>、投标报价表格</w:t>
      </w:r>
    </w:p>
    <w:p w14:paraId="17FB4DF3">
      <w:pPr>
        <w:pStyle w:val="5"/>
        <w:keepNext w:val="0"/>
        <w:keepLines w:val="0"/>
        <w:spacing w:before="0" w:after="0" w:line="360" w:lineRule="auto"/>
        <w:ind w:left="420" w:firstLine="0"/>
        <w:rPr>
          <w:rFonts w:ascii="宋体" w:hAnsi="宋体" w:cs="宋体"/>
          <w:sz w:val="24"/>
          <w:szCs w:val="24"/>
        </w:rPr>
      </w:pPr>
      <w:bookmarkStart w:id="17" w:name="_Toc342615448"/>
      <w:r>
        <w:rPr>
          <w:rFonts w:ascii="宋体" w:hAnsi="宋体" w:cs="宋体"/>
          <w:sz w:val="24"/>
          <w:szCs w:val="24"/>
        </w:rPr>
        <w:t>1.1</w:t>
      </w:r>
      <w:r>
        <w:rPr>
          <w:rFonts w:hint="eastAsia" w:ascii="宋体" w:hAnsi="宋体" w:cs="宋体"/>
          <w:sz w:val="24"/>
          <w:szCs w:val="24"/>
        </w:rPr>
        <w:t>投标函</w:t>
      </w:r>
      <w:bookmarkEnd w:id="17"/>
    </w:p>
    <w:p w14:paraId="2C9DCFCC">
      <w:pPr>
        <w:spacing w:line="360" w:lineRule="auto"/>
        <w:rPr>
          <w:rFonts w:ascii="宋体" w:cs="宋体"/>
          <w:sz w:val="24"/>
        </w:rPr>
      </w:pPr>
    </w:p>
    <w:p w14:paraId="736D74D5">
      <w:pPr>
        <w:spacing w:line="360" w:lineRule="auto"/>
        <w:ind w:firstLine="420" w:firstLineChars="200"/>
        <w:jc w:val="left"/>
        <w:rPr>
          <w:rFonts w:ascii="宋体" w:cs="宋体"/>
          <w:szCs w:val="21"/>
        </w:rPr>
      </w:pPr>
      <w:r>
        <w:rPr>
          <w:rFonts w:hint="eastAsia" w:ascii="宋体" w:hAnsi="宋体" w:cs="宋体"/>
          <w:szCs w:val="21"/>
        </w:rPr>
        <w:t>致</w:t>
      </w:r>
      <w:r>
        <w:rPr>
          <w:rFonts w:hint="eastAsia" w:ascii="宋体" w:hAnsi="宋体" w:cs="宋体"/>
          <w:szCs w:val="21"/>
          <w:u w:val="single"/>
        </w:rPr>
        <w:t>（采购人名称）</w:t>
      </w:r>
      <w:r>
        <w:rPr>
          <w:rFonts w:hint="eastAsia" w:ascii="宋体" w:hAnsi="宋体" w:cs="宋体"/>
          <w:szCs w:val="21"/>
        </w:rPr>
        <w:t>：</w:t>
      </w:r>
    </w:p>
    <w:p w14:paraId="22E44DD7">
      <w:pPr>
        <w:spacing w:line="360" w:lineRule="auto"/>
        <w:ind w:firstLine="420" w:firstLineChars="200"/>
        <w:jc w:val="left"/>
        <w:rPr>
          <w:rFonts w:ascii="宋体" w:cs="宋体"/>
          <w:szCs w:val="21"/>
        </w:rPr>
      </w:pPr>
      <w:r>
        <w:rPr>
          <w:rFonts w:ascii="宋体" w:hAnsi="宋体" w:cs="宋体"/>
          <w:szCs w:val="21"/>
        </w:rPr>
        <w:t>1.</w:t>
      </w:r>
      <w:r>
        <w:rPr>
          <w:rFonts w:hint="eastAsia" w:ascii="宋体" w:hAnsi="宋体" w:cs="宋体"/>
          <w:szCs w:val="21"/>
        </w:rPr>
        <w:t>我方仔细研究了</w:t>
      </w:r>
      <w:bookmarkStart w:id="18" w:name="B002"/>
      <w:bookmarkEnd w:id="18"/>
      <w:r>
        <w:rPr>
          <w:rFonts w:hint="eastAsia" w:ascii="宋体" w:hAnsi="宋体" w:cs="宋体"/>
          <w:szCs w:val="21"/>
          <w:u w:val="single"/>
        </w:rPr>
        <w:t>（项目名称及标段）</w:t>
      </w:r>
      <w:r>
        <w:rPr>
          <w:rFonts w:hint="eastAsia" w:ascii="宋体" w:hAnsi="宋体" w:cs="宋体"/>
          <w:szCs w:val="21"/>
        </w:rPr>
        <w:t>招标文件（项目编号：），决定参加贵单位组织的本项目采购。</w:t>
      </w:r>
    </w:p>
    <w:p w14:paraId="10DD5823">
      <w:pPr>
        <w:spacing w:line="360" w:lineRule="auto"/>
        <w:ind w:firstLine="420" w:firstLineChars="200"/>
        <w:jc w:val="left"/>
        <w:rPr>
          <w:rFonts w:ascii="宋体" w:cs="宋体"/>
          <w:szCs w:val="21"/>
        </w:rPr>
      </w:pPr>
      <w:r>
        <w:rPr>
          <w:rFonts w:ascii="宋体" w:hAnsi="宋体" w:cs="宋体"/>
          <w:szCs w:val="21"/>
        </w:rPr>
        <w:t>2.</w:t>
      </w:r>
      <w:r>
        <w:t>我方提供的服务内容：；合同履行期限：；食材质量要求：；配送地点：；</w:t>
      </w:r>
      <w:r>
        <w:rPr>
          <w:rFonts w:hint="eastAsia" w:ascii="宋体" w:hAnsi="宋体" w:cs="宋体"/>
          <w:szCs w:val="21"/>
        </w:rPr>
        <w:t>。</w:t>
      </w:r>
    </w:p>
    <w:p w14:paraId="753DCB03">
      <w:pPr>
        <w:spacing w:line="360" w:lineRule="auto"/>
        <w:ind w:firstLine="420" w:firstLineChars="200"/>
        <w:jc w:val="left"/>
        <w:rPr>
          <w:rFonts w:ascii="宋体" w:cs="宋体"/>
          <w:szCs w:val="21"/>
        </w:rPr>
      </w:pPr>
      <w:r>
        <w:rPr>
          <w:rFonts w:hint="eastAsia" w:ascii="宋体" w:hAnsi="宋体" w:cs="宋体"/>
          <w:szCs w:val="21"/>
        </w:rPr>
        <w:t>3</w:t>
      </w:r>
      <w:r>
        <w:rPr>
          <w:rFonts w:ascii="宋体" w:hAnsi="宋体" w:cs="宋体"/>
          <w:szCs w:val="21"/>
        </w:rPr>
        <w:t>.</w:t>
      </w:r>
      <w:r>
        <w:rPr>
          <w:rFonts w:hint="eastAsia" w:ascii="宋体" w:hAnsi="宋体" w:cs="宋体"/>
          <w:szCs w:val="21"/>
        </w:rPr>
        <w:t>我方承诺在招标文件规定的自投标截止之日起日历天（投标有效期）内不撤销投标文件。</w:t>
      </w:r>
    </w:p>
    <w:p w14:paraId="2D366D81">
      <w:pPr>
        <w:spacing w:line="360" w:lineRule="auto"/>
        <w:ind w:firstLine="420" w:firstLineChars="200"/>
        <w:jc w:val="left"/>
        <w:rPr>
          <w:rFonts w:ascii="宋体" w:cs="宋体"/>
          <w:szCs w:val="21"/>
        </w:rPr>
      </w:pPr>
      <w:r>
        <w:rPr>
          <w:rFonts w:hint="eastAsia" w:ascii="宋体" w:hAnsi="宋体" w:cs="宋体"/>
          <w:szCs w:val="21"/>
        </w:rPr>
        <w:t>4</w:t>
      </w:r>
      <w:r>
        <w:rPr>
          <w:rFonts w:ascii="宋体" w:hAnsi="宋体" w:cs="宋体"/>
          <w:szCs w:val="21"/>
        </w:rPr>
        <w:t>.</w:t>
      </w:r>
      <w:r>
        <w:rPr>
          <w:rFonts w:hint="eastAsia" w:ascii="宋体" w:hAnsi="宋体" w:cs="宋体"/>
          <w:szCs w:val="21"/>
        </w:rPr>
        <w:t>如我方中标，我方承诺：</w:t>
      </w:r>
    </w:p>
    <w:p w14:paraId="7659C695">
      <w:pPr>
        <w:pStyle w:val="24"/>
        <w:spacing w:beforeAutospacing="0" w:afterAutospacing="0" w:line="360" w:lineRule="auto"/>
        <w:ind w:firstLine="420" w:firstLineChars="200"/>
        <w:rPr>
          <w:rFonts w:cs="宋体"/>
        </w:rPr>
      </w:pPr>
      <w:r>
        <w:rPr>
          <w:rFonts w:hint="eastAsia" w:cs="宋体"/>
          <w:sz w:val="21"/>
          <w:szCs w:val="21"/>
        </w:rPr>
        <w:t>（</w:t>
      </w:r>
      <w:r>
        <w:rPr>
          <w:rFonts w:cs="宋体"/>
          <w:sz w:val="21"/>
          <w:szCs w:val="21"/>
        </w:rPr>
        <w:t>1</w:t>
      </w:r>
      <w:r>
        <w:rPr>
          <w:rFonts w:hint="eastAsia" w:cs="宋体"/>
          <w:sz w:val="21"/>
          <w:szCs w:val="21"/>
        </w:rPr>
        <w:t>）我方承诺在收到中标通知书后，在中标通知书规定时间内与你方签订合同；</w:t>
      </w:r>
    </w:p>
    <w:p w14:paraId="5FF49EE7">
      <w:pPr>
        <w:pStyle w:val="24"/>
        <w:spacing w:beforeAutospacing="0" w:afterAutospacing="0" w:line="360" w:lineRule="auto"/>
        <w:ind w:firstLine="420" w:firstLineChars="200"/>
        <w:rPr>
          <w:rFonts w:cs="宋体"/>
        </w:rPr>
      </w:pPr>
      <w:r>
        <w:rPr>
          <w:rFonts w:hint="eastAsia" w:cs="宋体"/>
          <w:sz w:val="21"/>
          <w:szCs w:val="21"/>
        </w:rPr>
        <w:t>（</w:t>
      </w:r>
      <w:r>
        <w:rPr>
          <w:rFonts w:cs="宋体"/>
          <w:sz w:val="21"/>
          <w:szCs w:val="21"/>
        </w:rPr>
        <w:t>2</w:t>
      </w:r>
      <w:r>
        <w:rPr>
          <w:rFonts w:hint="eastAsia" w:cs="宋体"/>
          <w:sz w:val="21"/>
          <w:szCs w:val="21"/>
        </w:rPr>
        <w:t>）在签订合同时不向你方提出附加条件；</w:t>
      </w:r>
    </w:p>
    <w:p w14:paraId="7332C2F6">
      <w:pPr>
        <w:pStyle w:val="24"/>
        <w:spacing w:beforeAutospacing="0" w:afterAutospacing="0" w:line="360" w:lineRule="auto"/>
        <w:ind w:firstLine="420" w:firstLineChars="200"/>
        <w:rPr>
          <w:rFonts w:cs="宋体"/>
        </w:rPr>
      </w:pPr>
      <w:r>
        <w:rPr>
          <w:rFonts w:hint="eastAsia" w:cs="宋体"/>
          <w:sz w:val="21"/>
          <w:szCs w:val="21"/>
        </w:rPr>
        <w:t>（</w:t>
      </w:r>
      <w:r>
        <w:rPr>
          <w:rFonts w:cs="宋体"/>
          <w:sz w:val="21"/>
          <w:szCs w:val="21"/>
        </w:rPr>
        <w:t>3</w:t>
      </w:r>
      <w:r>
        <w:rPr>
          <w:rFonts w:hint="eastAsia" w:cs="宋体"/>
          <w:sz w:val="21"/>
          <w:szCs w:val="21"/>
        </w:rPr>
        <w:t>）在合同约定的期限内完成合同规定的全部义务。</w:t>
      </w:r>
    </w:p>
    <w:p w14:paraId="6D5EA461">
      <w:pPr>
        <w:pStyle w:val="24"/>
        <w:spacing w:beforeAutospacing="0" w:afterAutospacing="0" w:line="360" w:lineRule="auto"/>
        <w:ind w:firstLine="420" w:firstLineChars="200"/>
        <w:rPr>
          <w:rFonts w:cs="宋体"/>
        </w:rPr>
      </w:pPr>
      <w:r>
        <w:rPr>
          <w:rFonts w:hint="eastAsia" w:cs="宋体"/>
          <w:sz w:val="21"/>
          <w:szCs w:val="21"/>
        </w:rPr>
        <w:t>5</w:t>
      </w:r>
      <w:r>
        <w:rPr>
          <w:rFonts w:cs="宋体"/>
          <w:sz w:val="21"/>
          <w:szCs w:val="21"/>
        </w:rPr>
        <w:t>.</w:t>
      </w:r>
      <w:r>
        <w:rPr>
          <w:rFonts w:hint="eastAsia" w:cs="宋体"/>
          <w:sz w:val="21"/>
          <w:szCs w:val="21"/>
        </w:rPr>
        <w:t>我方在此声明，所递交的投标文件及相关资料内容完整、真实和准确。</w:t>
      </w:r>
    </w:p>
    <w:p w14:paraId="2D1806E7">
      <w:pPr>
        <w:pStyle w:val="24"/>
        <w:spacing w:beforeAutospacing="0" w:afterAutospacing="0" w:line="360" w:lineRule="auto"/>
        <w:ind w:firstLine="420" w:firstLineChars="200"/>
        <w:rPr>
          <w:rFonts w:cs="宋体"/>
        </w:rPr>
      </w:pPr>
      <w:r>
        <w:rPr>
          <w:rFonts w:hint="eastAsia" w:cs="宋体"/>
          <w:sz w:val="21"/>
          <w:szCs w:val="21"/>
        </w:rPr>
        <w:t>6</w:t>
      </w:r>
      <w:r>
        <w:rPr>
          <w:rFonts w:cs="宋体"/>
          <w:sz w:val="21"/>
          <w:szCs w:val="21"/>
        </w:rPr>
        <w:t>.</w:t>
      </w:r>
      <w:r>
        <w:rPr>
          <w:rFonts w:hint="eastAsia" w:cs="宋体"/>
          <w:sz w:val="21"/>
          <w:szCs w:val="21"/>
        </w:rPr>
        <w:t>其他补充说明）。</w:t>
      </w:r>
    </w:p>
    <w:p w14:paraId="05122FD8">
      <w:pPr>
        <w:adjustRightInd w:val="0"/>
        <w:spacing w:line="400" w:lineRule="exact"/>
        <w:ind w:firstLine="420" w:firstLineChars="200"/>
        <w:jc w:val="left"/>
        <w:rPr>
          <w:rFonts w:ascii="宋体" w:cs="宋体"/>
          <w:szCs w:val="21"/>
        </w:rPr>
      </w:pPr>
    </w:p>
    <w:p w14:paraId="15F495EA">
      <w:pPr>
        <w:adjustRightInd w:val="0"/>
        <w:spacing w:line="400" w:lineRule="exact"/>
        <w:ind w:firstLine="420" w:firstLineChars="200"/>
        <w:jc w:val="left"/>
        <w:rPr>
          <w:rFonts w:ascii="宋体" w:cs="宋体"/>
          <w:szCs w:val="21"/>
        </w:rPr>
      </w:pPr>
    </w:p>
    <w:p w14:paraId="59A8984C">
      <w:pPr>
        <w:adjustRightInd w:val="0"/>
        <w:spacing w:line="360" w:lineRule="auto"/>
        <w:jc w:val="left"/>
        <w:rPr>
          <w:rFonts w:ascii="宋体" w:cs="宋体"/>
          <w:szCs w:val="21"/>
        </w:rPr>
      </w:pPr>
      <w:r>
        <w:rPr>
          <w:rFonts w:hint="eastAsia" w:ascii="宋体" w:hAnsi="宋体" w:cs="宋体"/>
          <w:szCs w:val="21"/>
        </w:rPr>
        <w:t>供应商名称：</w:t>
      </w:r>
      <w:bookmarkStart w:id="19" w:name="B012"/>
      <w:bookmarkEnd w:id="19"/>
      <w:r>
        <w:rPr>
          <w:rFonts w:hint="eastAsia" w:ascii="宋体" w:hAnsi="宋体" w:cs="宋体"/>
          <w:szCs w:val="21"/>
        </w:rPr>
        <w:t>（电子签章）</w:t>
      </w:r>
    </w:p>
    <w:p w14:paraId="7C268D86">
      <w:pPr>
        <w:spacing w:line="360" w:lineRule="auto"/>
        <w:rPr>
          <w:rFonts w:ascii="宋体" w:cs="宋体"/>
          <w:szCs w:val="21"/>
          <w:u w:val="single"/>
        </w:rPr>
      </w:pPr>
      <w:r>
        <w:rPr>
          <w:rFonts w:hint="eastAsia" w:ascii="宋体" w:hAnsi="宋体" w:cs="宋体"/>
          <w:szCs w:val="21"/>
        </w:rPr>
        <w:t>法定代表人：（电子签名）</w:t>
      </w:r>
      <w:bookmarkStart w:id="20" w:name="B013"/>
      <w:bookmarkEnd w:id="20"/>
    </w:p>
    <w:p w14:paraId="658A5200">
      <w:pPr>
        <w:spacing w:line="360" w:lineRule="auto"/>
        <w:rPr>
          <w:rFonts w:ascii="宋体" w:cs="宋体"/>
          <w:szCs w:val="21"/>
        </w:rPr>
      </w:pPr>
      <w:r>
        <w:rPr>
          <w:rFonts w:hint="eastAsia" w:ascii="宋体" w:hAnsi="宋体" w:cs="宋体"/>
          <w:szCs w:val="21"/>
        </w:rPr>
        <w:t>日期：年月日</w:t>
      </w:r>
    </w:p>
    <w:p w14:paraId="688B12CA">
      <w:pPr>
        <w:rPr>
          <w:rFonts w:ascii="宋体" w:cs="宋体"/>
        </w:rPr>
      </w:pPr>
    </w:p>
    <w:p w14:paraId="2E43DD8B">
      <w:pPr>
        <w:rPr>
          <w:rFonts w:ascii="宋体" w:cs="宋体"/>
          <w:color w:val="auto"/>
        </w:rPr>
      </w:pPr>
    </w:p>
    <w:p w14:paraId="55CC557B">
      <w:pPr>
        <w:rPr>
          <w:rFonts w:ascii="宋体" w:cs="宋体"/>
          <w:color w:val="auto"/>
          <w:szCs w:val="21"/>
        </w:rPr>
      </w:pPr>
    </w:p>
    <w:p w14:paraId="5699AF5D">
      <w:pPr>
        <w:rPr>
          <w:rFonts w:ascii="宋体" w:cs="宋体"/>
          <w:color w:val="auto"/>
          <w:szCs w:val="21"/>
        </w:rPr>
      </w:pPr>
    </w:p>
    <w:p w14:paraId="3960E7A2">
      <w:pPr>
        <w:pStyle w:val="2"/>
      </w:pPr>
    </w:p>
    <w:p w14:paraId="6A2D3C1C">
      <w:pPr>
        <w:rPr>
          <w:rFonts w:ascii="宋体" w:cs="宋体"/>
          <w:color w:val="auto"/>
          <w:szCs w:val="21"/>
        </w:rPr>
      </w:pPr>
    </w:p>
    <w:p w14:paraId="4403AD86">
      <w:pPr>
        <w:rPr>
          <w:rFonts w:ascii="宋体" w:cs="宋体"/>
        </w:rPr>
      </w:pPr>
    </w:p>
    <w:p w14:paraId="0E59E31E">
      <w:pPr>
        <w:rPr>
          <w:rFonts w:ascii="宋体" w:cs="宋体"/>
          <w:color w:val="auto"/>
          <w:szCs w:val="21"/>
        </w:rPr>
      </w:pPr>
    </w:p>
    <w:p w14:paraId="17470E65">
      <w:pPr>
        <w:pStyle w:val="2"/>
      </w:pPr>
    </w:p>
    <w:p w14:paraId="7DB77F50">
      <w:pPr>
        <w:pStyle w:val="3"/>
      </w:pPr>
    </w:p>
    <w:p w14:paraId="49AEF795">
      <w:pPr>
        <w:pStyle w:val="2"/>
      </w:pPr>
    </w:p>
    <w:p w14:paraId="51287215">
      <w:pPr>
        <w:pStyle w:val="5"/>
        <w:keepNext w:val="0"/>
        <w:keepLines w:val="0"/>
        <w:spacing w:before="0" w:after="0" w:line="360" w:lineRule="auto"/>
        <w:ind w:left="420" w:firstLine="0"/>
        <w:rPr>
          <w:rFonts w:ascii="宋体" w:hAnsi="宋体" w:cs="宋体"/>
          <w:sz w:val="24"/>
          <w:szCs w:val="24"/>
        </w:rPr>
      </w:pPr>
      <w:bookmarkStart w:id="21" w:name="_Toc342615449"/>
      <w:r>
        <w:rPr>
          <w:rFonts w:ascii="宋体" w:hAnsi="宋体" w:cs="宋体"/>
          <w:sz w:val="24"/>
          <w:szCs w:val="24"/>
        </w:rPr>
        <w:t>1.2</w:t>
      </w:r>
      <w:r>
        <w:rPr>
          <w:rFonts w:hint="eastAsia" w:ascii="宋体" w:hAnsi="宋体" w:cs="宋体"/>
          <w:sz w:val="24"/>
          <w:szCs w:val="24"/>
        </w:rPr>
        <w:t>开标一览表</w:t>
      </w:r>
      <w:bookmarkEnd w:id="21"/>
    </w:p>
    <w:p w14:paraId="515DBF8F">
      <w:pPr>
        <w:spacing w:line="360" w:lineRule="auto"/>
        <w:textAlignment w:val="baseline"/>
        <w:rPr>
          <w:rFonts w:ascii="宋体" w:cs="宋体"/>
          <w:color w:val="auto"/>
        </w:rPr>
      </w:pPr>
      <w:r>
        <w:rPr>
          <w:rFonts w:hint="eastAsia" w:ascii="宋体" w:hAnsi="宋体" w:cs="宋体"/>
          <w:color w:val="auto"/>
        </w:rPr>
        <w:t>采购项目编号：</w:t>
      </w:r>
    </w:p>
    <w:p w14:paraId="37B61AAA">
      <w:pPr>
        <w:spacing w:line="360" w:lineRule="auto"/>
        <w:textAlignment w:val="baseline"/>
        <w:rPr>
          <w:rFonts w:ascii="宋体" w:cs="宋体"/>
          <w:color w:val="auto"/>
        </w:rPr>
      </w:pPr>
      <w:r>
        <w:rPr>
          <w:rFonts w:hint="eastAsia" w:ascii="宋体" w:hAnsi="宋体" w:cs="宋体"/>
          <w:color w:val="auto"/>
        </w:rPr>
        <w:t>采购项目名称：</w:t>
      </w:r>
    </w:p>
    <w:tbl>
      <w:tblPr>
        <w:tblStyle w:val="28"/>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8"/>
        <w:gridCol w:w="6355"/>
      </w:tblGrid>
      <w:tr w14:paraId="6FB1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498" w:type="dxa"/>
            <w:vAlign w:val="center"/>
          </w:tcPr>
          <w:p w14:paraId="5E5CE6DD">
            <w:pPr>
              <w:jc w:val="center"/>
              <w:rPr>
                <w:rFonts w:ascii="宋体" w:cs="宋体"/>
                <w:color w:val="auto"/>
                <w:szCs w:val="21"/>
              </w:rPr>
            </w:pPr>
            <w:r>
              <w:rPr>
                <w:rFonts w:hint="eastAsia" w:ascii="宋体" w:hAnsi="宋体" w:cs="宋体"/>
                <w:color w:val="auto"/>
                <w:szCs w:val="21"/>
              </w:rPr>
              <w:t>标题</w:t>
            </w:r>
          </w:p>
        </w:tc>
        <w:tc>
          <w:tcPr>
            <w:tcW w:w="6355" w:type="dxa"/>
            <w:vAlign w:val="center"/>
          </w:tcPr>
          <w:p w14:paraId="0A45AD8E">
            <w:pPr>
              <w:jc w:val="center"/>
              <w:rPr>
                <w:rFonts w:ascii="宋体" w:cs="宋体"/>
                <w:color w:val="auto"/>
                <w:szCs w:val="21"/>
              </w:rPr>
            </w:pPr>
            <w:r>
              <w:rPr>
                <w:rFonts w:hint="eastAsia" w:ascii="宋体" w:hAnsi="宋体" w:cs="宋体"/>
                <w:color w:val="auto"/>
                <w:szCs w:val="21"/>
              </w:rPr>
              <w:t>内容</w:t>
            </w:r>
          </w:p>
        </w:tc>
      </w:tr>
      <w:tr w14:paraId="20C4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498" w:type="dxa"/>
            <w:vAlign w:val="center"/>
          </w:tcPr>
          <w:p w14:paraId="1DA10176">
            <w:pPr>
              <w:jc w:val="center"/>
              <w:rPr>
                <w:rFonts w:ascii="宋体" w:cs="宋体"/>
                <w:b/>
                <w:bCs/>
                <w:color w:val="auto"/>
                <w:szCs w:val="21"/>
              </w:rPr>
            </w:pPr>
            <w:r>
              <w:rPr>
                <w:rFonts w:hint="eastAsia" w:ascii="宋体" w:hAnsi="宋体" w:cs="宋体"/>
                <w:b/>
                <w:bCs/>
                <w:color w:val="auto"/>
                <w:szCs w:val="21"/>
              </w:rPr>
              <w:t>项目名称</w:t>
            </w:r>
          </w:p>
        </w:tc>
        <w:tc>
          <w:tcPr>
            <w:tcW w:w="6355" w:type="dxa"/>
            <w:vAlign w:val="center"/>
          </w:tcPr>
          <w:p w14:paraId="5D28B6DD">
            <w:pPr>
              <w:jc w:val="center"/>
              <w:rPr>
                <w:rFonts w:ascii="宋体" w:cs="宋体"/>
                <w:color w:val="auto"/>
                <w:szCs w:val="21"/>
              </w:rPr>
            </w:pPr>
          </w:p>
        </w:tc>
      </w:tr>
      <w:tr w14:paraId="5F15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498" w:type="dxa"/>
            <w:vAlign w:val="center"/>
          </w:tcPr>
          <w:p w14:paraId="070BEC0A">
            <w:pPr>
              <w:jc w:val="center"/>
              <w:rPr>
                <w:rFonts w:ascii="宋体" w:cs="宋体"/>
                <w:b/>
                <w:bCs/>
                <w:color w:val="auto"/>
                <w:szCs w:val="21"/>
              </w:rPr>
            </w:pPr>
            <w:r>
              <w:rPr>
                <w:rFonts w:hint="eastAsia" w:ascii="宋体" w:hAnsi="宋体" w:cs="宋体"/>
                <w:b/>
                <w:bCs/>
                <w:color w:val="auto"/>
                <w:szCs w:val="21"/>
              </w:rPr>
              <w:t>项目编号</w:t>
            </w:r>
          </w:p>
        </w:tc>
        <w:tc>
          <w:tcPr>
            <w:tcW w:w="6355" w:type="dxa"/>
            <w:vAlign w:val="center"/>
          </w:tcPr>
          <w:p w14:paraId="3FE97F14">
            <w:pPr>
              <w:jc w:val="center"/>
              <w:rPr>
                <w:rFonts w:ascii="宋体" w:cs="宋体"/>
                <w:color w:val="auto"/>
                <w:szCs w:val="21"/>
              </w:rPr>
            </w:pPr>
          </w:p>
        </w:tc>
      </w:tr>
      <w:tr w14:paraId="35F0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498" w:type="dxa"/>
            <w:vAlign w:val="center"/>
          </w:tcPr>
          <w:p w14:paraId="26142169">
            <w:pPr>
              <w:jc w:val="center"/>
              <w:rPr>
                <w:rFonts w:ascii="宋体" w:cs="宋体"/>
                <w:color w:val="auto"/>
                <w:szCs w:val="21"/>
              </w:rPr>
            </w:pPr>
            <w:r>
              <w:rPr>
                <w:rFonts w:hint="eastAsia" w:ascii="宋体" w:hAnsi="宋体" w:cs="宋体"/>
                <w:b/>
                <w:bCs/>
                <w:color w:val="auto"/>
                <w:szCs w:val="21"/>
              </w:rPr>
              <w:t>投标人名称</w:t>
            </w:r>
          </w:p>
        </w:tc>
        <w:tc>
          <w:tcPr>
            <w:tcW w:w="6355" w:type="dxa"/>
            <w:vAlign w:val="center"/>
          </w:tcPr>
          <w:p w14:paraId="077A144E">
            <w:pPr>
              <w:jc w:val="center"/>
              <w:rPr>
                <w:rFonts w:ascii="宋体" w:cs="宋体"/>
                <w:color w:val="auto"/>
                <w:szCs w:val="21"/>
              </w:rPr>
            </w:pPr>
          </w:p>
        </w:tc>
      </w:tr>
      <w:tr w14:paraId="05D8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498" w:type="dxa"/>
            <w:vAlign w:val="center"/>
          </w:tcPr>
          <w:p w14:paraId="236E38BF">
            <w:pPr>
              <w:jc w:val="center"/>
              <w:rPr>
                <w:rFonts w:ascii="宋体" w:cs="宋体"/>
                <w:b/>
                <w:bCs/>
                <w:color w:val="auto"/>
                <w:szCs w:val="21"/>
              </w:rPr>
            </w:pPr>
            <w:r>
              <w:rPr>
                <w:rFonts w:hint="eastAsia" w:ascii="宋体" w:hAnsi="宋体" w:cs="宋体"/>
                <w:b/>
                <w:bCs/>
                <w:color w:val="auto"/>
                <w:szCs w:val="21"/>
              </w:rPr>
              <w:t>投标报价</w:t>
            </w:r>
          </w:p>
        </w:tc>
        <w:tc>
          <w:tcPr>
            <w:tcW w:w="6355" w:type="dxa"/>
            <w:vAlign w:val="center"/>
          </w:tcPr>
          <w:p w14:paraId="7AEFAC52">
            <w:pPr>
              <w:rPr>
                <w:rFonts w:ascii="宋体" w:hAnsi="宋体" w:cs="宋体"/>
                <w:color w:val="auto"/>
                <w:szCs w:val="21"/>
              </w:rPr>
            </w:pPr>
            <w:r>
              <w:rPr>
                <w:rFonts w:hint="eastAsia" w:ascii="宋体" w:hAnsi="宋体" w:cs="宋体"/>
                <w:b w:val="0"/>
                <w:bCs w:val="0"/>
                <w:color w:val="000000" w:themeColor="text1"/>
                <w:szCs w:val="21"/>
                <w:shd w:val="clear" w:color="auto" w:fill="FFFFFF"/>
                <w:lang w:val="en-US" w:eastAsia="zh-CN"/>
              </w:rPr>
              <w:t>社旗</w:t>
            </w:r>
            <w:r>
              <w:rPr>
                <w:rFonts w:hint="eastAsia" w:ascii="宋体" w:hAnsi="宋体" w:cs="宋体"/>
                <w:b w:val="0"/>
                <w:bCs w:val="0"/>
                <w:color w:val="000000" w:themeColor="text1"/>
                <w:szCs w:val="21"/>
                <w:shd w:val="clear" w:color="auto" w:fill="FFFFFF"/>
              </w:rPr>
              <w:t>县发展和改委员会食材当期发布价的</w:t>
            </w:r>
            <w:r>
              <w:rPr>
                <w:rFonts w:hint="eastAsia" w:ascii="宋体" w:hAnsi="宋体" w:cs="宋体"/>
                <w:b w:val="0"/>
                <w:bCs w:val="0"/>
                <w:color w:val="000000" w:themeColor="text1"/>
                <w:szCs w:val="21"/>
                <w:u w:val="single"/>
                <w:shd w:val="clear" w:color="auto" w:fill="FFFFFF"/>
                <w:lang w:val="en-US" w:eastAsia="zh-CN"/>
              </w:rPr>
              <w:t xml:space="preserve">   </w:t>
            </w:r>
            <w:r>
              <w:rPr>
                <w:rFonts w:hint="eastAsia" w:ascii="宋体" w:hAnsi="宋体" w:cs="宋体"/>
                <w:b w:val="0"/>
                <w:bCs w:val="0"/>
                <w:color w:val="000000" w:themeColor="text1"/>
                <w:szCs w:val="21"/>
                <w:shd w:val="clear" w:color="auto" w:fill="FFFFFF"/>
              </w:rPr>
              <w:t>%</w:t>
            </w:r>
          </w:p>
        </w:tc>
      </w:tr>
      <w:tr w14:paraId="2695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498" w:type="dxa"/>
            <w:vAlign w:val="center"/>
          </w:tcPr>
          <w:p w14:paraId="552F60CA">
            <w:pPr>
              <w:jc w:val="center"/>
              <w:rPr>
                <w:rFonts w:ascii="宋体" w:cs="宋体"/>
                <w:b/>
                <w:bCs/>
                <w:color w:val="auto"/>
                <w:szCs w:val="21"/>
              </w:rPr>
            </w:pPr>
            <w:r>
              <w:rPr>
                <w:rFonts w:hint="eastAsia" w:ascii="宋体" w:hAnsi="宋体" w:cs="宋体"/>
                <w:b/>
                <w:bCs/>
                <w:color w:val="auto"/>
                <w:szCs w:val="21"/>
              </w:rPr>
              <w:t>质量要求</w:t>
            </w:r>
          </w:p>
        </w:tc>
        <w:tc>
          <w:tcPr>
            <w:tcW w:w="6355" w:type="dxa"/>
            <w:vAlign w:val="center"/>
          </w:tcPr>
          <w:p w14:paraId="12AB6C31">
            <w:pPr>
              <w:jc w:val="center"/>
              <w:rPr>
                <w:rFonts w:ascii="宋体" w:cs="宋体"/>
                <w:color w:val="auto"/>
                <w:szCs w:val="21"/>
              </w:rPr>
            </w:pPr>
          </w:p>
        </w:tc>
      </w:tr>
      <w:tr w14:paraId="74BE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498" w:type="dxa"/>
            <w:vAlign w:val="center"/>
          </w:tcPr>
          <w:p w14:paraId="051E7D82">
            <w:pPr>
              <w:jc w:val="center"/>
              <w:rPr>
                <w:rFonts w:ascii="宋体" w:cs="宋体"/>
                <w:color w:val="auto"/>
                <w:szCs w:val="21"/>
              </w:rPr>
            </w:pPr>
            <w:r>
              <w:rPr>
                <w:rFonts w:hint="eastAsia" w:ascii="宋体" w:hAnsi="宋体" w:cs="宋体"/>
                <w:b/>
                <w:bCs/>
                <w:color w:val="auto"/>
                <w:szCs w:val="21"/>
              </w:rPr>
              <w:t>服务期限</w:t>
            </w:r>
          </w:p>
        </w:tc>
        <w:tc>
          <w:tcPr>
            <w:tcW w:w="6355" w:type="dxa"/>
            <w:vAlign w:val="center"/>
          </w:tcPr>
          <w:p w14:paraId="77BD27E4">
            <w:pPr>
              <w:jc w:val="center"/>
              <w:rPr>
                <w:rFonts w:ascii="宋体" w:cs="宋体"/>
                <w:color w:val="FF0000"/>
                <w:szCs w:val="21"/>
                <w:shd w:val="clear" w:color="auto" w:fill="FFFFFF"/>
              </w:rPr>
            </w:pPr>
          </w:p>
        </w:tc>
      </w:tr>
      <w:tr w14:paraId="2315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8" w:type="dxa"/>
            <w:vAlign w:val="center"/>
          </w:tcPr>
          <w:p w14:paraId="39179269">
            <w:pPr>
              <w:jc w:val="center"/>
              <w:rPr>
                <w:rFonts w:ascii="宋体" w:cs="宋体"/>
                <w:b/>
                <w:bCs/>
                <w:color w:val="FF0000"/>
                <w:szCs w:val="21"/>
              </w:rPr>
            </w:pPr>
            <w:r>
              <w:rPr>
                <w:rFonts w:hint="eastAsia" w:ascii="宋体" w:hAnsi="宋体" w:cs="宋体"/>
                <w:b/>
                <w:bCs/>
                <w:color w:val="auto"/>
                <w:szCs w:val="21"/>
              </w:rPr>
              <w:t>交货地点</w:t>
            </w:r>
          </w:p>
        </w:tc>
        <w:tc>
          <w:tcPr>
            <w:tcW w:w="6355" w:type="dxa"/>
            <w:vAlign w:val="center"/>
          </w:tcPr>
          <w:p w14:paraId="7736C6C0">
            <w:pPr>
              <w:jc w:val="center"/>
              <w:rPr>
                <w:rFonts w:ascii="宋体" w:cs="宋体"/>
                <w:color w:val="FF0000"/>
                <w:szCs w:val="21"/>
                <w:shd w:val="clear" w:color="auto" w:fill="FFFFFF"/>
              </w:rPr>
            </w:pPr>
          </w:p>
        </w:tc>
      </w:tr>
      <w:tr w14:paraId="48AE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498" w:type="dxa"/>
            <w:vAlign w:val="center"/>
          </w:tcPr>
          <w:p w14:paraId="2BE41AD8">
            <w:pPr>
              <w:jc w:val="center"/>
              <w:rPr>
                <w:rFonts w:ascii="宋体" w:cs="宋体"/>
                <w:b/>
                <w:bCs/>
                <w:color w:val="auto"/>
                <w:szCs w:val="21"/>
              </w:rPr>
            </w:pPr>
            <w:r>
              <w:rPr>
                <w:rFonts w:hint="eastAsia" w:ascii="宋体" w:hAnsi="宋体" w:cs="宋体"/>
                <w:b/>
                <w:bCs/>
                <w:color w:val="auto"/>
                <w:szCs w:val="21"/>
              </w:rPr>
              <w:t>其他声明</w:t>
            </w:r>
          </w:p>
        </w:tc>
        <w:tc>
          <w:tcPr>
            <w:tcW w:w="6355" w:type="dxa"/>
            <w:vAlign w:val="center"/>
          </w:tcPr>
          <w:p w14:paraId="6247E579">
            <w:pPr>
              <w:jc w:val="center"/>
              <w:rPr>
                <w:rFonts w:ascii="宋体" w:cs="宋体"/>
                <w:szCs w:val="21"/>
                <w:shd w:val="clear" w:color="auto" w:fill="FFFFFF"/>
              </w:rPr>
            </w:pPr>
          </w:p>
        </w:tc>
      </w:tr>
      <w:tr w14:paraId="26C7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498" w:type="dxa"/>
            <w:vAlign w:val="center"/>
          </w:tcPr>
          <w:p w14:paraId="2D045047">
            <w:pPr>
              <w:jc w:val="center"/>
              <w:rPr>
                <w:rFonts w:ascii="宋体" w:cs="宋体"/>
                <w:b/>
                <w:bCs/>
                <w:color w:val="auto"/>
                <w:szCs w:val="21"/>
              </w:rPr>
            </w:pPr>
            <w:r>
              <w:rPr>
                <w:rFonts w:hint="eastAsia" w:ascii="宋体" w:hAnsi="宋体" w:cs="宋体"/>
                <w:b/>
                <w:bCs/>
                <w:color w:val="auto"/>
                <w:szCs w:val="21"/>
              </w:rPr>
              <w:t>被授权人姓名</w:t>
            </w:r>
          </w:p>
        </w:tc>
        <w:tc>
          <w:tcPr>
            <w:tcW w:w="6355" w:type="dxa"/>
            <w:vAlign w:val="center"/>
          </w:tcPr>
          <w:p w14:paraId="01924E59">
            <w:pPr>
              <w:jc w:val="center"/>
              <w:rPr>
                <w:rFonts w:ascii="宋体" w:cs="宋体"/>
                <w:szCs w:val="21"/>
                <w:shd w:val="clear" w:color="auto" w:fill="FFFFFF"/>
              </w:rPr>
            </w:pPr>
          </w:p>
        </w:tc>
      </w:tr>
      <w:tr w14:paraId="1B25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498" w:type="dxa"/>
            <w:vAlign w:val="center"/>
          </w:tcPr>
          <w:p w14:paraId="66E090D2">
            <w:pPr>
              <w:jc w:val="center"/>
              <w:rPr>
                <w:rFonts w:ascii="宋体" w:cs="宋体"/>
                <w:b/>
                <w:bCs/>
                <w:color w:val="auto"/>
                <w:szCs w:val="21"/>
              </w:rPr>
            </w:pPr>
            <w:r>
              <w:rPr>
                <w:rFonts w:hint="eastAsia" w:ascii="宋体" w:hAnsi="宋体" w:cs="宋体"/>
                <w:b/>
                <w:bCs/>
                <w:color w:val="auto"/>
                <w:szCs w:val="21"/>
              </w:rPr>
              <w:t>被授权人联系方式（手机号码）</w:t>
            </w:r>
          </w:p>
        </w:tc>
        <w:tc>
          <w:tcPr>
            <w:tcW w:w="6355" w:type="dxa"/>
            <w:vAlign w:val="center"/>
          </w:tcPr>
          <w:p w14:paraId="1B13E479">
            <w:pPr>
              <w:jc w:val="center"/>
              <w:rPr>
                <w:rFonts w:ascii="宋体" w:cs="宋体"/>
                <w:szCs w:val="21"/>
                <w:shd w:val="clear" w:color="auto" w:fill="FFFFFF"/>
              </w:rPr>
            </w:pPr>
          </w:p>
        </w:tc>
      </w:tr>
    </w:tbl>
    <w:p w14:paraId="586F4816">
      <w:pPr>
        <w:adjustRightInd w:val="0"/>
        <w:spacing w:line="360" w:lineRule="auto"/>
        <w:ind w:firstLine="420" w:firstLineChars="200"/>
        <w:jc w:val="left"/>
        <w:rPr>
          <w:rFonts w:ascii="宋体" w:cs="宋体"/>
          <w:szCs w:val="21"/>
        </w:rPr>
      </w:pPr>
    </w:p>
    <w:p w14:paraId="50C86618">
      <w:pPr>
        <w:adjustRightInd w:val="0"/>
        <w:spacing w:line="360" w:lineRule="auto"/>
        <w:ind w:firstLine="420" w:firstLineChars="200"/>
        <w:jc w:val="left"/>
        <w:rPr>
          <w:rFonts w:ascii="宋体" w:cs="宋体"/>
          <w:szCs w:val="21"/>
        </w:rPr>
      </w:pPr>
      <w:r>
        <w:rPr>
          <w:rFonts w:hint="eastAsia" w:ascii="宋体" w:hAnsi="宋体" w:cs="宋体"/>
          <w:szCs w:val="21"/>
        </w:rPr>
        <w:t>供应商名称：（电子签章）</w:t>
      </w:r>
    </w:p>
    <w:p w14:paraId="35251103">
      <w:pPr>
        <w:spacing w:line="360" w:lineRule="auto"/>
        <w:ind w:firstLine="411" w:firstLineChars="196"/>
        <w:rPr>
          <w:rFonts w:ascii="宋体" w:cs="宋体"/>
          <w:szCs w:val="21"/>
          <w:u w:val="single"/>
        </w:rPr>
      </w:pPr>
      <w:r>
        <w:rPr>
          <w:rFonts w:hint="eastAsia" w:ascii="宋体" w:hAnsi="宋体" w:cs="宋体"/>
          <w:szCs w:val="21"/>
        </w:rPr>
        <w:t>法定代表人：（电子签名）</w:t>
      </w:r>
    </w:p>
    <w:p w14:paraId="2A32D7B5">
      <w:pPr>
        <w:spacing w:line="360" w:lineRule="auto"/>
        <w:ind w:firstLine="411" w:firstLineChars="196"/>
        <w:rPr>
          <w:rFonts w:ascii="宋体" w:hAnsi="宋体" w:cs="宋体"/>
          <w:szCs w:val="21"/>
        </w:rPr>
      </w:pPr>
      <w:r>
        <w:rPr>
          <w:rFonts w:hint="eastAsia" w:ascii="宋体" w:hAnsi="宋体" w:cs="宋体"/>
          <w:szCs w:val="21"/>
        </w:rPr>
        <w:t>日期：年月日</w:t>
      </w:r>
    </w:p>
    <w:p w14:paraId="42510114">
      <w:pPr>
        <w:pStyle w:val="2"/>
      </w:pPr>
    </w:p>
    <w:p w14:paraId="2BEC253D">
      <w:pPr>
        <w:pStyle w:val="3"/>
      </w:pPr>
    </w:p>
    <w:p w14:paraId="162690D9">
      <w:pPr>
        <w:pStyle w:val="3"/>
      </w:pPr>
    </w:p>
    <w:p w14:paraId="612E6F8D">
      <w:pPr>
        <w:pStyle w:val="3"/>
      </w:pPr>
    </w:p>
    <w:p w14:paraId="7E2DD0EE">
      <w:pPr>
        <w:pStyle w:val="3"/>
      </w:pPr>
    </w:p>
    <w:p w14:paraId="5AEAB9A5">
      <w:pPr>
        <w:pStyle w:val="3"/>
      </w:pPr>
    </w:p>
    <w:p w14:paraId="05A31F0B">
      <w:pPr>
        <w:rPr>
          <w:rFonts w:ascii="宋体" w:cs="宋体"/>
        </w:rPr>
      </w:pPr>
    </w:p>
    <w:p w14:paraId="66D0EEFC">
      <w:pPr>
        <w:rPr>
          <w:rFonts w:ascii="宋体" w:cs="宋体"/>
          <w:sz w:val="24"/>
          <w:szCs w:val="24"/>
        </w:rPr>
      </w:pPr>
      <w:bookmarkStart w:id="22" w:name="_Toc342615453"/>
    </w:p>
    <w:p w14:paraId="215E513B">
      <w:pPr>
        <w:pStyle w:val="5"/>
        <w:keepNext w:val="0"/>
        <w:keepLines w:val="0"/>
        <w:spacing w:before="0" w:after="0" w:line="360" w:lineRule="auto"/>
        <w:ind w:left="0" w:firstLine="0"/>
        <w:jc w:val="left"/>
        <w:rPr>
          <w:rFonts w:ascii="宋体" w:hAnsi="宋体" w:cs="宋体"/>
          <w:sz w:val="24"/>
          <w:szCs w:val="24"/>
        </w:rPr>
      </w:pPr>
      <w:r>
        <w:rPr>
          <w:rFonts w:hint="eastAsia" w:ascii="宋体" w:hAnsi="宋体" w:cs="宋体"/>
          <w:sz w:val="24"/>
          <w:szCs w:val="24"/>
        </w:rPr>
        <w:t>附件</w:t>
      </w:r>
      <w:r>
        <w:rPr>
          <w:rFonts w:ascii="宋体" w:hAnsi="宋体" w:cs="宋体"/>
          <w:sz w:val="24"/>
          <w:szCs w:val="24"/>
        </w:rPr>
        <w:t>2</w:t>
      </w:r>
      <w:r>
        <w:rPr>
          <w:rFonts w:hint="eastAsia" w:ascii="宋体" w:hAnsi="宋体" w:cs="宋体"/>
          <w:sz w:val="24"/>
          <w:szCs w:val="24"/>
        </w:rPr>
        <w:t>、资格证明资料</w:t>
      </w:r>
    </w:p>
    <w:p w14:paraId="51C4777B">
      <w:pPr>
        <w:pStyle w:val="6"/>
        <w:ind w:firstLine="480"/>
        <w:rPr>
          <w:rFonts w:ascii="宋体" w:cs="宋体"/>
          <w:sz w:val="24"/>
          <w:szCs w:val="24"/>
        </w:rPr>
      </w:pPr>
    </w:p>
    <w:p w14:paraId="58ED59A7">
      <w:pPr>
        <w:pStyle w:val="6"/>
        <w:ind w:firstLine="480"/>
        <w:rPr>
          <w:rFonts w:ascii="宋体" w:cs="宋体"/>
          <w:sz w:val="24"/>
          <w:szCs w:val="24"/>
        </w:rPr>
      </w:pPr>
    </w:p>
    <w:p w14:paraId="3F743CDC">
      <w:pPr>
        <w:pStyle w:val="5"/>
        <w:keepNext w:val="0"/>
        <w:keepLines w:val="0"/>
        <w:numPr>
          <w:ilvl w:val="3"/>
          <w:numId w:val="15"/>
        </w:numPr>
        <w:spacing w:before="0" w:after="0" w:line="480" w:lineRule="auto"/>
        <w:rPr>
          <w:rFonts w:ascii="宋体" w:hAnsi="宋体" w:cs="宋体"/>
          <w:sz w:val="24"/>
          <w:szCs w:val="24"/>
        </w:rPr>
      </w:pPr>
      <w:bookmarkStart w:id="23" w:name="_Toc449219414"/>
      <w:bookmarkStart w:id="24" w:name="_Toc515024167"/>
      <w:bookmarkStart w:id="25" w:name="_Toc2180"/>
      <w:bookmarkStart w:id="26" w:name="_Toc385612728"/>
      <w:bookmarkStart w:id="27" w:name="_Toc342615456"/>
      <w:r>
        <w:rPr>
          <w:rFonts w:hint="eastAsia" w:ascii="宋体" w:hAnsi="宋体" w:cs="宋体"/>
          <w:sz w:val="24"/>
          <w:szCs w:val="24"/>
        </w:rPr>
        <w:t>法定代表人身份证明</w:t>
      </w:r>
      <w:bookmarkEnd w:id="23"/>
      <w:bookmarkEnd w:id="24"/>
      <w:bookmarkEnd w:id="25"/>
    </w:p>
    <w:p w14:paraId="25C47D60">
      <w:pPr>
        <w:spacing w:line="360" w:lineRule="auto"/>
        <w:ind w:firstLine="270" w:firstLineChars="129"/>
        <w:rPr>
          <w:rFonts w:ascii="宋体" w:cs="宋体"/>
          <w:szCs w:val="21"/>
        </w:rPr>
      </w:pPr>
      <w:r>
        <w:rPr>
          <w:rFonts w:hint="eastAsia" w:ascii="宋体" w:hAnsi="宋体" w:cs="宋体"/>
          <w:szCs w:val="21"/>
        </w:rPr>
        <w:t>投标人：</w:t>
      </w:r>
    </w:p>
    <w:p w14:paraId="592C879D">
      <w:pPr>
        <w:spacing w:line="360" w:lineRule="auto"/>
        <w:ind w:firstLine="270" w:firstLineChars="129"/>
        <w:rPr>
          <w:rFonts w:ascii="宋体" w:cs="宋体"/>
          <w:szCs w:val="21"/>
        </w:rPr>
      </w:pPr>
      <w:r>
        <w:rPr>
          <w:rFonts w:hint="eastAsia" w:ascii="宋体" w:hAnsi="宋体" w:cs="宋体"/>
          <w:szCs w:val="21"/>
        </w:rPr>
        <w:t>单位性质：</w:t>
      </w:r>
    </w:p>
    <w:p w14:paraId="6B7E5F52">
      <w:pPr>
        <w:spacing w:line="360" w:lineRule="auto"/>
        <w:ind w:firstLine="270" w:firstLineChars="129"/>
        <w:rPr>
          <w:rFonts w:ascii="宋体" w:cs="宋体"/>
          <w:szCs w:val="21"/>
        </w:rPr>
      </w:pPr>
      <w:r>
        <w:rPr>
          <w:rFonts w:hint="eastAsia" w:ascii="宋体" w:hAnsi="宋体" w:cs="宋体"/>
          <w:szCs w:val="21"/>
        </w:rPr>
        <w:t>地址：</w:t>
      </w:r>
    </w:p>
    <w:p w14:paraId="76DCC787">
      <w:pPr>
        <w:spacing w:line="360" w:lineRule="auto"/>
        <w:ind w:firstLine="270" w:firstLineChars="129"/>
        <w:rPr>
          <w:rFonts w:ascii="宋体" w:cs="宋体"/>
          <w:szCs w:val="21"/>
        </w:rPr>
      </w:pPr>
      <w:r>
        <w:rPr>
          <w:rFonts w:hint="eastAsia" w:ascii="宋体" w:hAnsi="宋体" w:cs="宋体"/>
          <w:szCs w:val="21"/>
        </w:rPr>
        <w:t>成立时间：年月日</w:t>
      </w:r>
    </w:p>
    <w:p w14:paraId="544DE099">
      <w:pPr>
        <w:spacing w:line="360" w:lineRule="auto"/>
        <w:ind w:firstLine="270" w:firstLineChars="129"/>
        <w:rPr>
          <w:rFonts w:ascii="宋体" w:cs="宋体"/>
          <w:szCs w:val="21"/>
        </w:rPr>
      </w:pPr>
      <w:r>
        <w:rPr>
          <w:rFonts w:hint="eastAsia" w:ascii="宋体" w:hAnsi="宋体" w:cs="宋体"/>
          <w:szCs w:val="21"/>
        </w:rPr>
        <w:t>经营期限：</w:t>
      </w:r>
    </w:p>
    <w:p w14:paraId="234209DD">
      <w:pPr>
        <w:spacing w:line="360" w:lineRule="auto"/>
        <w:ind w:firstLine="270" w:firstLineChars="129"/>
        <w:rPr>
          <w:rFonts w:ascii="宋体" w:cs="宋体"/>
          <w:szCs w:val="21"/>
        </w:rPr>
      </w:pPr>
      <w:r>
        <w:rPr>
          <w:rFonts w:hint="eastAsia" w:ascii="宋体" w:hAnsi="宋体" w:cs="宋体"/>
          <w:szCs w:val="21"/>
        </w:rPr>
        <w:t>姓名：性别：</w:t>
      </w:r>
    </w:p>
    <w:p w14:paraId="5FD0CBA4">
      <w:pPr>
        <w:spacing w:line="360" w:lineRule="auto"/>
        <w:ind w:firstLine="270" w:firstLineChars="129"/>
        <w:rPr>
          <w:rFonts w:ascii="宋体" w:cs="宋体"/>
          <w:szCs w:val="21"/>
        </w:rPr>
      </w:pPr>
      <w:r>
        <w:rPr>
          <w:rFonts w:hint="eastAsia" w:ascii="宋体" w:hAnsi="宋体" w:cs="宋体"/>
          <w:szCs w:val="21"/>
        </w:rPr>
        <w:t>年龄：职务：</w:t>
      </w:r>
    </w:p>
    <w:p w14:paraId="6397776D">
      <w:pPr>
        <w:spacing w:line="360" w:lineRule="auto"/>
        <w:ind w:firstLine="270" w:firstLineChars="129"/>
        <w:rPr>
          <w:rFonts w:ascii="宋体" w:cs="宋体"/>
          <w:szCs w:val="21"/>
        </w:rPr>
      </w:pPr>
      <w:r>
        <w:rPr>
          <w:rFonts w:hint="eastAsia" w:ascii="宋体" w:hAnsi="宋体" w:cs="宋体"/>
          <w:szCs w:val="21"/>
        </w:rPr>
        <w:t>系（供应商名称）的法定代表人。</w:t>
      </w:r>
    </w:p>
    <w:p w14:paraId="133D8495">
      <w:pPr>
        <w:spacing w:line="360" w:lineRule="auto"/>
        <w:ind w:firstLine="270" w:firstLineChars="129"/>
        <w:rPr>
          <w:rFonts w:ascii="宋体" w:cs="宋体"/>
          <w:szCs w:val="21"/>
        </w:rPr>
      </w:pPr>
    </w:p>
    <w:p w14:paraId="15FB00A0">
      <w:pPr>
        <w:spacing w:line="360" w:lineRule="auto"/>
        <w:ind w:firstLine="270" w:firstLineChars="129"/>
        <w:rPr>
          <w:rFonts w:ascii="宋体" w:cs="宋体"/>
          <w:szCs w:val="21"/>
        </w:rPr>
      </w:pPr>
      <w:r>
        <w:rPr>
          <w:rFonts w:hint="eastAsia" w:ascii="宋体" w:hAnsi="宋体" w:cs="宋体"/>
          <w:szCs w:val="21"/>
        </w:rPr>
        <w:t>特此证明。</w:t>
      </w:r>
    </w:p>
    <w:p w14:paraId="62A2F0C3">
      <w:pPr>
        <w:spacing w:line="360" w:lineRule="auto"/>
        <w:ind w:firstLine="270" w:firstLineChars="129"/>
        <w:rPr>
          <w:rFonts w:ascii="宋体" w:cs="宋体"/>
          <w:szCs w:val="21"/>
        </w:rPr>
      </w:pPr>
    </w:p>
    <w:p w14:paraId="65975DCE">
      <w:pPr>
        <w:spacing w:line="360" w:lineRule="auto"/>
        <w:rPr>
          <w:rFonts w:ascii="宋体" w:cs="宋体"/>
          <w:szCs w:val="21"/>
        </w:rPr>
      </w:pPr>
    </w:p>
    <w:p w14:paraId="5CAD9570">
      <w:pPr>
        <w:adjustRightInd w:val="0"/>
        <w:spacing w:line="360" w:lineRule="auto"/>
        <w:ind w:firstLine="420" w:firstLineChars="200"/>
        <w:jc w:val="left"/>
        <w:rPr>
          <w:rFonts w:ascii="宋体" w:cs="宋体"/>
          <w:szCs w:val="21"/>
        </w:rPr>
      </w:pPr>
      <w:r>
        <w:rPr>
          <w:rFonts w:hint="eastAsia" w:ascii="宋体" w:hAnsi="宋体" w:cs="宋体"/>
          <w:szCs w:val="21"/>
        </w:rPr>
        <w:t>供应商名称：（电子签章）</w:t>
      </w:r>
    </w:p>
    <w:p w14:paraId="289DBCC0">
      <w:pPr>
        <w:spacing w:line="360" w:lineRule="auto"/>
        <w:ind w:firstLine="411" w:firstLineChars="196"/>
        <w:rPr>
          <w:rFonts w:ascii="宋体" w:cs="宋体"/>
          <w:szCs w:val="21"/>
          <w:u w:val="single"/>
        </w:rPr>
      </w:pPr>
      <w:r>
        <w:rPr>
          <w:rFonts w:hint="eastAsia" w:ascii="宋体" w:hAnsi="宋体" w:cs="宋体"/>
          <w:szCs w:val="21"/>
        </w:rPr>
        <w:t>法定代表人：（电子签名）</w:t>
      </w:r>
    </w:p>
    <w:p w14:paraId="48DAFC1F">
      <w:pPr>
        <w:spacing w:line="360" w:lineRule="auto"/>
        <w:ind w:firstLine="411" w:firstLineChars="196"/>
        <w:rPr>
          <w:rFonts w:ascii="宋体" w:cs="宋体"/>
          <w:szCs w:val="21"/>
        </w:rPr>
      </w:pPr>
      <w:r>
        <w:rPr>
          <w:rFonts w:hint="eastAsia" w:ascii="宋体" w:hAnsi="宋体" w:cs="宋体"/>
          <w:szCs w:val="21"/>
        </w:rPr>
        <w:t>日期：年月日</w:t>
      </w:r>
    </w:p>
    <w:p w14:paraId="5FDACC1E">
      <w:pPr>
        <w:wordWrap w:val="0"/>
        <w:spacing w:line="360" w:lineRule="auto"/>
        <w:jc w:val="right"/>
        <w:rPr>
          <w:rFonts w:ascii="宋体" w:cs="宋体"/>
          <w:szCs w:val="21"/>
        </w:rPr>
      </w:pPr>
    </w:p>
    <w:p w14:paraId="2E2208C8">
      <w:pPr>
        <w:pStyle w:val="6"/>
        <w:ind w:firstLine="0" w:firstLineChars="0"/>
        <w:rPr>
          <w:rFonts w:ascii="宋体" w:cs="宋体"/>
          <w:sz w:val="24"/>
          <w:szCs w:val="24"/>
        </w:rPr>
      </w:pPr>
    </w:p>
    <w:p w14:paraId="25C31B52">
      <w:pPr>
        <w:pStyle w:val="6"/>
        <w:ind w:firstLine="0" w:firstLineChars="0"/>
        <w:rPr>
          <w:rFonts w:ascii="宋体" w:cs="宋体"/>
          <w:sz w:val="24"/>
          <w:szCs w:val="24"/>
        </w:rPr>
      </w:pPr>
    </w:p>
    <w:p w14:paraId="6CFA7C86">
      <w:pPr>
        <w:pStyle w:val="6"/>
        <w:ind w:firstLine="0" w:firstLineChars="0"/>
        <w:rPr>
          <w:rFonts w:ascii="宋体" w:cs="宋体"/>
          <w:sz w:val="24"/>
          <w:szCs w:val="24"/>
        </w:rPr>
      </w:pPr>
    </w:p>
    <w:p w14:paraId="1C8FA598">
      <w:pPr>
        <w:pStyle w:val="6"/>
        <w:ind w:firstLine="0" w:firstLineChars="0"/>
        <w:rPr>
          <w:rFonts w:ascii="宋体" w:cs="宋体"/>
          <w:sz w:val="24"/>
          <w:szCs w:val="24"/>
        </w:rPr>
      </w:pPr>
    </w:p>
    <w:p w14:paraId="05B33A46">
      <w:pPr>
        <w:pStyle w:val="6"/>
        <w:ind w:firstLine="0" w:firstLineChars="0"/>
        <w:rPr>
          <w:rFonts w:ascii="宋体" w:cs="宋体"/>
          <w:sz w:val="24"/>
          <w:szCs w:val="24"/>
        </w:rPr>
      </w:pPr>
    </w:p>
    <w:p w14:paraId="4358641B">
      <w:pPr>
        <w:pStyle w:val="6"/>
        <w:ind w:firstLine="0" w:firstLineChars="0"/>
        <w:rPr>
          <w:rFonts w:ascii="宋体" w:cs="宋体"/>
          <w:sz w:val="24"/>
          <w:szCs w:val="24"/>
        </w:rPr>
      </w:pPr>
    </w:p>
    <w:p w14:paraId="03B98EFB">
      <w:pPr>
        <w:pStyle w:val="6"/>
        <w:ind w:firstLine="0" w:firstLineChars="0"/>
        <w:rPr>
          <w:rFonts w:ascii="宋体" w:cs="宋体"/>
          <w:sz w:val="24"/>
          <w:szCs w:val="24"/>
        </w:rPr>
      </w:pPr>
    </w:p>
    <w:p w14:paraId="147F39BB">
      <w:pPr>
        <w:pStyle w:val="6"/>
        <w:ind w:firstLine="0" w:firstLineChars="0"/>
        <w:rPr>
          <w:rFonts w:ascii="宋体" w:cs="宋体"/>
          <w:sz w:val="24"/>
          <w:szCs w:val="24"/>
        </w:rPr>
      </w:pPr>
    </w:p>
    <w:p w14:paraId="36AF53E8">
      <w:pPr>
        <w:pStyle w:val="6"/>
        <w:ind w:firstLine="0" w:firstLineChars="0"/>
        <w:rPr>
          <w:rFonts w:ascii="宋体" w:cs="宋体"/>
          <w:sz w:val="24"/>
          <w:szCs w:val="24"/>
        </w:rPr>
      </w:pPr>
    </w:p>
    <w:p w14:paraId="64BEB2D2">
      <w:pPr>
        <w:pStyle w:val="6"/>
        <w:ind w:firstLine="0" w:firstLineChars="0"/>
        <w:rPr>
          <w:rFonts w:ascii="宋体" w:cs="宋体"/>
          <w:sz w:val="24"/>
          <w:szCs w:val="24"/>
        </w:rPr>
      </w:pPr>
    </w:p>
    <w:p w14:paraId="3D7EB16F">
      <w:pPr>
        <w:pStyle w:val="6"/>
        <w:ind w:firstLine="0" w:firstLineChars="0"/>
        <w:rPr>
          <w:rFonts w:ascii="宋体" w:cs="宋体"/>
          <w:sz w:val="24"/>
          <w:szCs w:val="24"/>
        </w:rPr>
      </w:pPr>
    </w:p>
    <w:p w14:paraId="5A1A14A4">
      <w:pPr>
        <w:pStyle w:val="5"/>
        <w:keepNext w:val="0"/>
        <w:keepLines w:val="0"/>
        <w:numPr>
          <w:ilvl w:val="3"/>
          <w:numId w:val="15"/>
        </w:numPr>
        <w:spacing w:before="0" w:after="0" w:line="480" w:lineRule="auto"/>
        <w:rPr>
          <w:rFonts w:ascii="宋体" w:hAnsi="宋体" w:cs="宋体"/>
          <w:sz w:val="24"/>
          <w:szCs w:val="24"/>
        </w:rPr>
      </w:pPr>
      <w:bookmarkStart w:id="28" w:name="_Toc342615454"/>
      <w:r>
        <w:rPr>
          <w:rFonts w:hint="eastAsia" w:ascii="宋体" w:hAnsi="宋体" w:cs="宋体"/>
          <w:sz w:val="24"/>
          <w:szCs w:val="24"/>
        </w:rPr>
        <w:t>法定代表人授权书</w:t>
      </w:r>
      <w:bookmarkEnd w:id="28"/>
    </w:p>
    <w:p w14:paraId="42AE11BB">
      <w:pPr>
        <w:spacing w:line="480" w:lineRule="auto"/>
        <w:ind w:firstLine="420" w:firstLineChars="200"/>
        <w:rPr>
          <w:rFonts w:ascii="宋体" w:cs="宋体"/>
          <w:color w:val="auto"/>
        </w:rPr>
      </w:pPr>
      <w:r>
        <w:rPr>
          <w:rFonts w:hint="eastAsia" w:ascii="宋体" w:hAnsi="宋体" w:cs="宋体"/>
          <w:color w:val="auto"/>
        </w:rPr>
        <w:t>本人</w:t>
      </w:r>
      <w:r>
        <w:rPr>
          <w:rFonts w:ascii="宋体" w:hAnsi="宋体" w:cs="宋体"/>
          <w:color w:val="auto"/>
          <w:u w:val="single"/>
        </w:rPr>
        <w:t>________</w:t>
      </w:r>
      <w:r>
        <w:rPr>
          <w:rFonts w:hint="eastAsia" w:ascii="宋体" w:hAnsi="宋体" w:cs="宋体"/>
          <w:color w:val="auto"/>
        </w:rPr>
        <w:t>（姓名）系</w:t>
      </w:r>
      <w:r>
        <w:rPr>
          <w:rFonts w:ascii="宋体" w:hAnsi="宋体" w:cs="宋体"/>
          <w:color w:val="auto"/>
          <w:u w:val="single"/>
        </w:rPr>
        <w:t>________________</w:t>
      </w:r>
      <w:r>
        <w:rPr>
          <w:rFonts w:hint="eastAsia" w:ascii="宋体" w:hAnsi="宋体" w:cs="宋体"/>
          <w:color w:val="auto"/>
        </w:rPr>
        <w:t>（供应商名称）的法定代表人，现委托</w:t>
      </w:r>
      <w:r>
        <w:rPr>
          <w:rFonts w:ascii="宋体" w:hAnsi="宋体" w:cs="宋体"/>
          <w:color w:val="auto"/>
          <w:u w:val="single"/>
        </w:rPr>
        <w:t>________</w:t>
      </w:r>
      <w:r>
        <w:rPr>
          <w:rFonts w:hint="eastAsia" w:ascii="宋体" w:hAnsi="宋体" w:cs="宋体"/>
          <w:color w:val="auto"/>
        </w:rPr>
        <w:t>（姓名）为我方代理人。代理人根据授权，以我方名义签署、澄清、说明、补正、递交、撤回、修改</w:t>
      </w:r>
      <w:r>
        <w:rPr>
          <w:rFonts w:ascii="宋体" w:hAnsi="宋体" w:cs="宋体"/>
          <w:color w:val="auto"/>
          <w:u w:val="single"/>
        </w:rPr>
        <w:t>________________</w:t>
      </w:r>
      <w:r>
        <w:rPr>
          <w:rFonts w:hint="eastAsia" w:ascii="宋体" w:hAnsi="宋体" w:cs="宋体"/>
          <w:color w:val="auto"/>
        </w:rPr>
        <w:t>（项目名称及标段）的投标文件、签订合同和处理有关事宜，其法律后果由我方承担。</w:t>
      </w:r>
    </w:p>
    <w:p w14:paraId="257114BD">
      <w:pPr>
        <w:spacing w:line="480" w:lineRule="auto"/>
        <w:ind w:firstLine="420" w:firstLineChars="200"/>
        <w:rPr>
          <w:rFonts w:ascii="宋体" w:cs="宋体"/>
          <w:color w:val="auto"/>
        </w:rPr>
      </w:pPr>
      <w:r>
        <w:rPr>
          <w:rFonts w:hint="eastAsia" w:ascii="宋体" w:hAnsi="宋体" w:cs="宋体"/>
          <w:color w:val="auto"/>
        </w:rPr>
        <w:t>委托期限：</w:t>
      </w:r>
      <w:r>
        <w:rPr>
          <w:rFonts w:ascii="宋体" w:hAnsi="宋体" w:cs="宋体"/>
          <w:color w:val="auto"/>
          <w:u w:val="single"/>
        </w:rPr>
        <w:t>________</w:t>
      </w:r>
    </w:p>
    <w:p w14:paraId="2545DC9B">
      <w:pPr>
        <w:spacing w:line="480" w:lineRule="auto"/>
        <w:ind w:firstLine="420" w:firstLineChars="200"/>
        <w:rPr>
          <w:rFonts w:ascii="宋体" w:cs="宋体"/>
          <w:color w:val="auto"/>
        </w:rPr>
      </w:pPr>
      <w:r>
        <w:rPr>
          <w:rFonts w:hint="eastAsia" w:ascii="宋体" w:hAnsi="宋体" w:cs="宋体"/>
          <w:color w:val="auto"/>
        </w:rPr>
        <w:t>代理人无转委托权。</w:t>
      </w:r>
    </w:p>
    <w:p w14:paraId="41ED028C">
      <w:pPr>
        <w:spacing w:line="480" w:lineRule="auto"/>
        <w:ind w:firstLine="422" w:firstLineChars="200"/>
        <w:rPr>
          <w:rFonts w:ascii="宋体" w:cs="宋体"/>
          <w:b/>
          <w:bCs/>
          <w:color w:val="auto"/>
          <w:szCs w:val="21"/>
        </w:rPr>
      </w:pPr>
      <w:r>
        <w:rPr>
          <w:rFonts w:hint="eastAsia" w:ascii="宋体" w:hAnsi="宋体" w:cs="宋体"/>
          <w:b/>
          <w:bCs/>
          <w:color w:val="auto"/>
        </w:rPr>
        <w:t>附</w:t>
      </w:r>
      <w:r>
        <w:rPr>
          <w:rFonts w:ascii="宋体" w:hAnsi="宋体" w:cs="宋体"/>
          <w:b/>
          <w:bCs/>
          <w:color w:val="auto"/>
        </w:rPr>
        <w:t>1</w:t>
      </w:r>
      <w:r>
        <w:rPr>
          <w:rFonts w:hint="eastAsia" w:ascii="宋体" w:hAnsi="宋体" w:cs="宋体"/>
          <w:b/>
          <w:bCs/>
          <w:color w:val="auto"/>
        </w:rPr>
        <w:t>：法定代表人身份证及</w:t>
      </w:r>
      <w:r>
        <w:rPr>
          <w:rFonts w:hint="eastAsia" w:ascii="宋体" w:hAnsi="宋体" w:cs="宋体"/>
          <w:b/>
          <w:bCs/>
          <w:color w:val="auto"/>
          <w:szCs w:val="21"/>
        </w:rPr>
        <w:t>授权代理人身份证</w:t>
      </w:r>
    </w:p>
    <w:p w14:paraId="1C595B87">
      <w:pPr>
        <w:spacing w:line="480" w:lineRule="auto"/>
        <w:ind w:firstLine="420" w:firstLineChars="200"/>
        <w:rPr>
          <w:rFonts w:ascii="宋体" w:cs="宋体"/>
          <w:color w:val="auto"/>
          <w:szCs w:val="21"/>
        </w:rPr>
      </w:pPr>
    </w:p>
    <w:p w14:paraId="1DFB3D82">
      <w:pPr>
        <w:spacing w:line="480" w:lineRule="auto"/>
        <w:ind w:firstLine="420" w:firstLineChars="200"/>
        <w:rPr>
          <w:rFonts w:ascii="宋体" w:cs="宋体"/>
          <w:color w:val="auto"/>
        </w:rPr>
      </w:pPr>
      <w:r>
        <w:rPr>
          <w:rFonts w:hint="eastAsia" w:ascii="宋体" w:hAnsi="宋体" w:cs="宋体"/>
          <w:color w:val="auto"/>
        </w:rPr>
        <w:t>供应商：</w:t>
      </w:r>
      <w:r>
        <w:rPr>
          <w:rFonts w:ascii="宋体" w:hAnsi="宋体" w:cs="宋体"/>
          <w:color w:val="auto"/>
          <w:u w:val="single"/>
        </w:rPr>
        <w:t>________________</w:t>
      </w:r>
      <w:r>
        <w:rPr>
          <w:rFonts w:hint="eastAsia" w:ascii="宋体" w:hAnsi="宋体" w:cs="宋体"/>
          <w:color w:val="auto"/>
        </w:rPr>
        <w:t>（电子签章）</w:t>
      </w:r>
    </w:p>
    <w:p w14:paraId="724B883B">
      <w:pPr>
        <w:spacing w:line="480" w:lineRule="auto"/>
        <w:ind w:firstLine="420" w:firstLineChars="200"/>
        <w:rPr>
          <w:rFonts w:ascii="宋体" w:cs="宋体"/>
          <w:color w:val="auto"/>
        </w:rPr>
      </w:pPr>
      <w:r>
        <w:rPr>
          <w:rFonts w:hint="eastAsia" w:ascii="宋体" w:hAnsi="宋体" w:cs="宋体"/>
          <w:color w:val="auto"/>
        </w:rPr>
        <w:t>法定代表人：</w:t>
      </w:r>
      <w:r>
        <w:rPr>
          <w:rFonts w:ascii="宋体" w:hAnsi="宋体" w:cs="宋体"/>
          <w:color w:val="auto"/>
          <w:u w:val="single"/>
        </w:rPr>
        <w:t>________________</w:t>
      </w:r>
      <w:r>
        <w:rPr>
          <w:rFonts w:hint="eastAsia" w:ascii="宋体" w:hAnsi="宋体" w:cs="宋体"/>
          <w:color w:val="auto"/>
        </w:rPr>
        <w:t>（电子签名）</w:t>
      </w:r>
    </w:p>
    <w:p w14:paraId="13A7B543">
      <w:pPr>
        <w:spacing w:line="480" w:lineRule="auto"/>
        <w:ind w:firstLine="420" w:firstLineChars="200"/>
        <w:rPr>
          <w:rFonts w:ascii="宋体" w:cs="宋体"/>
          <w:color w:val="auto"/>
        </w:rPr>
      </w:pPr>
      <w:r>
        <w:rPr>
          <w:rFonts w:hint="eastAsia" w:ascii="宋体" w:hAnsi="宋体" w:cs="宋体"/>
          <w:color w:val="auto"/>
        </w:rPr>
        <w:t>身份证号码：</w:t>
      </w:r>
      <w:r>
        <w:rPr>
          <w:rFonts w:ascii="宋体" w:hAnsi="宋体" w:cs="宋体"/>
          <w:color w:val="auto"/>
          <w:u w:val="single"/>
        </w:rPr>
        <w:t>________________________</w:t>
      </w:r>
    </w:p>
    <w:p w14:paraId="0C358321">
      <w:pPr>
        <w:spacing w:line="480" w:lineRule="auto"/>
        <w:ind w:firstLine="420" w:firstLineChars="200"/>
        <w:rPr>
          <w:rFonts w:ascii="宋体" w:cs="宋体"/>
          <w:color w:val="auto"/>
        </w:rPr>
      </w:pPr>
      <w:r>
        <w:rPr>
          <w:rFonts w:hint="eastAsia" w:ascii="宋体" w:hAnsi="宋体" w:cs="宋体"/>
          <w:color w:val="auto"/>
        </w:rPr>
        <w:t>委托代理人：</w:t>
      </w:r>
      <w:r>
        <w:rPr>
          <w:rFonts w:ascii="宋体" w:hAnsi="宋体" w:cs="宋体"/>
          <w:color w:val="auto"/>
          <w:u w:val="single"/>
        </w:rPr>
        <w:t>________________________</w:t>
      </w:r>
    </w:p>
    <w:p w14:paraId="45A1360D">
      <w:pPr>
        <w:spacing w:line="480" w:lineRule="auto"/>
        <w:ind w:firstLine="420" w:firstLineChars="200"/>
        <w:rPr>
          <w:rFonts w:ascii="宋体" w:cs="宋体"/>
          <w:color w:val="auto"/>
        </w:rPr>
      </w:pPr>
      <w:r>
        <w:rPr>
          <w:rFonts w:hint="eastAsia" w:ascii="宋体" w:hAnsi="宋体" w:cs="宋体"/>
          <w:color w:val="auto"/>
        </w:rPr>
        <w:t>委托代理人身份证号码：</w:t>
      </w:r>
      <w:r>
        <w:rPr>
          <w:rFonts w:ascii="宋体" w:hAnsi="宋体" w:cs="宋体"/>
          <w:color w:val="auto"/>
          <w:u w:val="single"/>
        </w:rPr>
        <w:t>________________</w:t>
      </w:r>
    </w:p>
    <w:p w14:paraId="057692D5">
      <w:pPr>
        <w:spacing w:line="480" w:lineRule="auto"/>
        <w:ind w:firstLine="420" w:firstLineChars="200"/>
        <w:rPr>
          <w:rFonts w:ascii="宋体" w:cs="宋体"/>
          <w:color w:val="auto"/>
        </w:rPr>
      </w:pPr>
      <w:r>
        <w:rPr>
          <w:rFonts w:hint="eastAsia" w:ascii="宋体" w:hAnsi="宋体" w:cs="宋体"/>
          <w:color w:val="auto"/>
        </w:rPr>
        <w:t>委托代理人联系电话：</w:t>
      </w:r>
      <w:r>
        <w:rPr>
          <w:rFonts w:ascii="宋体" w:hAnsi="宋体" w:cs="宋体"/>
          <w:color w:val="auto"/>
          <w:u w:val="single"/>
        </w:rPr>
        <w:t>__________________</w:t>
      </w:r>
    </w:p>
    <w:p w14:paraId="3BCB5B6E">
      <w:pPr>
        <w:spacing w:line="480" w:lineRule="auto"/>
        <w:ind w:firstLine="420" w:firstLineChars="200"/>
        <w:rPr>
          <w:rFonts w:ascii="宋体" w:cs="宋体"/>
          <w:color w:val="auto"/>
        </w:rPr>
      </w:pPr>
      <w:r>
        <w:rPr>
          <w:rFonts w:hint="eastAsia" w:ascii="宋体" w:hAnsi="宋体" w:cs="宋体"/>
          <w:color w:val="auto"/>
        </w:rPr>
        <w:t>日期：</w:t>
      </w:r>
      <w:r>
        <w:rPr>
          <w:rFonts w:ascii="宋体" w:hAnsi="宋体" w:cs="宋体"/>
          <w:color w:val="auto"/>
          <w:u w:val="single"/>
        </w:rPr>
        <w:t>_____</w:t>
      </w:r>
      <w:r>
        <w:rPr>
          <w:rFonts w:hint="eastAsia" w:ascii="宋体" w:hAnsi="宋体" w:cs="宋体"/>
          <w:color w:val="auto"/>
        </w:rPr>
        <w:t>年</w:t>
      </w:r>
      <w:r>
        <w:rPr>
          <w:rFonts w:ascii="宋体" w:hAnsi="宋体" w:cs="宋体"/>
          <w:color w:val="auto"/>
          <w:u w:val="single"/>
        </w:rPr>
        <w:t>____</w:t>
      </w:r>
      <w:r>
        <w:rPr>
          <w:rFonts w:hint="eastAsia" w:ascii="宋体" w:hAnsi="宋体" w:cs="宋体"/>
          <w:color w:val="auto"/>
        </w:rPr>
        <w:t>月</w:t>
      </w:r>
      <w:r>
        <w:rPr>
          <w:rFonts w:ascii="宋体" w:hAnsi="宋体" w:cs="宋体"/>
          <w:color w:val="auto"/>
          <w:u w:val="single"/>
        </w:rPr>
        <w:t>____</w:t>
      </w:r>
      <w:r>
        <w:rPr>
          <w:rFonts w:hint="eastAsia" w:ascii="宋体" w:hAnsi="宋体" w:cs="宋体"/>
          <w:color w:val="auto"/>
        </w:rPr>
        <w:t>日</w:t>
      </w:r>
    </w:p>
    <w:p w14:paraId="684A7A87">
      <w:pPr>
        <w:spacing w:line="480" w:lineRule="auto"/>
        <w:ind w:firstLine="420" w:firstLineChars="200"/>
        <w:rPr>
          <w:rFonts w:ascii="宋体" w:cs="宋体"/>
          <w:color w:val="auto"/>
        </w:rPr>
      </w:pPr>
    </w:p>
    <w:p w14:paraId="7B5C5366">
      <w:pPr>
        <w:spacing w:line="480" w:lineRule="auto"/>
        <w:ind w:firstLine="420" w:firstLineChars="200"/>
        <w:rPr>
          <w:rFonts w:ascii="宋体" w:cs="宋体"/>
          <w:color w:val="auto"/>
        </w:rPr>
      </w:pPr>
    </w:p>
    <w:p w14:paraId="2CA72BE0">
      <w:pPr>
        <w:spacing w:line="480" w:lineRule="auto"/>
        <w:ind w:firstLine="420" w:firstLineChars="200"/>
        <w:rPr>
          <w:rFonts w:ascii="宋体" w:cs="宋体"/>
          <w:color w:val="auto"/>
        </w:rPr>
      </w:pPr>
    </w:p>
    <w:p w14:paraId="165275AC">
      <w:pPr>
        <w:pStyle w:val="27"/>
        <w:ind w:firstLine="400"/>
        <w:rPr>
          <w:rFonts w:ascii="宋体" w:cs="宋体"/>
          <w:color w:val="auto"/>
        </w:rPr>
      </w:pPr>
    </w:p>
    <w:p w14:paraId="40F1BAAF">
      <w:pPr>
        <w:pStyle w:val="27"/>
        <w:ind w:firstLine="400"/>
        <w:rPr>
          <w:rFonts w:ascii="宋体" w:cs="宋体"/>
          <w:color w:val="auto"/>
        </w:rPr>
      </w:pPr>
    </w:p>
    <w:bookmarkEnd w:id="22"/>
    <w:bookmarkEnd w:id="26"/>
    <w:bookmarkEnd w:id="27"/>
    <w:p w14:paraId="76D10DBF">
      <w:pPr>
        <w:pStyle w:val="5"/>
        <w:keepNext w:val="0"/>
        <w:keepLines w:val="0"/>
        <w:numPr>
          <w:ilvl w:val="3"/>
          <w:numId w:val="15"/>
        </w:numPr>
        <w:spacing w:before="0" w:after="0" w:line="480" w:lineRule="auto"/>
        <w:ind w:left="0" w:firstLine="0"/>
        <w:jc w:val="left"/>
        <w:rPr>
          <w:rFonts w:ascii="宋体" w:hAnsi="宋体" w:cs="宋体"/>
          <w:sz w:val="24"/>
          <w:szCs w:val="24"/>
        </w:rPr>
      </w:pPr>
      <w:r>
        <w:rPr>
          <w:rFonts w:hint="eastAsia" w:ascii="宋体" w:hAnsi="宋体" w:cs="宋体"/>
          <w:sz w:val="24"/>
          <w:szCs w:val="24"/>
        </w:rPr>
        <w:t>供应商须具有独立法人资格、且具有合格的统一社会信用代码的营业执照；</w:t>
      </w:r>
    </w:p>
    <w:p w14:paraId="1A3DA7CB">
      <w:pPr>
        <w:pStyle w:val="6"/>
      </w:pPr>
    </w:p>
    <w:p w14:paraId="28354103">
      <w:pPr>
        <w:pStyle w:val="5"/>
        <w:keepNext w:val="0"/>
        <w:keepLines w:val="0"/>
        <w:numPr>
          <w:ilvl w:val="3"/>
          <w:numId w:val="15"/>
        </w:numPr>
        <w:spacing w:before="0" w:after="0" w:line="480" w:lineRule="auto"/>
        <w:ind w:left="0" w:firstLine="0"/>
        <w:jc w:val="left"/>
        <w:rPr>
          <w:rFonts w:ascii="宋体" w:hAnsi="宋体" w:cs="宋体"/>
          <w:sz w:val="24"/>
          <w:szCs w:val="24"/>
        </w:rPr>
      </w:pPr>
      <w:bookmarkStart w:id="29" w:name="_Hlk76472477"/>
      <w:r>
        <w:rPr>
          <w:rFonts w:hint="eastAsia" w:ascii="宋体" w:hAnsi="宋体" w:cs="宋体"/>
          <w:sz w:val="24"/>
          <w:szCs w:val="24"/>
        </w:rPr>
        <w:t>供应商须提供有效的《食品经营许可证》或《餐饮服务许可证》；</w:t>
      </w:r>
    </w:p>
    <w:p w14:paraId="34D18CD3">
      <w:pPr>
        <w:pStyle w:val="6"/>
      </w:pPr>
    </w:p>
    <w:p w14:paraId="74F262D6">
      <w:pPr>
        <w:pStyle w:val="5"/>
        <w:keepNext w:val="0"/>
        <w:keepLines w:val="0"/>
        <w:numPr>
          <w:ilvl w:val="3"/>
          <w:numId w:val="15"/>
        </w:numPr>
        <w:spacing w:before="0" w:after="0" w:line="480" w:lineRule="auto"/>
        <w:ind w:left="0" w:firstLine="0"/>
        <w:jc w:val="left"/>
        <w:rPr>
          <w:rFonts w:ascii="宋体" w:hAnsi="宋体" w:cs="宋体"/>
          <w:sz w:val="24"/>
          <w:szCs w:val="24"/>
        </w:rPr>
      </w:pPr>
      <w:r>
        <w:rPr>
          <w:rFonts w:hint="eastAsia" w:ascii="宋体" w:hAnsi="宋体" w:cs="宋体"/>
          <w:sz w:val="24"/>
          <w:szCs w:val="24"/>
        </w:rPr>
        <w:t>依据财库</w:t>
      </w:r>
      <w:r>
        <w:rPr>
          <w:rFonts w:ascii="宋体" w:hAnsi="宋体" w:cs="宋体"/>
          <w:sz w:val="24"/>
          <w:szCs w:val="24"/>
        </w:rPr>
        <w:t>[2016]125</w:t>
      </w:r>
      <w:r>
        <w:rPr>
          <w:rFonts w:hint="eastAsia" w:ascii="宋体" w:hAnsi="宋体" w:cs="宋体"/>
          <w:sz w:val="24"/>
          <w:szCs w:val="24"/>
        </w:rPr>
        <w:t>号文件规定，对列入失信被执行人、重大税收违法案件当事人名单、政府采购严重违法失信行为记录名单的供应商，拒绝其参与本项目招投标活动。供应商需提供规范的信用报告，信用报告应通过“信用中国”网站</w:t>
      </w:r>
      <w:r>
        <w:rPr>
          <w:rFonts w:ascii="宋体" w:hAnsi="宋体" w:cs="宋体"/>
          <w:sz w:val="24"/>
          <w:szCs w:val="24"/>
        </w:rPr>
        <w:t>(www.creditchina.gov.cn)</w:t>
      </w:r>
      <w:r>
        <w:rPr>
          <w:rFonts w:hint="eastAsia" w:ascii="宋体" w:hAnsi="宋体" w:cs="宋体"/>
          <w:sz w:val="24"/>
          <w:szCs w:val="24"/>
        </w:rPr>
        <w:t>下载，信用报告的生成日期不得早于本项目招标公告发布之日；，中国政府采购网</w:t>
      </w:r>
      <w:r>
        <w:rPr>
          <w:rFonts w:ascii="宋体" w:hAnsi="宋体" w:cs="宋体"/>
          <w:sz w:val="24"/>
          <w:szCs w:val="24"/>
        </w:rPr>
        <w:t>(www.ccgp.gov.cn)</w:t>
      </w:r>
      <w:r>
        <w:rPr>
          <w:rFonts w:hint="eastAsia" w:ascii="宋体" w:hAnsi="宋体" w:cs="宋体"/>
          <w:sz w:val="24"/>
          <w:szCs w:val="24"/>
        </w:rPr>
        <w:t>查询政府采购严重违法失信行为记录名单（提供招标公告发布之后的网站查询结果截图）；</w:t>
      </w:r>
    </w:p>
    <w:p w14:paraId="169C670F">
      <w:pPr>
        <w:pStyle w:val="2"/>
      </w:pPr>
    </w:p>
    <w:p w14:paraId="16CDAA99">
      <w:pPr>
        <w:pStyle w:val="5"/>
        <w:keepNext w:val="0"/>
        <w:keepLines w:val="0"/>
        <w:numPr>
          <w:ilvl w:val="3"/>
          <w:numId w:val="15"/>
        </w:numPr>
        <w:spacing w:before="0" w:after="0" w:line="480" w:lineRule="auto"/>
        <w:ind w:left="0" w:firstLine="0"/>
        <w:jc w:val="left"/>
        <w:rPr>
          <w:rFonts w:ascii="宋体" w:hAnsi="宋体" w:cs="宋体"/>
          <w:sz w:val="24"/>
          <w:szCs w:val="24"/>
        </w:rPr>
      </w:pPr>
      <w:r>
        <w:rPr>
          <w:rFonts w:hint="eastAsia" w:ascii="宋体" w:hAnsi="宋体" w:cs="宋体"/>
          <w:sz w:val="24"/>
          <w:szCs w:val="24"/>
        </w:rPr>
        <w:t>供应商须提供无行贿行为承诺；</w:t>
      </w:r>
    </w:p>
    <w:p w14:paraId="5F785CB8">
      <w:pPr>
        <w:spacing w:line="600" w:lineRule="exact"/>
        <w:rPr>
          <w:rFonts w:ascii="宋体" w:cs="宋体"/>
          <w:color w:val="auto"/>
          <w:szCs w:val="21"/>
        </w:rPr>
      </w:pPr>
      <w:r>
        <w:rPr>
          <w:rFonts w:hint="eastAsia" w:ascii="宋体" w:hAnsi="宋体" w:cs="宋体"/>
          <w:color w:val="auto"/>
          <w:szCs w:val="21"/>
        </w:rPr>
        <w:t>致</w:t>
      </w:r>
      <w:r>
        <w:rPr>
          <w:rFonts w:hint="eastAsia" w:ascii="宋体" w:hAnsi="宋体" w:cs="宋体"/>
          <w:color w:val="auto"/>
          <w:szCs w:val="21"/>
          <w:u w:val="single"/>
        </w:rPr>
        <w:t>（采购人名称）</w:t>
      </w:r>
      <w:r>
        <w:rPr>
          <w:rFonts w:hint="eastAsia" w:ascii="宋体" w:hAnsi="宋体" w:cs="宋体"/>
          <w:color w:val="auto"/>
          <w:szCs w:val="21"/>
        </w:rPr>
        <w:t>：</w:t>
      </w:r>
    </w:p>
    <w:p w14:paraId="2EED20D4">
      <w:pPr>
        <w:spacing w:line="600" w:lineRule="exact"/>
        <w:rPr>
          <w:rFonts w:ascii="宋体" w:cs="宋体"/>
          <w:color w:val="auto"/>
          <w:szCs w:val="21"/>
        </w:rPr>
      </w:pPr>
      <w:r>
        <w:rPr>
          <w:rFonts w:hint="eastAsia" w:ascii="宋体" w:hAnsi="宋体" w:cs="宋体"/>
          <w:color w:val="auto"/>
          <w:szCs w:val="21"/>
        </w:rPr>
        <w:t>我方在此承诺，我方不存在任何行贿行为（包含企业及法定代表人，授权委托人），若被查证其承诺不实，我方愿意承担一切责任。</w:t>
      </w:r>
    </w:p>
    <w:p w14:paraId="50D3E38E">
      <w:pPr>
        <w:spacing w:line="600" w:lineRule="exact"/>
        <w:ind w:firstLine="420" w:firstLineChars="200"/>
        <w:rPr>
          <w:rFonts w:ascii="宋体" w:cs="宋体"/>
          <w:color w:val="auto"/>
          <w:szCs w:val="21"/>
        </w:rPr>
      </w:pPr>
      <w:r>
        <w:rPr>
          <w:rFonts w:hint="eastAsia" w:ascii="宋体" w:hAnsi="宋体" w:cs="宋体"/>
          <w:color w:val="auto"/>
          <w:szCs w:val="21"/>
        </w:rPr>
        <w:t>特此承诺</w:t>
      </w:r>
    </w:p>
    <w:p w14:paraId="475F9573">
      <w:pPr>
        <w:spacing w:line="440" w:lineRule="exact"/>
        <w:jc w:val="right"/>
        <w:rPr>
          <w:rFonts w:ascii="宋体" w:cs="宋体"/>
          <w:color w:val="auto"/>
          <w:szCs w:val="21"/>
        </w:rPr>
      </w:pPr>
    </w:p>
    <w:p w14:paraId="69EDC8B7">
      <w:pPr>
        <w:adjustRightInd w:val="0"/>
        <w:spacing w:line="360" w:lineRule="auto"/>
        <w:ind w:firstLine="420" w:firstLineChars="200"/>
        <w:jc w:val="left"/>
        <w:rPr>
          <w:rFonts w:ascii="宋体" w:cs="宋体"/>
          <w:szCs w:val="21"/>
        </w:rPr>
      </w:pPr>
      <w:r>
        <w:rPr>
          <w:rFonts w:hint="eastAsia" w:ascii="宋体" w:hAnsi="宋体" w:cs="宋体"/>
          <w:szCs w:val="21"/>
        </w:rPr>
        <w:t>供应商名称：（电子签章）</w:t>
      </w:r>
    </w:p>
    <w:p w14:paraId="36B5B5C4">
      <w:pPr>
        <w:spacing w:line="360" w:lineRule="auto"/>
        <w:ind w:firstLine="411" w:firstLineChars="196"/>
        <w:rPr>
          <w:rFonts w:ascii="宋体" w:cs="宋体"/>
          <w:szCs w:val="21"/>
          <w:u w:val="single"/>
        </w:rPr>
      </w:pPr>
      <w:r>
        <w:rPr>
          <w:rFonts w:hint="eastAsia" w:ascii="宋体" w:hAnsi="宋体" w:cs="宋体"/>
          <w:szCs w:val="21"/>
        </w:rPr>
        <w:t>法定代表人：（电子签名）</w:t>
      </w:r>
    </w:p>
    <w:p w14:paraId="34559A16">
      <w:pPr>
        <w:spacing w:line="360" w:lineRule="auto"/>
        <w:ind w:firstLine="411" w:firstLineChars="196"/>
        <w:rPr>
          <w:rFonts w:ascii="宋体" w:cs="宋体"/>
          <w:szCs w:val="21"/>
        </w:rPr>
      </w:pPr>
      <w:r>
        <w:rPr>
          <w:rFonts w:hint="eastAsia" w:ascii="宋体" w:hAnsi="宋体" w:cs="宋体"/>
          <w:szCs w:val="21"/>
        </w:rPr>
        <w:t>日期：年月日</w:t>
      </w:r>
    </w:p>
    <w:p w14:paraId="2ECF9CEF">
      <w:pPr>
        <w:pStyle w:val="6"/>
        <w:rPr>
          <w:rFonts w:ascii="宋体" w:cs="宋体"/>
          <w:color w:val="auto"/>
        </w:rPr>
      </w:pPr>
    </w:p>
    <w:p w14:paraId="5F5CD8AE">
      <w:pPr>
        <w:pStyle w:val="5"/>
        <w:keepNext w:val="0"/>
        <w:keepLines w:val="0"/>
        <w:numPr>
          <w:ilvl w:val="3"/>
          <w:numId w:val="15"/>
        </w:numPr>
        <w:spacing w:before="0" w:after="0" w:line="480" w:lineRule="auto"/>
        <w:ind w:left="0" w:firstLine="0"/>
        <w:jc w:val="left"/>
        <w:rPr>
          <w:rFonts w:ascii="宋体" w:hAnsi="宋体" w:cs="宋体"/>
          <w:sz w:val="24"/>
          <w:szCs w:val="24"/>
        </w:rPr>
      </w:pPr>
      <w:bookmarkStart w:id="30" w:name="_Toc16733"/>
      <w:r>
        <w:rPr>
          <w:rFonts w:hint="eastAsia" w:ascii="宋体" w:hAnsi="宋体" w:cs="宋体"/>
          <w:sz w:val="24"/>
          <w:szCs w:val="24"/>
        </w:rPr>
        <w:t>招标文件要求及供应商认为需要提供的其他资格证明资料。</w:t>
      </w:r>
      <w:bookmarkEnd w:id="30"/>
    </w:p>
    <w:bookmarkEnd w:id="29"/>
    <w:p w14:paraId="5EFA0A1A">
      <w:pPr>
        <w:pStyle w:val="6"/>
        <w:ind w:firstLine="0" w:firstLineChars="0"/>
        <w:rPr>
          <w:rFonts w:ascii="宋体" w:cs="宋体"/>
          <w:b/>
          <w:color w:val="auto"/>
          <w:szCs w:val="21"/>
        </w:rPr>
      </w:pPr>
      <w:r>
        <w:rPr>
          <w:rFonts w:hint="eastAsia"/>
        </w:rPr>
        <w:t>注：以上原件扫描件均需提供复印件加盖电子公章。</w:t>
      </w:r>
    </w:p>
    <w:p w14:paraId="609E1D02">
      <w:pPr>
        <w:pStyle w:val="6"/>
        <w:rPr>
          <w:rFonts w:ascii="宋体" w:cs="宋体"/>
          <w:color w:val="auto"/>
        </w:rPr>
      </w:pPr>
    </w:p>
    <w:p w14:paraId="5B1A9BA2">
      <w:pPr>
        <w:pStyle w:val="6"/>
        <w:rPr>
          <w:rFonts w:ascii="宋体" w:cs="宋体"/>
          <w:color w:val="auto"/>
        </w:rPr>
      </w:pPr>
    </w:p>
    <w:p w14:paraId="630A97FC">
      <w:pPr>
        <w:pStyle w:val="5"/>
        <w:keepNext w:val="0"/>
        <w:keepLines w:val="0"/>
        <w:numPr>
          <w:ilvl w:val="3"/>
          <w:numId w:val="15"/>
        </w:numPr>
        <w:spacing w:before="0" w:after="0" w:line="480" w:lineRule="auto"/>
        <w:ind w:left="0" w:firstLine="0"/>
        <w:jc w:val="left"/>
        <w:rPr>
          <w:rFonts w:ascii="宋体" w:hAnsi="宋体" w:cs="宋体"/>
          <w:sz w:val="24"/>
          <w:szCs w:val="24"/>
        </w:rPr>
      </w:pPr>
      <w:bookmarkStart w:id="31" w:name="_Toc20921"/>
      <w:r>
        <w:rPr>
          <w:rFonts w:hint="eastAsia" w:ascii="宋体" w:hAnsi="宋体" w:cs="宋体"/>
          <w:sz w:val="24"/>
          <w:szCs w:val="24"/>
        </w:rPr>
        <w:t>材料真实性自我保证声明</w:t>
      </w:r>
      <w:bookmarkEnd w:id="31"/>
    </w:p>
    <w:p w14:paraId="2657820A">
      <w:pPr>
        <w:pStyle w:val="6"/>
        <w:spacing w:line="360" w:lineRule="auto"/>
        <w:rPr>
          <w:rFonts w:ascii="宋体" w:cs="宋体"/>
          <w:bCs/>
          <w:color w:val="auto"/>
          <w:szCs w:val="21"/>
        </w:rPr>
      </w:pPr>
      <w:r>
        <w:rPr>
          <w:rFonts w:ascii="宋体" w:cs="宋体"/>
          <w:bCs/>
          <w:color w:val="auto"/>
          <w:szCs w:val="21"/>
        </w:rPr>
        <w:t> </w:t>
      </w:r>
    </w:p>
    <w:p w14:paraId="66C47701">
      <w:pPr>
        <w:pStyle w:val="6"/>
        <w:spacing w:line="360" w:lineRule="auto"/>
        <w:ind w:firstLine="0" w:firstLineChars="0"/>
        <w:rPr>
          <w:rFonts w:ascii="宋体" w:cs="宋体"/>
          <w:bCs/>
          <w:color w:val="auto"/>
          <w:szCs w:val="21"/>
          <w:u w:val="single"/>
        </w:rPr>
      </w:pPr>
      <w:r>
        <w:rPr>
          <w:rFonts w:hint="eastAsia" w:ascii="宋体" w:hAnsi="宋体" w:cs="宋体"/>
          <w:bCs/>
          <w:color w:val="auto"/>
          <w:szCs w:val="21"/>
        </w:rPr>
        <w:t>致：</w:t>
      </w:r>
      <w:r>
        <w:rPr>
          <w:rFonts w:hint="eastAsia" w:ascii="宋体" w:hAnsi="宋体" w:cs="宋体"/>
          <w:bCs/>
          <w:color w:val="auto"/>
          <w:szCs w:val="21"/>
          <w:u w:val="single"/>
        </w:rPr>
        <w:t>（采购人）</w:t>
      </w:r>
    </w:p>
    <w:p w14:paraId="4B3597EC">
      <w:pPr>
        <w:pStyle w:val="6"/>
        <w:spacing w:line="360" w:lineRule="auto"/>
        <w:ind w:firstLine="525" w:firstLineChars="250"/>
        <w:rPr>
          <w:rFonts w:ascii="宋体" w:cs="宋体"/>
          <w:bCs/>
          <w:color w:val="auto"/>
          <w:szCs w:val="21"/>
        </w:rPr>
      </w:pPr>
      <w:r>
        <w:rPr>
          <w:rFonts w:hint="eastAsia" w:ascii="宋体" w:hAnsi="宋体" w:cs="宋体"/>
          <w:bCs/>
          <w:color w:val="auto"/>
          <w:szCs w:val="21"/>
        </w:rPr>
        <w:t>我单位在贵单位组织的招标资质审核中提交如下材料：</w:t>
      </w:r>
    </w:p>
    <w:p w14:paraId="4D7B07D3">
      <w:pPr>
        <w:pStyle w:val="6"/>
        <w:spacing w:line="360" w:lineRule="auto"/>
        <w:rPr>
          <w:rFonts w:ascii="宋体" w:cs="宋体"/>
          <w:bCs/>
          <w:color w:val="auto"/>
          <w:szCs w:val="21"/>
        </w:rPr>
      </w:pPr>
      <w:r>
        <w:rPr>
          <w:rFonts w:hint="eastAsia" w:ascii="宋体" w:hAnsi="宋体" w:cs="宋体"/>
          <w:bCs/>
          <w:color w:val="auto"/>
          <w:szCs w:val="21"/>
        </w:rPr>
        <w:t>（材料目录）</w:t>
      </w:r>
    </w:p>
    <w:p w14:paraId="4C2AF649">
      <w:pPr>
        <w:pStyle w:val="6"/>
        <w:spacing w:line="360" w:lineRule="auto"/>
        <w:ind w:firstLine="525" w:firstLineChars="250"/>
        <w:rPr>
          <w:rFonts w:ascii="宋体" w:cs="宋体"/>
          <w:bCs/>
          <w:color w:val="auto"/>
          <w:szCs w:val="21"/>
        </w:rPr>
      </w:pPr>
      <w:r>
        <w:rPr>
          <w:rFonts w:hint="eastAsia" w:ascii="宋体" w:hAnsi="宋体" w:cs="宋体"/>
          <w:bCs/>
          <w:color w:val="auto"/>
          <w:szCs w:val="21"/>
        </w:rPr>
        <w:t>…</w:t>
      </w:r>
    </w:p>
    <w:p w14:paraId="71CDCA2E">
      <w:pPr>
        <w:pStyle w:val="6"/>
        <w:spacing w:line="360" w:lineRule="auto"/>
        <w:rPr>
          <w:rFonts w:ascii="宋体" w:cs="宋体"/>
          <w:bCs/>
          <w:color w:val="auto"/>
          <w:szCs w:val="21"/>
        </w:rPr>
      </w:pPr>
      <w:r>
        <w:rPr>
          <w:rFonts w:hint="eastAsia" w:ascii="宋体" w:hAnsi="宋体" w:cs="宋体"/>
          <w:bCs/>
          <w:color w:val="auto"/>
          <w:szCs w:val="21"/>
        </w:rPr>
        <w:t>我单位保证以上提交的材料内容真实、有效，并对材料内容的真实性负法律责任。</w:t>
      </w:r>
    </w:p>
    <w:p w14:paraId="178FF972">
      <w:pPr>
        <w:pStyle w:val="6"/>
        <w:spacing w:line="360" w:lineRule="auto"/>
        <w:ind w:firstLine="2100" w:firstLineChars="1000"/>
        <w:rPr>
          <w:rFonts w:ascii="宋体" w:cs="宋体"/>
          <w:szCs w:val="21"/>
        </w:rPr>
      </w:pPr>
    </w:p>
    <w:p w14:paraId="1021133E">
      <w:pPr>
        <w:adjustRightInd w:val="0"/>
        <w:spacing w:line="360" w:lineRule="auto"/>
        <w:ind w:firstLine="420" w:firstLineChars="200"/>
        <w:jc w:val="left"/>
        <w:rPr>
          <w:rFonts w:ascii="宋体" w:cs="宋体"/>
          <w:szCs w:val="21"/>
        </w:rPr>
      </w:pPr>
      <w:r>
        <w:rPr>
          <w:rFonts w:hint="eastAsia" w:ascii="宋体" w:hAnsi="宋体" w:cs="宋体"/>
          <w:szCs w:val="21"/>
        </w:rPr>
        <w:t>供应商名称：（电子签章）</w:t>
      </w:r>
    </w:p>
    <w:p w14:paraId="13A530E0">
      <w:pPr>
        <w:spacing w:line="360" w:lineRule="auto"/>
        <w:ind w:firstLine="411" w:firstLineChars="196"/>
        <w:rPr>
          <w:rFonts w:ascii="宋体" w:cs="宋体"/>
          <w:szCs w:val="21"/>
          <w:u w:val="single"/>
        </w:rPr>
      </w:pPr>
      <w:r>
        <w:rPr>
          <w:rFonts w:hint="eastAsia" w:ascii="宋体" w:hAnsi="宋体" w:cs="宋体"/>
          <w:szCs w:val="21"/>
        </w:rPr>
        <w:t>法定代表人：（电子签名）</w:t>
      </w:r>
    </w:p>
    <w:p w14:paraId="5FE2866B">
      <w:pPr>
        <w:spacing w:line="360" w:lineRule="auto"/>
        <w:ind w:firstLine="411" w:firstLineChars="196"/>
        <w:rPr>
          <w:rFonts w:ascii="宋体" w:cs="宋体"/>
          <w:szCs w:val="21"/>
        </w:rPr>
      </w:pPr>
      <w:r>
        <w:rPr>
          <w:rFonts w:hint="eastAsia" w:ascii="宋体" w:hAnsi="宋体" w:cs="宋体"/>
          <w:szCs w:val="21"/>
        </w:rPr>
        <w:t>日期：年月日</w:t>
      </w:r>
    </w:p>
    <w:p w14:paraId="102155EA">
      <w:pPr>
        <w:pStyle w:val="6"/>
        <w:spacing w:line="360" w:lineRule="auto"/>
        <w:rPr>
          <w:rFonts w:ascii="宋体" w:cs="宋体"/>
          <w:bCs/>
          <w:color w:val="auto"/>
          <w:szCs w:val="21"/>
        </w:rPr>
      </w:pPr>
    </w:p>
    <w:p w14:paraId="5E68B978">
      <w:pPr>
        <w:rPr>
          <w:rFonts w:ascii="宋体" w:cs="宋体"/>
          <w:bCs/>
          <w:color w:val="auto"/>
          <w:szCs w:val="21"/>
        </w:rPr>
      </w:pPr>
      <w:r>
        <w:rPr>
          <w:rFonts w:ascii="宋体" w:cs="宋体"/>
          <w:bCs/>
          <w:color w:val="auto"/>
          <w:szCs w:val="21"/>
        </w:rPr>
        <w:br w:type="page"/>
      </w:r>
    </w:p>
    <w:p w14:paraId="43346295">
      <w:pPr>
        <w:pStyle w:val="5"/>
        <w:keepNext w:val="0"/>
        <w:keepLines w:val="0"/>
        <w:numPr>
          <w:ilvl w:val="3"/>
          <w:numId w:val="15"/>
        </w:numPr>
        <w:spacing w:before="0" w:after="0" w:line="480" w:lineRule="auto"/>
        <w:ind w:left="360" w:hanging="426"/>
        <w:rPr>
          <w:rFonts w:ascii="宋体" w:hAnsi="宋体" w:cs="宋体"/>
          <w:sz w:val="24"/>
          <w:szCs w:val="24"/>
        </w:rPr>
      </w:pPr>
      <w:bookmarkStart w:id="32" w:name="_Toc20283"/>
      <w:r>
        <w:rPr>
          <w:rFonts w:hint="eastAsia" w:ascii="宋体" w:hAnsi="宋体" w:cs="宋体"/>
          <w:sz w:val="24"/>
          <w:szCs w:val="24"/>
        </w:rPr>
        <w:t>参加政府采购活动前三年内在经营活动中没有重大违法记录的书面声明：</w:t>
      </w:r>
      <w:bookmarkEnd w:id="32"/>
    </w:p>
    <w:p w14:paraId="232D7AF6">
      <w:pPr>
        <w:pStyle w:val="6"/>
        <w:spacing w:line="360" w:lineRule="auto"/>
        <w:ind w:firstLine="0" w:firstLineChars="0"/>
        <w:rPr>
          <w:rFonts w:ascii="宋体" w:cs="宋体"/>
          <w:bCs/>
          <w:color w:val="auto"/>
          <w:szCs w:val="21"/>
        </w:rPr>
      </w:pPr>
    </w:p>
    <w:p w14:paraId="2919F1E7">
      <w:pPr>
        <w:pStyle w:val="6"/>
        <w:spacing w:line="360" w:lineRule="auto"/>
        <w:ind w:firstLine="0" w:firstLineChars="0"/>
        <w:rPr>
          <w:rFonts w:ascii="宋体" w:cs="宋体"/>
          <w:bCs/>
          <w:color w:val="auto"/>
          <w:szCs w:val="21"/>
          <w:u w:val="single"/>
        </w:rPr>
      </w:pPr>
      <w:r>
        <w:rPr>
          <w:rFonts w:hint="eastAsia" w:ascii="宋体" w:hAnsi="宋体" w:cs="宋体"/>
          <w:bCs/>
          <w:color w:val="auto"/>
          <w:szCs w:val="21"/>
        </w:rPr>
        <w:t>致：</w:t>
      </w:r>
      <w:r>
        <w:rPr>
          <w:rFonts w:hint="eastAsia" w:ascii="宋体" w:hAnsi="宋体" w:cs="宋体"/>
          <w:bCs/>
          <w:color w:val="auto"/>
          <w:szCs w:val="21"/>
          <w:u w:val="single"/>
        </w:rPr>
        <w:t>（采购人）</w:t>
      </w:r>
    </w:p>
    <w:p w14:paraId="7447EC31">
      <w:pPr>
        <w:pStyle w:val="6"/>
        <w:spacing w:line="360" w:lineRule="auto"/>
        <w:rPr>
          <w:rFonts w:ascii="宋体" w:cs="宋体"/>
          <w:bCs/>
          <w:color w:val="auto"/>
          <w:szCs w:val="21"/>
        </w:rPr>
      </w:pPr>
      <w:r>
        <w:rPr>
          <w:rFonts w:hint="eastAsia" w:ascii="宋体" w:hAnsi="宋体" w:cs="宋体"/>
          <w:bCs/>
          <w:color w:val="auto"/>
          <w:szCs w:val="21"/>
        </w:rPr>
        <w:t>我单位保证在参加政府采购活动前三年内在经营活动中没有重大违法记录。我单位保证所述内容真实、有效，并对此声明内容的真实性负法律责任并愿意承担相应责任。</w:t>
      </w:r>
    </w:p>
    <w:p w14:paraId="3A68AFF7">
      <w:pPr>
        <w:pStyle w:val="6"/>
        <w:spacing w:line="360" w:lineRule="auto"/>
        <w:rPr>
          <w:rFonts w:ascii="宋体" w:cs="宋体"/>
          <w:bCs/>
          <w:color w:val="auto"/>
          <w:szCs w:val="21"/>
        </w:rPr>
      </w:pPr>
    </w:p>
    <w:p w14:paraId="7D31180B">
      <w:pPr>
        <w:pStyle w:val="6"/>
        <w:spacing w:line="360" w:lineRule="auto"/>
        <w:rPr>
          <w:rFonts w:ascii="宋体" w:cs="宋体"/>
          <w:bCs/>
          <w:color w:val="auto"/>
          <w:szCs w:val="21"/>
        </w:rPr>
      </w:pPr>
      <w:r>
        <w:rPr>
          <w:rFonts w:hint="eastAsia" w:ascii="宋体" w:hAnsi="宋体" w:cs="宋体"/>
          <w:bCs/>
          <w:color w:val="auto"/>
          <w:szCs w:val="21"/>
        </w:rPr>
        <w:t>特此声明！</w:t>
      </w:r>
    </w:p>
    <w:p w14:paraId="74AE6F5B">
      <w:pPr>
        <w:pStyle w:val="6"/>
        <w:spacing w:line="360" w:lineRule="auto"/>
        <w:rPr>
          <w:rFonts w:ascii="宋体" w:cs="宋体"/>
          <w:bCs/>
          <w:color w:val="auto"/>
          <w:szCs w:val="21"/>
        </w:rPr>
      </w:pPr>
    </w:p>
    <w:p w14:paraId="5C7C4235">
      <w:pPr>
        <w:adjustRightInd w:val="0"/>
        <w:spacing w:line="360" w:lineRule="auto"/>
        <w:ind w:firstLine="420" w:firstLineChars="200"/>
        <w:jc w:val="left"/>
        <w:rPr>
          <w:rFonts w:ascii="宋体" w:cs="宋体"/>
          <w:szCs w:val="21"/>
        </w:rPr>
      </w:pPr>
      <w:bookmarkStart w:id="33" w:name="_Toc342615461"/>
      <w:r>
        <w:rPr>
          <w:rFonts w:hint="eastAsia" w:ascii="宋体" w:hAnsi="宋体" w:cs="宋体"/>
          <w:szCs w:val="21"/>
        </w:rPr>
        <w:t>供应商名称：（电子签章）</w:t>
      </w:r>
    </w:p>
    <w:p w14:paraId="1E8015BC">
      <w:pPr>
        <w:spacing w:line="360" w:lineRule="auto"/>
        <w:ind w:firstLine="411" w:firstLineChars="196"/>
        <w:rPr>
          <w:rFonts w:ascii="宋体" w:cs="宋体"/>
          <w:szCs w:val="21"/>
          <w:u w:val="single"/>
        </w:rPr>
      </w:pPr>
      <w:r>
        <w:rPr>
          <w:rFonts w:hint="eastAsia" w:ascii="宋体" w:hAnsi="宋体" w:cs="宋体"/>
          <w:szCs w:val="21"/>
        </w:rPr>
        <w:t>法定代表人：（电子签名）</w:t>
      </w:r>
    </w:p>
    <w:p w14:paraId="726E7E65">
      <w:pPr>
        <w:spacing w:line="360" w:lineRule="auto"/>
        <w:ind w:firstLine="411" w:firstLineChars="196"/>
        <w:rPr>
          <w:rFonts w:ascii="宋体" w:cs="宋体"/>
          <w:szCs w:val="21"/>
        </w:rPr>
      </w:pPr>
      <w:r>
        <w:rPr>
          <w:rFonts w:hint="eastAsia" w:ascii="宋体" w:hAnsi="宋体" w:cs="宋体"/>
          <w:szCs w:val="21"/>
        </w:rPr>
        <w:t>日期：年月日</w:t>
      </w:r>
    </w:p>
    <w:p w14:paraId="4415F78C">
      <w:pPr>
        <w:pStyle w:val="6"/>
        <w:spacing w:line="360" w:lineRule="auto"/>
        <w:ind w:firstLine="0" w:firstLineChars="0"/>
        <w:rPr>
          <w:rFonts w:ascii="宋体" w:cs="宋体"/>
          <w:color w:val="auto"/>
          <w:sz w:val="24"/>
          <w:szCs w:val="24"/>
        </w:rPr>
      </w:pPr>
    </w:p>
    <w:p w14:paraId="54E1B11D">
      <w:pPr>
        <w:pStyle w:val="6"/>
        <w:ind w:firstLine="0" w:firstLineChars="0"/>
        <w:rPr>
          <w:rFonts w:ascii="宋体" w:cs="宋体"/>
          <w:color w:val="auto"/>
          <w:sz w:val="24"/>
          <w:szCs w:val="24"/>
        </w:rPr>
      </w:pPr>
    </w:p>
    <w:p w14:paraId="142C7410">
      <w:pPr>
        <w:rPr>
          <w:rFonts w:ascii="宋体" w:cs="宋体"/>
          <w:color w:val="auto"/>
          <w:sz w:val="24"/>
          <w:szCs w:val="24"/>
        </w:rPr>
      </w:pPr>
      <w:r>
        <w:rPr>
          <w:rFonts w:ascii="宋体" w:cs="宋体"/>
          <w:color w:val="auto"/>
          <w:sz w:val="24"/>
          <w:szCs w:val="24"/>
        </w:rPr>
        <w:br w:type="page"/>
      </w:r>
    </w:p>
    <w:p w14:paraId="241FB95C">
      <w:pPr>
        <w:pStyle w:val="5"/>
        <w:keepNext w:val="0"/>
        <w:keepLines w:val="0"/>
        <w:numPr>
          <w:ilvl w:val="3"/>
          <w:numId w:val="15"/>
        </w:numPr>
        <w:spacing w:before="0" w:after="0" w:line="480" w:lineRule="auto"/>
        <w:ind w:left="360" w:hanging="426"/>
        <w:rPr>
          <w:rFonts w:ascii="宋体" w:hAnsi="宋体" w:cs="宋体"/>
          <w:sz w:val="24"/>
          <w:szCs w:val="24"/>
        </w:rPr>
      </w:pPr>
      <w:r>
        <w:rPr>
          <w:rFonts w:hint="eastAsia" w:ascii="宋体" w:hAnsi="宋体" w:cs="宋体"/>
          <w:sz w:val="24"/>
          <w:szCs w:val="24"/>
        </w:rPr>
        <w:t>投标承诺函</w:t>
      </w:r>
    </w:p>
    <w:p w14:paraId="79A5F0EF">
      <w:pPr>
        <w:spacing w:line="360" w:lineRule="auto"/>
        <w:ind w:firstLine="420" w:firstLineChars="200"/>
        <w:rPr>
          <w:rFonts w:ascii="宋体" w:cs="宋体"/>
        </w:rPr>
      </w:pPr>
      <w:r>
        <w:rPr>
          <w:rFonts w:hint="eastAsia" w:ascii="宋体" w:hAnsi="宋体" w:cs="宋体"/>
        </w:rPr>
        <w:t>致</w:t>
      </w:r>
      <w:r>
        <w:rPr>
          <w:rFonts w:hint="eastAsia" w:ascii="宋体" w:hAnsi="宋体" w:cs="宋体"/>
          <w:u w:val="single"/>
        </w:rPr>
        <w:t>（采购人）</w:t>
      </w:r>
      <w:r>
        <w:rPr>
          <w:rFonts w:hint="eastAsia" w:ascii="宋体" w:hAnsi="宋体" w:cs="宋体"/>
        </w:rPr>
        <w:t>：</w:t>
      </w:r>
    </w:p>
    <w:p w14:paraId="23173319">
      <w:pPr>
        <w:spacing w:line="360" w:lineRule="auto"/>
        <w:ind w:firstLine="420" w:firstLineChars="200"/>
        <w:rPr>
          <w:rFonts w:ascii="宋体" w:cs="宋体"/>
        </w:rPr>
      </w:pPr>
      <w:r>
        <w:rPr>
          <w:rFonts w:hint="eastAsia" w:ascii="宋体" w:hAnsi="宋体" w:cs="宋体"/>
        </w:rPr>
        <w:t>我公司作为本次采购项目的供应商，根据招标文件要求，现郑重承诺如下：</w:t>
      </w:r>
    </w:p>
    <w:p w14:paraId="03C3685A">
      <w:pPr>
        <w:spacing w:line="360" w:lineRule="auto"/>
        <w:ind w:firstLine="420" w:firstLineChars="200"/>
        <w:rPr>
          <w:rFonts w:ascii="宋体" w:cs="宋体"/>
        </w:rPr>
      </w:pPr>
      <w:r>
        <w:rPr>
          <w:rFonts w:hint="eastAsia" w:ascii="宋体" w:hAnsi="宋体" w:cs="宋体"/>
        </w:rPr>
        <w:t>一、具备《中华人民共和国政府采购法》第二十二条第一款和本项目规定的条件：</w:t>
      </w:r>
    </w:p>
    <w:p w14:paraId="771056E0">
      <w:pPr>
        <w:spacing w:line="360" w:lineRule="auto"/>
        <w:ind w:firstLine="420" w:firstLineChars="200"/>
        <w:rPr>
          <w:rFonts w:ascii="宋体" w:cs="宋体"/>
        </w:rPr>
      </w:pPr>
      <w:r>
        <w:rPr>
          <w:rFonts w:hint="eastAsia" w:ascii="宋体" w:hAnsi="宋体" w:cs="宋体"/>
        </w:rPr>
        <w:t>（一）具有独立承担民事责任的能力；</w:t>
      </w:r>
      <w:r>
        <w:rPr>
          <w:rFonts w:ascii="宋体" w:cs="宋体"/>
        </w:rPr>
        <w:t> </w:t>
      </w:r>
      <w:r>
        <w:rPr>
          <w:rFonts w:hint="eastAsia" w:ascii="宋体" w:hAnsi="宋体" w:cs="宋体"/>
        </w:rPr>
        <w:t>　　</w:t>
      </w:r>
    </w:p>
    <w:p w14:paraId="56153F34">
      <w:pPr>
        <w:spacing w:line="360" w:lineRule="auto"/>
        <w:ind w:firstLine="420" w:firstLineChars="200"/>
        <w:rPr>
          <w:rFonts w:ascii="宋体" w:cs="宋体"/>
        </w:rPr>
      </w:pPr>
      <w:r>
        <w:rPr>
          <w:rFonts w:hint="eastAsia" w:ascii="宋体" w:hAnsi="宋体" w:cs="宋体"/>
        </w:rPr>
        <w:t>（二）具有良好的商业信誉和健全的财务会计制度；</w:t>
      </w:r>
      <w:r>
        <w:rPr>
          <w:rFonts w:ascii="宋体" w:cs="宋体"/>
        </w:rPr>
        <w:t> </w:t>
      </w:r>
      <w:r>
        <w:rPr>
          <w:rFonts w:hint="eastAsia" w:ascii="宋体" w:hAnsi="宋体" w:cs="宋体"/>
        </w:rPr>
        <w:t>　</w:t>
      </w:r>
    </w:p>
    <w:p w14:paraId="166FD2E4">
      <w:pPr>
        <w:spacing w:line="360" w:lineRule="auto"/>
        <w:ind w:firstLine="420" w:firstLineChars="200"/>
        <w:rPr>
          <w:rFonts w:ascii="宋体" w:cs="宋体"/>
        </w:rPr>
      </w:pPr>
      <w:r>
        <w:rPr>
          <w:rFonts w:hint="eastAsia" w:ascii="宋体" w:hAnsi="宋体" w:cs="宋体"/>
        </w:rPr>
        <w:t>（三）具有履行合同所必需的设备和专业技术能力；</w:t>
      </w:r>
      <w:r>
        <w:rPr>
          <w:rFonts w:ascii="宋体" w:cs="宋体"/>
        </w:rPr>
        <w:t> </w:t>
      </w:r>
      <w:r>
        <w:rPr>
          <w:rFonts w:hint="eastAsia" w:ascii="宋体" w:hAnsi="宋体" w:cs="宋体"/>
        </w:rPr>
        <w:t>　　</w:t>
      </w:r>
    </w:p>
    <w:p w14:paraId="287D8376">
      <w:pPr>
        <w:spacing w:line="360" w:lineRule="auto"/>
        <w:ind w:firstLine="420" w:firstLineChars="200"/>
        <w:rPr>
          <w:rFonts w:ascii="宋体" w:cs="宋体"/>
        </w:rPr>
      </w:pPr>
      <w:r>
        <w:rPr>
          <w:rFonts w:hint="eastAsia" w:ascii="宋体" w:hAnsi="宋体" w:cs="宋体"/>
        </w:rPr>
        <w:t>（四）有依法缴纳税收和社会保障资金的良好记录；</w:t>
      </w:r>
      <w:r>
        <w:rPr>
          <w:rFonts w:ascii="宋体" w:cs="宋体"/>
        </w:rPr>
        <w:t> </w:t>
      </w:r>
      <w:r>
        <w:rPr>
          <w:rFonts w:hint="eastAsia" w:ascii="宋体" w:hAnsi="宋体" w:cs="宋体"/>
        </w:rPr>
        <w:t>　　</w:t>
      </w:r>
    </w:p>
    <w:p w14:paraId="5E65695D">
      <w:pPr>
        <w:spacing w:line="360" w:lineRule="auto"/>
        <w:ind w:firstLine="420" w:firstLineChars="200"/>
        <w:rPr>
          <w:rFonts w:ascii="宋体" w:cs="宋体"/>
        </w:rPr>
      </w:pPr>
      <w:r>
        <w:rPr>
          <w:rFonts w:hint="eastAsia" w:ascii="宋体" w:hAnsi="宋体" w:cs="宋体"/>
        </w:rPr>
        <w:t>（五）参加政府采购活动前三年内，在经营活动中没有重大违法记录；</w:t>
      </w:r>
    </w:p>
    <w:p w14:paraId="50FB02CF">
      <w:pPr>
        <w:spacing w:line="360" w:lineRule="auto"/>
        <w:ind w:firstLine="420" w:firstLineChars="200"/>
        <w:rPr>
          <w:rFonts w:ascii="宋体" w:cs="宋体"/>
        </w:rPr>
      </w:pPr>
      <w:r>
        <w:rPr>
          <w:rFonts w:hint="eastAsia" w:ascii="宋体" w:hAnsi="宋体" w:cs="宋体"/>
        </w:rPr>
        <w:t>（六）法律、行政法规规定的其他条件；</w:t>
      </w:r>
    </w:p>
    <w:p w14:paraId="20953F35">
      <w:pPr>
        <w:spacing w:line="360" w:lineRule="auto"/>
        <w:ind w:firstLine="420" w:firstLineChars="200"/>
        <w:rPr>
          <w:rFonts w:ascii="宋体" w:cs="宋体"/>
        </w:rPr>
      </w:pPr>
      <w:r>
        <w:rPr>
          <w:rFonts w:hint="eastAsia" w:ascii="宋体" w:hAnsi="宋体" w:cs="宋体"/>
        </w:rPr>
        <w:t>（七）根据采购项目提出的特殊条件。</w:t>
      </w:r>
    </w:p>
    <w:p w14:paraId="0B21A88E">
      <w:pPr>
        <w:spacing w:line="360" w:lineRule="auto"/>
        <w:ind w:firstLine="420" w:firstLineChars="200"/>
        <w:rPr>
          <w:rFonts w:ascii="宋体" w:cs="宋体"/>
        </w:rPr>
      </w:pPr>
      <w:r>
        <w:rPr>
          <w:rFonts w:hint="eastAsia" w:ascii="宋体" w:hAnsi="宋体" w:cs="宋体"/>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5FA50243">
      <w:pPr>
        <w:spacing w:line="360" w:lineRule="auto"/>
        <w:ind w:firstLine="420" w:firstLineChars="200"/>
        <w:rPr>
          <w:rFonts w:ascii="宋体" w:cs="宋体"/>
        </w:rPr>
      </w:pPr>
      <w:r>
        <w:rPr>
          <w:rFonts w:hint="eastAsia" w:ascii="宋体" w:hAnsi="宋体" w:cs="宋体"/>
        </w:rPr>
        <w:t>三、参加本次招标采购活动，不存在与单位负责人为同一人或者存在直接控股、管理关系的其他供应商参与同一合同项下的政府采购活动的行为。</w:t>
      </w:r>
      <w:r>
        <w:rPr>
          <w:rFonts w:ascii="宋体" w:cs="宋体"/>
        </w:rPr>
        <w:t>    </w:t>
      </w:r>
    </w:p>
    <w:p w14:paraId="1A39FE57">
      <w:pPr>
        <w:spacing w:line="360" w:lineRule="auto"/>
        <w:ind w:firstLine="420" w:firstLineChars="200"/>
        <w:rPr>
          <w:rFonts w:ascii="宋体" w:cs="宋体"/>
        </w:rPr>
      </w:pPr>
      <w:r>
        <w:rPr>
          <w:rFonts w:hint="eastAsia" w:ascii="宋体" w:hAnsi="宋体" w:cs="宋体"/>
        </w:rPr>
        <w:t>四、参加本次招标采购活动，不存在为采购项目提供整体设计、规范编制或者项目管理、监理、检测等服务的行为。</w:t>
      </w:r>
    </w:p>
    <w:p w14:paraId="32FABABE">
      <w:pPr>
        <w:spacing w:line="360" w:lineRule="auto"/>
        <w:ind w:firstLine="420" w:firstLineChars="200"/>
        <w:rPr>
          <w:rFonts w:ascii="宋体" w:cs="宋体"/>
        </w:rPr>
      </w:pPr>
      <w:r>
        <w:rPr>
          <w:rFonts w:hint="eastAsia" w:ascii="宋体" w:hAnsi="宋体" w:cs="宋体"/>
        </w:rPr>
        <w:t>五、参加本次招标采购活动，不存在和其他供应商在同一合同项下的采购项目中，同时委托同一个自然人、同一家庭的人员、同一单位的人员作为代理人的行为。</w:t>
      </w:r>
    </w:p>
    <w:p w14:paraId="30D38CBD">
      <w:pPr>
        <w:spacing w:line="360" w:lineRule="auto"/>
        <w:ind w:firstLine="420" w:firstLineChars="200"/>
        <w:rPr>
          <w:rFonts w:ascii="宋体" w:cs="宋体"/>
        </w:rPr>
      </w:pPr>
      <w:r>
        <w:rPr>
          <w:rFonts w:hint="eastAsia" w:ascii="宋体" w:hAnsi="宋体" w:cs="宋体"/>
        </w:rPr>
        <w:t>六、供应商参加本次政府采购活动要求在近三年内供应商和其法定代表人没有行贿犯罪行为。</w:t>
      </w:r>
    </w:p>
    <w:p w14:paraId="73FC429B">
      <w:pPr>
        <w:spacing w:line="360" w:lineRule="auto"/>
        <w:ind w:firstLine="420" w:firstLineChars="200"/>
        <w:rPr>
          <w:rFonts w:ascii="宋体" w:cs="宋体"/>
        </w:rPr>
      </w:pPr>
      <w:r>
        <w:rPr>
          <w:rFonts w:hint="eastAsia" w:ascii="宋体" w:hAnsi="宋体" w:cs="宋体"/>
        </w:rPr>
        <w:t>七、参加本次招标采购活动，不存在联合体投标。</w:t>
      </w:r>
    </w:p>
    <w:p w14:paraId="0E606F68">
      <w:pPr>
        <w:spacing w:line="360" w:lineRule="auto"/>
        <w:ind w:firstLine="420" w:firstLineChars="200"/>
        <w:rPr>
          <w:rFonts w:ascii="宋体" w:cs="宋体"/>
        </w:rPr>
      </w:pPr>
      <w:r>
        <w:rPr>
          <w:rFonts w:hint="eastAsia" w:ascii="宋体" w:hAnsi="宋体" w:cs="宋体"/>
        </w:rPr>
        <w:t>八、投标文件中提供的能够给予我公司带来优惠、好处的任何材料资料和技术、服务、商务等响应承诺情况都是真实的、有效的、合法的。</w:t>
      </w:r>
    </w:p>
    <w:p w14:paraId="20016B63">
      <w:pPr>
        <w:spacing w:line="360" w:lineRule="auto"/>
        <w:ind w:firstLine="420" w:firstLineChars="200"/>
        <w:rPr>
          <w:rFonts w:ascii="宋体" w:cs="宋体"/>
        </w:rPr>
      </w:pPr>
      <w:r>
        <w:rPr>
          <w:rFonts w:hint="eastAsia" w:ascii="宋体" w:hAnsi="宋体" w:cs="宋体"/>
        </w:rPr>
        <w:t>九、存在以下行为之一的愿意接受相关部门的处理：</w:t>
      </w:r>
    </w:p>
    <w:p w14:paraId="32922E33">
      <w:pPr>
        <w:spacing w:line="360" w:lineRule="auto"/>
        <w:ind w:firstLine="420" w:firstLineChars="200"/>
        <w:rPr>
          <w:rFonts w:ascii="宋体" w:cs="宋体"/>
        </w:rPr>
      </w:pPr>
      <w:r>
        <w:rPr>
          <w:rFonts w:hint="eastAsia" w:ascii="宋体" w:hAnsi="宋体" w:cs="宋体"/>
        </w:rPr>
        <w:t>（一）投标有效期内撤销投标文件的；</w:t>
      </w:r>
    </w:p>
    <w:p w14:paraId="1B75A7CA">
      <w:pPr>
        <w:spacing w:line="360" w:lineRule="auto"/>
        <w:ind w:firstLine="420" w:firstLineChars="200"/>
        <w:rPr>
          <w:rFonts w:ascii="宋体" w:cs="宋体"/>
        </w:rPr>
      </w:pPr>
      <w:r>
        <w:rPr>
          <w:rFonts w:hint="eastAsia" w:ascii="宋体" w:hAnsi="宋体" w:cs="宋体"/>
        </w:rPr>
        <w:t>（二）在采购人确定中标人以前放弃中标候选资格的；</w:t>
      </w:r>
    </w:p>
    <w:p w14:paraId="5030841E">
      <w:pPr>
        <w:spacing w:line="360" w:lineRule="auto"/>
        <w:ind w:firstLine="420" w:firstLineChars="200"/>
        <w:rPr>
          <w:rFonts w:ascii="宋体" w:cs="宋体"/>
        </w:rPr>
      </w:pPr>
      <w:r>
        <w:rPr>
          <w:rFonts w:hint="eastAsia" w:ascii="宋体" w:hAnsi="宋体" w:cs="宋体"/>
        </w:rPr>
        <w:t>（三）由于中标人的原因未能按照招标文件的规定与采购人签订合同；</w:t>
      </w:r>
    </w:p>
    <w:p w14:paraId="69591913">
      <w:pPr>
        <w:spacing w:line="360" w:lineRule="auto"/>
        <w:ind w:firstLine="420" w:firstLineChars="200"/>
        <w:rPr>
          <w:rFonts w:ascii="宋体" w:cs="宋体"/>
        </w:rPr>
      </w:pPr>
      <w:r>
        <w:rPr>
          <w:rFonts w:hint="eastAsia" w:ascii="宋体" w:hAnsi="宋体" w:cs="宋体"/>
        </w:rPr>
        <w:t>（四）在投标文件中提供虚假材料谋取中标；</w:t>
      </w:r>
    </w:p>
    <w:p w14:paraId="5EAE0C35">
      <w:pPr>
        <w:spacing w:line="360" w:lineRule="auto"/>
        <w:ind w:firstLine="420" w:firstLineChars="200"/>
        <w:rPr>
          <w:rFonts w:ascii="宋体" w:cs="宋体"/>
        </w:rPr>
      </w:pPr>
      <w:r>
        <w:rPr>
          <w:rFonts w:hint="eastAsia" w:ascii="宋体" w:hAnsi="宋体" w:cs="宋体"/>
        </w:rPr>
        <w:t>（五）与采购人、其他供应商或者采购代理机构恶意串通的；</w:t>
      </w:r>
    </w:p>
    <w:p w14:paraId="581C955A">
      <w:pPr>
        <w:spacing w:line="360" w:lineRule="auto"/>
        <w:ind w:firstLine="420" w:firstLineChars="200"/>
        <w:rPr>
          <w:rFonts w:ascii="宋体" w:cs="宋体"/>
        </w:rPr>
      </w:pPr>
      <w:r>
        <w:rPr>
          <w:rFonts w:hint="eastAsia" w:ascii="宋体" w:hAnsi="宋体" w:cs="宋体"/>
        </w:rPr>
        <w:t>（六）投标有效期内，供应商在政府采购活动中有违法、违规、违纪行为。</w:t>
      </w:r>
    </w:p>
    <w:p w14:paraId="7255195F">
      <w:pPr>
        <w:spacing w:line="360" w:lineRule="auto"/>
        <w:ind w:firstLine="420" w:firstLineChars="200"/>
        <w:rPr>
          <w:rFonts w:ascii="宋体" w:cs="宋体"/>
        </w:rPr>
      </w:pPr>
      <w:r>
        <w:rPr>
          <w:rFonts w:hint="eastAsia" w:ascii="宋体" w:hAnsi="宋体" w:cs="宋体"/>
        </w:rPr>
        <w:t>由此产生的一切法律后果和责任由我公司承担。我公司声明放弃对此提出任何异议和追索的权利。</w:t>
      </w:r>
    </w:p>
    <w:p w14:paraId="04A842E5">
      <w:pPr>
        <w:spacing w:line="360" w:lineRule="auto"/>
        <w:ind w:firstLine="420" w:firstLineChars="200"/>
        <w:rPr>
          <w:rFonts w:ascii="宋体" w:cs="宋体"/>
        </w:rPr>
      </w:pPr>
      <w:r>
        <w:rPr>
          <w:rFonts w:hint="eastAsia" w:ascii="宋体" w:hAnsi="宋体" w:cs="宋体"/>
        </w:rPr>
        <w:t>本公司对上述承诺的内容事项真实性负责。如经查实上述承诺的内容事项存在虚假，我公司愿意接受以提供虚假材料谋取中标追究法律责任。</w:t>
      </w:r>
    </w:p>
    <w:p w14:paraId="468F88CF">
      <w:pPr>
        <w:spacing w:line="360" w:lineRule="auto"/>
        <w:ind w:firstLine="420" w:firstLineChars="200"/>
        <w:rPr>
          <w:rFonts w:ascii="宋体" w:cs="宋体"/>
        </w:rPr>
      </w:pPr>
      <w:r>
        <w:rPr>
          <w:rFonts w:ascii="宋体" w:cs="宋体"/>
        </w:rPr>
        <w:t>       </w:t>
      </w:r>
    </w:p>
    <w:p w14:paraId="13A417FA">
      <w:pPr>
        <w:adjustRightInd w:val="0"/>
        <w:spacing w:line="360" w:lineRule="auto"/>
        <w:ind w:firstLine="420" w:firstLineChars="200"/>
        <w:jc w:val="left"/>
        <w:rPr>
          <w:rFonts w:ascii="宋体" w:cs="宋体"/>
          <w:szCs w:val="21"/>
        </w:rPr>
      </w:pPr>
      <w:r>
        <w:rPr>
          <w:rFonts w:hint="eastAsia" w:ascii="宋体" w:hAnsi="宋体" w:cs="宋体"/>
          <w:szCs w:val="21"/>
        </w:rPr>
        <w:t>供应商名称：（电子签章）</w:t>
      </w:r>
    </w:p>
    <w:p w14:paraId="5D0DD889">
      <w:pPr>
        <w:spacing w:line="360" w:lineRule="auto"/>
        <w:ind w:firstLine="411" w:firstLineChars="196"/>
        <w:rPr>
          <w:rFonts w:ascii="宋体" w:cs="宋体"/>
          <w:szCs w:val="21"/>
          <w:u w:val="single"/>
        </w:rPr>
      </w:pPr>
      <w:r>
        <w:rPr>
          <w:rFonts w:hint="eastAsia" w:ascii="宋体" w:hAnsi="宋体" w:cs="宋体"/>
          <w:szCs w:val="21"/>
        </w:rPr>
        <w:t>法定代表人：（电子签名）</w:t>
      </w:r>
    </w:p>
    <w:p w14:paraId="259AA435">
      <w:pPr>
        <w:spacing w:line="360" w:lineRule="auto"/>
        <w:ind w:firstLine="411" w:firstLineChars="196"/>
        <w:rPr>
          <w:rFonts w:ascii="宋体" w:cs="宋体"/>
          <w:szCs w:val="21"/>
        </w:rPr>
      </w:pPr>
      <w:r>
        <w:rPr>
          <w:rFonts w:hint="eastAsia" w:ascii="宋体" w:hAnsi="宋体" w:cs="宋体"/>
          <w:szCs w:val="21"/>
        </w:rPr>
        <w:t>日期：年月日</w:t>
      </w:r>
    </w:p>
    <w:p w14:paraId="7477177C">
      <w:pPr>
        <w:pStyle w:val="6"/>
        <w:ind w:firstLine="0" w:firstLineChars="0"/>
        <w:rPr>
          <w:rFonts w:ascii="宋体" w:cs="宋体"/>
          <w:color w:val="auto"/>
          <w:sz w:val="24"/>
          <w:szCs w:val="24"/>
        </w:rPr>
      </w:pPr>
    </w:p>
    <w:p w14:paraId="22546F95">
      <w:pPr>
        <w:pStyle w:val="6"/>
        <w:ind w:firstLine="0" w:firstLineChars="0"/>
        <w:rPr>
          <w:rFonts w:ascii="宋体" w:cs="宋体"/>
          <w:color w:val="auto"/>
          <w:sz w:val="24"/>
          <w:szCs w:val="24"/>
        </w:rPr>
      </w:pPr>
    </w:p>
    <w:p w14:paraId="7238E8CB">
      <w:pPr>
        <w:pStyle w:val="6"/>
        <w:ind w:firstLine="0" w:firstLineChars="0"/>
        <w:rPr>
          <w:rFonts w:ascii="宋体" w:cs="宋体"/>
          <w:color w:val="auto"/>
          <w:sz w:val="24"/>
          <w:szCs w:val="24"/>
        </w:rPr>
      </w:pPr>
    </w:p>
    <w:p w14:paraId="3ABA9F82">
      <w:pPr>
        <w:pStyle w:val="6"/>
        <w:ind w:firstLine="0" w:firstLineChars="0"/>
        <w:rPr>
          <w:rFonts w:ascii="宋体" w:cs="宋体"/>
          <w:color w:val="auto"/>
          <w:sz w:val="24"/>
          <w:szCs w:val="24"/>
        </w:rPr>
      </w:pPr>
    </w:p>
    <w:p w14:paraId="3DF5F8EF">
      <w:pPr>
        <w:pStyle w:val="6"/>
        <w:ind w:firstLine="0" w:firstLineChars="0"/>
        <w:rPr>
          <w:rFonts w:ascii="宋体" w:cs="宋体"/>
          <w:color w:val="auto"/>
          <w:sz w:val="24"/>
          <w:szCs w:val="24"/>
        </w:rPr>
      </w:pPr>
    </w:p>
    <w:p w14:paraId="7C1877A3">
      <w:pPr>
        <w:pStyle w:val="6"/>
        <w:ind w:firstLine="0" w:firstLineChars="0"/>
        <w:rPr>
          <w:rFonts w:ascii="宋体" w:cs="宋体"/>
          <w:color w:val="auto"/>
          <w:sz w:val="24"/>
          <w:szCs w:val="24"/>
        </w:rPr>
      </w:pPr>
    </w:p>
    <w:p w14:paraId="7361BA33">
      <w:pPr>
        <w:pStyle w:val="6"/>
        <w:ind w:firstLine="0" w:firstLineChars="0"/>
        <w:rPr>
          <w:rFonts w:ascii="宋体" w:cs="宋体"/>
          <w:color w:val="auto"/>
          <w:sz w:val="24"/>
          <w:szCs w:val="24"/>
        </w:rPr>
      </w:pPr>
    </w:p>
    <w:p w14:paraId="51C33F08">
      <w:pPr>
        <w:pStyle w:val="6"/>
        <w:ind w:firstLine="0" w:firstLineChars="0"/>
        <w:rPr>
          <w:rFonts w:ascii="宋体" w:cs="宋体"/>
          <w:color w:val="auto"/>
          <w:sz w:val="24"/>
          <w:szCs w:val="24"/>
        </w:rPr>
      </w:pPr>
    </w:p>
    <w:p w14:paraId="409D8C2A">
      <w:pPr>
        <w:pStyle w:val="6"/>
        <w:ind w:firstLine="0" w:firstLineChars="0"/>
        <w:rPr>
          <w:rFonts w:ascii="宋体" w:cs="宋体"/>
          <w:color w:val="auto"/>
          <w:sz w:val="24"/>
          <w:szCs w:val="24"/>
        </w:rPr>
      </w:pPr>
    </w:p>
    <w:p w14:paraId="11F5CF25">
      <w:pPr>
        <w:pStyle w:val="6"/>
        <w:ind w:firstLine="0" w:firstLineChars="0"/>
        <w:rPr>
          <w:rFonts w:ascii="宋体" w:cs="宋体"/>
          <w:color w:val="auto"/>
          <w:sz w:val="24"/>
          <w:szCs w:val="24"/>
        </w:rPr>
      </w:pPr>
    </w:p>
    <w:p w14:paraId="31A95AA4">
      <w:pPr>
        <w:pStyle w:val="6"/>
        <w:ind w:firstLine="0" w:firstLineChars="0"/>
        <w:rPr>
          <w:rFonts w:ascii="宋体" w:cs="宋体"/>
          <w:color w:val="auto"/>
          <w:sz w:val="24"/>
          <w:szCs w:val="24"/>
        </w:rPr>
      </w:pPr>
    </w:p>
    <w:p w14:paraId="1DD8FE59">
      <w:pPr>
        <w:pStyle w:val="6"/>
        <w:ind w:firstLine="0" w:firstLineChars="0"/>
        <w:rPr>
          <w:rFonts w:ascii="宋体" w:cs="宋体"/>
          <w:color w:val="auto"/>
          <w:sz w:val="24"/>
          <w:szCs w:val="24"/>
        </w:rPr>
      </w:pPr>
    </w:p>
    <w:p w14:paraId="7948D584">
      <w:pPr>
        <w:pStyle w:val="6"/>
        <w:ind w:firstLine="0" w:firstLineChars="0"/>
        <w:rPr>
          <w:rFonts w:ascii="宋体" w:cs="宋体"/>
          <w:color w:val="auto"/>
          <w:sz w:val="24"/>
          <w:szCs w:val="24"/>
        </w:rPr>
      </w:pPr>
    </w:p>
    <w:p w14:paraId="6AA1BD38">
      <w:pPr>
        <w:pStyle w:val="6"/>
        <w:ind w:firstLine="0" w:firstLineChars="0"/>
        <w:rPr>
          <w:rFonts w:ascii="宋体" w:cs="宋体"/>
          <w:color w:val="auto"/>
          <w:sz w:val="24"/>
          <w:szCs w:val="24"/>
        </w:rPr>
      </w:pPr>
    </w:p>
    <w:p w14:paraId="25ED65D2">
      <w:pPr>
        <w:pStyle w:val="6"/>
        <w:ind w:firstLine="0" w:firstLineChars="0"/>
        <w:rPr>
          <w:rFonts w:ascii="宋体" w:cs="宋体"/>
          <w:color w:val="auto"/>
          <w:sz w:val="24"/>
          <w:szCs w:val="24"/>
        </w:rPr>
      </w:pPr>
    </w:p>
    <w:p w14:paraId="5DA803B7">
      <w:pPr>
        <w:pStyle w:val="6"/>
        <w:ind w:firstLine="0" w:firstLineChars="0"/>
        <w:rPr>
          <w:rFonts w:ascii="宋体" w:cs="宋体"/>
          <w:color w:val="auto"/>
          <w:sz w:val="24"/>
          <w:szCs w:val="24"/>
        </w:rPr>
      </w:pPr>
    </w:p>
    <w:p w14:paraId="1E7D1CCB">
      <w:pPr>
        <w:pStyle w:val="6"/>
        <w:ind w:firstLine="0" w:firstLineChars="0"/>
        <w:rPr>
          <w:rFonts w:ascii="宋体" w:cs="宋体"/>
          <w:color w:val="auto"/>
          <w:sz w:val="24"/>
          <w:szCs w:val="24"/>
        </w:rPr>
      </w:pPr>
    </w:p>
    <w:bookmarkEnd w:id="33"/>
    <w:p w14:paraId="703847B7">
      <w:pPr>
        <w:rPr>
          <w:rFonts w:ascii="宋体" w:cs="宋体"/>
          <w:sz w:val="24"/>
          <w:szCs w:val="24"/>
        </w:rPr>
      </w:pPr>
      <w:bookmarkStart w:id="34" w:name="_Toc17311"/>
      <w:bookmarkStart w:id="35" w:name="_Toc342615469"/>
    </w:p>
    <w:p w14:paraId="1AA95A71">
      <w:pPr>
        <w:rPr>
          <w:rFonts w:ascii="宋体" w:cs="宋体"/>
          <w:sz w:val="24"/>
          <w:szCs w:val="24"/>
        </w:rPr>
      </w:pPr>
    </w:p>
    <w:p w14:paraId="62D48C69">
      <w:pPr>
        <w:rPr>
          <w:rFonts w:ascii="宋体" w:cs="宋体"/>
          <w:sz w:val="24"/>
          <w:szCs w:val="24"/>
        </w:rPr>
      </w:pPr>
    </w:p>
    <w:p w14:paraId="7063E0A3">
      <w:pPr>
        <w:pStyle w:val="5"/>
        <w:keepNext w:val="0"/>
        <w:keepLines w:val="0"/>
        <w:spacing w:before="0" w:after="0" w:line="360" w:lineRule="auto"/>
        <w:ind w:left="0" w:firstLine="0"/>
        <w:jc w:val="left"/>
        <w:rPr>
          <w:rFonts w:ascii="宋体" w:hAnsi="宋体" w:cs="宋体"/>
          <w:sz w:val="24"/>
          <w:szCs w:val="24"/>
        </w:rPr>
      </w:pPr>
      <w:r>
        <w:rPr>
          <w:rFonts w:hint="eastAsia" w:ascii="宋体" w:hAnsi="宋体" w:cs="宋体"/>
          <w:sz w:val="24"/>
          <w:szCs w:val="24"/>
        </w:rPr>
        <w:t>附件</w:t>
      </w:r>
      <w:r>
        <w:rPr>
          <w:rFonts w:ascii="宋体" w:hAnsi="宋体" w:cs="宋体"/>
          <w:sz w:val="24"/>
          <w:szCs w:val="24"/>
        </w:rPr>
        <w:t>3</w:t>
      </w:r>
      <w:r>
        <w:rPr>
          <w:rFonts w:hint="eastAsia" w:ascii="宋体" w:hAnsi="宋体" w:cs="宋体"/>
          <w:sz w:val="24"/>
          <w:szCs w:val="24"/>
        </w:rPr>
        <w:t>、</w:t>
      </w:r>
      <w:bookmarkEnd w:id="34"/>
      <w:bookmarkEnd w:id="35"/>
      <w:r>
        <w:rPr>
          <w:rFonts w:hint="eastAsia" w:ascii="宋体" w:hAnsi="宋体" w:cs="宋体"/>
          <w:sz w:val="24"/>
          <w:szCs w:val="24"/>
        </w:rPr>
        <w:t>项目实施方案</w:t>
      </w:r>
    </w:p>
    <w:p w14:paraId="2D39BEB1">
      <w:pPr>
        <w:pStyle w:val="6"/>
      </w:pPr>
    </w:p>
    <w:p w14:paraId="230BF017">
      <w:pPr>
        <w:pStyle w:val="5"/>
        <w:keepNext w:val="0"/>
        <w:keepLines w:val="0"/>
        <w:spacing w:before="0" w:after="0" w:line="360" w:lineRule="auto"/>
        <w:ind w:left="0" w:firstLine="3132" w:firstLineChars="1300"/>
        <w:jc w:val="left"/>
        <w:rPr>
          <w:rFonts w:ascii="宋体" w:hAnsi="宋体" w:cs="宋体"/>
          <w:sz w:val="24"/>
          <w:szCs w:val="24"/>
        </w:rPr>
      </w:pPr>
      <w:bookmarkStart w:id="36" w:name="_Toc342615472"/>
      <w:r>
        <w:rPr>
          <w:rFonts w:ascii="宋体" w:hAnsi="宋体" w:cs="宋体"/>
          <w:sz w:val="24"/>
          <w:szCs w:val="24"/>
        </w:rPr>
        <w:t>3.1</w:t>
      </w:r>
      <w:r>
        <w:rPr>
          <w:rFonts w:hint="eastAsia" w:ascii="宋体" w:hAnsi="宋体" w:cs="宋体"/>
          <w:sz w:val="24"/>
          <w:szCs w:val="24"/>
        </w:rPr>
        <w:t>项目实施方案</w:t>
      </w:r>
    </w:p>
    <w:p w14:paraId="112697DF">
      <w:pPr>
        <w:pStyle w:val="111"/>
        <w:spacing w:line="480" w:lineRule="auto"/>
        <w:jc w:val="center"/>
        <w:rPr>
          <w:rFonts w:ascii="宋体" w:cs="宋体"/>
          <w:spacing w:val="1"/>
          <w:sz w:val="21"/>
          <w:szCs w:val="21"/>
        </w:rPr>
      </w:pPr>
      <w:bookmarkStart w:id="37" w:name="_Toc28616"/>
      <w:bookmarkStart w:id="38" w:name="_Toc342615470"/>
    </w:p>
    <w:p w14:paraId="6F4E65E2">
      <w:pPr>
        <w:spacing w:line="360" w:lineRule="auto"/>
        <w:rPr>
          <w:rFonts w:ascii="宋体" w:cs="宋体"/>
          <w:b/>
          <w:color w:val="auto"/>
          <w:szCs w:val="21"/>
        </w:rPr>
      </w:pPr>
      <w:r>
        <w:t>备注：供应商应当仔细核对招标文件中有关废标条款和评标标准，提供供应商认为应当附加的其它内容，以充分证明其投标符合招标文件规定，并为评标打分提供充分依据。如果供应商未能提供相关证明文件，将有可能导致废标或者无法得分。</w:t>
      </w:r>
    </w:p>
    <w:bookmarkEnd w:id="37"/>
    <w:bookmarkEnd w:id="38"/>
    <w:p w14:paraId="714F104C">
      <w:pPr>
        <w:pStyle w:val="111"/>
        <w:jc w:val="center"/>
        <w:rPr>
          <w:sz w:val="21"/>
          <w:szCs w:val="21"/>
        </w:rPr>
      </w:pPr>
      <w:r>
        <w:rPr>
          <w:rFonts w:hint="eastAsia"/>
          <w:sz w:val="21"/>
          <w:szCs w:val="21"/>
        </w:rPr>
        <w:t>（上述方案由供应商自行编制）</w:t>
      </w:r>
    </w:p>
    <w:p w14:paraId="4786FDB5">
      <w:pPr>
        <w:pStyle w:val="111"/>
      </w:pPr>
    </w:p>
    <w:p w14:paraId="54736886">
      <w:pPr>
        <w:pStyle w:val="10"/>
        <w:spacing w:line="360" w:lineRule="auto"/>
        <w:rPr>
          <w:rFonts w:ascii="宋体" w:cs="宋体"/>
          <w:b/>
          <w:bCs/>
          <w:sz w:val="21"/>
          <w:szCs w:val="21"/>
        </w:rPr>
      </w:pPr>
    </w:p>
    <w:p w14:paraId="7CE679E0">
      <w:pPr>
        <w:adjustRightInd w:val="0"/>
        <w:spacing w:line="360" w:lineRule="auto"/>
        <w:ind w:firstLine="420" w:firstLineChars="200"/>
        <w:jc w:val="left"/>
        <w:rPr>
          <w:rFonts w:ascii="宋体" w:cs="宋体"/>
          <w:szCs w:val="21"/>
        </w:rPr>
      </w:pPr>
      <w:r>
        <w:rPr>
          <w:rFonts w:hint="eastAsia" w:ascii="宋体" w:hAnsi="宋体" w:cs="宋体"/>
          <w:szCs w:val="21"/>
        </w:rPr>
        <w:t>供应商名称：（电子签章）</w:t>
      </w:r>
    </w:p>
    <w:p w14:paraId="5998A596">
      <w:pPr>
        <w:spacing w:line="360" w:lineRule="auto"/>
        <w:ind w:firstLine="411" w:firstLineChars="196"/>
        <w:rPr>
          <w:rFonts w:ascii="宋体" w:cs="宋体"/>
          <w:szCs w:val="21"/>
          <w:u w:val="single"/>
        </w:rPr>
      </w:pPr>
      <w:r>
        <w:rPr>
          <w:rFonts w:hint="eastAsia" w:ascii="宋体" w:hAnsi="宋体" w:cs="宋体"/>
          <w:szCs w:val="21"/>
        </w:rPr>
        <w:t>法定代表人：（电子签名）</w:t>
      </w:r>
    </w:p>
    <w:p w14:paraId="25A53AC0">
      <w:pPr>
        <w:spacing w:line="360" w:lineRule="auto"/>
        <w:ind w:firstLine="411" w:firstLineChars="196"/>
        <w:rPr>
          <w:rFonts w:ascii="宋体" w:cs="宋体"/>
          <w:szCs w:val="21"/>
        </w:rPr>
      </w:pPr>
      <w:r>
        <w:rPr>
          <w:rFonts w:hint="eastAsia" w:ascii="宋体" w:hAnsi="宋体" w:cs="宋体"/>
          <w:szCs w:val="21"/>
        </w:rPr>
        <w:t>日期：年月日</w:t>
      </w:r>
    </w:p>
    <w:p w14:paraId="3AEF4D20">
      <w:pPr>
        <w:pStyle w:val="6"/>
        <w:spacing w:line="480" w:lineRule="auto"/>
        <w:ind w:firstLine="0" w:firstLineChars="0"/>
        <w:jc w:val="left"/>
        <w:rPr>
          <w:rFonts w:ascii="宋体" w:cs="宋体"/>
          <w:color w:val="auto"/>
        </w:rPr>
      </w:pPr>
    </w:p>
    <w:bookmarkEnd w:id="36"/>
    <w:p w14:paraId="1522BF21">
      <w:pPr>
        <w:rPr>
          <w:rFonts w:ascii="宋体" w:cs="宋体"/>
          <w:sz w:val="24"/>
          <w:szCs w:val="24"/>
        </w:rPr>
      </w:pPr>
      <w:bookmarkStart w:id="39" w:name="_Toc851"/>
      <w:r>
        <w:rPr>
          <w:rFonts w:ascii="宋体" w:cs="宋体"/>
          <w:sz w:val="24"/>
          <w:szCs w:val="24"/>
        </w:rPr>
        <w:br w:type="page"/>
      </w:r>
    </w:p>
    <w:p w14:paraId="6AFB1A26">
      <w:pPr>
        <w:pStyle w:val="5"/>
        <w:keepNext w:val="0"/>
        <w:keepLines w:val="0"/>
        <w:spacing w:before="0" w:after="0" w:line="360" w:lineRule="auto"/>
        <w:ind w:left="0" w:firstLine="0"/>
        <w:jc w:val="left"/>
        <w:rPr>
          <w:rFonts w:ascii="宋体" w:hAnsi="宋体" w:cs="宋体"/>
          <w:sz w:val="24"/>
          <w:szCs w:val="24"/>
        </w:rPr>
      </w:pPr>
      <w:r>
        <w:rPr>
          <w:rFonts w:hint="eastAsia" w:ascii="宋体" w:hAnsi="宋体" w:cs="宋体"/>
          <w:sz w:val="24"/>
          <w:szCs w:val="24"/>
        </w:rPr>
        <w:t>附件</w:t>
      </w:r>
      <w:r>
        <w:rPr>
          <w:rFonts w:ascii="宋体" w:hAnsi="宋体" w:cs="宋体"/>
          <w:sz w:val="24"/>
          <w:szCs w:val="24"/>
        </w:rPr>
        <w:t>4</w:t>
      </w:r>
      <w:r>
        <w:rPr>
          <w:rFonts w:hint="eastAsia" w:ascii="宋体" w:hAnsi="宋体" w:cs="宋体"/>
          <w:sz w:val="24"/>
          <w:szCs w:val="24"/>
        </w:rPr>
        <w:t>、商务资料证明文件</w:t>
      </w:r>
      <w:bookmarkEnd w:id="39"/>
    </w:p>
    <w:p w14:paraId="0A913BE1">
      <w:pPr>
        <w:pStyle w:val="6"/>
        <w:ind w:firstLine="0" w:firstLineChars="0"/>
        <w:rPr>
          <w:rFonts w:ascii="宋体" w:cs="宋体"/>
          <w:color w:val="auto"/>
        </w:rPr>
      </w:pPr>
    </w:p>
    <w:p w14:paraId="1752D426">
      <w:pPr>
        <w:pStyle w:val="5"/>
        <w:keepNext w:val="0"/>
        <w:keepLines w:val="0"/>
        <w:numPr>
          <w:ilvl w:val="1"/>
          <w:numId w:val="16"/>
        </w:numPr>
        <w:spacing w:before="0" w:after="0" w:line="360" w:lineRule="auto"/>
        <w:rPr>
          <w:rFonts w:ascii="宋体" w:hAnsi="宋体" w:cs="宋体"/>
          <w:sz w:val="24"/>
          <w:szCs w:val="24"/>
        </w:rPr>
      </w:pPr>
      <w:bookmarkStart w:id="40" w:name="_Toc385612730"/>
      <w:bookmarkStart w:id="41" w:name="_Toc342615458"/>
      <w:r>
        <w:rPr>
          <w:rFonts w:hint="eastAsia" w:ascii="宋体" w:hAnsi="宋体" w:cs="宋体"/>
          <w:sz w:val="24"/>
          <w:szCs w:val="24"/>
        </w:rPr>
        <w:t>投标人资格申明</w:t>
      </w:r>
      <w:bookmarkEnd w:id="40"/>
      <w:bookmarkEnd w:id="41"/>
    </w:p>
    <w:p w14:paraId="093B1CC8">
      <w:pPr>
        <w:pStyle w:val="6"/>
        <w:spacing w:line="360" w:lineRule="auto"/>
        <w:ind w:firstLine="422"/>
        <w:jc w:val="center"/>
        <w:rPr>
          <w:rFonts w:ascii="宋体" w:cs="宋体"/>
          <w:b/>
          <w:bCs/>
          <w:szCs w:val="21"/>
        </w:rPr>
      </w:pPr>
      <w:r>
        <w:rPr>
          <w:rFonts w:hint="eastAsia" w:ascii="宋体" w:hAnsi="宋体" w:cs="宋体"/>
          <w:b/>
          <w:bCs/>
          <w:szCs w:val="21"/>
        </w:rPr>
        <w:t>基本情况</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2522"/>
        <w:gridCol w:w="1356"/>
        <w:gridCol w:w="2342"/>
      </w:tblGrid>
      <w:tr w14:paraId="59981C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728" w:type="dxa"/>
            <w:tcBorders>
              <w:top w:val="single" w:color="auto" w:sz="4" w:space="0"/>
              <w:bottom w:val="single" w:color="auto" w:sz="4" w:space="0"/>
              <w:right w:val="single" w:color="auto" w:sz="4" w:space="0"/>
            </w:tcBorders>
            <w:vAlign w:val="center"/>
          </w:tcPr>
          <w:p w14:paraId="0E397336">
            <w:pPr>
              <w:topLinePunct/>
              <w:spacing w:line="440" w:lineRule="exact"/>
              <w:jc w:val="center"/>
              <w:rPr>
                <w:rFonts w:ascii="宋体" w:cs="宋体"/>
                <w:szCs w:val="21"/>
              </w:rPr>
            </w:pPr>
            <w:r>
              <w:rPr>
                <w:rFonts w:hint="eastAsia" w:ascii="宋体" w:hAnsi="宋体" w:cs="宋体"/>
                <w:szCs w:val="21"/>
              </w:rPr>
              <w:t>投标人名称</w:t>
            </w:r>
          </w:p>
        </w:tc>
        <w:tc>
          <w:tcPr>
            <w:tcW w:w="7118" w:type="dxa"/>
            <w:gridSpan w:val="4"/>
            <w:tcBorders>
              <w:top w:val="single" w:color="auto" w:sz="4" w:space="0"/>
              <w:left w:val="single" w:color="auto" w:sz="4" w:space="0"/>
              <w:bottom w:val="single" w:color="auto" w:sz="4" w:space="0"/>
            </w:tcBorders>
            <w:vAlign w:val="center"/>
          </w:tcPr>
          <w:p w14:paraId="54ED0E35">
            <w:pPr>
              <w:topLinePunct/>
              <w:spacing w:line="440" w:lineRule="exact"/>
              <w:jc w:val="center"/>
              <w:rPr>
                <w:rFonts w:ascii="宋体" w:cs="宋体"/>
                <w:szCs w:val="21"/>
              </w:rPr>
            </w:pPr>
          </w:p>
        </w:tc>
      </w:tr>
      <w:tr w14:paraId="63FBE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728" w:type="dxa"/>
            <w:tcBorders>
              <w:top w:val="single" w:color="auto" w:sz="4" w:space="0"/>
              <w:bottom w:val="single" w:color="auto" w:sz="4" w:space="0"/>
              <w:right w:val="single" w:color="auto" w:sz="4" w:space="0"/>
            </w:tcBorders>
            <w:vAlign w:val="center"/>
          </w:tcPr>
          <w:p w14:paraId="50CAC57B">
            <w:pPr>
              <w:topLinePunct/>
              <w:spacing w:line="440" w:lineRule="exact"/>
              <w:jc w:val="center"/>
              <w:rPr>
                <w:rFonts w:ascii="宋体" w:cs="宋体"/>
                <w:szCs w:val="21"/>
              </w:rPr>
            </w:pPr>
            <w:r>
              <w:rPr>
                <w:rFonts w:hint="eastAsia" w:ascii="宋体" w:hAnsi="宋体" w:cs="宋体"/>
                <w:szCs w:val="21"/>
              </w:rPr>
              <w:t>注册地址</w:t>
            </w:r>
          </w:p>
        </w:tc>
        <w:tc>
          <w:tcPr>
            <w:tcW w:w="3420" w:type="dxa"/>
            <w:gridSpan w:val="2"/>
            <w:tcBorders>
              <w:top w:val="single" w:color="auto" w:sz="4" w:space="0"/>
              <w:left w:val="single" w:color="auto" w:sz="4" w:space="0"/>
              <w:bottom w:val="single" w:color="auto" w:sz="4" w:space="0"/>
              <w:right w:val="single" w:color="auto" w:sz="4" w:space="0"/>
            </w:tcBorders>
            <w:vAlign w:val="center"/>
          </w:tcPr>
          <w:p w14:paraId="0EDBA3B3">
            <w:pPr>
              <w:topLinePunct/>
              <w:spacing w:line="440" w:lineRule="exact"/>
              <w:jc w:val="center"/>
              <w:rPr>
                <w:rFonts w:ascii="宋体" w:cs="宋体"/>
                <w:szCs w:val="21"/>
              </w:rPr>
            </w:pPr>
          </w:p>
        </w:tc>
        <w:tc>
          <w:tcPr>
            <w:tcW w:w="1356" w:type="dxa"/>
            <w:tcBorders>
              <w:top w:val="single" w:color="auto" w:sz="4" w:space="0"/>
              <w:left w:val="single" w:color="auto" w:sz="4" w:space="0"/>
              <w:bottom w:val="single" w:color="auto" w:sz="4" w:space="0"/>
              <w:right w:val="single" w:color="auto" w:sz="4" w:space="0"/>
            </w:tcBorders>
            <w:vAlign w:val="center"/>
          </w:tcPr>
          <w:p w14:paraId="1AA1E96A">
            <w:pPr>
              <w:topLinePunct/>
              <w:spacing w:line="440" w:lineRule="exact"/>
              <w:jc w:val="center"/>
              <w:rPr>
                <w:rFonts w:ascii="宋体" w:cs="宋体"/>
                <w:szCs w:val="21"/>
              </w:rPr>
            </w:pPr>
            <w:r>
              <w:rPr>
                <w:rFonts w:hint="eastAsia" w:ascii="宋体" w:hAnsi="宋体" w:cs="宋体"/>
                <w:szCs w:val="21"/>
              </w:rPr>
              <w:t>邮政编码</w:t>
            </w:r>
          </w:p>
        </w:tc>
        <w:tc>
          <w:tcPr>
            <w:tcW w:w="2342" w:type="dxa"/>
            <w:tcBorders>
              <w:top w:val="single" w:color="auto" w:sz="4" w:space="0"/>
              <w:left w:val="single" w:color="auto" w:sz="4" w:space="0"/>
              <w:bottom w:val="single" w:color="auto" w:sz="4" w:space="0"/>
            </w:tcBorders>
            <w:vAlign w:val="center"/>
          </w:tcPr>
          <w:p w14:paraId="10995455">
            <w:pPr>
              <w:topLinePunct/>
              <w:spacing w:line="440" w:lineRule="exact"/>
              <w:jc w:val="center"/>
              <w:rPr>
                <w:rFonts w:ascii="宋体" w:cs="宋体"/>
                <w:szCs w:val="21"/>
              </w:rPr>
            </w:pPr>
          </w:p>
        </w:tc>
      </w:tr>
      <w:tr w14:paraId="53309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1728" w:type="dxa"/>
            <w:vMerge w:val="restart"/>
            <w:tcBorders>
              <w:top w:val="single" w:color="auto" w:sz="4" w:space="0"/>
              <w:bottom w:val="single" w:color="auto" w:sz="4" w:space="0"/>
              <w:right w:val="single" w:color="auto" w:sz="4" w:space="0"/>
            </w:tcBorders>
            <w:vAlign w:val="center"/>
          </w:tcPr>
          <w:p w14:paraId="76376A11">
            <w:pPr>
              <w:topLinePunct/>
              <w:spacing w:line="440" w:lineRule="exact"/>
              <w:jc w:val="center"/>
              <w:rPr>
                <w:rFonts w:ascii="宋体" w:cs="宋体"/>
                <w:szCs w:val="21"/>
              </w:rPr>
            </w:pPr>
            <w:r>
              <w:rPr>
                <w:rFonts w:hint="eastAsia" w:ascii="宋体" w:hAnsi="宋体" w:cs="宋体"/>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4923BF25">
            <w:pPr>
              <w:topLinePunct/>
              <w:spacing w:line="440" w:lineRule="exact"/>
              <w:jc w:val="center"/>
              <w:rPr>
                <w:rFonts w:ascii="宋体" w:cs="宋体"/>
                <w:szCs w:val="21"/>
              </w:rPr>
            </w:pPr>
            <w:r>
              <w:rPr>
                <w:rFonts w:hint="eastAsia" w:ascii="宋体" w:hAnsi="宋体" w:cs="宋体"/>
                <w:szCs w:val="21"/>
              </w:rPr>
              <w:t>联系人</w:t>
            </w:r>
          </w:p>
        </w:tc>
        <w:tc>
          <w:tcPr>
            <w:tcW w:w="2522" w:type="dxa"/>
            <w:tcBorders>
              <w:top w:val="single" w:color="auto" w:sz="4" w:space="0"/>
              <w:left w:val="single" w:color="auto" w:sz="4" w:space="0"/>
              <w:bottom w:val="single" w:color="auto" w:sz="4" w:space="0"/>
              <w:right w:val="single" w:color="auto" w:sz="4" w:space="0"/>
            </w:tcBorders>
            <w:vAlign w:val="center"/>
          </w:tcPr>
          <w:p w14:paraId="54D94372">
            <w:pPr>
              <w:topLinePunct/>
              <w:spacing w:line="440" w:lineRule="exact"/>
              <w:jc w:val="center"/>
              <w:rPr>
                <w:rFonts w:ascii="宋体" w:cs="宋体"/>
                <w:szCs w:val="21"/>
              </w:rPr>
            </w:pPr>
          </w:p>
        </w:tc>
        <w:tc>
          <w:tcPr>
            <w:tcW w:w="1356" w:type="dxa"/>
            <w:tcBorders>
              <w:top w:val="single" w:color="auto" w:sz="4" w:space="0"/>
              <w:left w:val="single" w:color="auto" w:sz="4" w:space="0"/>
              <w:bottom w:val="single" w:color="auto" w:sz="4" w:space="0"/>
              <w:right w:val="single" w:color="auto" w:sz="4" w:space="0"/>
            </w:tcBorders>
            <w:vAlign w:val="center"/>
          </w:tcPr>
          <w:p w14:paraId="7F2372D4">
            <w:pPr>
              <w:topLinePunct/>
              <w:spacing w:line="440" w:lineRule="exact"/>
              <w:jc w:val="center"/>
              <w:rPr>
                <w:rFonts w:ascii="宋体" w:cs="宋体"/>
                <w:szCs w:val="21"/>
              </w:rPr>
            </w:pPr>
            <w:r>
              <w:rPr>
                <w:rFonts w:hint="eastAsia" w:ascii="宋体" w:hAnsi="宋体" w:cs="宋体"/>
                <w:szCs w:val="21"/>
              </w:rPr>
              <w:t>电话</w:t>
            </w:r>
          </w:p>
        </w:tc>
        <w:tc>
          <w:tcPr>
            <w:tcW w:w="2342" w:type="dxa"/>
            <w:tcBorders>
              <w:top w:val="single" w:color="auto" w:sz="4" w:space="0"/>
              <w:left w:val="single" w:color="auto" w:sz="4" w:space="0"/>
              <w:bottom w:val="single" w:color="auto" w:sz="4" w:space="0"/>
            </w:tcBorders>
            <w:vAlign w:val="center"/>
          </w:tcPr>
          <w:p w14:paraId="65F12619">
            <w:pPr>
              <w:topLinePunct/>
              <w:spacing w:line="440" w:lineRule="exact"/>
              <w:jc w:val="center"/>
              <w:rPr>
                <w:rFonts w:ascii="宋体" w:cs="宋体"/>
                <w:szCs w:val="21"/>
              </w:rPr>
            </w:pPr>
          </w:p>
        </w:tc>
      </w:tr>
      <w:tr w14:paraId="55C772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1728" w:type="dxa"/>
            <w:vMerge w:val="continue"/>
            <w:tcBorders>
              <w:top w:val="single" w:color="auto" w:sz="4" w:space="0"/>
              <w:bottom w:val="single" w:color="auto" w:sz="4" w:space="0"/>
              <w:right w:val="single" w:color="auto" w:sz="4" w:space="0"/>
            </w:tcBorders>
            <w:vAlign w:val="center"/>
          </w:tcPr>
          <w:p w14:paraId="46987426">
            <w:pPr>
              <w:topLinePunct/>
              <w:spacing w:line="440" w:lineRule="exact"/>
              <w:jc w:val="center"/>
              <w:rPr>
                <w:rFonts w:ascii="宋体" w:cs="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58848804">
            <w:pPr>
              <w:topLinePunct/>
              <w:spacing w:line="440" w:lineRule="exact"/>
              <w:jc w:val="center"/>
              <w:rPr>
                <w:rFonts w:ascii="宋体" w:cs="宋体"/>
                <w:szCs w:val="21"/>
              </w:rPr>
            </w:pPr>
            <w:r>
              <w:rPr>
                <w:rFonts w:hint="eastAsia" w:ascii="宋体" w:hAnsi="宋体" w:cs="宋体"/>
                <w:szCs w:val="21"/>
              </w:rPr>
              <w:t>传真</w:t>
            </w:r>
          </w:p>
        </w:tc>
        <w:tc>
          <w:tcPr>
            <w:tcW w:w="2522" w:type="dxa"/>
            <w:tcBorders>
              <w:top w:val="single" w:color="auto" w:sz="4" w:space="0"/>
              <w:left w:val="single" w:color="auto" w:sz="4" w:space="0"/>
              <w:bottom w:val="single" w:color="auto" w:sz="4" w:space="0"/>
              <w:right w:val="single" w:color="auto" w:sz="4" w:space="0"/>
            </w:tcBorders>
            <w:vAlign w:val="center"/>
          </w:tcPr>
          <w:p w14:paraId="05415E94">
            <w:pPr>
              <w:topLinePunct/>
              <w:spacing w:line="440" w:lineRule="exact"/>
              <w:jc w:val="center"/>
              <w:rPr>
                <w:rFonts w:ascii="宋体" w:cs="宋体"/>
                <w:szCs w:val="21"/>
              </w:rPr>
            </w:pPr>
          </w:p>
        </w:tc>
        <w:tc>
          <w:tcPr>
            <w:tcW w:w="1356" w:type="dxa"/>
            <w:tcBorders>
              <w:top w:val="single" w:color="auto" w:sz="4" w:space="0"/>
              <w:left w:val="single" w:color="auto" w:sz="4" w:space="0"/>
              <w:bottom w:val="single" w:color="auto" w:sz="4" w:space="0"/>
              <w:right w:val="single" w:color="auto" w:sz="4" w:space="0"/>
            </w:tcBorders>
            <w:vAlign w:val="center"/>
          </w:tcPr>
          <w:p w14:paraId="4400F506">
            <w:pPr>
              <w:topLinePunct/>
              <w:spacing w:line="440" w:lineRule="exact"/>
              <w:jc w:val="center"/>
              <w:rPr>
                <w:rFonts w:ascii="宋体" w:cs="宋体"/>
                <w:szCs w:val="21"/>
              </w:rPr>
            </w:pPr>
            <w:r>
              <w:rPr>
                <w:rFonts w:hint="eastAsia" w:ascii="宋体" w:hAnsi="宋体" w:cs="宋体"/>
                <w:szCs w:val="21"/>
              </w:rPr>
              <w:t>网址</w:t>
            </w:r>
          </w:p>
        </w:tc>
        <w:tc>
          <w:tcPr>
            <w:tcW w:w="2342" w:type="dxa"/>
            <w:tcBorders>
              <w:top w:val="single" w:color="auto" w:sz="4" w:space="0"/>
              <w:left w:val="single" w:color="auto" w:sz="4" w:space="0"/>
              <w:bottom w:val="single" w:color="auto" w:sz="4" w:space="0"/>
            </w:tcBorders>
            <w:vAlign w:val="center"/>
          </w:tcPr>
          <w:p w14:paraId="73F4FC95">
            <w:pPr>
              <w:topLinePunct/>
              <w:spacing w:line="440" w:lineRule="exact"/>
              <w:jc w:val="center"/>
              <w:rPr>
                <w:rFonts w:ascii="宋体" w:cs="宋体"/>
                <w:szCs w:val="21"/>
              </w:rPr>
            </w:pPr>
          </w:p>
        </w:tc>
      </w:tr>
      <w:tr w14:paraId="1701A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728" w:type="dxa"/>
            <w:tcBorders>
              <w:top w:val="single" w:color="auto" w:sz="4" w:space="0"/>
              <w:bottom w:val="single" w:color="auto" w:sz="4" w:space="0"/>
              <w:right w:val="single" w:color="auto" w:sz="4" w:space="0"/>
            </w:tcBorders>
            <w:vAlign w:val="center"/>
          </w:tcPr>
          <w:p w14:paraId="4A96AEF5">
            <w:pPr>
              <w:topLinePunct/>
              <w:spacing w:line="440" w:lineRule="exact"/>
              <w:jc w:val="center"/>
              <w:rPr>
                <w:rFonts w:ascii="宋体" w:cs="宋体"/>
                <w:szCs w:val="21"/>
              </w:rPr>
            </w:pPr>
            <w:r>
              <w:rPr>
                <w:rFonts w:hint="eastAsia" w:ascii="宋体" w:hAnsi="宋体" w:cs="宋体"/>
                <w:szCs w:val="21"/>
              </w:rPr>
              <w:t>组织结构</w:t>
            </w:r>
          </w:p>
        </w:tc>
        <w:tc>
          <w:tcPr>
            <w:tcW w:w="7118" w:type="dxa"/>
            <w:gridSpan w:val="4"/>
            <w:tcBorders>
              <w:top w:val="single" w:color="auto" w:sz="4" w:space="0"/>
              <w:left w:val="single" w:color="auto" w:sz="4" w:space="0"/>
              <w:bottom w:val="single" w:color="auto" w:sz="4" w:space="0"/>
            </w:tcBorders>
            <w:vAlign w:val="center"/>
          </w:tcPr>
          <w:p w14:paraId="394692EE">
            <w:pPr>
              <w:topLinePunct/>
              <w:spacing w:line="440" w:lineRule="exact"/>
              <w:jc w:val="center"/>
              <w:rPr>
                <w:rFonts w:ascii="宋体" w:cs="宋体"/>
                <w:szCs w:val="21"/>
              </w:rPr>
            </w:pPr>
          </w:p>
        </w:tc>
      </w:tr>
      <w:tr w14:paraId="0A10C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728" w:type="dxa"/>
            <w:tcBorders>
              <w:top w:val="single" w:color="auto" w:sz="4" w:space="0"/>
              <w:bottom w:val="single" w:color="auto" w:sz="4" w:space="0"/>
              <w:right w:val="single" w:color="auto" w:sz="4" w:space="0"/>
            </w:tcBorders>
            <w:vAlign w:val="center"/>
          </w:tcPr>
          <w:p w14:paraId="4B65887C">
            <w:pPr>
              <w:topLinePunct/>
              <w:spacing w:line="440" w:lineRule="exact"/>
              <w:jc w:val="center"/>
              <w:rPr>
                <w:rFonts w:ascii="宋体" w:cs="宋体"/>
                <w:szCs w:val="21"/>
              </w:rPr>
            </w:pPr>
            <w:r>
              <w:rPr>
                <w:rFonts w:hint="eastAsia" w:ascii="宋体" w:hAnsi="宋体" w:cs="宋体"/>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4FC77748">
            <w:pPr>
              <w:topLinePunct/>
              <w:spacing w:line="440" w:lineRule="exact"/>
              <w:jc w:val="center"/>
              <w:rPr>
                <w:rFonts w:ascii="宋体" w:cs="宋体"/>
                <w:szCs w:val="21"/>
              </w:rPr>
            </w:pPr>
            <w:r>
              <w:rPr>
                <w:rFonts w:hint="eastAsia" w:ascii="宋体" w:hAnsi="宋体" w:cs="宋体"/>
                <w:szCs w:val="21"/>
              </w:rPr>
              <w:t>姓名</w:t>
            </w:r>
          </w:p>
        </w:tc>
        <w:tc>
          <w:tcPr>
            <w:tcW w:w="2522" w:type="dxa"/>
            <w:tcBorders>
              <w:top w:val="single" w:color="auto" w:sz="4" w:space="0"/>
              <w:left w:val="single" w:color="auto" w:sz="4" w:space="0"/>
              <w:bottom w:val="single" w:color="auto" w:sz="4" w:space="0"/>
              <w:right w:val="single" w:color="auto" w:sz="4" w:space="0"/>
            </w:tcBorders>
            <w:vAlign w:val="center"/>
          </w:tcPr>
          <w:p w14:paraId="70496359">
            <w:pPr>
              <w:topLinePunct/>
              <w:spacing w:line="440" w:lineRule="exact"/>
              <w:jc w:val="center"/>
              <w:rPr>
                <w:rFonts w:ascii="宋体" w:cs="宋体"/>
                <w:szCs w:val="21"/>
              </w:rPr>
            </w:pPr>
          </w:p>
        </w:tc>
        <w:tc>
          <w:tcPr>
            <w:tcW w:w="1356" w:type="dxa"/>
            <w:tcBorders>
              <w:top w:val="single" w:color="auto" w:sz="4" w:space="0"/>
              <w:left w:val="single" w:color="auto" w:sz="4" w:space="0"/>
              <w:bottom w:val="single" w:color="auto" w:sz="4" w:space="0"/>
              <w:right w:val="single" w:color="auto" w:sz="4" w:space="0"/>
            </w:tcBorders>
            <w:vAlign w:val="center"/>
          </w:tcPr>
          <w:p w14:paraId="7B573764">
            <w:pPr>
              <w:topLinePunct/>
              <w:spacing w:line="440" w:lineRule="exact"/>
              <w:jc w:val="center"/>
              <w:rPr>
                <w:rFonts w:ascii="宋体" w:cs="宋体"/>
                <w:szCs w:val="21"/>
              </w:rPr>
            </w:pPr>
            <w:r>
              <w:rPr>
                <w:rFonts w:hint="eastAsia" w:ascii="宋体" w:hAnsi="宋体" w:cs="宋体"/>
                <w:szCs w:val="21"/>
              </w:rPr>
              <w:t>电话</w:t>
            </w:r>
          </w:p>
        </w:tc>
        <w:tc>
          <w:tcPr>
            <w:tcW w:w="2342" w:type="dxa"/>
            <w:tcBorders>
              <w:top w:val="single" w:color="auto" w:sz="4" w:space="0"/>
              <w:left w:val="single" w:color="auto" w:sz="4" w:space="0"/>
              <w:bottom w:val="single" w:color="auto" w:sz="4" w:space="0"/>
            </w:tcBorders>
            <w:vAlign w:val="center"/>
          </w:tcPr>
          <w:p w14:paraId="4D64D3D6">
            <w:pPr>
              <w:topLinePunct/>
              <w:spacing w:line="440" w:lineRule="exact"/>
              <w:jc w:val="center"/>
              <w:rPr>
                <w:rFonts w:ascii="宋体" w:cs="宋体"/>
                <w:szCs w:val="21"/>
              </w:rPr>
            </w:pPr>
          </w:p>
        </w:tc>
      </w:tr>
      <w:tr w14:paraId="6F6A05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728" w:type="dxa"/>
            <w:tcBorders>
              <w:top w:val="single" w:color="auto" w:sz="4" w:space="0"/>
              <w:bottom w:val="single" w:color="auto" w:sz="4" w:space="0"/>
              <w:right w:val="single" w:color="auto" w:sz="4" w:space="0"/>
            </w:tcBorders>
            <w:vAlign w:val="center"/>
          </w:tcPr>
          <w:p w14:paraId="63C3388E">
            <w:pPr>
              <w:topLinePunct/>
              <w:spacing w:line="440" w:lineRule="exact"/>
              <w:jc w:val="center"/>
              <w:rPr>
                <w:rFonts w:ascii="宋体" w:cs="宋体"/>
                <w:szCs w:val="21"/>
              </w:rPr>
            </w:pPr>
            <w:r>
              <w:rPr>
                <w:rFonts w:hint="eastAsia" w:ascii="宋体" w:hAnsi="宋体" w:cs="宋体"/>
                <w:szCs w:val="21"/>
              </w:rPr>
              <w:t>成立时间</w:t>
            </w:r>
          </w:p>
        </w:tc>
        <w:tc>
          <w:tcPr>
            <w:tcW w:w="3420" w:type="dxa"/>
            <w:gridSpan w:val="2"/>
            <w:tcBorders>
              <w:top w:val="single" w:color="auto" w:sz="4" w:space="0"/>
              <w:left w:val="single" w:color="auto" w:sz="4" w:space="0"/>
              <w:bottom w:val="single" w:color="auto" w:sz="4" w:space="0"/>
              <w:right w:val="single" w:color="auto" w:sz="4" w:space="0"/>
            </w:tcBorders>
            <w:vAlign w:val="center"/>
          </w:tcPr>
          <w:p w14:paraId="177E7045">
            <w:pPr>
              <w:topLinePunct/>
              <w:spacing w:line="440" w:lineRule="exact"/>
              <w:jc w:val="center"/>
              <w:rPr>
                <w:rFonts w:ascii="宋体" w:cs="宋体"/>
                <w:szCs w:val="21"/>
              </w:rPr>
            </w:pPr>
          </w:p>
        </w:tc>
        <w:tc>
          <w:tcPr>
            <w:tcW w:w="3698" w:type="dxa"/>
            <w:gridSpan w:val="2"/>
            <w:tcBorders>
              <w:top w:val="single" w:color="auto" w:sz="4" w:space="0"/>
              <w:left w:val="single" w:color="auto" w:sz="4" w:space="0"/>
              <w:bottom w:val="single" w:color="auto" w:sz="4" w:space="0"/>
            </w:tcBorders>
            <w:vAlign w:val="center"/>
          </w:tcPr>
          <w:p w14:paraId="759293AB">
            <w:pPr>
              <w:topLinePunct/>
              <w:spacing w:line="440" w:lineRule="exact"/>
              <w:ind w:firstLine="105" w:firstLineChars="50"/>
              <w:rPr>
                <w:rFonts w:ascii="宋体" w:cs="宋体"/>
                <w:szCs w:val="21"/>
              </w:rPr>
            </w:pPr>
            <w:r>
              <w:rPr>
                <w:rFonts w:hint="eastAsia" w:ascii="宋体" w:hAnsi="宋体" w:cs="宋体"/>
                <w:szCs w:val="21"/>
              </w:rPr>
              <w:t>员工总人数：</w:t>
            </w:r>
          </w:p>
        </w:tc>
      </w:tr>
      <w:tr w14:paraId="5144B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1728" w:type="dxa"/>
            <w:tcBorders>
              <w:top w:val="single" w:color="auto" w:sz="4" w:space="0"/>
              <w:bottom w:val="single" w:color="auto" w:sz="4" w:space="0"/>
              <w:right w:val="single" w:color="auto" w:sz="4" w:space="0"/>
            </w:tcBorders>
            <w:vAlign w:val="center"/>
          </w:tcPr>
          <w:p w14:paraId="29717E1E">
            <w:pPr>
              <w:topLinePunct/>
              <w:spacing w:line="440" w:lineRule="exact"/>
              <w:jc w:val="center"/>
              <w:rPr>
                <w:rFonts w:ascii="宋体" w:cs="宋体"/>
                <w:szCs w:val="21"/>
              </w:rPr>
            </w:pPr>
            <w:r>
              <w:rPr>
                <w:rFonts w:hint="eastAsia" w:ascii="宋体" w:hAnsi="宋体" w:cs="宋体"/>
                <w:szCs w:val="21"/>
              </w:rPr>
              <w:t>营业执照号</w:t>
            </w:r>
          </w:p>
        </w:tc>
        <w:tc>
          <w:tcPr>
            <w:tcW w:w="7118" w:type="dxa"/>
            <w:gridSpan w:val="4"/>
            <w:tcBorders>
              <w:top w:val="single" w:color="auto" w:sz="4" w:space="0"/>
              <w:left w:val="single" w:color="auto" w:sz="4" w:space="0"/>
              <w:bottom w:val="single" w:color="auto" w:sz="4" w:space="0"/>
            </w:tcBorders>
            <w:vAlign w:val="center"/>
          </w:tcPr>
          <w:p w14:paraId="1EABFC65">
            <w:pPr>
              <w:topLinePunct/>
              <w:spacing w:line="440" w:lineRule="exact"/>
              <w:jc w:val="center"/>
              <w:rPr>
                <w:rFonts w:ascii="宋体" w:cs="宋体"/>
                <w:szCs w:val="21"/>
              </w:rPr>
            </w:pPr>
          </w:p>
        </w:tc>
      </w:tr>
      <w:tr w14:paraId="39B19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1728" w:type="dxa"/>
            <w:tcBorders>
              <w:top w:val="single" w:color="auto" w:sz="4" w:space="0"/>
              <w:bottom w:val="single" w:color="auto" w:sz="4" w:space="0"/>
              <w:right w:val="single" w:color="auto" w:sz="4" w:space="0"/>
            </w:tcBorders>
            <w:vAlign w:val="center"/>
          </w:tcPr>
          <w:p w14:paraId="12719ADF">
            <w:pPr>
              <w:topLinePunct/>
              <w:spacing w:line="440" w:lineRule="exact"/>
              <w:jc w:val="center"/>
              <w:rPr>
                <w:rFonts w:ascii="宋体" w:cs="宋体"/>
                <w:szCs w:val="21"/>
              </w:rPr>
            </w:pPr>
            <w:r>
              <w:rPr>
                <w:rFonts w:hint="eastAsia" w:ascii="宋体" w:hAnsi="宋体" w:cs="宋体"/>
                <w:szCs w:val="21"/>
              </w:rPr>
              <w:t>注册资金</w:t>
            </w:r>
          </w:p>
        </w:tc>
        <w:tc>
          <w:tcPr>
            <w:tcW w:w="7118" w:type="dxa"/>
            <w:gridSpan w:val="4"/>
            <w:tcBorders>
              <w:top w:val="single" w:color="auto" w:sz="4" w:space="0"/>
              <w:left w:val="single" w:color="auto" w:sz="4" w:space="0"/>
              <w:bottom w:val="single" w:color="auto" w:sz="4" w:space="0"/>
            </w:tcBorders>
            <w:vAlign w:val="center"/>
          </w:tcPr>
          <w:p w14:paraId="19043434">
            <w:pPr>
              <w:topLinePunct/>
              <w:spacing w:line="440" w:lineRule="exact"/>
              <w:jc w:val="center"/>
              <w:rPr>
                <w:rFonts w:ascii="宋体" w:cs="宋体"/>
                <w:szCs w:val="21"/>
              </w:rPr>
            </w:pPr>
          </w:p>
        </w:tc>
      </w:tr>
      <w:tr w14:paraId="0D37E8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1728" w:type="dxa"/>
            <w:tcBorders>
              <w:top w:val="single" w:color="auto" w:sz="4" w:space="0"/>
              <w:bottom w:val="single" w:color="auto" w:sz="4" w:space="0"/>
              <w:right w:val="single" w:color="auto" w:sz="4" w:space="0"/>
            </w:tcBorders>
            <w:vAlign w:val="center"/>
          </w:tcPr>
          <w:p w14:paraId="384F8FE6">
            <w:pPr>
              <w:topLinePunct/>
              <w:spacing w:line="440" w:lineRule="exact"/>
              <w:jc w:val="center"/>
              <w:rPr>
                <w:rFonts w:ascii="宋体" w:cs="宋体"/>
                <w:szCs w:val="21"/>
              </w:rPr>
            </w:pPr>
            <w:r>
              <w:rPr>
                <w:rFonts w:hint="eastAsia" w:ascii="宋体" w:hAnsi="宋体" w:cs="宋体"/>
                <w:szCs w:val="21"/>
              </w:rPr>
              <w:t>开户银行</w:t>
            </w:r>
          </w:p>
        </w:tc>
        <w:tc>
          <w:tcPr>
            <w:tcW w:w="7118" w:type="dxa"/>
            <w:gridSpan w:val="4"/>
            <w:tcBorders>
              <w:top w:val="single" w:color="auto" w:sz="4" w:space="0"/>
              <w:left w:val="single" w:color="auto" w:sz="4" w:space="0"/>
              <w:bottom w:val="single" w:color="auto" w:sz="4" w:space="0"/>
            </w:tcBorders>
            <w:vAlign w:val="center"/>
          </w:tcPr>
          <w:p w14:paraId="198DCD64">
            <w:pPr>
              <w:topLinePunct/>
              <w:spacing w:line="440" w:lineRule="exact"/>
              <w:jc w:val="center"/>
              <w:rPr>
                <w:rFonts w:ascii="宋体" w:cs="宋体"/>
                <w:szCs w:val="21"/>
              </w:rPr>
            </w:pPr>
          </w:p>
        </w:tc>
      </w:tr>
      <w:tr w14:paraId="53B30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1728" w:type="dxa"/>
            <w:tcBorders>
              <w:top w:val="single" w:color="auto" w:sz="4" w:space="0"/>
              <w:bottom w:val="single" w:color="auto" w:sz="4" w:space="0"/>
              <w:right w:val="single" w:color="auto" w:sz="4" w:space="0"/>
            </w:tcBorders>
            <w:vAlign w:val="center"/>
          </w:tcPr>
          <w:p w14:paraId="271C8602">
            <w:pPr>
              <w:topLinePunct/>
              <w:spacing w:line="440" w:lineRule="exact"/>
              <w:jc w:val="center"/>
              <w:rPr>
                <w:rFonts w:ascii="宋体" w:cs="宋体"/>
                <w:szCs w:val="21"/>
              </w:rPr>
            </w:pPr>
            <w:r>
              <w:rPr>
                <w:rFonts w:hint="eastAsia" w:ascii="宋体" w:hAnsi="宋体" w:cs="宋体"/>
                <w:szCs w:val="21"/>
              </w:rPr>
              <w:t>账号</w:t>
            </w:r>
          </w:p>
        </w:tc>
        <w:tc>
          <w:tcPr>
            <w:tcW w:w="7118" w:type="dxa"/>
            <w:gridSpan w:val="4"/>
            <w:tcBorders>
              <w:top w:val="single" w:color="auto" w:sz="4" w:space="0"/>
              <w:left w:val="single" w:color="auto" w:sz="4" w:space="0"/>
              <w:bottom w:val="single" w:color="auto" w:sz="4" w:space="0"/>
            </w:tcBorders>
            <w:vAlign w:val="center"/>
          </w:tcPr>
          <w:p w14:paraId="7419556C">
            <w:pPr>
              <w:pStyle w:val="19"/>
              <w:rPr>
                <w:rFonts w:ascii="宋体" w:cs="宋体"/>
                <w:sz w:val="21"/>
                <w:szCs w:val="21"/>
              </w:rPr>
            </w:pPr>
          </w:p>
        </w:tc>
      </w:tr>
      <w:tr w14:paraId="4642D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jc w:val="center"/>
        </w:trPr>
        <w:tc>
          <w:tcPr>
            <w:tcW w:w="1728" w:type="dxa"/>
            <w:tcBorders>
              <w:top w:val="single" w:color="auto" w:sz="4" w:space="0"/>
              <w:right w:val="single" w:color="auto" w:sz="4" w:space="0"/>
            </w:tcBorders>
            <w:vAlign w:val="center"/>
          </w:tcPr>
          <w:p w14:paraId="339AF1D1">
            <w:pPr>
              <w:topLinePunct/>
              <w:spacing w:line="440" w:lineRule="exact"/>
              <w:ind w:firstLine="210" w:firstLineChars="100"/>
              <w:jc w:val="center"/>
              <w:rPr>
                <w:rFonts w:ascii="宋体" w:cs="宋体"/>
                <w:szCs w:val="21"/>
              </w:rPr>
            </w:pPr>
            <w:r>
              <w:rPr>
                <w:rFonts w:hint="eastAsia" w:ascii="宋体" w:hAnsi="宋体" w:cs="宋体"/>
                <w:szCs w:val="21"/>
              </w:rPr>
              <w:t>经营范围</w:t>
            </w:r>
          </w:p>
        </w:tc>
        <w:tc>
          <w:tcPr>
            <w:tcW w:w="7118" w:type="dxa"/>
            <w:gridSpan w:val="4"/>
            <w:tcBorders>
              <w:top w:val="single" w:color="auto" w:sz="4" w:space="0"/>
              <w:left w:val="single" w:color="auto" w:sz="4" w:space="0"/>
            </w:tcBorders>
            <w:vAlign w:val="center"/>
          </w:tcPr>
          <w:p w14:paraId="5C08B9B2">
            <w:pPr>
              <w:topLinePunct/>
              <w:spacing w:line="440" w:lineRule="exact"/>
              <w:jc w:val="center"/>
              <w:rPr>
                <w:rFonts w:ascii="宋体" w:cs="宋体"/>
                <w:szCs w:val="21"/>
              </w:rPr>
            </w:pPr>
          </w:p>
        </w:tc>
      </w:tr>
      <w:tr w14:paraId="403FA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bottom w:val="single" w:color="auto" w:sz="4" w:space="0"/>
              <w:right w:val="single" w:color="auto" w:sz="4" w:space="0"/>
            </w:tcBorders>
            <w:vAlign w:val="center"/>
          </w:tcPr>
          <w:p w14:paraId="4CD9D47E">
            <w:pPr>
              <w:topLinePunct/>
              <w:spacing w:line="440" w:lineRule="exact"/>
              <w:jc w:val="center"/>
              <w:rPr>
                <w:rFonts w:ascii="宋体" w:cs="宋体"/>
                <w:szCs w:val="21"/>
              </w:rPr>
            </w:pPr>
            <w:r>
              <w:rPr>
                <w:rFonts w:hint="eastAsia" w:ascii="宋体" w:hAnsi="宋体" w:cs="宋体"/>
                <w:szCs w:val="21"/>
              </w:rPr>
              <w:t>备注</w:t>
            </w:r>
          </w:p>
        </w:tc>
        <w:tc>
          <w:tcPr>
            <w:tcW w:w="7118" w:type="dxa"/>
            <w:gridSpan w:val="4"/>
            <w:tcBorders>
              <w:top w:val="single" w:color="auto" w:sz="4" w:space="0"/>
              <w:left w:val="single" w:color="auto" w:sz="4" w:space="0"/>
              <w:bottom w:val="single" w:color="auto" w:sz="4" w:space="0"/>
            </w:tcBorders>
            <w:vAlign w:val="center"/>
          </w:tcPr>
          <w:p w14:paraId="67BA70B9">
            <w:pPr>
              <w:topLinePunct/>
              <w:spacing w:line="440" w:lineRule="exact"/>
              <w:jc w:val="center"/>
              <w:rPr>
                <w:rFonts w:ascii="宋体" w:cs="宋体"/>
                <w:szCs w:val="21"/>
              </w:rPr>
            </w:pPr>
          </w:p>
        </w:tc>
      </w:tr>
    </w:tbl>
    <w:p w14:paraId="1BC75F21">
      <w:pPr>
        <w:spacing w:line="360" w:lineRule="auto"/>
        <w:rPr>
          <w:rFonts w:ascii="宋体" w:cs="宋体"/>
          <w:bCs/>
        </w:rPr>
      </w:pPr>
    </w:p>
    <w:p w14:paraId="26A3C2F9">
      <w:pPr>
        <w:spacing w:line="360" w:lineRule="auto"/>
        <w:rPr>
          <w:rFonts w:ascii="宋体" w:cs="宋体"/>
          <w:bCs/>
        </w:rPr>
      </w:pPr>
    </w:p>
    <w:p w14:paraId="362F8DE5">
      <w:pPr>
        <w:adjustRightInd w:val="0"/>
        <w:spacing w:line="360" w:lineRule="auto"/>
        <w:ind w:firstLine="420" w:firstLineChars="200"/>
        <w:jc w:val="left"/>
        <w:rPr>
          <w:rFonts w:ascii="宋体" w:cs="宋体"/>
          <w:szCs w:val="21"/>
        </w:rPr>
      </w:pPr>
      <w:r>
        <w:rPr>
          <w:rFonts w:hint="eastAsia" w:ascii="宋体" w:hAnsi="宋体" w:cs="宋体"/>
          <w:szCs w:val="21"/>
        </w:rPr>
        <w:t>供应商名称：（电子签章）</w:t>
      </w:r>
    </w:p>
    <w:p w14:paraId="3D867965">
      <w:pPr>
        <w:spacing w:line="360" w:lineRule="auto"/>
        <w:ind w:firstLine="411" w:firstLineChars="196"/>
        <w:rPr>
          <w:rFonts w:ascii="宋体" w:cs="宋体"/>
          <w:szCs w:val="21"/>
          <w:u w:val="single"/>
        </w:rPr>
      </w:pPr>
      <w:r>
        <w:rPr>
          <w:rFonts w:hint="eastAsia" w:ascii="宋体" w:hAnsi="宋体" w:cs="宋体"/>
          <w:szCs w:val="21"/>
        </w:rPr>
        <w:t>法定代表人：（电子签名）</w:t>
      </w:r>
    </w:p>
    <w:p w14:paraId="5020B640">
      <w:pPr>
        <w:spacing w:line="360" w:lineRule="auto"/>
        <w:ind w:firstLine="411" w:firstLineChars="196"/>
        <w:rPr>
          <w:rFonts w:ascii="宋体" w:cs="宋体"/>
          <w:szCs w:val="21"/>
        </w:rPr>
      </w:pPr>
      <w:r>
        <w:rPr>
          <w:rFonts w:hint="eastAsia" w:ascii="宋体" w:hAnsi="宋体" w:cs="宋体"/>
          <w:szCs w:val="21"/>
        </w:rPr>
        <w:t>日期：年月日</w:t>
      </w:r>
    </w:p>
    <w:p w14:paraId="3635FB46">
      <w:pPr>
        <w:pStyle w:val="6"/>
        <w:ind w:firstLine="0" w:firstLineChars="0"/>
        <w:rPr>
          <w:rFonts w:ascii="宋体" w:cs="宋体"/>
          <w:color w:val="auto"/>
        </w:rPr>
      </w:pPr>
    </w:p>
    <w:p w14:paraId="58D388ED">
      <w:pPr>
        <w:pStyle w:val="6"/>
        <w:ind w:firstLine="0" w:firstLineChars="0"/>
        <w:rPr>
          <w:rFonts w:ascii="宋体" w:cs="宋体"/>
          <w:color w:val="auto"/>
        </w:rPr>
      </w:pPr>
    </w:p>
    <w:p w14:paraId="5596F9E0">
      <w:pPr>
        <w:pStyle w:val="6"/>
        <w:ind w:firstLine="0" w:firstLineChars="0"/>
        <w:rPr>
          <w:rFonts w:ascii="宋体" w:cs="宋体"/>
          <w:color w:val="auto"/>
        </w:rPr>
      </w:pPr>
    </w:p>
    <w:p w14:paraId="02DEABC4">
      <w:pPr>
        <w:pStyle w:val="6"/>
        <w:ind w:firstLine="0" w:firstLineChars="0"/>
        <w:rPr>
          <w:rFonts w:ascii="宋体" w:cs="宋体"/>
          <w:color w:val="auto"/>
        </w:rPr>
      </w:pPr>
    </w:p>
    <w:p w14:paraId="2F8FDAB6">
      <w:pPr>
        <w:pStyle w:val="6"/>
        <w:ind w:firstLine="0" w:firstLineChars="0"/>
        <w:rPr>
          <w:rFonts w:ascii="宋体" w:cs="宋体"/>
          <w:color w:val="auto"/>
        </w:rPr>
      </w:pPr>
    </w:p>
    <w:p w14:paraId="485BFA8D">
      <w:pPr>
        <w:pStyle w:val="6"/>
        <w:ind w:firstLine="0" w:firstLineChars="0"/>
        <w:rPr>
          <w:rFonts w:ascii="宋体" w:cs="宋体"/>
          <w:color w:val="auto"/>
        </w:rPr>
      </w:pPr>
    </w:p>
    <w:p w14:paraId="4D6A07D9">
      <w:pPr>
        <w:pStyle w:val="5"/>
        <w:keepNext w:val="0"/>
        <w:keepLines w:val="0"/>
        <w:numPr>
          <w:ilvl w:val="1"/>
          <w:numId w:val="16"/>
        </w:numPr>
        <w:spacing w:before="0" w:after="0" w:line="360" w:lineRule="auto"/>
        <w:rPr>
          <w:rFonts w:ascii="宋体" w:hAnsi="宋体" w:cs="宋体"/>
          <w:sz w:val="24"/>
          <w:szCs w:val="24"/>
        </w:rPr>
      </w:pPr>
      <w:r>
        <w:rPr>
          <w:rFonts w:hint="eastAsia" w:ascii="宋体" w:hAnsi="宋体" w:cs="宋体"/>
          <w:sz w:val="24"/>
          <w:szCs w:val="24"/>
        </w:rPr>
        <w:t>同类项目业绩合同证明文件</w:t>
      </w:r>
    </w:p>
    <w:p w14:paraId="68E5FFFB">
      <w:pPr>
        <w:pStyle w:val="6"/>
        <w:spacing w:line="360" w:lineRule="auto"/>
        <w:ind w:firstLine="0" w:firstLineChars="0"/>
        <w:rPr>
          <w:rFonts w:ascii="宋体" w:cs="宋体"/>
          <w:color w:val="auto"/>
          <w:szCs w:val="21"/>
        </w:rPr>
      </w:pPr>
      <w:r>
        <w:rPr>
          <w:rFonts w:hint="eastAsia" w:ascii="宋体" w:hAnsi="宋体" w:cs="宋体"/>
          <w:color w:val="auto"/>
          <w:szCs w:val="21"/>
        </w:rPr>
        <w:t>项目名称：</w:t>
      </w:r>
    </w:p>
    <w:p w14:paraId="4C9EA24E">
      <w:pPr>
        <w:pStyle w:val="6"/>
        <w:spacing w:line="360" w:lineRule="auto"/>
        <w:ind w:firstLine="0" w:firstLineChars="0"/>
        <w:rPr>
          <w:rFonts w:ascii="宋体" w:cs="宋体"/>
          <w:color w:val="auto"/>
          <w:szCs w:val="21"/>
        </w:rPr>
      </w:pPr>
      <w:r>
        <w:rPr>
          <w:rFonts w:hint="eastAsia" w:ascii="宋体" w:hAnsi="宋体" w:cs="宋体"/>
          <w:color w:val="auto"/>
          <w:szCs w:val="21"/>
        </w:rPr>
        <w:t>项目编号：</w:t>
      </w:r>
    </w:p>
    <w:tbl>
      <w:tblPr>
        <w:tblStyle w:val="28"/>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089"/>
        <w:gridCol w:w="1561"/>
        <w:gridCol w:w="1252"/>
        <w:gridCol w:w="1565"/>
        <w:gridCol w:w="1196"/>
        <w:gridCol w:w="1261"/>
      </w:tblGrid>
      <w:tr w14:paraId="0F6C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752" w:type="dxa"/>
            <w:vAlign w:val="center"/>
          </w:tcPr>
          <w:p w14:paraId="0E2AC32D">
            <w:pPr>
              <w:pStyle w:val="6"/>
              <w:spacing w:line="360" w:lineRule="auto"/>
              <w:ind w:firstLine="0" w:firstLineChars="0"/>
              <w:jc w:val="center"/>
              <w:rPr>
                <w:rFonts w:ascii="宋体" w:cs="宋体"/>
                <w:color w:val="auto"/>
                <w:szCs w:val="21"/>
              </w:rPr>
            </w:pPr>
            <w:r>
              <w:rPr>
                <w:rFonts w:hint="eastAsia" w:ascii="宋体" w:hAnsi="宋体" w:cs="宋体"/>
                <w:color w:val="auto"/>
                <w:szCs w:val="21"/>
              </w:rPr>
              <w:t>序号</w:t>
            </w:r>
          </w:p>
        </w:tc>
        <w:tc>
          <w:tcPr>
            <w:tcW w:w="1089" w:type="dxa"/>
            <w:vAlign w:val="center"/>
          </w:tcPr>
          <w:p w14:paraId="6819AFC0">
            <w:pPr>
              <w:pStyle w:val="6"/>
              <w:spacing w:line="360" w:lineRule="auto"/>
              <w:ind w:firstLine="0" w:firstLineChars="0"/>
              <w:jc w:val="center"/>
              <w:rPr>
                <w:rFonts w:ascii="宋体" w:cs="宋体"/>
                <w:color w:val="auto"/>
                <w:szCs w:val="21"/>
              </w:rPr>
            </w:pPr>
            <w:r>
              <w:rPr>
                <w:rFonts w:hint="eastAsia" w:ascii="宋体" w:hAnsi="宋体" w:cs="宋体"/>
                <w:color w:val="auto"/>
                <w:szCs w:val="21"/>
              </w:rPr>
              <w:t>项目名称</w:t>
            </w:r>
          </w:p>
        </w:tc>
        <w:tc>
          <w:tcPr>
            <w:tcW w:w="1561" w:type="dxa"/>
            <w:vAlign w:val="center"/>
          </w:tcPr>
          <w:p w14:paraId="1CBA6260">
            <w:pPr>
              <w:pStyle w:val="6"/>
              <w:spacing w:line="360" w:lineRule="auto"/>
              <w:ind w:firstLine="0" w:firstLineChars="0"/>
              <w:jc w:val="center"/>
              <w:rPr>
                <w:rFonts w:ascii="宋体" w:cs="宋体"/>
                <w:color w:val="auto"/>
                <w:szCs w:val="21"/>
              </w:rPr>
            </w:pPr>
            <w:r>
              <w:rPr>
                <w:rFonts w:hint="eastAsia" w:ascii="宋体" w:hAnsi="宋体" w:cs="宋体"/>
                <w:color w:val="auto"/>
                <w:szCs w:val="21"/>
              </w:rPr>
              <w:t>项目主要内容</w:t>
            </w:r>
          </w:p>
        </w:tc>
        <w:tc>
          <w:tcPr>
            <w:tcW w:w="1252" w:type="dxa"/>
            <w:vAlign w:val="center"/>
          </w:tcPr>
          <w:p w14:paraId="79036575">
            <w:pPr>
              <w:pStyle w:val="6"/>
              <w:spacing w:line="360" w:lineRule="auto"/>
              <w:ind w:firstLine="0" w:firstLineChars="0"/>
              <w:jc w:val="center"/>
              <w:rPr>
                <w:rFonts w:ascii="宋体" w:cs="宋体"/>
                <w:color w:val="auto"/>
                <w:szCs w:val="21"/>
              </w:rPr>
            </w:pPr>
            <w:r>
              <w:rPr>
                <w:rFonts w:hint="eastAsia" w:ascii="宋体" w:hAnsi="宋体" w:cs="宋体"/>
                <w:color w:val="auto"/>
                <w:szCs w:val="21"/>
              </w:rPr>
              <w:t>采购单位</w:t>
            </w:r>
          </w:p>
        </w:tc>
        <w:tc>
          <w:tcPr>
            <w:tcW w:w="1565" w:type="dxa"/>
            <w:vAlign w:val="center"/>
          </w:tcPr>
          <w:p w14:paraId="227E563F">
            <w:pPr>
              <w:pStyle w:val="6"/>
              <w:spacing w:line="360" w:lineRule="auto"/>
              <w:ind w:firstLine="0" w:firstLineChars="0"/>
              <w:jc w:val="center"/>
              <w:rPr>
                <w:rFonts w:ascii="宋体" w:cs="宋体"/>
                <w:color w:val="auto"/>
                <w:szCs w:val="21"/>
              </w:rPr>
            </w:pPr>
            <w:r>
              <w:rPr>
                <w:rFonts w:hint="eastAsia" w:ascii="宋体" w:hAnsi="宋体" w:cs="宋体"/>
                <w:color w:val="auto"/>
                <w:szCs w:val="21"/>
              </w:rPr>
              <w:t>采购方联系人及联系方式</w:t>
            </w:r>
          </w:p>
        </w:tc>
        <w:tc>
          <w:tcPr>
            <w:tcW w:w="1196" w:type="dxa"/>
            <w:vAlign w:val="center"/>
          </w:tcPr>
          <w:p w14:paraId="3EA9B8E0">
            <w:pPr>
              <w:pStyle w:val="6"/>
              <w:spacing w:line="360" w:lineRule="auto"/>
              <w:ind w:firstLine="0" w:firstLineChars="0"/>
              <w:jc w:val="center"/>
              <w:rPr>
                <w:rFonts w:ascii="宋体" w:cs="宋体"/>
                <w:color w:val="auto"/>
                <w:szCs w:val="21"/>
              </w:rPr>
            </w:pPr>
            <w:r>
              <w:rPr>
                <w:rFonts w:hint="eastAsia" w:ascii="宋体" w:hAnsi="宋体" w:cs="宋体"/>
                <w:color w:val="auto"/>
                <w:szCs w:val="21"/>
              </w:rPr>
              <w:t>服务单位</w:t>
            </w:r>
          </w:p>
        </w:tc>
        <w:tc>
          <w:tcPr>
            <w:tcW w:w="1261" w:type="dxa"/>
            <w:vAlign w:val="center"/>
          </w:tcPr>
          <w:p w14:paraId="573212F7">
            <w:pPr>
              <w:pStyle w:val="6"/>
              <w:spacing w:line="360" w:lineRule="auto"/>
              <w:ind w:firstLine="0" w:firstLineChars="0"/>
              <w:jc w:val="center"/>
              <w:rPr>
                <w:rFonts w:ascii="宋体" w:cs="宋体"/>
                <w:color w:val="auto"/>
                <w:szCs w:val="21"/>
              </w:rPr>
            </w:pPr>
            <w:r>
              <w:rPr>
                <w:rFonts w:hint="eastAsia" w:ascii="宋体" w:hAnsi="宋体" w:cs="宋体"/>
                <w:color w:val="auto"/>
                <w:szCs w:val="21"/>
              </w:rPr>
              <w:t>中标金额</w:t>
            </w:r>
          </w:p>
        </w:tc>
      </w:tr>
      <w:tr w14:paraId="3689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52" w:type="dxa"/>
            <w:vAlign w:val="center"/>
          </w:tcPr>
          <w:p w14:paraId="0FFB73F1">
            <w:pPr>
              <w:pStyle w:val="6"/>
              <w:spacing w:line="360" w:lineRule="auto"/>
              <w:ind w:firstLine="0" w:firstLineChars="0"/>
              <w:jc w:val="center"/>
              <w:rPr>
                <w:rFonts w:ascii="宋体" w:cs="宋体"/>
                <w:color w:val="auto"/>
                <w:szCs w:val="21"/>
              </w:rPr>
            </w:pPr>
          </w:p>
        </w:tc>
        <w:tc>
          <w:tcPr>
            <w:tcW w:w="1089" w:type="dxa"/>
            <w:vAlign w:val="center"/>
          </w:tcPr>
          <w:p w14:paraId="3516F63D">
            <w:pPr>
              <w:pStyle w:val="6"/>
              <w:spacing w:line="360" w:lineRule="auto"/>
              <w:ind w:firstLine="0" w:firstLineChars="0"/>
              <w:jc w:val="center"/>
              <w:rPr>
                <w:rFonts w:ascii="宋体" w:cs="宋体"/>
                <w:color w:val="auto"/>
                <w:szCs w:val="21"/>
              </w:rPr>
            </w:pPr>
          </w:p>
        </w:tc>
        <w:tc>
          <w:tcPr>
            <w:tcW w:w="1561" w:type="dxa"/>
            <w:vAlign w:val="center"/>
          </w:tcPr>
          <w:p w14:paraId="1EC4B85A">
            <w:pPr>
              <w:pStyle w:val="6"/>
              <w:spacing w:line="360" w:lineRule="auto"/>
              <w:ind w:firstLine="0" w:firstLineChars="0"/>
              <w:jc w:val="center"/>
              <w:rPr>
                <w:rFonts w:ascii="宋体" w:cs="宋体"/>
                <w:color w:val="auto"/>
                <w:szCs w:val="21"/>
              </w:rPr>
            </w:pPr>
          </w:p>
        </w:tc>
        <w:tc>
          <w:tcPr>
            <w:tcW w:w="1252" w:type="dxa"/>
            <w:vAlign w:val="center"/>
          </w:tcPr>
          <w:p w14:paraId="6BEB2928">
            <w:pPr>
              <w:pStyle w:val="6"/>
              <w:spacing w:line="360" w:lineRule="auto"/>
              <w:ind w:firstLine="0" w:firstLineChars="0"/>
              <w:jc w:val="center"/>
              <w:rPr>
                <w:rFonts w:ascii="宋体" w:cs="宋体"/>
                <w:color w:val="auto"/>
                <w:szCs w:val="21"/>
              </w:rPr>
            </w:pPr>
          </w:p>
        </w:tc>
        <w:tc>
          <w:tcPr>
            <w:tcW w:w="1565" w:type="dxa"/>
            <w:vAlign w:val="center"/>
          </w:tcPr>
          <w:p w14:paraId="0B1368EF">
            <w:pPr>
              <w:pStyle w:val="6"/>
              <w:spacing w:line="360" w:lineRule="auto"/>
              <w:ind w:firstLine="0" w:firstLineChars="0"/>
              <w:jc w:val="center"/>
              <w:rPr>
                <w:rFonts w:ascii="宋体" w:cs="宋体"/>
                <w:color w:val="auto"/>
                <w:szCs w:val="21"/>
              </w:rPr>
            </w:pPr>
          </w:p>
        </w:tc>
        <w:tc>
          <w:tcPr>
            <w:tcW w:w="1196" w:type="dxa"/>
            <w:vAlign w:val="center"/>
          </w:tcPr>
          <w:p w14:paraId="0249C3AF">
            <w:pPr>
              <w:pStyle w:val="6"/>
              <w:spacing w:line="360" w:lineRule="auto"/>
              <w:ind w:firstLine="0" w:firstLineChars="0"/>
              <w:jc w:val="center"/>
              <w:rPr>
                <w:rFonts w:ascii="宋体" w:cs="宋体"/>
                <w:color w:val="auto"/>
                <w:szCs w:val="21"/>
              </w:rPr>
            </w:pPr>
          </w:p>
        </w:tc>
        <w:tc>
          <w:tcPr>
            <w:tcW w:w="1261" w:type="dxa"/>
            <w:vAlign w:val="center"/>
          </w:tcPr>
          <w:p w14:paraId="5FA7B7ED">
            <w:pPr>
              <w:pStyle w:val="6"/>
              <w:spacing w:line="360" w:lineRule="auto"/>
              <w:ind w:firstLine="0" w:firstLineChars="0"/>
              <w:jc w:val="center"/>
              <w:rPr>
                <w:rFonts w:ascii="宋体" w:cs="宋体"/>
                <w:color w:val="auto"/>
                <w:szCs w:val="21"/>
              </w:rPr>
            </w:pPr>
          </w:p>
        </w:tc>
      </w:tr>
      <w:tr w14:paraId="55B2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52" w:type="dxa"/>
            <w:vAlign w:val="center"/>
          </w:tcPr>
          <w:p w14:paraId="5DB5510D">
            <w:pPr>
              <w:pStyle w:val="6"/>
              <w:spacing w:line="360" w:lineRule="auto"/>
              <w:ind w:firstLine="0" w:firstLineChars="0"/>
              <w:jc w:val="center"/>
              <w:rPr>
                <w:rFonts w:ascii="宋体" w:cs="宋体"/>
                <w:color w:val="auto"/>
                <w:szCs w:val="21"/>
              </w:rPr>
            </w:pPr>
          </w:p>
        </w:tc>
        <w:tc>
          <w:tcPr>
            <w:tcW w:w="1089" w:type="dxa"/>
            <w:vAlign w:val="center"/>
          </w:tcPr>
          <w:p w14:paraId="35CE00F7">
            <w:pPr>
              <w:pStyle w:val="6"/>
              <w:spacing w:line="360" w:lineRule="auto"/>
              <w:ind w:firstLine="0" w:firstLineChars="0"/>
              <w:jc w:val="center"/>
              <w:rPr>
                <w:rFonts w:ascii="宋体" w:cs="宋体"/>
                <w:color w:val="auto"/>
                <w:szCs w:val="21"/>
              </w:rPr>
            </w:pPr>
          </w:p>
        </w:tc>
        <w:tc>
          <w:tcPr>
            <w:tcW w:w="1561" w:type="dxa"/>
            <w:vAlign w:val="center"/>
          </w:tcPr>
          <w:p w14:paraId="11771126">
            <w:pPr>
              <w:pStyle w:val="6"/>
              <w:spacing w:line="360" w:lineRule="auto"/>
              <w:ind w:firstLine="0" w:firstLineChars="0"/>
              <w:jc w:val="center"/>
              <w:rPr>
                <w:rFonts w:ascii="宋体" w:cs="宋体"/>
                <w:color w:val="auto"/>
                <w:szCs w:val="21"/>
              </w:rPr>
            </w:pPr>
          </w:p>
        </w:tc>
        <w:tc>
          <w:tcPr>
            <w:tcW w:w="1252" w:type="dxa"/>
            <w:vAlign w:val="center"/>
          </w:tcPr>
          <w:p w14:paraId="1CD10FC7">
            <w:pPr>
              <w:pStyle w:val="6"/>
              <w:spacing w:line="360" w:lineRule="auto"/>
              <w:ind w:firstLine="0" w:firstLineChars="0"/>
              <w:jc w:val="center"/>
              <w:rPr>
                <w:rFonts w:ascii="宋体" w:cs="宋体"/>
                <w:color w:val="auto"/>
                <w:szCs w:val="21"/>
              </w:rPr>
            </w:pPr>
          </w:p>
        </w:tc>
        <w:tc>
          <w:tcPr>
            <w:tcW w:w="1565" w:type="dxa"/>
            <w:vAlign w:val="center"/>
          </w:tcPr>
          <w:p w14:paraId="1B22899D">
            <w:pPr>
              <w:pStyle w:val="6"/>
              <w:spacing w:line="360" w:lineRule="auto"/>
              <w:ind w:firstLine="0" w:firstLineChars="0"/>
              <w:jc w:val="center"/>
              <w:rPr>
                <w:rFonts w:ascii="宋体" w:cs="宋体"/>
                <w:color w:val="auto"/>
                <w:szCs w:val="21"/>
              </w:rPr>
            </w:pPr>
          </w:p>
        </w:tc>
        <w:tc>
          <w:tcPr>
            <w:tcW w:w="1196" w:type="dxa"/>
            <w:vAlign w:val="center"/>
          </w:tcPr>
          <w:p w14:paraId="207A2EE1">
            <w:pPr>
              <w:pStyle w:val="6"/>
              <w:spacing w:line="360" w:lineRule="auto"/>
              <w:ind w:firstLine="0" w:firstLineChars="0"/>
              <w:jc w:val="center"/>
              <w:rPr>
                <w:rFonts w:ascii="宋体" w:cs="宋体"/>
                <w:color w:val="auto"/>
                <w:szCs w:val="21"/>
              </w:rPr>
            </w:pPr>
          </w:p>
        </w:tc>
        <w:tc>
          <w:tcPr>
            <w:tcW w:w="1261" w:type="dxa"/>
            <w:vAlign w:val="center"/>
          </w:tcPr>
          <w:p w14:paraId="25361348">
            <w:pPr>
              <w:pStyle w:val="6"/>
              <w:spacing w:line="360" w:lineRule="auto"/>
              <w:ind w:firstLine="0" w:firstLineChars="0"/>
              <w:jc w:val="center"/>
              <w:rPr>
                <w:rFonts w:ascii="宋体" w:cs="宋体"/>
                <w:color w:val="auto"/>
                <w:szCs w:val="21"/>
              </w:rPr>
            </w:pPr>
          </w:p>
        </w:tc>
      </w:tr>
      <w:tr w14:paraId="4584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52" w:type="dxa"/>
            <w:vAlign w:val="center"/>
          </w:tcPr>
          <w:p w14:paraId="7B784153">
            <w:pPr>
              <w:pStyle w:val="6"/>
              <w:spacing w:line="360" w:lineRule="auto"/>
              <w:ind w:firstLine="0" w:firstLineChars="0"/>
              <w:jc w:val="center"/>
              <w:rPr>
                <w:rFonts w:ascii="宋体" w:cs="宋体"/>
                <w:color w:val="auto"/>
                <w:szCs w:val="21"/>
              </w:rPr>
            </w:pPr>
          </w:p>
        </w:tc>
        <w:tc>
          <w:tcPr>
            <w:tcW w:w="1089" w:type="dxa"/>
            <w:vAlign w:val="center"/>
          </w:tcPr>
          <w:p w14:paraId="03E8F71C">
            <w:pPr>
              <w:pStyle w:val="6"/>
              <w:spacing w:line="360" w:lineRule="auto"/>
              <w:ind w:firstLine="0" w:firstLineChars="0"/>
              <w:jc w:val="center"/>
              <w:rPr>
                <w:rFonts w:ascii="宋体" w:cs="宋体"/>
                <w:color w:val="auto"/>
                <w:szCs w:val="21"/>
              </w:rPr>
            </w:pPr>
          </w:p>
        </w:tc>
        <w:tc>
          <w:tcPr>
            <w:tcW w:w="1561" w:type="dxa"/>
            <w:vAlign w:val="center"/>
          </w:tcPr>
          <w:p w14:paraId="2A9D66F6">
            <w:pPr>
              <w:pStyle w:val="6"/>
              <w:spacing w:line="360" w:lineRule="auto"/>
              <w:ind w:firstLine="0" w:firstLineChars="0"/>
              <w:jc w:val="center"/>
              <w:rPr>
                <w:rFonts w:ascii="宋体" w:cs="宋体"/>
                <w:color w:val="auto"/>
                <w:szCs w:val="21"/>
              </w:rPr>
            </w:pPr>
          </w:p>
        </w:tc>
        <w:tc>
          <w:tcPr>
            <w:tcW w:w="1252" w:type="dxa"/>
            <w:vAlign w:val="center"/>
          </w:tcPr>
          <w:p w14:paraId="6473F08C">
            <w:pPr>
              <w:pStyle w:val="6"/>
              <w:spacing w:line="360" w:lineRule="auto"/>
              <w:ind w:firstLine="0" w:firstLineChars="0"/>
              <w:jc w:val="center"/>
              <w:rPr>
                <w:rFonts w:ascii="宋体" w:cs="宋体"/>
                <w:color w:val="auto"/>
                <w:szCs w:val="21"/>
              </w:rPr>
            </w:pPr>
          </w:p>
        </w:tc>
        <w:tc>
          <w:tcPr>
            <w:tcW w:w="1565" w:type="dxa"/>
            <w:vAlign w:val="center"/>
          </w:tcPr>
          <w:p w14:paraId="76B1FB44">
            <w:pPr>
              <w:pStyle w:val="6"/>
              <w:spacing w:line="360" w:lineRule="auto"/>
              <w:ind w:firstLine="0" w:firstLineChars="0"/>
              <w:jc w:val="center"/>
              <w:rPr>
                <w:rFonts w:ascii="宋体" w:cs="宋体"/>
                <w:color w:val="auto"/>
                <w:szCs w:val="21"/>
              </w:rPr>
            </w:pPr>
          </w:p>
        </w:tc>
        <w:tc>
          <w:tcPr>
            <w:tcW w:w="1196" w:type="dxa"/>
            <w:vAlign w:val="center"/>
          </w:tcPr>
          <w:p w14:paraId="35C139DB">
            <w:pPr>
              <w:pStyle w:val="6"/>
              <w:spacing w:line="360" w:lineRule="auto"/>
              <w:ind w:firstLine="0" w:firstLineChars="0"/>
              <w:jc w:val="center"/>
              <w:rPr>
                <w:rFonts w:ascii="宋体" w:cs="宋体"/>
                <w:color w:val="auto"/>
                <w:szCs w:val="21"/>
              </w:rPr>
            </w:pPr>
          </w:p>
        </w:tc>
        <w:tc>
          <w:tcPr>
            <w:tcW w:w="1261" w:type="dxa"/>
            <w:vAlign w:val="center"/>
          </w:tcPr>
          <w:p w14:paraId="10941171">
            <w:pPr>
              <w:pStyle w:val="6"/>
              <w:spacing w:line="360" w:lineRule="auto"/>
              <w:ind w:firstLine="0" w:firstLineChars="0"/>
              <w:jc w:val="center"/>
              <w:rPr>
                <w:rFonts w:ascii="宋体" w:cs="宋体"/>
                <w:color w:val="auto"/>
                <w:szCs w:val="21"/>
              </w:rPr>
            </w:pPr>
          </w:p>
        </w:tc>
      </w:tr>
      <w:tr w14:paraId="4833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52" w:type="dxa"/>
            <w:vAlign w:val="center"/>
          </w:tcPr>
          <w:p w14:paraId="12D08B0B">
            <w:pPr>
              <w:pStyle w:val="6"/>
              <w:spacing w:line="360" w:lineRule="auto"/>
              <w:ind w:firstLine="0" w:firstLineChars="0"/>
              <w:jc w:val="center"/>
              <w:rPr>
                <w:rFonts w:ascii="宋体" w:cs="宋体"/>
                <w:color w:val="auto"/>
                <w:szCs w:val="21"/>
              </w:rPr>
            </w:pPr>
          </w:p>
        </w:tc>
        <w:tc>
          <w:tcPr>
            <w:tcW w:w="1089" w:type="dxa"/>
            <w:vAlign w:val="center"/>
          </w:tcPr>
          <w:p w14:paraId="11D889D4">
            <w:pPr>
              <w:pStyle w:val="6"/>
              <w:spacing w:line="360" w:lineRule="auto"/>
              <w:ind w:firstLine="0" w:firstLineChars="0"/>
              <w:jc w:val="center"/>
              <w:rPr>
                <w:rFonts w:ascii="宋体" w:cs="宋体"/>
                <w:color w:val="auto"/>
                <w:szCs w:val="21"/>
              </w:rPr>
            </w:pPr>
          </w:p>
        </w:tc>
        <w:tc>
          <w:tcPr>
            <w:tcW w:w="1561" w:type="dxa"/>
            <w:vAlign w:val="center"/>
          </w:tcPr>
          <w:p w14:paraId="67EA00EC">
            <w:pPr>
              <w:pStyle w:val="6"/>
              <w:spacing w:line="360" w:lineRule="auto"/>
              <w:ind w:firstLine="0" w:firstLineChars="0"/>
              <w:jc w:val="center"/>
              <w:rPr>
                <w:rFonts w:ascii="宋体" w:cs="宋体"/>
                <w:color w:val="auto"/>
                <w:szCs w:val="21"/>
              </w:rPr>
            </w:pPr>
          </w:p>
        </w:tc>
        <w:tc>
          <w:tcPr>
            <w:tcW w:w="1252" w:type="dxa"/>
            <w:vAlign w:val="center"/>
          </w:tcPr>
          <w:p w14:paraId="306E8B54">
            <w:pPr>
              <w:pStyle w:val="6"/>
              <w:spacing w:line="360" w:lineRule="auto"/>
              <w:ind w:firstLine="0" w:firstLineChars="0"/>
              <w:jc w:val="center"/>
              <w:rPr>
                <w:rFonts w:ascii="宋体" w:cs="宋体"/>
                <w:color w:val="auto"/>
                <w:szCs w:val="21"/>
              </w:rPr>
            </w:pPr>
          </w:p>
        </w:tc>
        <w:tc>
          <w:tcPr>
            <w:tcW w:w="1565" w:type="dxa"/>
            <w:vAlign w:val="center"/>
          </w:tcPr>
          <w:p w14:paraId="2A035699">
            <w:pPr>
              <w:pStyle w:val="6"/>
              <w:spacing w:line="360" w:lineRule="auto"/>
              <w:ind w:firstLine="0" w:firstLineChars="0"/>
              <w:jc w:val="center"/>
              <w:rPr>
                <w:rFonts w:ascii="宋体" w:cs="宋体"/>
                <w:color w:val="auto"/>
                <w:szCs w:val="21"/>
              </w:rPr>
            </w:pPr>
          </w:p>
        </w:tc>
        <w:tc>
          <w:tcPr>
            <w:tcW w:w="1196" w:type="dxa"/>
            <w:vAlign w:val="center"/>
          </w:tcPr>
          <w:p w14:paraId="67255D66">
            <w:pPr>
              <w:pStyle w:val="6"/>
              <w:spacing w:line="360" w:lineRule="auto"/>
              <w:ind w:firstLine="0" w:firstLineChars="0"/>
              <w:jc w:val="center"/>
              <w:rPr>
                <w:rFonts w:ascii="宋体" w:cs="宋体"/>
                <w:color w:val="auto"/>
                <w:szCs w:val="21"/>
              </w:rPr>
            </w:pPr>
          </w:p>
        </w:tc>
        <w:tc>
          <w:tcPr>
            <w:tcW w:w="1261" w:type="dxa"/>
            <w:vAlign w:val="center"/>
          </w:tcPr>
          <w:p w14:paraId="4C27AECE">
            <w:pPr>
              <w:pStyle w:val="6"/>
              <w:spacing w:line="360" w:lineRule="auto"/>
              <w:ind w:firstLine="0" w:firstLineChars="0"/>
              <w:jc w:val="center"/>
              <w:rPr>
                <w:rFonts w:ascii="宋体" w:cs="宋体"/>
                <w:color w:val="auto"/>
                <w:szCs w:val="21"/>
              </w:rPr>
            </w:pPr>
          </w:p>
        </w:tc>
      </w:tr>
      <w:tr w14:paraId="7F38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52" w:type="dxa"/>
            <w:vAlign w:val="center"/>
          </w:tcPr>
          <w:p w14:paraId="3E49F9C0">
            <w:pPr>
              <w:pStyle w:val="6"/>
              <w:spacing w:line="360" w:lineRule="auto"/>
              <w:ind w:firstLine="0" w:firstLineChars="0"/>
              <w:jc w:val="center"/>
              <w:rPr>
                <w:rFonts w:ascii="宋体" w:cs="宋体"/>
                <w:color w:val="auto"/>
                <w:szCs w:val="21"/>
              </w:rPr>
            </w:pPr>
          </w:p>
        </w:tc>
        <w:tc>
          <w:tcPr>
            <w:tcW w:w="1089" w:type="dxa"/>
            <w:vAlign w:val="center"/>
          </w:tcPr>
          <w:p w14:paraId="72A11D3C">
            <w:pPr>
              <w:pStyle w:val="6"/>
              <w:spacing w:line="360" w:lineRule="auto"/>
              <w:ind w:firstLine="0" w:firstLineChars="0"/>
              <w:jc w:val="center"/>
              <w:rPr>
                <w:rFonts w:ascii="宋体" w:cs="宋体"/>
                <w:color w:val="auto"/>
                <w:szCs w:val="21"/>
              </w:rPr>
            </w:pPr>
          </w:p>
        </w:tc>
        <w:tc>
          <w:tcPr>
            <w:tcW w:w="1561" w:type="dxa"/>
            <w:vAlign w:val="center"/>
          </w:tcPr>
          <w:p w14:paraId="3F8F88D8">
            <w:pPr>
              <w:pStyle w:val="6"/>
              <w:spacing w:line="360" w:lineRule="auto"/>
              <w:ind w:firstLine="0" w:firstLineChars="0"/>
              <w:jc w:val="center"/>
              <w:rPr>
                <w:rFonts w:ascii="宋体" w:cs="宋体"/>
                <w:color w:val="auto"/>
                <w:szCs w:val="21"/>
              </w:rPr>
            </w:pPr>
          </w:p>
        </w:tc>
        <w:tc>
          <w:tcPr>
            <w:tcW w:w="1252" w:type="dxa"/>
            <w:vAlign w:val="center"/>
          </w:tcPr>
          <w:p w14:paraId="631EDF8A">
            <w:pPr>
              <w:pStyle w:val="6"/>
              <w:spacing w:line="360" w:lineRule="auto"/>
              <w:ind w:firstLine="0" w:firstLineChars="0"/>
              <w:jc w:val="center"/>
              <w:rPr>
                <w:rFonts w:ascii="宋体" w:cs="宋体"/>
                <w:color w:val="auto"/>
                <w:szCs w:val="21"/>
              </w:rPr>
            </w:pPr>
          </w:p>
        </w:tc>
        <w:tc>
          <w:tcPr>
            <w:tcW w:w="1565" w:type="dxa"/>
            <w:vAlign w:val="center"/>
          </w:tcPr>
          <w:p w14:paraId="01D117A8">
            <w:pPr>
              <w:pStyle w:val="6"/>
              <w:spacing w:line="360" w:lineRule="auto"/>
              <w:ind w:firstLine="0" w:firstLineChars="0"/>
              <w:jc w:val="center"/>
              <w:rPr>
                <w:rFonts w:ascii="宋体" w:cs="宋体"/>
                <w:color w:val="auto"/>
                <w:szCs w:val="21"/>
              </w:rPr>
            </w:pPr>
          </w:p>
        </w:tc>
        <w:tc>
          <w:tcPr>
            <w:tcW w:w="1196" w:type="dxa"/>
            <w:vAlign w:val="center"/>
          </w:tcPr>
          <w:p w14:paraId="5A145BFD">
            <w:pPr>
              <w:pStyle w:val="6"/>
              <w:spacing w:line="360" w:lineRule="auto"/>
              <w:ind w:firstLine="0" w:firstLineChars="0"/>
              <w:jc w:val="center"/>
              <w:rPr>
                <w:rFonts w:ascii="宋体" w:cs="宋体"/>
                <w:color w:val="auto"/>
                <w:szCs w:val="21"/>
              </w:rPr>
            </w:pPr>
          </w:p>
        </w:tc>
        <w:tc>
          <w:tcPr>
            <w:tcW w:w="1261" w:type="dxa"/>
            <w:vAlign w:val="center"/>
          </w:tcPr>
          <w:p w14:paraId="77D71CB7">
            <w:pPr>
              <w:pStyle w:val="6"/>
              <w:spacing w:line="360" w:lineRule="auto"/>
              <w:ind w:firstLine="0" w:firstLineChars="0"/>
              <w:jc w:val="center"/>
              <w:rPr>
                <w:rFonts w:ascii="宋体" w:cs="宋体"/>
                <w:color w:val="auto"/>
                <w:szCs w:val="21"/>
              </w:rPr>
            </w:pPr>
          </w:p>
        </w:tc>
      </w:tr>
      <w:tr w14:paraId="1FF7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52" w:type="dxa"/>
            <w:vAlign w:val="center"/>
          </w:tcPr>
          <w:p w14:paraId="49F72D66">
            <w:pPr>
              <w:pStyle w:val="6"/>
              <w:spacing w:line="360" w:lineRule="auto"/>
              <w:ind w:firstLine="0" w:firstLineChars="0"/>
              <w:jc w:val="center"/>
              <w:rPr>
                <w:rFonts w:ascii="宋体" w:cs="宋体"/>
                <w:color w:val="auto"/>
                <w:szCs w:val="21"/>
              </w:rPr>
            </w:pPr>
          </w:p>
        </w:tc>
        <w:tc>
          <w:tcPr>
            <w:tcW w:w="1089" w:type="dxa"/>
            <w:vAlign w:val="center"/>
          </w:tcPr>
          <w:p w14:paraId="4F87D451">
            <w:pPr>
              <w:pStyle w:val="6"/>
              <w:spacing w:line="360" w:lineRule="auto"/>
              <w:ind w:firstLine="0" w:firstLineChars="0"/>
              <w:jc w:val="center"/>
              <w:rPr>
                <w:rFonts w:ascii="宋体" w:cs="宋体"/>
                <w:color w:val="auto"/>
                <w:szCs w:val="21"/>
              </w:rPr>
            </w:pPr>
          </w:p>
        </w:tc>
        <w:tc>
          <w:tcPr>
            <w:tcW w:w="1561" w:type="dxa"/>
            <w:vAlign w:val="center"/>
          </w:tcPr>
          <w:p w14:paraId="0E7B66D5">
            <w:pPr>
              <w:pStyle w:val="6"/>
              <w:spacing w:line="360" w:lineRule="auto"/>
              <w:ind w:firstLine="0" w:firstLineChars="0"/>
              <w:jc w:val="center"/>
              <w:rPr>
                <w:rFonts w:ascii="宋体" w:cs="宋体"/>
                <w:color w:val="auto"/>
                <w:szCs w:val="21"/>
              </w:rPr>
            </w:pPr>
          </w:p>
        </w:tc>
        <w:tc>
          <w:tcPr>
            <w:tcW w:w="1252" w:type="dxa"/>
            <w:vAlign w:val="center"/>
          </w:tcPr>
          <w:p w14:paraId="4337E5B4">
            <w:pPr>
              <w:pStyle w:val="6"/>
              <w:spacing w:line="360" w:lineRule="auto"/>
              <w:ind w:firstLine="0" w:firstLineChars="0"/>
              <w:jc w:val="center"/>
              <w:rPr>
                <w:rFonts w:ascii="宋体" w:cs="宋体"/>
                <w:color w:val="auto"/>
                <w:szCs w:val="21"/>
              </w:rPr>
            </w:pPr>
          </w:p>
        </w:tc>
        <w:tc>
          <w:tcPr>
            <w:tcW w:w="1565" w:type="dxa"/>
            <w:vAlign w:val="center"/>
          </w:tcPr>
          <w:p w14:paraId="67471D72">
            <w:pPr>
              <w:pStyle w:val="6"/>
              <w:spacing w:line="360" w:lineRule="auto"/>
              <w:ind w:firstLine="0" w:firstLineChars="0"/>
              <w:jc w:val="center"/>
              <w:rPr>
                <w:rFonts w:ascii="宋体" w:cs="宋体"/>
                <w:color w:val="auto"/>
                <w:szCs w:val="21"/>
              </w:rPr>
            </w:pPr>
          </w:p>
        </w:tc>
        <w:tc>
          <w:tcPr>
            <w:tcW w:w="1196" w:type="dxa"/>
            <w:vAlign w:val="center"/>
          </w:tcPr>
          <w:p w14:paraId="721A4B15">
            <w:pPr>
              <w:pStyle w:val="6"/>
              <w:spacing w:line="360" w:lineRule="auto"/>
              <w:ind w:firstLine="0" w:firstLineChars="0"/>
              <w:jc w:val="center"/>
              <w:rPr>
                <w:rFonts w:ascii="宋体" w:cs="宋体"/>
                <w:color w:val="auto"/>
                <w:szCs w:val="21"/>
              </w:rPr>
            </w:pPr>
          </w:p>
        </w:tc>
        <w:tc>
          <w:tcPr>
            <w:tcW w:w="1261" w:type="dxa"/>
            <w:vAlign w:val="center"/>
          </w:tcPr>
          <w:p w14:paraId="3B4BD2DD">
            <w:pPr>
              <w:pStyle w:val="6"/>
              <w:spacing w:line="360" w:lineRule="auto"/>
              <w:ind w:firstLine="0" w:firstLineChars="0"/>
              <w:jc w:val="center"/>
              <w:rPr>
                <w:rFonts w:ascii="宋体" w:cs="宋体"/>
                <w:color w:val="auto"/>
                <w:szCs w:val="21"/>
              </w:rPr>
            </w:pPr>
          </w:p>
        </w:tc>
      </w:tr>
      <w:tr w14:paraId="41FC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52" w:type="dxa"/>
            <w:vAlign w:val="center"/>
          </w:tcPr>
          <w:p w14:paraId="4B761A57">
            <w:pPr>
              <w:pStyle w:val="6"/>
              <w:spacing w:line="360" w:lineRule="auto"/>
              <w:ind w:firstLine="0" w:firstLineChars="0"/>
              <w:jc w:val="center"/>
              <w:rPr>
                <w:rFonts w:ascii="宋体" w:cs="宋体"/>
                <w:color w:val="auto"/>
                <w:szCs w:val="21"/>
              </w:rPr>
            </w:pPr>
          </w:p>
        </w:tc>
        <w:tc>
          <w:tcPr>
            <w:tcW w:w="1089" w:type="dxa"/>
            <w:vAlign w:val="center"/>
          </w:tcPr>
          <w:p w14:paraId="1FB82FDA">
            <w:pPr>
              <w:pStyle w:val="6"/>
              <w:spacing w:line="360" w:lineRule="auto"/>
              <w:ind w:firstLine="0" w:firstLineChars="0"/>
              <w:jc w:val="center"/>
              <w:rPr>
                <w:rFonts w:ascii="宋体" w:cs="宋体"/>
                <w:color w:val="auto"/>
                <w:szCs w:val="21"/>
              </w:rPr>
            </w:pPr>
          </w:p>
        </w:tc>
        <w:tc>
          <w:tcPr>
            <w:tcW w:w="1561" w:type="dxa"/>
            <w:vAlign w:val="center"/>
          </w:tcPr>
          <w:p w14:paraId="6BE641D4">
            <w:pPr>
              <w:pStyle w:val="6"/>
              <w:spacing w:line="360" w:lineRule="auto"/>
              <w:ind w:firstLine="0" w:firstLineChars="0"/>
              <w:jc w:val="center"/>
              <w:rPr>
                <w:rFonts w:ascii="宋体" w:cs="宋体"/>
                <w:color w:val="auto"/>
                <w:szCs w:val="21"/>
              </w:rPr>
            </w:pPr>
          </w:p>
        </w:tc>
        <w:tc>
          <w:tcPr>
            <w:tcW w:w="1252" w:type="dxa"/>
            <w:vAlign w:val="center"/>
          </w:tcPr>
          <w:p w14:paraId="2B0EDFE6">
            <w:pPr>
              <w:pStyle w:val="6"/>
              <w:spacing w:line="360" w:lineRule="auto"/>
              <w:ind w:firstLine="0" w:firstLineChars="0"/>
              <w:jc w:val="center"/>
              <w:rPr>
                <w:rFonts w:ascii="宋体" w:cs="宋体"/>
                <w:color w:val="auto"/>
                <w:szCs w:val="21"/>
              </w:rPr>
            </w:pPr>
          </w:p>
        </w:tc>
        <w:tc>
          <w:tcPr>
            <w:tcW w:w="1565" w:type="dxa"/>
            <w:vAlign w:val="center"/>
          </w:tcPr>
          <w:p w14:paraId="2EBCA948">
            <w:pPr>
              <w:pStyle w:val="6"/>
              <w:spacing w:line="360" w:lineRule="auto"/>
              <w:ind w:firstLine="0" w:firstLineChars="0"/>
              <w:jc w:val="center"/>
              <w:rPr>
                <w:rFonts w:ascii="宋体" w:cs="宋体"/>
                <w:color w:val="auto"/>
                <w:szCs w:val="21"/>
              </w:rPr>
            </w:pPr>
          </w:p>
        </w:tc>
        <w:tc>
          <w:tcPr>
            <w:tcW w:w="1196" w:type="dxa"/>
            <w:vAlign w:val="center"/>
          </w:tcPr>
          <w:p w14:paraId="4A70DE62">
            <w:pPr>
              <w:pStyle w:val="6"/>
              <w:spacing w:line="360" w:lineRule="auto"/>
              <w:ind w:firstLine="0" w:firstLineChars="0"/>
              <w:jc w:val="center"/>
              <w:rPr>
                <w:rFonts w:ascii="宋体" w:cs="宋体"/>
                <w:color w:val="auto"/>
                <w:szCs w:val="21"/>
              </w:rPr>
            </w:pPr>
          </w:p>
        </w:tc>
        <w:tc>
          <w:tcPr>
            <w:tcW w:w="1261" w:type="dxa"/>
            <w:vAlign w:val="center"/>
          </w:tcPr>
          <w:p w14:paraId="55CCEB59">
            <w:pPr>
              <w:pStyle w:val="6"/>
              <w:spacing w:line="360" w:lineRule="auto"/>
              <w:ind w:firstLine="0" w:firstLineChars="0"/>
              <w:jc w:val="center"/>
              <w:rPr>
                <w:rFonts w:ascii="宋体" w:cs="宋体"/>
                <w:color w:val="auto"/>
                <w:szCs w:val="21"/>
              </w:rPr>
            </w:pPr>
          </w:p>
        </w:tc>
      </w:tr>
      <w:tr w14:paraId="7309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2" w:type="dxa"/>
            <w:vAlign w:val="center"/>
          </w:tcPr>
          <w:p w14:paraId="2C66A8A5">
            <w:pPr>
              <w:pStyle w:val="6"/>
              <w:spacing w:line="360" w:lineRule="auto"/>
              <w:ind w:firstLine="0" w:firstLineChars="0"/>
              <w:jc w:val="center"/>
              <w:rPr>
                <w:rFonts w:ascii="宋体" w:cs="宋体"/>
                <w:color w:val="auto"/>
                <w:szCs w:val="21"/>
              </w:rPr>
            </w:pPr>
          </w:p>
        </w:tc>
        <w:tc>
          <w:tcPr>
            <w:tcW w:w="1089" w:type="dxa"/>
            <w:vAlign w:val="center"/>
          </w:tcPr>
          <w:p w14:paraId="03C811D6">
            <w:pPr>
              <w:pStyle w:val="6"/>
              <w:spacing w:line="360" w:lineRule="auto"/>
              <w:ind w:firstLine="0" w:firstLineChars="0"/>
              <w:jc w:val="center"/>
              <w:rPr>
                <w:rFonts w:ascii="宋体" w:cs="宋体"/>
                <w:color w:val="auto"/>
                <w:szCs w:val="21"/>
              </w:rPr>
            </w:pPr>
          </w:p>
        </w:tc>
        <w:tc>
          <w:tcPr>
            <w:tcW w:w="1561" w:type="dxa"/>
            <w:vAlign w:val="center"/>
          </w:tcPr>
          <w:p w14:paraId="77AB202F">
            <w:pPr>
              <w:pStyle w:val="6"/>
              <w:spacing w:line="360" w:lineRule="auto"/>
              <w:ind w:firstLine="0" w:firstLineChars="0"/>
              <w:jc w:val="center"/>
              <w:rPr>
                <w:rFonts w:ascii="宋体" w:cs="宋体"/>
                <w:color w:val="auto"/>
                <w:szCs w:val="21"/>
              </w:rPr>
            </w:pPr>
          </w:p>
        </w:tc>
        <w:tc>
          <w:tcPr>
            <w:tcW w:w="1252" w:type="dxa"/>
            <w:vAlign w:val="center"/>
          </w:tcPr>
          <w:p w14:paraId="07744F6A">
            <w:pPr>
              <w:pStyle w:val="6"/>
              <w:spacing w:line="360" w:lineRule="auto"/>
              <w:ind w:firstLine="0" w:firstLineChars="0"/>
              <w:jc w:val="center"/>
              <w:rPr>
                <w:rFonts w:ascii="宋体" w:cs="宋体"/>
                <w:color w:val="auto"/>
                <w:szCs w:val="21"/>
              </w:rPr>
            </w:pPr>
          </w:p>
        </w:tc>
        <w:tc>
          <w:tcPr>
            <w:tcW w:w="1565" w:type="dxa"/>
            <w:vAlign w:val="center"/>
          </w:tcPr>
          <w:p w14:paraId="3490A2BD">
            <w:pPr>
              <w:pStyle w:val="6"/>
              <w:spacing w:line="360" w:lineRule="auto"/>
              <w:ind w:firstLine="0" w:firstLineChars="0"/>
              <w:jc w:val="center"/>
              <w:rPr>
                <w:rFonts w:ascii="宋体" w:cs="宋体"/>
                <w:color w:val="auto"/>
                <w:szCs w:val="21"/>
              </w:rPr>
            </w:pPr>
          </w:p>
        </w:tc>
        <w:tc>
          <w:tcPr>
            <w:tcW w:w="1196" w:type="dxa"/>
            <w:vAlign w:val="center"/>
          </w:tcPr>
          <w:p w14:paraId="2EC2B94D">
            <w:pPr>
              <w:pStyle w:val="6"/>
              <w:spacing w:line="360" w:lineRule="auto"/>
              <w:ind w:firstLine="0" w:firstLineChars="0"/>
              <w:jc w:val="center"/>
              <w:rPr>
                <w:rFonts w:ascii="宋体" w:cs="宋体"/>
                <w:color w:val="auto"/>
                <w:szCs w:val="21"/>
              </w:rPr>
            </w:pPr>
          </w:p>
        </w:tc>
        <w:tc>
          <w:tcPr>
            <w:tcW w:w="1261" w:type="dxa"/>
            <w:vAlign w:val="center"/>
          </w:tcPr>
          <w:p w14:paraId="0F071315">
            <w:pPr>
              <w:pStyle w:val="6"/>
              <w:spacing w:line="360" w:lineRule="auto"/>
              <w:ind w:firstLine="0" w:firstLineChars="0"/>
              <w:jc w:val="center"/>
              <w:rPr>
                <w:rFonts w:ascii="宋体" w:cs="宋体"/>
                <w:color w:val="auto"/>
                <w:szCs w:val="21"/>
              </w:rPr>
            </w:pPr>
          </w:p>
        </w:tc>
      </w:tr>
    </w:tbl>
    <w:p w14:paraId="64658DE9">
      <w:pPr>
        <w:pStyle w:val="6"/>
        <w:spacing w:line="360" w:lineRule="auto"/>
        <w:ind w:firstLine="0" w:firstLineChars="0"/>
        <w:rPr>
          <w:rFonts w:ascii="宋体" w:cs="宋体"/>
          <w:color w:val="auto"/>
          <w:szCs w:val="21"/>
        </w:rPr>
      </w:pPr>
    </w:p>
    <w:p w14:paraId="6C1DC093">
      <w:pPr>
        <w:pStyle w:val="6"/>
        <w:spacing w:line="360" w:lineRule="auto"/>
        <w:ind w:firstLine="0" w:firstLineChars="0"/>
        <w:rPr>
          <w:rFonts w:ascii="宋体" w:cs="宋体"/>
          <w:color w:val="auto"/>
          <w:szCs w:val="21"/>
        </w:rPr>
      </w:pPr>
      <w:r>
        <w:rPr>
          <w:rFonts w:hint="eastAsia" w:ascii="宋体" w:hAnsi="宋体" w:cs="宋体"/>
          <w:b/>
          <w:color w:val="auto"/>
          <w:szCs w:val="21"/>
        </w:rPr>
        <w:t>注：</w:t>
      </w:r>
      <w:r>
        <w:rPr>
          <w:rFonts w:hint="eastAsia" w:ascii="宋体" w:hAnsi="宋体" w:cs="宋体"/>
          <w:b/>
          <w:color w:val="auto"/>
        </w:rPr>
        <w:t>供应商应尽可能地全面地反映自身的业绩情况，提供政府采购类项目相关证明文件。</w:t>
      </w:r>
    </w:p>
    <w:p w14:paraId="436ABEE9">
      <w:pPr>
        <w:pStyle w:val="6"/>
        <w:spacing w:line="360" w:lineRule="auto"/>
        <w:ind w:firstLine="0" w:firstLineChars="0"/>
        <w:rPr>
          <w:rFonts w:ascii="宋体" w:cs="宋体"/>
          <w:color w:val="auto"/>
          <w:szCs w:val="21"/>
        </w:rPr>
      </w:pPr>
    </w:p>
    <w:p w14:paraId="6C4E8D5A">
      <w:pPr>
        <w:adjustRightInd w:val="0"/>
        <w:spacing w:line="360" w:lineRule="auto"/>
        <w:ind w:firstLine="420" w:firstLineChars="200"/>
        <w:jc w:val="left"/>
        <w:rPr>
          <w:rFonts w:ascii="宋体" w:cs="宋体"/>
          <w:szCs w:val="21"/>
        </w:rPr>
      </w:pPr>
      <w:r>
        <w:rPr>
          <w:rFonts w:hint="eastAsia" w:ascii="宋体" w:hAnsi="宋体" w:cs="宋体"/>
          <w:szCs w:val="21"/>
        </w:rPr>
        <w:t>供应商名称：（电子签章）</w:t>
      </w:r>
    </w:p>
    <w:p w14:paraId="103E0240">
      <w:pPr>
        <w:spacing w:line="360" w:lineRule="auto"/>
        <w:ind w:firstLine="411" w:firstLineChars="196"/>
        <w:rPr>
          <w:rFonts w:ascii="宋体" w:cs="宋体"/>
          <w:szCs w:val="21"/>
          <w:u w:val="single"/>
        </w:rPr>
      </w:pPr>
      <w:r>
        <w:rPr>
          <w:rFonts w:hint="eastAsia" w:ascii="宋体" w:hAnsi="宋体" w:cs="宋体"/>
          <w:szCs w:val="21"/>
        </w:rPr>
        <w:t>法定代表人：（电子签名）</w:t>
      </w:r>
    </w:p>
    <w:p w14:paraId="5B014A14">
      <w:pPr>
        <w:spacing w:line="360" w:lineRule="auto"/>
        <w:ind w:firstLine="411" w:firstLineChars="196"/>
        <w:rPr>
          <w:rFonts w:ascii="宋体" w:cs="宋体"/>
          <w:szCs w:val="21"/>
        </w:rPr>
      </w:pPr>
      <w:r>
        <w:rPr>
          <w:rFonts w:hint="eastAsia" w:ascii="宋体" w:hAnsi="宋体" w:cs="宋体"/>
          <w:szCs w:val="21"/>
        </w:rPr>
        <w:t>日期：年月日</w:t>
      </w:r>
    </w:p>
    <w:p w14:paraId="11806B4C">
      <w:pPr>
        <w:pStyle w:val="6"/>
        <w:ind w:firstLine="0" w:firstLineChars="0"/>
        <w:rPr>
          <w:rFonts w:ascii="宋体" w:cs="宋体"/>
          <w:color w:val="auto"/>
        </w:rPr>
      </w:pPr>
    </w:p>
    <w:p w14:paraId="4CA1E96D">
      <w:pPr>
        <w:pStyle w:val="6"/>
        <w:ind w:firstLine="0" w:firstLineChars="0"/>
        <w:rPr>
          <w:rFonts w:ascii="宋体" w:cs="宋体"/>
          <w:color w:val="auto"/>
        </w:rPr>
      </w:pPr>
    </w:p>
    <w:p w14:paraId="7DC476A6">
      <w:pPr>
        <w:pStyle w:val="6"/>
        <w:ind w:firstLine="0" w:firstLineChars="0"/>
        <w:rPr>
          <w:rFonts w:ascii="宋体" w:cs="宋体"/>
          <w:color w:val="auto"/>
        </w:rPr>
      </w:pPr>
    </w:p>
    <w:p w14:paraId="2C726D98">
      <w:pPr>
        <w:tabs>
          <w:tab w:val="left" w:pos="840"/>
        </w:tabs>
        <w:autoSpaceDE w:val="0"/>
        <w:autoSpaceDN w:val="0"/>
        <w:adjustRightInd w:val="0"/>
        <w:spacing w:line="360" w:lineRule="auto"/>
        <w:jc w:val="left"/>
        <w:rPr>
          <w:rFonts w:ascii="宋体" w:cs="宋体"/>
          <w:b/>
          <w:bCs/>
          <w:color w:val="auto"/>
          <w:sz w:val="28"/>
          <w:szCs w:val="28"/>
        </w:rPr>
      </w:pPr>
    </w:p>
    <w:p w14:paraId="0EA69D7A">
      <w:pPr>
        <w:rPr>
          <w:rFonts w:ascii="宋体" w:cs="宋体"/>
          <w:color w:val="auto"/>
        </w:rPr>
      </w:pPr>
      <w:r>
        <w:rPr>
          <w:rFonts w:ascii="宋体" w:cs="宋体"/>
          <w:color w:val="auto"/>
        </w:rPr>
        <w:br w:type="page"/>
      </w:r>
    </w:p>
    <w:p w14:paraId="2713DA11">
      <w:pPr>
        <w:pStyle w:val="5"/>
        <w:keepNext w:val="0"/>
        <w:keepLines w:val="0"/>
        <w:numPr>
          <w:ilvl w:val="1"/>
          <w:numId w:val="16"/>
        </w:numPr>
        <w:spacing w:before="0" w:after="0" w:line="360" w:lineRule="auto"/>
        <w:rPr>
          <w:rFonts w:ascii="宋体" w:hAnsi="宋体" w:cs="宋体"/>
          <w:sz w:val="24"/>
          <w:szCs w:val="24"/>
        </w:rPr>
      </w:pPr>
      <w:r>
        <w:rPr>
          <w:rFonts w:hint="eastAsia" w:ascii="宋体" w:hAnsi="宋体" w:cs="宋体"/>
          <w:sz w:val="24"/>
          <w:szCs w:val="24"/>
        </w:rPr>
        <w:t>反商业贿赂承诺书</w:t>
      </w:r>
    </w:p>
    <w:p w14:paraId="33336FBB">
      <w:pPr>
        <w:autoSpaceDE w:val="0"/>
        <w:autoSpaceDN w:val="0"/>
        <w:adjustRightInd w:val="0"/>
        <w:spacing w:line="360" w:lineRule="auto"/>
        <w:rPr>
          <w:rFonts w:ascii="宋体" w:cs="宋体"/>
          <w:bCs/>
          <w:color w:val="auto"/>
          <w:spacing w:val="10"/>
          <w:szCs w:val="21"/>
        </w:rPr>
      </w:pPr>
      <w:r>
        <w:rPr>
          <w:rFonts w:hint="eastAsia" w:ascii="宋体" w:hAnsi="宋体" w:cs="宋体"/>
          <w:bCs/>
          <w:color w:val="auto"/>
          <w:szCs w:val="21"/>
        </w:rPr>
        <w:t>我公司承诺</w:t>
      </w:r>
      <w:r>
        <w:rPr>
          <w:rFonts w:hint="eastAsia" w:ascii="宋体" w:hAnsi="宋体" w:cs="宋体"/>
          <w:bCs/>
          <w:color w:val="auto"/>
          <w:spacing w:val="10"/>
          <w:szCs w:val="21"/>
        </w:rPr>
        <w:t>：</w:t>
      </w:r>
    </w:p>
    <w:p w14:paraId="4899C912">
      <w:pPr>
        <w:autoSpaceDE w:val="0"/>
        <w:autoSpaceDN w:val="0"/>
        <w:adjustRightInd w:val="0"/>
        <w:spacing w:line="360" w:lineRule="auto"/>
        <w:ind w:firstLine="420" w:firstLineChars="200"/>
        <w:rPr>
          <w:rFonts w:ascii="宋体" w:cs="宋体"/>
          <w:bCs/>
          <w:color w:val="auto"/>
          <w:szCs w:val="21"/>
        </w:rPr>
      </w:pPr>
      <w:r>
        <w:rPr>
          <w:rFonts w:hint="eastAsia" w:ascii="宋体" w:hAnsi="宋体" w:cs="宋体"/>
          <w:bCs/>
          <w:color w:val="auto"/>
          <w:szCs w:val="21"/>
        </w:rPr>
        <w:t>在</w:t>
      </w:r>
      <w:r>
        <w:rPr>
          <w:rFonts w:hint="eastAsia" w:ascii="宋体" w:hAnsi="宋体" w:cs="宋体"/>
          <w:bCs/>
          <w:color w:val="auto"/>
          <w:szCs w:val="21"/>
          <w:u w:val="single"/>
        </w:rPr>
        <w:t>（项目名称及标段）</w:t>
      </w:r>
      <w:r>
        <w:rPr>
          <w:rFonts w:hint="eastAsia" w:ascii="宋体" w:hAnsi="宋体" w:cs="宋体"/>
          <w:bCs/>
          <w:color w:val="auto"/>
          <w:szCs w:val="21"/>
        </w:rPr>
        <w:t>招标活动中，我公司保证做到：</w:t>
      </w:r>
    </w:p>
    <w:p w14:paraId="1780B14D">
      <w:pPr>
        <w:autoSpaceDE w:val="0"/>
        <w:autoSpaceDN w:val="0"/>
        <w:adjustRightInd w:val="0"/>
        <w:spacing w:line="360" w:lineRule="auto"/>
        <w:ind w:firstLine="420" w:firstLineChars="200"/>
        <w:rPr>
          <w:rFonts w:ascii="宋体" w:cs="宋体"/>
          <w:bCs/>
          <w:color w:val="auto"/>
          <w:szCs w:val="21"/>
        </w:rPr>
      </w:pPr>
      <w:r>
        <w:rPr>
          <w:rFonts w:hint="eastAsia" w:ascii="宋体" w:hAnsi="宋体" w:cs="宋体"/>
          <w:bCs/>
          <w:color w:val="auto"/>
          <w:szCs w:val="21"/>
        </w:rPr>
        <w:t>一、公平竞争参加本次招标活动。</w:t>
      </w:r>
    </w:p>
    <w:p w14:paraId="1BDB951E">
      <w:pPr>
        <w:autoSpaceDE w:val="0"/>
        <w:autoSpaceDN w:val="0"/>
        <w:adjustRightInd w:val="0"/>
        <w:spacing w:line="360" w:lineRule="auto"/>
        <w:ind w:firstLine="420" w:firstLineChars="200"/>
        <w:rPr>
          <w:rFonts w:ascii="宋体" w:cs="宋体"/>
          <w:bCs/>
          <w:color w:val="auto"/>
          <w:szCs w:val="21"/>
        </w:rPr>
      </w:pPr>
      <w:r>
        <w:rPr>
          <w:rFonts w:hint="eastAsia" w:ascii="宋体" w:hAnsi="宋体" w:cs="宋体"/>
          <w:bCs/>
          <w:color w:val="auto"/>
          <w:szCs w:val="21"/>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C85CCF6">
      <w:pPr>
        <w:autoSpaceDE w:val="0"/>
        <w:autoSpaceDN w:val="0"/>
        <w:adjustRightInd w:val="0"/>
        <w:spacing w:line="360" w:lineRule="auto"/>
        <w:ind w:firstLine="420" w:firstLineChars="200"/>
        <w:rPr>
          <w:rFonts w:ascii="宋体" w:cs="宋体"/>
          <w:bCs/>
          <w:color w:val="auto"/>
          <w:szCs w:val="21"/>
        </w:rPr>
      </w:pPr>
      <w:r>
        <w:rPr>
          <w:rFonts w:hint="eastAsia" w:ascii="宋体" w:hAnsi="宋体" w:cs="宋体"/>
          <w:bCs/>
          <w:color w:val="auto"/>
          <w:szCs w:val="21"/>
        </w:rPr>
        <w:t>三、若出现上述行为，我公司及参与投标的工作人员愿意接受按照国家法律法规等有关规定给予的处罚。</w:t>
      </w:r>
    </w:p>
    <w:p w14:paraId="4209871D">
      <w:pPr>
        <w:adjustRightInd w:val="0"/>
        <w:spacing w:line="360" w:lineRule="auto"/>
        <w:ind w:firstLine="420" w:firstLineChars="200"/>
        <w:jc w:val="left"/>
        <w:rPr>
          <w:rFonts w:ascii="宋体" w:cs="宋体"/>
          <w:szCs w:val="21"/>
        </w:rPr>
      </w:pPr>
      <w:r>
        <w:rPr>
          <w:rFonts w:hint="eastAsia" w:ascii="宋体" w:hAnsi="宋体" w:cs="宋体"/>
          <w:szCs w:val="21"/>
        </w:rPr>
        <w:t>供应商名称：（电子签章）</w:t>
      </w:r>
    </w:p>
    <w:p w14:paraId="4BE36210">
      <w:pPr>
        <w:spacing w:line="360" w:lineRule="auto"/>
        <w:ind w:firstLine="411" w:firstLineChars="196"/>
        <w:rPr>
          <w:rFonts w:ascii="宋体" w:cs="宋体"/>
          <w:szCs w:val="21"/>
          <w:u w:val="single"/>
        </w:rPr>
      </w:pPr>
      <w:r>
        <w:rPr>
          <w:rFonts w:hint="eastAsia" w:ascii="宋体" w:hAnsi="宋体" w:cs="宋体"/>
          <w:szCs w:val="21"/>
        </w:rPr>
        <w:t>法定代表人：（电子签名）</w:t>
      </w:r>
    </w:p>
    <w:p w14:paraId="1D36735F">
      <w:pPr>
        <w:spacing w:line="360" w:lineRule="auto"/>
        <w:ind w:firstLine="411" w:firstLineChars="196"/>
        <w:rPr>
          <w:rFonts w:ascii="宋体" w:cs="宋体"/>
          <w:szCs w:val="21"/>
        </w:rPr>
      </w:pPr>
      <w:r>
        <w:rPr>
          <w:rFonts w:hint="eastAsia" w:ascii="宋体" w:hAnsi="宋体" w:cs="宋体"/>
          <w:szCs w:val="21"/>
        </w:rPr>
        <w:t>日期：年月日</w:t>
      </w:r>
    </w:p>
    <w:p w14:paraId="648D06B5">
      <w:pPr>
        <w:autoSpaceDE w:val="0"/>
        <w:autoSpaceDN w:val="0"/>
        <w:adjustRightInd w:val="0"/>
        <w:spacing w:line="360" w:lineRule="auto"/>
        <w:ind w:firstLine="5880" w:firstLineChars="2800"/>
        <w:jc w:val="left"/>
        <w:rPr>
          <w:rFonts w:ascii="宋体" w:cs="宋体"/>
          <w:bCs/>
          <w:color w:val="auto"/>
          <w:szCs w:val="21"/>
        </w:rPr>
      </w:pPr>
    </w:p>
    <w:p w14:paraId="25A6DF4A">
      <w:pPr>
        <w:pStyle w:val="2"/>
        <w:rPr>
          <w:rFonts w:ascii="宋体" w:cs="宋体"/>
        </w:rPr>
      </w:pPr>
    </w:p>
    <w:p w14:paraId="0D0D6A7E">
      <w:pPr>
        <w:pStyle w:val="3"/>
        <w:rPr>
          <w:rFonts w:hAnsi="宋体"/>
        </w:rPr>
      </w:pPr>
    </w:p>
    <w:p w14:paraId="6942A132">
      <w:pPr>
        <w:pStyle w:val="2"/>
        <w:rPr>
          <w:rFonts w:ascii="宋体" w:cs="宋体"/>
        </w:rPr>
      </w:pPr>
    </w:p>
    <w:p w14:paraId="59DFA2D7">
      <w:r>
        <w:rPr>
          <w:rFonts w:ascii="宋体" w:cs="宋体"/>
          <w:sz w:val="24"/>
          <w:szCs w:val="24"/>
        </w:rPr>
        <w:br w:type="page"/>
      </w:r>
    </w:p>
    <w:p w14:paraId="51A6F74E">
      <w:pPr>
        <w:pStyle w:val="5"/>
        <w:keepNext w:val="0"/>
        <w:keepLines w:val="0"/>
        <w:numPr>
          <w:ilvl w:val="1"/>
          <w:numId w:val="16"/>
        </w:numPr>
        <w:spacing w:before="0" w:after="0" w:line="360" w:lineRule="auto"/>
        <w:rPr>
          <w:rFonts w:ascii="宋体" w:hAnsi="宋体" w:cs="宋体"/>
          <w:sz w:val="24"/>
          <w:szCs w:val="24"/>
        </w:rPr>
      </w:pPr>
      <w:r>
        <w:rPr>
          <w:rFonts w:hint="eastAsia" w:ascii="宋体" w:hAnsi="宋体" w:cs="宋体"/>
          <w:sz w:val="24"/>
          <w:szCs w:val="24"/>
        </w:rPr>
        <w:t>中标服务费承诺书</w:t>
      </w:r>
    </w:p>
    <w:p w14:paraId="5BF91026">
      <w:pPr>
        <w:spacing w:line="360" w:lineRule="auto"/>
        <w:rPr>
          <w:rFonts w:ascii="宋体" w:cs="宋体"/>
          <w:color w:val="auto"/>
          <w:szCs w:val="21"/>
        </w:rPr>
      </w:pPr>
      <w:r>
        <w:rPr>
          <w:rFonts w:hint="eastAsia" w:ascii="宋体" w:hAnsi="宋体" w:cs="宋体"/>
          <w:color w:val="auto"/>
          <w:szCs w:val="21"/>
        </w:rPr>
        <w:t>致：河南尧天工程管理有限公司</w:t>
      </w:r>
    </w:p>
    <w:p w14:paraId="0E497986">
      <w:pPr>
        <w:spacing w:line="360" w:lineRule="auto"/>
        <w:ind w:firstLine="420" w:firstLineChars="200"/>
        <w:rPr>
          <w:rFonts w:ascii="宋体" w:cs="宋体"/>
          <w:color w:val="auto"/>
          <w:szCs w:val="21"/>
        </w:rPr>
      </w:pPr>
      <w:r>
        <w:rPr>
          <w:rFonts w:hint="eastAsia" w:ascii="宋体" w:hAnsi="宋体" w:cs="宋体"/>
          <w:color w:val="auto"/>
          <w:szCs w:val="21"/>
        </w:rPr>
        <w:t>我们在贵公司组织的</w:t>
      </w:r>
      <w:r>
        <w:rPr>
          <w:rFonts w:hint="eastAsia" w:ascii="宋体" w:hAnsi="宋体" w:cs="宋体"/>
          <w:color w:val="auto"/>
          <w:szCs w:val="21"/>
          <w:u w:val="single"/>
        </w:rPr>
        <w:t>（项目名称及标段）</w:t>
      </w:r>
      <w:r>
        <w:rPr>
          <w:rFonts w:hint="eastAsia" w:ascii="宋体" w:hAnsi="宋体" w:cs="宋体"/>
          <w:color w:val="auto"/>
          <w:szCs w:val="21"/>
        </w:rPr>
        <w:t>项目中若中标，我们保证在领取中标通知书时向河南尧天工程管理有限公司一次性支付该项目的中标服务费。</w:t>
      </w:r>
    </w:p>
    <w:p w14:paraId="4741AB48">
      <w:pPr>
        <w:spacing w:line="360" w:lineRule="auto"/>
        <w:ind w:firstLine="420" w:firstLineChars="200"/>
        <w:rPr>
          <w:rFonts w:ascii="宋体" w:cs="宋体"/>
          <w:color w:val="auto"/>
          <w:szCs w:val="21"/>
        </w:rPr>
      </w:pPr>
      <w:r>
        <w:rPr>
          <w:rFonts w:hint="eastAsia" w:ascii="宋体" w:hAnsi="宋体" w:cs="宋体"/>
          <w:color w:val="auto"/>
          <w:szCs w:val="21"/>
        </w:rPr>
        <w:t>特此承诺！</w:t>
      </w:r>
    </w:p>
    <w:p w14:paraId="2EB0F98C">
      <w:pPr>
        <w:spacing w:line="360" w:lineRule="auto"/>
        <w:ind w:left="-540" w:leftChars="-257" w:right="25" w:rightChars="12" w:firstLine="720"/>
        <w:rPr>
          <w:rFonts w:ascii="宋体" w:cs="宋体"/>
          <w:color w:val="auto"/>
          <w:szCs w:val="21"/>
        </w:rPr>
      </w:pPr>
    </w:p>
    <w:p w14:paraId="15E28715">
      <w:pPr>
        <w:spacing w:line="360" w:lineRule="auto"/>
        <w:ind w:firstLine="420" w:firstLineChars="200"/>
        <w:rPr>
          <w:rFonts w:ascii="宋体" w:cs="宋体"/>
          <w:color w:val="auto"/>
          <w:szCs w:val="21"/>
        </w:rPr>
      </w:pPr>
      <w:r>
        <w:rPr>
          <w:rFonts w:hint="eastAsia" w:ascii="宋体" w:hAnsi="宋体" w:cs="宋体"/>
          <w:szCs w:val="21"/>
        </w:rPr>
        <w:t>供应商名称</w:t>
      </w:r>
      <w:r>
        <w:rPr>
          <w:rFonts w:hint="eastAsia" w:ascii="宋体" w:hAnsi="宋体" w:cs="宋体"/>
          <w:color w:val="auto"/>
          <w:szCs w:val="21"/>
        </w:rPr>
        <w:t>：</w:t>
      </w:r>
      <w:r>
        <w:rPr>
          <w:rFonts w:ascii="宋体" w:hAnsi="宋体" w:cs="宋体"/>
          <w:color w:val="auto"/>
          <w:szCs w:val="21"/>
        </w:rPr>
        <w:t xml:space="preserve"> _____________________________</w:t>
      </w:r>
      <w:r>
        <w:rPr>
          <w:rFonts w:hint="eastAsia" w:ascii="宋体" w:hAnsi="宋体" w:cs="宋体"/>
          <w:color w:val="auto"/>
          <w:szCs w:val="21"/>
        </w:rPr>
        <w:t>（电子签章）</w:t>
      </w:r>
    </w:p>
    <w:p w14:paraId="208149BD">
      <w:pPr>
        <w:spacing w:line="360" w:lineRule="auto"/>
        <w:ind w:firstLine="420" w:firstLineChars="200"/>
        <w:rPr>
          <w:rFonts w:ascii="宋体" w:cs="宋体"/>
          <w:color w:val="auto"/>
          <w:szCs w:val="21"/>
        </w:rPr>
      </w:pPr>
      <w:r>
        <w:rPr>
          <w:rFonts w:hint="eastAsia" w:ascii="宋体" w:hAnsi="宋体" w:cs="宋体"/>
          <w:color w:val="auto"/>
          <w:szCs w:val="21"/>
        </w:rPr>
        <w:t>地址：</w:t>
      </w:r>
      <w:r>
        <w:rPr>
          <w:rFonts w:ascii="宋体" w:hAnsi="宋体" w:cs="宋体"/>
          <w:color w:val="auto"/>
          <w:szCs w:val="21"/>
        </w:rPr>
        <w:t>____________________________________________</w:t>
      </w:r>
    </w:p>
    <w:p w14:paraId="4392474A">
      <w:pPr>
        <w:tabs>
          <w:tab w:val="left" w:pos="5580"/>
        </w:tabs>
        <w:spacing w:line="360" w:lineRule="auto"/>
        <w:ind w:firstLine="420" w:firstLineChars="200"/>
        <w:rPr>
          <w:rFonts w:ascii="宋体" w:cs="宋体"/>
          <w:color w:val="auto"/>
          <w:szCs w:val="21"/>
        </w:rPr>
      </w:pPr>
      <w:r>
        <w:rPr>
          <w:rFonts w:hint="eastAsia" w:ascii="宋体" w:hAnsi="宋体" w:cs="宋体"/>
          <w:color w:val="auto"/>
          <w:szCs w:val="21"/>
        </w:rPr>
        <w:t>电话：</w:t>
      </w:r>
      <w:r>
        <w:rPr>
          <w:rFonts w:ascii="宋体" w:hAnsi="宋体" w:cs="宋体"/>
          <w:color w:val="auto"/>
          <w:szCs w:val="21"/>
        </w:rPr>
        <w:t xml:space="preserve">______________________   </w:t>
      </w:r>
      <w:r>
        <w:rPr>
          <w:rFonts w:hint="eastAsia" w:ascii="宋体" w:hAnsi="宋体" w:cs="宋体"/>
          <w:color w:val="auto"/>
          <w:szCs w:val="21"/>
        </w:rPr>
        <w:t>传真：</w:t>
      </w:r>
      <w:r>
        <w:rPr>
          <w:rFonts w:ascii="宋体" w:hAnsi="宋体" w:cs="宋体"/>
          <w:color w:val="auto"/>
          <w:szCs w:val="21"/>
        </w:rPr>
        <w:t>_____________</w:t>
      </w:r>
    </w:p>
    <w:p w14:paraId="46DEE03F">
      <w:pPr>
        <w:spacing w:line="360" w:lineRule="auto"/>
        <w:ind w:firstLine="420" w:firstLineChars="200"/>
        <w:rPr>
          <w:rFonts w:ascii="宋体" w:cs="宋体"/>
          <w:color w:val="auto"/>
          <w:szCs w:val="21"/>
        </w:rPr>
      </w:pPr>
      <w:r>
        <w:rPr>
          <w:rFonts w:hint="eastAsia" w:ascii="宋体" w:hAnsi="宋体" w:cs="宋体"/>
          <w:color w:val="auto"/>
          <w:szCs w:val="21"/>
        </w:rPr>
        <w:t>电传：</w:t>
      </w:r>
      <w:r>
        <w:rPr>
          <w:rFonts w:ascii="宋体" w:hAnsi="宋体" w:cs="宋体"/>
          <w:color w:val="auto"/>
          <w:szCs w:val="21"/>
        </w:rPr>
        <w:t xml:space="preserve">______________________   </w:t>
      </w:r>
      <w:r>
        <w:rPr>
          <w:rFonts w:hint="eastAsia" w:ascii="宋体" w:hAnsi="宋体" w:cs="宋体"/>
          <w:color w:val="auto"/>
          <w:szCs w:val="21"/>
        </w:rPr>
        <w:t>邮编：</w:t>
      </w:r>
      <w:r>
        <w:rPr>
          <w:rFonts w:ascii="宋体" w:hAnsi="宋体" w:cs="宋体"/>
          <w:color w:val="auto"/>
          <w:szCs w:val="21"/>
        </w:rPr>
        <w:t>_____________</w:t>
      </w:r>
    </w:p>
    <w:p w14:paraId="124ECBA7">
      <w:pPr>
        <w:spacing w:line="360" w:lineRule="auto"/>
        <w:ind w:firstLine="420" w:firstLineChars="200"/>
        <w:rPr>
          <w:rFonts w:ascii="宋体" w:cs="宋体"/>
          <w:color w:val="auto"/>
          <w:szCs w:val="21"/>
        </w:rPr>
      </w:pPr>
      <w:r>
        <w:rPr>
          <w:rFonts w:hint="eastAsia" w:ascii="宋体" w:hAnsi="宋体" w:cs="宋体"/>
          <w:color w:val="auto"/>
          <w:szCs w:val="21"/>
        </w:rPr>
        <w:t>法定代表人：</w:t>
      </w:r>
      <w:r>
        <w:rPr>
          <w:rFonts w:ascii="宋体" w:hAnsi="宋体" w:cs="宋体"/>
          <w:color w:val="auto"/>
          <w:szCs w:val="21"/>
        </w:rPr>
        <w:t>____________________________</w:t>
      </w:r>
      <w:r>
        <w:rPr>
          <w:rFonts w:hint="eastAsia" w:ascii="宋体" w:hAnsi="宋体" w:cs="宋体"/>
          <w:color w:val="auto"/>
          <w:szCs w:val="21"/>
        </w:rPr>
        <w:t>（电子签名）</w:t>
      </w:r>
    </w:p>
    <w:p w14:paraId="21F95BF4">
      <w:pPr>
        <w:spacing w:line="360" w:lineRule="auto"/>
        <w:ind w:firstLine="420" w:firstLineChars="200"/>
        <w:rPr>
          <w:rFonts w:ascii="宋体" w:cs="宋体"/>
          <w:color w:val="auto"/>
          <w:szCs w:val="21"/>
        </w:rPr>
      </w:pPr>
      <w:r>
        <w:rPr>
          <w:rFonts w:hint="eastAsia" w:ascii="宋体" w:hAnsi="宋体" w:cs="宋体"/>
          <w:color w:val="auto"/>
          <w:szCs w:val="21"/>
        </w:rPr>
        <w:t>承诺日期：</w:t>
      </w:r>
      <w:r>
        <w:rPr>
          <w:rFonts w:ascii="宋体" w:hAnsi="宋体" w:cs="宋体"/>
          <w:color w:val="auto"/>
          <w:szCs w:val="21"/>
        </w:rPr>
        <w:t>____________________________</w:t>
      </w:r>
    </w:p>
    <w:p w14:paraId="72063E54">
      <w:pPr>
        <w:spacing w:line="360" w:lineRule="auto"/>
        <w:ind w:firstLine="420" w:firstLineChars="200"/>
        <w:rPr>
          <w:rFonts w:ascii="宋体" w:cs="宋体"/>
          <w:color w:val="auto"/>
          <w:szCs w:val="21"/>
        </w:rPr>
      </w:pPr>
    </w:p>
    <w:p w14:paraId="7EA1101E">
      <w:pPr>
        <w:pStyle w:val="6"/>
        <w:ind w:firstLine="0" w:firstLineChars="0"/>
        <w:jc w:val="left"/>
        <w:rPr>
          <w:rFonts w:ascii="宋体" w:cs="宋体"/>
        </w:rPr>
      </w:pPr>
    </w:p>
    <w:p w14:paraId="79175FD3">
      <w:pPr>
        <w:pStyle w:val="6"/>
        <w:ind w:firstLine="0" w:firstLineChars="0"/>
        <w:rPr>
          <w:rFonts w:ascii="宋体" w:cs="宋体"/>
        </w:rPr>
      </w:pPr>
    </w:p>
    <w:p w14:paraId="5079AE8F">
      <w:pPr>
        <w:pStyle w:val="5"/>
        <w:keepNext w:val="0"/>
        <w:keepLines w:val="0"/>
        <w:spacing w:before="0" w:after="0" w:line="360" w:lineRule="auto"/>
        <w:ind w:left="567" w:firstLine="0"/>
        <w:jc w:val="both"/>
        <w:rPr>
          <w:rFonts w:ascii="宋体" w:hAnsi="宋体" w:cs="宋体"/>
          <w:sz w:val="24"/>
          <w:szCs w:val="24"/>
        </w:rPr>
      </w:pPr>
      <w:bookmarkStart w:id="42" w:name="_Toc21115"/>
      <w:r>
        <w:rPr>
          <w:rFonts w:ascii="宋体" w:hAnsi="宋体" w:cs="宋体"/>
          <w:sz w:val="24"/>
          <w:szCs w:val="24"/>
        </w:rPr>
        <w:t>4.</w:t>
      </w:r>
      <w:r>
        <w:rPr>
          <w:rFonts w:hint="eastAsia" w:ascii="宋体" w:hAnsi="宋体" w:cs="宋体"/>
          <w:sz w:val="24"/>
          <w:szCs w:val="24"/>
        </w:rPr>
        <w:t>5企业相关信誉证明材料</w:t>
      </w:r>
      <w:bookmarkEnd w:id="42"/>
    </w:p>
    <w:p w14:paraId="1A360334">
      <w:pPr>
        <w:pStyle w:val="3"/>
        <w:rPr>
          <w:rFonts w:hAnsi="宋体"/>
          <w:color w:val="auto"/>
          <w:szCs w:val="21"/>
        </w:rPr>
      </w:pPr>
    </w:p>
    <w:p w14:paraId="4133A4D6">
      <w:pPr>
        <w:pStyle w:val="2"/>
        <w:rPr>
          <w:rFonts w:ascii="宋体" w:cs="宋体"/>
          <w:color w:val="auto"/>
          <w:szCs w:val="21"/>
        </w:rPr>
      </w:pPr>
    </w:p>
    <w:p w14:paraId="7C4BB946">
      <w:pPr>
        <w:pStyle w:val="5"/>
        <w:keepNext w:val="0"/>
        <w:keepLines w:val="0"/>
        <w:spacing w:before="0" w:after="0" w:line="360" w:lineRule="auto"/>
        <w:ind w:left="567" w:firstLine="0"/>
        <w:jc w:val="both"/>
        <w:rPr>
          <w:rFonts w:ascii="宋体" w:hAnsi="宋体" w:cs="宋体"/>
          <w:sz w:val="24"/>
          <w:szCs w:val="24"/>
        </w:rPr>
      </w:pPr>
      <w:bookmarkStart w:id="43" w:name="_Toc2387"/>
      <w:r>
        <w:rPr>
          <w:rFonts w:ascii="宋体" w:hAnsi="宋体" w:cs="宋体"/>
          <w:sz w:val="24"/>
          <w:szCs w:val="24"/>
        </w:rPr>
        <w:t>4.</w:t>
      </w:r>
      <w:r>
        <w:rPr>
          <w:rFonts w:hint="eastAsia" w:ascii="宋体" w:hAnsi="宋体" w:cs="宋体"/>
          <w:sz w:val="24"/>
          <w:szCs w:val="24"/>
        </w:rPr>
        <w:t>6采购文件中要求的其他商务要求证明文件、资料</w:t>
      </w:r>
      <w:bookmarkEnd w:id="43"/>
    </w:p>
    <w:p w14:paraId="14FA3D87">
      <w:pPr>
        <w:pStyle w:val="3"/>
        <w:rPr>
          <w:rFonts w:hAnsi="宋体"/>
          <w:color w:val="auto"/>
          <w:szCs w:val="21"/>
        </w:rPr>
      </w:pPr>
    </w:p>
    <w:p w14:paraId="2ABD1D51">
      <w:pPr>
        <w:pStyle w:val="3"/>
        <w:rPr>
          <w:rFonts w:hAnsi="宋体"/>
          <w:color w:val="auto"/>
          <w:szCs w:val="21"/>
        </w:rPr>
      </w:pPr>
    </w:p>
    <w:p w14:paraId="5E44CF22">
      <w:pPr>
        <w:pStyle w:val="3"/>
        <w:rPr>
          <w:rFonts w:hAnsi="宋体"/>
          <w:color w:val="auto"/>
          <w:szCs w:val="21"/>
        </w:rPr>
      </w:pPr>
    </w:p>
    <w:p w14:paraId="18EEB0CC">
      <w:pPr>
        <w:pStyle w:val="3"/>
        <w:rPr>
          <w:rFonts w:hAnsi="宋体"/>
          <w:color w:val="auto"/>
          <w:szCs w:val="21"/>
        </w:rPr>
      </w:pPr>
    </w:p>
    <w:p w14:paraId="415E5CA8">
      <w:pPr>
        <w:pStyle w:val="3"/>
        <w:rPr>
          <w:rFonts w:hAnsi="宋体"/>
          <w:color w:val="auto"/>
          <w:szCs w:val="21"/>
        </w:rPr>
      </w:pPr>
    </w:p>
    <w:p w14:paraId="3C023BB5">
      <w:pPr>
        <w:pStyle w:val="3"/>
        <w:rPr>
          <w:rFonts w:hAnsi="宋体"/>
          <w:color w:val="auto"/>
          <w:szCs w:val="21"/>
        </w:rPr>
      </w:pPr>
    </w:p>
    <w:p w14:paraId="31AE2949">
      <w:pPr>
        <w:pStyle w:val="3"/>
        <w:rPr>
          <w:rFonts w:hAnsi="宋体"/>
          <w:color w:val="auto"/>
          <w:szCs w:val="21"/>
        </w:rPr>
      </w:pPr>
    </w:p>
    <w:p w14:paraId="2E57339A">
      <w:pPr>
        <w:pStyle w:val="3"/>
        <w:rPr>
          <w:rFonts w:hAnsi="宋体"/>
          <w:color w:val="auto"/>
          <w:szCs w:val="21"/>
        </w:rPr>
      </w:pPr>
    </w:p>
    <w:p w14:paraId="2F3AC6F7">
      <w:pPr>
        <w:pStyle w:val="3"/>
        <w:rPr>
          <w:rFonts w:hAnsi="宋体"/>
          <w:color w:val="auto"/>
          <w:szCs w:val="21"/>
        </w:rPr>
      </w:pPr>
    </w:p>
    <w:p w14:paraId="247FE9F2">
      <w:pPr>
        <w:pStyle w:val="3"/>
        <w:rPr>
          <w:rFonts w:hAnsi="宋体"/>
          <w:color w:val="auto"/>
          <w:szCs w:val="21"/>
        </w:rPr>
      </w:pPr>
    </w:p>
    <w:p w14:paraId="46502D26">
      <w:pPr>
        <w:pStyle w:val="3"/>
        <w:rPr>
          <w:rFonts w:hAnsi="宋体"/>
          <w:color w:val="auto"/>
          <w:szCs w:val="21"/>
        </w:rPr>
      </w:pPr>
    </w:p>
    <w:p w14:paraId="6E282FB7">
      <w:pPr>
        <w:pStyle w:val="3"/>
        <w:rPr>
          <w:rFonts w:hAnsi="宋体"/>
          <w:color w:val="auto"/>
          <w:szCs w:val="21"/>
        </w:rPr>
      </w:pPr>
    </w:p>
    <w:p w14:paraId="37826177">
      <w:pPr>
        <w:pStyle w:val="3"/>
        <w:rPr>
          <w:rFonts w:hAnsi="宋体"/>
          <w:color w:val="auto"/>
          <w:szCs w:val="21"/>
        </w:rPr>
      </w:pPr>
    </w:p>
    <w:p w14:paraId="62570DE8">
      <w:pPr>
        <w:rPr>
          <w:rFonts w:ascii="宋体" w:cs="宋体"/>
          <w:color w:val="auto"/>
          <w:szCs w:val="21"/>
        </w:rPr>
      </w:pPr>
      <w:r>
        <w:rPr>
          <w:rFonts w:ascii="宋体" w:cs="宋体"/>
          <w:color w:val="auto"/>
          <w:szCs w:val="21"/>
        </w:rPr>
        <w:br w:type="page"/>
      </w:r>
    </w:p>
    <w:p w14:paraId="496614CE">
      <w:pPr>
        <w:pStyle w:val="5"/>
        <w:keepNext w:val="0"/>
        <w:keepLines w:val="0"/>
        <w:spacing w:before="0" w:after="0" w:line="360" w:lineRule="auto"/>
        <w:ind w:left="567" w:firstLine="0"/>
        <w:rPr>
          <w:rFonts w:ascii="宋体" w:hAnsi="宋体" w:cs="宋体"/>
          <w:sz w:val="24"/>
          <w:szCs w:val="24"/>
        </w:rPr>
      </w:pPr>
      <w:r>
        <w:rPr>
          <w:rFonts w:ascii="宋体" w:hAnsi="宋体" w:cs="宋体"/>
          <w:sz w:val="24"/>
          <w:szCs w:val="24"/>
        </w:rPr>
        <w:t>4.</w:t>
      </w:r>
      <w:r>
        <w:rPr>
          <w:rFonts w:hint="eastAsia" w:ascii="宋体" w:hAnsi="宋体" w:cs="宋体"/>
          <w:sz w:val="24"/>
          <w:szCs w:val="24"/>
        </w:rPr>
        <w:t>7服务承诺书</w:t>
      </w:r>
    </w:p>
    <w:p w14:paraId="39A299BA">
      <w:pPr>
        <w:spacing w:line="360" w:lineRule="auto"/>
        <w:ind w:firstLine="411" w:firstLineChars="196"/>
        <w:rPr>
          <w:rFonts w:ascii="宋体"/>
          <w:szCs w:val="21"/>
        </w:rPr>
      </w:pPr>
      <w:r>
        <w:rPr>
          <w:rFonts w:hint="eastAsia" w:ascii="宋体" w:hAnsi="宋体"/>
          <w:szCs w:val="21"/>
        </w:rPr>
        <w:t>本公司为</w:t>
      </w:r>
      <w:r>
        <w:rPr>
          <w:rFonts w:hint="eastAsia" w:ascii="宋体" w:hAnsi="宋体"/>
          <w:szCs w:val="21"/>
          <w:lang w:eastAsia="zh-CN"/>
        </w:rPr>
        <w:t>社旗县教育体育局2024年9月-2025年2月全县农村义务教育寄宿制学校早晚餐食材项目</w:t>
      </w:r>
      <w:r>
        <w:rPr>
          <w:rFonts w:hint="eastAsia" w:ascii="宋体" w:hAnsi="宋体"/>
          <w:szCs w:val="21"/>
        </w:rPr>
        <w:t>提供货物和配送服务。为配合采购人做好此次服务工作，保证提供优质服务，本公司现作如下承诺：</w:t>
      </w:r>
    </w:p>
    <w:p w14:paraId="4F3E1773">
      <w:pPr>
        <w:widowControl w:val="0"/>
        <w:numPr>
          <w:ilvl w:val="0"/>
          <w:numId w:val="17"/>
        </w:numPr>
        <w:tabs>
          <w:tab w:val="left" w:pos="0"/>
          <w:tab w:val="clear" w:pos="360"/>
        </w:tabs>
        <w:spacing w:line="360" w:lineRule="auto"/>
        <w:ind w:left="0" w:firstLine="411" w:firstLineChars="196"/>
        <w:rPr>
          <w:rFonts w:ascii="宋体"/>
          <w:szCs w:val="21"/>
        </w:rPr>
      </w:pPr>
      <w:r>
        <w:rPr>
          <w:rFonts w:hint="eastAsia" w:ascii="宋体" w:hAnsi="宋体"/>
          <w:szCs w:val="21"/>
          <w:lang w:eastAsia="zh-CN"/>
        </w:rPr>
        <w:t>社旗县教育体育局2024年9月-2025年2月全县农村义务教育寄宿制学校早晚餐食材项目</w:t>
      </w:r>
      <w:r>
        <w:rPr>
          <w:rFonts w:hint="eastAsia" w:ascii="宋体" w:hAnsi="宋体"/>
          <w:szCs w:val="21"/>
        </w:rPr>
        <w:t>按国家和地方有关规定作好服务。</w:t>
      </w:r>
    </w:p>
    <w:p w14:paraId="4EFE1680">
      <w:pPr>
        <w:widowControl w:val="0"/>
        <w:numPr>
          <w:ilvl w:val="0"/>
          <w:numId w:val="17"/>
        </w:numPr>
        <w:tabs>
          <w:tab w:val="left" w:pos="0"/>
          <w:tab w:val="clear" w:pos="360"/>
        </w:tabs>
        <w:spacing w:line="360" w:lineRule="auto"/>
        <w:ind w:left="0" w:firstLine="411" w:firstLineChars="196"/>
        <w:rPr>
          <w:rFonts w:ascii="宋体"/>
          <w:szCs w:val="21"/>
        </w:rPr>
      </w:pPr>
      <w:r>
        <w:rPr>
          <w:rFonts w:hint="eastAsia" w:ascii="宋体" w:hAnsi="宋体"/>
          <w:szCs w:val="21"/>
        </w:rPr>
        <w:t>保证营养改善计划业务正常进行；</w:t>
      </w:r>
    </w:p>
    <w:p w14:paraId="58D86988">
      <w:pPr>
        <w:widowControl w:val="0"/>
        <w:numPr>
          <w:ilvl w:val="0"/>
          <w:numId w:val="17"/>
        </w:numPr>
        <w:tabs>
          <w:tab w:val="left" w:pos="0"/>
          <w:tab w:val="clear" w:pos="360"/>
        </w:tabs>
        <w:spacing w:line="360" w:lineRule="auto"/>
        <w:ind w:left="0" w:firstLine="411" w:firstLineChars="196"/>
        <w:rPr>
          <w:rFonts w:ascii="宋体"/>
          <w:szCs w:val="21"/>
        </w:rPr>
      </w:pPr>
      <w:r>
        <w:rPr>
          <w:rFonts w:hint="eastAsia" w:ascii="宋体" w:hAnsi="宋体"/>
          <w:szCs w:val="21"/>
        </w:rPr>
        <w:t>保证资料统计准确；</w:t>
      </w:r>
    </w:p>
    <w:p w14:paraId="4933D3A4">
      <w:pPr>
        <w:widowControl w:val="0"/>
        <w:numPr>
          <w:ilvl w:val="0"/>
          <w:numId w:val="17"/>
        </w:numPr>
        <w:tabs>
          <w:tab w:val="left" w:pos="0"/>
          <w:tab w:val="clear" w:pos="360"/>
        </w:tabs>
        <w:spacing w:line="360" w:lineRule="auto"/>
        <w:ind w:left="0" w:firstLine="411" w:firstLineChars="196"/>
        <w:rPr>
          <w:rFonts w:ascii="宋体"/>
          <w:szCs w:val="21"/>
        </w:rPr>
      </w:pPr>
      <w:r>
        <w:rPr>
          <w:rFonts w:hint="eastAsia" w:ascii="宋体" w:hAnsi="宋体"/>
          <w:szCs w:val="21"/>
        </w:rPr>
        <w:t>保证建立专门的政府采购业务档案，并积极配合执行期间政府采购管理部门的检查，同时接受社旗县营养改善计划办公室的监督检查。</w:t>
      </w:r>
    </w:p>
    <w:p w14:paraId="127BF78C">
      <w:pPr>
        <w:widowControl w:val="0"/>
        <w:numPr>
          <w:ilvl w:val="0"/>
          <w:numId w:val="17"/>
        </w:numPr>
        <w:tabs>
          <w:tab w:val="left" w:pos="0"/>
          <w:tab w:val="clear" w:pos="360"/>
        </w:tabs>
        <w:spacing w:line="360" w:lineRule="auto"/>
        <w:ind w:left="0" w:firstLine="411" w:firstLineChars="196"/>
        <w:rPr>
          <w:rFonts w:ascii="宋体"/>
          <w:szCs w:val="21"/>
        </w:rPr>
      </w:pPr>
      <w:r>
        <w:rPr>
          <w:rFonts w:hint="eastAsia" w:ascii="宋体" w:hAnsi="宋体"/>
          <w:szCs w:val="21"/>
        </w:rPr>
        <w:t>接受政府采购办公室和有关部门的监督检查；如有违反投标服务承诺和合同承诺的，将按相关管理办法进行处理；</w:t>
      </w:r>
    </w:p>
    <w:p w14:paraId="56420D35">
      <w:pPr>
        <w:widowControl w:val="0"/>
        <w:numPr>
          <w:ilvl w:val="0"/>
          <w:numId w:val="17"/>
        </w:numPr>
        <w:tabs>
          <w:tab w:val="left" w:pos="0"/>
          <w:tab w:val="clear" w:pos="360"/>
        </w:tabs>
        <w:spacing w:line="360" w:lineRule="auto"/>
        <w:ind w:left="0" w:firstLine="411" w:firstLineChars="196"/>
        <w:rPr>
          <w:rFonts w:ascii="宋体"/>
          <w:szCs w:val="21"/>
        </w:rPr>
      </w:pPr>
      <w:r>
        <w:rPr>
          <w:rFonts w:hint="eastAsia" w:ascii="宋体" w:hAnsi="宋体"/>
          <w:szCs w:val="21"/>
        </w:rPr>
        <w:t>保证所提供产品质量安全无害，遵守《中华人民共和国产品质量法》、《中华人民共和国消费者权益保护法》、《中华人民共和国食品安全法》及《实施条例》等相关法律、法规；</w:t>
      </w:r>
    </w:p>
    <w:p w14:paraId="78305703">
      <w:pPr>
        <w:widowControl w:val="0"/>
        <w:numPr>
          <w:ilvl w:val="0"/>
          <w:numId w:val="17"/>
        </w:numPr>
        <w:tabs>
          <w:tab w:val="left" w:pos="0"/>
          <w:tab w:val="clear" w:pos="360"/>
        </w:tabs>
        <w:spacing w:line="360" w:lineRule="auto"/>
        <w:ind w:left="0" w:firstLine="411" w:firstLineChars="196"/>
        <w:rPr>
          <w:rFonts w:ascii="宋体"/>
          <w:szCs w:val="21"/>
        </w:rPr>
      </w:pPr>
      <w:r>
        <w:rPr>
          <w:rFonts w:hint="eastAsia" w:ascii="宋体" w:hAnsi="宋体"/>
          <w:szCs w:val="21"/>
        </w:rPr>
        <w:t>其他服务：做好售后服务工作</w:t>
      </w:r>
    </w:p>
    <w:p w14:paraId="0D4691FA">
      <w:pPr>
        <w:tabs>
          <w:tab w:val="left" w:pos="0"/>
        </w:tabs>
        <w:spacing w:line="360" w:lineRule="auto"/>
        <w:ind w:firstLine="411" w:firstLineChars="196"/>
        <w:rPr>
          <w:rFonts w:ascii="宋体"/>
          <w:szCs w:val="21"/>
        </w:rPr>
      </w:pPr>
      <w:r>
        <w:rPr>
          <w:rFonts w:hint="eastAsia" w:ascii="宋体" w:hAnsi="宋体"/>
          <w:szCs w:val="21"/>
        </w:rPr>
        <w:t>注：各供应商应根据上述承诺条款但不限于上述条款提出相应服务标准、方案及措施。但不得删减上述条款。</w:t>
      </w:r>
    </w:p>
    <w:p w14:paraId="6350D01F">
      <w:pPr>
        <w:pStyle w:val="6"/>
        <w:spacing w:line="360" w:lineRule="auto"/>
      </w:pPr>
    </w:p>
    <w:p w14:paraId="6C8F9FE0">
      <w:pPr>
        <w:pStyle w:val="6"/>
        <w:spacing w:line="360" w:lineRule="auto"/>
      </w:pPr>
    </w:p>
    <w:p w14:paraId="7EBEA481">
      <w:pPr>
        <w:pStyle w:val="3"/>
        <w:rPr>
          <w:rFonts w:hAnsi="宋体"/>
          <w:color w:val="auto"/>
          <w:szCs w:val="21"/>
        </w:rPr>
      </w:pPr>
    </w:p>
    <w:p w14:paraId="1FF6C2A0">
      <w:pPr>
        <w:rPr>
          <w:rFonts w:ascii="宋体" w:cs="宋体"/>
          <w:color w:val="auto"/>
          <w:szCs w:val="21"/>
        </w:rPr>
      </w:pPr>
      <w:r>
        <w:rPr>
          <w:rFonts w:ascii="宋体" w:cs="宋体"/>
          <w:color w:val="auto"/>
          <w:szCs w:val="21"/>
        </w:rPr>
        <w:br w:type="page"/>
      </w:r>
    </w:p>
    <w:p w14:paraId="7B4706C6">
      <w:pPr>
        <w:pStyle w:val="5"/>
        <w:keepNext w:val="0"/>
        <w:keepLines w:val="0"/>
        <w:spacing w:before="0" w:after="0" w:line="360" w:lineRule="auto"/>
        <w:ind w:left="1134" w:firstLine="0"/>
        <w:rPr>
          <w:rFonts w:ascii="宋体" w:hAnsi="宋体" w:cs="宋体"/>
          <w:sz w:val="24"/>
          <w:szCs w:val="24"/>
        </w:rPr>
      </w:pPr>
      <w:r>
        <w:rPr>
          <w:rFonts w:ascii="宋体" w:hAnsi="宋体" w:cs="宋体"/>
          <w:sz w:val="24"/>
          <w:szCs w:val="24"/>
        </w:rPr>
        <w:t>4.</w:t>
      </w:r>
      <w:r>
        <w:rPr>
          <w:rFonts w:hint="eastAsia" w:ascii="宋体" w:hAnsi="宋体" w:cs="宋体"/>
          <w:sz w:val="24"/>
          <w:szCs w:val="24"/>
        </w:rPr>
        <w:t>8中小企业声明函（货物）</w:t>
      </w:r>
    </w:p>
    <w:p w14:paraId="62F9BF2F">
      <w:pPr>
        <w:pStyle w:val="104"/>
        <w:ind w:firstLine="422"/>
        <w:rPr>
          <w:rFonts w:ascii="宋体" w:cs="宋体"/>
          <w:b/>
        </w:rPr>
      </w:pPr>
    </w:p>
    <w:p w14:paraId="4BCA1CB6">
      <w:pPr>
        <w:spacing w:line="360" w:lineRule="auto"/>
        <w:ind w:firstLine="420" w:firstLineChars="200"/>
        <w:rPr>
          <w:rFonts w:ascii="宋体" w:cs="宋体"/>
          <w:szCs w:val="21"/>
        </w:rPr>
      </w:pPr>
      <w:r>
        <w:rPr>
          <w:rFonts w:hint="eastAsia" w:ascii="宋体" w:hAnsi="宋体" w:cs="宋体"/>
          <w:szCs w:val="21"/>
        </w:rPr>
        <w:t>本公司（联合体）郑重声明，根据《政府采购促进中小企业发展管理办法》（财库﹝</w:t>
      </w:r>
      <w:r>
        <w:rPr>
          <w:rFonts w:ascii="宋体" w:hAnsi="宋体" w:cs="宋体"/>
          <w:szCs w:val="21"/>
        </w:rPr>
        <w:t>2020</w:t>
      </w:r>
      <w:r>
        <w:rPr>
          <w:rFonts w:hint="eastAsia" w:ascii="宋体" w:hAnsi="宋体" w:cs="宋体"/>
          <w:szCs w:val="21"/>
        </w:rPr>
        <w:t>﹞</w:t>
      </w:r>
      <w:r>
        <w:rPr>
          <w:rFonts w:ascii="宋体" w:hAnsi="宋体" w:cs="宋体"/>
          <w:szCs w:val="21"/>
        </w:rPr>
        <w:t>46</w:t>
      </w:r>
      <w:r>
        <w:rPr>
          <w:rFonts w:hint="eastAsia" w:ascii="宋体" w:hAnsi="宋体" w:cs="宋体"/>
          <w:szCs w:val="21"/>
        </w:rPr>
        <w:t>号）的规定，本公司（联合体）参加</w:t>
      </w:r>
      <w:r>
        <w:rPr>
          <w:rFonts w:hint="eastAsia" w:ascii="宋体" w:hAnsi="宋体" w:cs="宋体"/>
          <w:szCs w:val="21"/>
          <w:u w:val="single"/>
        </w:rPr>
        <w:t>（单位名称）</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rPr>
        <w:t>采购活动，提供的货物全部由符合政策要求的中小企业制造。相关企业（含联合体中的中小企业、签订分包意向协议的中小企业）的具体情况如下：</w:t>
      </w:r>
    </w:p>
    <w:p w14:paraId="114CBD72">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行业；制造商为</w:t>
      </w:r>
      <w:r>
        <w:rPr>
          <w:rFonts w:hint="eastAsia" w:ascii="宋体" w:hAnsi="宋体" w:cs="宋体"/>
          <w:szCs w:val="21"/>
          <w:u w:val="single"/>
        </w:rPr>
        <w:t>（企业名称）</w:t>
      </w:r>
      <w:r>
        <w:rPr>
          <w:rFonts w:hint="eastAsia" w:ascii="宋体" w:hAnsi="宋体" w:cs="宋体"/>
          <w:szCs w:val="21"/>
        </w:rPr>
        <w:t>，从业人员人，营业收入为万元，资产总额为万元，属于</w:t>
      </w:r>
      <w:r>
        <w:rPr>
          <w:rFonts w:hint="eastAsia" w:ascii="宋体" w:hAnsi="宋体" w:cs="宋体"/>
          <w:szCs w:val="21"/>
          <w:u w:val="single"/>
        </w:rPr>
        <w:t>（中型企业、小型企业、微型企业）</w:t>
      </w:r>
      <w:r>
        <w:rPr>
          <w:rFonts w:hint="eastAsia" w:ascii="宋体" w:hAnsi="宋体" w:cs="宋体"/>
          <w:szCs w:val="21"/>
        </w:rPr>
        <w:t>；</w:t>
      </w:r>
    </w:p>
    <w:p w14:paraId="7C164996">
      <w:pPr>
        <w:spacing w:line="360" w:lineRule="auto"/>
        <w:ind w:firstLine="420" w:firstLineChars="200"/>
        <w:rPr>
          <w:rFonts w:ascii="宋体" w:cs="宋体"/>
          <w:szCs w:val="21"/>
          <w:u w:val="single"/>
        </w:rPr>
      </w:pPr>
      <w:r>
        <w:rPr>
          <w:rFonts w:ascii="宋体" w:hAnsi="宋体" w:cs="宋体"/>
          <w:szCs w:val="21"/>
        </w:rPr>
        <w:t>2.</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行业；制造商为</w:t>
      </w:r>
      <w:r>
        <w:rPr>
          <w:rFonts w:hint="eastAsia" w:ascii="宋体" w:hAnsi="宋体" w:cs="宋体"/>
          <w:szCs w:val="21"/>
          <w:u w:val="single"/>
        </w:rPr>
        <w:t>（企业名称）</w:t>
      </w:r>
      <w:r>
        <w:rPr>
          <w:rFonts w:hint="eastAsia" w:ascii="宋体" w:hAnsi="宋体" w:cs="宋体"/>
          <w:szCs w:val="21"/>
        </w:rPr>
        <w:t>，从业人员</w:t>
      </w:r>
      <w:r>
        <w:rPr>
          <w:rFonts w:ascii="宋体" w:cs="宋体"/>
          <w:szCs w:val="21"/>
          <w:u w:val="single"/>
        </w:rPr>
        <w:tab/>
      </w:r>
      <w:r>
        <w:rPr>
          <w:rFonts w:hint="eastAsia" w:ascii="宋体" w:hAnsi="宋体" w:cs="宋体"/>
          <w:szCs w:val="21"/>
        </w:rPr>
        <w:t>人，营业收入为</w:t>
      </w:r>
      <w:r>
        <w:rPr>
          <w:rFonts w:ascii="宋体" w:cs="宋体"/>
          <w:szCs w:val="21"/>
          <w:u w:val="single"/>
        </w:rPr>
        <w:tab/>
      </w:r>
      <w:r>
        <w:rPr>
          <w:rFonts w:hint="eastAsia" w:ascii="宋体" w:hAnsi="宋体" w:cs="宋体"/>
          <w:szCs w:val="21"/>
        </w:rPr>
        <w:t>万元，资产总额为万元，属于</w:t>
      </w:r>
      <w:r>
        <w:rPr>
          <w:rFonts w:hint="eastAsia" w:ascii="宋体" w:hAnsi="宋体" w:cs="宋体"/>
          <w:szCs w:val="21"/>
          <w:u w:val="single"/>
        </w:rPr>
        <w:t>（中型企业、小型企业、微型企业）</w:t>
      </w:r>
      <w:r>
        <w:rPr>
          <w:rFonts w:hint="eastAsia" w:ascii="宋体" w:hAnsi="宋体" w:cs="宋体"/>
          <w:szCs w:val="21"/>
        </w:rPr>
        <w:t>；</w:t>
      </w:r>
    </w:p>
    <w:p w14:paraId="14BA1666">
      <w:pPr>
        <w:spacing w:line="360" w:lineRule="auto"/>
        <w:ind w:firstLine="420" w:firstLineChars="200"/>
        <w:rPr>
          <w:rFonts w:ascii="宋体" w:cs="宋体"/>
          <w:szCs w:val="21"/>
        </w:rPr>
      </w:pPr>
      <w:r>
        <w:rPr>
          <w:rFonts w:hint="eastAsia" w:ascii="宋体" w:hAnsi="宋体" w:cs="宋体"/>
          <w:szCs w:val="21"/>
        </w:rPr>
        <w:t>……</w:t>
      </w:r>
    </w:p>
    <w:p w14:paraId="1FA2807F">
      <w:pPr>
        <w:spacing w:line="360" w:lineRule="auto"/>
        <w:ind w:firstLine="420" w:firstLineChars="200"/>
        <w:rPr>
          <w:rFonts w:asci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553CBC3D">
      <w:pPr>
        <w:spacing w:line="360" w:lineRule="auto"/>
        <w:ind w:firstLine="420" w:firstLineChars="200"/>
        <w:rPr>
          <w:rFonts w:ascii="宋体" w:cs="宋体"/>
          <w:szCs w:val="21"/>
        </w:rPr>
      </w:pPr>
      <w:r>
        <w:rPr>
          <w:rFonts w:hint="eastAsia" w:ascii="宋体" w:hAnsi="宋体" w:cs="宋体"/>
          <w:szCs w:val="21"/>
        </w:rPr>
        <w:t>本企业对上述声明内容的真实性负责。如有虚假，将依法承担相应责任。</w:t>
      </w:r>
    </w:p>
    <w:p w14:paraId="001BEC0B">
      <w:pPr>
        <w:pStyle w:val="104"/>
        <w:ind w:firstLine="420"/>
        <w:rPr>
          <w:rFonts w:ascii="宋体" w:cs="宋体"/>
          <w:lang w:val="en-US"/>
        </w:rPr>
      </w:pPr>
    </w:p>
    <w:p w14:paraId="53657CCE">
      <w:pPr>
        <w:spacing w:line="360" w:lineRule="auto"/>
        <w:ind w:right="105" w:firstLine="420" w:firstLineChars="200"/>
        <w:jc w:val="right"/>
        <w:rPr>
          <w:rFonts w:ascii="宋体" w:cs="宋体"/>
          <w:szCs w:val="21"/>
        </w:rPr>
      </w:pPr>
      <w:r>
        <w:rPr>
          <w:rFonts w:hint="eastAsia" w:ascii="宋体" w:hAnsi="宋体" w:cs="宋体"/>
          <w:szCs w:val="21"/>
        </w:rPr>
        <w:t>企业名称（电子签章）：</w:t>
      </w:r>
    </w:p>
    <w:p w14:paraId="1C0C1D0F">
      <w:pPr>
        <w:spacing w:line="360" w:lineRule="auto"/>
        <w:ind w:right="420" w:firstLine="5880" w:firstLineChars="2800"/>
        <w:rPr>
          <w:rFonts w:ascii="宋体" w:cs="宋体"/>
          <w:szCs w:val="21"/>
        </w:rPr>
      </w:pPr>
      <w:r>
        <w:rPr>
          <w:rFonts w:hint="eastAsia" w:ascii="宋体" w:hAnsi="宋体" w:cs="宋体"/>
          <w:szCs w:val="21"/>
        </w:rPr>
        <w:t>日期：</w:t>
      </w:r>
    </w:p>
    <w:p w14:paraId="3CCAF8B1">
      <w:pPr>
        <w:spacing w:line="360" w:lineRule="auto"/>
        <w:ind w:firstLine="420" w:firstLineChars="200"/>
        <w:rPr>
          <w:rFonts w:ascii="宋体" w:cs="宋体"/>
          <w:szCs w:val="21"/>
        </w:rPr>
      </w:pPr>
      <w:r>
        <w:rPr>
          <w:rFonts w:hint="eastAsia" w:ascii="宋体" w:hAnsi="宋体" w:cs="宋体"/>
          <w:szCs w:val="21"/>
        </w:rPr>
        <w:t>注：从业人员、营业收入、资产总额填报上一年度数据，无上一年度数据的新成立企业可不填报。</w:t>
      </w:r>
    </w:p>
    <w:p w14:paraId="1C46E207">
      <w:pPr>
        <w:spacing w:line="360" w:lineRule="auto"/>
        <w:rPr>
          <w:rFonts w:ascii="宋体" w:cs="宋体"/>
          <w:b/>
          <w:sz w:val="28"/>
          <w:szCs w:val="28"/>
        </w:rPr>
      </w:pPr>
    </w:p>
    <w:p w14:paraId="2426C031">
      <w:pPr>
        <w:pStyle w:val="2"/>
        <w:rPr>
          <w:rFonts w:ascii="宋体" w:cs="宋体"/>
          <w:sz w:val="28"/>
          <w:szCs w:val="28"/>
        </w:rPr>
      </w:pPr>
    </w:p>
    <w:p w14:paraId="0663A83F">
      <w:pPr>
        <w:rPr>
          <w:rFonts w:ascii="宋体" w:cs="宋体"/>
          <w:b/>
          <w:sz w:val="24"/>
        </w:rPr>
      </w:pPr>
    </w:p>
    <w:p w14:paraId="79A654DC">
      <w:pPr>
        <w:rPr>
          <w:rFonts w:ascii="宋体" w:cs="宋体"/>
          <w:b/>
          <w:sz w:val="24"/>
        </w:rPr>
      </w:pPr>
    </w:p>
    <w:p w14:paraId="694CC778">
      <w:pPr>
        <w:rPr>
          <w:rFonts w:ascii="宋体" w:cs="宋体"/>
          <w:b/>
          <w:sz w:val="24"/>
        </w:rPr>
      </w:pPr>
    </w:p>
    <w:p w14:paraId="09B68894">
      <w:pPr>
        <w:rPr>
          <w:rFonts w:ascii="宋体" w:cs="宋体"/>
          <w:b/>
          <w:sz w:val="24"/>
        </w:rPr>
      </w:pPr>
    </w:p>
    <w:p w14:paraId="63BAD678">
      <w:pPr>
        <w:rPr>
          <w:rFonts w:ascii="宋体" w:cs="宋体"/>
        </w:rPr>
      </w:pPr>
    </w:p>
    <w:p w14:paraId="004ADA2C">
      <w:pPr>
        <w:rPr>
          <w:rFonts w:ascii="宋体" w:cs="宋体"/>
        </w:rPr>
      </w:pPr>
    </w:p>
    <w:p w14:paraId="1B907E9D">
      <w:pPr>
        <w:rPr>
          <w:rFonts w:ascii="宋体" w:cs="宋体"/>
        </w:rPr>
      </w:pPr>
    </w:p>
    <w:p w14:paraId="3DE8B0A5">
      <w:pPr>
        <w:jc w:val="center"/>
        <w:rPr>
          <w:rFonts w:ascii="宋体" w:cs="宋体"/>
          <w:b/>
          <w:sz w:val="24"/>
          <w:szCs w:val="24"/>
        </w:rPr>
      </w:pPr>
    </w:p>
    <w:p w14:paraId="7DCDFED6">
      <w:pPr>
        <w:jc w:val="center"/>
        <w:rPr>
          <w:rFonts w:ascii="宋体" w:cs="宋体"/>
          <w:b/>
          <w:sz w:val="24"/>
          <w:szCs w:val="24"/>
        </w:rPr>
      </w:pPr>
      <w:r>
        <w:rPr>
          <w:rFonts w:hint="eastAsia" w:ascii="宋体" w:hAnsi="宋体" w:cs="宋体"/>
          <w:b/>
          <w:sz w:val="24"/>
          <w:szCs w:val="24"/>
        </w:rPr>
        <w:t>残疾人福利性单位声明函</w:t>
      </w:r>
    </w:p>
    <w:p w14:paraId="4B86BB2C">
      <w:pPr>
        <w:pStyle w:val="104"/>
        <w:ind w:firstLine="420"/>
        <w:rPr>
          <w:rFonts w:ascii="宋体" w:cs="宋体"/>
          <w:lang w:val="en-US"/>
        </w:rPr>
      </w:pPr>
    </w:p>
    <w:p w14:paraId="7991C11E">
      <w:pPr>
        <w:spacing w:line="360" w:lineRule="auto"/>
        <w:ind w:firstLine="420" w:firstLineChars="200"/>
        <w:rPr>
          <w:rFonts w:ascii="宋体" w:cs="宋体"/>
          <w:szCs w:val="21"/>
        </w:rPr>
      </w:pPr>
      <w:r>
        <w:rPr>
          <w:rFonts w:hint="eastAsia" w:ascii="宋体" w:hAnsi="宋体" w:cs="宋体"/>
          <w:szCs w:val="21"/>
        </w:rPr>
        <w:t>本企业郑重声明，根据《三部门联合发布关于促进残疾人就业政府采购政策的通知》（财库</w:t>
      </w:r>
      <w:r>
        <w:rPr>
          <w:rFonts w:ascii="宋体" w:hAnsi="宋体" w:cs="宋体"/>
          <w:szCs w:val="21"/>
        </w:rPr>
        <w:t>[2017]141</w:t>
      </w:r>
      <w:r>
        <w:rPr>
          <w:rFonts w:hint="eastAsia" w:ascii="宋体" w:hAnsi="宋体" w:cs="宋体"/>
          <w:szCs w:val="21"/>
        </w:rPr>
        <w:t>号），本企业</w:t>
      </w:r>
      <w:r>
        <w:rPr>
          <w:rFonts w:ascii="宋体" w:hAnsi="宋体" w:cs="宋体"/>
          <w:szCs w:val="21"/>
        </w:rPr>
        <w:t>______</w:t>
      </w:r>
      <w:r>
        <w:rPr>
          <w:rFonts w:hint="eastAsia" w:ascii="宋体" w:hAnsi="宋体" w:cs="宋体"/>
          <w:szCs w:val="21"/>
        </w:rPr>
        <w:t>（是、不是）残疾人福利性单位。</w:t>
      </w:r>
    </w:p>
    <w:p w14:paraId="35EE130C">
      <w:pPr>
        <w:spacing w:line="360" w:lineRule="auto"/>
        <w:ind w:firstLine="420" w:firstLineChars="200"/>
        <w:rPr>
          <w:rFonts w:ascii="宋体" w:cs="宋体"/>
          <w:szCs w:val="21"/>
        </w:rPr>
      </w:pPr>
      <w:r>
        <w:rPr>
          <w:rFonts w:hint="eastAsia" w:ascii="宋体" w:hAnsi="宋体" w:cs="宋体"/>
          <w:szCs w:val="21"/>
        </w:rPr>
        <w:t>本企业对上述声明的真实性负责。如有虚假，将依法承担相应责任。</w:t>
      </w:r>
    </w:p>
    <w:p w14:paraId="27EA2D1D">
      <w:pPr>
        <w:tabs>
          <w:tab w:val="left" w:pos="4860"/>
        </w:tabs>
        <w:spacing w:line="360" w:lineRule="auto"/>
        <w:ind w:right="1560" w:firstLine="420" w:firstLineChars="200"/>
        <w:jc w:val="center"/>
        <w:rPr>
          <w:rFonts w:ascii="宋体" w:cs="宋体"/>
          <w:szCs w:val="21"/>
        </w:rPr>
      </w:pPr>
    </w:p>
    <w:p w14:paraId="46E8283E">
      <w:pPr>
        <w:spacing w:line="360" w:lineRule="auto"/>
        <w:ind w:right="105" w:firstLine="420" w:firstLineChars="200"/>
        <w:jc w:val="right"/>
        <w:rPr>
          <w:rFonts w:ascii="宋体" w:cs="宋体"/>
          <w:szCs w:val="21"/>
        </w:rPr>
      </w:pPr>
      <w:r>
        <w:rPr>
          <w:rFonts w:hint="eastAsia" w:ascii="宋体" w:hAnsi="宋体" w:cs="宋体"/>
          <w:szCs w:val="21"/>
        </w:rPr>
        <w:t>企业名称（电子签章）：</w:t>
      </w:r>
    </w:p>
    <w:p w14:paraId="1DACCA7B">
      <w:pPr>
        <w:spacing w:line="360" w:lineRule="auto"/>
        <w:ind w:right="420" w:firstLine="5880" w:firstLineChars="2800"/>
        <w:rPr>
          <w:rFonts w:ascii="宋体" w:cs="宋体"/>
          <w:szCs w:val="21"/>
        </w:rPr>
      </w:pPr>
      <w:r>
        <w:rPr>
          <w:rFonts w:hint="eastAsia" w:ascii="宋体" w:hAnsi="宋体" w:cs="宋体"/>
          <w:szCs w:val="21"/>
        </w:rPr>
        <w:t>日期：</w:t>
      </w:r>
    </w:p>
    <w:p w14:paraId="631D4589">
      <w:pPr>
        <w:spacing w:line="360" w:lineRule="auto"/>
        <w:ind w:firstLine="630" w:firstLineChars="300"/>
        <w:rPr>
          <w:rFonts w:ascii="宋体" w:cs="宋体"/>
          <w:szCs w:val="21"/>
        </w:rPr>
      </w:pPr>
    </w:p>
    <w:p w14:paraId="3ABA3C7F">
      <w:pPr>
        <w:rPr>
          <w:rFonts w:ascii="宋体" w:cs="宋体"/>
          <w:b/>
          <w:sz w:val="24"/>
        </w:rPr>
      </w:pPr>
    </w:p>
    <w:p w14:paraId="296EDB9F">
      <w:pPr>
        <w:rPr>
          <w:rFonts w:ascii="宋体" w:cs="宋体"/>
        </w:rPr>
      </w:pPr>
    </w:p>
    <w:p w14:paraId="56AFE8EE">
      <w:pPr>
        <w:rPr>
          <w:rFonts w:ascii="宋体" w:cs="宋体"/>
        </w:rPr>
      </w:pPr>
    </w:p>
    <w:p w14:paraId="5E35D3E1">
      <w:pPr>
        <w:jc w:val="center"/>
        <w:rPr>
          <w:rFonts w:ascii="宋体" w:cs="宋体"/>
          <w:b/>
          <w:sz w:val="24"/>
        </w:rPr>
      </w:pPr>
      <w:r>
        <w:rPr>
          <w:rFonts w:hint="eastAsia" w:ascii="宋体" w:hAnsi="宋体" w:cs="宋体"/>
          <w:b/>
          <w:sz w:val="24"/>
        </w:rPr>
        <w:t>监狱企业声明函</w:t>
      </w:r>
    </w:p>
    <w:p w14:paraId="4732402A">
      <w:pPr>
        <w:pStyle w:val="104"/>
        <w:ind w:firstLine="420"/>
        <w:rPr>
          <w:rFonts w:ascii="宋体" w:cs="宋体"/>
          <w:lang w:val="en-US"/>
        </w:rPr>
      </w:pPr>
    </w:p>
    <w:p w14:paraId="5B41E482">
      <w:pPr>
        <w:spacing w:line="360" w:lineRule="auto"/>
        <w:ind w:firstLine="420" w:firstLineChars="200"/>
        <w:rPr>
          <w:rFonts w:ascii="宋体" w:cs="宋体"/>
          <w:szCs w:val="21"/>
        </w:rPr>
      </w:pPr>
      <w:r>
        <w:rPr>
          <w:rFonts w:hint="eastAsia" w:ascii="宋体" w:hAnsi="宋体" w:cs="宋体"/>
          <w:szCs w:val="21"/>
        </w:rPr>
        <w:t>本企业郑重声明，根据《财政部、司法部关于政府采购支持监狱企业发展有关问题的通知》（财库</w:t>
      </w:r>
      <w:r>
        <w:rPr>
          <w:rFonts w:ascii="宋体" w:hAnsi="宋体" w:cs="宋体"/>
          <w:szCs w:val="21"/>
        </w:rPr>
        <w:t>[2014]68</w:t>
      </w:r>
      <w:r>
        <w:rPr>
          <w:rFonts w:hint="eastAsia" w:ascii="宋体" w:hAnsi="宋体" w:cs="宋体"/>
          <w:szCs w:val="21"/>
        </w:rPr>
        <w:t>号），本企业</w:t>
      </w:r>
      <w:r>
        <w:rPr>
          <w:rFonts w:ascii="宋体" w:hAnsi="宋体" w:cs="宋体"/>
          <w:szCs w:val="21"/>
        </w:rPr>
        <w:t>______</w:t>
      </w:r>
      <w:r>
        <w:rPr>
          <w:rFonts w:hint="eastAsia" w:ascii="宋体" w:hAnsi="宋体" w:cs="宋体"/>
          <w:szCs w:val="21"/>
        </w:rPr>
        <w:t>（是、不是）监狱企业。后附省级以上监狱管理局、戒毒管理局（含新疆生产建设兵团）出具的属于监狱企业证明文件。</w:t>
      </w:r>
    </w:p>
    <w:p w14:paraId="6CD278FD">
      <w:pPr>
        <w:spacing w:line="360" w:lineRule="auto"/>
        <w:ind w:firstLine="420" w:firstLineChars="200"/>
        <w:rPr>
          <w:rFonts w:ascii="宋体" w:cs="宋体"/>
          <w:szCs w:val="21"/>
        </w:rPr>
      </w:pPr>
      <w:r>
        <w:rPr>
          <w:rFonts w:hint="eastAsia" w:ascii="宋体" w:hAnsi="宋体" w:cs="宋体"/>
          <w:szCs w:val="21"/>
        </w:rPr>
        <w:t>本企业对上述声明的真实性负责。如有虚假，将依法承担相应责任。</w:t>
      </w:r>
    </w:p>
    <w:p w14:paraId="1CA8DEA7">
      <w:pPr>
        <w:spacing w:line="360" w:lineRule="auto"/>
        <w:ind w:firstLine="420" w:firstLineChars="200"/>
        <w:rPr>
          <w:rFonts w:ascii="宋体" w:cs="宋体"/>
          <w:szCs w:val="21"/>
        </w:rPr>
      </w:pPr>
    </w:p>
    <w:p w14:paraId="28B3127F">
      <w:pPr>
        <w:spacing w:line="360" w:lineRule="auto"/>
        <w:ind w:right="105" w:firstLine="420" w:firstLineChars="200"/>
        <w:jc w:val="right"/>
        <w:rPr>
          <w:rFonts w:ascii="宋体" w:cs="宋体"/>
          <w:szCs w:val="21"/>
        </w:rPr>
      </w:pPr>
      <w:r>
        <w:rPr>
          <w:rFonts w:hint="eastAsia" w:ascii="宋体" w:hAnsi="宋体" w:cs="宋体"/>
          <w:szCs w:val="21"/>
        </w:rPr>
        <w:t>企业名称（电子签章）：</w:t>
      </w:r>
    </w:p>
    <w:p w14:paraId="4699ABEB">
      <w:pPr>
        <w:spacing w:line="360" w:lineRule="auto"/>
        <w:ind w:right="420" w:firstLine="5880" w:firstLineChars="2800"/>
        <w:rPr>
          <w:rFonts w:ascii="宋体" w:cs="宋体"/>
          <w:szCs w:val="21"/>
        </w:rPr>
      </w:pPr>
      <w:r>
        <w:rPr>
          <w:rFonts w:hint="eastAsia" w:ascii="宋体" w:hAnsi="宋体" w:cs="宋体"/>
          <w:szCs w:val="21"/>
        </w:rPr>
        <w:t>日期：</w:t>
      </w:r>
    </w:p>
    <w:p w14:paraId="22A177CB">
      <w:pPr>
        <w:pStyle w:val="2"/>
        <w:rPr>
          <w:rFonts w:ascii="宋体" w:cs="宋体"/>
          <w:spacing w:val="6"/>
          <w:sz w:val="28"/>
          <w:szCs w:val="28"/>
        </w:rPr>
      </w:pPr>
    </w:p>
    <w:p w14:paraId="578D11AD">
      <w:pPr>
        <w:pStyle w:val="2"/>
        <w:spacing w:line="360" w:lineRule="auto"/>
        <w:ind w:firstLine="394" w:firstLineChars="196"/>
        <w:rPr>
          <w:rFonts w:ascii="宋体" w:cs="宋体"/>
          <w:b/>
          <w:szCs w:val="21"/>
        </w:rPr>
      </w:pPr>
      <w:r>
        <w:rPr>
          <w:rFonts w:hint="eastAsia" w:ascii="宋体" w:hAnsi="宋体" w:cs="宋体"/>
          <w:b/>
          <w:szCs w:val="21"/>
        </w:rPr>
        <w:t>（注：如果产品制造商是中小企业或残疾人福利性单位的，提供《声明函》即可，若中标，《声明函》将随中标结果公开，接受社会监督；如果是监狱企业，还需提供省级以上监狱管理局、戒毒管理局（含新疆生产建设兵团）出具的属于监狱企业的证明文件。）</w:t>
      </w:r>
    </w:p>
    <w:p w14:paraId="34E80387">
      <w:pPr>
        <w:pStyle w:val="6"/>
        <w:spacing w:line="360" w:lineRule="auto"/>
        <w:rPr>
          <w:rFonts w:ascii="宋体" w:cs="宋体"/>
          <w:color w:val="auto"/>
          <w:szCs w:val="21"/>
        </w:rPr>
      </w:pPr>
    </w:p>
    <w:p w14:paraId="0A59F256">
      <w:pPr>
        <w:pStyle w:val="6"/>
        <w:spacing w:line="360" w:lineRule="auto"/>
        <w:rPr>
          <w:rFonts w:ascii="宋体" w:cs="宋体"/>
          <w:color w:val="auto"/>
          <w:szCs w:val="21"/>
        </w:rPr>
      </w:pPr>
    </w:p>
    <w:p w14:paraId="41CFA2B5">
      <w:pPr>
        <w:rPr>
          <w:rFonts w:ascii="宋体" w:cs="宋体"/>
          <w:sz w:val="24"/>
          <w:szCs w:val="24"/>
        </w:rPr>
      </w:pPr>
    </w:p>
    <w:p w14:paraId="04D82028">
      <w:pPr>
        <w:pStyle w:val="25"/>
        <w:jc w:val="both"/>
        <w:outlineLvl w:val="9"/>
        <w:rPr>
          <w:rFonts w:ascii="宋体" w:cs="宋体"/>
          <w:sz w:val="24"/>
          <w:szCs w:val="24"/>
        </w:rPr>
      </w:pPr>
    </w:p>
    <w:p w14:paraId="1ECDDF24">
      <w:pPr>
        <w:pStyle w:val="25"/>
        <w:rPr>
          <w:rFonts w:ascii="宋体" w:cs="宋体"/>
          <w:sz w:val="30"/>
          <w:szCs w:val="30"/>
        </w:rPr>
      </w:pPr>
      <w:r>
        <w:rPr>
          <w:rFonts w:hint="eastAsia" w:ascii="宋体" w:hAnsi="宋体" w:cs="宋体"/>
          <w:szCs w:val="21"/>
        </w:rPr>
        <w:t>第六章</w:t>
      </w:r>
      <w:r>
        <w:rPr>
          <w:rFonts w:hint="eastAsia" w:ascii="宋体" w:hAnsi="宋体" w:cs="宋体"/>
          <w:sz w:val="30"/>
          <w:szCs w:val="30"/>
        </w:rPr>
        <w:t>招标项目资料表</w:t>
      </w:r>
      <w:bookmarkEnd w:id="15"/>
      <w:r>
        <w:rPr>
          <w:rFonts w:hint="eastAsia" w:ascii="宋体" w:hAnsi="宋体" w:cs="宋体"/>
          <w:sz w:val="30"/>
          <w:szCs w:val="30"/>
        </w:rPr>
        <w:t>及评分办法</w:t>
      </w:r>
    </w:p>
    <w:tbl>
      <w:tblPr>
        <w:tblStyle w:val="2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778"/>
        <w:gridCol w:w="2487"/>
        <w:gridCol w:w="243"/>
        <w:gridCol w:w="5020"/>
      </w:tblGrid>
      <w:tr w14:paraId="4C9F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jc w:val="center"/>
        </w:trPr>
        <w:tc>
          <w:tcPr>
            <w:tcW w:w="1558" w:type="dxa"/>
            <w:gridSpan w:val="2"/>
            <w:shd w:val="clear" w:color="auto" w:fill="BFBFBF"/>
            <w:vAlign w:val="center"/>
          </w:tcPr>
          <w:p w14:paraId="74338470">
            <w:pPr>
              <w:autoSpaceDE w:val="0"/>
              <w:autoSpaceDN w:val="0"/>
              <w:adjustRightInd w:val="0"/>
              <w:spacing w:line="360" w:lineRule="auto"/>
              <w:ind w:right="97"/>
              <w:jc w:val="center"/>
              <w:rPr>
                <w:rFonts w:ascii="宋体" w:cs="宋体"/>
                <w:b/>
                <w:color w:val="auto"/>
                <w:spacing w:val="1"/>
                <w:szCs w:val="21"/>
              </w:rPr>
            </w:pPr>
            <w:r>
              <w:rPr>
                <w:rFonts w:hint="eastAsia" w:ascii="宋体" w:hAnsi="宋体" w:cs="宋体"/>
                <w:b/>
                <w:color w:val="auto"/>
                <w:spacing w:val="1"/>
                <w:szCs w:val="21"/>
              </w:rPr>
              <w:t>条款号</w:t>
            </w:r>
          </w:p>
        </w:tc>
        <w:tc>
          <w:tcPr>
            <w:tcW w:w="2487" w:type="dxa"/>
            <w:shd w:val="clear" w:color="auto" w:fill="BFBFBF"/>
            <w:vAlign w:val="center"/>
          </w:tcPr>
          <w:p w14:paraId="671F991D">
            <w:pPr>
              <w:autoSpaceDE w:val="0"/>
              <w:autoSpaceDN w:val="0"/>
              <w:adjustRightInd w:val="0"/>
              <w:spacing w:line="360" w:lineRule="auto"/>
              <w:ind w:right="97"/>
              <w:jc w:val="center"/>
              <w:rPr>
                <w:rFonts w:ascii="宋体" w:cs="宋体"/>
                <w:b/>
                <w:color w:val="auto"/>
                <w:spacing w:val="1"/>
                <w:szCs w:val="21"/>
              </w:rPr>
            </w:pPr>
            <w:r>
              <w:rPr>
                <w:rFonts w:hint="eastAsia" w:ascii="宋体" w:hAnsi="宋体" w:cs="宋体"/>
                <w:b/>
                <w:color w:val="auto"/>
                <w:spacing w:val="1"/>
                <w:szCs w:val="21"/>
              </w:rPr>
              <w:t>评审因素</w:t>
            </w:r>
          </w:p>
        </w:tc>
        <w:tc>
          <w:tcPr>
            <w:tcW w:w="5263" w:type="dxa"/>
            <w:gridSpan w:val="2"/>
            <w:shd w:val="clear" w:color="auto" w:fill="BFBFBF"/>
            <w:vAlign w:val="center"/>
          </w:tcPr>
          <w:p w14:paraId="7BE64EA4">
            <w:pPr>
              <w:autoSpaceDE w:val="0"/>
              <w:autoSpaceDN w:val="0"/>
              <w:adjustRightInd w:val="0"/>
              <w:spacing w:line="360" w:lineRule="auto"/>
              <w:ind w:right="97"/>
              <w:jc w:val="center"/>
              <w:rPr>
                <w:rFonts w:ascii="宋体" w:cs="宋体"/>
                <w:b/>
                <w:color w:val="auto"/>
                <w:spacing w:val="1"/>
                <w:szCs w:val="21"/>
              </w:rPr>
            </w:pPr>
            <w:r>
              <w:rPr>
                <w:rFonts w:hint="eastAsia" w:ascii="宋体" w:hAnsi="宋体" w:cs="宋体"/>
                <w:b/>
                <w:color w:val="auto"/>
                <w:spacing w:val="1"/>
                <w:szCs w:val="21"/>
              </w:rPr>
              <w:t>评审标准</w:t>
            </w:r>
          </w:p>
        </w:tc>
      </w:tr>
      <w:tr w14:paraId="5C15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9308" w:type="dxa"/>
            <w:gridSpan w:val="5"/>
            <w:vAlign w:val="center"/>
          </w:tcPr>
          <w:p w14:paraId="40605DD7">
            <w:pPr>
              <w:autoSpaceDE w:val="0"/>
              <w:autoSpaceDN w:val="0"/>
              <w:adjustRightInd w:val="0"/>
              <w:spacing w:line="360" w:lineRule="auto"/>
              <w:ind w:right="97"/>
              <w:rPr>
                <w:rFonts w:ascii="宋体" w:cs="宋体"/>
                <w:color w:val="auto"/>
                <w:sz w:val="22"/>
              </w:rPr>
            </w:pPr>
            <w:r>
              <w:rPr>
                <w:rFonts w:hint="eastAsia" w:ascii="宋体" w:hAnsi="宋体" w:cs="宋体"/>
                <w:b/>
                <w:color w:val="auto"/>
                <w:spacing w:val="1"/>
                <w:szCs w:val="21"/>
              </w:rPr>
              <w:t>一、初步评审：</w:t>
            </w:r>
          </w:p>
        </w:tc>
      </w:tr>
      <w:tr w14:paraId="72E3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restart"/>
            <w:vAlign w:val="center"/>
          </w:tcPr>
          <w:p w14:paraId="48F350D0">
            <w:pPr>
              <w:spacing w:line="360" w:lineRule="auto"/>
              <w:jc w:val="center"/>
              <w:rPr>
                <w:rFonts w:ascii="宋体" w:cs="宋体"/>
                <w:color w:val="auto"/>
              </w:rPr>
            </w:pPr>
            <w:r>
              <w:rPr>
                <w:rFonts w:ascii="宋体" w:hAnsi="宋体" w:cs="宋体"/>
                <w:color w:val="auto"/>
              </w:rPr>
              <w:t>2.1.1</w:t>
            </w:r>
          </w:p>
        </w:tc>
        <w:tc>
          <w:tcPr>
            <w:tcW w:w="778" w:type="dxa"/>
            <w:vMerge w:val="restart"/>
            <w:vAlign w:val="center"/>
          </w:tcPr>
          <w:p w14:paraId="54938010">
            <w:pPr>
              <w:autoSpaceDE w:val="0"/>
              <w:autoSpaceDN w:val="0"/>
              <w:adjustRightInd w:val="0"/>
              <w:spacing w:line="360" w:lineRule="auto"/>
              <w:ind w:right="97"/>
              <w:jc w:val="center"/>
              <w:rPr>
                <w:rFonts w:ascii="宋体" w:cs="宋体"/>
                <w:color w:val="auto"/>
                <w:spacing w:val="1"/>
                <w:szCs w:val="21"/>
              </w:rPr>
            </w:pPr>
            <w:r>
              <w:rPr>
                <w:rFonts w:hint="eastAsia" w:ascii="宋体" w:hAnsi="宋体" w:cs="宋体"/>
                <w:color w:val="auto"/>
                <w:spacing w:val="1"/>
                <w:szCs w:val="21"/>
              </w:rPr>
              <w:t>资格评审标准</w:t>
            </w:r>
          </w:p>
        </w:tc>
        <w:tc>
          <w:tcPr>
            <w:tcW w:w="2487" w:type="dxa"/>
            <w:vAlign w:val="center"/>
          </w:tcPr>
          <w:p w14:paraId="68BEE65A">
            <w:pPr>
              <w:autoSpaceDE w:val="0"/>
              <w:autoSpaceDN w:val="0"/>
              <w:adjustRightInd w:val="0"/>
              <w:spacing w:line="360" w:lineRule="auto"/>
              <w:ind w:right="96"/>
              <w:jc w:val="center"/>
              <w:rPr>
                <w:rFonts w:ascii="宋体" w:cs="宋体"/>
                <w:color w:val="auto"/>
                <w:spacing w:val="1"/>
                <w:szCs w:val="21"/>
              </w:rPr>
            </w:pPr>
            <w:r>
              <w:rPr>
                <w:rFonts w:hint="eastAsia" w:ascii="宋体" w:hAnsi="宋体" w:cs="宋体"/>
                <w:color w:val="auto"/>
                <w:spacing w:val="1"/>
                <w:szCs w:val="21"/>
              </w:rPr>
              <w:t>营业执照</w:t>
            </w:r>
          </w:p>
        </w:tc>
        <w:tc>
          <w:tcPr>
            <w:tcW w:w="5263" w:type="dxa"/>
            <w:gridSpan w:val="2"/>
            <w:vAlign w:val="center"/>
          </w:tcPr>
          <w:p w14:paraId="1C53629D">
            <w:pPr>
              <w:autoSpaceDE w:val="0"/>
              <w:autoSpaceDN w:val="0"/>
              <w:adjustRightInd w:val="0"/>
              <w:spacing w:line="360" w:lineRule="auto"/>
              <w:ind w:right="96"/>
              <w:rPr>
                <w:rFonts w:ascii="宋体" w:cs="宋体"/>
                <w:color w:val="auto"/>
                <w:spacing w:val="1"/>
                <w:szCs w:val="21"/>
              </w:rPr>
            </w:pPr>
            <w:r>
              <w:rPr>
                <w:rFonts w:hint="eastAsia" w:ascii="宋体" w:hAnsi="宋体" w:cs="宋体"/>
                <w:color w:val="auto"/>
                <w:szCs w:val="21"/>
              </w:rPr>
              <w:t>具有合格的加载统一社会信用代码的营业执照</w:t>
            </w:r>
            <w:r>
              <w:rPr>
                <w:rFonts w:hint="eastAsia" w:ascii="宋体" w:hAnsi="宋体" w:cs="宋体"/>
                <w:b/>
                <w:szCs w:val="21"/>
              </w:rPr>
              <w:t>（以</w:t>
            </w:r>
            <w:r>
              <w:rPr>
                <w:rFonts w:hint="eastAsia" w:ascii="宋体" w:hAnsi="宋体" w:cs="宋体"/>
                <w:b/>
                <w:szCs w:val="21"/>
                <w:lang w:eastAsia="zh-CN"/>
              </w:rPr>
              <w:t>市场主体库</w:t>
            </w:r>
            <w:r>
              <w:rPr>
                <w:rFonts w:hint="eastAsia" w:ascii="宋体" w:hAnsi="宋体" w:cs="宋体"/>
                <w:b/>
                <w:szCs w:val="21"/>
              </w:rPr>
              <w:t>“基本信息”中证件扫描件为准）</w:t>
            </w:r>
          </w:p>
        </w:tc>
      </w:tr>
      <w:tr w14:paraId="790D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continue"/>
            <w:vAlign w:val="center"/>
          </w:tcPr>
          <w:p w14:paraId="2DAD57A6">
            <w:pPr>
              <w:spacing w:line="360" w:lineRule="auto"/>
              <w:jc w:val="center"/>
              <w:rPr>
                <w:rFonts w:ascii="宋体" w:cs="宋体"/>
                <w:color w:val="auto"/>
              </w:rPr>
            </w:pPr>
          </w:p>
        </w:tc>
        <w:tc>
          <w:tcPr>
            <w:tcW w:w="778" w:type="dxa"/>
            <w:vMerge w:val="continue"/>
            <w:vAlign w:val="center"/>
          </w:tcPr>
          <w:p w14:paraId="6A1E73E9">
            <w:pPr>
              <w:autoSpaceDE w:val="0"/>
              <w:autoSpaceDN w:val="0"/>
              <w:adjustRightInd w:val="0"/>
              <w:spacing w:line="360" w:lineRule="auto"/>
              <w:ind w:right="97"/>
              <w:jc w:val="center"/>
              <w:rPr>
                <w:rFonts w:ascii="宋体" w:cs="宋体"/>
                <w:color w:val="auto"/>
                <w:spacing w:val="1"/>
                <w:szCs w:val="21"/>
              </w:rPr>
            </w:pPr>
          </w:p>
        </w:tc>
        <w:tc>
          <w:tcPr>
            <w:tcW w:w="2487" w:type="dxa"/>
            <w:vAlign w:val="center"/>
          </w:tcPr>
          <w:p w14:paraId="30627365">
            <w:pPr>
              <w:autoSpaceDE w:val="0"/>
              <w:autoSpaceDN w:val="0"/>
              <w:adjustRightInd w:val="0"/>
              <w:spacing w:line="360" w:lineRule="auto"/>
              <w:ind w:right="96"/>
              <w:jc w:val="center"/>
              <w:rPr>
                <w:rFonts w:ascii="宋体" w:hAnsi="宋体" w:cs="宋体"/>
                <w:color w:val="auto"/>
                <w:spacing w:val="1"/>
                <w:szCs w:val="21"/>
              </w:rPr>
            </w:pPr>
            <w:r>
              <w:rPr>
                <w:rFonts w:hint="eastAsia" w:ascii="宋体" w:hAnsi="宋体" w:cs="宋体"/>
                <w:szCs w:val="22"/>
                <w:shd w:val="clear" w:color="auto" w:fill="FFFFFF"/>
              </w:rPr>
              <w:t>《食品生产许可证》、《食品经营许可证》</w:t>
            </w:r>
          </w:p>
        </w:tc>
        <w:tc>
          <w:tcPr>
            <w:tcW w:w="5263" w:type="dxa"/>
            <w:gridSpan w:val="2"/>
            <w:vAlign w:val="center"/>
          </w:tcPr>
          <w:p w14:paraId="6016C4FA">
            <w:pPr>
              <w:spacing w:before="50" w:line="360" w:lineRule="auto"/>
              <w:ind w:right="35"/>
              <w:rPr>
                <w:rFonts w:ascii="宋体" w:hAnsi="宋体" w:cs="宋体"/>
                <w:color w:val="auto"/>
                <w:szCs w:val="21"/>
              </w:rPr>
            </w:pPr>
            <w:r>
              <w:rPr>
                <w:rFonts w:hint="eastAsia" w:ascii="宋体" w:hAnsi="宋体" w:cs="宋体"/>
                <w:szCs w:val="22"/>
                <w:shd w:val="clear" w:color="auto" w:fill="FFFFFF"/>
              </w:rPr>
              <w:t>供应商为经销商须具有有效期内的《食品经营许可证》，供应商为生产厂家时须同时具有《食品生产许可证》和《食品经营许可证》</w:t>
            </w:r>
            <w:r>
              <w:rPr>
                <w:rFonts w:hint="eastAsia" w:ascii="宋体" w:hAnsi="宋体" w:cs="宋体"/>
                <w:b/>
                <w:szCs w:val="21"/>
              </w:rPr>
              <w:t>（以</w:t>
            </w:r>
            <w:r>
              <w:rPr>
                <w:rFonts w:hint="eastAsia" w:ascii="宋体" w:hAnsi="宋体" w:cs="宋体"/>
                <w:b/>
                <w:szCs w:val="21"/>
                <w:lang w:eastAsia="zh-CN"/>
              </w:rPr>
              <w:t>市场主体库</w:t>
            </w:r>
            <w:r>
              <w:rPr>
                <w:rFonts w:hint="eastAsia" w:ascii="宋体" w:hAnsi="宋体" w:cs="宋体"/>
                <w:b/>
                <w:szCs w:val="21"/>
              </w:rPr>
              <w:t>“基本信息”中证件扫描件为准）</w:t>
            </w:r>
          </w:p>
        </w:tc>
      </w:tr>
      <w:tr w14:paraId="2CE4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780" w:type="dxa"/>
            <w:vMerge w:val="continue"/>
            <w:vAlign w:val="center"/>
          </w:tcPr>
          <w:p w14:paraId="3DCC79D7">
            <w:pPr>
              <w:spacing w:line="360" w:lineRule="auto"/>
              <w:jc w:val="center"/>
              <w:rPr>
                <w:rFonts w:ascii="宋体" w:cs="宋体"/>
                <w:color w:val="auto"/>
              </w:rPr>
            </w:pPr>
          </w:p>
        </w:tc>
        <w:tc>
          <w:tcPr>
            <w:tcW w:w="778" w:type="dxa"/>
            <w:vMerge w:val="continue"/>
            <w:vAlign w:val="center"/>
          </w:tcPr>
          <w:p w14:paraId="4F5E3BF6">
            <w:pPr>
              <w:autoSpaceDE w:val="0"/>
              <w:autoSpaceDN w:val="0"/>
              <w:adjustRightInd w:val="0"/>
              <w:spacing w:line="360" w:lineRule="auto"/>
              <w:ind w:right="97"/>
              <w:jc w:val="center"/>
              <w:rPr>
                <w:rFonts w:ascii="宋体" w:cs="宋体"/>
                <w:color w:val="auto"/>
                <w:spacing w:val="1"/>
                <w:szCs w:val="21"/>
              </w:rPr>
            </w:pPr>
          </w:p>
        </w:tc>
        <w:tc>
          <w:tcPr>
            <w:tcW w:w="2487" w:type="dxa"/>
            <w:vAlign w:val="center"/>
          </w:tcPr>
          <w:p w14:paraId="01BB63E1">
            <w:pPr>
              <w:autoSpaceDE w:val="0"/>
              <w:autoSpaceDN w:val="0"/>
              <w:adjustRightInd w:val="0"/>
              <w:spacing w:line="360" w:lineRule="auto"/>
              <w:ind w:right="96"/>
              <w:jc w:val="center"/>
              <w:rPr>
                <w:rFonts w:ascii="宋体" w:cs="宋体"/>
                <w:color w:val="auto"/>
                <w:spacing w:val="1"/>
                <w:szCs w:val="21"/>
              </w:rPr>
            </w:pPr>
            <w:r>
              <w:rPr>
                <w:rFonts w:hint="eastAsia" w:ascii="宋体" w:hAnsi="宋体" w:cs="宋体"/>
                <w:color w:val="auto"/>
                <w:szCs w:val="21"/>
              </w:rPr>
              <w:t>具有履行合同所必需的设备和专业技术能力</w:t>
            </w:r>
          </w:p>
        </w:tc>
        <w:tc>
          <w:tcPr>
            <w:tcW w:w="5263" w:type="dxa"/>
            <w:gridSpan w:val="2"/>
            <w:vAlign w:val="center"/>
          </w:tcPr>
          <w:p w14:paraId="5F1D2D6B">
            <w:pPr>
              <w:widowControl w:val="0"/>
              <w:spacing w:line="360" w:lineRule="auto"/>
              <w:jc w:val="left"/>
              <w:rPr>
                <w:rFonts w:ascii="宋体" w:cs="宋体"/>
                <w:color w:val="auto"/>
                <w:spacing w:val="1"/>
                <w:szCs w:val="21"/>
              </w:rPr>
            </w:pPr>
            <w:r>
              <w:rPr>
                <w:rFonts w:hint="eastAsia" w:ascii="宋体" w:hAnsi="宋体" w:cs="宋体"/>
                <w:color w:val="auto"/>
                <w:szCs w:val="21"/>
              </w:rPr>
              <w:t>具有履行合同所必需的设备和专业技术能力承诺书</w:t>
            </w:r>
            <w:r>
              <w:rPr>
                <w:rFonts w:hint="eastAsia" w:ascii="宋体" w:hAnsi="宋体" w:cs="宋体"/>
                <w:b/>
                <w:bCs/>
                <w:color w:val="auto"/>
                <w:szCs w:val="21"/>
              </w:rPr>
              <w:t>（格式自拟）</w:t>
            </w:r>
            <w:r>
              <w:rPr>
                <w:rFonts w:hint="eastAsia" w:ascii="宋体" w:hAnsi="宋体" w:cs="宋体"/>
                <w:b/>
                <w:bCs/>
                <w:szCs w:val="21"/>
              </w:rPr>
              <w:t>（以</w:t>
            </w:r>
            <w:r>
              <w:rPr>
                <w:rFonts w:hint="eastAsia" w:ascii="宋体" w:hAnsi="宋体" w:cs="宋体"/>
                <w:b/>
                <w:bCs/>
                <w:szCs w:val="21"/>
                <w:lang w:eastAsia="zh-CN"/>
              </w:rPr>
              <w:t>市场主体库</w:t>
            </w:r>
            <w:r>
              <w:rPr>
                <w:rFonts w:hint="eastAsia" w:ascii="宋体" w:hAnsi="宋体" w:cs="宋体"/>
                <w:b/>
                <w:bCs/>
                <w:szCs w:val="21"/>
              </w:rPr>
              <w:t>“投标所需材料”中证件扫描件为准）</w:t>
            </w:r>
          </w:p>
        </w:tc>
      </w:tr>
      <w:tr w14:paraId="286D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780" w:type="dxa"/>
            <w:vMerge w:val="continue"/>
            <w:vAlign w:val="center"/>
          </w:tcPr>
          <w:p w14:paraId="5F09E1D9">
            <w:pPr>
              <w:spacing w:line="360" w:lineRule="auto"/>
              <w:jc w:val="center"/>
              <w:rPr>
                <w:rFonts w:ascii="宋体" w:cs="宋体"/>
                <w:color w:val="auto"/>
              </w:rPr>
            </w:pPr>
          </w:p>
        </w:tc>
        <w:tc>
          <w:tcPr>
            <w:tcW w:w="778" w:type="dxa"/>
            <w:vMerge w:val="continue"/>
            <w:vAlign w:val="center"/>
          </w:tcPr>
          <w:p w14:paraId="375A1F6A">
            <w:pPr>
              <w:autoSpaceDE w:val="0"/>
              <w:autoSpaceDN w:val="0"/>
              <w:adjustRightInd w:val="0"/>
              <w:spacing w:line="360" w:lineRule="auto"/>
              <w:ind w:right="97"/>
              <w:jc w:val="center"/>
              <w:rPr>
                <w:rFonts w:ascii="宋体" w:cs="宋体"/>
                <w:color w:val="auto"/>
                <w:spacing w:val="1"/>
                <w:szCs w:val="21"/>
              </w:rPr>
            </w:pPr>
          </w:p>
        </w:tc>
        <w:tc>
          <w:tcPr>
            <w:tcW w:w="2487" w:type="dxa"/>
            <w:vAlign w:val="center"/>
          </w:tcPr>
          <w:p w14:paraId="2D81B8BB">
            <w:pPr>
              <w:autoSpaceDE w:val="0"/>
              <w:autoSpaceDN w:val="0"/>
              <w:adjustRightInd w:val="0"/>
              <w:spacing w:line="360" w:lineRule="auto"/>
              <w:jc w:val="center"/>
              <w:textAlignment w:val="center"/>
              <w:rPr>
                <w:rFonts w:ascii="宋体" w:cs="宋体"/>
                <w:color w:val="auto"/>
                <w:spacing w:val="1"/>
                <w:szCs w:val="21"/>
              </w:rPr>
            </w:pPr>
            <w:r>
              <w:rPr>
                <w:rFonts w:hint="eastAsia" w:ascii="宋体" w:hAnsi="宋体" w:cs="宋体"/>
                <w:color w:val="auto"/>
                <w:szCs w:val="21"/>
              </w:rPr>
              <w:t>有依法缴纳税收和社会保障资金的良好记录</w:t>
            </w:r>
          </w:p>
        </w:tc>
        <w:tc>
          <w:tcPr>
            <w:tcW w:w="5263" w:type="dxa"/>
            <w:gridSpan w:val="2"/>
            <w:vAlign w:val="center"/>
          </w:tcPr>
          <w:p w14:paraId="2971F70D">
            <w:pPr>
              <w:spacing w:line="360" w:lineRule="auto"/>
              <w:jc w:val="left"/>
              <w:rPr>
                <w:rFonts w:ascii="宋体" w:cs="宋体"/>
                <w:color w:val="auto"/>
                <w:spacing w:val="1"/>
                <w:szCs w:val="21"/>
              </w:rPr>
            </w:pPr>
            <w:r>
              <w:rPr>
                <w:rFonts w:hint="eastAsia" w:ascii="宋体" w:hAnsi="宋体" w:cs="宋体"/>
                <w:color w:val="auto"/>
                <w:szCs w:val="21"/>
              </w:rPr>
              <w:t>提供202</w:t>
            </w:r>
            <w:r>
              <w:rPr>
                <w:rFonts w:hint="eastAsia" w:ascii="宋体" w:hAnsi="宋体" w:cs="宋体"/>
                <w:color w:val="auto"/>
                <w:szCs w:val="21"/>
                <w:lang w:val="en-US" w:eastAsia="zh-CN"/>
              </w:rPr>
              <w:t>3以来</w:t>
            </w:r>
            <w:r>
              <w:rPr>
                <w:rFonts w:hint="eastAsia" w:ascii="宋体" w:hAnsi="宋体" w:cs="宋体"/>
                <w:color w:val="auto"/>
                <w:szCs w:val="21"/>
              </w:rPr>
              <w:t>年任意三个月的缴纳税收和社会保障资金资料（免税企业提供免税证明）</w:t>
            </w:r>
            <w:r>
              <w:rPr>
                <w:rFonts w:hint="eastAsia" w:ascii="宋体" w:hAnsi="宋体" w:cs="宋体"/>
                <w:b/>
                <w:bCs/>
                <w:szCs w:val="21"/>
              </w:rPr>
              <w:t>（以</w:t>
            </w:r>
            <w:r>
              <w:rPr>
                <w:rFonts w:hint="eastAsia" w:ascii="宋体" w:hAnsi="宋体" w:cs="宋体"/>
                <w:b/>
                <w:bCs/>
                <w:szCs w:val="21"/>
                <w:lang w:eastAsia="zh-CN"/>
              </w:rPr>
              <w:t>市场主体库</w:t>
            </w:r>
            <w:r>
              <w:rPr>
                <w:rFonts w:hint="eastAsia" w:ascii="宋体" w:hAnsi="宋体" w:cs="宋体"/>
                <w:b/>
                <w:bCs/>
                <w:szCs w:val="21"/>
              </w:rPr>
              <w:t>“投标所需材料”中证件扫描件为准）</w:t>
            </w:r>
          </w:p>
        </w:tc>
      </w:tr>
      <w:tr w14:paraId="1CC2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780" w:type="dxa"/>
            <w:vMerge w:val="continue"/>
            <w:vAlign w:val="center"/>
          </w:tcPr>
          <w:p w14:paraId="106468FB">
            <w:pPr>
              <w:spacing w:line="360" w:lineRule="auto"/>
              <w:jc w:val="center"/>
              <w:rPr>
                <w:rFonts w:ascii="宋体" w:cs="宋体"/>
                <w:color w:val="auto"/>
              </w:rPr>
            </w:pPr>
          </w:p>
        </w:tc>
        <w:tc>
          <w:tcPr>
            <w:tcW w:w="778" w:type="dxa"/>
            <w:vMerge w:val="continue"/>
            <w:vAlign w:val="center"/>
          </w:tcPr>
          <w:p w14:paraId="7625041A">
            <w:pPr>
              <w:autoSpaceDE w:val="0"/>
              <w:autoSpaceDN w:val="0"/>
              <w:adjustRightInd w:val="0"/>
              <w:spacing w:line="360" w:lineRule="auto"/>
              <w:ind w:right="97"/>
              <w:jc w:val="center"/>
              <w:rPr>
                <w:rFonts w:ascii="宋体" w:cs="宋体"/>
                <w:color w:val="auto"/>
                <w:spacing w:val="1"/>
                <w:szCs w:val="21"/>
              </w:rPr>
            </w:pPr>
          </w:p>
        </w:tc>
        <w:tc>
          <w:tcPr>
            <w:tcW w:w="2487" w:type="dxa"/>
            <w:vAlign w:val="center"/>
          </w:tcPr>
          <w:p w14:paraId="4CBD9A01">
            <w:pPr>
              <w:autoSpaceDE w:val="0"/>
              <w:autoSpaceDN w:val="0"/>
              <w:adjustRightInd w:val="0"/>
              <w:spacing w:line="360" w:lineRule="auto"/>
              <w:jc w:val="center"/>
              <w:textAlignment w:val="center"/>
              <w:rPr>
                <w:rFonts w:ascii="宋体" w:cs="宋体"/>
                <w:color w:val="auto"/>
                <w:spacing w:val="1"/>
                <w:szCs w:val="21"/>
              </w:rPr>
            </w:pPr>
            <w:r>
              <w:rPr>
                <w:rFonts w:hint="eastAsia" w:ascii="宋体" w:hAnsi="宋体" w:cs="宋体"/>
                <w:color w:val="auto"/>
                <w:szCs w:val="21"/>
                <w:lang w:val="zh-CN"/>
              </w:rPr>
              <w:t>参加政府采购活动前三年内，在经营活动中没有重大违法记录的书面声明</w:t>
            </w:r>
          </w:p>
        </w:tc>
        <w:tc>
          <w:tcPr>
            <w:tcW w:w="5263" w:type="dxa"/>
            <w:gridSpan w:val="2"/>
            <w:vAlign w:val="center"/>
          </w:tcPr>
          <w:p w14:paraId="5A77DB17">
            <w:pPr>
              <w:spacing w:line="360" w:lineRule="auto"/>
              <w:jc w:val="left"/>
              <w:rPr>
                <w:rFonts w:ascii="宋体" w:cs="宋体"/>
                <w:color w:val="auto"/>
                <w:spacing w:val="1"/>
                <w:szCs w:val="21"/>
              </w:rPr>
            </w:pPr>
            <w:r>
              <w:rPr>
                <w:rFonts w:hint="eastAsia" w:ascii="宋体" w:hAnsi="宋体" w:cs="宋体"/>
                <w:color w:val="auto"/>
                <w:szCs w:val="21"/>
                <w:lang w:val="zh-CN"/>
              </w:rPr>
              <w:t>提供供应商书面声明，供应商自行承诺并承担后果，声明函不实的，按《政府采购法》有关提供虚假材料的有关规定给予处罚</w:t>
            </w:r>
            <w:r>
              <w:rPr>
                <w:rFonts w:hint="eastAsia" w:ascii="宋体" w:hAnsi="宋体" w:cs="宋体"/>
                <w:b/>
                <w:bCs/>
                <w:szCs w:val="21"/>
              </w:rPr>
              <w:t>（以</w:t>
            </w:r>
            <w:r>
              <w:rPr>
                <w:rFonts w:hint="eastAsia" w:ascii="宋体" w:hAnsi="宋体" w:cs="宋体"/>
                <w:b/>
                <w:bCs/>
                <w:szCs w:val="21"/>
                <w:lang w:eastAsia="zh-CN"/>
              </w:rPr>
              <w:t>市场主体库</w:t>
            </w:r>
            <w:r>
              <w:rPr>
                <w:rFonts w:hint="eastAsia" w:ascii="宋体" w:hAnsi="宋体" w:cs="宋体"/>
                <w:b/>
                <w:bCs/>
                <w:szCs w:val="21"/>
              </w:rPr>
              <w:t>“投标所需材料”中证件扫描件为准）</w:t>
            </w:r>
          </w:p>
        </w:tc>
      </w:tr>
      <w:tr w14:paraId="00EA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80" w:type="dxa"/>
            <w:vMerge w:val="continue"/>
            <w:vAlign w:val="center"/>
          </w:tcPr>
          <w:p w14:paraId="77529EB0">
            <w:pPr>
              <w:spacing w:line="360" w:lineRule="auto"/>
              <w:jc w:val="center"/>
              <w:rPr>
                <w:rFonts w:ascii="宋体" w:cs="宋体"/>
                <w:color w:val="auto"/>
              </w:rPr>
            </w:pPr>
          </w:p>
        </w:tc>
        <w:tc>
          <w:tcPr>
            <w:tcW w:w="778" w:type="dxa"/>
            <w:vMerge w:val="continue"/>
            <w:vAlign w:val="center"/>
          </w:tcPr>
          <w:p w14:paraId="2869D0B9">
            <w:pPr>
              <w:autoSpaceDE w:val="0"/>
              <w:autoSpaceDN w:val="0"/>
              <w:adjustRightInd w:val="0"/>
              <w:spacing w:line="360" w:lineRule="auto"/>
              <w:ind w:right="97"/>
              <w:jc w:val="center"/>
              <w:rPr>
                <w:rFonts w:ascii="宋体" w:cs="宋体"/>
                <w:color w:val="auto"/>
                <w:spacing w:val="1"/>
                <w:szCs w:val="21"/>
              </w:rPr>
            </w:pPr>
          </w:p>
        </w:tc>
        <w:tc>
          <w:tcPr>
            <w:tcW w:w="2487" w:type="dxa"/>
            <w:vAlign w:val="center"/>
          </w:tcPr>
          <w:p w14:paraId="710A63DD">
            <w:pPr>
              <w:autoSpaceDE w:val="0"/>
              <w:autoSpaceDN w:val="0"/>
              <w:adjustRightInd w:val="0"/>
              <w:spacing w:line="360" w:lineRule="auto"/>
              <w:ind w:right="96"/>
              <w:jc w:val="center"/>
              <w:rPr>
                <w:rFonts w:ascii="宋体" w:cs="宋体"/>
                <w:color w:val="auto"/>
                <w:spacing w:val="1"/>
                <w:szCs w:val="21"/>
              </w:rPr>
            </w:pPr>
            <w:r>
              <w:rPr>
                <w:rFonts w:hint="eastAsia" w:ascii="宋体" w:hAnsi="宋体" w:cs="宋体"/>
                <w:color w:val="auto"/>
                <w:spacing w:val="1"/>
                <w:szCs w:val="21"/>
              </w:rPr>
              <w:t>信誉要求</w:t>
            </w:r>
          </w:p>
        </w:tc>
        <w:tc>
          <w:tcPr>
            <w:tcW w:w="5263" w:type="dxa"/>
            <w:gridSpan w:val="2"/>
            <w:vAlign w:val="center"/>
          </w:tcPr>
          <w:p w14:paraId="6FEAFA8D">
            <w:pPr>
              <w:spacing w:line="360" w:lineRule="auto"/>
              <w:ind w:firstLine="424" w:firstLineChars="202"/>
              <w:rPr>
                <w:rFonts w:ascii="宋体" w:cs="宋体"/>
                <w:szCs w:val="22"/>
                <w:shd w:val="clear" w:color="auto" w:fill="FFFFFF"/>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）依据财库</w:t>
            </w:r>
            <w:r>
              <w:rPr>
                <w:rFonts w:ascii="宋体" w:hAnsi="宋体" w:cs="宋体"/>
                <w:color w:val="auto"/>
                <w:szCs w:val="21"/>
              </w:rPr>
              <w:t>[2016]125</w:t>
            </w:r>
            <w:r>
              <w:rPr>
                <w:rFonts w:hint="eastAsia" w:ascii="宋体" w:hAnsi="宋体" w:cs="宋体"/>
                <w:color w:val="auto"/>
                <w:szCs w:val="21"/>
              </w:rPr>
              <w:t>号文件规定，对列入失信被执行人、重大税收违法案件当事人名单、政府采购严重违法失信行为记录名单的供应商，拒绝其参与本项目招投标活动。供应商需提供规范的信用报告，信用报告应通过“信用中国”网站</w:t>
            </w:r>
            <w:r>
              <w:rPr>
                <w:rFonts w:ascii="宋体" w:hAnsi="宋体" w:cs="宋体"/>
                <w:color w:val="auto"/>
                <w:szCs w:val="21"/>
              </w:rPr>
              <w:t>(www.creditchina.gov.cn)</w:t>
            </w:r>
            <w:r>
              <w:rPr>
                <w:rFonts w:hint="eastAsia" w:ascii="宋体" w:hAnsi="宋体" w:cs="宋体"/>
                <w:color w:val="auto"/>
                <w:szCs w:val="21"/>
              </w:rPr>
              <w:t>下载，信用报告的生成日期为本项目递交投标文件截止时间前</w:t>
            </w:r>
            <w:r>
              <w:rPr>
                <w:rFonts w:ascii="宋体" w:hAnsi="宋体" w:cs="宋体"/>
                <w:color w:val="auto"/>
                <w:szCs w:val="21"/>
              </w:rPr>
              <w:t>10</w:t>
            </w:r>
            <w:r>
              <w:rPr>
                <w:rFonts w:hint="eastAsia" w:ascii="宋体" w:hAnsi="宋体" w:cs="宋体"/>
                <w:color w:val="auto"/>
                <w:szCs w:val="21"/>
              </w:rPr>
              <w:t>日内</w:t>
            </w:r>
            <w:r>
              <w:rPr>
                <w:rFonts w:hint="eastAsia" w:ascii="宋体" w:hAnsi="宋体" w:cs="宋体"/>
                <w:szCs w:val="22"/>
                <w:shd w:val="clear" w:color="auto" w:fill="FFFFFF"/>
              </w:rPr>
              <w:t>，</w:t>
            </w:r>
            <w:r>
              <w:rPr>
                <w:rFonts w:hint="eastAsia"/>
              </w:rPr>
              <w:t>中国政府采购网</w:t>
            </w:r>
            <w:r>
              <w:t>(www.ccgp.gov.cn)</w:t>
            </w:r>
            <w:r>
              <w:rPr>
                <w:rFonts w:hint="eastAsia"/>
              </w:rPr>
              <w:t>查询政府采购严重违法失信行为记录名单（提供招标公告发布之后的网站查询结果截图）；</w:t>
            </w:r>
          </w:p>
          <w:p w14:paraId="426CC91D">
            <w:pPr>
              <w:autoSpaceDE w:val="0"/>
              <w:autoSpaceDN w:val="0"/>
              <w:adjustRightInd w:val="0"/>
              <w:spacing w:line="360" w:lineRule="auto"/>
              <w:jc w:val="left"/>
              <w:rPr>
                <w:rFonts w:ascii="宋体" w:cs="宋体"/>
                <w:color w:val="auto"/>
                <w:szCs w:val="21"/>
              </w:rPr>
            </w:pPr>
            <w:r>
              <w:rPr>
                <w:rFonts w:hint="eastAsia" w:ascii="宋体" w:hAnsi="宋体" w:cs="宋体"/>
                <w:b/>
                <w:bCs/>
                <w:szCs w:val="21"/>
              </w:rPr>
              <w:t>（以</w:t>
            </w:r>
            <w:r>
              <w:rPr>
                <w:rFonts w:hint="eastAsia" w:ascii="宋体" w:hAnsi="宋体" w:cs="宋体"/>
                <w:b/>
                <w:bCs/>
                <w:szCs w:val="21"/>
                <w:lang w:eastAsia="zh-CN"/>
              </w:rPr>
              <w:t>市场主体库</w:t>
            </w:r>
            <w:r>
              <w:rPr>
                <w:rFonts w:hint="eastAsia" w:ascii="宋体" w:hAnsi="宋体" w:cs="宋体"/>
                <w:b/>
                <w:bCs/>
                <w:szCs w:val="21"/>
              </w:rPr>
              <w:t>“投标所需材料”中证件扫描件为准）</w:t>
            </w:r>
            <w:r>
              <w:rPr>
                <w:rFonts w:hint="eastAsia" w:ascii="宋体" w:hAnsi="宋体" w:cs="宋体"/>
                <w:color w:val="auto"/>
                <w:szCs w:val="21"/>
              </w:rPr>
              <w:t>；</w:t>
            </w:r>
          </w:p>
          <w:p w14:paraId="47A157F4">
            <w:pPr>
              <w:pStyle w:val="2"/>
              <w:spacing w:line="360" w:lineRule="auto"/>
              <w:rPr>
                <w:rFonts w:ascii="宋体" w:cs="宋体"/>
                <w:color w:val="auto"/>
                <w:sz w:val="21"/>
                <w:lang w:val="en-US" w:eastAsia="zh-CN"/>
              </w:rPr>
            </w:pPr>
            <w:r>
              <w:rPr>
                <w:rFonts w:hint="eastAsia" w:ascii="宋体" w:hAnsi="宋体" w:cs="宋体"/>
                <w:color w:val="auto"/>
                <w:sz w:val="21"/>
                <w:lang w:val="en-US" w:eastAsia="zh-CN"/>
              </w:rPr>
              <w:t>（</w:t>
            </w:r>
            <w:r>
              <w:rPr>
                <w:rFonts w:ascii="宋体" w:hAnsi="宋体" w:cs="宋体"/>
                <w:color w:val="auto"/>
                <w:sz w:val="21"/>
                <w:lang w:val="en-US" w:eastAsia="zh-CN"/>
              </w:rPr>
              <w:t>2</w:t>
            </w:r>
            <w:r>
              <w:rPr>
                <w:rFonts w:hint="eastAsia" w:ascii="宋体" w:hAnsi="宋体" w:cs="宋体"/>
                <w:color w:val="auto"/>
                <w:sz w:val="21"/>
                <w:lang w:val="en-US" w:eastAsia="zh-CN"/>
              </w:rPr>
              <w:t>）无行贿行为承诺</w:t>
            </w:r>
            <w:r>
              <w:rPr>
                <w:rFonts w:hint="eastAsia" w:ascii="宋体" w:hAnsi="宋体" w:cs="宋体"/>
                <w:b/>
                <w:bCs/>
                <w:sz w:val="21"/>
                <w:szCs w:val="21"/>
                <w:lang w:val="en-US" w:eastAsia="zh-CN"/>
              </w:rPr>
              <w:t>（以市场主体库“投标所需材料”中证件扫描件为准）</w:t>
            </w:r>
            <w:r>
              <w:rPr>
                <w:rFonts w:hint="eastAsia" w:ascii="宋体" w:hAnsi="宋体" w:cs="宋体"/>
                <w:color w:val="auto"/>
                <w:sz w:val="21"/>
                <w:lang w:val="en-US" w:eastAsia="zh-CN"/>
              </w:rPr>
              <w:t>；</w:t>
            </w:r>
          </w:p>
        </w:tc>
      </w:tr>
      <w:tr w14:paraId="02D6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780" w:type="dxa"/>
            <w:vMerge w:val="continue"/>
            <w:vAlign w:val="center"/>
          </w:tcPr>
          <w:p w14:paraId="2E74FC15">
            <w:pPr>
              <w:spacing w:line="360" w:lineRule="auto"/>
              <w:jc w:val="center"/>
              <w:rPr>
                <w:rFonts w:ascii="宋体" w:cs="宋体"/>
                <w:color w:val="auto"/>
              </w:rPr>
            </w:pPr>
          </w:p>
        </w:tc>
        <w:tc>
          <w:tcPr>
            <w:tcW w:w="778" w:type="dxa"/>
            <w:vMerge w:val="continue"/>
            <w:vAlign w:val="center"/>
          </w:tcPr>
          <w:p w14:paraId="5B31783D">
            <w:pPr>
              <w:autoSpaceDE w:val="0"/>
              <w:autoSpaceDN w:val="0"/>
              <w:adjustRightInd w:val="0"/>
              <w:spacing w:line="360" w:lineRule="auto"/>
              <w:ind w:right="97"/>
              <w:jc w:val="center"/>
              <w:rPr>
                <w:rFonts w:ascii="宋体" w:cs="宋体"/>
                <w:color w:val="auto"/>
                <w:spacing w:val="1"/>
                <w:szCs w:val="21"/>
              </w:rPr>
            </w:pPr>
          </w:p>
        </w:tc>
        <w:tc>
          <w:tcPr>
            <w:tcW w:w="2487" w:type="dxa"/>
            <w:vAlign w:val="center"/>
          </w:tcPr>
          <w:p w14:paraId="197CF25B">
            <w:pPr>
              <w:autoSpaceDE w:val="0"/>
              <w:autoSpaceDN w:val="0"/>
              <w:adjustRightInd w:val="0"/>
              <w:spacing w:line="360" w:lineRule="auto"/>
              <w:ind w:right="96"/>
              <w:jc w:val="center"/>
              <w:rPr>
                <w:rFonts w:ascii="宋体" w:cs="宋体"/>
                <w:color w:val="auto"/>
                <w:spacing w:val="1"/>
                <w:szCs w:val="21"/>
              </w:rPr>
            </w:pPr>
            <w:r>
              <w:rPr>
                <w:rFonts w:hint="eastAsia" w:ascii="宋体" w:hAnsi="宋体" w:cs="宋体"/>
                <w:color w:val="auto"/>
                <w:spacing w:val="1"/>
                <w:szCs w:val="21"/>
              </w:rPr>
              <w:t>其他要求</w:t>
            </w:r>
          </w:p>
        </w:tc>
        <w:tc>
          <w:tcPr>
            <w:tcW w:w="5263" w:type="dxa"/>
            <w:gridSpan w:val="2"/>
            <w:vAlign w:val="center"/>
          </w:tcPr>
          <w:p w14:paraId="7234CCD1">
            <w:pPr>
              <w:spacing w:line="360" w:lineRule="auto"/>
              <w:jc w:val="left"/>
              <w:rPr>
                <w:rFonts w:ascii="宋体" w:cs="宋体"/>
                <w:color w:val="auto"/>
              </w:rPr>
            </w:pPr>
            <w:r>
              <w:rPr>
                <w:rFonts w:hint="eastAsia" w:ascii="宋体" w:hAnsi="宋体" w:cs="宋体"/>
                <w:szCs w:val="21"/>
              </w:rPr>
              <w:t>供应商须提供有效的《食品经营许可证》或《餐饮服务许可证》</w:t>
            </w:r>
            <w:r>
              <w:rPr>
                <w:rFonts w:hint="eastAsia" w:ascii="宋体" w:hAnsi="宋体" w:cs="宋体"/>
                <w:b/>
                <w:bCs/>
                <w:szCs w:val="21"/>
              </w:rPr>
              <w:t>以</w:t>
            </w:r>
            <w:r>
              <w:rPr>
                <w:rFonts w:hint="eastAsia" w:ascii="宋体" w:hAnsi="宋体" w:cs="宋体"/>
                <w:b/>
                <w:bCs/>
                <w:szCs w:val="21"/>
                <w:lang w:eastAsia="zh-CN"/>
              </w:rPr>
              <w:t>市场主体库</w:t>
            </w:r>
            <w:r>
              <w:rPr>
                <w:rFonts w:hint="eastAsia" w:ascii="宋体" w:hAnsi="宋体" w:cs="宋体"/>
                <w:b/>
                <w:bCs/>
                <w:szCs w:val="21"/>
              </w:rPr>
              <w:t>“投标所需材料”中证件扫描件为准）</w:t>
            </w:r>
          </w:p>
        </w:tc>
      </w:tr>
      <w:tr w14:paraId="05B6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780" w:type="dxa"/>
            <w:vMerge w:val="restart"/>
            <w:vAlign w:val="center"/>
          </w:tcPr>
          <w:p w14:paraId="0FB99D56">
            <w:pPr>
              <w:spacing w:line="360" w:lineRule="auto"/>
              <w:jc w:val="center"/>
              <w:rPr>
                <w:rFonts w:ascii="宋体" w:cs="宋体"/>
                <w:color w:val="auto"/>
              </w:rPr>
            </w:pPr>
            <w:r>
              <w:rPr>
                <w:rFonts w:ascii="宋体" w:hAnsi="宋体" w:cs="宋体"/>
                <w:color w:val="auto"/>
              </w:rPr>
              <w:t>2.1.2</w:t>
            </w:r>
          </w:p>
        </w:tc>
        <w:tc>
          <w:tcPr>
            <w:tcW w:w="778" w:type="dxa"/>
            <w:vMerge w:val="restart"/>
            <w:vAlign w:val="center"/>
          </w:tcPr>
          <w:p w14:paraId="738C35CF">
            <w:pPr>
              <w:autoSpaceDE w:val="0"/>
              <w:autoSpaceDN w:val="0"/>
              <w:adjustRightInd w:val="0"/>
              <w:spacing w:line="360" w:lineRule="auto"/>
              <w:ind w:right="97"/>
              <w:jc w:val="center"/>
              <w:rPr>
                <w:rFonts w:ascii="宋体" w:cs="宋体"/>
                <w:color w:val="auto"/>
                <w:spacing w:val="1"/>
                <w:szCs w:val="21"/>
              </w:rPr>
            </w:pPr>
            <w:r>
              <w:rPr>
                <w:rFonts w:hint="eastAsia" w:ascii="宋体" w:hAnsi="宋体" w:cs="宋体"/>
                <w:color w:val="auto"/>
                <w:spacing w:val="1"/>
                <w:szCs w:val="21"/>
              </w:rPr>
              <w:t>符合性评审标准</w:t>
            </w:r>
          </w:p>
        </w:tc>
        <w:tc>
          <w:tcPr>
            <w:tcW w:w="2487" w:type="dxa"/>
            <w:vAlign w:val="center"/>
          </w:tcPr>
          <w:p w14:paraId="68498FBC">
            <w:pPr>
              <w:pStyle w:val="3"/>
              <w:spacing w:line="360" w:lineRule="auto"/>
              <w:jc w:val="center"/>
              <w:rPr>
                <w:rFonts w:hAnsi="宋体"/>
                <w:b/>
                <w:color w:val="auto"/>
                <w:szCs w:val="21"/>
              </w:rPr>
            </w:pPr>
            <w:r>
              <w:rPr>
                <w:rFonts w:hint="eastAsia" w:hAnsi="宋体"/>
                <w:color w:val="auto"/>
                <w:sz w:val="21"/>
                <w:szCs w:val="21"/>
              </w:rPr>
              <w:t>供应商名称</w:t>
            </w:r>
          </w:p>
        </w:tc>
        <w:tc>
          <w:tcPr>
            <w:tcW w:w="5263" w:type="dxa"/>
            <w:gridSpan w:val="2"/>
            <w:vAlign w:val="center"/>
          </w:tcPr>
          <w:p w14:paraId="595EFEAE">
            <w:pPr>
              <w:pStyle w:val="3"/>
              <w:spacing w:line="360" w:lineRule="auto"/>
              <w:rPr>
                <w:rFonts w:hAnsi="宋体"/>
                <w:b/>
                <w:color w:val="auto"/>
                <w:szCs w:val="21"/>
              </w:rPr>
            </w:pPr>
            <w:r>
              <w:rPr>
                <w:rFonts w:hint="eastAsia" w:hAnsi="宋体"/>
                <w:color w:val="auto"/>
                <w:sz w:val="21"/>
                <w:szCs w:val="21"/>
              </w:rPr>
              <w:t>与营业执照一致</w:t>
            </w:r>
          </w:p>
        </w:tc>
      </w:tr>
      <w:tr w14:paraId="7172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continue"/>
            <w:vAlign w:val="center"/>
          </w:tcPr>
          <w:p w14:paraId="17C24FBD">
            <w:pPr>
              <w:spacing w:line="360" w:lineRule="auto"/>
              <w:jc w:val="center"/>
              <w:rPr>
                <w:rFonts w:ascii="宋体" w:cs="宋体"/>
                <w:color w:val="auto"/>
              </w:rPr>
            </w:pPr>
          </w:p>
        </w:tc>
        <w:tc>
          <w:tcPr>
            <w:tcW w:w="778" w:type="dxa"/>
            <w:vMerge w:val="continue"/>
            <w:vAlign w:val="center"/>
          </w:tcPr>
          <w:p w14:paraId="275EDDD5">
            <w:pPr>
              <w:autoSpaceDE w:val="0"/>
              <w:autoSpaceDN w:val="0"/>
              <w:adjustRightInd w:val="0"/>
              <w:spacing w:line="360" w:lineRule="auto"/>
              <w:ind w:right="97"/>
              <w:jc w:val="center"/>
              <w:rPr>
                <w:rFonts w:ascii="宋体" w:cs="宋体"/>
                <w:color w:val="auto"/>
                <w:spacing w:val="1"/>
                <w:szCs w:val="21"/>
              </w:rPr>
            </w:pPr>
          </w:p>
        </w:tc>
        <w:tc>
          <w:tcPr>
            <w:tcW w:w="2487" w:type="dxa"/>
            <w:vAlign w:val="center"/>
          </w:tcPr>
          <w:p w14:paraId="3AF701F0">
            <w:pPr>
              <w:pStyle w:val="3"/>
              <w:spacing w:line="360" w:lineRule="auto"/>
              <w:jc w:val="center"/>
              <w:rPr>
                <w:rFonts w:hAnsi="宋体"/>
                <w:b/>
                <w:color w:val="auto"/>
                <w:szCs w:val="21"/>
              </w:rPr>
            </w:pPr>
            <w:r>
              <w:rPr>
                <w:rFonts w:hint="eastAsia" w:hAnsi="宋体"/>
                <w:bCs/>
                <w:sz w:val="21"/>
                <w:szCs w:val="21"/>
              </w:rPr>
              <w:t>电子投标文件签字盖章</w:t>
            </w:r>
          </w:p>
        </w:tc>
        <w:tc>
          <w:tcPr>
            <w:tcW w:w="5263" w:type="dxa"/>
            <w:gridSpan w:val="2"/>
            <w:vAlign w:val="center"/>
          </w:tcPr>
          <w:p w14:paraId="7162D2FE">
            <w:pPr>
              <w:pStyle w:val="3"/>
              <w:spacing w:line="360" w:lineRule="auto"/>
              <w:rPr>
                <w:rFonts w:hAnsi="宋体"/>
                <w:b/>
                <w:color w:val="auto"/>
                <w:szCs w:val="21"/>
              </w:rPr>
            </w:pPr>
            <w:r>
              <w:rPr>
                <w:rFonts w:hint="eastAsia" w:hAnsi="宋体"/>
                <w:color w:val="auto"/>
                <w:sz w:val="21"/>
                <w:szCs w:val="21"/>
              </w:rPr>
              <w:t>符合招标文件中有关签字盖章的要求</w:t>
            </w:r>
          </w:p>
        </w:tc>
      </w:tr>
      <w:tr w14:paraId="2648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continue"/>
            <w:vAlign w:val="center"/>
          </w:tcPr>
          <w:p w14:paraId="1BE7E9DE">
            <w:pPr>
              <w:spacing w:line="360" w:lineRule="auto"/>
              <w:jc w:val="center"/>
              <w:rPr>
                <w:rFonts w:ascii="宋体" w:cs="宋体"/>
                <w:color w:val="auto"/>
              </w:rPr>
            </w:pPr>
          </w:p>
        </w:tc>
        <w:tc>
          <w:tcPr>
            <w:tcW w:w="778" w:type="dxa"/>
            <w:vMerge w:val="continue"/>
            <w:vAlign w:val="center"/>
          </w:tcPr>
          <w:p w14:paraId="45973C97">
            <w:pPr>
              <w:autoSpaceDE w:val="0"/>
              <w:autoSpaceDN w:val="0"/>
              <w:adjustRightInd w:val="0"/>
              <w:spacing w:line="360" w:lineRule="auto"/>
              <w:ind w:right="97"/>
              <w:jc w:val="center"/>
              <w:rPr>
                <w:rFonts w:ascii="宋体" w:cs="宋体"/>
                <w:color w:val="auto"/>
                <w:spacing w:val="1"/>
                <w:szCs w:val="21"/>
              </w:rPr>
            </w:pPr>
          </w:p>
        </w:tc>
        <w:tc>
          <w:tcPr>
            <w:tcW w:w="2487" w:type="dxa"/>
            <w:vAlign w:val="center"/>
          </w:tcPr>
          <w:p w14:paraId="0B8EB1D2">
            <w:pPr>
              <w:pStyle w:val="3"/>
              <w:spacing w:line="360" w:lineRule="auto"/>
              <w:jc w:val="center"/>
              <w:rPr>
                <w:rFonts w:hAnsi="宋体"/>
                <w:b/>
                <w:color w:val="auto"/>
                <w:szCs w:val="21"/>
              </w:rPr>
            </w:pPr>
            <w:r>
              <w:rPr>
                <w:rFonts w:hint="eastAsia" w:hAnsi="宋体"/>
                <w:color w:val="auto"/>
                <w:sz w:val="21"/>
                <w:szCs w:val="21"/>
              </w:rPr>
              <w:t>投标文件格式</w:t>
            </w:r>
          </w:p>
        </w:tc>
        <w:tc>
          <w:tcPr>
            <w:tcW w:w="5263" w:type="dxa"/>
            <w:gridSpan w:val="2"/>
            <w:vAlign w:val="center"/>
          </w:tcPr>
          <w:p w14:paraId="6C00DDA4">
            <w:pPr>
              <w:pStyle w:val="3"/>
              <w:spacing w:line="360" w:lineRule="auto"/>
              <w:rPr>
                <w:rFonts w:hAnsi="宋体"/>
                <w:b/>
                <w:color w:val="auto"/>
                <w:szCs w:val="21"/>
              </w:rPr>
            </w:pPr>
            <w:r>
              <w:rPr>
                <w:rFonts w:hint="eastAsia" w:hAnsi="宋体"/>
                <w:color w:val="auto"/>
                <w:sz w:val="21"/>
                <w:szCs w:val="21"/>
              </w:rPr>
              <w:t>符合第五章“投标文件格式”的要求</w:t>
            </w:r>
          </w:p>
        </w:tc>
      </w:tr>
      <w:tr w14:paraId="760D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780" w:type="dxa"/>
            <w:vMerge w:val="continue"/>
            <w:vAlign w:val="center"/>
          </w:tcPr>
          <w:p w14:paraId="023582E9">
            <w:pPr>
              <w:spacing w:line="360" w:lineRule="auto"/>
              <w:jc w:val="center"/>
              <w:rPr>
                <w:rFonts w:ascii="宋体" w:cs="宋体"/>
                <w:color w:val="auto"/>
              </w:rPr>
            </w:pPr>
          </w:p>
        </w:tc>
        <w:tc>
          <w:tcPr>
            <w:tcW w:w="778" w:type="dxa"/>
            <w:vMerge w:val="continue"/>
            <w:vAlign w:val="center"/>
          </w:tcPr>
          <w:p w14:paraId="2F8F070A">
            <w:pPr>
              <w:autoSpaceDE w:val="0"/>
              <w:autoSpaceDN w:val="0"/>
              <w:adjustRightInd w:val="0"/>
              <w:spacing w:line="360" w:lineRule="auto"/>
              <w:ind w:right="97"/>
              <w:jc w:val="center"/>
              <w:rPr>
                <w:rFonts w:ascii="宋体" w:cs="宋体"/>
                <w:color w:val="auto"/>
                <w:spacing w:val="1"/>
                <w:szCs w:val="21"/>
              </w:rPr>
            </w:pPr>
          </w:p>
        </w:tc>
        <w:tc>
          <w:tcPr>
            <w:tcW w:w="2487" w:type="dxa"/>
            <w:vAlign w:val="center"/>
          </w:tcPr>
          <w:p w14:paraId="09005671">
            <w:pPr>
              <w:spacing w:line="360" w:lineRule="auto"/>
              <w:jc w:val="center"/>
              <w:rPr>
                <w:rFonts w:ascii="宋体" w:cs="宋体"/>
                <w:color w:val="auto"/>
                <w:szCs w:val="21"/>
              </w:rPr>
            </w:pPr>
            <w:r>
              <w:rPr>
                <w:rFonts w:hint="eastAsia" w:ascii="宋体" w:hAnsi="宋体" w:cs="宋体"/>
                <w:color w:val="auto"/>
                <w:szCs w:val="21"/>
              </w:rPr>
              <w:t>报价唯一</w:t>
            </w:r>
          </w:p>
        </w:tc>
        <w:tc>
          <w:tcPr>
            <w:tcW w:w="5263" w:type="dxa"/>
            <w:gridSpan w:val="2"/>
            <w:vAlign w:val="center"/>
          </w:tcPr>
          <w:p w14:paraId="352C323D">
            <w:pPr>
              <w:spacing w:line="360" w:lineRule="auto"/>
              <w:jc w:val="left"/>
              <w:rPr>
                <w:rFonts w:ascii="宋体" w:cs="宋体"/>
                <w:color w:val="auto"/>
                <w:szCs w:val="21"/>
              </w:rPr>
            </w:pPr>
            <w:r>
              <w:rPr>
                <w:rFonts w:hint="eastAsia" w:ascii="宋体" w:hAnsi="宋体" w:cs="宋体"/>
                <w:color w:val="auto"/>
                <w:szCs w:val="21"/>
              </w:rPr>
              <w:t>有且只能有一个有效报价</w:t>
            </w:r>
          </w:p>
        </w:tc>
      </w:tr>
      <w:tr w14:paraId="251A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780" w:type="dxa"/>
            <w:vMerge w:val="continue"/>
            <w:vAlign w:val="center"/>
          </w:tcPr>
          <w:p w14:paraId="1C66D76D">
            <w:pPr>
              <w:spacing w:line="360" w:lineRule="auto"/>
              <w:jc w:val="center"/>
              <w:rPr>
                <w:rFonts w:ascii="宋体" w:cs="宋体"/>
                <w:color w:val="auto"/>
              </w:rPr>
            </w:pPr>
          </w:p>
        </w:tc>
        <w:tc>
          <w:tcPr>
            <w:tcW w:w="778" w:type="dxa"/>
            <w:vMerge w:val="continue"/>
            <w:vAlign w:val="center"/>
          </w:tcPr>
          <w:p w14:paraId="79AFFFA8">
            <w:pPr>
              <w:autoSpaceDE w:val="0"/>
              <w:autoSpaceDN w:val="0"/>
              <w:adjustRightInd w:val="0"/>
              <w:spacing w:line="360" w:lineRule="auto"/>
              <w:ind w:right="97"/>
              <w:jc w:val="center"/>
              <w:rPr>
                <w:rFonts w:ascii="宋体" w:cs="宋体"/>
                <w:color w:val="auto"/>
                <w:spacing w:val="1"/>
                <w:szCs w:val="21"/>
              </w:rPr>
            </w:pPr>
          </w:p>
        </w:tc>
        <w:tc>
          <w:tcPr>
            <w:tcW w:w="2487" w:type="dxa"/>
            <w:vAlign w:val="center"/>
          </w:tcPr>
          <w:p w14:paraId="0B68684D">
            <w:pPr>
              <w:autoSpaceDE w:val="0"/>
              <w:autoSpaceDN w:val="0"/>
              <w:adjustRightInd w:val="0"/>
              <w:spacing w:line="360" w:lineRule="auto"/>
              <w:ind w:right="97"/>
              <w:jc w:val="center"/>
              <w:rPr>
                <w:rFonts w:ascii="宋体" w:cs="宋体"/>
                <w:color w:val="auto"/>
                <w:spacing w:val="1"/>
                <w:szCs w:val="21"/>
              </w:rPr>
            </w:pPr>
            <w:r>
              <w:rPr>
                <w:rFonts w:hint="eastAsia" w:ascii="宋体" w:hAnsi="宋体" w:cs="宋体"/>
                <w:color w:val="auto"/>
                <w:spacing w:val="1"/>
                <w:szCs w:val="21"/>
              </w:rPr>
              <w:t>投标内容</w:t>
            </w:r>
          </w:p>
        </w:tc>
        <w:tc>
          <w:tcPr>
            <w:tcW w:w="5263" w:type="dxa"/>
            <w:gridSpan w:val="2"/>
            <w:vAlign w:val="center"/>
          </w:tcPr>
          <w:p w14:paraId="3D5AA2BF">
            <w:pPr>
              <w:autoSpaceDE w:val="0"/>
              <w:autoSpaceDN w:val="0"/>
              <w:adjustRightInd w:val="0"/>
              <w:spacing w:line="360" w:lineRule="auto"/>
              <w:ind w:right="97"/>
              <w:rPr>
                <w:rFonts w:ascii="宋体" w:cs="宋体"/>
                <w:color w:val="auto"/>
                <w:spacing w:val="1"/>
                <w:szCs w:val="21"/>
              </w:rPr>
            </w:pPr>
            <w:r>
              <w:rPr>
                <w:rFonts w:hint="eastAsia" w:ascii="宋体" w:hAnsi="宋体" w:cs="宋体"/>
                <w:color w:val="auto"/>
                <w:spacing w:val="1"/>
                <w:szCs w:val="21"/>
              </w:rPr>
              <w:t>符合第二章“供应商须知前附表”规定</w:t>
            </w:r>
          </w:p>
        </w:tc>
      </w:tr>
      <w:tr w14:paraId="7941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continue"/>
            <w:vAlign w:val="center"/>
          </w:tcPr>
          <w:p w14:paraId="025C689D">
            <w:pPr>
              <w:autoSpaceDE w:val="0"/>
              <w:autoSpaceDN w:val="0"/>
              <w:adjustRightInd w:val="0"/>
              <w:spacing w:line="360" w:lineRule="auto"/>
              <w:ind w:right="97"/>
              <w:jc w:val="center"/>
              <w:rPr>
                <w:rFonts w:ascii="宋体" w:cs="宋体"/>
                <w:color w:val="auto"/>
                <w:spacing w:val="1"/>
                <w:szCs w:val="21"/>
              </w:rPr>
            </w:pPr>
          </w:p>
        </w:tc>
        <w:tc>
          <w:tcPr>
            <w:tcW w:w="778" w:type="dxa"/>
            <w:vMerge w:val="continue"/>
            <w:vAlign w:val="center"/>
          </w:tcPr>
          <w:p w14:paraId="4A3758EE">
            <w:pPr>
              <w:autoSpaceDE w:val="0"/>
              <w:autoSpaceDN w:val="0"/>
              <w:adjustRightInd w:val="0"/>
              <w:spacing w:line="360" w:lineRule="auto"/>
              <w:ind w:right="97"/>
              <w:jc w:val="center"/>
              <w:rPr>
                <w:rFonts w:ascii="宋体" w:cs="宋体"/>
                <w:color w:val="auto"/>
                <w:spacing w:val="1"/>
                <w:szCs w:val="21"/>
              </w:rPr>
            </w:pPr>
          </w:p>
        </w:tc>
        <w:tc>
          <w:tcPr>
            <w:tcW w:w="2487" w:type="dxa"/>
            <w:vAlign w:val="center"/>
          </w:tcPr>
          <w:p w14:paraId="2D0AD266">
            <w:pPr>
              <w:autoSpaceDE w:val="0"/>
              <w:autoSpaceDN w:val="0"/>
              <w:adjustRightInd w:val="0"/>
              <w:spacing w:line="360" w:lineRule="auto"/>
              <w:ind w:right="97"/>
              <w:jc w:val="center"/>
              <w:rPr>
                <w:rFonts w:ascii="宋体" w:cs="宋体"/>
                <w:color w:val="auto"/>
                <w:spacing w:val="1"/>
                <w:szCs w:val="21"/>
              </w:rPr>
            </w:pPr>
            <w:r>
              <w:rPr>
                <w:rFonts w:hint="eastAsia" w:ascii="宋体" w:hAnsi="宋体" w:cs="宋体"/>
                <w:color w:val="auto"/>
                <w:spacing w:val="1"/>
                <w:szCs w:val="21"/>
              </w:rPr>
              <w:t>质量要求</w:t>
            </w:r>
          </w:p>
        </w:tc>
        <w:tc>
          <w:tcPr>
            <w:tcW w:w="5263" w:type="dxa"/>
            <w:gridSpan w:val="2"/>
            <w:vAlign w:val="center"/>
          </w:tcPr>
          <w:p w14:paraId="3DE639E2">
            <w:pPr>
              <w:autoSpaceDE w:val="0"/>
              <w:autoSpaceDN w:val="0"/>
              <w:adjustRightInd w:val="0"/>
              <w:spacing w:line="360" w:lineRule="auto"/>
              <w:ind w:right="97"/>
              <w:rPr>
                <w:rFonts w:ascii="宋体" w:cs="宋体"/>
                <w:color w:val="auto"/>
                <w:spacing w:val="1"/>
                <w:szCs w:val="21"/>
              </w:rPr>
            </w:pPr>
            <w:r>
              <w:rPr>
                <w:rFonts w:hint="eastAsia" w:ascii="宋体" w:hAnsi="宋体" w:cs="宋体"/>
                <w:color w:val="auto"/>
                <w:spacing w:val="1"/>
                <w:szCs w:val="21"/>
              </w:rPr>
              <w:t>符合第二章“供应商须知前附表”规定</w:t>
            </w:r>
          </w:p>
        </w:tc>
      </w:tr>
      <w:tr w14:paraId="1349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continue"/>
            <w:vAlign w:val="center"/>
          </w:tcPr>
          <w:p w14:paraId="671DB01E">
            <w:pPr>
              <w:autoSpaceDE w:val="0"/>
              <w:autoSpaceDN w:val="0"/>
              <w:adjustRightInd w:val="0"/>
              <w:spacing w:line="360" w:lineRule="auto"/>
              <w:ind w:right="97"/>
              <w:jc w:val="center"/>
              <w:rPr>
                <w:rFonts w:ascii="宋体" w:cs="宋体"/>
                <w:color w:val="auto"/>
                <w:spacing w:val="1"/>
                <w:szCs w:val="21"/>
              </w:rPr>
            </w:pPr>
          </w:p>
        </w:tc>
        <w:tc>
          <w:tcPr>
            <w:tcW w:w="778" w:type="dxa"/>
            <w:vMerge w:val="continue"/>
            <w:vAlign w:val="center"/>
          </w:tcPr>
          <w:p w14:paraId="745CB1B9">
            <w:pPr>
              <w:autoSpaceDE w:val="0"/>
              <w:autoSpaceDN w:val="0"/>
              <w:adjustRightInd w:val="0"/>
              <w:spacing w:line="360" w:lineRule="auto"/>
              <w:ind w:right="97"/>
              <w:jc w:val="center"/>
              <w:rPr>
                <w:rFonts w:ascii="宋体" w:cs="宋体"/>
                <w:color w:val="auto"/>
                <w:spacing w:val="1"/>
                <w:szCs w:val="21"/>
              </w:rPr>
            </w:pPr>
          </w:p>
        </w:tc>
        <w:tc>
          <w:tcPr>
            <w:tcW w:w="2487" w:type="dxa"/>
            <w:vAlign w:val="center"/>
          </w:tcPr>
          <w:p w14:paraId="60D76796">
            <w:pPr>
              <w:autoSpaceDE w:val="0"/>
              <w:autoSpaceDN w:val="0"/>
              <w:adjustRightInd w:val="0"/>
              <w:spacing w:line="360" w:lineRule="auto"/>
              <w:ind w:right="97"/>
              <w:jc w:val="center"/>
              <w:rPr>
                <w:rFonts w:ascii="宋体" w:cs="宋体"/>
                <w:color w:val="auto"/>
                <w:spacing w:val="1"/>
                <w:szCs w:val="21"/>
              </w:rPr>
            </w:pPr>
            <w:r>
              <w:rPr>
                <w:rFonts w:hint="eastAsia" w:ascii="宋体" w:hAnsi="宋体" w:cs="宋体"/>
                <w:color w:val="auto"/>
                <w:spacing w:val="1"/>
                <w:szCs w:val="21"/>
              </w:rPr>
              <w:t>服务期限</w:t>
            </w:r>
          </w:p>
        </w:tc>
        <w:tc>
          <w:tcPr>
            <w:tcW w:w="5263" w:type="dxa"/>
            <w:gridSpan w:val="2"/>
            <w:vAlign w:val="center"/>
          </w:tcPr>
          <w:p w14:paraId="73600BF7">
            <w:pPr>
              <w:autoSpaceDE w:val="0"/>
              <w:autoSpaceDN w:val="0"/>
              <w:adjustRightInd w:val="0"/>
              <w:spacing w:line="360" w:lineRule="auto"/>
              <w:ind w:right="97"/>
              <w:rPr>
                <w:rFonts w:ascii="宋体" w:cs="宋体"/>
                <w:color w:val="auto"/>
                <w:spacing w:val="1"/>
                <w:szCs w:val="21"/>
              </w:rPr>
            </w:pPr>
            <w:r>
              <w:rPr>
                <w:rFonts w:hint="eastAsia" w:ascii="宋体" w:hAnsi="宋体" w:cs="宋体"/>
                <w:color w:val="auto"/>
                <w:spacing w:val="1"/>
                <w:szCs w:val="21"/>
              </w:rPr>
              <w:t>符合第二章“供应商须知前附表”规定</w:t>
            </w:r>
          </w:p>
        </w:tc>
      </w:tr>
      <w:tr w14:paraId="21FF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continue"/>
            <w:vAlign w:val="center"/>
          </w:tcPr>
          <w:p w14:paraId="79CD54B0">
            <w:pPr>
              <w:autoSpaceDE w:val="0"/>
              <w:autoSpaceDN w:val="0"/>
              <w:adjustRightInd w:val="0"/>
              <w:spacing w:line="360" w:lineRule="auto"/>
              <w:ind w:right="97"/>
              <w:jc w:val="center"/>
              <w:rPr>
                <w:rFonts w:ascii="宋体" w:cs="宋体"/>
                <w:color w:val="auto"/>
                <w:spacing w:val="1"/>
                <w:szCs w:val="21"/>
              </w:rPr>
            </w:pPr>
          </w:p>
        </w:tc>
        <w:tc>
          <w:tcPr>
            <w:tcW w:w="778" w:type="dxa"/>
            <w:vMerge w:val="continue"/>
            <w:vAlign w:val="center"/>
          </w:tcPr>
          <w:p w14:paraId="5586F70E">
            <w:pPr>
              <w:autoSpaceDE w:val="0"/>
              <w:autoSpaceDN w:val="0"/>
              <w:adjustRightInd w:val="0"/>
              <w:spacing w:line="360" w:lineRule="auto"/>
              <w:ind w:right="97"/>
              <w:jc w:val="center"/>
              <w:rPr>
                <w:rFonts w:ascii="宋体" w:cs="宋体"/>
                <w:color w:val="auto"/>
                <w:spacing w:val="1"/>
                <w:szCs w:val="21"/>
              </w:rPr>
            </w:pPr>
          </w:p>
        </w:tc>
        <w:tc>
          <w:tcPr>
            <w:tcW w:w="2487" w:type="dxa"/>
            <w:vAlign w:val="center"/>
          </w:tcPr>
          <w:p w14:paraId="0AACB496">
            <w:pPr>
              <w:autoSpaceDE w:val="0"/>
              <w:autoSpaceDN w:val="0"/>
              <w:adjustRightInd w:val="0"/>
              <w:spacing w:line="360" w:lineRule="auto"/>
              <w:ind w:right="97"/>
              <w:jc w:val="center"/>
              <w:rPr>
                <w:rFonts w:ascii="宋体" w:cs="宋体"/>
                <w:color w:val="auto"/>
                <w:spacing w:val="1"/>
                <w:szCs w:val="21"/>
              </w:rPr>
            </w:pPr>
            <w:r>
              <w:rPr>
                <w:rFonts w:hint="eastAsia" w:ascii="宋体" w:hAnsi="宋体" w:cs="宋体"/>
                <w:color w:val="auto"/>
                <w:spacing w:val="1"/>
                <w:szCs w:val="21"/>
              </w:rPr>
              <w:t>交货地点</w:t>
            </w:r>
          </w:p>
        </w:tc>
        <w:tc>
          <w:tcPr>
            <w:tcW w:w="5263" w:type="dxa"/>
            <w:gridSpan w:val="2"/>
            <w:vAlign w:val="center"/>
          </w:tcPr>
          <w:p w14:paraId="7DDB1B8E">
            <w:pPr>
              <w:autoSpaceDE w:val="0"/>
              <w:autoSpaceDN w:val="0"/>
              <w:adjustRightInd w:val="0"/>
              <w:spacing w:line="360" w:lineRule="auto"/>
              <w:ind w:right="97"/>
              <w:rPr>
                <w:rFonts w:ascii="宋体" w:cs="宋体"/>
                <w:color w:val="auto"/>
                <w:spacing w:val="1"/>
                <w:szCs w:val="21"/>
              </w:rPr>
            </w:pPr>
            <w:r>
              <w:rPr>
                <w:rFonts w:hint="eastAsia" w:ascii="宋体" w:hAnsi="宋体" w:cs="宋体"/>
                <w:color w:val="auto"/>
                <w:spacing w:val="1"/>
                <w:szCs w:val="21"/>
              </w:rPr>
              <w:t>符合第二章“供应商须知前附表”规定</w:t>
            </w:r>
          </w:p>
        </w:tc>
      </w:tr>
      <w:tr w14:paraId="28E5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continue"/>
            <w:vAlign w:val="center"/>
          </w:tcPr>
          <w:p w14:paraId="2C9F80A5">
            <w:pPr>
              <w:autoSpaceDE w:val="0"/>
              <w:autoSpaceDN w:val="0"/>
              <w:adjustRightInd w:val="0"/>
              <w:spacing w:line="360" w:lineRule="auto"/>
              <w:ind w:right="97"/>
              <w:jc w:val="center"/>
              <w:rPr>
                <w:rFonts w:ascii="宋体" w:cs="宋体"/>
                <w:color w:val="auto"/>
                <w:spacing w:val="1"/>
                <w:szCs w:val="21"/>
              </w:rPr>
            </w:pPr>
          </w:p>
        </w:tc>
        <w:tc>
          <w:tcPr>
            <w:tcW w:w="778" w:type="dxa"/>
            <w:vMerge w:val="continue"/>
            <w:vAlign w:val="center"/>
          </w:tcPr>
          <w:p w14:paraId="10AC6C28">
            <w:pPr>
              <w:autoSpaceDE w:val="0"/>
              <w:autoSpaceDN w:val="0"/>
              <w:adjustRightInd w:val="0"/>
              <w:spacing w:line="360" w:lineRule="auto"/>
              <w:ind w:right="97"/>
              <w:jc w:val="center"/>
              <w:rPr>
                <w:rFonts w:ascii="宋体" w:cs="宋体"/>
                <w:color w:val="auto"/>
                <w:spacing w:val="1"/>
                <w:szCs w:val="21"/>
              </w:rPr>
            </w:pPr>
          </w:p>
        </w:tc>
        <w:tc>
          <w:tcPr>
            <w:tcW w:w="2487" w:type="dxa"/>
            <w:vAlign w:val="center"/>
          </w:tcPr>
          <w:p w14:paraId="69F63D0A">
            <w:pPr>
              <w:autoSpaceDE w:val="0"/>
              <w:autoSpaceDN w:val="0"/>
              <w:adjustRightInd w:val="0"/>
              <w:spacing w:line="360" w:lineRule="auto"/>
              <w:ind w:right="97"/>
              <w:jc w:val="center"/>
              <w:rPr>
                <w:rFonts w:ascii="宋体" w:cs="宋体"/>
                <w:color w:val="auto"/>
                <w:spacing w:val="1"/>
                <w:szCs w:val="21"/>
              </w:rPr>
            </w:pPr>
            <w:r>
              <w:rPr>
                <w:rFonts w:hint="eastAsia" w:ascii="宋体" w:hAnsi="宋体" w:cs="宋体"/>
                <w:color w:val="auto"/>
                <w:spacing w:val="1"/>
                <w:szCs w:val="21"/>
              </w:rPr>
              <w:t>投标有效期</w:t>
            </w:r>
          </w:p>
        </w:tc>
        <w:tc>
          <w:tcPr>
            <w:tcW w:w="5263" w:type="dxa"/>
            <w:gridSpan w:val="2"/>
            <w:vAlign w:val="center"/>
          </w:tcPr>
          <w:p w14:paraId="38002863">
            <w:pPr>
              <w:autoSpaceDE w:val="0"/>
              <w:autoSpaceDN w:val="0"/>
              <w:adjustRightInd w:val="0"/>
              <w:spacing w:line="360" w:lineRule="auto"/>
              <w:ind w:right="97"/>
              <w:rPr>
                <w:rFonts w:ascii="宋体" w:cs="宋体"/>
                <w:color w:val="auto"/>
                <w:spacing w:val="1"/>
                <w:szCs w:val="21"/>
              </w:rPr>
            </w:pPr>
            <w:r>
              <w:rPr>
                <w:rFonts w:hint="eastAsia" w:ascii="宋体" w:hAnsi="宋体" w:cs="宋体"/>
                <w:color w:val="auto"/>
                <w:spacing w:val="1"/>
                <w:szCs w:val="21"/>
              </w:rPr>
              <w:t>符合第二章“供应商须知前附表”规定</w:t>
            </w:r>
          </w:p>
        </w:tc>
      </w:tr>
      <w:tr w14:paraId="6970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9308" w:type="dxa"/>
            <w:gridSpan w:val="5"/>
            <w:vAlign w:val="center"/>
          </w:tcPr>
          <w:p w14:paraId="6BBE5ABE">
            <w:pPr>
              <w:autoSpaceDE w:val="0"/>
              <w:autoSpaceDN w:val="0"/>
              <w:adjustRightInd w:val="0"/>
              <w:spacing w:line="360" w:lineRule="auto"/>
              <w:ind w:right="97"/>
              <w:rPr>
                <w:rFonts w:ascii="宋体" w:cs="宋体"/>
                <w:color w:val="auto"/>
                <w:spacing w:val="1"/>
                <w:szCs w:val="21"/>
              </w:rPr>
            </w:pPr>
            <w:r>
              <w:rPr>
                <w:rFonts w:hint="eastAsia" w:ascii="宋体" w:hAnsi="宋体" w:cs="宋体"/>
                <w:b/>
                <w:color w:val="auto"/>
                <w:spacing w:val="1"/>
                <w:szCs w:val="21"/>
              </w:rPr>
              <w:t>二、详细评审：</w:t>
            </w:r>
          </w:p>
        </w:tc>
      </w:tr>
      <w:tr w14:paraId="29EE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4" w:hRule="atLeast"/>
          <w:jc w:val="center"/>
        </w:trPr>
        <w:tc>
          <w:tcPr>
            <w:tcW w:w="1558" w:type="dxa"/>
            <w:gridSpan w:val="2"/>
            <w:vAlign w:val="center"/>
          </w:tcPr>
          <w:p w14:paraId="325A0A7C">
            <w:pPr>
              <w:autoSpaceDE w:val="0"/>
              <w:autoSpaceDN w:val="0"/>
              <w:adjustRightInd w:val="0"/>
              <w:spacing w:line="360" w:lineRule="auto"/>
              <w:ind w:right="97"/>
              <w:jc w:val="center"/>
              <w:rPr>
                <w:rFonts w:ascii="宋体" w:cs="宋体"/>
                <w:color w:val="auto"/>
                <w:spacing w:val="1"/>
                <w:szCs w:val="21"/>
              </w:rPr>
            </w:pPr>
            <w:r>
              <w:rPr>
                <w:rFonts w:ascii="宋体" w:hAnsi="宋体" w:cs="宋体"/>
                <w:color w:val="auto"/>
                <w:szCs w:val="21"/>
              </w:rPr>
              <w:t>2.2.1</w:t>
            </w:r>
            <w:r>
              <w:rPr>
                <w:rFonts w:hint="eastAsia" w:ascii="宋体" w:hAnsi="宋体" w:cs="宋体"/>
                <w:color w:val="auto"/>
                <w:szCs w:val="21"/>
              </w:rPr>
              <w:t>分值构成</w:t>
            </w:r>
          </w:p>
        </w:tc>
        <w:tc>
          <w:tcPr>
            <w:tcW w:w="7750" w:type="dxa"/>
            <w:gridSpan w:val="3"/>
            <w:vAlign w:val="center"/>
          </w:tcPr>
          <w:p w14:paraId="281452BB">
            <w:pPr>
              <w:spacing w:line="360" w:lineRule="auto"/>
              <w:rPr>
                <w:rFonts w:ascii="宋体" w:cs="宋体"/>
                <w:color w:val="auto"/>
                <w:szCs w:val="21"/>
              </w:rPr>
            </w:pPr>
            <w:r>
              <w:rPr>
                <w:rFonts w:ascii="宋体" w:hAnsi="宋体" w:cs="宋体"/>
                <w:color w:val="auto"/>
                <w:szCs w:val="21"/>
              </w:rPr>
              <w:t>1</w:t>
            </w:r>
            <w:r>
              <w:rPr>
                <w:rFonts w:hint="eastAsia" w:ascii="宋体" w:hAnsi="宋体" w:cs="宋体"/>
                <w:color w:val="auto"/>
                <w:szCs w:val="21"/>
              </w:rPr>
              <w:t>、报价部分（</w:t>
            </w:r>
            <w:r>
              <w:rPr>
                <w:rFonts w:hint="eastAsia" w:ascii="宋体" w:hAnsi="宋体" w:cs="宋体"/>
                <w:color w:val="auto"/>
                <w:szCs w:val="21"/>
                <w:lang w:val="en-US" w:eastAsia="zh-CN"/>
              </w:rPr>
              <w:t>30</w:t>
            </w:r>
            <w:r>
              <w:rPr>
                <w:rFonts w:hint="eastAsia" w:ascii="宋体" w:hAnsi="宋体" w:cs="宋体"/>
                <w:color w:val="auto"/>
                <w:szCs w:val="21"/>
              </w:rPr>
              <w:t>分）；</w:t>
            </w:r>
          </w:p>
          <w:p w14:paraId="5B991440">
            <w:pPr>
              <w:spacing w:line="360" w:lineRule="auto"/>
              <w:rPr>
                <w:rFonts w:ascii="宋体" w:cs="宋体"/>
                <w:color w:val="auto"/>
                <w:szCs w:val="21"/>
              </w:rPr>
            </w:pPr>
            <w:r>
              <w:rPr>
                <w:rFonts w:ascii="宋体" w:hAnsi="宋体" w:cs="宋体"/>
                <w:color w:val="auto"/>
                <w:szCs w:val="21"/>
              </w:rPr>
              <w:t>2</w:t>
            </w:r>
            <w:r>
              <w:rPr>
                <w:rFonts w:hint="eastAsia" w:ascii="宋体" w:hAnsi="宋体" w:cs="宋体"/>
                <w:color w:val="auto"/>
                <w:szCs w:val="21"/>
              </w:rPr>
              <w:t>、技术部分（</w:t>
            </w:r>
            <w:r>
              <w:rPr>
                <w:rFonts w:hint="eastAsia" w:ascii="宋体" w:hAnsi="宋体" w:cs="宋体"/>
                <w:color w:val="auto"/>
                <w:szCs w:val="21"/>
                <w:lang w:val="en-US" w:eastAsia="zh-CN"/>
              </w:rPr>
              <w:t>5</w:t>
            </w:r>
            <w:r>
              <w:rPr>
                <w:rFonts w:hint="eastAsia" w:ascii="宋体" w:hAnsi="宋体" w:cs="宋体"/>
                <w:color w:val="auto"/>
                <w:szCs w:val="21"/>
              </w:rPr>
              <w:t>5分）；</w:t>
            </w:r>
          </w:p>
          <w:p w14:paraId="78E66FF6">
            <w:pPr>
              <w:autoSpaceDE w:val="0"/>
              <w:autoSpaceDN w:val="0"/>
              <w:adjustRightInd w:val="0"/>
              <w:spacing w:line="360" w:lineRule="auto"/>
              <w:rPr>
                <w:rFonts w:ascii="宋体" w:cs="宋体"/>
                <w:color w:val="auto"/>
                <w:spacing w:val="1"/>
                <w:szCs w:val="21"/>
              </w:rPr>
            </w:pPr>
            <w:r>
              <w:rPr>
                <w:rFonts w:ascii="宋体" w:hAnsi="宋体" w:cs="宋体"/>
                <w:color w:val="auto"/>
                <w:szCs w:val="21"/>
              </w:rPr>
              <w:t>3</w:t>
            </w:r>
            <w:r>
              <w:rPr>
                <w:rFonts w:hint="eastAsia" w:ascii="宋体" w:hAnsi="宋体" w:cs="宋体"/>
                <w:color w:val="auto"/>
                <w:szCs w:val="21"/>
              </w:rPr>
              <w:t>、商务部分（15分）；</w:t>
            </w:r>
          </w:p>
        </w:tc>
      </w:tr>
      <w:tr w14:paraId="6522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558" w:type="dxa"/>
            <w:gridSpan w:val="2"/>
            <w:vAlign w:val="center"/>
          </w:tcPr>
          <w:p w14:paraId="6F462344">
            <w:pPr>
              <w:autoSpaceDE w:val="0"/>
              <w:autoSpaceDN w:val="0"/>
              <w:adjustRightInd w:val="0"/>
              <w:spacing w:line="360" w:lineRule="auto"/>
              <w:ind w:right="97"/>
              <w:jc w:val="center"/>
              <w:rPr>
                <w:rFonts w:ascii="宋体" w:cs="宋体"/>
                <w:color w:val="auto"/>
                <w:szCs w:val="21"/>
              </w:rPr>
            </w:pPr>
            <w:r>
              <w:rPr>
                <w:rFonts w:ascii="宋体" w:hAnsi="宋体" w:cs="宋体"/>
                <w:color w:val="auto"/>
                <w:szCs w:val="21"/>
              </w:rPr>
              <w:t>2.2.2(1)</w:t>
            </w:r>
            <w:r>
              <w:rPr>
                <w:rFonts w:hint="eastAsia" w:ascii="宋体" w:hAnsi="宋体" w:cs="宋体"/>
                <w:color w:val="auto"/>
                <w:szCs w:val="21"/>
              </w:rPr>
              <w:t>报价部分评分标准（</w:t>
            </w:r>
            <w:r>
              <w:rPr>
                <w:rFonts w:hint="eastAsia" w:ascii="宋体" w:hAnsi="宋体" w:cs="宋体"/>
                <w:color w:val="auto"/>
                <w:szCs w:val="21"/>
                <w:lang w:val="en-US" w:eastAsia="zh-CN"/>
              </w:rPr>
              <w:t>30</w:t>
            </w:r>
            <w:r>
              <w:rPr>
                <w:rFonts w:hint="eastAsia" w:ascii="宋体" w:hAnsi="宋体" w:cs="宋体"/>
                <w:color w:val="auto"/>
                <w:szCs w:val="21"/>
              </w:rPr>
              <w:t>分）</w:t>
            </w:r>
          </w:p>
        </w:tc>
        <w:tc>
          <w:tcPr>
            <w:tcW w:w="7750" w:type="dxa"/>
            <w:gridSpan w:val="3"/>
            <w:vAlign w:val="center"/>
          </w:tcPr>
          <w:p w14:paraId="5F414E0E">
            <w:pPr>
              <w:spacing w:line="360" w:lineRule="auto"/>
              <w:ind w:firstLine="420" w:firstLineChars="200"/>
              <w:jc w:val="left"/>
              <w:rPr>
                <w:rFonts w:hint="eastAsia" w:ascii="宋体" w:cs="宋体"/>
                <w:color w:val="auto"/>
                <w:szCs w:val="21"/>
              </w:rPr>
            </w:pPr>
            <w:r>
              <w:rPr>
                <w:rFonts w:hint="eastAsia" w:ascii="宋体" w:cs="宋体"/>
                <w:color w:val="auto"/>
                <w:szCs w:val="21"/>
              </w:rPr>
              <w:t>满足招标文件要求且食材报价最低的投标报价为评标基准价，其价格分为满分。其他投标人的价格分统一按照下列公式计算：投标报价得分＝（评标基准价/供应</w:t>
            </w:r>
          </w:p>
          <w:p w14:paraId="278DE8A7">
            <w:pPr>
              <w:spacing w:line="360" w:lineRule="auto"/>
              <w:jc w:val="left"/>
              <w:rPr>
                <w:rFonts w:hint="eastAsia" w:ascii="宋体" w:cs="宋体"/>
                <w:color w:val="auto"/>
                <w:szCs w:val="21"/>
              </w:rPr>
            </w:pPr>
            <w:r>
              <w:rPr>
                <w:rFonts w:hint="eastAsia" w:ascii="宋体" w:cs="宋体"/>
                <w:color w:val="auto"/>
                <w:szCs w:val="21"/>
              </w:rPr>
              <w:t>商食材报价）×分值。</w:t>
            </w:r>
          </w:p>
          <w:p w14:paraId="699FB927">
            <w:pPr>
              <w:pStyle w:val="2"/>
            </w:pPr>
            <w:r>
              <w:rPr>
                <w:rFonts w:hint="eastAsia"/>
              </w:rPr>
              <w:t>注：1.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 10 %后参与评审。对于同时属于小微企业、监狱企业或残疾人福利性单位的，不重复进行投标报价扣除。（专门面向中小企业的项目除外）</w:t>
            </w:r>
          </w:p>
        </w:tc>
      </w:tr>
      <w:tr w14:paraId="0130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0" w:hRule="atLeast"/>
          <w:jc w:val="center"/>
        </w:trPr>
        <w:tc>
          <w:tcPr>
            <w:tcW w:w="1558" w:type="dxa"/>
            <w:gridSpan w:val="2"/>
            <w:vMerge w:val="restart"/>
            <w:vAlign w:val="center"/>
          </w:tcPr>
          <w:p w14:paraId="38B17C64">
            <w:pPr>
              <w:autoSpaceDE w:val="0"/>
              <w:autoSpaceDN w:val="0"/>
              <w:adjustRightInd w:val="0"/>
              <w:spacing w:line="360" w:lineRule="auto"/>
              <w:ind w:right="97"/>
              <w:jc w:val="center"/>
              <w:rPr>
                <w:rFonts w:ascii="宋体" w:cs="宋体"/>
                <w:color w:val="auto"/>
                <w:spacing w:val="1"/>
                <w:szCs w:val="21"/>
              </w:rPr>
            </w:pPr>
            <w:r>
              <w:rPr>
                <w:rFonts w:ascii="宋体" w:cs="宋体"/>
                <w:color w:val="auto"/>
                <w:spacing w:val="1"/>
                <w:szCs w:val="21"/>
              </w:rPr>
              <w:t>2.2.2</w:t>
            </w:r>
            <w:r>
              <w:rPr>
                <w:rFonts w:hint="eastAsia" w:ascii="宋体" w:cs="宋体"/>
                <w:color w:val="auto"/>
                <w:spacing w:val="1"/>
                <w:szCs w:val="21"/>
              </w:rPr>
              <w:t>（</w:t>
            </w:r>
            <w:r>
              <w:rPr>
                <w:rFonts w:ascii="宋体" w:cs="宋体"/>
                <w:color w:val="auto"/>
                <w:spacing w:val="1"/>
                <w:szCs w:val="21"/>
              </w:rPr>
              <w:t>2</w:t>
            </w:r>
            <w:r>
              <w:rPr>
                <w:rFonts w:hint="eastAsia" w:ascii="宋体" w:cs="宋体"/>
                <w:color w:val="auto"/>
                <w:spacing w:val="1"/>
                <w:szCs w:val="21"/>
              </w:rPr>
              <w:t>）技术部分（项目实施方案）评分标准（</w:t>
            </w:r>
            <w:r>
              <w:rPr>
                <w:rFonts w:hint="eastAsia" w:ascii="宋体" w:cs="宋体"/>
                <w:color w:val="auto"/>
                <w:spacing w:val="1"/>
                <w:szCs w:val="21"/>
                <w:lang w:val="en-US" w:eastAsia="zh-CN"/>
              </w:rPr>
              <w:t>55</w:t>
            </w:r>
            <w:r>
              <w:rPr>
                <w:rFonts w:hint="eastAsia" w:ascii="宋体" w:cs="宋体"/>
                <w:color w:val="auto"/>
                <w:spacing w:val="1"/>
                <w:szCs w:val="21"/>
              </w:rPr>
              <w:t>分）</w:t>
            </w:r>
          </w:p>
        </w:tc>
        <w:tc>
          <w:tcPr>
            <w:tcW w:w="2730" w:type="dxa"/>
            <w:gridSpan w:val="2"/>
            <w:vAlign w:val="center"/>
          </w:tcPr>
          <w:p w14:paraId="59231BCD">
            <w:pPr>
              <w:spacing w:line="360" w:lineRule="auto"/>
              <w:jc w:val="center"/>
              <w:rPr>
                <w:rFonts w:ascii="宋体" w:cs="宋体"/>
                <w:color w:val="auto"/>
                <w:spacing w:val="1"/>
                <w:szCs w:val="21"/>
              </w:rPr>
            </w:pPr>
            <w:r>
              <w:rPr>
                <w:rFonts w:hint="eastAsia" w:ascii="宋体" w:cs="宋体"/>
                <w:color w:val="auto"/>
                <w:spacing w:val="1"/>
                <w:szCs w:val="21"/>
              </w:rPr>
              <w:t>管理体系制度（</w:t>
            </w:r>
            <w:r>
              <w:rPr>
                <w:rFonts w:hint="eastAsia" w:ascii="宋体" w:cs="宋体"/>
                <w:color w:val="auto"/>
                <w:spacing w:val="1"/>
                <w:szCs w:val="21"/>
                <w:lang w:val="en-US" w:eastAsia="zh-CN"/>
              </w:rPr>
              <w:t>10</w:t>
            </w:r>
            <w:r>
              <w:rPr>
                <w:rFonts w:hint="eastAsia" w:ascii="宋体" w:cs="宋体"/>
                <w:color w:val="auto"/>
                <w:spacing w:val="1"/>
                <w:szCs w:val="21"/>
              </w:rPr>
              <w:t>分）</w:t>
            </w:r>
          </w:p>
        </w:tc>
        <w:tc>
          <w:tcPr>
            <w:tcW w:w="5020" w:type="dxa"/>
            <w:vAlign w:val="center"/>
          </w:tcPr>
          <w:p w14:paraId="34512416">
            <w:pPr>
              <w:spacing w:line="360" w:lineRule="auto"/>
              <w:rPr>
                <w:rFonts w:ascii="宋体" w:cs="宋体"/>
                <w:color w:val="auto"/>
              </w:rPr>
            </w:pPr>
            <w:r>
              <w:rPr>
                <w:rFonts w:hint="eastAsia" w:ascii="宋体" w:cs="宋体"/>
                <w:color w:val="auto"/>
              </w:rPr>
              <w:t>针对本项目供应商提供完善的食材来源制度、食材采购管理制度、验收管理制度、食品储藏、操作规范、卫生管理控制或管理方案(食品安全，人员卫生，环境卫生，垃圾处理方案等)、检验制度(含留样制度)入库管理；与学校建立沟通机制，定期了解学校对食材质量、品种的意见建议，及时改进服务机制等内容；</w:t>
            </w:r>
          </w:p>
          <w:p w14:paraId="5C4F934E">
            <w:pPr>
              <w:spacing w:line="360" w:lineRule="auto"/>
              <w:rPr>
                <w:rFonts w:ascii="宋体" w:cs="宋体"/>
                <w:color w:val="auto"/>
              </w:rPr>
            </w:pPr>
            <w:r>
              <w:rPr>
                <w:rFonts w:hint="eastAsia" w:ascii="宋体" w:cs="宋体"/>
                <w:color w:val="auto"/>
              </w:rPr>
              <w:t xml:space="preserve">第一档：内容合理性强，全面完善，可行性强，针对性强，得 </w:t>
            </w:r>
            <w:r>
              <w:rPr>
                <w:rFonts w:hint="eastAsia" w:ascii="宋体" w:cs="宋体"/>
                <w:color w:val="auto"/>
                <w:lang w:val="en-US" w:eastAsia="zh-CN"/>
              </w:rPr>
              <w:t>10</w:t>
            </w:r>
            <w:r>
              <w:rPr>
                <w:rFonts w:hint="eastAsia" w:ascii="宋体" w:cs="宋体"/>
                <w:color w:val="auto"/>
              </w:rPr>
              <w:t>分</w:t>
            </w:r>
          </w:p>
          <w:p w14:paraId="4629E0D9">
            <w:pPr>
              <w:spacing w:line="360" w:lineRule="auto"/>
              <w:rPr>
                <w:rFonts w:ascii="宋体" w:cs="宋体"/>
                <w:color w:val="auto"/>
              </w:rPr>
            </w:pPr>
            <w:r>
              <w:rPr>
                <w:rFonts w:hint="eastAsia" w:ascii="宋体" w:cs="宋体"/>
                <w:color w:val="auto"/>
              </w:rPr>
              <w:t xml:space="preserve">第二档：内容较为合理，较为全面完善，可行性较为强，针对性较为强；得 </w:t>
            </w:r>
            <w:r>
              <w:rPr>
                <w:rFonts w:hint="eastAsia" w:ascii="宋体" w:cs="宋体"/>
                <w:color w:val="auto"/>
                <w:lang w:val="en-US" w:eastAsia="zh-CN"/>
              </w:rPr>
              <w:t>7</w:t>
            </w:r>
            <w:r>
              <w:rPr>
                <w:rFonts w:hint="eastAsia" w:ascii="宋体" w:cs="宋体"/>
                <w:color w:val="auto"/>
              </w:rPr>
              <w:t>分</w:t>
            </w:r>
          </w:p>
          <w:p w14:paraId="1F97A55C">
            <w:pPr>
              <w:spacing w:line="360" w:lineRule="auto"/>
              <w:rPr>
                <w:rFonts w:ascii="宋体" w:cs="宋体"/>
                <w:color w:val="auto"/>
              </w:rPr>
            </w:pPr>
            <w:r>
              <w:rPr>
                <w:rFonts w:hint="eastAsia" w:ascii="宋体" w:cs="宋体"/>
                <w:color w:val="auto"/>
              </w:rPr>
              <w:t xml:space="preserve">第三档：内容合理性一般，全面完善性一般，可行性一般，针对性一般；得 </w:t>
            </w:r>
            <w:r>
              <w:rPr>
                <w:rFonts w:hint="eastAsia" w:ascii="宋体" w:cs="宋体"/>
                <w:color w:val="auto"/>
                <w:lang w:val="en-US" w:eastAsia="zh-CN"/>
              </w:rPr>
              <w:t>4</w:t>
            </w:r>
            <w:r>
              <w:rPr>
                <w:rFonts w:hint="eastAsia" w:ascii="宋体" w:cs="宋体"/>
                <w:color w:val="auto"/>
              </w:rPr>
              <w:t>分</w:t>
            </w:r>
          </w:p>
          <w:p w14:paraId="23FBC013">
            <w:pPr>
              <w:spacing w:line="360" w:lineRule="auto"/>
              <w:rPr>
                <w:rFonts w:ascii="宋体" w:cs="宋体"/>
                <w:color w:val="auto"/>
              </w:rPr>
            </w:pPr>
            <w:r>
              <w:rPr>
                <w:rFonts w:hint="eastAsia" w:ascii="宋体" w:cs="宋体"/>
                <w:color w:val="auto"/>
              </w:rPr>
              <w:t>第四档：无内容；0 分</w:t>
            </w:r>
          </w:p>
        </w:tc>
      </w:tr>
      <w:tr w14:paraId="2469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1558" w:type="dxa"/>
            <w:gridSpan w:val="2"/>
            <w:vMerge w:val="continue"/>
            <w:vAlign w:val="center"/>
          </w:tcPr>
          <w:p w14:paraId="3CD81E07">
            <w:pPr>
              <w:autoSpaceDE w:val="0"/>
              <w:autoSpaceDN w:val="0"/>
              <w:adjustRightInd w:val="0"/>
              <w:spacing w:line="360" w:lineRule="auto"/>
              <w:ind w:right="97"/>
              <w:jc w:val="center"/>
              <w:rPr>
                <w:rFonts w:ascii="宋体" w:cs="宋体"/>
                <w:color w:val="auto"/>
                <w:szCs w:val="21"/>
              </w:rPr>
            </w:pPr>
          </w:p>
        </w:tc>
        <w:tc>
          <w:tcPr>
            <w:tcW w:w="2730" w:type="dxa"/>
            <w:gridSpan w:val="2"/>
            <w:vAlign w:val="center"/>
          </w:tcPr>
          <w:p w14:paraId="18B30A6D">
            <w:pPr>
              <w:spacing w:line="360" w:lineRule="auto"/>
              <w:jc w:val="center"/>
              <w:rPr>
                <w:rFonts w:ascii="宋体" w:cs="宋体"/>
                <w:color w:val="auto"/>
                <w:spacing w:val="1"/>
                <w:szCs w:val="21"/>
              </w:rPr>
            </w:pPr>
            <w:r>
              <w:rPr>
                <w:rFonts w:hint="eastAsia" w:ascii="宋体" w:cs="宋体"/>
                <w:color w:val="auto"/>
                <w:spacing w:val="1"/>
                <w:szCs w:val="21"/>
              </w:rPr>
              <w:t>食材选购人员职责体系和管理措施（</w:t>
            </w:r>
            <w:r>
              <w:rPr>
                <w:rFonts w:hint="eastAsia" w:ascii="宋体" w:cs="宋体"/>
                <w:color w:val="auto"/>
                <w:spacing w:val="1"/>
                <w:szCs w:val="21"/>
                <w:lang w:val="en-US" w:eastAsia="zh-CN"/>
              </w:rPr>
              <w:t>10</w:t>
            </w:r>
            <w:r>
              <w:rPr>
                <w:rFonts w:hint="eastAsia" w:ascii="宋体" w:cs="宋体"/>
                <w:color w:val="auto"/>
                <w:spacing w:val="1"/>
                <w:szCs w:val="21"/>
              </w:rPr>
              <w:t>分）</w:t>
            </w:r>
          </w:p>
        </w:tc>
        <w:tc>
          <w:tcPr>
            <w:tcW w:w="5020" w:type="dxa"/>
            <w:vAlign w:val="center"/>
          </w:tcPr>
          <w:p w14:paraId="14766F73">
            <w:pPr>
              <w:spacing w:line="360" w:lineRule="auto"/>
              <w:rPr>
                <w:rFonts w:ascii="宋体" w:cs="宋体"/>
                <w:color w:val="auto"/>
              </w:rPr>
            </w:pPr>
            <w:r>
              <w:rPr>
                <w:rFonts w:hint="eastAsia" w:ascii="宋体" w:cs="宋体"/>
                <w:color w:val="auto"/>
              </w:rPr>
              <w:t>食材选购人员职责体系、分工安排与人员的管理方案内容</w:t>
            </w:r>
          </w:p>
          <w:p w14:paraId="4A3DED19">
            <w:pPr>
              <w:spacing w:line="360" w:lineRule="auto"/>
              <w:rPr>
                <w:rFonts w:ascii="宋体" w:cs="宋体"/>
                <w:color w:val="auto"/>
              </w:rPr>
            </w:pPr>
            <w:r>
              <w:rPr>
                <w:rFonts w:hint="eastAsia" w:ascii="宋体" w:cs="宋体"/>
                <w:color w:val="auto"/>
              </w:rPr>
              <w:t xml:space="preserve">第一档：职责体系、分工安排清晰明确、合理性强，全面完善，可行性强，针对性强，得 </w:t>
            </w:r>
            <w:r>
              <w:rPr>
                <w:rFonts w:hint="eastAsia" w:ascii="宋体" w:cs="宋体"/>
                <w:color w:val="auto"/>
                <w:lang w:val="en-US" w:eastAsia="zh-CN"/>
              </w:rPr>
              <w:t>10</w:t>
            </w:r>
            <w:r>
              <w:rPr>
                <w:rFonts w:hint="eastAsia" w:ascii="宋体" w:cs="宋体"/>
                <w:color w:val="auto"/>
              </w:rPr>
              <w:t>分</w:t>
            </w:r>
          </w:p>
          <w:p w14:paraId="63957DE6">
            <w:pPr>
              <w:spacing w:line="360" w:lineRule="auto"/>
              <w:rPr>
                <w:rFonts w:ascii="宋体" w:cs="宋体"/>
                <w:color w:val="auto"/>
              </w:rPr>
            </w:pPr>
            <w:r>
              <w:rPr>
                <w:rFonts w:hint="eastAsia" w:ascii="宋体" w:cs="宋体"/>
                <w:color w:val="auto"/>
              </w:rPr>
              <w:t>第二档：职责体系、分工安排内容较为合理，较为全面完善，可行性较为强，针对性较为强；得</w:t>
            </w:r>
            <w:r>
              <w:rPr>
                <w:rFonts w:hint="eastAsia" w:ascii="宋体" w:cs="宋体"/>
                <w:color w:val="auto"/>
                <w:lang w:val="en-US" w:eastAsia="zh-CN"/>
              </w:rPr>
              <w:t>7</w:t>
            </w:r>
            <w:r>
              <w:rPr>
                <w:rFonts w:hint="eastAsia" w:ascii="宋体" w:cs="宋体"/>
                <w:color w:val="auto"/>
              </w:rPr>
              <w:t>分</w:t>
            </w:r>
          </w:p>
          <w:p w14:paraId="12E496AA">
            <w:pPr>
              <w:spacing w:line="360" w:lineRule="auto"/>
              <w:rPr>
                <w:rFonts w:ascii="宋体" w:cs="宋体"/>
                <w:color w:val="auto"/>
              </w:rPr>
            </w:pPr>
            <w:r>
              <w:rPr>
                <w:rFonts w:hint="eastAsia" w:ascii="宋体" w:cs="宋体"/>
                <w:color w:val="auto"/>
              </w:rPr>
              <w:t>第三档：职责体系、分工安排内容合理性一般，全面完善性一般，可行性一般，针对性一般；得</w:t>
            </w:r>
            <w:r>
              <w:rPr>
                <w:rFonts w:hint="eastAsia" w:ascii="宋体" w:cs="宋体"/>
                <w:color w:val="auto"/>
                <w:lang w:val="en-US" w:eastAsia="zh-CN"/>
              </w:rPr>
              <w:t>4</w:t>
            </w:r>
            <w:r>
              <w:rPr>
                <w:rFonts w:hint="eastAsia" w:ascii="宋体" w:cs="宋体"/>
                <w:color w:val="auto"/>
              </w:rPr>
              <w:t>分</w:t>
            </w:r>
          </w:p>
          <w:p w14:paraId="2DDC6525">
            <w:pPr>
              <w:spacing w:line="360" w:lineRule="auto"/>
              <w:rPr>
                <w:rFonts w:ascii="宋体" w:cs="宋体"/>
                <w:color w:val="auto"/>
              </w:rPr>
            </w:pPr>
            <w:r>
              <w:rPr>
                <w:rFonts w:hint="eastAsia" w:ascii="宋体" w:cs="宋体"/>
                <w:color w:val="auto"/>
              </w:rPr>
              <w:t>第四档：无内容；0 分</w:t>
            </w:r>
          </w:p>
        </w:tc>
      </w:tr>
      <w:tr w14:paraId="6C34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1558" w:type="dxa"/>
            <w:gridSpan w:val="2"/>
            <w:vMerge w:val="continue"/>
            <w:vAlign w:val="center"/>
          </w:tcPr>
          <w:p w14:paraId="66F0354E">
            <w:pPr>
              <w:autoSpaceDE w:val="0"/>
              <w:autoSpaceDN w:val="0"/>
              <w:adjustRightInd w:val="0"/>
              <w:spacing w:line="360" w:lineRule="auto"/>
              <w:ind w:right="97"/>
              <w:jc w:val="center"/>
              <w:rPr>
                <w:rFonts w:ascii="宋体" w:cs="宋体"/>
                <w:color w:val="auto"/>
                <w:szCs w:val="21"/>
              </w:rPr>
            </w:pPr>
          </w:p>
        </w:tc>
        <w:tc>
          <w:tcPr>
            <w:tcW w:w="2730" w:type="dxa"/>
            <w:gridSpan w:val="2"/>
            <w:vAlign w:val="center"/>
          </w:tcPr>
          <w:p w14:paraId="2A3C8722">
            <w:pPr>
              <w:spacing w:line="360" w:lineRule="auto"/>
              <w:jc w:val="center"/>
              <w:rPr>
                <w:rFonts w:ascii="宋体" w:cs="宋体"/>
                <w:color w:val="auto"/>
                <w:spacing w:val="1"/>
                <w:szCs w:val="21"/>
              </w:rPr>
            </w:pPr>
            <w:r>
              <w:rPr>
                <w:rFonts w:hint="eastAsia" w:ascii="宋体" w:cs="宋体"/>
                <w:color w:val="auto"/>
                <w:spacing w:val="1"/>
                <w:szCs w:val="21"/>
              </w:rPr>
              <w:t>食材的质量、安全管理制度 与保障措施或方案（</w:t>
            </w:r>
            <w:r>
              <w:rPr>
                <w:rFonts w:hint="eastAsia" w:ascii="宋体" w:cs="宋体"/>
                <w:color w:val="auto"/>
                <w:spacing w:val="1"/>
                <w:szCs w:val="21"/>
                <w:lang w:val="en-US" w:eastAsia="zh-CN"/>
              </w:rPr>
              <w:t>10</w:t>
            </w:r>
            <w:r>
              <w:rPr>
                <w:rFonts w:hint="eastAsia" w:ascii="宋体" w:cs="宋体"/>
                <w:color w:val="auto"/>
                <w:spacing w:val="1"/>
                <w:szCs w:val="21"/>
              </w:rPr>
              <w:t>分）</w:t>
            </w:r>
          </w:p>
        </w:tc>
        <w:tc>
          <w:tcPr>
            <w:tcW w:w="5020" w:type="dxa"/>
            <w:vAlign w:val="center"/>
          </w:tcPr>
          <w:p w14:paraId="42506128">
            <w:pPr>
              <w:spacing w:line="360" w:lineRule="auto"/>
              <w:rPr>
                <w:rFonts w:ascii="宋体" w:cs="宋体"/>
                <w:color w:val="auto"/>
              </w:rPr>
            </w:pPr>
            <w:r>
              <w:rPr>
                <w:rFonts w:hint="eastAsia" w:ascii="宋体" w:cs="宋体"/>
                <w:color w:val="auto"/>
              </w:rPr>
              <w:t>食材的质量、安全的保证措施及方案包括食品质量保障新鲜与调换措施，食品质量安全的保证措施或方案等内容。</w:t>
            </w:r>
          </w:p>
          <w:p w14:paraId="447D0DA1">
            <w:pPr>
              <w:spacing w:line="360" w:lineRule="auto"/>
              <w:rPr>
                <w:rFonts w:ascii="宋体" w:cs="宋体"/>
                <w:color w:val="auto"/>
              </w:rPr>
            </w:pPr>
            <w:r>
              <w:rPr>
                <w:rFonts w:hint="eastAsia" w:ascii="宋体" w:cs="宋体"/>
                <w:color w:val="auto"/>
              </w:rPr>
              <w:t>第一档：食材质量安全保证措施内容合理性强，全面完善，可行性强，针对性强，得</w:t>
            </w:r>
            <w:r>
              <w:rPr>
                <w:rFonts w:hint="eastAsia" w:ascii="宋体" w:cs="宋体"/>
                <w:color w:val="auto"/>
                <w:lang w:val="en-US" w:eastAsia="zh-CN"/>
              </w:rPr>
              <w:t>10</w:t>
            </w:r>
            <w:r>
              <w:rPr>
                <w:rFonts w:hint="eastAsia" w:ascii="宋体" w:cs="宋体"/>
                <w:color w:val="auto"/>
              </w:rPr>
              <w:t>分</w:t>
            </w:r>
          </w:p>
          <w:p w14:paraId="2C987391">
            <w:pPr>
              <w:spacing w:line="360" w:lineRule="auto"/>
              <w:rPr>
                <w:rFonts w:ascii="宋体" w:cs="宋体"/>
                <w:color w:val="auto"/>
              </w:rPr>
            </w:pPr>
            <w:r>
              <w:rPr>
                <w:rFonts w:hint="eastAsia" w:ascii="宋体" w:cs="宋体"/>
                <w:color w:val="auto"/>
              </w:rPr>
              <w:t xml:space="preserve">第二档：食材质量安全保证措施内容较为合理，较为全面完善，可行性较 为强，针对性较为强；得 </w:t>
            </w:r>
            <w:r>
              <w:rPr>
                <w:rFonts w:hint="eastAsia" w:ascii="宋体" w:cs="宋体"/>
                <w:color w:val="auto"/>
                <w:lang w:val="en-US" w:eastAsia="zh-CN"/>
              </w:rPr>
              <w:t>7</w:t>
            </w:r>
            <w:r>
              <w:rPr>
                <w:rFonts w:hint="eastAsia" w:ascii="宋体" w:cs="宋体"/>
                <w:color w:val="auto"/>
              </w:rPr>
              <w:t>分</w:t>
            </w:r>
          </w:p>
          <w:p w14:paraId="5C98F555">
            <w:pPr>
              <w:spacing w:line="360" w:lineRule="auto"/>
              <w:rPr>
                <w:rFonts w:ascii="宋体" w:cs="宋体"/>
                <w:color w:val="auto"/>
              </w:rPr>
            </w:pPr>
            <w:r>
              <w:rPr>
                <w:rFonts w:hint="eastAsia" w:ascii="宋体" w:cs="宋体"/>
                <w:color w:val="auto"/>
              </w:rPr>
              <w:t>第三档：食材质量安全保证措施内容合理性一般，全面完善性一般，可行性一般，针对性一般；得</w:t>
            </w:r>
            <w:r>
              <w:rPr>
                <w:rFonts w:hint="eastAsia" w:ascii="宋体" w:cs="宋体"/>
                <w:color w:val="auto"/>
                <w:lang w:val="en-US" w:eastAsia="zh-CN"/>
              </w:rPr>
              <w:t>4</w:t>
            </w:r>
            <w:r>
              <w:rPr>
                <w:rFonts w:hint="eastAsia" w:ascii="宋体" w:cs="宋体"/>
                <w:color w:val="auto"/>
              </w:rPr>
              <w:t xml:space="preserve"> 分</w:t>
            </w:r>
          </w:p>
          <w:p w14:paraId="6996947B">
            <w:pPr>
              <w:spacing w:line="360" w:lineRule="auto"/>
              <w:rPr>
                <w:rFonts w:ascii="宋体" w:cs="宋体"/>
                <w:color w:val="auto"/>
              </w:rPr>
            </w:pPr>
            <w:r>
              <w:rPr>
                <w:rFonts w:hint="eastAsia" w:ascii="宋体" w:cs="宋体"/>
                <w:color w:val="auto"/>
              </w:rPr>
              <w:t>第四档：无内容；0 分</w:t>
            </w:r>
          </w:p>
        </w:tc>
      </w:tr>
      <w:tr w14:paraId="47F1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1558" w:type="dxa"/>
            <w:gridSpan w:val="2"/>
            <w:vMerge w:val="continue"/>
            <w:vAlign w:val="center"/>
          </w:tcPr>
          <w:p w14:paraId="56DEB2B3">
            <w:pPr>
              <w:autoSpaceDE w:val="0"/>
              <w:autoSpaceDN w:val="0"/>
              <w:adjustRightInd w:val="0"/>
              <w:spacing w:line="360" w:lineRule="auto"/>
              <w:ind w:right="97"/>
              <w:jc w:val="center"/>
              <w:rPr>
                <w:rFonts w:ascii="宋体" w:cs="宋体"/>
                <w:color w:val="auto"/>
                <w:szCs w:val="21"/>
              </w:rPr>
            </w:pPr>
          </w:p>
        </w:tc>
        <w:tc>
          <w:tcPr>
            <w:tcW w:w="2730" w:type="dxa"/>
            <w:gridSpan w:val="2"/>
            <w:vAlign w:val="center"/>
          </w:tcPr>
          <w:p w14:paraId="1502AA0E">
            <w:pPr>
              <w:spacing w:line="360" w:lineRule="auto"/>
              <w:jc w:val="center"/>
              <w:rPr>
                <w:rFonts w:ascii="宋体" w:cs="宋体"/>
                <w:color w:val="auto"/>
                <w:spacing w:val="1"/>
                <w:szCs w:val="21"/>
              </w:rPr>
            </w:pPr>
            <w:r>
              <w:rPr>
                <w:rFonts w:hint="eastAsia" w:ascii="宋体" w:cs="宋体"/>
                <w:color w:val="auto"/>
                <w:spacing w:val="1"/>
                <w:szCs w:val="21"/>
              </w:rPr>
              <w:t>食品安全事故的预防措施及方案和可能事故后的应急预案(</w:t>
            </w:r>
            <w:r>
              <w:rPr>
                <w:rFonts w:hint="eastAsia" w:ascii="宋体" w:cs="宋体"/>
                <w:color w:val="auto"/>
                <w:spacing w:val="1"/>
                <w:szCs w:val="21"/>
                <w:lang w:val="en-US" w:eastAsia="zh-CN"/>
              </w:rPr>
              <w:t>5</w:t>
            </w:r>
            <w:r>
              <w:rPr>
                <w:rFonts w:hint="eastAsia" w:ascii="宋体" w:cs="宋体"/>
                <w:color w:val="auto"/>
                <w:spacing w:val="1"/>
                <w:szCs w:val="21"/>
              </w:rPr>
              <w:t>分)</w:t>
            </w:r>
          </w:p>
        </w:tc>
        <w:tc>
          <w:tcPr>
            <w:tcW w:w="5020" w:type="dxa"/>
            <w:vAlign w:val="center"/>
          </w:tcPr>
          <w:p w14:paraId="2A972455">
            <w:pPr>
              <w:spacing w:line="360" w:lineRule="auto"/>
              <w:rPr>
                <w:rFonts w:ascii="宋体" w:cs="宋体"/>
                <w:color w:val="auto"/>
              </w:rPr>
            </w:pPr>
            <w:r>
              <w:rPr>
                <w:rFonts w:hint="eastAsia" w:ascii="宋体" w:cs="宋体"/>
                <w:color w:val="auto"/>
              </w:rPr>
              <w:t>为防止食品安全事故发生的预防措施及可能事故后的应急预案、安全应急预案等，从人员救治、危害控制、事故调查、善后处理等的全面性、预见性综合分析</w:t>
            </w:r>
          </w:p>
          <w:p w14:paraId="2AD91BA6">
            <w:pPr>
              <w:spacing w:line="360" w:lineRule="auto"/>
              <w:rPr>
                <w:rFonts w:ascii="宋体" w:cs="宋体"/>
                <w:color w:val="auto"/>
              </w:rPr>
            </w:pPr>
            <w:r>
              <w:rPr>
                <w:rFonts w:hint="eastAsia" w:ascii="宋体" w:cs="宋体"/>
                <w:color w:val="auto"/>
              </w:rPr>
              <w:t>第一档：措施及方案内容合理性强，全面完善，可行性强 ，针对性强，得</w:t>
            </w:r>
            <w:r>
              <w:rPr>
                <w:rFonts w:hint="eastAsia" w:ascii="宋体" w:cs="宋体"/>
                <w:color w:val="auto"/>
                <w:lang w:val="en-US" w:eastAsia="zh-CN"/>
              </w:rPr>
              <w:t>5</w:t>
            </w:r>
            <w:r>
              <w:rPr>
                <w:rFonts w:hint="eastAsia" w:ascii="宋体" w:cs="宋体"/>
                <w:color w:val="auto"/>
              </w:rPr>
              <w:t>分</w:t>
            </w:r>
          </w:p>
          <w:p w14:paraId="61AF6F4B">
            <w:pPr>
              <w:spacing w:line="360" w:lineRule="auto"/>
              <w:rPr>
                <w:rFonts w:ascii="宋体" w:cs="宋体"/>
                <w:color w:val="auto"/>
              </w:rPr>
            </w:pPr>
            <w:r>
              <w:rPr>
                <w:rFonts w:hint="eastAsia" w:ascii="宋体" w:cs="宋体"/>
                <w:color w:val="auto"/>
              </w:rPr>
              <w:t>第二档：措施及方案内容较为合理，较为全面完善，可行性较为强，针对性较为强；得</w:t>
            </w:r>
            <w:r>
              <w:rPr>
                <w:rFonts w:hint="eastAsia" w:ascii="宋体" w:cs="宋体"/>
                <w:color w:val="auto"/>
                <w:lang w:val="en-US" w:eastAsia="zh-CN"/>
              </w:rPr>
              <w:t>3</w:t>
            </w:r>
            <w:r>
              <w:rPr>
                <w:rFonts w:hint="eastAsia" w:ascii="宋体" w:cs="宋体"/>
                <w:color w:val="auto"/>
              </w:rPr>
              <w:t>分</w:t>
            </w:r>
          </w:p>
          <w:p w14:paraId="31CCC81F">
            <w:pPr>
              <w:spacing w:line="360" w:lineRule="auto"/>
              <w:rPr>
                <w:rFonts w:ascii="宋体" w:cs="宋体"/>
                <w:color w:val="auto"/>
              </w:rPr>
            </w:pPr>
            <w:r>
              <w:rPr>
                <w:rFonts w:hint="eastAsia" w:ascii="宋体" w:cs="宋体"/>
                <w:color w:val="auto"/>
              </w:rPr>
              <w:t xml:space="preserve">第三档：措施及方案内容合理性一般，全面完善性一般，可行性一般，针对性一般；得 </w:t>
            </w:r>
            <w:r>
              <w:rPr>
                <w:rFonts w:hint="eastAsia" w:ascii="宋体" w:cs="宋体"/>
                <w:color w:val="auto"/>
                <w:lang w:val="en-US" w:eastAsia="zh-CN"/>
              </w:rPr>
              <w:t>1</w:t>
            </w:r>
            <w:r>
              <w:rPr>
                <w:rFonts w:hint="eastAsia" w:ascii="宋体" w:cs="宋体"/>
                <w:color w:val="auto"/>
              </w:rPr>
              <w:t>分</w:t>
            </w:r>
          </w:p>
          <w:p w14:paraId="70D61CC6">
            <w:pPr>
              <w:spacing w:line="360" w:lineRule="auto"/>
              <w:rPr>
                <w:rFonts w:ascii="宋体" w:cs="宋体"/>
                <w:color w:val="auto"/>
              </w:rPr>
            </w:pPr>
            <w:r>
              <w:rPr>
                <w:rFonts w:hint="eastAsia" w:ascii="宋体" w:cs="宋体"/>
                <w:color w:val="auto"/>
              </w:rPr>
              <w:t>第四档：无内容；0 分</w:t>
            </w:r>
          </w:p>
        </w:tc>
      </w:tr>
      <w:tr w14:paraId="0524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1558" w:type="dxa"/>
            <w:gridSpan w:val="2"/>
            <w:vMerge w:val="continue"/>
            <w:vAlign w:val="center"/>
          </w:tcPr>
          <w:p w14:paraId="157B5222">
            <w:pPr>
              <w:autoSpaceDE w:val="0"/>
              <w:autoSpaceDN w:val="0"/>
              <w:adjustRightInd w:val="0"/>
              <w:spacing w:line="360" w:lineRule="auto"/>
              <w:ind w:right="97"/>
              <w:jc w:val="center"/>
              <w:rPr>
                <w:rFonts w:ascii="宋体" w:cs="宋体"/>
                <w:color w:val="auto"/>
                <w:szCs w:val="21"/>
              </w:rPr>
            </w:pPr>
          </w:p>
        </w:tc>
        <w:tc>
          <w:tcPr>
            <w:tcW w:w="2730" w:type="dxa"/>
            <w:gridSpan w:val="2"/>
            <w:vAlign w:val="center"/>
          </w:tcPr>
          <w:p w14:paraId="25D5B52F">
            <w:pPr>
              <w:spacing w:line="360" w:lineRule="auto"/>
              <w:rPr>
                <w:rFonts w:ascii="宋体" w:cs="宋体"/>
                <w:bCs/>
              </w:rPr>
            </w:pPr>
            <w:r>
              <w:rPr>
                <w:rFonts w:hint="eastAsia" w:ascii="宋体" w:cs="宋体"/>
                <w:bCs/>
              </w:rPr>
              <w:t>配送方案( 人员、车辆、时间、计划等)及配送过程中遇到 紧急、突发问题的解决方案 和现场与各部门的协调管理 计划措施方案(</w:t>
            </w:r>
            <w:r>
              <w:rPr>
                <w:rFonts w:hint="eastAsia" w:ascii="宋体" w:cs="宋体"/>
                <w:bCs/>
                <w:lang w:val="en-US" w:eastAsia="zh-CN"/>
              </w:rPr>
              <w:t>10</w:t>
            </w:r>
            <w:r>
              <w:rPr>
                <w:rFonts w:hint="eastAsia" w:ascii="宋体" w:cs="宋体"/>
                <w:bCs/>
              </w:rPr>
              <w:t>分)</w:t>
            </w:r>
          </w:p>
        </w:tc>
        <w:tc>
          <w:tcPr>
            <w:tcW w:w="5020" w:type="dxa"/>
            <w:vAlign w:val="center"/>
          </w:tcPr>
          <w:p w14:paraId="1C841B2E">
            <w:pPr>
              <w:spacing w:line="360" w:lineRule="auto"/>
              <w:rPr>
                <w:rFonts w:ascii="宋体" w:cs="宋体"/>
                <w:bCs/>
              </w:rPr>
            </w:pPr>
            <w:r>
              <w:rPr>
                <w:rFonts w:hint="eastAsia" w:ascii="宋体" w:cs="宋体"/>
                <w:bCs/>
              </w:rPr>
              <w:t>供应商应提前规划好路线图，提供配送方案，保证配送的时间按时到达，保证在规定的时间前，将食材送到位。包含运送制度、车辆配备安排、线路安排、全流程时间安排、储存条件；供应商在配送过程中，遇到紧急、突发问题时候的解决措施方案，反应时间、应急配送人员技术能力、服务保障现场与各部门的协调措施方案等内容</w:t>
            </w:r>
          </w:p>
          <w:p w14:paraId="50B84019">
            <w:pPr>
              <w:spacing w:line="360" w:lineRule="auto"/>
              <w:rPr>
                <w:rFonts w:ascii="宋体" w:cs="宋体"/>
                <w:bCs/>
              </w:rPr>
            </w:pPr>
            <w:r>
              <w:rPr>
                <w:rFonts w:hint="eastAsia" w:ascii="宋体" w:cs="宋体"/>
                <w:bCs/>
              </w:rPr>
              <w:t xml:space="preserve">第一档：内容合理性强，全面完善，可行性强，针对性强，得 </w:t>
            </w:r>
            <w:r>
              <w:rPr>
                <w:rFonts w:hint="eastAsia" w:ascii="宋体" w:cs="宋体"/>
                <w:bCs/>
                <w:lang w:val="en-US" w:eastAsia="zh-CN"/>
              </w:rPr>
              <w:t>10</w:t>
            </w:r>
            <w:r>
              <w:rPr>
                <w:rFonts w:hint="eastAsia" w:ascii="宋体" w:cs="宋体"/>
                <w:bCs/>
              </w:rPr>
              <w:t>分</w:t>
            </w:r>
          </w:p>
          <w:p w14:paraId="6518A749">
            <w:pPr>
              <w:spacing w:line="360" w:lineRule="auto"/>
              <w:rPr>
                <w:rFonts w:ascii="宋体" w:cs="宋体"/>
                <w:bCs/>
              </w:rPr>
            </w:pPr>
            <w:r>
              <w:rPr>
                <w:rFonts w:hint="eastAsia" w:ascii="宋体" w:cs="宋体"/>
                <w:bCs/>
              </w:rPr>
              <w:t xml:space="preserve">第二档：内容较为合理，较为全面完善，可行性较为强，针对性较为强；得 </w:t>
            </w:r>
            <w:r>
              <w:rPr>
                <w:rFonts w:hint="eastAsia" w:ascii="宋体" w:cs="宋体"/>
                <w:bCs/>
                <w:lang w:val="en-US" w:eastAsia="zh-CN"/>
              </w:rPr>
              <w:t>7</w:t>
            </w:r>
            <w:r>
              <w:rPr>
                <w:rFonts w:hint="eastAsia" w:ascii="宋体" w:cs="宋体"/>
                <w:bCs/>
              </w:rPr>
              <w:t>分</w:t>
            </w:r>
          </w:p>
          <w:p w14:paraId="5BF16774">
            <w:pPr>
              <w:spacing w:line="360" w:lineRule="auto"/>
              <w:rPr>
                <w:rFonts w:ascii="宋体" w:cs="宋体"/>
                <w:bCs/>
              </w:rPr>
            </w:pPr>
            <w:r>
              <w:rPr>
                <w:rFonts w:hint="eastAsia" w:ascii="宋体" w:cs="宋体"/>
                <w:bCs/>
              </w:rPr>
              <w:t xml:space="preserve">第三档：内容合理性一般，全面完善性一般，可行性一般，针对性一般； 得 </w:t>
            </w:r>
            <w:r>
              <w:rPr>
                <w:rFonts w:hint="eastAsia" w:ascii="宋体" w:cs="宋体"/>
                <w:bCs/>
                <w:lang w:val="en-US" w:eastAsia="zh-CN"/>
              </w:rPr>
              <w:t>4</w:t>
            </w:r>
            <w:r>
              <w:rPr>
                <w:rFonts w:hint="eastAsia" w:ascii="宋体" w:cs="宋体"/>
                <w:bCs/>
              </w:rPr>
              <w:t>分</w:t>
            </w:r>
          </w:p>
          <w:p w14:paraId="0D0D1DEA">
            <w:pPr>
              <w:spacing w:line="360" w:lineRule="auto"/>
              <w:rPr>
                <w:rFonts w:ascii="宋体" w:cs="宋体"/>
                <w:bCs/>
              </w:rPr>
            </w:pPr>
            <w:r>
              <w:rPr>
                <w:rFonts w:hint="eastAsia" w:ascii="宋体" w:cs="宋体"/>
                <w:bCs/>
              </w:rPr>
              <w:t>第四档：无内容；0 分</w:t>
            </w:r>
          </w:p>
        </w:tc>
      </w:tr>
      <w:tr w14:paraId="031F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1558" w:type="dxa"/>
            <w:gridSpan w:val="2"/>
            <w:vMerge w:val="continue"/>
            <w:vAlign w:val="center"/>
          </w:tcPr>
          <w:p w14:paraId="6DF479DE">
            <w:pPr>
              <w:autoSpaceDE w:val="0"/>
              <w:autoSpaceDN w:val="0"/>
              <w:adjustRightInd w:val="0"/>
              <w:spacing w:line="360" w:lineRule="auto"/>
              <w:ind w:right="97"/>
              <w:jc w:val="center"/>
              <w:rPr>
                <w:rFonts w:ascii="宋体" w:cs="宋体"/>
                <w:color w:val="auto"/>
                <w:szCs w:val="21"/>
              </w:rPr>
            </w:pPr>
          </w:p>
        </w:tc>
        <w:tc>
          <w:tcPr>
            <w:tcW w:w="2730" w:type="dxa"/>
            <w:gridSpan w:val="2"/>
            <w:vAlign w:val="center"/>
          </w:tcPr>
          <w:p w14:paraId="2194EA08">
            <w:pPr>
              <w:spacing w:line="360" w:lineRule="auto"/>
              <w:jc w:val="center"/>
              <w:rPr>
                <w:rFonts w:ascii="宋体" w:cs="宋体"/>
                <w:bCs/>
              </w:rPr>
            </w:pPr>
            <w:r>
              <w:rPr>
                <w:rFonts w:hint="eastAsia" w:ascii="宋体" w:cs="宋体"/>
                <w:bCs/>
              </w:rPr>
              <w:t>突发应急方案和投诉处理方案(</w:t>
            </w:r>
            <w:r>
              <w:rPr>
                <w:rFonts w:hint="eastAsia" w:ascii="宋体" w:cs="宋体"/>
                <w:bCs/>
                <w:lang w:val="en-US" w:eastAsia="zh-CN"/>
              </w:rPr>
              <w:t>5</w:t>
            </w:r>
            <w:r>
              <w:rPr>
                <w:rFonts w:hint="eastAsia" w:ascii="宋体" w:cs="宋体"/>
                <w:bCs/>
              </w:rPr>
              <w:t>分)</w:t>
            </w:r>
          </w:p>
        </w:tc>
        <w:tc>
          <w:tcPr>
            <w:tcW w:w="5020" w:type="dxa"/>
            <w:vAlign w:val="center"/>
          </w:tcPr>
          <w:p w14:paraId="40939775">
            <w:pPr>
              <w:autoSpaceDE w:val="0"/>
              <w:autoSpaceDN w:val="0"/>
              <w:adjustRightInd w:val="0"/>
              <w:spacing w:line="360" w:lineRule="auto"/>
              <w:ind w:right="97"/>
              <w:jc w:val="left"/>
              <w:rPr>
                <w:rFonts w:ascii="宋体" w:cs="宋体"/>
                <w:bCs/>
              </w:rPr>
            </w:pPr>
            <w:r>
              <w:rPr>
                <w:rFonts w:hint="eastAsia" w:ascii="宋体" w:cs="宋体"/>
                <w:bCs/>
              </w:rPr>
              <w:t>供应商针对本项目制定的突发事件应急处置方案包括但不限于食品安全事故、交通运输意外、紧急任务、重要节日、 自然灾害等方面的应急措施；供应商针对本项目提供可能发生的投诉事件，及应对投诉的处理方案，妥善解决好投诉事件；</w:t>
            </w:r>
          </w:p>
          <w:p w14:paraId="38E2C9DB">
            <w:pPr>
              <w:autoSpaceDE w:val="0"/>
              <w:autoSpaceDN w:val="0"/>
              <w:adjustRightInd w:val="0"/>
              <w:spacing w:line="360" w:lineRule="auto"/>
              <w:ind w:right="97"/>
              <w:jc w:val="left"/>
              <w:rPr>
                <w:rFonts w:ascii="宋体" w:cs="宋体"/>
                <w:bCs/>
              </w:rPr>
            </w:pPr>
            <w:r>
              <w:rPr>
                <w:rFonts w:hint="eastAsia" w:ascii="宋体" w:cs="宋体"/>
                <w:bCs/>
              </w:rPr>
              <w:t xml:space="preserve">第一档：方案先进、合理性强，全面完善，可行性强，针对性强，得 </w:t>
            </w:r>
            <w:r>
              <w:rPr>
                <w:rFonts w:hint="eastAsia" w:ascii="宋体" w:cs="宋体"/>
                <w:bCs/>
                <w:lang w:val="en-US" w:eastAsia="zh-CN"/>
              </w:rPr>
              <w:t>5</w:t>
            </w:r>
            <w:r>
              <w:rPr>
                <w:rFonts w:hint="eastAsia" w:ascii="宋体" w:cs="宋体"/>
                <w:bCs/>
              </w:rPr>
              <w:t>分</w:t>
            </w:r>
          </w:p>
          <w:p w14:paraId="09A4DF6C">
            <w:pPr>
              <w:autoSpaceDE w:val="0"/>
              <w:autoSpaceDN w:val="0"/>
              <w:adjustRightInd w:val="0"/>
              <w:spacing w:line="360" w:lineRule="auto"/>
              <w:ind w:right="97"/>
              <w:jc w:val="left"/>
              <w:rPr>
                <w:rFonts w:ascii="宋体" w:cs="宋体"/>
                <w:bCs/>
              </w:rPr>
            </w:pPr>
            <w:r>
              <w:rPr>
                <w:rFonts w:hint="eastAsia" w:ascii="宋体" w:cs="宋体"/>
                <w:bCs/>
              </w:rPr>
              <w:t>第二档：方案较为先进、较为合理，较为全面完善，可行性较为强，针对性较为强；得</w:t>
            </w:r>
            <w:r>
              <w:rPr>
                <w:rFonts w:hint="eastAsia" w:ascii="宋体" w:cs="宋体"/>
                <w:bCs/>
                <w:lang w:val="en-US" w:eastAsia="zh-CN"/>
              </w:rPr>
              <w:t>3</w:t>
            </w:r>
            <w:r>
              <w:rPr>
                <w:rFonts w:hint="eastAsia" w:ascii="宋体" w:cs="宋体"/>
                <w:bCs/>
              </w:rPr>
              <w:t>分</w:t>
            </w:r>
          </w:p>
          <w:p w14:paraId="7F43D7C1">
            <w:pPr>
              <w:autoSpaceDE w:val="0"/>
              <w:autoSpaceDN w:val="0"/>
              <w:adjustRightInd w:val="0"/>
              <w:spacing w:line="360" w:lineRule="auto"/>
              <w:ind w:right="97"/>
              <w:jc w:val="left"/>
              <w:rPr>
                <w:rFonts w:ascii="宋体" w:cs="宋体"/>
                <w:bCs/>
              </w:rPr>
            </w:pPr>
            <w:r>
              <w:rPr>
                <w:rFonts w:hint="eastAsia" w:ascii="宋体" w:cs="宋体"/>
                <w:bCs/>
              </w:rPr>
              <w:t xml:space="preserve">第三档：方案先进性一般、内容合理性一般，全面完善性一般，可行性一般，针对性一般；得 </w:t>
            </w:r>
            <w:r>
              <w:rPr>
                <w:rFonts w:hint="eastAsia" w:ascii="宋体" w:cs="宋体"/>
                <w:bCs/>
                <w:lang w:val="en-US" w:eastAsia="zh-CN"/>
              </w:rPr>
              <w:t>1</w:t>
            </w:r>
            <w:r>
              <w:rPr>
                <w:rFonts w:hint="eastAsia" w:ascii="宋体" w:cs="宋体"/>
                <w:bCs/>
              </w:rPr>
              <w:t>分</w:t>
            </w:r>
          </w:p>
          <w:p w14:paraId="40BA06E8">
            <w:pPr>
              <w:autoSpaceDE w:val="0"/>
              <w:autoSpaceDN w:val="0"/>
              <w:adjustRightInd w:val="0"/>
              <w:spacing w:line="360" w:lineRule="auto"/>
              <w:ind w:right="97"/>
              <w:jc w:val="left"/>
              <w:rPr>
                <w:rFonts w:ascii="宋体" w:cs="宋体"/>
                <w:bCs/>
              </w:rPr>
            </w:pPr>
            <w:r>
              <w:rPr>
                <w:rFonts w:hint="eastAsia" w:ascii="宋体" w:cs="宋体"/>
                <w:bCs/>
              </w:rPr>
              <w:t>第四档：无内容；0 分</w:t>
            </w:r>
          </w:p>
        </w:tc>
      </w:tr>
      <w:tr w14:paraId="3A9C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gridSpan w:val="2"/>
            <w:vMerge w:val="continue"/>
            <w:vAlign w:val="center"/>
          </w:tcPr>
          <w:p w14:paraId="3483623E">
            <w:pPr>
              <w:autoSpaceDE w:val="0"/>
              <w:autoSpaceDN w:val="0"/>
              <w:adjustRightInd w:val="0"/>
              <w:spacing w:line="360" w:lineRule="auto"/>
              <w:ind w:right="97"/>
              <w:jc w:val="center"/>
              <w:rPr>
                <w:rFonts w:ascii="宋体" w:cs="宋体"/>
                <w:color w:val="auto"/>
                <w:szCs w:val="21"/>
              </w:rPr>
            </w:pPr>
          </w:p>
        </w:tc>
        <w:tc>
          <w:tcPr>
            <w:tcW w:w="2730" w:type="dxa"/>
            <w:gridSpan w:val="2"/>
            <w:vAlign w:val="center"/>
          </w:tcPr>
          <w:p w14:paraId="1B0BDBE8">
            <w:pPr>
              <w:spacing w:line="360" w:lineRule="auto"/>
              <w:jc w:val="center"/>
              <w:rPr>
                <w:rFonts w:ascii="宋体" w:cs="宋体"/>
                <w:bCs/>
              </w:rPr>
            </w:pPr>
            <w:r>
              <w:rPr>
                <w:rFonts w:hint="eastAsia" w:ascii="宋体" w:hAnsi="宋体" w:cs="宋体"/>
                <w:bCs/>
              </w:rPr>
              <w:t>配送到位后，配合好学校食 堂做餐的措施方案（5分）</w:t>
            </w:r>
          </w:p>
        </w:tc>
        <w:tc>
          <w:tcPr>
            <w:tcW w:w="5020" w:type="dxa"/>
            <w:vAlign w:val="center"/>
          </w:tcPr>
          <w:p w14:paraId="6484C320">
            <w:pPr>
              <w:spacing w:line="360" w:lineRule="auto"/>
              <w:jc w:val="left"/>
              <w:rPr>
                <w:rFonts w:ascii="宋体" w:hAnsi="宋体" w:cs="宋体"/>
                <w:bCs/>
              </w:rPr>
            </w:pPr>
            <w:r>
              <w:rPr>
                <w:rFonts w:hint="eastAsia" w:ascii="宋体" w:hAnsi="宋体" w:cs="宋体"/>
                <w:bCs/>
              </w:rPr>
              <w:t>供应商在把食材配送到指定地点后，配合好学校食堂做餐的服务措施方案，更好的为学校食堂提供便捷服务，为学生吃上一顿及时、质量有保证的午餐。</w:t>
            </w:r>
          </w:p>
          <w:p w14:paraId="51D56014">
            <w:pPr>
              <w:spacing w:line="360" w:lineRule="auto"/>
              <w:jc w:val="left"/>
              <w:rPr>
                <w:rFonts w:ascii="宋体" w:hAnsi="宋体" w:cs="宋体"/>
                <w:bCs/>
              </w:rPr>
            </w:pPr>
            <w:r>
              <w:rPr>
                <w:rFonts w:hint="eastAsia" w:ascii="宋体" w:hAnsi="宋体" w:cs="宋体"/>
                <w:bCs/>
              </w:rPr>
              <w:t>第一档：内容合理性强，全面完善，可行性强，针对性强，得 5分</w:t>
            </w:r>
          </w:p>
          <w:p w14:paraId="789BAA65">
            <w:pPr>
              <w:spacing w:line="360" w:lineRule="auto"/>
              <w:jc w:val="left"/>
              <w:rPr>
                <w:rFonts w:ascii="宋体" w:hAnsi="宋体" w:cs="宋体"/>
                <w:bCs/>
              </w:rPr>
            </w:pPr>
            <w:r>
              <w:rPr>
                <w:rFonts w:hint="eastAsia" w:ascii="宋体" w:hAnsi="宋体" w:cs="宋体"/>
                <w:bCs/>
              </w:rPr>
              <w:t>第二档：内容较为合理，较为全面完善，可行性较为强，针对性较为强；得 3 分</w:t>
            </w:r>
          </w:p>
          <w:p w14:paraId="15841C33">
            <w:pPr>
              <w:spacing w:line="360" w:lineRule="auto"/>
              <w:jc w:val="left"/>
              <w:rPr>
                <w:rFonts w:ascii="宋体" w:hAnsi="宋体" w:cs="宋体"/>
                <w:bCs/>
              </w:rPr>
            </w:pPr>
            <w:r>
              <w:rPr>
                <w:rFonts w:hint="eastAsia" w:ascii="宋体" w:hAnsi="宋体" w:cs="宋体"/>
                <w:bCs/>
              </w:rPr>
              <w:t xml:space="preserve">第三档：内容合理性一般，全面完善性一般，可行性一般，针对性一般；得 1 </w:t>
            </w:r>
          </w:p>
          <w:p w14:paraId="6BDCAE40">
            <w:pPr>
              <w:spacing w:line="360" w:lineRule="auto"/>
              <w:jc w:val="left"/>
              <w:rPr>
                <w:rFonts w:ascii="宋体" w:cs="宋体"/>
                <w:bCs/>
              </w:rPr>
            </w:pPr>
            <w:r>
              <w:rPr>
                <w:rFonts w:hint="eastAsia" w:ascii="宋体" w:hAnsi="宋体" w:cs="宋体"/>
                <w:bCs/>
              </w:rPr>
              <w:t>分第四档：无内容；0分。</w:t>
            </w:r>
          </w:p>
        </w:tc>
      </w:tr>
      <w:tr w14:paraId="314F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308" w:type="dxa"/>
            <w:gridSpan w:val="5"/>
            <w:vAlign w:val="center"/>
          </w:tcPr>
          <w:p w14:paraId="75F9D970">
            <w:pPr>
              <w:spacing w:line="360" w:lineRule="auto"/>
              <w:jc w:val="left"/>
              <w:rPr>
                <w:rFonts w:ascii="宋体" w:cs="宋体"/>
                <w:bCs/>
              </w:rPr>
            </w:pPr>
            <w:r>
              <w:rPr>
                <w:rFonts w:hint="eastAsia" w:ascii="宋体" w:cs="宋体"/>
                <w:bCs/>
              </w:rPr>
              <w:t>注：第一档打分说明：指阐述（说明、方案、或承诺）完整详细、合理可行、针对性强。对于说明，有详尽的说明文件，包括货物或其它技术手段的具体实现方式及相关界面展示，并结合了招标文件中的具体采购需求，不是笼统的表达；有方案的具体实现，包括说明方案的可行性、方案中涉及的货物或其它技术手段的实现方法，方案的优点及能达到的效果；对于承诺，说明了如何能够实现承诺，如实现的技术手段、人员配备等。</w:t>
            </w:r>
          </w:p>
          <w:p w14:paraId="27A136A5">
            <w:pPr>
              <w:spacing w:line="360" w:lineRule="auto"/>
              <w:jc w:val="left"/>
              <w:rPr>
                <w:rFonts w:ascii="宋体" w:cs="宋体"/>
                <w:bCs/>
              </w:rPr>
            </w:pPr>
            <w:r>
              <w:rPr>
                <w:rFonts w:hint="eastAsia" w:ascii="宋体" w:cs="宋体"/>
                <w:bCs/>
              </w:rPr>
              <w:t>第二档打分说明：指阐述（说明、方案、或承诺）较为详细，合理可行，有针对性。对于说明，有说明文件。能够满足招标文件要求，对于方案的各方面安排比较合理，对可行性、实现方法、优点、效果等方面有说明：对于承诺，能够满足符合招标文件要求。</w:t>
            </w:r>
          </w:p>
          <w:p w14:paraId="57F0B65C">
            <w:pPr>
              <w:spacing w:line="360" w:lineRule="auto"/>
              <w:jc w:val="left"/>
              <w:rPr>
                <w:rFonts w:ascii="宋体" w:cs="宋体"/>
                <w:bCs/>
              </w:rPr>
            </w:pPr>
            <w:r>
              <w:rPr>
                <w:rFonts w:hint="eastAsia" w:ascii="宋体" w:cs="宋体"/>
                <w:bCs/>
              </w:rPr>
              <w:t>第三档打分说明：指阐述（说明、方案、或承诺），笼统、模糊。对于说明，有说明文件，但实现手段描述不够全面详细；对于方案，可行性、实现方法、优点、效果等方面有说明；对于承诺，较为满足相关要求。</w:t>
            </w:r>
          </w:p>
          <w:p w14:paraId="25BD1F0E">
            <w:pPr>
              <w:spacing w:line="360" w:lineRule="auto"/>
              <w:jc w:val="left"/>
              <w:rPr>
                <w:rFonts w:ascii="宋体" w:cs="宋体"/>
                <w:bCs/>
              </w:rPr>
            </w:pPr>
            <w:r>
              <w:rPr>
                <w:rFonts w:hint="eastAsia" w:ascii="宋体" w:cs="宋体"/>
                <w:bCs/>
              </w:rPr>
              <w:t>第四档打分说明：指没有阐述（说明、方案、或承诺）</w:t>
            </w:r>
          </w:p>
        </w:tc>
      </w:tr>
      <w:tr w14:paraId="6701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gridSpan w:val="2"/>
            <w:vMerge w:val="restart"/>
            <w:vAlign w:val="center"/>
          </w:tcPr>
          <w:p w14:paraId="2827BC3B">
            <w:pPr>
              <w:tabs>
                <w:tab w:val="left" w:pos="539"/>
              </w:tabs>
              <w:autoSpaceDE w:val="0"/>
              <w:autoSpaceDN w:val="0"/>
              <w:adjustRightInd w:val="0"/>
              <w:spacing w:line="360" w:lineRule="auto"/>
              <w:ind w:right="97"/>
              <w:jc w:val="center"/>
              <w:rPr>
                <w:rFonts w:ascii="宋体" w:cs="宋体"/>
                <w:color w:val="auto"/>
                <w:spacing w:val="1"/>
                <w:szCs w:val="21"/>
              </w:rPr>
            </w:pPr>
            <w:r>
              <w:rPr>
                <w:rFonts w:ascii="宋体" w:hAnsi="宋体" w:cs="宋体"/>
                <w:color w:val="auto"/>
                <w:szCs w:val="21"/>
              </w:rPr>
              <w:t>2.2.2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）商务部分评分标准（</w:t>
            </w:r>
            <w:r>
              <w:rPr>
                <w:rFonts w:ascii="宋体" w:hAnsi="宋体" w:cs="宋体"/>
                <w:color w:val="auto"/>
                <w:szCs w:val="21"/>
              </w:rPr>
              <w:t>1</w:t>
            </w:r>
            <w:r>
              <w:rPr>
                <w:rFonts w:hint="eastAsia" w:ascii="宋体" w:hAnsi="宋体" w:cs="宋体"/>
                <w:color w:val="auto"/>
                <w:szCs w:val="21"/>
              </w:rPr>
              <w:t>5分）</w:t>
            </w:r>
          </w:p>
        </w:tc>
        <w:tc>
          <w:tcPr>
            <w:tcW w:w="2730" w:type="dxa"/>
            <w:gridSpan w:val="2"/>
            <w:vAlign w:val="center"/>
          </w:tcPr>
          <w:p w14:paraId="3080B6A9">
            <w:pPr>
              <w:autoSpaceDE w:val="0"/>
              <w:autoSpaceDN w:val="0"/>
              <w:adjustRightInd w:val="0"/>
              <w:spacing w:line="360" w:lineRule="auto"/>
              <w:ind w:right="97"/>
              <w:jc w:val="center"/>
              <w:rPr>
                <w:rFonts w:ascii="宋体" w:cs="宋体"/>
                <w:color w:val="auto"/>
                <w:szCs w:val="21"/>
              </w:rPr>
            </w:pPr>
            <w:r>
              <w:rPr>
                <w:rFonts w:ascii="宋体" w:hAnsi="宋体" w:cs="宋体"/>
                <w:color w:val="auto"/>
                <w:kern w:val="2"/>
                <w:szCs w:val="21"/>
              </w:rPr>
              <w:t>1</w:t>
            </w:r>
            <w:r>
              <w:rPr>
                <w:rFonts w:hint="eastAsia" w:ascii="宋体" w:hAnsi="宋体" w:cs="宋体"/>
                <w:color w:val="auto"/>
                <w:kern w:val="2"/>
                <w:szCs w:val="21"/>
              </w:rPr>
              <w:t>业绩（</w:t>
            </w:r>
            <w:r>
              <w:rPr>
                <w:rFonts w:ascii="宋体" w:hAnsi="宋体" w:cs="宋体"/>
                <w:color w:val="auto"/>
                <w:kern w:val="2"/>
                <w:szCs w:val="21"/>
              </w:rPr>
              <w:t>6</w:t>
            </w:r>
            <w:r>
              <w:rPr>
                <w:rFonts w:hint="eastAsia" w:ascii="宋体" w:hAnsi="宋体" w:cs="宋体"/>
                <w:color w:val="auto"/>
                <w:kern w:val="2"/>
                <w:szCs w:val="21"/>
              </w:rPr>
              <w:t>分）</w:t>
            </w:r>
          </w:p>
        </w:tc>
        <w:tc>
          <w:tcPr>
            <w:tcW w:w="5020" w:type="dxa"/>
            <w:vAlign w:val="center"/>
          </w:tcPr>
          <w:p w14:paraId="3560B4F0">
            <w:pPr>
              <w:spacing w:line="360" w:lineRule="auto"/>
              <w:rPr>
                <w:rFonts w:ascii="宋体" w:cs="宋体"/>
                <w:b/>
                <w:bCs/>
                <w:szCs w:val="21"/>
              </w:rPr>
            </w:pPr>
            <w:r>
              <w:rPr>
                <w:rFonts w:hint="eastAsia" w:ascii="宋体" w:hAnsi="宋体" w:cs="宋体"/>
              </w:rPr>
              <w:t>供应商提供2021年1月以来类似项</w:t>
            </w:r>
            <w:r>
              <w:rPr>
                <w:rFonts w:hint="eastAsia" w:ascii="宋体" w:hAnsi="宋体" w:cs="宋体"/>
                <w:color w:val="auto"/>
              </w:rPr>
              <w:t>目业绩的，每有一份得</w:t>
            </w:r>
            <w:r>
              <w:rPr>
                <w:rFonts w:ascii="宋体" w:hAnsi="宋体" w:cs="宋体"/>
                <w:color w:val="auto"/>
              </w:rPr>
              <w:t>2</w:t>
            </w:r>
            <w:r>
              <w:rPr>
                <w:rFonts w:hint="eastAsia" w:ascii="宋体" w:hAnsi="宋体" w:cs="宋体"/>
                <w:color w:val="auto"/>
              </w:rPr>
              <w:t>分，最多得</w:t>
            </w:r>
            <w:r>
              <w:rPr>
                <w:rFonts w:ascii="宋体" w:hAnsi="宋体" w:cs="宋体"/>
                <w:color w:val="auto"/>
              </w:rPr>
              <w:t>6</w:t>
            </w:r>
            <w:r>
              <w:rPr>
                <w:rFonts w:hint="eastAsia" w:ascii="宋体" w:hAnsi="宋体" w:cs="宋体"/>
                <w:color w:val="auto"/>
              </w:rPr>
              <w:t>分。</w:t>
            </w:r>
          </w:p>
        </w:tc>
      </w:tr>
      <w:tr w14:paraId="5BB8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gridSpan w:val="2"/>
            <w:vMerge w:val="continue"/>
            <w:vAlign w:val="center"/>
          </w:tcPr>
          <w:p w14:paraId="3899283A">
            <w:pPr>
              <w:tabs>
                <w:tab w:val="left" w:pos="539"/>
              </w:tabs>
              <w:autoSpaceDE w:val="0"/>
              <w:autoSpaceDN w:val="0"/>
              <w:adjustRightInd w:val="0"/>
              <w:spacing w:line="360" w:lineRule="auto"/>
              <w:ind w:right="97"/>
              <w:jc w:val="center"/>
              <w:rPr>
                <w:rFonts w:ascii="宋体" w:cs="宋体"/>
                <w:color w:val="auto"/>
                <w:szCs w:val="21"/>
              </w:rPr>
            </w:pPr>
          </w:p>
        </w:tc>
        <w:tc>
          <w:tcPr>
            <w:tcW w:w="2730" w:type="dxa"/>
            <w:gridSpan w:val="2"/>
            <w:vAlign w:val="center"/>
          </w:tcPr>
          <w:p w14:paraId="77D1EB58">
            <w:pPr>
              <w:autoSpaceDE w:val="0"/>
              <w:autoSpaceDN w:val="0"/>
              <w:adjustRightInd w:val="0"/>
              <w:spacing w:line="360" w:lineRule="auto"/>
              <w:ind w:right="97"/>
              <w:jc w:val="center"/>
              <w:rPr>
                <w:rFonts w:ascii="宋体" w:cs="宋体"/>
                <w:color w:val="auto"/>
                <w:szCs w:val="21"/>
              </w:rPr>
            </w:pPr>
            <w:r>
              <w:rPr>
                <w:rFonts w:hint="eastAsia" w:ascii="宋体" w:hAnsi="宋体" w:cs="宋体"/>
                <w:szCs w:val="21"/>
              </w:rPr>
              <w:t>服务承诺（9分）</w:t>
            </w:r>
          </w:p>
        </w:tc>
        <w:tc>
          <w:tcPr>
            <w:tcW w:w="5020" w:type="dxa"/>
            <w:vAlign w:val="center"/>
          </w:tcPr>
          <w:p w14:paraId="56B381CB">
            <w:pPr>
              <w:spacing w:line="360" w:lineRule="auto"/>
              <w:rPr>
                <w:rFonts w:ascii="宋体" w:hAnsi="宋体" w:cs="宋体"/>
                <w:szCs w:val="21"/>
              </w:rPr>
            </w:pPr>
            <w:r>
              <w:rPr>
                <w:rFonts w:hint="eastAsia" w:ascii="宋体" w:hAnsi="宋体" w:cs="宋体"/>
                <w:szCs w:val="21"/>
              </w:rPr>
              <w:t>1、供应商针对提供产品质量符合国家相关标准的承诺:有承诺得 2 分，无承诺得 0 分。</w:t>
            </w:r>
          </w:p>
          <w:p w14:paraId="6334E48E">
            <w:pPr>
              <w:spacing w:line="360" w:lineRule="auto"/>
              <w:rPr>
                <w:rFonts w:ascii="宋体" w:cs="宋体"/>
              </w:rPr>
            </w:pPr>
            <w:r>
              <w:rPr>
                <w:rFonts w:hint="eastAsia" w:ascii="宋体" w:hAnsi="宋体" w:cs="宋体"/>
                <w:szCs w:val="21"/>
              </w:rPr>
              <w:t>2、供应商所提供的其他实质性承诺和实施计划，承诺内容完整，考虑周全，符合采购人实际需求得4分；承诺不尽符合采购人实际需求得 2 分，无承诺得 0 分。3、供应商针对本项目提供售后服务承诺及应急措施，包括24小时电话响应、服务人员 2 小时到达现场、售后服务、解决问题时间等服务承诺，承诺内容完整，考虑周全符合采购人实际需求得 3分；承诺不尽符合采购人实际需求得 1分，无承诺得 0分。</w:t>
            </w:r>
          </w:p>
        </w:tc>
      </w:tr>
    </w:tbl>
    <w:p w14:paraId="796F3DC0">
      <w:pPr>
        <w:keepNext/>
        <w:keepLines/>
        <w:spacing w:line="360" w:lineRule="auto"/>
        <w:outlineLvl w:val="3"/>
        <w:rPr>
          <w:rFonts w:ascii="宋体" w:cs="宋体"/>
          <w:b/>
          <w:bCs/>
          <w:color w:val="auto"/>
          <w:szCs w:val="21"/>
        </w:rPr>
      </w:pPr>
      <w:r>
        <w:rPr>
          <w:rFonts w:ascii="宋体" w:hAnsi="宋体" w:cs="宋体"/>
          <w:b/>
          <w:bCs/>
          <w:color w:val="auto"/>
          <w:szCs w:val="21"/>
        </w:rPr>
        <w:t>1.</w:t>
      </w:r>
      <w:r>
        <w:rPr>
          <w:rFonts w:hint="eastAsia" w:ascii="宋体" w:hAnsi="宋体" w:cs="宋体"/>
          <w:b/>
          <w:bCs/>
          <w:color w:val="auto"/>
          <w:szCs w:val="21"/>
        </w:rPr>
        <w:t>评标方法</w:t>
      </w:r>
    </w:p>
    <w:p w14:paraId="0C391FC1">
      <w:pPr>
        <w:spacing w:line="360" w:lineRule="auto"/>
        <w:ind w:firstLine="420" w:firstLineChars="200"/>
        <w:rPr>
          <w:rFonts w:ascii="宋体" w:cs="宋体"/>
          <w:color w:val="auto"/>
          <w:szCs w:val="21"/>
        </w:rPr>
      </w:pPr>
      <w:r>
        <w:rPr>
          <w:rFonts w:hint="eastAsia" w:ascii="宋体" w:hAnsi="宋体" w:cs="宋体"/>
          <w:color w:val="auto"/>
          <w:szCs w:val="21"/>
        </w:rPr>
        <w:t>本次评标采用</w:t>
      </w:r>
      <w:r>
        <w:rPr>
          <w:rFonts w:hint="eastAsia" w:ascii="宋体" w:hAnsi="宋体" w:cs="宋体"/>
          <w:b/>
          <w:color w:val="auto"/>
          <w:szCs w:val="21"/>
          <w:u w:val="single"/>
        </w:rPr>
        <w:t>综合评分法</w:t>
      </w:r>
      <w:r>
        <w:rPr>
          <w:rFonts w:hint="eastAsia" w:ascii="宋体" w:hAnsi="宋体" w:cs="宋体"/>
          <w:color w:val="auto"/>
          <w:szCs w:val="21"/>
        </w:rPr>
        <w:t>。评标委员会对满足招标文件实质性要求的投标文件，按照规定的评分标准进行量化打分。评标时，评标委员会各成员应当独立对每个供应商的投标文件进行评价，并汇总每个供应商的得分。</w:t>
      </w:r>
    </w:p>
    <w:p w14:paraId="74FE35AC">
      <w:pPr>
        <w:keepNext/>
        <w:keepLines/>
        <w:spacing w:line="360" w:lineRule="auto"/>
        <w:outlineLvl w:val="3"/>
        <w:rPr>
          <w:rFonts w:ascii="宋体" w:cs="宋体"/>
          <w:b/>
          <w:bCs/>
          <w:color w:val="auto"/>
          <w:szCs w:val="21"/>
        </w:rPr>
      </w:pPr>
      <w:bookmarkStart w:id="44" w:name="_Toc24539"/>
      <w:r>
        <w:rPr>
          <w:rFonts w:ascii="宋体" w:hAnsi="宋体" w:cs="宋体"/>
          <w:b/>
          <w:bCs/>
          <w:color w:val="auto"/>
          <w:szCs w:val="21"/>
        </w:rPr>
        <w:t>2.</w:t>
      </w:r>
      <w:r>
        <w:rPr>
          <w:rFonts w:hint="eastAsia" w:ascii="宋体" w:hAnsi="宋体" w:cs="宋体"/>
          <w:b/>
          <w:bCs/>
          <w:color w:val="auto"/>
          <w:szCs w:val="21"/>
        </w:rPr>
        <w:t>评审标准</w:t>
      </w:r>
      <w:bookmarkEnd w:id="44"/>
    </w:p>
    <w:p w14:paraId="125D10FB">
      <w:pPr>
        <w:keepNext/>
        <w:keepLines/>
        <w:spacing w:line="360" w:lineRule="auto"/>
        <w:outlineLvl w:val="3"/>
        <w:rPr>
          <w:rFonts w:ascii="宋体" w:cs="宋体"/>
          <w:b/>
          <w:bCs/>
          <w:color w:val="auto"/>
          <w:szCs w:val="21"/>
        </w:rPr>
      </w:pPr>
      <w:r>
        <w:rPr>
          <w:rFonts w:ascii="宋体" w:hAnsi="宋体" w:cs="宋体"/>
          <w:b/>
          <w:bCs/>
          <w:color w:val="auto"/>
          <w:szCs w:val="21"/>
        </w:rPr>
        <w:t xml:space="preserve">2.1 </w:t>
      </w:r>
      <w:r>
        <w:rPr>
          <w:rFonts w:hint="eastAsia" w:ascii="宋体" w:hAnsi="宋体" w:cs="宋体"/>
          <w:b/>
          <w:bCs/>
          <w:color w:val="auto"/>
          <w:szCs w:val="21"/>
        </w:rPr>
        <w:t>初步评审标准</w:t>
      </w:r>
    </w:p>
    <w:p w14:paraId="55366EE6">
      <w:pPr>
        <w:spacing w:line="360" w:lineRule="auto"/>
        <w:ind w:firstLine="424" w:firstLineChars="202"/>
        <w:rPr>
          <w:rFonts w:ascii="宋体" w:cs="宋体"/>
          <w:color w:val="auto"/>
          <w:szCs w:val="21"/>
        </w:rPr>
      </w:pPr>
      <w:r>
        <w:rPr>
          <w:rFonts w:ascii="宋体" w:hAnsi="宋体" w:cs="宋体"/>
          <w:color w:val="auto"/>
          <w:szCs w:val="21"/>
        </w:rPr>
        <w:t xml:space="preserve">2.1.1 </w:t>
      </w:r>
      <w:r>
        <w:rPr>
          <w:rFonts w:hint="eastAsia" w:ascii="宋体" w:hAnsi="宋体" w:cs="宋体"/>
          <w:color w:val="auto"/>
          <w:szCs w:val="21"/>
        </w:rPr>
        <w:t>资格评审标准：见评标办法前附表。</w:t>
      </w:r>
    </w:p>
    <w:p w14:paraId="0FE99940">
      <w:pPr>
        <w:spacing w:line="360" w:lineRule="auto"/>
        <w:ind w:firstLine="424" w:firstLineChars="202"/>
        <w:rPr>
          <w:rFonts w:ascii="宋体" w:cs="宋体"/>
          <w:color w:val="auto"/>
          <w:szCs w:val="21"/>
        </w:rPr>
      </w:pPr>
      <w:r>
        <w:rPr>
          <w:rFonts w:ascii="宋体" w:hAnsi="宋体" w:cs="宋体"/>
          <w:color w:val="auto"/>
          <w:szCs w:val="21"/>
        </w:rPr>
        <w:t xml:space="preserve">2.1.2 </w:t>
      </w:r>
      <w:r>
        <w:rPr>
          <w:rFonts w:hint="eastAsia" w:ascii="宋体" w:hAnsi="宋体" w:cs="宋体"/>
          <w:color w:val="auto"/>
          <w:szCs w:val="21"/>
        </w:rPr>
        <w:t>符合性评审标准：见评标办法前附表。</w:t>
      </w:r>
    </w:p>
    <w:p w14:paraId="5EF3CB48">
      <w:pPr>
        <w:keepNext/>
        <w:keepLines/>
        <w:spacing w:line="360" w:lineRule="auto"/>
        <w:outlineLvl w:val="3"/>
        <w:rPr>
          <w:rFonts w:ascii="宋体" w:cs="宋体"/>
          <w:b/>
          <w:bCs/>
          <w:color w:val="auto"/>
          <w:szCs w:val="21"/>
        </w:rPr>
      </w:pPr>
      <w:r>
        <w:rPr>
          <w:rFonts w:ascii="宋体" w:hAnsi="宋体" w:cs="宋体"/>
          <w:b/>
          <w:bCs/>
          <w:color w:val="auto"/>
          <w:szCs w:val="21"/>
        </w:rPr>
        <w:t xml:space="preserve">2.2 </w:t>
      </w:r>
      <w:r>
        <w:rPr>
          <w:rFonts w:hint="eastAsia" w:ascii="宋体" w:hAnsi="宋体" w:cs="宋体"/>
          <w:b/>
          <w:bCs/>
          <w:color w:val="auto"/>
          <w:szCs w:val="21"/>
        </w:rPr>
        <w:t>分值构成与评分标准</w:t>
      </w:r>
    </w:p>
    <w:p w14:paraId="64C04EB6">
      <w:pPr>
        <w:spacing w:line="360" w:lineRule="auto"/>
        <w:ind w:firstLine="424" w:firstLineChars="202"/>
        <w:rPr>
          <w:rFonts w:ascii="宋体" w:cs="宋体"/>
          <w:color w:val="auto"/>
          <w:szCs w:val="21"/>
        </w:rPr>
      </w:pPr>
      <w:r>
        <w:rPr>
          <w:rFonts w:ascii="宋体" w:hAnsi="宋体" w:cs="宋体"/>
          <w:color w:val="auto"/>
          <w:szCs w:val="21"/>
        </w:rPr>
        <w:t xml:space="preserve">2.2.1 </w:t>
      </w:r>
      <w:r>
        <w:rPr>
          <w:rFonts w:hint="eastAsia" w:ascii="宋体" w:hAnsi="宋体" w:cs="宋体"/>
          <w:color w:val="auto"/>
          <w:szCs w:val="21"/>
        </w:rPr>
        <w:t>分值构成</w:t>
      </w:r>
    </w:p>
    <w:p w14:paraId="61AB7FB2">
      <w:pPr>
        <w:spacing w:line="360" w:lineRule="auto"/>
        <w:ind w:firstLine="424" w:firstLineChars="202"/>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）报价部分：见评标办法前附表；</w:t>
      </w:r>
    </w:p>
    <w:p w14:paraId="37FACA63">
      <w:pPr>
        <w:spacing w:line="360" w:lineRule="auto"/>
        <w:ind w:firstLine="424" w:firstLineChars="202"/>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）技术部分：见评标办法前附表；</w:t>
      </w:r>
    </w:p>
    <w:p w14:paraId="5A586FB9">
      <w:pPr>
        <w:spacing w:line="360" w:lineRule="auto"/>
        <w:ind w:firstLine="424" w:firstLineChars="202"/>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）商务部分：见评标办法前附表。</w:t>
      </w:r>
    </w:p>
    <w:p w14:paraId="1FA0190C">
      <w:pPr>
        <w:spacing w:line="360" w:lineRule="auto"/>
        <w:ind w:firstLine="424" w:firstLineChars="202"/>
        <w:rPr>
          <w:rFonts w:ascii="宋体" w:cs="宋体"/>
          <w:color w:val="auto"/>
          <w:szCs w:val="21"/>
        </w:rPr>
      </w:pPr>
      <w:r>
        <w:rPr>
          <w:rFonts w:ascii="宋体" w:hAnsi="宋体" w:cs="宋体"/>
          <w:color w:val="auto"/>
          <w:szCs w:val="21"/>
        </w:rPr>
        <w:t xml:space="preserve">2.2.2 </w:t>
      </w:r>
      <w:r>
        <w:rPr>
          <w:rFonts w:hint="eastAsia" w:ascii="宋体" w:hAnsi="宋体" w:cs="宋体"/>
          <w:color w:val="auto"/>
          <w:szCs w:val="21"/>
        </w:rPr>
        <w:t>评分标准</w:t>
      </w:r>
    </w:p>
    <w:p w14:paraId="2853DE4D">
      <w:pPr>
        <w:spacing w:line="360" w:lineRule="auto"/>
        <w:ind w:firstLine="424" w:firstLineChars="202"/>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）报价部分：见评标办法前附表；</w:t>
      </w:r>
    </w:p>
    <w:p w14:paraId="0CC90572">
      <w:pPr>
        <w:spacing w:line="360" w:lineRule="auto"/>
        <w:ind w:firstLine="424" w:firstLineChars="202"/>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）技术部分：见评标办法前附表；</w:t>
      </w:r>
    </w:p>
    <w:p w14:paraId="1459D2F0">
      <w:pPr>
        <w:spacing w:line="360" w:lineRule="auto"/>
        <w:ind w:firstLine="424" w:firstLineChars="202"/>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）商务部分：见评标办法前附表。</w:t>
      </w:r>
    </w:p>
    <w:p w14:paraId="248EDEB1">
      <w:pPr>
        <w:keepNext/>
        <w:keepLines/>
        <w:spacing w:line="360" w:lineRule="auto"/>
        <w:outlineLvl w:val="3"/>
        <w:rPr>
          <w:rFonts w:ascii="宋体" w:cs="宋体"/>
          <w:b/>
          <w:bCs/>
          <w:color w:val="auto"/>
          <w:szCs w:val="21"/>
        </w:rPr>
      </w:pPr>
      <w:bookmarkStart w:id="45" w:name="_Toc15191"/>
      <w:r>
        <w:rPr>
          <w:rFonts w:ascii="宋体" w:hAnsi="宋体" w:cs="宋体"/>
          <w:b/>
          <w:bCs/>
          <w:color w:val="auto"/>
          <w:szCs w:val="21"/>
        </w:rPr>
        <w:t xml:space="preserve">3. </w:t>
      </w:r>
      <w:r>
        <w:rPr>
          <w:rFonts w:hint="eastAsia" w:ascii="宋体" w:hAnsi="宋体" w:cs="宋体"/>
          <w:b/>
          <w:bCs/>
          <w:color w:val="auto"/>
          <w:szCs w:val="21"/>
        </w:rPr>
        <w:t>评标程序</w:t>
      </w:r>
      <w:bookmarkEnd w:id="45"/>
    </w:p>
    <w:p w14:paraId="14068A00">
      <w:pPr>
        <w:keepNext/>
        <w:keepLines/>
        <w:spacing w:line="360" w:lineRule="auto"/>
        <w:outlineLvl w:val="3"/>
        <w:rPr>
          <w:rFonts w:ascii="宋体" w:cs="宋体"/>
          <w:b/>
          <w:bCs/>
          <w:color w:val="auto"/>
          <w:szCs w:val="21"/>
        </w:rPr>
      </w:pPr>
      <w:r>
        <w:rPr>
          <w:rFonts w:ascii="宋体" w:hAnsi="宋体" w:cs="宋体"/>
          <w:b/>
          <w:bCs/>
          <w:color w:val="auto"/>
          <w:szCs w:val="21"/>
        </w:rPr>
        <w:t xml:space="preserve">3.1 </w:t>
      </w:r>
      <w:r>
        <w:rPr>
          <w:rFonts w:hint="eastAsia" w:ascii="宋体" w:hAnsi="宋体" w:cs="宋体"/>
          <w:b/>
          <w:bCs/>
          <w:color w:val="auto"/>
          <w:szCs w:val="21"/>
        </w:rPr>
        <w:t>初步评审</w:t>
      </w:r>
    </w:p>
    <w:p w14:paraId="753A2D41">
      <w:pPr>
        <w:spacing w:line="360" w:lineRule="auto"/>
        <w:ind w:firstLine="424" w:firstLineChars="202"/>
        <w:rPr>
          <w:rFonts w:ascii="宋体" w:cs="宋体"/>
          <w:color w:val="auto"/>
          <w:szCs w:val="21"/>
        </w:rPr>
      </w:pPr>
      <w:r>
        <w:rPr>
          <w:rFonts w:ascii="宋体" w:hAnsi="宋体" w:cs="宋体"/>
          <w:color w:val="auto"/>
          <w:szCs w:val="21"/>
        </w:rPr>
        <w:t>3.1.1</w:t>
      </w:r>
      <w:r>
        <w:rPr>
          <w:rFonts w:hint="eastAsia" w:ascii="宋体" w:hAnsi="宋体" w:cs="宋体"/>
          <w:color w:val="auto"/>
          <w:szCs w:val="21"/>
        </w:rPr>
        <w:t>采购人或采购代理机构应当根据本章第</w:t>
      </w:r>
      <w:r>
        <w:rPr>
          <w:rFonts w:ascii="宋体" w:hAnsi="宋体" w:cs="宋体"/>
          <w:color w:val="auto"/>
          <w:szCs w:val="21"/>
        </w:rPr>
        <w:t>2.1.1</w:t>
      </w:r>
      <w:r>
        <w:rPr>
          <w:rFonts w:hint="eastAsia" w:ascii="宋体" w:hAnsi="宋体" w:cs="宋体"/>
          <w:color w:val="auto"/>
          <w:szCs w:val="21"/>
        </w:rPr>
        <w:t>款规定的标准对供应商的资格进行审查。</w:t>
      </w:r>
    </w:p>
    <w:p w14:paraId="0B77C86B">
      <w:pPr>
        <w:spacing w:line="360" w:lineRule="auto"/>
        <w:ind w:firstLine="424" w:firstLineChars="202"/>
        <w:rPr>
          <w:rFonts w:ascii="宋体" w:cs="宋体"/>
          <w:color w:val="auto"/>
          <w:szCs w:val="21"/>
        </w:rPr>
      </w:pPr>
      <w:r>
        <w:rPr>
          <w:rFonts w:ascii="宋体" w:hAnsi="宋体" w:cs="宋体"/>
          <w:color w:val="auto"/>
          <w:szCs w:val="21"/>
        </w:rPr>
        <w:t>3.1.2</w:t>
      </w:r>
      <w:r>
        <w:rPr>
          <w:rFonts w:hint="eastAsia" w:ascii="宋体" w:hAnsi="宋体" w:cs="宋体"/>
          <w:color w:val="auto"/>
          <w:szCs w:val="21"/>
        </w:rPr>
        <w:t>评标委员会应当对符合资格的供应商的投标文件依据本章第</w:t>
      </w:r>
      <w:r>
        <w:rPr>
          <w:rFonts w:ascii="宋体" w:hAnsi="宋体" w:cs="宋体"/>
          <w:color w:val="auto"/>
          <w:szCs w:val="21"/>
        </w:rPr>
        <w:t>2.1.2</w:t>
      </w:r>
      <w:r>
        <w:rPr>
          <w:rFonts w:hint="eastAsia" w:ascii="宋体" w:hAnsi="宋体" w:cs="宋体"/>
          <w:color w:val="auto"/>
          <w:szCs w:val="21"/>
        </w:rPr>
        <w:t>款规定的标准对其进行符合性评审，有一项不符合评审标准的，其投标将被否决。</w:t>
      </w:r>
    </w:p>
    <w:p w14:paraId="0D44775F">
      <w:pPr>
        <w:spacing w:line="360" w:lineRule="auto"/>
        <w:ind w:firstLine="424" w:firstLineChars="202"/>
        <w:rPr>
          <w:rFonts w:ascii="宋体" w:cs="宋体"/>
          <w:color w:val="auto"/>
          <w:szCs w:val="21"/>
        </w:rPr>
      </w:pPr>
      <w:r>
        <w:rPr>
          <w:rFonts w:ascii="宋体" w:hAnsi="宋体" w:cs="宋体"/>
          <w:color w:val="auto"/>
          <w:szCs w:val="21"/>
        </w:rPr>
        <w:t xml:space="preserve">3.1.3 </w:t>
      </w:r>
      <w:r>
        <w:rPr>
          <w:rFonts w:hint="eastAsia" w:ascii="宋体" w:hAnsi="宋体" w:cs="宋体"/>
          <w:color w:val="auto"/>
          <w:szCs w:val="21"/>
        </w:rPr>
        <w:t>供应商有以下情形之一的，其投标作废标处理：</w:t>
      </w:r>
    </w:p>
    <w:p w14:paraId="043E0A5D">
      <w:pPr>
        <w:spacing w:line="360" w:lineRule="auto"/>
        <w:ind w:firstLine="424" w:firstLineChars="202"/>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）串通投标或弄虚作假或有其他违法行为的；</w:t>
      </w:r>
    </w:p>
    <w:p w14:paraId="096ACAED">
      <w:pPr>
        <w:spacing w:line="360" w:lineRule="auto"/>
        <w:ind w:firstLine="424" w:firstLineChars="202"/>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）不按评标委员会要求澄清、说明或补正的。</w:t>
      </w:r>
    </w:p>
    <w:p w14:paraId="14A4D765">
      <w:pPr>
        <w:spacing w:line="360" w:lineRule="auto"/>
        <w:ind w:firstLine="424" w:firstLineChars="202"/>
        <w:rPr>
          <w:rFonts w:ascii="宋体" w:cs="宋体"/>
          <w:color w:val="auto"/>
          <w:szCs w:val="21"/>
        </w:rPr>
      </w:pPr>
      <w:r>
        <w:rPr>
          <w:rFonts w:ascii="宋体" w:hAnsi="宋体" w:cs="宋体"/>
          <w:color w:val="auto"/>
          <w:szCs w:val="21"/>
        </w:rPr>
        <w:t xml:space="preserve">3.1.4 </w:t>
      </w:r>
      <w:r>
        <w:rPr>
          <w:rFonts w:hint="eastAsia" w:ascii="宋体" w:hAnsi="宋体" w:cs="宋体"/>
          <w:color w:val="auto"/>
          <w:szCs w:val="21"/>
        </w:rPr>
        <w:t>投标报价有算术错误的，评标委员会按以下原则对投标报价进行修正，修正的价格经供应商书面确认后具有约束力。供应商不接受修正价格的，其投标作废标处理。</w:t>
      </w:r>
    </w:p>
    <w:p w14:paraId="3F89FB61">
      <w:pPr>
        <w:spacing w:line="360" w:lineRule="auto"/>
        <w:ind w:firstLine="424" w:firstLineChars="202"/>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）投标文件中开标一览表（报价表）内容与投标文件中相应内容不一致的，以开标一览表（报价表）为准；</w:t>
      </w:r>
    </w:p>
    <w:p w14:paraId="72B15E4F">
      <w:pPr>
        <w:spacing w:line="360" w:lineRule="auto"/>
        <w:ind w:firstLine="424" w:firstLineChars="202"/>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）大写金额和小写金额不一致的，以大写金额为准；</w:t>
      </w:r>
    </w:p>
    <w:p w14:paraId="0F12D4EA">
      <w:pPr>
        <w:spacing w:line="360" w:lineRule="auto"/>
        <w:ind w:firstLine="424" w:firstLineChars="202"/>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）总价金额与按单价汇总金额不一致的，以单价金额计算结果为准。</w:t>
      </w:r>
    </w:p>
    <w:p w14:paraId="6991BFF7">
      <w:pPr>
        <w:keepNext/>
        <w:keepLines/>
        <w:spacing w:line="360" w:lineRule="auto"/>
        <w:outlineLvl w:val="3"/>
        <w:rPr>
          <w:rFonts w:ascii="宋体" w:cs="宋体"/>
          <w:b/>
          <w:bCs/>
          <w:color w:val="auto"/>
          <w:szCs w:val="21"/>
        </w:rPr>
      </w:pPr>
      <w:r>
        <w:rPr>
          <w:rFonts w:ascii="宋体" w:hAnsi="宋体" w:cs="宋体"/>
          <w:b/>
          <w:bCs/>
          <w:color w:val="auto"/>
          <w:szCs w:val="21"/>
        </w:rPr>
        <w:t xml:space="preserve">3.2 </w:t>
      </w:r>
      <w:r>
        <w:rPr>
          <w:rFonts w:hint="eastAsia" w:ascii="宋体" w:hAnsi="宋体" w:cs="宋体"/>
          <w:b/>
          <w:bCs/>
          <w:color w:val="auto"/>
          <w:szCs w:val="21"/>
        </w:rPr>
        <w:t>详细评审</w:t>
      </w:r>
    </w:p>
    <w:p w14:paraId="1C14D93F">
      <w:pPr>
        <w:spacing w:line="360" w:lineRule="auto"/>
        <w:ind w:firstLine="424" w:firstLineChars="202"/>
        <w:rPr>
          <w:rFonts w:ascii="宋体" w:cs="宋体"/>
          <w:color w:val="auto"/>
          <w:szCs w:val="21"/>
        </w:rPr>
      </w:pPr>
      <w:r>
        <w:rPr>
          <w:rFonts w:ascii="宋体" w:hAnsi="宋体" w:cs="宋体"/>
          <w:color w:val="auto"/>
          <w:szCs w:val="21"/>
        </w:rPr>
        <w:t xml:space="preserve">3.2.1 </w:t>
      </w:r>
      <w:r>
        <w:rPr>
          <w:rFonts w:hint="eastAsia" w:ascii="宋体" w:hAnsi="宋体" w:cs="宋体"/>
          <w:color w:val="auto"/>
          <w:szCs w:val="21"/>
        </w:rPr>
        <w:t>评标委员会按本章第</w:t>
      </w:r>
      <w:r>
        <w:rPr>
          <w:rFonts w:ascii="宋体" w:hAnsi="宋体" w:cs="宋体"/>
          <w:color w:val="auto"/>
          <w:szCs w:val="21"/>
        </w:rPr>
        <w:t xml:space="preserve">2.2 </w:t>
      </w:r>
      <w:r>
        <w:rPr>
          <w:rFonts w:hint="eastAsia" w:ascii="宋体" w:hAnsi="宋体" w:cs="宋体"/>
          <w:color w:val="auto"/>
          <w:szCs w:val="21"/>
        </w:rPr>
        <w:t>款规定的量化因素和分值进行打分，并计算出综合评估得分。</w:t>
      </w:r>
    </w:p>
    <w:p w14:paraId="697C983F">
      <w:pPr>
        <w:spacing w:line="360" w:lineRule="auto"/>
        <w:ind w:firstLine="424" w:firstLineChars="202"/>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）按本章第</w:t>
      </w:r>
      <w:r>
        <w:rPr>
          <w:rFonts w:ascii="宋体" w:hAnsi="宋体" w:cs="宋体"/>
          <w:color w:val="auto"/>
          <w:szCs w:val="21"/>
        </w:rPr>
        <w:t>2.2.2</w:t>
      </w: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）目规定的评审因素和分值对计算出得分</w:t>
      </w:r>
      <w:r>
        <w:rPr>
          <w:rFonts w:ascii="宋体" w:hAnsi="宋体" w:cs="宋体"/>
          <w:color w:val="auto"/>
          <w:szCs w:val="21"/>
        </w:rPr>
        <w:t>A</w:t>
      </w:r>
      <w:r>
        <w:rPr>
          <w:rFonts w:hint="eastAsia" w:ascii="宋体" w:hAnsi="宋体" w:cs="宋体"/>
          <w:color w:val="auto"/>
          <w:szCs w:val="21"/>
        </w:rPr>
        <w:t>；</w:t>
      </w:r>
    </w:p>
    <w:p w14:paraId="23129118">
      <w:pPr>
        <w:spacing w:line="360" w:lineRule="auto"/>
        <w:ind w:firstLine="424" w:firstLineChars="202"/>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）按本章第</w:t>
      </w:r>
      <w:r>
        <w:rPr>
          <w:rFonts w:ascii="宋体" w:hAnsi="宋体" w:cs="宋体"/>
          <w:color w:val="auto"/>
          <w:szCs w:val="21"/>
        </w:rPr>
        <w:t>2.2.2</w:t>
      </w: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）目规定的评审因素和分值对计算出得分</w:t>
      </w:r>
      <w:r>
        <w:rPr>
          <w:rFonts w:ascii="宋体" w:hAnsi="宋体" w:cs="宋体"/>
          <w:color w:val="auto"/>
          <w:szCs w:val="21"/>
        </w:rPr>
        <w:t>B</w:t>
      </w:r>
      <w:r>
        <w:rPr>
          <w:rFonts w:hint="eastAsia" w:ascii="宋体" w:hAnsi="宋体" w:cs="宋体"/>
          <w:color w:val="auto"/>
          <w:szCs w:val="21"/>
        </w:rPr>
        <w:t>；</w:t>
      </w:r>
    </w:p>
    <w:p w14:paraId="1E605CF3">
      <w:pPr>
        <w:spacing w:line="360" w:lineRule="auto"/>
        <w:ind w:firstLine="424" w:firstLineChars="202"/>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）按本章第</w:t>
      </w:r>
      <w:r>
        <w:rPr>
          <w:rFonts w:ascii="宋体" w:hAnsi="宋体" w:cs="宋体"/>
          <w:color w:val="auto"/>
          <w:szCs w:val="21"/>
        </w:rPr>
        <w:t>2.2.2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）目规定的评审因素和分值对计算出得分</w:t>
      </w:r>
      <w:r>
        <w:rPr>
          <w:rFonts w:ascii="宋体" w:hAnsi="宋体" w:cs="宋体"/>
          <w:color w:val="auto"/>
          <w:szCs w:val="21"/>
        </w:rPr>
        <w:t>C</w:t>
      </w:r>
      <w:r>
        <w:rPr>
          <w:rFonts w:hint="eastAsia" w:ascii="宋体" w:hAnsi="宋体" w:cs="宋体"/>
          <w:color w:val="auto"/>
          <w:szCs w:val="21"/>
        </w:rPr>
        <w:t>；</w:t>
      </w:r>
    </w:p>
    <w:p w14:paraId="18317946">
      <w:pPr>
        <w:spacing w:line="360" w:lineRule="auto"/>
        <w:ind w:firstLine="424" w:firstLineChars="202"/>
        <w:rPr>
          <w:rFonts w:ascii="宋体" w:cs="宋体"/>
          <w:color w:val="auto"/>
          <w:szCs w:val="21"/>
        </w:rPr>
      </w:pPr>
      <w:r>
        <w:rPr>
          <w:rFonts w:ascii="宋体" w:hAnsi="宋体" w:cs="宋体"/>
          <w:color w:val="auto"/>
          <w:szCs w:val="21"/>
        </w:rPr>
        <w:t xml:space="preserve">3.2.2 </w:t>
      </w:r>
      <w:r>
        <w:rPr>
          <w:rFonts w:hint="eastAsia" w:ascii="宋体" w:hAnsi="宋体" w:cs="宋体"/>
          <w:color w:val="auto"/>
          <w:szCs w:val="21"/>
        </w:rPr>
        <w:t>评分分值计算保留小数点后两位，小数点后第三位“四舍五入”。</w:t>
      </w:r>
    </w:p>
    <w:p w14:paraId="0855A7FD">
      <w:pPr>
        <w:spacing w:line="360" w:lineRule="auto"/>
        <w:ind w:firstLine="424" w:firstLineChars="202"/>
        <w:rPr>
          <w:rFonts w:ascii="宋体" w:cs="宋体"/>
          <w:color w:val="auto"/>
          <w:szCs w:val="21"/>
        </w:rPr>
      </w:pPr>
      <w:r>
        <w:rPr>
          <w:rFonts w:ascii="宋体" w:hAnsi="宋体" w:cs="宋体"/>
          <w:color w:val="auto"/>
          <w:szCs w:val="21"/>
        </w:rPr>
        <w:t xml:space="preserve">3.2.3 </w:t>
      </w:r>
      <w:r>
        <w:rPr>
          <w:rFonts w:hint="eastAsia" w:ascii="宋体" w:hAnsi="宋体" w:cs="宋体"/>
          <w:color w:val="auto"/>
          <w:szCs w:val="21"/>
        </w:rPr>
        <w:t>供应商得分</w:t>
      </w:r>
      <w:r>
        <w:rPr>
          <w:rFonts w:ascii="宋体" w:hAnsi="宋体" w:cs="宋体"/>
          <w:color w:val="auto"/>
          <w:szCs w:val="21"/>
        </w:rPr>
        <w:t>=A+B+C</w:t>
      </w:r>
      <w:r>
        <w:rPr>
          <w:rFonts w:hint="eastAsia" w:ascii="宋体" w:hAnsi="宋体" w:cs="宋体"/>
          <w:color w:val="auto"/>
          <w:szCs w:val="21"/>
        </w:rPr>
        <w:t>。</w:t>
      </w:r>
    </w:p>
    <w:p w14:paraId="52D0DD28">
      <w:pPr>
        <w:spacing w:line="360" w:lineRule="auto"/>
        <w:ind w:firstLine="424" w:firstLineChars="202"/>
        <w:rPr>
          <w:rFonts w:ascii="宋体" w:cs="宋体"/>
          <w:color w:val="auto"/>
          <w:szCs w:val="21"/>
        </w:rPr>
      </w:pPr>
      <w:r>
        <w:rPr>
          <w:rFonts w:ascii="宋体" w:hAnsi="宋体" w:cs="宋体"/>
          <w:color w:val="auto"/>
          <w:szCs w:val="21"/>
        </w:rPr>
        <w:t xml:space="preserve">3.2.4 </w:t>
      </w:r>
      <w:r>
        <w:rPr>
          <w:rFonts w:hint="eastAsia" w:ascii="宋体" w:hAnsi="宋体" w:cs="宋体"/>
          <w:color w:val="auto"/>
          <w:szCs w:val="21"/>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31259988">
      <w:pPr>
        <w:keepNext/>
        <w:keepLines/>
        <w:spacing w:line="360" w:lineRule="auto"/>
        <w:outlineLvl w:val="3"/>
        <w:rPr>
          <w:rFonts w:ascii="宋体" w:cs="宋体"/>
          <w:b/>
          <w:bCs/>
          <w:color w:val="auto"/>
          <w:szCs w:val="21"/>
        </w:rPr>
      </w:pPr>
      <w:r>
        <w:rPr>
          <w:rFonts w:ascii="宋体" w:hAnsi="宋体" w:cs="宋体"/>
          <w:b/>
          <w:bCs/>
          <w:color w:val="auto"/>
          <w:szCs w:val="21"/>
        </w:rPr>
        <w:t xml:space="preserve">3.3 </w:t>
      </w:r>
      <w:r>
        <w:rPr>
          <w:rFonts w:hint="eastAsia" w:ascii="宋体" w:hAnsi="宋体" w:cs="宋体"/>
          <w:b/>
          <w:bCs/>
          <w:color w:val="auto"/>
          <w:szCs w:val="21"/>
        </w:rPr>
        <w:t>投标文件的澄清和补正</w:t>
      </w:r>
    </w:p>
    <w:p w14:paraId="1426E1F4">
      <w:pPr>
        <w:spacing w:line="360" w:lineRule="auto"/>
        <w:ind w:firstLine="424" w:firstLineChars="202"/>
        <w:rPr>
          <w:rFonts w:ascii="宋体" w:cs="宋体"/>
          <w:color w:val="auto"/>
          <w:szCs w:val="21"/>
        </w:rPr>
      </w:pPr>
      <w:r>
        <w:rPr>
          <w:rFonts w:ascii="宋体" w:hAnsi="宋体" w:cs="宋体"/>
          <w:color w:val="auto"/>
          <w:szCs w:val="21"/>
        </w:rPr>
        <w:t xml:space="preserve">3.3.1 </w:t>
      </w:r>
      <w:r>
        <w:rPr>
          <w:rFonts w:hint="eastAsia" w:ascii="宋体" w:hAnsi="宋体" w:cs="宋体"/>
          <w:color w:val="auto"/>
          <w:szCs w:val="21"/>
        </w:rPr>
        <w:t>在评标过程中，评标委员会可以书面形式要求供应商对所提交投标文件中不明确的内容进行书面澄清或说明，或者对细微偏差进行补正。评标委员会不接受供应商主动提出的澄清、说明或补正。</w:t>
      </w:r>
    </w:p>
    <w:p w14:paraId="60286EB3">
      <w:pPr>
        <w:spacing w:line="360" w:lineRule="auto"/>
        <w:ind w:firstLine="424" w:firstLineChars="202"/>
        <w:rPr>
          <w:rFonts w:ascii="宋体" w:cs="宋体"/>
          <w:color w:val="auto"/>
          <w:szCs w:val="21"/>
        </w:rPr>
      </w:pPr>
      <w:r>
        <w:rPr>
          <w:rFonts w:ascii="宋体" w:hAnsi="宋体" w:cs="宋体"/>
          <w:color w:val="auto"/>
          <w:szCs w:val="21"/>
        </w:rPr>
        <w:t xml:space="preserve">3.3.2 </w:t>
      </w:r>
      <w:r>
        <w:rPr>
          <w:rFonts w:hint="eastAsia" w:ascii="宋体" w:hAnsi="宋体" w:cs="宋体"/>
          <w:color w:val="auto"/>
          <w:szCs w:val="21"/>
        </w:rPr>
        <w:t>澄清、说明和补正不得改变投标文件的实质性内容（算术性错误修正的除外）。供应商的书面澄清、说明和补正属于投标文件的组成部分。</w:t>
      </w:r>
    </w:p>
    <w:p w14:paraId="178D3FC5">
      <w:pPr>
        <w:spacing w:line="360" w:lineRule="auto"/>
        <w:ind w:firstLine="424" w:firstLineChars="202"/>
        <w:rPr>
          <w:rFonts w:ascii="宋体" w:cs="宋体"/>
          <w:color w:val="auto"/>
          <w:szCs w:val="21"/>
        </w:rPr>
      </w:pPr>
      <w:r>
        <w:rPr>
          <w:rFonts w:ascii="宋体" w:hAnsi="宋体" w:cs="宋体"/>
          <w:color w:val="auto"/>
          <w:szCs w:val="21"/>
        </w:rPr>
        <w:t xml:space="preserve">3.3.3 </w:t>
      </w:r>
      <w:r>
        <w:rPr>
          <w:rFonts w:hint="eastAsia" w:ascii="宋体" w:hAnsi="宋体" w:cs="宋体"/>
          <w:color w:val="auto"/>
          <w:szCs w:val="21"/>
        </w:rPr>
        <w:t>评标委员会对供应商提交的澄清、说明或补正有疑问的，可以要求供应商进一步澄清、说明或补正，直至满足评标委员会的要求。</w:t>
      </w:r>
    </w:p>
    <w:p w14:paraId="2EE89C9C">
      <w:pPr>
        <w:spacing w:line="360" w:lineRule="auto"/>
        <w:ind w:firstLine="426" w:firstLineChars="202"/>
        <w:rPr>
          <w:rFonts w:ascii="宋体" w:cs="宋体"/>
          <w:b/>
          <w:bCs/>
          <w:color w:val="auto"/>
          <w:szCs w:val="21"/>
        </w:rPr>
      </w:pPr>
      <w:r>
        <w:rPr>
          <w:rFonts w:ascii="宋体" w:hAnsi="宋体" w:cs="宋体"/>
          <w:b/>
          <w:bCs/>
          <w:color w:val="auto"/>
          <w:szCs w:val="21"/>
        </w:rPr>
        <w:t xml:space="preserve">3.4 </w:t>
      </w:r>
      <w:r>
        <w:rPr>
          <w:rFonts w:hint="eastAsia" w:ascii="宋体" w:hAnsi="宋体" w:cs="宋体"/>
          <w:b/>
          <w:bCs/>
          <w:color w:val="auto"/>
          <w:szCs w:val="21"/>
        </w:rPr>
        <w:t>评标结果</w:t>
      </w:r>
    </w:p>
    <w:p w14:paraId="1CF2E56A">
      <w:pPr>
        <w:spacing w:line="360" w:lineRule="auto"/>
        <w:ind w:firstLine="424" w:firstLineChars="202"/>
        <w:rPr>
          <w:rFonts w:ascii="宋体" w:cs="宋体"/>
          <w:color w:val="auto"/>
          <w:szCs w:val="21"/>
        </w:rPr>
      </w:pPr>
      <w:r>
        <w:rPr>
          <w:rFonts w:ascii="宋体" w:hAnsi="宋体" w:cs="宋体"/>
          <w:color w:val="auto"/>
          <w:szCs w:val="21"/>
        </w:rPr>
        <w:t xml:space="preserve">3.4.1 </w:t>
      </w:r>
      <w:r>
        <w:rPr>
          <w:rFonts w:hint="eastAsia" w:ascii="宋体" w:hAnsi="宋体" w:cs="宋体"/>
          <w:color w:val="auto"/>
          <w:szCs w:val="21"/>
        </w:rPr>
        <w:t>除第二章“供应商须知”前附表授权直接确定中标人外，评标委员会按照得分由高到低的顺序推荐中标候选人。投标文件满足招标文件全部实质性要求，且按照评审因素的量化指标评审得分最高的供应商为排名第一的中标候选人。</w:t>
      </w:r>
    </w:p>
    <w:p w14:paraId="061FE0BE">
      <w:pPr>
        <w:spacing w:line="360" w:lineRule="auto"/>
        <w:ind w:firstLine="316" w:firstLineChars="150"/>
        <w:rPr>
          <w:rFonts w:ascii="宋体" w:cs="宋体"/>
          <w:b/>
          <w:bCs/>
          <w:color w:val="auto"/>
          <w:szCs w:val="21"/>
          <w:highlight w:val="yellow"/>
        </w:rPr>
      </w:pPr>
    </w:p>
    <w:p w14:paraId="7515495D">
      <w:pPr>
        <w:spacing w:line="360" w:lineRule="auto"/>
        <w:ind w:firstLine="316" w:firstLineChars="150"/>
        <w:rPr>
          <w:rFonts w:ascii="宋体" w:cs="宋体"/>
          <w:b/>
          <w:bCs/>
          <w:color w:val="auto"/>
          <w:szCs w:val="21"/>
        </w:rPr>
      </w:pPr>
      <w:r>
        <w:rPr>
          <w:rFonts w:ascii="宋体" w:hAnsi="宋体" w:cs="宋体"/>
          <w:b/>
          <w:bCs/>
          <w:color w:val="auto"/>
          <w:szCs w:val="21"/>
        </w:rPr>
        <w:t>3.4.2</w:t>
      </w:r>
      <w:r>
        <w:rPr>
          <w:rFonts w:hint="eastAsia" w:ascii="宋体" w:hAnsi="宋体" w:cs="宋体"/>
          <w:b/>
          <w:bCs/>
          <w:color w:val="auto"/>
          <w:szCs w:val="21"/>
        </w:rPr>
        <w:t>评标过程中出现随机抽取情况的处理办法：</w:t>
      </w:r>
    </w:p>
    <w:p w14:paraId="0A61EFDE">
      <w:pPr>
        <w:spacing w:line="360" w:lineRule="auto"/>
        <w:ind w:firstLine="424" w:firstLineChars="202"/>
        <w:rPr>
          <w:rFonts w:ascii="宋体" w:cs="宋体"/>
          <w:color w:val="auto"/>
          <w:szCs w:val="21"/>
        </w:rPr>
      </w:pPr>
      <w:r>
        <w:rPr>
          <w:rFonts w:hint="eastAsia" w:ascii="宋体" w:hAnsi="宋体" w:cs="宋体"/>
          <w:color w:val="auto"/>
          <w:szCs w:val="21"/>
        </w:rPr>
        <w:t>随机抽取是指通过抽签等能够保证所有符合参加抽取条件供应商机会均等的方式选定供应商。随机抽取供应商时，由采购人委托评标委员会进行现场抽取，并形成书面记录，随评标报告一并存档。</w:t>
      </w:r>
    </w:p>
    <w:p w14:paraId="5B57C281">
      <w:pPr>
        <w:spacing w:line="360" w:lineRule="auto"/>
        <w:ind w:firstLine="426" w:firstLineChars="202"/>
        <w:rPr>
          <w:rFonts w:ascii="宋体" w:cs="宋体"/>
          <w:b/>
          <w:color w:val="auto"/>
          <w:szCs w:val="21"/>
        </w:rPr>
        <w:sectPr>
          <w:headerReference r:id="rId7" w:type="default"/>
          <w:footerReference r:id="rId8" w:type="default"/>
          <w:pgSz w:w="11906" w:h="16838"/>
          <w:pgMar w:top="1440" w:right="1800" w:bottom="1440" w:left="1800" w:header="851" w:footer="992" w:gutter="0"/>
          <w:pgNumType w:start="1"/>
          <w:cols w:space="720" w:num="1"/>
          <w:docGrid w:type="lines" w:linePitch="312" w:charSpace="0"/>
        </w:sectPr>
      </w:pPr>
      <w:r>
        <w:rPr>
          <w:rFonts w:ascii="宋体" w:hAnsi="宋体" w:cs="宋体"/>
          <w:b/>
          <w:color w:val="auto"/>
          <w:szCs w:val="21"/>
        </w:rPr>
        <w:t>3.4.3</w:t>
      </w:r>
      <w:r>
        <w:rPr>
          <w:rFonts w:hint="eastAsia" w:ascii="宋体" w:hAnsi="宋体" w:cs="宋体"/>
          <w:b/>
          <w:color w:val="auto"/>
          <w:szCs w:val="21"/>
        </w:rPr>
        <w:t>评标委员会完成评标后，应当向采购人提交书面评标报告。</w:t>
      </w:r>
    </w:p>
    <w:p w14:paraId="5A3DC042">
      <w:pPr>
        <w:pStyle w:val="25"/>
        <w:rPr>
          <w:rFonts w:ascii="宋体" w:cs="宋体"/>
          <w:sz w:val="30"/>
          <w:szCs w:val="30"/>
          <w:highlight w:val="none"/>
        </w:rPr>
      </w:pPr>
      <w:r>
        <w:rPr>
          <w:rFonts w:hint="eastAsia" w:ascii="宋体" w:hAnsi="宋体" w:cs="宋体"/>
          <w:sz w:val="30"/>
          <w:szCs w:val="30"/>
          <w:highlight w:val="none"/>
        </w:rPr>
        <w:t>第七章项目内容数量及技术要求</w:t>
      </w:r>
    </w:p>
    <w:p w14:paraId="26F765A4">
      <w:pPr>
        <w:pStyle w:val="25"/>
        <w:numPr>
          <w:ilvl w:val="0"/>
          <w:numId w:val="18"/>
        </w:numPr>
        <w:spacing w:line="360" w:lineRule="auto"/>
        <w:jc w:val="left"/>
        <w:rPr>
          <w:rFonts w:ascii="宋体" w:cs="宋体"/>
          <w:sz w:val="21"/>
          <w:szCs w:val="21"/>
          <w:highlight w:val="none"/>
        </w:rPr>
      </w:pPr>
      <w:r>
        <w:rPr>
          <w:rFonts w:hint="eastAsia" w:ascii="宋体" w:hAnsi="宋体" w:cs="宋体"/>
          <w:sz w:val="21"/>
          <w:szCs w:val="21"/>
          <w:highlight w:val="none"/>
        </w:rPr>
        <w:t>项目概况：</w:t>
      </w:r>
    </w:p>
    <w:p w14:paraId="74196780">
      <w:pPr>
        <w:spacing w:line="360" w:lineRule="auto"/>
        <w:ind w:firstLine="424" w:firstLineChars="202"/>
        <w:rPr>
          <w:rFonts w:ascii="宋体" w:cs="宋体"/>
          <w:szCs w:val="21"/>
          <w:highlight w:val="none"/>
        </w:rPr>
      </w:pPr>
      <w:r>
        <w:rPr>
          <w:rFonts w:hint="eastAsia" w:ascii="宋体" w:hAnsi="宋体" w:cs="宋体"/>
          <w:szCs w:val="21"/>
          <w:highlight w:val="none"/>
        </w:rPr>
        <w:t>2024年8月起，全县农村义务教育阶段学校食堂全部由学校自主经营，全县统一集中采购食材，本项目为有食堂的学校采购米、面、肉蛋类、蔬菜、油调料等大宗食材及辅材及上述产品配送服务，保障学生膳食营养健康。</w:t>
      </w:r>
    </w:p>
    <w:p w14:paraId="078674B4">
      <w:pPr>
        <w:pStyle w:val="25"/>
        <w:numPr>
          <w:ilvl w:val="0"/>
          <w:numId w:val="18"/>
        </w:numPr>
        <w:spacing w:line="360" w:lineRule="auto"/>
        <w:jc w:val="left"/>
        <w:rPr>
          <w:rFonts w:ascii="宋体" w:cs="宋体"/>
          <w:sz w:val="21"/>
          <w:szCs w:val="21"/>
          <w:highlight w:val="none"/>
        </w:rPr>
      </w:pPr>
      <w:r>
        <w:rPr>
          <w:rFonts w:hint="eastAsia" w:ascii="宋体" w:hAnsi="宋体" w:cs="宋体"/>
          <w:sz w:val="21"/>
          <w:szCs w:val="21"/>
          <w:highlight w:val="none"/>
        </w:rPr>
        <w:t>食材供应学校清单及成品餐配送学校清单</w:t>
      </w:r>
    </w:p>
    <w:tbl>
      <w:tblPr>
        <w:tblStyle w:val="28"/>
        <w:tblW w:w="97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5280"/>
        <w:gridCol w:w="2625"/>
        <w:gridCol w:w="1080"/>
      </w:tblGrid>
      <w:tr w14:paraId="3959F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9705" w:type="dxa"/>
            <w:gridSpan w:val="4"/>
            <w:tcBorders>
              <w:top w:val="nil"/>
              <w:left w:val="nil"/>
              <w:bottom w:val="nil"/>
              <w:right w:val="nil"/>
            </w:tcBorders>
            <w:shd w:val="clear" w:color="auto" w:fill="auto"/>
            <w:vAlign w:val="center"/>
          </w:tcPr>
          <w:p w14:paraId="74D30EA7">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社旗县2024年农村义务教育阶段寄宿制学校学生人数统计</w:t>
            </w:r>
          </w:p>
        </w:tc>
      </w:tr>
      <w:tr w14:paraId="26F7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66CA">
            <w:pPr>
              <w:keepNext w:val="0"/>
              <w:keepLines w:val="0"/>
              <w:widowControl/>
              <w:suppressLineNumbers w:val="0"/>
              <w:jc w:val="left"/>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CE8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学校名称</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F68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学生人数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A60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00EA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AB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118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郝寨镇初级中学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3D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1EB0">
            <w:pPr>
              <w:jc w:val="left"/>
              <w:rPr>
                <w:rFonts w:hint="eastAsia" w:ascii="仿宋" w:hAnsi="仿宋" w:eastAsia="仿宋" w:cs="仿宋"/>
                <w:i w:val="0"/>
                <w:iCs w:val="0"/>
                <w:color w:val="000000"/>
                <w:sz w:val="24"/>
                <w:szCs w:val="24"/>
                <w:u w:val="none"/>
              </w:rPr>
            </w:pPr>
          </w:p>
        </w:tc>
      </w:tr>
      <w:tr w14:paraId="7069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F8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88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社旗县大冯营镇初级中学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04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ACF0">
            <w:pPr>
              <w:jc w:val="left"/>
              <w:rPr>
                <w:rFonts w:hint="eastAsia" w:ascii="仿宋" w:hAnsi="仿宋" w:eastAsia="仿宋" w:cs="仿宋"/>
                <w:i w:val="0"/>
                <w:iCs w:val="0"/>
                <w:color w:val="000000"/>
                <w:sz w:val="24"/>
                <w:szCs w:val="24"/>
                <w:u w:val="none"/>
              </w:rPr>
            </w:pPr>
          </w:p>
        </w:tc>
      </w:tr>
      <w:tr w14:paraId="64BD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B6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C5B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社旗县晋庄镇初级中学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FA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6653">
            <w:pPr>
              <w:jc w:val="left"/>
              <w:rPr>
                <w:rFonts w:hint="eastAsia" w:ascii="仿宋" w:hAnsi="仿宋" w:eastAsia="仿宋" w:cs="仿宋"/>
                <w:i w:val="0"/>
                <w:iCs w:val="0"/>
                <w:color w:val="000000"/>
                <w:sz w:val="24"/>
                <w:szCs w:val="24"/>
                <w:u w:val="none"/>
              </w:rPr>
            </w:pPr>
          </w:p>
        </w:tc>
      </w:tr>
      <w:tr w14:paraId="79F9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4D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4AB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李店镇第一初级中学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08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46FA">
            <w:pPr>
              <w:jc w:val="left"/>
              <w:rPr>
                <w:rFonts w:hint="eastAsia" w:ascii="仿宋" w:hAnsi="仿宋" w:eastAsia="仿宋" w:cs="仿宋"/>
                <w:i w:val="0"/>
                <w:iCs w:val="0"/>
                <w:color w:val="000000"/>
                <w:sz w:val="24"/>
                <w:szCs w:val="24"/>
                <w:u w:val="none"/>
              </w:rPr>
            </w:pPr>
          </w:p>
        </w:tc>
      </w:tr>
      <w:tr w14:paraId="1162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AA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BAE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社旗县青台初级中学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31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950C">
            <w:pPr>
              <w:jc w:val="left"/>
              <w:rPr>
                <w:rFonts w:hint="eastAsia" w:ascii="仿宋" w:hAnsi="仿宋" w:eastAsia="仿宋" w:cs="仿宋"/>
                <w:i w:val="0"/>
                <w:iCs w:val="0"/>
                <w:color w:val="000000"/>
                <w:sz w:val="24"/>
                <w:szCs w:val="24"/>
                <w:u w:val="none"/>
              </w:rPr>
            </w:pPr>
          </w:p>
        </w:tc>
      </w:tr>
      <w:tr w14:paraId="7109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75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92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社旗县饶良镇丁庄初级中学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BD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D9C9">
            <w:pPr>
              <w:jc w:val="left"/>
              <w:rPr>
                <w:rFonts w:hint="eastAsia" w:ascii="仿宋" w:hAnsi="仿宋" w:eastAsia="仿宋" w:cs="仿宋"/>
                <w:i w:val="0"/>
                <w:iCs w:val="0"/>
                <w:color w:val="000000"/>
                <w:sz w:val="24"/>
                <w:szCs w:val="24"/>
                <w:u w:val="none"/>
              </w:rPr>
            </w:pPr>
          </w:p>
        </w:tc>
      </w:tr>
      <w:tr w14:paraId="75BFC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2E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251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社旗县第四初级中学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A0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65D8">
            <w:pPr>
              <w:jc w:val="left"/>
              <w:rPr>
                <w:rFonts w:hint="eastAsia" w:ascii="仿宋" w:hAnsi="仿宋" w:eastAsia="仿宋" w:cs="仿宋"/>
                <w:i w:val="0"/>
                <w:iCs w:val="0"/>
                <w:color w:val="000000"/>
                <w:sz w:val="24"/>
                <w:szCs w:val="24"/>
                <w:u w:val="none"/>
              </w:rPr>
            </w:pPr>
          </w:p>
        </w:tc>
      </w:tr>
      <w:tr w14:paraId="4840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28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24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社旗县陌陂镇初级中学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A2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8AC7">
            <w:pPr>
              <w:jc w:val="left"/>
              <w:rPr>
                <w:rFonts w:hint="eastAsia" w:ascii="仿宋" w:hAnsi="仿宋" w:eastAsia="仿宋" w:cs="仿宋"/>
                <w:i w:val="0"/>
                <w:iCs w:val="0"/>
                <w:color w:val="000000"/>
                <w:sz w:val="24"/>
                <w:szCs w:val="24"/>
                <w:u w:val="none"/>
              </w:rPr>
            </w:pPr>
          </w:p>
        </w:tc>
      </w:tr>
      <w:tr w14:paraId="07915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D2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0A8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社旗县桥头镇第一初级中学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D6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1EDC">
            <w:pPr>
              <w:jc w:val="left"/>
              <w:rPr>
                <w:rFonts w:hint="eastAsia" w:ascii="仿宋" w:hAnsi="仿宋" w:eastAsia="仿宋" w:cs="仿宋"/>
                <w:i w:val="0"/>
                <w:iCs w:val="0"/>
                <w:color w:val="000000"/>
                <w:sz w:val="24"/>
                <w:szCs w:val="24"/>
                <w:u w:val="none"/>
              </w:rPr>
            </w:pPr>
          </w:p>
        </w:tc>
      </w:tr>
      <w:tr w14:paraId="64B1B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1A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58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饶良镇初级中学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AC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1114">
            <w:pPr>
              <w:jc w:val="left"/>
              <w:rPr>
                <w:rFonts w:hint="eastAsia" w:ascii="仿宋" w:hAnsi="仿宋" w:eastAsia="仿宋" w:cs="仿宋"/>
                <w:i w:val="0"/>
                <w:iCs w:val="0"/>
                <w:color w:val="000000"/>
                <w:sz w:val="24"/>
                <w:szCs w:val="24"/>
                <w:u w:val="none"/>
              </w:rPr>
            </w:pPr>
          </w:p>
        </w:tc>
      </w:tr>
      <w:tr w14:paraId="76AF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1F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442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社旗县太和镇初级中学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63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5625">
            <w:pPr>
              <w:jc w:val="left"/>
              <w:rPr>
                <w:rFonts w:hint="eastAsia" w:ascii="仿宋" w:hAnsi="仿宋" w:eastAsia="仿宋" w:cs="仿宋"/>
                <w:i w:val="0"/>
                <w:iCs w:val="0"/>
                <w:color w:val="000000"/>
                <w:sz w:val="24"/>
                <w:szCs w:val="24"/>
                <w:u w:val="none"/>
              </w:rPr>
            </w:pPr>
          </w:p>
        </w:tc>
      </w:tr>
      <w:tr w14:paraId="6D836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B6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B76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社旗县下洼镇第二初级中学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E8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AA2D">
            <w:pPr>
              <w:jc w:val="left"/>
              <w:rPr>
                <w:rFonts w:hint="eastAsia" w:ascii="仿宋" w:hAnsi="仿宋" w:eastAsia="仿宋" w:cs="仿宋"/>
                <w:i w:val="0"/>
                <w:iCs w:val="0"/>
                <w:color w:val="000000"/>
                <w:sz w:val="24"/>
                <w:szCs w:val="24"/>
                <w:u w:val="none"/>
              </w:rPr>
            </w:pPr>
          </w:p>
        </w:tc>
      </w:tr>
      <w:tr w14:paraId="62B51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E3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1EE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下洼镇第一初级中学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CB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24F7">
            <w:pPr>
              <w:jc w:val="left"/>
              <w:rPr>
                <w:rFonts w:hint="eastAsia" w:ascii="仿宋" w:hAnsi="仿宋" w:eastAsia="仿宋" w:cs="仿宋"/>
                <w:i w:val="0"/>
                <w:iCs w:val="0"/>
                <w:color w:val="000000"/>
                <w:sz w:val="24"/>
                <w:szCs w:val="24"/>
                <w:u w:val="none"/>
              </w:rPr>
            </w:pPr>
          </w:p>
        </w:tc>
      </w:tr>
      <w:tr w14:paraId="5136C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26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E0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朱集镇初级中学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60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D35D">
            <w:pPr>
              <w:jc w:val="left"/>
              <w:rPr>
                <w:rFonts w:hint="eastAsia" w:ascii="仿宋" w:hAnsi="仿宋" w:eastAsia="仿宋" w:cs="仿宋"/>
                <w:i w:val="0"/>
                <w:iCs w:val="0"/>
                <w:color w:val="000000"/>
                <w:sz w:val="24"/>
                <w:szCs w:val="24"/>
                <w:u w:val="none"/>
              </w:rPr>
            </w:pPr>
          </w:p>
        </w:tc>
      </w:tr>
      <w:tr w14:paraId="3A711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EF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524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社旗县朱集镇田庄中学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27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3704">
            <w:pPr>
              <w:jc w:val="left"/>
              <w:rPr>
                <w:rFonts w:hint="eastAsia" w:ascii="仿宋" w:hAnsi="仿宋" w:eastAsia="仿宋" w:cs="仿宋"/>
                <w:i w:val="0"/>
                <w:iCs w:val="0"/>
                <w:color w:val="000000"/>
                <w:sz w:val="24"/>
                <w:szCs w:val="24"/>
                <w:u w:val="none"/>
              </w:rPr>
            </w:pPr>
          </w:p>
        </w:tc>
      </w:tr>
      <w:tr w14:paraId="60103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87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CF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社旗县桥头镇第三初级中学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E3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DC5F">
            <w:pPr>
              <w:jc w:val="left"/>
              <w:rPr>
                <w:rFonts w:hint="eastAsia" w:ascii="仿宋" w:hAnsi="仿宋" w:eastAsia="仿宋" w:cs="仿宋"/>
                <w:i w:val="0"/>
                <w:iCs w:val="0"/>
                <w:color w:val="000000"/>
                <w:sz w:val="24"/>
                <w:szCs w:val="24"/>
                <w:u w:val="none"/>
              </w:rPr>
            </w:pPr>
          </w:p>
        </w:tc>
      </w:tr>
      <w:tr w14:paraId="6AA57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00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384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兴隆镇初级中学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8A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54A5">
            <w:pPr>
              <w:jc w:val="left"/>
              <w:rPr>
                <w:rFonts w:hint="eastAsia" w:ascii="仿宋" w:hAnsi="仿宋" w:eastAsia="仿宋" w:cs="仿宋"/>
                <w:i w:val="0"/>
                <w:iCs w:val="0"/>
                <w:color w:val="000000"/>
                <w:sz w:val="24"/>
                <w:szCs w:val="24"/>
                <w:u w:val="none"/>
              </w:rPr>
            </w:pPr>
          </w:p>
        </w:tc>
      </w:tr>
      <w:tr w14:paraId="1309E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F7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187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社旗县苗店镇初级中学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82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C19C">
            <w:pPr>
              <w:jc w:val="left"/>
              <w:rPr>
                <w:rFonts w:hint="eastAsia" w:ascii="仿宋" w:hAnsi="仿宋" w:eastAsia="仿宋" w:cs="仿宋"/>
                <w:i w:val="0"/>
                <w:iCs w:val="0"/>
                <w:color w:val="000000"/>
                <w:sz w:val="24"/>
                <w:szCs w:val="24"/>
                <w:u w:val="none"/>
              </w:rPr>
            </w:pPr>
          </w:p>
        </w:tc>
      </w:tr>
      <w:tr w14:paraId="7EE1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2A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D35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社旗县唐庄乡初级中学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12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DAF9">
            <w:pPr>
              <w:jc w:val="left"/>
              <w:rPr>
                <w:rFonts w:hint="eastAsia" w:ascii="仿宋" w:hAnsi="仿宋" w:eastAsia="仿宋" w:cs="仿宋"/>
                <w:i w:val="0"/>
                <w:iCs w:val="0"/>
                <w:color w:val="000000"/>
                <w:sz w:val="24"/>
                <w:szCs w:val="24"/>
                <w:u w:val="none"/>
              </w:rPr>
            </w:pPr>
          </w:p>
        </w:tc>
      </w:tr>
      <w:tr w14:paraId="5BFD1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54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A4E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社旗赵河初级中学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9D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3711">
            <w:pPr>
              <w:jc w:val="left"/>
              <w:rPr>
                <w:rFonts w:hint="eastAsia" w:ascii="仿宋" w:hAnsi="仿宋" w:eastAsia="仿宋" w:cs="仿宋"/>
                <w:i w:val="0"/>
                <w:iCs w:val="0"/>
                <w:color w:val="000000"/>
                <w:sz w:val="24"/>
                <w:szCs w:val="24"/>
                <w:u w:val="none"/>
              </w:rPr>
            </w:pPr>
          </w:p>
        </w:tc>
      </w:tr>
      <w:tr w14:paraId="68026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E1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96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社旗县苗店镇寄宿制学校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07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0B62">
            <w:pPr>
              <w:jc w:val="left"/>
              <w:rPr>
                <w:rFonts w:hint="eastAsia" w:ascii="仿宋" w:hAnsi="仿宋" w:eastAsia="仿宋" w:cs="仿宋"/>
                <w:i w:val="0"/>
                <w:iCs w:val="0"/>
                <w:color w:val="000000"/>
                <w:sz w:val="24"/>
                <w:szCs w:val="24"/>
                <w:u w:val="none"/>
              </w:rPr>
            </w:pPr>
          </w:p>
        </w:tc>
      </w:tr>
      <w:tr w14:paraId="26B9C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1E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A0C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社旗县太和镇寄宿学校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D2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F7AF">
            <w:pPr>
              <w:jc w:val="left"/>
              <w:rPr>
                <w:rFonts w:hint="eastAsia" w:ascii="仿宋" w:hAnsi="仿宋" w:eastAsia="仿宋" w:cs="仿宋"/>
                <w:i w:val="0"/>
                <w:iCs w:val="0"/>
                <w:color w:val="000000"/>
                <w:sz w:val="24"/>
                <w:szCs w:val="24"/>
                <w:u w:val="none"/>
              </w:rPr>
            </w:pPr>
          </w:p>
        </w:tc>
      </w:tr>
      <w:tr w14:paraId="2A461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9B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424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社旗县兴隆街寄宿制学校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38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3943">
            <w:pPr>
              <w:jc w:val="left"/>
              <w:rPr>
                <w:rFonts w:hint="eastAsia" w:ascii="仿宋" w:hAnsi="仿宋" w:eastAsia="仿宋" w:cs="仿宋"/>
                <w:i w:val="0"/>
                <w:iCs w:val="0"/>
                <w:color w:val="000000"/>
                <w:sz w:val="24"/>
                <w:szCs w:val="24"/>
                <w:u w:val="none"/>
              </w:rPr>
            </w:pPr>
          </w:p>
        </w:tc>
      </w:tr>
      <w:tr w14:paraId="763E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33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C2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社旗县赵河街道第二中心小学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FB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C3FD">
            <w:pPr>
              <w:jc w:val="left"/>
              <w:rPr>
                <w:rFonts w:hint="eastAsia" w:ascii="仿宋" w:hAnsi="仿宋" w:eastAsia="仿宋" w:cs="仿宋"/>
                <w:i w:val="0"/>
                <w:iCs w:val="0"/>
                <w:color w:val="000000"/>
                <w:sz w:val="24"/>
                <w:szCs w:val="24"/>
                <w:u w:val="none"/>
              </w:rPr>
            </w:pPr>
          </w:p>
        </w:tc>
      </w:tr>
      <w:tr w14:paraId="20B93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25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51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郝寨镇寄宿学校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F4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D4C6">
            <w:pPr>
              <w:jc w:val="left"/>
              <w:rPr>
                <w:rFonts w:hint="eastAsia" w:ascii="仿宋" w:hAnsi="仿宋" w:eastAsia="仿宋" w:cs="仿宋"/>
                <w:i w:val="0"/>
                <w:iCs w:val="0"/>
                <w:color w:val="000000"/>
                <w:sz w:val="24"/>
                <w:szCs w:val="24"/>
                <w:u w:val="none"/>
              </w:rPr>
            </w:pPr>
          </w:p>
        </w:tc>
      </w:tr>
      <w:tr w14:paraId="2E555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60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CC9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社旗县郝寨镇第二中心小学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F6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2A65">
            <w:pPr>
              <w:jc w:val="left"/>
              <w:rPr>
                <w:rFonts w:hint="eastAsia" w:ascii="仿宋" w:hAnsi="仿宋" w:eastAsia="仿宋" w:cs="仿宋"/>
                <w:i w:val="0"/>
                <w:iCs w:val="0"/>
                <w:color w:val="000000"/>
                <w:sz w:val="24"/>
                <w:szCs w:val="24"/>
                <w:u w:val="none"/>
              </w:rPr>
            </w:pPr>
          </w:p>
        </w:tc>
      </w:tr>
      <w:tr w14:paraId="4B248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30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3C9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社旗县大冯营镇中心学校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54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7D94">
            <w:pPr>
              <w:jc w:val="left"/>
              <w:rPr>
                <w:rFonts w:hint="eastAsia" w:ascii="仿宋" w:hAnsi="仿宋" w:eastAsia="仿宋" w:cs="仿宋"/>
                <w:i w:val="0"/>
                <w:iCs w:val="0"/>
                <w:color w:val="000000"/>
                <w:sz w:val="24"/>
                <w:szCs w:val="24"/>
                <w:u w:val="none"/>
              </w:rPr>
            </w:pPr>
          </w:p>
        </w:tc>
      </w:tr>
      <w:tr w14:paraId="118D7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DB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ED8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社旗县饶良镇丁庄中心学校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BF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7CD2">
            <w:pPr>
              <w:jc w:val="left"/>
              <w:rPr>
                <w:rFonts w:hint="eastAsia" w:ascii="仿宋" w:hAnsi="仿宋" w:eastAsia="仿宋" w:cs="仿宋"/>
                <w:i w:val="0"/>
                <w:iCs w:val="0"/>
                <w:color w:val="000000"/>
                <w:sz w:val="24"/>
                <w:szCs w:val="24"/>
                <w:u w:val="none"/>
              </w:rPr>
            </w:pPr>
          </w:p>
        </w:tc>
      </w:tr>
      <w:tr w14:paraId="57270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54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670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社旗县晋庄镇寄宿制学校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DA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65DA">
            <w:pPr>
              <w:jc w:val="left"/>
              <w:rPr>
                <w:rFonts w:hint="eastAsia" w:ascii="仿宋" w:hAnsi="仿宋" w:eastAsia="仿宋" w:cs="仿宋"/>
                <w:i w:val="0"/>
                <w:iCs w:val="0"/>
                <w:color w:val="000000"/>
                <w:sz w:val="24"/>
                <w:szCs w:val="24"/>
                <w:u w:val="none"/>
              </w:rPr>
            </w:pPr>
          </w:p>
        </w:tc>
      </w:tr>
      <w:tr w14:paraId="51750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C2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E0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社旗县李店镇寄宿制学校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D7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6F17">
            <w:pPr>
              <w:jc w:val="left"/>
              <w:rPr>
                <w:rFonts w:hint="eastAsia" w:ascii="仿宋" w:hAnsi="仿宋" w:eastAsia="仿宋" w:cs="仿宋"/>
                <w:i w:val="0"/>
                <w:iCs w:val="0"/>
                <w:color w:val="000000"/>
                <w:sz w:val="24"/>
                <w:szCs w:val="24"/>
                <w:u w:val="none"/>
              </w:rPr>
            </w:pPr>
          </w:p>
        </w:tc>
      </w:tr>
      <w:tr w14:paraId="331A6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58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F5A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社旗县下洼镇寄宿学校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52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191A">
            <w:pPr>
              <w:jc w:val="left"/>
              <w:rPr>
                <w:rFonts w:hint="eastAsia" w:ascii="仿宋" w:hAnsi="仿宋" w:eastAsia="仿宋" w:cs="仿宋"/>
                <w:i w:val="0"/>
                <w:iCs w:val="0"/>
                <w:color w:val="000000"/>
                <w:sz w:val="24"/>
                <w:szCs w:val="24"/>
                <w:u w:val="none"/>
              </w:rPr>
            </w:pPr>
          </w:p>
        </w:tc>
      </w:tr>
      <w:tr w14:paraId="2B3B9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78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79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潘河街道寄宿制学校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A2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DED3">
            <w:pPr>
              <w:jc w:val="left"/>
              <w:rPr>
                <w:rFonts w:hint="eastAsia" w:ascii="仿宋" w:hAnsi="仿宋" w:eastAsia="仿宋" w:cs="仿宋"/>
                <w:i w:val="0"/>
                <w:iCs w:val="0"/>
                <w:color w:val="000000"/>
                <w:sz w:val="24"/>
                <w:szCs w:val="24"/>
                <w:u w:val="none"/>
              </w:rPr>
            </w:pPr>
          </w:p>
        </w:tc>
      </w:tr>
      <w:tr w14:paraId="0A2AE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E4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CB5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社旗县桥头镇第二中心小学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CB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8CCF">
            <w:pPr>
              <w:jc w:val="left"/>
              <w:rPr>
                <w:rFonts w:hint="eastAsia" w:ascii="仿宋" w:hAnsi="仿宋" w:eastAsia="仿宋" w:cs="仿宋"/>
                <w:i w:val="0"/>
                <w:iCs w:val="0"/>
                <w:color w:val="000000"/>
                <w:sz w:val="24"/>
                <w:szCs w:val="24"/>
                <w:u w:val="none"/>
              </w:rPr>
            </w:pPr>
          </w:p>
        </w:tc>
      </w:tr>
      <w:tr w14:paraId="4227E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46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98C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社旗县李店镇冢坡学校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31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F7F1">
            <w:pPr>
              <w:jc w:val="left"/>
              <w:rPr>
                <w:rFonts w:hint="eastAsia" w:ascii="仿宋" w:hAnsi="仿宋" w:eastAsia="仿宋" w:cs="仿宋"/>
                <w:i w:val="0"/>
                <w:iCs w:val="0"/>
                <w:color w:val="000000"/>
                <w:sz w:val="24"/>
                <w:szCs w:val="24"/>
                <w:u w:val="none"/>
              </w:rPr>
            </w:pPr>
          </w:p>
        </w:tc>
      </w:tr>
      <w:tr w14:paraId="4EB79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07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7C0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社旗县饶良镇寄宿制学校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E3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9362">
            <w:pPr>
              <w:jc w:val="left"/>
              <w:rPr>
                <w:rFonts w:hint="eastAsia" w:ascii="仿宋" w:hAnsi="仿宋" w:eastAsia="仿宋" w:cs="仿宋"/>
                <w:i w:val="0"/>
                <w:iCs w:val="0"/>
                <w:color w:val="000000"/>
                <w:sz w:val="24"/>
                <w:szCs w:val="24"/>
                <w:u w:val="none"/>
              </w:rPr>
            </w:pPr>
          </w:p>
        </w:tc>
      </w:tr>
      <w:tr w14:paraId="0F295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58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743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社旗县特殊教育学校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36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7CA6">
            <w:pPr>
              <w:jc w:val="left"/>
              <w:rPr>
                <w:rFonts w:hint="eastAsia" w:ascii="仿宋" w:hAnsi="仿宋" w:eastAsia="仿宋" w:cs="仿宋"/>
                <w:i w:val="0"/>
                <w:iCs w:val="0"/>
                <w:color w:val="000000"/>
                <w:sz w:val="24"/>
                <w:szCs w:val="24"/>
                <w:u w:val="none"/>
              </w:rPr>
            </w:pPr>
          </w:p>
        </w:tc>
      </w:tr>
      <w:tr w14:paraId="1E975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B2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AB6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社旗县唐庄乡苗庄寄宿制学校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E5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A092">
            <w:pPr>
              <w:jc w:val="left"/>
              <w:rPr>
                <w:rFonts w:hint="eastAsia" w:ascii="仿宋" w:hAnsi="仿宋" w:eastAsia="仿宋" w:cs="仿宋"/>
                <w:i w:val="0"/>
                <w:iCs w:val="0"/>
                <w:color w:val="000000"/>
                <w:sz w:val="24"/>
                <w:szCs w:val="24"/>
                <w:u w:val="none"/>
              </w:rPr>
            </w:pPr>
          </w:p>
        </w:tc>
      </w:tr>
      <w:tr w14:paraId="50866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7F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5F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社旗县朱集镇田庄中心校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76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9116">
            <w:pPr>
              <w:jc w:val="left"/>
              <w:rPr>
                <w:rFonts w:hint="eastAsia" w:ascii="仿宋" w:hAnsi="仿宋" w:eastAsia="仿宋" w:cs="仿宋"/>
                <w:i w:val="0"/>
                <w:iCs w:val="0"/>
                <w:color w:val="000000"/>
                <w:sz w:val="24"/>
                <w:szCs w:val="24"/>
                <w:u w:val="none"/>
              </w:rPr>
            </w:pPr>
          </w:p>
        </w:tc>
      </w:tr>
      <w:tr w14:paraId="63C3F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E9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485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社旗县朱集镇寄宿学校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81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A603">
            <w:pPr>
              <w:jc w:val="left"/>
              <w:rPr>
                <w:rFonts w:hint="eastAsia" w:ascii="仿宋" w:hAnsi="仿宋" w:eastAsia="仿宋" w:cs="仿宋"/>
                <w:i w:val="0"/>
                <w:iCs w:val="0"/>
                <w:color w:val="000000"/>
                <w:sz w:val="24"/>
                <w:szCs w:val="24"/>
                <w:u w:val="none"/>
              </w:rPr>
            </w:pPr>
          </w:p>
        </w:tc>
      </w:tr>
      <w:tr w14:paraId="4E78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38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A6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社旗县陌陂镇寄宿制学校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0C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9F5B">
            <w:pPr>
              <w:jc w:val="left"/>
              <w:rPr>
                <w:rFonts w:hint="eastAsia" w:ascii="仿宋" w:hAnsi="仿宋" w:eastAsia="仿宋" w:cs="仿宋"/>
                <w:i w:val="0"/>
                <w:iCs w:val="0"/>
                <w:color w:val="000000"/>
                <w:sz w:val="24"/>
                <w:szCs w:val="24"/>
                <w:u w:val="none"/>
              </w:rPr>
            </w:pPr>
          </w:p>
        </w:tc>
      </w:tr>
      <w:tr w14:paraId="2DAFF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6B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27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郝寨镇德馨学校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82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A307">
            <w:pPr>
              <w:jc w:val="left"/>
              <w:rPr>
                <w:rFonts w:hint="eastAsia" w:ascii="仿宋" w:hAnsi="仿宋" w:eastAsia="仿宋" w:cs="仿宋"/>
                <w:i w:val="0"/>
                <w:iCs w:val="0"/>
                <w:color w:val="000000"/>
                <w:sz w:val="24"/>
                <w:szCs w:val="24"/>
                <w:u w:val="none"/>
              </w:rPr>
            </w:pPr>
          </w:p>
        </w:tc>
      </w:tr>
      <w:tr w14:paraId="50145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DF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5C2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郝寨镇李楼国兴学校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D3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6595">
            <w:pPr>
              <w:jc w:val="left"/>
              <w:rPr>
                <w:rFonts w:hint="eastAsia" w:ascii="仿宋" w:hAnsi="仿宋" w:eastAsia="仿宋" w:cs="仿宋"/>
                <w:i w:val="0"/>
                <w:iCs w:val="0"/>
                <w:color w:val="000000"/>
                <w:sz w:val="24"/>
                <w:szCs w:val="24"/>
                <w:u w:val="none"/>
              </w:rPr>
            </w:pPr>
          </w:p>
        </w:tc>
      </w:tr>
      <w:tr w14:paraId="61AEF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F4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78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社旗县郝寨镇启航学校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1A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5FAB">
            <w:pPr>
              <w:jc w:val="left"/>
              <w:rPr>
                <w:rFonts w:hint="eastAsia" w:ascii="仿宋" w:hAnsi="仿宋" w:eastAsia="仿宋" w:cs="仿宋"/>
                <w:i w:val="0"/>
                <w:iCs w:val="0"/>
                <w:color w:val="000000"/>
                <w:sz w:val="24"/>
                <w:szCs w:val="24"/>
                <w:u w:val="none"/>
              </w:rPr>
            </w:pPr>
          </w:p>
        </w:tc>
      </w:tr>
      <w:tr w14:paraId="31D6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70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F3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郝寨镇育新学校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8C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2854">
            <w:pPr>
              <w:jc w:val="left"/>
              <w:rPr>
                <w:rFonts w:hint="eastAsia" w:ascii="仿宋" w:hAnsi="仿宋" w:eastAsia="仿宋" w:cs="仿宋"/>
                <w:i w:val="0"/>
                <w:iCs w:val="0"/>
                <w:color w:val="000000"/>
                <w:sz w:val="24"/>
                <w:szCs w:val="24"/>
                <w:u w:val="none"/>
              </w:rPr>
            </w:pPr>
          </w:p>
        </w:tc>
      </w:tr>
      <w:tr w14:paraId="1154E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BD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CB1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社旗县桥头镇鼎立学校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4B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5207">
            <w:pPr>
              <w:jc w:val="left"/>
              <w:rPr>
                <w:rFonts w:hint="eastAsia" w:ascii="仿宋" w:hAnsi="仿宋" w:eastAsia="仿宋" w:cs="仿宋"/>
                <w:i w:val="0"/>
                <w:iCs w:val="0"/>
                <w:color w:val="000000"/>
                <w:sz w:val="24"/>
                <w:szCs w:val="24"/>
                <w:u w:val="none"/>
              </w:rPr>
            </w:pPr>
          </w:p>
        </w:tc>
      </w:tr>
      <w:tr w14:paraId="38420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A4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14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社旗县兴隆镇民办兴宇学校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86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593C">
            <w:pPr>
              <w:jc w:val="left"/>
              <w:rPr>
                <w:rFonts w:hint="eastAsia" w:ascii="仿宋" w:hAnsi="仿宋" w:eastAsia="仿宋" w:cs="仿宋"/>
                <w:i w:val="0"/>
                <w:iCs w:val="0"/>
                <w:color w:val="000000"/>
                <w:sz w:val="24"/>
                <w:szCs w:val="24"/>
                <w:u w:val="none"/>
              </w:rPr>
            </w:pPr>
          </w:p>
        </w:tc>
      </w:tr>
      <w:tr w14:paraId="3F294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78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DC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21998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E90C">
            <w:pPr>
              <w:jc w:val="left"/>
              <w:rPr>
                <w:rFonts w:hint="eastAsia" w:ascii="仿宋" w:hAnsi="仿宋" w:eastAsia="仿宋" w:cs="仿宋"/>
                <w:i w:val="0"/>
                <w:iCs w:val="0"/>
                <w:color w:val="000000"/>
                <w:sz w:val="24"/>
                <w:szCs w:val="24"/>
                <w:u w:val="none"/>
              </w:rPr>
            </w:pPr>
          </w:p>
        </w:tc>
      </w:tr>
    </w:tbl>
    <w:p w14:paraId="3B147329">
      <w:pPr>
        <w:spacing w:line="360" w:lineRule="auto"/>
        <w:rPr>
          <w:rFonts w:ascii="宋体" w:cs="宋体"/>
          <w:b/>
          <w:bCs/>
          <w:szCs w:val="21"/>
        </w:rPr>
      </w:pPr>
      <w:r>
        <w:rPr>
          <w:rFonts w:hint="eastAsia" w:ascii="宋体" w:hAnsi="宋体" w:cs="宋体"/>
          <w:szCs w:val="21"/>
        </w:rPr>
        <w:t>备注说明：</w:t>
      </w:r>
      <w:r>
        <w:rPr>
          <w:rFonts w:hint="eastAsia" w:ascii="宋体" w:hAnsi="宋体" w:cs="宋体"/>
          <w:bCs/>
          <w:szCs w:val="21"/>
        </w:rPr>
        <w:t>在经营期间因国家政策变动，与国家政策相违背时，按国家政策标准执行，采购人无需承担相应责任。因学生人数和学生流动情况等因素影响，供应商必须无条件接受采购人的调整。</w:t>
      </w:r>
    </w:p>
    <w:p w14:paraId="0E0F2FE0">
      <w:pPr>
        <w:spacing w:line="360" w:lineRule="auto"/>
        <w:rPr>
          <w:rFonts w:ascii="宋体" w:hAnsi="宋体" w:cs="宋体"/>
          <w:b/>
          <w:szCs w:val="21"/>
        </w:rPr>
      </w:pPr>
      <w:r>
        <w:rPr>
          <w:rFonts w:hint="eastAsia" w:ascii="宋体" w:hAnsi="宋体" w:cs="宋体"/>
          <w:b/>
          <w:szCs w:val="21"/>
        </w:rPr>
        <w:t>（三）采购要求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4"/>
        <w:gridCol w:w="6713"/>
      </w:tblGrid>
      <w:tr w14:paraId="6965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594646A">
            <w:pPr>
              <w:widowControl w:val="0"/>
              <w:spacing w:line="360" w:lineRule="auto"/>
              <w:jc w:val="center"/>
              <w:rPr>
                <w:rFonts w:ascii="宋体" w:hAnsi="宋体" w:cs="宋体"/>
                <w:sz w:val="18"/>
                <w:szCs w:val="21"/>
              </w:rPr>
            </w:pPr>
            <w:r>
              <w:rPr>
                <w:rFonts w:hint="eastAsia" w:ascii="宋体" w:hAnsi="宋体" w:cs="宋体"/>
                <w:sz w:val="18"/>
                <w:szCs w:val="21"/>
              </w:rPr>
              <w:t>序号</w:t>
            </w:r>
          </w:p>
        </w:tc>
        <w:tc>
          <w:tcPr>
            <w:tcW w:w="1134" w:type="dxa"/>
            <w:vAlign w:val="center"/>
          </w:tcPr>
          <w:p w14:paraId="2D5163B7">
            <w:pPr>
              <w:widowControl w:val="0"/>
              <w:spacing w:line="360" w:lineRule="auto"/>
              <w:jc w:val="center"/>
              <w:rPr>
                <w:rFonts w:ascii="宋体" w:hAnsi="宋体" w:cs="宋体"/>
                <w:sz w:val="18"/>
                <w:szCs w:val="21"/>
              </w:rPr>
            </w:pPr>
            <w:r>
              <w:rPr>
                <w:rFonts w:hint="eastAsia" w:ascii="宋体" w:hAnsi="宋体" w:cs="宋体"/>
                <w:sz w:val="18"/>
                <w:szCs w:val="21"/>
              </w:rPr>
              <w:t>采购内容</w:t>
            </w:r>
          </w:p>
        </w:tc>
        <w:tc>
          <w:tcPr>
            <w:tcW w:w="6713" w:type="dxa"/>
          </w:tcPr>
          <w:p w14:paraId="3E17ADE9">
            <w:pPr>
              <w:widowControl w:val="0"/>
              <w:spacing w:line="360" w:lineRule="auto"/>
              <w:rPr>
                <w:rFonts w:ascii="宋体" w:hAnsi="宋体" w:cs="宋体"/>
                <w:sz w:val="18"/>
                <w:szCs w:val="21"/>
              </w:rPr>
            </w:pPr>
            <w:r>
              <w:rPr>
                <w:rFonts w:hint="eastAsia" w:ascii="宋体" w:hAnsi="宋体" w:cs="宋体"/>
                <w:sz w:val="18"/>
                <w:szCs w:val="21"/>
              </w:rPr>
              <w:t>主要技术参数要求</w:t>
            </w:r>
          </w:p>
        </w:tc>
      </w:tr>
      <w:tr w14:paraId="48E5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A54D36F">
            <w:pPr>
              <w:widowControl w:val="0"/>
              <w:spacing w:line="360" w:lineRule="auto"/>
              <w:jc w:val="center"/>
              <w:rPr>
                <w:rFonts w:ascii="宋体" w:hAnsi="宋体" w:cs="宋体"/>
                <w:sz w:val="18"/>
                <w:szCs w:val="21"/>
              </w:rPr>
            </w:pPr>
            <w:r>
              <w:rPr>
                <w:rFonts w:hint="eastAsia" w:ascii="宋体" w:hAnsi="宋体" w:cs="宋体"/>
                <w:sz w:val="18"/>
                <w:szCs w:val="21"/>
              </w:rPr>
              <w:t>1</w:t>
            </w:r>
          </w:p>
        </w:tc>
        <w:tc>
          <w:tcPr>
            <w:tcW w:w="1134" w:type="dxa"/>
            <w:vAlign w:val="center"/>
          </w:tcPr>
          <w:p w14:paraId="08441418">
            <w:pPr>
              <w:widowControl w:val="0"/>
              <w:spacing w:line="360" w:lineRule="auto"/>
              <w:jc w:val="center"/>
              <w:rPr>
                <w:rFonts w:ascii="宋体" w:hAnsi="宋体" w:cs="宋体"/>
                <w:sz w:val="18"/>
                <w:szCs w:val="21"/>
              </w:rPr>
            </w:pPr>
            <w:r>
              <w:rPr>
                <w:rFonts w:hint="eastAsia" w:ascii="宋体" w:hAnsi="宋体" w:cs="宋体"/>
                <w:sz w:val="18"/>
                <w:szCs w:val="21"/>
              </w:rPr>
              <w:t>小麦粉</w:t>
            </w:r>
          </w:p>
        </w:tc>
        <w:tc>
          <w:tcPr>
            <w:tcW w:w="6713" w:type="dxa"/>
          </w:tcPr>
          <w:p w14:paraId="4E558649">
            <w:pPr>
              <w:widowControl w:val="0"/>
              <w:spacing w:line="360" w:lineRule="auto"/>
              <w:rPr>
                <w:rFonts w:ascii="宋体" w:hAnsi="宋体" w:cs="宋体"/>
                <w:sz w:val="18"/>
                <w:szCs w:val="21"/>
              </w:rPr>
            </w:pPr>
            <w:r>
              <w:rPr>
                <w:rFonts w:hint="eastAsia" w:ascii="宋体" w:hAnsi="宋体" w:cs="宋体"/>
                <w:sz w:val="18"/>
                <w:szCs w:val="21"/>
              </w:rPr>
              <w:t>特等一级粉，符合国家GB/T 1355-1986标准要求。（1）所使用小麦粉品牌通过 ISO 9001 质量管理体系认证；通过 ISO14001 环境质量管理体系认证；（2）通过 ISO 22000 食品安全管理体系或 HACCP体系认证。</w:t>
            </w:r>
          </w:p>
        </w:tc>
      </w:tr>
      <w:tr w14:paraId="7061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6C923AF">
            <w:pPr>
              <w:widowControl w:val="0"/>
              <w:spacing w:line="360" w:lineRule="auto"/>
              <w:jc w:val="center"/>
              <w:rPr>
                <w:rFonts w:ascii="宋体" w:hAnsi="宋体" w:cs="宋体"/>
                <w:sz w:val="18"/>
                <w:szCs w:val="21"/>
              </w:rPr>
            </w:pPr>
            <w:r>
              <w:rPr>
                <w:rFonts w:hint="eastAsia" w:ascii="宋体" w:hAnsi="宋体" w:cs="宋体"/>
                <w:sz w:val="18"/>
                <w:szCs w:val="21"/>
              </w:rPr>
              <w:t>2</w:t>
            </w:r>
          </w:p>
        </w:tc>
        <w:tc>
          <w:tcPr>
            <w:tcW w:w="1134" w:type="dxa"/>
            <w:vAlign w:val="center"/>
          </w:tcPr>
          <w:p w14:paraId="67CF7AB1">
            <w:pPr>
              <w:widowControl w:val="0"/>
              <w:spacing w:line="360" w:lineRule="auto"/>
              <w:jc w:val="center"/>
              <w:rPr>
                <w:rFonts w:ascii="宋体" w:hAnsi="宋体" w:cs="宋体"/>
                <w:sz w:val="18"/>
                <w:szCs w:val="21"/>
              </w:rPr>
            </w:pPr>
            <w:r>
              <w:rPr>
                <w:rFonts w:hint="eastAsia" w:ascii="宋体" w:hAnsi="宋体" w:cs="宋体"/>
                <w:sz w:val="18"/>
                <w:szCs w:val="21"/>
              </w:rPr>
              <w:t>大米</w:t>
            </w:r>
          </w:p>
        </w:tc>
        <w:tc>
          <w:tcPr>
            <w:tcW w:w="6713" w:type="dxa"/>
          </w:tcPr>
          <w:p w14:paraId="510FA5B1">
            <w:pPr>
              <w:widowControl w:val="0"/>
              <w:spacing w:line="360" w:lineRule="auto"/>
              <w:rPr>
                <w:rFonts w:ascii="宋体" w:hAnsi="宋体" w:cs="宋体"/>
                <w:sz w:val="18"/>
                <w:szCs w:val="21"/>
              </w:rPr>
            </w:pPr>
            <w:r>
              <w:rPr>
                <w:rFonts w:hint="eastAsia" w:ascii="宋体" w:hAnsi="宋体" w:cs="宋体"/>
                <w:sz w:val="18"/>
                <w:szCs w:val="21"/>
              </w:rPr>
              <w:t>符合GB/T1354标准要求，优质一级大米，有合格证，并有质量检验报告。（1）所使用大米品牌通过 ISO 9001 质量管理体系认证；（2）通过 ISO 22000 食品安全管理体系或 HACCP体系认证。</w:t>
            </w:r>
          </w:p>
        </w:tc>
      </w:tr>
      <w:tr w14:paraId="235F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6170126">
            <w:pPr>
              <w:widowControl w:val="0"/>
              <w:spacing w:line="360" w:lineRule="auto"/>
              <w:jc w:val="center"/>
              <w:rPr>
                <w:rFonts w:ascii="宋体" w:hAnsi="宋体" w:cs="宋体"/>
                <w:sz w:val="18"/>
                <w:szCs w:val="21"/>
              </w:rPr>
            </w:pPr>
            <w:r>
              <w:rPr>
                <w:rFonts w:hint="eastAsia" w:ascii="宋体" w:hAnsi="宋体" w:cs="宋体"/>
                <w:sz w:val="18"/>
                <w:szCs w:val="21"/>
              </w:rPr>
              <w:t>3</w:t>
            </w:r>
          </w:p>
        </w:tc>
        <w:tc>
          <w:tcPr>
            <w:tcW w:w="1134" w:type="dxa"/>
            <w:vAlign w:val="center"/>
          </w:tcPr>
          <w:p w14:paraId="01274663">
            <w:pPr>
              <w:widowControl w:val="0"/>
              <w:spacing w:line="360" w:lineRule="auto"/>
              <w:jc w:val="center"/>
              <w:rPr>
                <w:rFonts w:ascii="宋体" w:hAnsi="宋体" w:cs="宋体"/>
                <w:sz w:val="18"/>
                <w:szCs w:val="21"/>
              </w:rPr>
            </w:pPr>
            <w:r>
              <w:rPr>
                <w:rFonts w:hint="eastAsia" w:ascii="宋体" w:hAnsi="宋体" w:cs="宋体"/>
                <w:sz w:val="18"/>
                <w:szCs w:val="21"/>
              </w:rPr>
              <w:t>食用油</w:t>
            </w:r>
          </w:p>
        </w:tc>
        <w:tc>
          <w:tcPr>
            <w:tcW w:w="6713" w:type="dxa"/>
          </w:tcPr>
          <w:p w14:paraId="72D1AE05">
            <w:pPr>
              <w:widowControl w:val="0"/>
              <w:spacing w:line="360" w:lineRule="auto"/>
              <w:rPr>
                <w:rFonts w:ascii="宋体" w:hAnsi="宋体" w:cs="宋体"/>
                <w:sz w:val="18"/>
                <w:szCs w:val="21"/>
              </w:rPr>
            </w:pPr>
            <w:r>
              <w:rPr>
                <w:rFonts w:hint="eastAsia" w:ascii="宋体" w:hAnsi="宋体" w:cs="宋体"/>
                <w:sz w:val="18"/>
                <w:szCs w:val="21"/>
              </w:rPr>
              <w:t>（1）所使用食用油品牌通过 ISO 9001 质量管理体系；（2）通过 ISO 22000 食品安全管理体系或 HACCP体系认证；（3）通过 ISO14001 环境质量管理体系；（4）通过 （ISO 45001） 职业健康安全管理体系。食用油为非转基因一级大豆油、花生油、菜籽油、芝麻油。</w:t>
            </w:r>
          </w:p>
        </w:tc>
      </w:tr>
      <w:tr w14:paraId="46C1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EC3C095">
            <w:pPr>
              <w:widowControl w:val="0"/>
              <w:spacing w:line="360" w:lineRule="auto"/>
              <w:jc w:val="center"/>
              <w:rPr>
                <w:rFonts w:ascii="宋体" w:hAnsi="宋体" w:cs="宋体"/>
                <w:sz w:val="18"/>
                <w:szCs w:val="21"/>
              </w:rPr>
            </w:pPr>
            <w:r>
              <w:rPr>
                <w:rFonts w:hint="eastAsia" w:ascii="宋体" w:hAnsi="宋体" w:cs="宋体"/>
                <w:sz w:val="18"/>
                <w:szCs w:val="21"/>
              </w:rPr>
              <w:t>5</w:t>
            </w:r>
          </w:p>
        </w:tc>
        <w:tc>
          <w:tcPr>
            <w:tcW w:w="1134" w:type="dxa"/>
            <w:vAlign w:val="center"/>
          </w:tcPr>
          <w:p w14:paraId="60FB4944">
            <w:pPr>
              <w:widowControl w:val="0"/>
              <w:spacing w:line="360" w:lineRule="auto"/>
              <w:jc w:val="center"/>
              <w:rPr>
                <w:rFonts w:ascii="宋体" w:hAnsi="宋体" w:cs="宋体"/>
                <w:sz w:val="18"/>
                <w:szCs w:val="21"/>
              </w:rPr>
            </w:pPr>
            <w:r>
              <w:rPr>
                <w:rFonts w:hint="eastAsia" w:ascii="宋体" w:hAnsi="宋体" w:cs="宋体"/>
                <w:sz w:val="18"/>
                <w:szCs w:val="21"/>
              </w:rPr>
              <w:t>鲜肉类</w:t>
            </w:r>
          </w:p>
        </w:tc>
        <w:tc>
          <w:tcPr>
            <w:tcW w:w="6713" w:type="dxa"/>
          </w:tcPr>
          <w:p w14:paraId="4DF6F2CC">
            <w:pPr>
              <w:widowControl w:val="0"/>
              <w:spacing w:line="360" w:lineRule="auto"/>
              <w:rPr>
                <w:rFonts w:ascii="宋体" w:hAnsi="宋体" w:cs="宋体"/>
                <w:sz w:val="18"/>
                <w:szCs w:val="21"/>
              </w:rPr>
            </w:pPr>
            <w:r>
              <w:rPr>
                <w:rFonts w:hint="eastAsia" w:ascii="宋体" w:hAnsi="宋体" w:cs="宋体"/>
                <w:sz w:val="18"/>
                <w:szCs w:val="21"/>
              </w:rPr>
              <w:t>必须来自定点屠宰企业并提供两章两证，即：有动物检疫验讫印章和动物检验验讫印章、有动物检验检疫合格证明和品质检验合格证明。</w:t>
            </w:r>
          </w:p>
          <w:p w14:paraId="66CA9D62">
            <w:pPr>
              <w:widowControl w:val="0"/>
              <w:spacing w:line="360" w:lineRule="auto"/>
              <w:rPr>
                <w:rFonts w:ascii="宋体" w:hAnsi="宋体" w:cs="宋体"/>
                <w:sz w:val="18"/>
                <w:szCs w:val="21"/>
              </w:rPr>
            </w:pPr>
            <w:r>
              <w:rPr>
                <w:rFonts w:hint="eastAsia" w:ascii="宋体" w:hAnsi="宋体" w:cs="宋体"/>
                <w:sz w:val="18"/>
                <w:szCs w:val="21"/>
              </w:rPr>
              <w:t>猪肉：（1）所使用猪肉的屠宰厂家通过 ISO 9001 质量管理体系；（2）通过 ISO 22000 食品安全管理体系或 HACCP体系认证；（3）通过 ISO14001 环境质量管理体系；（4）通过 （ISO 45001） 职业健康安全管理体系。</w:t>
            </w:r>
          </w:p>
          <w:p w14:paraId="19BD1E87">
            <w:pPr>
              <w:widowControl w:val="0"/>
              <w:spacing w:line="360" w:lineRule="auto"/>
              <w:rPr>
                <w:rFonts w:ascii="宋体" w:hAnsi="宋体" w:cs="宋体"/>
                <w:sz w:val="18"/>
                <w:szCs w:val="21"/>
              </w:rPr>
            </w:pPr>
            <w:r>
              <w:rPr>
                <w:rFonts w:hint="eastAsia" w:ascii="宋体" w:hAnsi="宋体" w:cs="宋体"/>
                <w:sz w:val="18"/>
                <w:szCs w:val="21"/>
              </w:rPr>
              <w:t>鸡肉、牛羊肉：（1）所使用品牌通过 ISO 9001 质量管理体系；（2）通过 ISO 22000 食品安全管理体系或 HACCP体系认</w:t>
            </w:r>
          </w:p>
        </w:tc>
      </w:tr>
      <w:tr w14:paraId="0F1A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D1B84CD">
            <w:pPr>
              <w:widowControl w:val="0"/>
              <w:spacing w:line="360" w:lineRule="auto"/>
              <w:jc w:val="center"/>
              <w:rPr>
                <w:rFonts w:ascii="宋体" w:hAnsi="宋体" w:cs="宋体"/>
                <w:sz w:val="18"/>
                <w:szCs w:val="21"/>
              </w:rPr>
            </w:pPr>
            <w:r>
              <w:rPr>
                <w:rFonts w:hint="eastAsia" w:ascii="宋体" w:hAnsi="宋体" w:cs="宋体"/>
                <w:sz w:val="18"/>
                <w:szCs w:val="21"/>
              </w:rPr>
              <w:t>6</w:t>
            </w:r>
          </w:p>
        </w:tc>
        <w:tc>
          <w:tcPr>
            <w:tcW w:w="1134" w:type="dxa"/>
            <w:vAlign w:val="center"/>
          </w:tcPr>
          <w:p w14:paraId="5A0C5E43">
            <w:pPr>
              <w:widowControl w:val="0"/>
              <w:spacing w:line="360" w:lineRule="auto"/>
              <w:jc w:val="center"/>
              <w:rPr>
                <w:rFonts w:ascii="宋体" w:hAnsi="宋体" w:cs="宋体"/>
                <w:sz w:val="18"/>
                <w:szCs w:val="21"/>
              </w:rPr>
            </w:pPr>
            <w:r>
              <w:rPr>
                <w:rFonts w:hint="eastAsia" w:ascii="宋体" w:hAnsi="宋体" w:cs="宋体"/>
                <w:sz w:val="18"/>
                <w:szCs w:val="21"/>
              </w:rPr>
              <w:t>禽蛋</w:t>
            </w:r>
          </w:p>
        </w:tc>
        <w:tc>
          <w:tcPr>
            <w:tcW w:w="6713" w:type="dxa"/>
          </w:tcPr>
          <w:p w14:paraId="7223D347">
            <w:pPr>
              <w:widowControl w:val="0"/>
              <w:tabs>
                <w:tab w:val="left" w:pos="1343"/>
              </w:tabs>
              <w:spacing w:line="360" w:lineRule="auto"/>
              <w:rPr>
                <w:rFonts w:ascii="宋体" w:hAnsi="宋体" w:cs="宋体"/>
                <w:sz w:val="18"/>
                <w:szCs w:val="21"/>
              </w:rPr>
            </w:pPr>
            <w:r>
              <w:rPr>
                <w:rFonts w:hint="eastAsia" w:ascii="宋体" w:hAnsi="宋体" w:cs="宋体"/>
                <w:sz w:val="18"/>
                <w:szCs w:val="21"/>
              </w:rPr>
              <w:t>新鲜鸡蛋，是无公害产品，质量可靠，蛋皮光滑、干净，无破损；无沙壳、畸形、蛋黄蛋清界限分明；具有产品质量检验合格证</w:t>
            </w:r>
          </w:p>
        </w:tc>
      </w:tr>
      <w:tr w14:paraId="7F72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C8886D3">
            <w:pPr>
              <w:widowControl w:val="0"/>
              <w:spacing w:line="360" w:lineRule="auto"/>
              <w:jc w:val="center"/>
              <w:rPr>
                <w:rFonts w:ascii="宋体" w:hAnsi="宋体" w:cs="宋体"/>
                <w:sz w:val="18"/>
                <w:szCs w:val="21"/>
              </w:rPr>
            </w:pPr>
            <w:r>
              <w:rPr>
                <w:rFonts w:hint="eastAsia" w:ascii="宋体" w:hAnsi="宋体" w:cs="宋体"/>
                <w:sz w:val="18"/>
                <w:szCs w:val="21"/>
              </w:rPr>
              <w:t>7</w:t>
            </w:r>
          </w:p>
        </w:tc>
        <w:tc>
          <w:tcPr>
            <w:tcW w:w="1134" w:type="dxa"/>
            <w:vAlign w:val="center"/>
          </w:tcPr>
          <w:p w14:paraId="2491B35B">
            <w:pPr>
              <w:widowControl w:val="0"/>
              <w:spacing w:line="360" w:lineRule="auto"/>
              <w:jc w:val="center"/>
              <w:rPr>
                <w:rFonts w:ascii="宋体" w:hAnsi="宋体" w:cs="宋体"/>
                <w:sz w:val="18"/>
                <w:szCs w:val="21"/>
              </w:rPr>
            </w:pPr>
            <w:r>
              <w:rPr>
                <w:rFonts w:hint="eastAsia" w:ascii="宋体" w:hAnsi="宋体" w:cs="宋体"/>
                <w:sz w:val="18"/>
                <w:szCs w:val="21"/>
              </w:rPr>
              <w:t>干调类（盐、酱、醋等调料）</w:t>
            </w:r>
          </w:p>
        </w:tc>
        <w:tc>
          <w:tcPr>
            <w:tcW w:w="6713" w:type="dxa"/>
          </w:tcPr>
          <w:p w14:paraId="59D9C822">
            <w:pPr>
              <w:widowControl w:val="0"/>
              <w:spacing w:line="360" w:lineRule="auto"/>
              <w:rPr>
                <w:rFonts w:ascii="宋体" w:hAnsi="宋体" w:cs="宋体"/>
                <w:sz w:val="18"/>
                <w:szCs w:val="21"/>
              </w:rPr>
            </w:pPr>
            <w:r>
              <w:rPr>
                <w:rFonts w:hint="eastAsia" w:ascii="宋体" w:hAnsi="宋体" w:cs="宋体"/>
                <w:sz w:val="18"/>
                <w:szCs w:val="21"/>
              </w:rPr>
              <w:t>必须具有“QS”或“SC”食品质量认证标志，配料必须是符合国家食品安全相关要求的商品</w:t>
            </w:r>
          </w:p>
        </w:tc>
      </w:tr>
      <w:tr w14:paraId="1BD5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81CA1CE">
            <w:pPr>
              <w:widowControl w:val="0"/>
              <w:spacing w:line="360" w:lineRule="auto"/>
              <w:jc w:val="center"/>
              <w:rPr>
                <w:rFonts w:ascii="宋体" w:hAnsi="宋体" w:cs="宋体"/>
                <w:sz w:val="18"/>
                <w:szCs w:val="21"/>
              </w:rPr>
            </w:pPr>
            <w:r>
              <w:rPr>
                <w:rFonts w:hint="eastAsia" w:ascii="宋体" w:hAnsi="宋体" w:cs="宋体"/>
                <w:sz w:val="18"/>
                <w:szCs w:val="21"/>
              </w:rPr>
              <w:t>8</w:t>
            </w:r>
          </w:p>
        </w:tc>
        <w:tc>
          <w:tcPr>
            <w:tcW w:w="1134" w:type="dxa"/>
            <w:vAlign w:val="center"/>
          </w:tcPr>
          <w:p w14:paraId="62EE0078">
            <w:pPr>
              <w:widowControl w:val="0"/>
              <w:spacing w:line="360" w:lineRule="auto"/>
              <w:jc w:val="center"/>
              <w:rPr>
                <w:rFonts w:ascii="宋体" w:hAnsi="宋体" w:cs="宋体"/>
                <w:sz w:val="18"/>
                <w:szCs w:val="21"/>
              </w:rPr>
            </w:pPr>
            <w:r>
              <w:rPr>
                <w:rFonts w:hint="eastAsia" w:ascii="宋体" w:hAnsi="宋体" w:cs="宋体"/>
                <w:sz w:val="18"/>
                <w:szCs w:val="21"/>
              </w:rPr>
              <w:t>蔬菜水果类</w:t>
            </w:r>
          </w:p>
        </w:tc>
        <w:tc>
          <w:tcPr>
            <w:tcW w:w="6713" w:type="dxa"/>
          </w:tcPr>
          <w:p w14:paraId="340DA79B">
            <w:pPr>
              <w:widowControl w:val="0"/>
              <w:spacing w:line="360" w:lineRule="auto"/>
              <w:rPr>
                <w:rFonts w:ascii="宋体" w:hAnsi="宋体" w:cs="宋体"/>
                <w:sz w:val="18"/>
                <w:szCs w:val="21"/>
              </w:rPr>
            </w:pPr>
            <w:r>
              <w:rPr>
                <w:rFonts w:hint="eastAsia" w:ascii="宋体" w:hAnsi="宋体" w:cs="宋体"/>
                <w:sz w:val="18"/>
                <w:szCs w:val="21"/>
              </w:rPr>
              <w:t>新鲜，无农药残留、无重金属超标等，符合国家食品安全标准</w:t>
            </w:r>
          </w:p>
        </w:tc>
      </w:tr>
      <w:tr w14:paraId="3587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719D0B58">
            <w:pPr>
              <w:widowControl w:val="0"/>
              <w:spacing w:line="360" w:lineRule="auto"/>
              <w:rPr>
                <w:rFonts w:ascii="宋体" w:hAnsi="宋体" w:cs="宋体"/>
                <w:sz w:val="18"/>
                <w:szCs w:val="21"/>
              </w:rPr>
            </w:pPr>
            <w:r>
              <w:rPr>
                <w:rFonts w:hint="eastAsia" w:ascii="宋体" w:hAnsi="宋体" w:cs="宋体"/>
                <w:sz w:val="18"/>
                <w:szCs w:val="21"/>
              </w:rPr>
              <w:t>备注说明：</w:t>
            </w:r>
          </w:p>
          <w:p w14:paraId="3F61756D">
            <w:pPr>
              <w:widowControl w:val="0"/>
              <w:spacing w:line="360" w:lineRule="auto"/>
              <w:rPr>
                <w:rFonts w:ascii="宋体" w:hAnsi="宋体" w:cs="宋体"/>
                <w:sz w:val="18"/>
                <w:szCs w:val="21"/>
              </w:rPr>
            </w:pPr>
            <w:r>
              <w:rPr>
                <w:rFonts w:hint="eastAsia" w:ascii="宋体" w:hAnsi="宋体" w:cs="宋体"/>
                <w:sz w:val="18"/>
                <w:szCs w:val="21"/>
              </w:rPr>
              <w:t>1、中标人配送的产品必须符合国家相关强制性规定要求，要求各批次产品需具有生产企业产品质量检验合格证。</w:t>
            </w:r>
          </w:p>
          <w:p w14:paraId="406D118C">
            <w:pPr>
              <w:widowControl w:val="0"/>
              <w:spacing w:line="360" w:lineRule="auto"/>
              <w:rPr>
                <w:rFonts w:ascii="宋体" w:hAnsi="宋体" w:cs="宋体"/>
                <w:sz w:val="18"/>
                <w:szCs w:val="21"/>
              </w:rPr>
            </w:pPr>
            <w:r>
              <w:rPr>
                <w:rFonts w:hint="eastAsia" w:ascii="宋体" w:hAnsi="宋体" w:cs="宋体"/>
                <w:sz w:val="18"/>
                <w:szCs w:val="21"/>
              </w:rPr>
              <w:t>2、招标文件中“项目采购内容及技术要求”部分为满足采购人所需货物的最低要求，如有与某产品的指标或参数描述相同，并非特指，仅为招标货物质量、档次、水平的参照。允许供应商以不低于招标文件要求的档次、技术、性能的货物参与投标，即允许正偏差。</w:t>
            </w:r>
          </w:p>
        </w:tc>
      </w:tr>
    </w:tbl>
    <w:p w14:paraId="4FE0ED5B">
      <w:pPr>
        <w:pStyle w:val="25"/>
        <w:spacing w:line="360" w:lineRule="auto"/>
        <w:jc w:val="left"/>
        <w:rPr>
          <w:rFonts w:ascii="宋体" w:cs="宋体"/>
          <w:sz w:val="21"/>
          <w:szCs w:val="21"/>
        </w:rPr>
      </w:pPr>
      <w:bookmarkStart w:id="46" w:name="_Toc33335633"/>
      <w:r>
        <w:rPr>
          <w:rFonts w:hint="eastAsia" w:ascii="宋体"/>
          <w:sz w:val="21"/>
          <w:szCs w:val="21"/>
        </w:rPr>
        <w:t>（四）</w:t>
      </w:r>
      <w:r>
        <w:rPr>
          <w:rFonts w:hint="eastAsia" w:ascii="宋体" w:cs="宋体"/>
          <w:sz w:val="21"/>
          <w:szCs w:val="21"/>
        </w:rPr>
        <w:t>配送时间及求</w:t>
      </w:r>
    </w:p>
    <w:p w14:paraId="7955B4AE">
      <w:pPr>
        <w:pStyle w:val="25"/>
        <w:spacing w:line="360" w:lineRule="auto"/>
        <w:ind w:firstLine="420" w:firstLineChars="200"/>
        <w:jc w:val="left"/>
        <w:rPr>
          <w:rFonts w:ascii="宋体" w:cs="宋体"/>
          <w:b w:val="0"/>
          <w:sz w:val="21"/>
          <w:szCs w:val="21"/>
        </w:rPr>
      </w:pPr>
      <w:r>
        <w:rPr>
          <w:rFonts w:hint="eastAsia" w:ascii="宋体" w:cs="宋体"/>
          <w:b w:val="0"/>
          <w:sz w:val="21"/>
          <w:szCs w:val="21"/>
        </w:rPr>
        <w:t>供应商对各学校大宗食材原则上一周配送一次，周日下午18时或周一上午9时前配送到校。米、面、粮、油等食材要求用箱式封闭货车配送：肉类、蔬菜、水果等易腐食品要求一日一配送，为保证食材新鲜，要求用冷藏箱式货车配送。生鲜食材每天上午9时配送到校，营养午餐所需食材原则上随生鲜食材每天上午9时配送到校，学校可结合当日上午8：30汇总午餐就餐人数对食材进行微调配送过程中不得影响学校正常教学秩序。</w:t>
      </w:r>
    </w:p>
    <w:p w14:paraId="2504526B">
      <w:pPr>
        <w:pStyle w:val="25"/>
        <w:spacing w:line="360" w:lineRule="auto"/>
        <w:ind w:firstLine="417" w:firstLineChars="199"/>
        <w:jc w:val="left"/>
        <w:rPr>
          <w:rFonts w:ascii="宋体" w:cs="宋体"/>
          <w:b w:val="0"/>
          <w:sz w:val="21"/>
          <w:szCs w:val="21"/>
        </w:rPr>
      </w:pPr>
      <w:r>
        <w:rPr>
          <w:rFonts w:hint="eastAsia" w:ascii="宋体" w:cs="宋体"/>
          <w:b w:val="0"/>
          <w:sz w:val="21"/>
          <w:szCs w:val="21"/>
        </w:rPr>
        <w:t>配送食材所需的交通、储藏等设备、用具，必须保持清洁、卫生，消毒规范有记录，必须使用密封的交通装载工具配送。供应商应知悉并理解所配送食材对运输及时性、储存条件的要求，对于所配送食材千分之三以内的损耗为合理损耗，无需承担责任；超出该部分的损耗且影响食堂正常供应的，供应商应于12小时内重新配送所破损的食材，保障学校日常用餐的正常供应。</w:t>
      </w:r>
    </w:p>
    <w:p w14:paraId="6C332B2C">
      <w:pPr>
        <w:pStyle w:val="25"/>
        <w:spacing w:line="360" w:lineRule="auto"/>
        <w:ind w:firstLine="417" w:firstLineChars="199"/>
        <w:jc w:val="left"/>
        <w:rPr>
          <w:rFonts w:ascii="宋体" w:cs="宋体"/>
          <w:sz w:val="21"/>
          <w:szCs w:val="21"/>
        </w:rPr>
      </w:pPr>
      <w:r>
        <w:rPr>
          <w:rFonts w:hint="eastAsia" w:ascii="宋体" w:cs="宋体"/>
          <w:b w:val="0"/>
          <w:sz w:val="21"/>
          <w:szCs w:val="21"/>
        </w:rPr>
        <w:t>供应商承担向未建食堂的乡镇村级小学配送营养午餐工作，村小营养午餐应按配送要求，采用密闭恒温车运输，加锁贴封条，安装GPS定位系统，在中午11：20前配送至学校。</w:t>
      </w:r>
      <w:bookmarkEnd w:id="46"/>
      <w:bookmarkStart w:id="47" w:name="_Toc350330424"/>
      <w:bookmarkStart w:id="48" w:name="_Toc488906040"/>
      <w:bookmarkStart w:id="49" w:name="_Toc14590"/>
      <w:bookmarkStart w:id="50" w:name="_Toc33335634"/>
      <w:r>
        <w:rPr>
          <w:rFonts w:hint="eastAsia" w:ascii="宋体" w:cs="宋体"/>
          <w:sz w:val="21"/>
          <w:szCs w:val="21"/>
        </w:rPr>
        <w:t>（五）服务内容</w:t>
      </w:r>
      <w:bookmarkEnd w:id="47"/>
      <w:bookmarkEnd w:id="48"/>
      <w:bookmarkEnd w:id="49"/>
      <w:bookmarkEnd w:id="50"/>
    </w:p>
    <w:p w14:paraId="5ADB4428">
      <w:pPr>
        <w:spacing w:line="360" w:lineRule="auto"/>
        <w:ind w:firstLine="422" w:firstLineChars="201"/>
        <w:rPr>
          <w:rFonts w:ascii="宋体" w:cs="宋体"/>
          <w:szCs w:val="21"/>
        </w:rPr>
      </w:pPr>
      <w:r>
        <w:rPr>
          <w:rFonts w:ascii="宋体" w:hAnsi="宋体" w:cs="宋体"/>
          <w:szCs w:val="21"/>
        </w:rPr>
        <w:t xml:space="preserve">1. </w:t>
      </w:r>
      <w:r>
        <w:rPr>
          <w:rFonts w:hint="eastAsia" w:ascii="宋体" w:hAnsi="宋体" w:cs="宋体"/>
          <w:szCs w:val="21"/>
        </w:rPr>
        <w:t>质检条款</w:t>
      </w:r>
    </w:p>
    <w:p w14:paraId="4F5F7EE3">
      <w:pPr>
        <w:spacing w:line="360" w:lineRule="auto"/>
        <w:ind w:firstLine="422" w:firstLineChars="201"/>
        <w:rPr>
          <w:rFonts w:ascii="宋体" w:cs="宋体"/>
          <w:szCs w:val="21"/>
        </w:rPr>
      </w:pPr>
      <w:r>
        <w:rPr>
          <w:rFonts w:hint="eastAsia" w:ascii="宋体" w:hAnsi="宋体" w:cs="宋体"/>
          <w:szCs w:val="21"/>
        </w:rPr>
        <w:t>甲方及委托方对承包方实行监督和管理，并将按照本采购文件和合同的要求对承包方的违规行为进行纪录和处罚。承包方和甲方及委托方应建立固定的监督和管理制度。承包方应每月初对上月的工作提交工作报告，并对在工作中出现的问题及甲方及委托方提出的意见和处罚，做出书面的说明和处理情况报告，及在下月的工作中的改善承诺。</w:t>
      </w:r>
    </w:p>
    <w:p w14:paraId="5CC2BE60">
      <w:pPr>
        <w:spacing w:line="360" w:lineRule="auto"/>
        <w:ind w:firstLine="424" w:firstLineChars="202"/>
        <w:rPr>
          <w:rFonts w:ascii="宋体" w:cs="宋体"/>
          <w:szCs w:val="21"/>
        </w:rPr>
      </w:pPr>
      <w:r>
        <w:rPr>
          <w:rFonts w:ascii="宋体" w:hAnsi="宋体" w:cs="宋体"/>
          <w:szCs w:val="21"/>
        </w:rPr>
        <w:t>2</w:t>
      </w:r>
      <w:r>
        <w:rPr>
          <w:rFonts w:hint="eastAsia" w:ascii="宋体" w:hAnsi="宋体" w:cs="宋体"/>
          <w:szCs w:val="21"/>
        </w:rPr>
        <w:t>．其他要求：</w:t>
      </w:r>
    </w:p>
    <w:p w14:paraId="0A7F9EEE">
      <w:pPr>
        <w:spacing w:line="360" w:lineRule="auto"/>
        <w:ind w:firstLine="422" w:firstLineChars="201"/>
        <w:rPr>
          <w:rFonts w:ascii="宋体" w:hAnsi="宋体" w:cs="宋体"/>
          <w:szCs w:val="21"/>
        </w:rPr>
      </w:pPr>
      <w:r>
        <w:rPr>
          <w:rFonts w:ascii="宋体" w:hAnsi="宋体" w:cs="宋体"/>
          <w:szCs w:val="21"/>
        </w:rPr>
        <w:t xml:space="preserve">2.1 </w:t>
      </w:r>
      <w:r>
        <w:rPr>
          <w:rFonts w:hint="eastAsia" w:ascii="宋体" w:hAnsi="宋体" w:cs="宋体"/>
          <w:szCs w:val="21"/>
        </w:rPr>
        <w:t>承包方在原材料采购中，要保证从正规渠道购进，并经过有关食品检验检疫部门的正规检验合格，必须严格执行国家相关法规。所有食材采购方式和地点必须报县食安办审查相关资质后，到教体局统一备案。其中，肉制品的采购必须实行定点采购，并应提供定点采购的采购点的营业执照、经营许可证、卫生许可证、检验检疫合格证等。蔬菜类材料采购必须从正规市场购入并符合国家有关食品安全方面的规定。各种主食材料（米面等）、辅料、调味品及卫生消毒用品、消耗品等必须从正规厂商或商场购入，指定品牌和采购渠道，并提供产品的品牌和采购点的营业执照、经营许可证、卫生许可证、检验检疫合格证等材料，保证质量、杜绝使用三无产品、假冒伪劣、过期产品。一经发现承包人在经营过程中违反上述采购规定和承诺，将扣除其本月全部费用，及采用其他惩罚措施的权利。</w:t>
      </w:r>
    </w:p>
    <w:p w14:paraId="132AAD84">
      <w:pPr>
        <w:spacing w:line="360" w:lineRule="auto"/>
        <w:ind w:firstLine="422" w:firstLineChars="201"/>
        <w:rPr>
          <w:rFonts w:ascii="宋体" w:cs="宋体"/>
          <w:szCs w:val="21"/>
        </w:rPr>
      </w:pPr>
      <w:r>
        <w:rPr>
          <w:rFonts w:ascii="宋体" w:hAnsi="宋体" w:cs="宋体"/>
          <w:szCs w:val="21"/>
        </w:rPr>
        <w:t xml:space="preserve">2.2 </w:t>
      </w:r>
      <w:r>
        <w:rPr>
          <w:rFonts w:hint="eastAsia" w:ascii="宋体" w:hAnsi="宋体" w:cs="宋体"/>
          <w:szCs w:val="21"/>
        </w:rPr>
        <w:t>承包方的人员应统一着装。</w:t>
      </w:r>
    </w:p>
    <w:p w14:paraId="5D95CEDB">
      <w:pPr>
        <w:pStyle w:val="25"/>
        <w:spacing w:line="360" w:lineRule="auto"/>
        <w:jc w:val="left"/>
        <w:rPr>
          <w:rFonts w:ascii="宋体" w:cs="宋体"/>
          <w:sz w:val="21"/>
          <w:szCs w:val="21"/>
        </w:rPr>
      </w:pPr>
      <w:bookmarkStart w:id="51" w:name="_Toc350330426"/>
      <w:bookmarkStart w:id="52" w:name="_Toc3475"/>
      <w:bookmarkStart w:id="53" w:name="_Toc488906041"/>
      <w:bookmarkStart w:id="54" w:name="_Toc33335636"/>
      <w:r>
        <w:rPr>
          <w:rFonts w:hint="eastAsia" w:ascii="宋体"/>
          <w:sz w:val="21"/>
          <w:szCs w:val="21"/>
        </w:rPr>
        <w:t>（六）</w:t>
      </w:r>
      <w:r>
        <w:rPr>
          <w:rFonts w:hint="eastAsia" w:ascii="宋体" w:hAnsi="宋体" w:cs="宋体"/>
          <w:sz w:val="21"/>
          <w:szCs w:val="21"/>
        </w:rPr>
        <w:t>服务承诺</w:t>
      </w:r>
      <w:bookmarkEnd w:id="51"/>
      <w:bookmarkEnd w:id="52"/>
      <w:bookmarkEnd w:id="53"/>
      <w:bookmarkEnd w:id="54"/>
    </w:p>
    <w:p w14:paraId="71312AF4">
      <w:pPr>
        <w:spacing w:line="360" w:lineRule="auto"/>
        <w:rPr>
          <w:rFonts w:ascii="宋体" w:cs="宋体"/>
          <w:szCs w:val="21"/>
        </w:rPr>
      </w:pPr>
      <w:r>
        <w:rPr>
          <w:rFonts w:hint="eastAsia" w:ascii="宋体" w:hAnsi="宋体" w:cs="宋体"/>
          <w:szCs w:val="21"/>
        </w:rPr>
        <w:t>1、供应商应制定专门的项目负责人与采购人保持联系，随时解决各类问题；</w:t>
      </w:r>
    </w:p>
    <w:p w14:paraId="6AB2EE33">
      <w:pPr>
        <w:spacing w:line="360" w:lineRule="auto"/>
        <w:rPr>
          <w:rFonts w:ascii="宋体" w:cs="宋体"/>
          <w:szCs w:val="21"/>
        </w:rPr>
      </w:pPr>
      <w:r>
        <w:rPr>
          <w:rFonts w:hint="eastAsia" w:ascii="宋体" w:hAnsi="宋体" w:cs="宋体"/>
          <w:szCs w:val="21"/>
        </w:rPr>
        <w:t>2、供应商须对采购文件中提出的服务内容和各项要求做出明确的承诺，说明是否可以达到相应的标准以及如何达到；</w:t>
      </w:r>
    </w:p>
    <w:p w14:paraId="422CEC05">
      <w:pPr>
        <w:pStyle w:val="25"/>
        <w:spacing w:line="360" w:lineRule="auto"/>
        <w:jc w:val="left"/>
        <w:rPr>
          <w:rFonts w:ascii="宋体"/>
          <w:sz w:val="21"/>
          <w:szCs w:val="21"/>
        </w:rPr>
      </w:pPr>
      <w:bookmarkStart w:id="55" w:name="_Toc350330428"/>
      <w:bookmarkStart w:id="56" w:name="_Toc33335638"/>
      <w:bookmarkStart w:id="57" w:name="_Toc488906042"/>
      <w:bookmarkStart w:id="58" w:name="_Toc10440"/>
      <w:r>
        <w:rPr>
          <w:rFonts w:hint="eastAsia" w:ascii="宋体"/>
          <w:sz w:val="21"/>
          <w:szCs w:val="21"/>
        </w:rPr>
        <w:t>（七）其他服务</w:t>
      </w:r>
      <w:bookmarkEnd w:id="55"/>
      <w:bookmarkEnd w:id="56"/>
      <w:bookmarkEnd w:id="57"/>
      <w:bookmarkEnd w:id="58"/>
    </w:p>
    <w:p w14:paraId="1E9D2329">
      <w:pPr>
        <w:spacing w:line="360" w:lineRule="auto"/>
        <w:ind w:firstLine="422" w:firstLineChars="201"/>
        <w:rPr>
          <w:rFonts w:ascii="宋体" w:cs="宋体"/>
          <w:szCs w:val="21"/>
        </w:rPr>
      </w:pPr>
      <w:r>
        <w:rPr>
          <w:rFonts w:hint="eastAsia" w:ascii="宋体" w:hAnsi="宋体" w:cs="宋体"/>
          <w:szCs w:val="21"/>
        </w:rPr>
        <w:t>除采购人提出的各项服务要求外，供应商可根据本公司业务开展情况，说明可提供的其他服务；</w:t>
      </w:r>
    </w:p>
    <w:p w14:paraId="7F6A4BB4">
      <w:pPr>
        <w:pStyle w:val="25"/>
        <w:spacing w:line="360" w:lineRule="auto"/>
        <w:jc w:val="left"/>
        <w:rPr>
          <w:rFonts w:ascii="宋体"/>
          <w:sz w:val="21"/>
          <w:szCs w:val="21"/>
        </w:rPr>
      </w:pPr>
      <w:r>
        <w:rPr>
          <w:rFonts w:hint="eastAsia" w:ascii="宋体"/>
          <w:sz w:val="21"/>
          <w:szCs w:val="21"/>
        </w:rPr>
        <w:t>（八）其它要求：</w:t>
      </w:r>
    </w:p>
    <w:p w14:paraId="6B767CF5">
      <w:pPr>
        <w:widowControl w:val="0"/>
        <w:numPr>
          <w:ilvl w:val="0"/>
          <w:numId w:val="19"/>
        </w:numPr>
        <w:spacing w:line="360" w:lineRule="auto"/>
        <w:rPr>
          <w:rFonts w:ascii="宋体" w:hAnsi="宋体" w:cs="宋体"/>
          <w:bCs/>
          <w:szCs w:val="21"/>
        </w:rPr>
      </w:pPr>
      <w:r>
        <w:rPr>
          <w:rFonts w:hint="eastAsia" w:ascii="宋体" w:hAnsi="宋体" w:cs="宋体"/>
        </w:rPr>
        <w:t>提供配送车辆为封闭的食品专用运输车辆和配送的专用冷藏车辆购置发票或租赁协议和照片，配备封闭式，一般应安装车辆行驶轨迹监控、装卸视频监控等设备，为满足本项目配送需求，配送车辆不少于55辆（食材配送车35辆，成品午餐配送车20辆);</w:t>
      </w:r>
      <w:r>
        <w:rPr>
          <w:rFonts w:hint="eastAsia" w:ascii="宋体" w:hAnsi="宋体" w:cs="宋体"/>
          <w:bCs/>
          <w:szCs w:val="21"/>
        </w:rPr>
        <w:t>具备独立的符合条件的食品处理区域及设施设备,中心城区要建立配送中心，配送中心建设面积需达到6000平方米以上，配套建设不低于600平方米的保鲜库及冷冻库，按要求配备全自动农残检测仪等有关设施设备；</w:t>
      </w:r>
      <w:r>
        <w:rPr>
          <w:rFonts w:hint="eastAsia" w:ascii="宋体" w:hAnsi="宋体" w:cs="宋体"/>
        </w:rPr>
        <w:t>并提供具有履行合同所必需的设备和专业技术能力承诺书（投标时仅需提供承诺函，承诺内容必须包含：若中标在正式配送前10日内经采购人查证不符合相关条件，供应商自愿放弃中标人资格并承担因此给采购人造成的损失等一切责任。格式自拟）；</w:t>
      </w:r>
    </w:p>
    <w:p w14:paraId="022386C7">
      <w:pPr>
        <w:widowControl w:val="0"/>
        <w:spacing w:line="360" w:lineRule="auto"/>
        <w:rPr>
          <w:rFonts w:ascii="宋体" w:cs="宋体"/>
        </w:rPr>
      </w:pPr>
      <w:r>
        <w:rPr>
          <w:rFonts w:hint="eastAsia" w:ascii="宋体" w:hAnsi="宋体" w:cs="宋体"/>
        </w:rPr>
        <w:t>2、供应商需与源头厂家、物流商贸企业、基地（或合作社+基地+农户订单农业产销模式等）等有较为成熟的供应链模式合作。考虑到食材保鲜储存运输及成本因素，中标公司应优先在社旗建设直供生鲜食材基地，同等条件下优先采购本地优质农副产品。所供食材均为非转基因产品，相关标准不得低于国家质量等级要求。（投标时仅需提供承诺函，承诺内容必须包含：若中标在正式配送前10日内经采购人查证不符合相关条件，供应商自愿放弃中标人资格并承担因此给采购人造成的损失等一切责任。格式自拟）</w:t>
      </w:r>
    </w:p>
    <w:p w14:paraId="59F36663">
      <w:pPr>
        <w:widowControl w:val="0"/>
        <w:spacing w:line="360" w:lineRule="auto"/>
        <w:rPr>
          <w:rFonts w:ascii="宋体" w:hAnsi="宋体" w:cs="宋体"/>
        </w:rPr>
      </w:pPr>
      <w:r>
        <w:rPr>
          <w:rFonts w:hint="eastAsia" w:ascii="宋体" w:hAnsi="宋体" w:cs="宋体"/>
        </w:rPr>
        <w:t>3、供应商中标后需实行数字化监管模式，建立满足本项目需求的信息化服务平台（包含采购系统、智能收货系统、财务共管系统），以实现学校食堂食材采购、加工、运输、财务等关键环节全周期、全链条、全过程的可视、可控、可追溯管理。（投标时仅需提供承诺函，承诺内容必须包含：若中标在正式配送前10日内经采购人查证不符合相关条件，供应商自愿放弃中标人资格并承担因此给采购人造成的损失等一切责任。格式自拟）</w:t>
      </w:r>
    </w:p>
    <w:p w14:paraId="7ED8D1E6">
      <w:pPr>
        <w:pStyle w:val="2"/>
      </w:pPr>
      <w:r>
        <w:rPr>
          <w:rFonts w:hint="eastAsia"/>
        </w:rPr>
        <w:t>4</w:t>
      </w:r>
      <w:r>
        <w:rPr>
          <w:rFonts w:hint="eastAsia" w:ascii="宋体" w:hAnsi="宋体" w:eastAsia="宋体" w:cs="宋体"/>
          <w:color w:val="000000"/>
          <w:sz w:val="21"/>
          <w:lang w:val="en-US" w:eastAsia="zh-CN" w:bidi="ar-SA"/>
        </w:rPr>
        <w:t>、供应商所需员工同等条件下优先录用学生家长，员工（管理人员、食材选购人员、品控人员、仓储管理人员、配送人员等）职责体系明晰、管理措施规范。（投标时仅需提供承诺函，承诺内容必须包含：若中标在正式配送前10日内经采购人查证不符合相关条件，供应商自愿放弃中标人资格并承担因此给采购人造成的损失等一切责任。格式自拟）</w:t>
      </w:r>
    </w:p>
    <w:sectPr>
      <w:headerReference r:id="rId10" w:type="first"/>
      <w:footerReference r:id="rId12" w:type="first"/>
      <w:headerReference r:id="rId9" w:type="default"/>
      <w:footerReference r:id="rId11"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font-weight : 400">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930E">
    <w:pPr>
      <w:pStyle w:val="16"/>
      <w:jc w:val="center"/>
    </w:pPr>
    <w:r>
      <w:rPr>
        <w:lang w:val="en-US"/>
      </w:rPr>
      <w:fldChar w:fldCharType="begin"/>
    </w:r>
    <w:r>
      <w:instrText xml:space="preserve">PAGE   \* MERGEFORMAT</w:instrText>
    </w:r>
    <w:r>
      <w:rPr>
        <w:lang w:val="en-US"/>
      </w:rPr>
      <w:fldChar w:fldCharType="separate"/>
    </w:r>
    <w:r>
      <w:rPr>
        <w:lang w:val="zh-CN"/>
      </w:rPr>
      <w:t>61</w:t>
    </w:r>
    <w:r>
      <w:rPr>
        <w:lang w:val="zh-CN"/>
      </w:rPr>
      <w:fldChar w:fldCharType="end"/>
    </w:r>
  </w:p>
  <w:p w14:paraId="4EAD4667">
    <w:pPr>
      <w:pStyle w:val="16"/>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4BD64">
    <w:pPr>
      <w:pStyle w:val="16"/>
      <w:jc w:val="both"/>
    </w:pPr>
    <w:r>
      <w:pict>
        <v:shape id="文本框 7"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8DB04AA">
                <w:pPr>
                  <w:pStyle w:val="16"/>
                </w:pPr>
                <w:r>
                  <w:fldChar w:fldCharType="begin"/>
                </w:r>
                <w:r>
                  <w:instrText xml:space="preserve"> PAGE  \* MERGEFORMAT </w:instrText>
                </w:r>
                <w:r>
                  <w:fldChar w:fldCharType="separate"/>
                </w:r>
                <w:r>
                  <w:t>65</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753C5">
    <w:pPr>
      <w:pStyle w:val="16"/>
      <w:jc w:val="center"/>
    </w:pPr>
    <w:r>
      <w:pict>
        <v:shape id="文本框 8"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26D4109">
                <w:pPr>
                  <w:pStyle w:val="16"/>
                </w:pPr>
                <w:r>
                  <w:fldChar w:fldCharType="begin"/>
                </w:r>
                <w:r>
                  <w:instrText xml:space="preserve"> PAGE  \* MERGEFORMAT </w:instrText>
                </w:r>
                <w:r>
                  <w:fldChar w:fldCharType="separate"/>
                </w:r>
                <w:r>
                  <w:t>61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1960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D3365">
    <w:pPr>
      <w:pStyle w:val="1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2C712">
    <w:pPr>
      <w:pStyle w:val="1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122D0">
    <w:pPr>
      <w:pStyle w:val="18"/>
      <w:pBdr>
        <w:bottom w:val="none" w:color="auto" w:sz="0" w:space="0"/>
      </w:pBdr>
      <w:jc w:val="right"/>
      <w:rPr>
        <w:rFonts w:ascii="宋体"/>
        <w:sz w:val="21"/>
        <w:szCs w:val="21"/>
        <w:u w:val="doub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21532">
    <w:pPr>
      <w:pStyle w:val="18"/>
      <w:pBdr>
        <w:bottom w:val="none" w:color="auto" w:sz="0" w:space="0"/>
      </w:pBdr>
      <w:jc w:val="both"/>
      <w:rPr>
        <w:rFonts w:ascii="宋体"/>
        <w:sz w:val="21"/>
        <w:szCs w:val="21"/>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2798C"/>
    <w:multiLevelType w:val="singleLevel"/>
    <w:tmpl w:val="86F2798C"/>
    <w:lvl w:ilvl="0" w:tentative="0">
      <w:start w:val="1"/>
      <w:numFmt w:val="chineseCounting"/>
      <w:suff w:val="nothing"/>
      <w:lvlText w:val="%1、"/>
      <w:lvlJc w:val="left"/>
      <w:pPr>
        <w:ind w:firstLine="420"/>
      </w:pPr>
      <w:rPr>
        <w:rFonts w:hint="eastAsia" w:cs="Times New Roman"/>
      </w:rPr>
    </w:lvl>
  </w:abstractNum>
  <w:abstractNum w:abstractNumId="1">
    <w:nsid w:val="F76029F5"/>
    <w:multiLevelType w:val="singleLevel"/>
    <w:tmpl w:val="F76029F5"/>
    <w:lvl w:ilvl="0" w:tentative="0">
      <w:start w:val="1"/>
      <w:numFmt w:val="decimal"/>
      <w:suff w:val="nothing"/>
      <w:lvlText w:val="%1、"/>
      <w:lvlJc w:val="left"/>
      <w:rPr>
        <w:rFonts w:cs="Times New Roman"/>
      </w:rPr>
    </w:lvl>
  </w:abstractNum>
  <w:abstractNum w:abstractNumId="2">
    <w:nsid w:val="0E754979"/>
    <w:multiLevelType w:val="multilevel"/>
    <w:tmpl w:val="0E754979"/>
    <w:lvl w:ilvl="0" w:tentative="0">
      <w:start w:val="1"/>
      <w:numFmt w:val="decimal"/>
      <w:lvlText w:val="%1."/>
      <w:lvlJc w:val="left"/>
      <w:pPr>
        <w:tabs>
          <w:tab w:val="left" w:pos="435"/>
        </w:tabs>
        <w:ind w:left="435" w:hanging="435"/>
      </w:pPr>
      <w:rPr>
        <w:rFonts w:hint="default" w:cs="Times New Roman"/>
      </w:rPr>
    </w:lvl>
    <w:lvl w:ilvl="1" w:tentative="0">
      <w:start w:val="1"/>
      <w:numFmt w:val="decimal"/>
      <w:isLgl/>
      <w:lvlText w:val="%1.%2"/>
      <w:lvlJc w:val="left"/>
      <w:pPr>
        <w:tabs>
          <w:tab w:val="left" w:pos="360"/>
        </w:tabs>
        <w:ind w:left="360" w:hanging="360"/>
      </w:pPr>
      <w:rPr>
        <w:rFonts w:hint="eastAsia" w:cs="Times New Roman"/>
        <w:b w:val="0"/>
        <w:color w:val="000000"/>
      </w:rPr>
    </w:lvl>
    <w:lvl w:ilvl="2" w:tentative="0">
      <w:start w:val="1"/>
      <w:numFmt w:val="decimal"/>
      <w:isLgl/>
      <w:lvlText w:val="%1.%2.%3"/>
      <w:lvlJc w:val="left"/>
      <w:pPr>
        <w:tabs>
          <w:tab w:val="left" w:pos="720"/>
        </w:tabs>
        <w:ind w:left="720" w:hanging="720"/>
      </w:pPr>
      <w:rPr>
        <w:rFonts w:hint="eastAsia" w:cs="Times New Roman"/>
      </w:rPr>
    </w:lvl>
    <w:lvl w:ilvl="3" w:tentative="0">
      <w:start w:val="1"/>
      <w:numFmt w:val="decimal"/>
      <w:isLgl/>
      <w:lvlText w:val="%1.%2.%3.%4"/>
      <w:lvlJc w:val="left"/>
      <w:pPr>
        <w:tabs>
          <w:tab w:val="left" w:pos="1080"/>
        </w:tabs>
        <w:ind w:left="1080" w:hanging="1080"/>
      </w:pPr>
      <w:rPr>
        <w:rFonts w:hint="eastAsia" w:cs="Times New Roman"/>
      </w:rPr>
    </w:lvl>
    <w:lvl w:ilvl="4" w:tentative="0">
      <w:start w:val="1"/>
      <w:numFmt w:val="decimal"/>
      <w:isLgl/>
      <w:lvlText w:val="%1.%2.%3.%4.%5"/>
      <w:lvlJc w:val="left"/>
      <w:pPr>
        <w:tabs>
          <w:tab w:val="left" w:pos="1080"/>
        </w:tabs>
        <w:ind w:left="1080" w:hanging="1080"/>
      </w:pPr>
      <w:rPr>
        <w:rFonts w:hint="eastAsia" w:cs="Times New Roman"/>
      </w:rPr>
    </w:lvl>
    <w:lvl w:ilvl="5" w:tentative="0">
      <w:start w:val="1"/>
      <w:numFmt w:val="decimal"/>
      <w:isLgl/>
      <w:lvlText w:val="%1.%2.%3.%4.%5.%6"/>
      <w:lvlJc w:val="left"/>
      <w:pPr>
        <w:tabs>
          <w:tab w:val="left" w:pos="1440"/>
        </w:tabs>
        <w:ind w:left="1440" w:hanging="1440"/>
      </w:pPr>
      <w:rPr>
        <w:rFonts w:hint="eastAsia" w:cs="Times New Roman"/>
      </w:rPr>
    </w:lvl>
    <w:lvl w:ilvl="6" w:tentative="0">
      <w:start w:val="1"/>
      <w:numFmt w:val="decimal"/>
      <w:isLgl/>
      <w:lvlText w:val="%1.%2.%3.%4.%5.%6.%7"/>
      <w:lvlJc w:val="left"/>
      <w:pPr>
        <w:tabs>
          <w:tab w:val="left" w:pos="1440"/>
        </w:tabs>
        <w:ind w:left="1440" w:hanging="1440"/>
      </w:pPr>
      <w:rPr>
        <w:rFonts w:hint="eastAsia" w:cs="Times New Roman"/>
      </w:rPr>
    </w:lvl>
    <w:lvl w:ilvl="7" w:tentative="0">
      <w:start w:val="1"/>
      <w:numFmt w:val="decimal"/>
      <w:isLgl/>
      <w:lvlText w:val="%1.%2.%3.%4.%5.%6.%7.%8"/>
      <w:lvlJc w:val="left"/>
      <w:pPr>
        <w:tabs>
          <w:tab w:val="left" w:pos="1800"/>
        </w:tabs>
        <w:ind w:left="1800" w:hanging="1800"/>
      </w:pPr>
      <w:rPr>
        <w:rFonts w:hint="eastAsia" w:cs="Times New Roman"/>
      </w:rPr>
    </w:lvl>
    <w:lvl w:ilvl="8" w:tentative="0">
      <w:start w:val="1"/>
      <w:numFmt w:val="decimal"/>
      <w:isLgl/>
      <w:lvlText w:val="%1.%2.%3.%4.%5.%6.%7.%8.%9"/>
      <w:lvlJc w:val="left"/>
      <w:pPr>
        <w:tabs>
          <w:tab w:val="left" w:pos="1800"/>
        </w:tabs>
        <w:ind w:left="1800" w:hanging="1800"/>
      </w:pPr>
      <w:rPr>
        <w:rFonts w:hint="eastAsia" w:cs="Times New Roman"/>
      </w:rPr>
    </w:lvl>
  </w:abstractNum>
  <w:abstractNum w:abstractNumId="3">
    <w:nsid w:val="145D7A7F"/>
    <w:multiLevelType w:val="multilevel"/>
    <w:tmpl w:val="145D7A7F"/>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15AB76C1"/>
    <w:multiLevelType w:val="multilevel"/>
    <w:tmpl w:val="15AB76C1"/>
    <w:lvl w:ilvl="0" w:tentative="0">
      <w:start w:val="1"/>
      <w:numFmt w:val="decimal"/>
      <w:lvlText w:val="%1、"/>
      <w:lvlJc w:val="left"/>
      <w:pPr>
        <w:tabs>
          <w:tab w:val="left" w:pos="0"/>
        </w:tabs>
        <w:ind w:left="420" w:hanging="420"/>
      </w:pPr>
      <w:rPr>
        <w:rFonts w:hint="eastAsia" w:cs="Times New Roman"/>
      </w:rPr>
    </w:lvl>
    <w:lvl w:ilvl="1" w:tentative="0">
      <w:start w:val="1"/>
      <w:numFmt w:val="lowerLetter"/>
      <w:lvlText w:val="%2)"/>
      <w:lvlJc w:val="left"/>
      <w:pPr>
        <w:tabs>
          <w:tab w:val="left" w:pos="0"/>
        </w:tabs>
        <w:ind w:left="840" w:hanging="420"/>
      </w:pPr>
      <w:rPr>
        <w:rFonts w:hint="eastAsia" w:cs="Times New Roman"/>
      </w:rPr>
    </w:lvl>
    <w:lvl w:ilvl="2" w:tentative="0">
      <w:start w:val="1"/>
      <w:numFmt w:val="lowerRoman"/>
      <w:lvlText w:val="%3."/>
      <w:lvlJc w:val="right"/>
      <w:pPr>
        <w:tabs>
          <w:tab w:val="left" w:pos="0"/>
        </w:tabs>
        <w:ind w:left="1260" w:hanging="420"/>
      </w:pPr>
      <w:rPr>
        <w:rFonts w:hint="eastAsia" w:cs="Times New Roman"/>
      </w:rPr>
    </w:lvl>
    <w:lvl w:ilvl="3" w:tentative="0">
      <w:start w:val="1"/>
      <w:numFmt w:val="decimal"/>
      <w:suff w:val="space"/>
      <w:lvlText w:val="2.%4"/>
      <w:lvlJc w:val="left"/>
      <w:pPr>
        <w:ind w:left="1680" w:hanging="420"/>
      </w:pPr>
      <w:rPr>
        <w:rFonts w:hint="eastAsia" w:ascii="宋体" w:hAnsi="宋体" w:eastAsia="宋体" w:cs="Times New Roman"/>
        <w:b/>
        <w:sz w:val="24"/>
        <w:szCs w:val="24"/>
      </w:rPr>
    </w:lvl>
    <w:lvl w:ilvl="4" w:tentative="0">
      <w:start w:val="1"/>
      <w:numFmt w:val="lowerLetter"/>
      <w:lvlText w:val="%5)"/>
      <w:lvlJc w:val="left"/>
      <w:pPr>
        <w:tabs>
          <w:tab w:val="left" w:pos="0"/>
        </w:tabs>
        <w:ind w:left="2100" w:hanging="420"/>
      </w:pPr>
      <w:rPr>
        <w:rFonts w:hint="eastAsia" w:cs="Times New Roman"/>
      </w:rPr>
    </w:lvl>
    <w:lvl w:ilvl="5" w:tentative="0">
      <w:start w:val="1"/>
      <w:numFmt w:val="lowerRoman"/>
      <w:lvlText w:val="%6."/>
      <w:lvlJc w:val="right"/>
      <w:pPr>
        <w:tabs>
          <w:tab w:val="left" w:pos="0"/>
        </w:tabs>
        <w:ind w:left="2520" w:hanging="420"/>
      </w:pPr>
      <w:rPr>
        <w:rFonts w:hint="eastAsia" w:cs="Times New Roman"/>
      </w:rPr>
    </w:lvl>
    <w:lvl w:ilvl="6" w:tentative="0">
      <w:start w:val="1"/>
      <w:numFmt w:val="decimal"/>
      <w:lvlText w:val="%7."/>
      <w:lvlJc w:val="left"/>
      <w:pPr>
        <w:tabs>
          <w:tab w:val="left" w:pos="0"/>
        </w:tabs>
        <w:ind w:left="2940" w:hanging="420"/>
      </w:pPr>
      <w:rPr>
        <w:rFonts w:hint="eastAsia" w:cs="Times New Roman"/>
      </w:rPr>
    </w:lvl>
    <w:lvl w:ilvl="7" w:tentative="0">
      <w:start w:val="1"/>
      <w:numFmt w:val="lowerLetter"/>
      <w:lvlText w:val="%8)"/>
      <w:lvlJc w:val="left"/>
      <w:pPr>
        <w:tabs>
          <w:tab w:val="left" w:pos="0"/>
        </w:tabs>
        <w:ind w:left="3360" w:hanging="420"/>
      </w:pPr>
      <w:rPr>
        <w:rFonts w:hint="eastAsia" w:cs="Times New Roman"/>
      </w:rPr>
    </w:lvl>
    <w:lvl w:ilvl="8" w:tentative="0">
      <w:start w:val="1"/>
      <w:numFmt w:val="lowerRoman"/>
      <w:lvlText w:val="%9."/>
      <w:lvlJc w:val="right"/>
      <w:pPr>
        <w:tabs>
          <w:tab w:val="left" w:pos="0"/>
        </w:tabs>
        <w:ind w:left="3780" w:hanging="420"/>
      </w:pPr>
      <w:rPr>
        <w:rFonts w:hint="eastAsia" w:cs="Times New Roman"/>
      </w:rPr>
    </w:lvl>
  </w:abstractNum>
  <w:abstractNum w:abstractNumId="5">
    <w:nsid w:val="21590DA2"/>
    <w:multiLevelType w:val="multilevel"/>
    <w:tmpl w:val="21590DA2"/>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22AC583B"/>
    <w:multiLevelType w:val="multilevel"/>
    <w:tmpl w:val="22AC583B"/>
    <w:lvl w:ilvl="0" w:tentative="0">
      <w:start w:val="3"/>
      <w:numFmt w:val="decimal"/>
      <w:lvlText w:val="%1"/>
      <w:lvlJc w:val="left"/>
      <w:pPr>
        <w:tabs>
          <w:tab w:val="left" w:pos="360"/>
        </w:tabs>
        <w:ind w:left="360" w:hanging="360"/>
      </w:pPr>
      <w:rPr>
        <w:rFonts w:hint="eastAsia" w:hAnsi="宋体" w:cs="Times New Roman"/>
      </w:rPr>
    </w:lvl>
    <w:lvl w:ilvl="1" w:tentative="0">
      <w:start w:val="1"/>
      <w:numFmt w:val="decimal"/>
      <w:lvlText w:val="%1.%2"/>
      <w:lvlJc w:val="left"/>
      <w:pPr>
        <w:tabs>
          <w:tab w:val="left" w:pos="360"/>
        </w:tabs>
        <w:ind w:left="360" w:hanging="360"/>
      </w:pPr>
      <w:rPr>
        <w:rFonts w:hint="eastAsia" w:hAnsi="宋体" w:cs="Times New Roman"/>
        <w:b w:val="0"/>
        <w:color w:val="000000"/>
      </w:rPr>
    </w:lvl>
    <w:lvl w:ilvl="2" w:tentative="0">
      <w:start w:val="1"/>
      <w:numFmt w:val="decimal"/>
      <w:lvlText w:val="%1.%2.%3"/>
      <w:lvlJc w:val="left"/>
      <w:pPr>
        <w:tabs>
          <w:tab w:val="left" w:pos="720"/>
        </w:tabs>
        <w:ind w:left="720" w:hanging="720"/>
      </w:pPr>
      <w:rPr>
        <w:rFonts w:hint="eastAsia" w:hAnsi="宋体" w:cs="Times New Roman"/>
      </w:rPr>
    </w:lvl>
    <w:lvl w:ilvl="3" w:tentative="0">
      <w:start w:val="1"/>
      <w:numFmt w:val="decimal"/>
      <w:lvlText w:val="%1.%2.%3.%4"/>
      <w:lvlJc w:val="left"/>
      <w:pPr>
        <w:tabs>
          <w:tab w:val="left" w:pos="1080"/>
        </w:tabs>
        <w:ind w:left="1080" w:hanging="1080"/>
      </w:pPr>
      <w:rPr>
        <w:rFonts w:hint="eastAsia" w:hAnsi="宋体" w:cs="Times New Roman"/>
      </w:rPr>
    </w:lvl>
    <w:lvl w:ilvl="4" w:tentative="0">
      <w:start w:val="1"/>
      <w:numFmt w:val="decimal"/>
      <w:lvlText w:val="%1.%2.%3.%4.%5"/>
      <w:lvlJc w:val="left"/>
      <w:pPr>
        <w:tabs>
          <w:tab w:val="left" w:pos="1080"/>
        </w:tabs>
        <w:ind w:left="1080" w:hanging="1080"/>
      </w:pPr>
      <w:rPr>
        <w:rFonts w:hint="eastAsia" w:hAnsi="宋体" w:cs="Times New Roman"/>
      </w:rPr>
    </w:lvl>
    <w:lvl w:ilvl="5" w:tentative="0">
      <w:start w:val="1"/>
      <w:numFmt w:val="decimal"/>
      <w:lvlText w:val="%1.%2.%3.%4.%5.%6"/>
      <w:lvlJc w:val="left"/>
      <w:pPr>
        <w:tabs>
          <w:tab w:val="left" w:pos="1440"/>
        </w:tabs>
        <w:ind w:left="1440" w:hanging="1440"/>
      </w:pPr>
      <w:rPr>
        <w:rFonts w:hint="eastAsia" w:hAnsi="宋体" w:cs="Times New Roman"/>
      </w:rPr>
    </w:lvl>
    <w:lvl w:ilvl="6" w:tentative="0">
      <w:start w:val="1"/>
      <w:numFmt w:val="decimal"/>
      <w:lvlText w:val="%1.%2.%3.%4.%5.%6.%7"/>
      <w:lvlJc w:val="left"/>
      <w:pPr>
        <w:tabs>
          <w:tab w:val="left" w:pos="1800"/>
        </w:tabs>
        <w:ind w:left="1800" w:hanging="1800"/>
      </w:pPr>
      <w:rPr>
        <w:rFonts w:hint="eastAsia" w:hAnsi="宋体" w:cs="Times New Roman"/>
      </w:rPr>
    </w:lvl>
    <w:lvl w:ilvl="7" w:tentative="0">
      <w:start w:val="1"/>
      <w:numFmt w:val="decimal"/>
      <w:lvlText w:val="%1.%2.%3.%4.%5.%6.%7.%8"/>
      <w:lvlJc w:val="left"/>
      <w:pPr>
        <w:tabs>
          <w:tab w:val="left" w:pos="1800"/>
        </w:tabs>
        <w:ind w:left="1800" w:hanging="1800"/>
      </w:pPr>
      <w:rPr>
        <w:rFonts w:hint="eastAsia" w:hAnsi="宋体" w:cs="Times New Roman"/>
      </w:rPr>
    </w:lvl>
    <w:lvl w:ilvl="8" w:tentative="0">
      <w:start w:val="1"/>
      <w:numFmt w:val="decimal"/>
      <w:lvlText w:val="%1.%2.%3.%4.%5.%6.%7.%8.%9"/>
      <w:lvlJc w:val="left"/>
      <w:pPr>
        <w:tabs>
          <w:tab w:val="left" w:pos="2160"/>
        </w:tabs>
        <w:ind w:left="2160" w:hanging="2160"/>
      </w:pPr>
      <w:rPr>
        <w:rFonts w:hint="eastAsia" w:hAnsi="宋体" w:cs="Times New Roman"/>
      </w:rPr>
    </w:lvl>
  </w:abstractNum>
  <w:abstractNum w:abstractNumId="7">
    <w:nsid w:val="243A03DD"/>
    <w:multiLevelType w:val="multilevel"/>
    <w:tmpl w:val="243A03DD"/>
    <w:lvl w:ilvl="0" w:tentative="0">
      <w:start w:val="1"/>
      <w:numFmt w:val="chineseCountingThousand"/>
      <w:suff w:val="space"/>
      <w:lvlText w:val="(%1)、"/>
      <w:lvlJc w:val="left"/>
      <w:pPr>
        <w:ind w:left="720" w:hanging="720"/>
      </w:pPr>
      <w:rPr>
        <w:rFonts w:hint="eastAsia" w:cs="Times New Roman"/>
        <w:b/>
        <w:color w:val="000000"/>
      </w:rPr>
    </w:lvl>
    <w:lvl w:ilvl="1" w:tentative="0">
      <w:start w:val="1"/>
      <w:numFmt w:val="decimal"/>
      <w:suff w:val="nothing"/>
      <w:lvlText w:val="%2、"/>
      <w:lvlJc w:val="left"/>
      <w:pPr>
        <w:ind w:left="780" w:hanging="360"/>
      </w:pPr>
      <w:rPr>
        <w:rFonts w:hint="default" w:cs="Times New Roman"/>
        <w:b w:val="0"/>
        <w:color w:val="000000"/>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265D7988"/>
    <w:multiLevelType w:val="multilevel"/>
    <w:tmpl w:val="265D7988"/>
    <w:lvl w:ilvl="0" w:tentative="0">
      <w:start w:val="1"/>
      <w:numFmt w:val="decimal"/>
      <w:lvlText w:val="(%1)"/>
      <w:lvlJc w:val="left"/>
      <w:pPr>
        <w:tabs>
          <w:tab w:val="left" w:pos="1080"/>
        </w:tabs>
        <w:ind w:left="1080" w:hanging="360"/>
      </w:pPr>
      <w:rPr>
        <w:rFonts w:hint="eastAsia" w:cs="Times New Roman"/>
      </w:rPr>
    </w:lvl>
    <w:lvl w:ilvl="1" w:tentative="0">
      <w:start w:val="1"/>
      <w:numFmt w:val="lowerLetter"/>
      <w:lvlText w:val="%2)"/>
      <w:lvlJc w:val="left"/>
      <w:pPr>
        <w:tabs>
          <w:tab w:val="left" w:pos="1560"/>
        </w:tabs>
        <w:ind w:left="1560" w:hanging="420"/>
      </w:pPr>
      <w:rPr>
        <w:rFonts w:cs="Times New Roman"/>
      </w:rPr>
    </w:lvl>
    <w:lvl w:ilvl="2" w:tentative="0">
      <w:start w:val="5"/>
      <w:numFmt w:val="japaneseCounting"/>
      <w:lvlText w:val="第%3章"/>
      <w:lvlJc w:val="left"/>
      <w:pPr>
        <w:tabs>
          <w:tab w:val="left" w:pos="3000"/>
        </w:tabs>
        <w:ind w:left="3000" w:hanging="1440"/>
      </w:pPr>
      <w:rPr>
        <w:rFonts w:hint="default" w:cs="Times New Roman"/>
      </w:rPr>
    </w:lvl>
    <w:lvl w:ilvl="3" w:tentative="0">
      <w:start w:val="1"/>
      <w:numFmt w:val="japaneseCounting"/>
      <w:lvlText w:val="%4、"/>
      <w:lvlJc w:val="left"/>
      <w:pPr>
        <w:tabs>
          <w:tab w:val="left" w:pos="2400"/>
        </w:tabs>
        <w:ind w:left="2400" w:hanging="420"/>
      </w:pPr>
      <w:rPr>
        <w:rFonts w:hint="default" w:cs="Times New Roman"/>
      </w:rPr>
    </w:lvl>
    <w:lvl w:ilvl="4" w:tentative="0">
      <w:start w:val="1"/>
      <w:numFmt w:val="lowerLetter"/>
      <w:lvlText w:val="%5)"/>
      <w:lvlJc w:val="left"/>
      <w:pPr>
        <w:tabs>
          <w:tab w:val="left" w:pos="2820"/>
        </w:tabs>
        <w:ind w:left="2820" w:hanging="420"/>
      </w:pPr>
      <w:rPr>
        <w:rFonts w:cs="Times New Roman"/>
      </w:rPr>
    </w:lvl>
    <w:lvl w:ilvl="5" w:tentative="0">
      <w:start w:val="1"/>
      <w:numFmt w:val="lowerRoman"/>
      <w:lvlText w:val="%6."/>
      <w:lvlJc w:val="right"/>
      <w:pPr>
        <w:tabs>
          <w:tab w:val="left" w:pos="3240"/>
        </w:tabs>
        <w:ind w:left="3240" w:hanging="420"/>
      </w:pPr>
      <w:rPr>
        <w:rFonts w:cs="Times New Roman"/>
      </w:rPr>
    </w:lvl>
    <w:lvl w:ilvl="6" w:tentative="0">
      <w:start w:val="1"/>
      <w:numFmt w:val="decimal"/>
      <w:lvlText w:val="%7."/>
      <w:lvlJc w:val="left"/>
      <w:pPr>
        <w:tabs>
          <w:tab w:val="left" w:pos="3660"/>
        </w:tabs>
        <w:ind w:left="3660" w:hanging="420"/>
      </w:pPr>
      <w:rPr>
        <w:rFonts w:cs="Times New Roman"/>
      </w:rPr>
    </w:lvl>
    <w:lvl w:ilvl="7" w:tentative="0">
      <w:start w:val="1"/>
      <w:numFmt w:val="lowerLetter"/>
      <w:lvlText w:val="%8)"/>
      <w:lvlJc w:val="left"/>
      <w:pPr>
        <w:tabs>
          <w:tab w:val="left" w:pos="4080"/>
        </w:tabs>
        <w:ind w:left="4080" w:hanging="420"/>
      </w:pPr>
      <w:rPr>
        <w:rFonts w:cs="Times New Roman"/>
      </w:rPr>
    </w:lvl>
    <w:lvl w:ilvl="8" w:tentative="0">
      <w:start w:val="1"/>
      <w:numFmt w:val="lowerRoman"/>
      <w:lvlText w:val="%9."/>
      <w:lvlJc w:val="right"/>
      <w:pPr>
        <w:tabs>
          <w:tab w:val="left" w:pos="4500"/>
        </w:tabs>
        <w:ind w:left="4500" w:hanging="420"/>
      </w:pPr>
      <w:rPr>
        <w:rFonts w:cs="Times New Roman"/>
      </w:rPr>
    </w:lvl>
  </w:abstractNum>
  <w:abstractNum w:abstractNumId="9">
    <w:nsid w:val="310555B5"/>
    <w:multiLevelType w:val="singleLevel"/>
    <w:tmpl w:val="310555B5"/>
    <w:lvl w:ilvl="0" w:tentative="0">
      <w:start w:val="1"/>
      <w:numFmt w:val="decimal"/>
      <w:suff w:val="nothing"/>
      <w:lvlText w:val="%1、"/>
      <w:lvlJc w:val="left"/>
      <w:rPr>
        <w:rFonts w:cs="Times New Roman"/>
      </w:rPr>
    </w:lvl>
  </w:abstractNum>
  <w:abstractNum w:abstractNumId="10">
    <w:nsid w:val="32C44695"/>
    <w:multiLevelType w:val="multilevel"/>
    <w:tmpl w:val="32C44695"/>
    <w:lvl w:ilvl="0" w:tentative="0">
      <w:start w:val="4"/>
      <w:numFmt w:val="decimal"/>
      <w:lvlText w:val="%1"/>
      <w:lvlJc w:val="left"/>
      <w:pPr>
        <w:ind w:left="425" w:hanging="425"/>
      </w:pPr>
      <w:rPr>
        <w:rFonts w:hint="eastAsia" w:cs="Times New Roman"/>
      </w:rPr>
    </w:lvl>
    <w:lvl w:ilvl="1" w:tentative="0">
      <w:start w:val="1"/>
      <w:numFmt w:val="decimal"/>
      <w:suff w:val="space"/>
      <w:lvlText w:val="%1.%2"/>
      <w:lvlJc w:val="left"/>
      <w:pPr>
        <w:ind w:left="1134"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11">
    <w:nsid w:val="35EA08CC"/>
    <w:multiLevelType w:val="multilevel"/>
    <w:tmpl w:val="35EA08CC"/>
    <w:lvl w:ilvl="0" w:tentative="0">
      <w:start w:val="1"/>
      <w:numFmt w:val="decimal"/>
      <w:suff w:val="nothing"/>
      <w:lvlText w:val="%1）"/>
      <w:lvlJc w:val="left"/>
      <w:pPr>
        <w:ind w:left="1080" w:hanging="360"/>
      </w:pPr>
      <w:rPr>
        <w:rFonts w:hint="default" w:cs="Times New Roman"/>
        <w:color w:val="auto"/>
      </w:rPr>
    </w:lvl>
    <w:lvl w:ilvl="1" w:tentative="0">
      <w:start w:val="1"/>
      <w:numFmt w:val="lowerLetter"/>
      <w:lvlText w:val="%2)"/>
      <w:lvlJc w:val="left"/>
      <w:pPr>
        <w:ind w:left="1560" w:hanging="420"/>
      </w:pPr>
      <w:rPr>
        <w:rFonts w:cs="Times New Roman"/>
      </w:rPr>
    </w:lvl>
    <w:lvl w:ilvl="2" w:tentative="0">
      <w:start w:val="1"/>
      <w:numFmt w:val="lowerRoman"/>
      <w:lvlText w:val="%3."/>
      <w:lvlJc w:val="right"/>
      <w:pPr>
        <w:ind w:left="1980" w:hanging="420"/>
      </w:pPr>
      <w:rPr>
        <w:rFonts w:cs="Times New Roman"/>
      </w:rPr>
    </w:lvl>
    <w:lvl w:ilvl="3" w:tentative="0">
      <w:start w:val="1"/>
      <w:numFmt w:val="decimal"/>
      <w:lvlText w:val="%4."/>
      <w:lvlJc w:val="left"/>
      <w:pPr>
        <w:ind w:left="2400" w:hanging="420"/>
      </w:pPr>
      <w:rPr>
        <w:rFonts w:cs="Times New Roman"/>
      </w:rPr>
    </w:lvl>
    <w:lvl w:ilvl="4" w:tentative="0">
      <w:start w:val="1"/>
      <w:numFmt w:val="lowerLetter"/>
      <w:lvlText w:val="%5)"/>
      <w:lvlJc w:val="left"/>
      <w:pPr>
        <w:ind w:left="2820" w:hanging="420"/>
      </w:pPr>
      <w:rPr>
        <w:rFonts w:cs="Times New Roman"/>
      </w:rPr>
    </w:lvl>
    <w:lvl w:ilvl="5" w:tentative="0">
      <w:start w:val="1"/>
      <w:numFmt w:val="lowerRoman"/>
      <w:lvlText w:val="%6."/>
      <w:lvlJc w:val="right"/>
      <w:pPr>
        <w:ind w:left="3240" w:hanging="420"/>
      </w:pPr>
      <w:rPr>
        <w:rFonts w:cs="Times New Roman"/>
      </w:rPr>
    </w:lvl>
    <w:lvl w:ilvl="6" w:tentative="0">
      <w:start w:val="1"/>
      <w:numFmt w:val="decimal"/>
      <w:lvlText w:val="%7."/>
      <w:lvlJc w:val="left"/>
      <w:pPr>
        <w:ind w:left="3660" w:hanging="420"/>
      </w:pPr>
      <w:rPr>
        <w:rFonts w:cs="Times New Roman"/>
      </w:rPr>
    </w:lvl>
    <w:lvl w:ilvl="7" w:tentative="0">
      <w:start w:val="1"/>
      <w:numFmt w:val="lowerLetter"/>
      <w:lvlText w:val="%8)"/>
      <w:lvlJc w:val="left"/>
      <w:pPr>
        <w:ind w:left="4080" w:hanging="420"/>
      </w:pPr>
      <w:rPr>
        <w:rFonts w:cs="Times New Roman"/>
      </w:rPr>
    </w:lvl>
    <w:lvl w:ilvl="8" w:tentative="0">
      <w:start w:val="1"/>
      <w:numFmt w:val="lowerRoman"/>
      <w:lvlText w:val="%9."/>
      <w:lvlJc w:val="right"/>
      <w:pPr>
        <w:ind w:left="4500" w:hanging="420"/>
      </w:pPr>
      <w:rPr>
        <w:rFonts w:cs="Times New Roman"/>
      </w:rPr>
    </w:lvl>
  </w:abstractNum>
  <w:abstractNum w:abstractNumId="12">
    <w:nsid w:val="492B33A3"/>
    <w:multiLevelType w:val="multilevel"/>
    <w:tmpl w:val="492B33A3"/>
    <w:lvl w:ilvl="0" w:tentative="0">
      <w:start w:val="2"/>
      <w:numFmt w:val="decimal"/>
      <w:lvlText w:val="%1"/>
      <w:lvlJc w:val="left"/>
      <w:pPr>
        <w:tabs>
          <w:tab w:val="left" w:pos="360"/>
        </w:tabs>
        <w:ind w:left="360" w:hanging="360"/>
      </w:pPr>
      <w:rPr>
        <w:rFonts w:hint="eastAsia" w:cs="Times New Roman"/>
        <w:b w:val="0"/>
      </w:rPr>
    </w:lvl>
    <w:lvl w:ilvl="1" w:tentative="0">
      <w:start w:val="2"/>
      <w:numFmt w:val="decimal"/>
      <w:lvlText w:val="%1.%2"/>
      <w:lvlJc w:val="left"/>
      <w:pPr>
        <w:tabs>
          <w:tab w:val="left" w:pos="720"/>
        </w:tabs>
        <w:ind w:left="720" w:hanging="720"/>
      </w:pPr>
      <w:rPr>
        <w:rFonts w:hint="eastAsia" w:cs="Times New Roman"/>
        <w:b w:val="0"/>
      </w:rPr>
    </w:lvl>
    <w:lvl w:ilvl="2" w:tentative="0">
      <w:start w:val="1"/>
      <w:numFmt w:val="decimal"/>
      <w:lvlText w:val="%1.%2.%3"/>
      <w:lvlJc w:val="left"/>
      <w:pPr>
        <w:tabs>
          <w:tab w:val="left" w:pos="720"/>
        </w:tabs>
        <w:ind w:left="720" w:hanging="720"/>
      </w:pPr>
      <w:rPr>
        <w:rFonts w:hint="eastAsia" w:cs="Times New Roman"/>
        <w:b w:val="0"/>
      </w:rPr>
    </w:lvl>
    <w:lvl w:ilvl="3" w:tentative="0">
      <w:start w:val="1"/>
      <w:numFmt w:val="decimal"/>
      <w:lvlText w:val="%1.%2.%3.%4"/>
      <w:lvlJc w:val="left"/>
      <w:pPr>
        <w:tabs>
          <w:tab w:val="left" w:pos="1080"/>
        </w:tabs>
        <w:ind w:left="1080" w:hanging="1080"/>
      </w:pPr>
      <w:rPr>
        <w:rFonts w:hint="eastAsia" w:cs="Times New Roman"/>
        <w:b w:val="0"/>
      </w:rPr>
    </w:lvl>
    <w:lvl w:ilvl="4" w:tentative="0">
      <w:start w:val="1"/>
      <w:numFmt w:val="decimal"/>
      <w:lvlText w:val="%1.%2.%3.%4.%5"/>
      <w:lvlJc w:val="left"/>
      <w:pPr>
        <w:tabs>
          <w:tab w:val="left" w:pos="1440"/>
        </w:tabs>
        <w:ind w:left="1440" w:hanging="1440"/>
      </w:pPr>
      <w:rPr>
        <w:rFonts w:hint="eastAsia" w:cs="Times New Roman"/>
        <w:b w:val="0"/>
      </w:rPr>
    </w:lvl>
    <w:lvl w:ilvl="5" w:tentative="0">
      <w:start w:val="1"/>
      <w:numFmt w:val="decimal"/>
      <w:lvlText w:val="%1.%2.%3.%4.%5.%6"/>
      <w:lvlJc w:val="left"/>
      <w:pPr>
        <w:tabs>
          <w:tab w:val="left" w:pos="1440"/>
        </w:tabs>
        <w:ind w:left="1440" w:hanging="1440"/>
      </w:pPr>
      <w:rPr>
        <w:rFonts w:hint="eastAsia" w:cs="Times New Roman"/>
        <w:b w:val="0"/>
      </w:rPr>
    </w:lvl>
    <w:lvl w:ilvl="6" w:tentative="0">
      <w:start w:val="1"/>
      <w:numFmt w:val="decimal"/>
      <w:lvlText w:val="%1.%2.%3.%4.%5.%6.%7"/>
      <w:lvlJc w:val="left"/>
      <w:pPr>
        <w:tabs>
          <w:tab w:val="left" w:pos="1800"/>
        </w:tabs>
        <w:ind w:left="1800" w:hanging="1800"/>
      </w:pPr>
      <w:rPr>
        <w:rFonts w:hint="eastAsia" w:cs="Times New Roman"/>
        <w:b w:val="0"/>
      </w:rPr>
    </w:lvl>
    <w:lvl w:ilvl="7" w:tentative="0">
      <w:start w:val="1"/>
      <w:numFmt w:val="decimal"/>
      <w:lvlText w:val="%1.%2.%3.%4.%5.%6.%7.%8"/>
      <w:lvlJc w:val="left"/>
      <w:pPr>
        <w:tabs>
          <w:tab w:val="left" w:pos="2160"/>
        </w:tabs>
        <w:ind w:left="2160" w:hanging="2160"/>
      </w:pPr>
      <w:rPr>
        <w:rFonts w:hint="eastAsia" w:cs="Times New Roman"/>
        <w:b w:val="0"/>
      </w:rPr>
    </w:lvl>
    <w:lvl w:ilvl="8" w:tentative="0">
      <w:start w:val="1"/>
      <w:numFmt w:val="decimal"/>
      <w:lvlText w:val="%1.%2.%3.%4.%5.%6.%7.%8.%9"/>
      <w:lvlJc w:val="left"/>
      <w:pPr>
        <w:tabs>
          <w:tab w:val="left" w:pos="2160"/>
        </w:tabs>
        <w:ind w:left="2160" w:hanging="2160"/>
      </w:pPr>
      <w:rPr>
        <w:rFonts w:hint="eastAsia" w:cs="Times New Roman"/>
        <w:b w:val="0"/>
      </w:rPr>
    </w:lvl>
  </w:abstractNum>
  <w:abstractNum w:abstractNumId="13">
    <w:nsid w:val="5824077B"/>
    <w:multiLevelType w:val="singleLevel"/>
    <w:tmpl w:val="5824077B"/>
    <w:lvl w:ilvl="0" w:tentative="0">
      <w:start w:val="1"/>
      <w:numFmt w:val="decimal"/>
      <w:suff w:val="nothing"/>
      <w:lvlText w:val="%1、"/>
      <w:lvlJc w:val="left"/>
      <w:rPr>
        <w:rFonts w:ascii="宋体" w:hAnsi="宋体" w:eastAsia="宋体" w:cs="宋体"/>
        <w:b w:val="0"/>
      </w:rPr>
    </w:lvl>
  </w:abstractNum>
  <w:abstractNum w:abstractNumId="14">
    <w:nsid w:val="59E70505"/>
    <w:multiLevelType w:val="singleLevel"/>
    <w:tmpl w:val="59E70505"/>
    <w:lvl w:ilvl="0" w:tentative="0">
      <w:start w:val="1"/>
      <w:numFmt w:val="decimal"/>
      <w:suff w:val="nothing"/>
      <w:lvlText w:val="（%1）"/>
      <w:lvlJc w:val="left"/>
      <w:rPr>
        <w:rFonts w:cs="Times New Roman"/>
      </w:rPr>
    </w:lvl>
  </w:abstractNum>
  <w:abstractNum w:abstractNumId="15">
    <w:nsid w:val="59E705D5"/>
    <w:multiLevelType w:val="singleLevel"/>
    <w:tmpl w:val="59E705D5"/>
    <w:lvl w:ilvl="0" w:tentative="0">
      <w:start w:val="1"/>
      <w:numFmt w:val="decimal"/>
      <w:suff w:val="nothing"/>
      <w:lvlText w:val="（%1）"/>
      <w:lvlJc w:val="left"/>
      <w:rPr>
        <w:rFonts w:cs="Times New Roman"/>
      </w:rPr>
    </w:lvl>
  </w:abstractNum>
  <w:abstractNum w:abstractNumId="16">
    <w:nsid w:val="5F2F5246"/>
    <w:multiLevelType w:val="multilevel"/>
    <w:tmpl w:val="5F2F5246"/>
    <w:lvl w:ilvl="0" w:tentative="0">
      <w:start w:val="1"/>
      <w:numFmt w:val="decimal"/>
      <w:lvlText w:val="%1"/>
      <w:lvlJc w:val="center"/>
      <w:pPr>
        <w:ind w:left="420" w:hanging="132"/>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7">
    <w:nsid w:val="5F946DDD"/>
    <w:multiLevelType w:val="multilevel"/>
    <w:tmpl w:val="5F946DDD"/>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8">
    <w:nsid w:val="73F24BF9"/>
    <w:multiLevelType w:val="singleLevel"/>
    <w:tmpl w:val="73F24BF9"/>
    <w:lvl w:ilvl="0" w:tentative="0">
      <w:start w:val="1"/>
      <w:numFmt w:val="decimal"/>
      <w:suff w:val="nothing"/>
      <w:lvlText w:val="（%1）"/>
      <w:lvlJc w:val="left"/>
      <w:rPr>
        <w:rFonts w:cs="Times New Roman"/>
      </w:rPr>
    </w:lvl>
  </w:abstractNum>
  <w:num w:numId="1">
    <w:abstractNumId w:val="16"/>
  </w:num>
  <w:num w:numId="2">
    <w:abstractNumId w:val="13"/>
  </w:num>
  <w:num w:numId="3">
    <w:abstractNumId w:val="7"/>
  </w:num>
  <w:num w:numId="4">
    <w:abstractNumId w:val="0"/>
  </w:num>
  <w:num w:numId="5">
    <w:abstractNumId w:val="2"/>
  </w:num>
  <w:num w:numId="6">
    <w:abstractNumId w:val="12"/>
  </w:num>
  <w:num w:numId="7">
    <w:abstractNumId w:val="11"/>
  </w:num>
  <w:num w:numId="8">
    <w:abstractNumId w:val="6"/>
  </w:num>
  <w:num w:numId="9">
    <w:abstractNumId w:val="14"/>
  </w:num>
  <w:num w:numId="10">
    <w:abstractNumId w:val="15"/>
  </w:num>
  <w:num w:numId="11">
    <w:abstractNumId w:val="18"/>
  </w:num>
  <w:num w:numId="12">
    <w:abstractNumId w:val="8"/>
  </w:num>
  <w:num w:numId="13">
    <w:abstractNumId w:val="5"/>
  </w:num>
  <w:num w:numId="14">
    <w:abstractNumId w:val="1"/>
  </w:num>
  <w:num w:numId="15">
    <w:abstractNumId w:val="4"/>
  </w:num>
  <w:num w:numId="16">
    <w:abstractNumId w:val="10"/>
  </w:num>
  <w:num w:numId="17">
    <w:abstractNumId w:val="3"/>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UzZThkNzdkYTY4MmYxMjAzMDdlNzU3NDlhZDU5YzUifQ=="/>
  </w:docVars>
  <w:rsids>
    <w:rsidRoot w:val="00192330"/>
    <w:rsid w:val="0000053D"/>
    <w:rsid w:val="00022225"/>
    <w:rsid w:val="00022EF0"/>
    <w:rsid w:val="00024FEA"/>
    <w:rsid w:val="0003167A"/>
    <w:rsid w:val="00033BAA"/>
    <w:rsid w:val="0003685D"/>
    <w:rsid w:val="00044DA5"/>
    <w:rsid w:val="000618C1"/>
    <w:rsid w:val="000631E4"/>
    <w:rsid w:val="00066D51"/>
    <w:rsid w:val="00073D93"/>
    <w:rsid w:val="00073FB1"/>
    <w:rsid w:val="00090E85"/>
    <w:rsid w:val="00093037"/>
    <w:rsid w:val="0009430D"/>
    <w:rsid w:val="000A37DD"/>
    <w:rsid w:val="000A4A13"/>
    <w:rsid w:val="000B4802"/>
    <w:rsid w:val="000C0101"/>
    <w:rsid w:val="000C0396"/>
    <w:rsid w:val="000C0884"/>
    <w:rsid w:val="000D4B1F"/>
    <w:rsid w:val="000D6FB2"/>
    <w:rsid w:val="000E1A3F"/>
    <w:rsid w:val="000E41E9"/>
    <w:rsid w:val="000E45F7"/>
    <w:rsid w:val="000E7BA3"/>
    <w:rsid w:val="000F0994"/>
    <w:rsid w:val="000F437E"/>
    <w:rsid w:val="000F5109"/>
    <w:rsid w:val="000F7FA0"/>
    <w:rsid w:val="00112DD3"/>
    <w:rsid w:val="00113AA8"/>
    <w:rsid w:val="001146DE"/>
    <w:rsid w:val="00116929"/>
    <w:rsid w:val="0012113E"/>
    <w:rsid w:val="00124C0C"/>
    <w:rsid w:val="001304B8"/>
    <w:rsid w:val="00131025"/>
    <w:rsid w:val="00134B0F"/>
    <w:rsid w:val="001365FE"/>
    <w:rsid w:val="00144531"/>
    <w:rsid w:val="00146519"/>
    <w:rsid w:val="001521BD"/>
    <w:rsid w:val="00155C73"/>
    <w:rsid w:val="001757C7"/>
    <w:rsid w:val="001857A5"/>
    <w:rsid w:val="00190BB4"/>
    <w:rsid w:val="00192330"/>
    <w:rsid w:val="001971A6"/>
    <w:rsid w:val="001A3392"/>
    <w:rsid w:val="001B3B52"/>
    <w:rsid w:val="001C01B9"/>
    <w:rsid w:val="001C2312"/>
    <w:rsid w:val="001D001D"/>
    <w:rsid w:val="001D182F"/>
    <w:rsid w:val="001D6663"/>
    <w:rsid w:val="001E0EAE"/>
    <w:rsid w:val="001E5148"/>
    <w:rsid w:val="001E58D9"/>
    <w:rsid w:val="001E5B5D"/>
    <w:rsid w:val="001F67CB"/>
    <w:rsid w:val="001F70A3"/>
    <w:rsid w:val="001F75F9"/>
    <w:rsid w:val="001F7692"/>
    <w:rsid w:val="0020326C"/>
    <w:rsid w:val="00207159"/>
    <w:rsid w:val="00210716"/>
    <w:rsid w:val="00212A07"/>
    <w:rsid w:val="002145EB"/>
    <w:rsid w:val="00221371"/>
    <w:rsid w:val="00221CBE"/>
    <w:rsid w:val="0022492C"/>
    <w:rsid w:val="00225D28"/>
    <w:rsid w:val="002322EC"/>
    <w:rsid w:val="002329BD"/>
    <w:rsid w:val="00245214"/>
    <w:rsid w:val="00246218"/>
    <w:rsid w:val="00253C87"/>
    <w:rsid w:val="00264235"/>
    <w:rsid w:val="00276254"/>
    <w:rsid w:val="002813C9"/>
    <w:rsid w:val="00281AA2"/>
    <w:rsid w:val="00281D2B"/>
    <w:rsid w:val="00282968"/>
    <w:rsid w:val="00283926"/>
    <w:rsid w:val="002938D0"/>
    <w:rsid w:val="002A1EDE"/>
    <w:rsid w:val="002A37E4"/>
    <w:rsid w:val="002A4160"/>
    <w:rsid w:val="002A6B05"/>
    <w:rsid w:val="002A71A0"/>
    <w:rsid w:val="002B5D78"/>
    <w:rsid w:val="002C0043"/>
    <w:rsid w:val="002C5189"/>
    <w:rsid w:val="002D0638"/>
    <w:rsid w:val="002D47DB"/>
    <w:rsid w:val="002D4B87"/>
    <w:rsid w:val="002E0C87"/>
    <w:rsid w:val="002E10B9"/>
    <w:rsid w:val="002E6A4A"/>
    <w:rsid w:val="002F4AD1"/>
    <w:rsid w:val="0030202C"/>
    <w:rsid w:val="00305684"/>
    <w:rsid w:val="00305EB8"/>
    <w:rsid w:val="00312305"/>
    <w:rsid w:val="003132E9"/>
    <w:rsid w:val="0031491F"/>
    <w:rsid w:val="00314A85"/>
    <w:rsid w:val="00322B8F"/>
    <w:rsid w:val="00326B16"/>
    <w:rsid w:val="00326CF3"/>
    <w:rsid w:val="00327316"/>
    <w:rsid w:val="00345767"/>
    <w:rsid w:val="003459A0"/>
    <w:rsid w:val="003473A1"/>
    <w:rsid w:val="00347FA0"/>
    <w:rsid w:val="00350C7D"/>
    <w:rsid w:val="00352E26"/>
    <w:rsid w:val="00357707"/>
    <w:rsid w:val="003601DD"/>
    <w:rsid w:val="0036134A"/>
    <w:rsid w:val="00372EE1"/>
    <w:rsid w:val="003750A1"/>
    <w:rsid w:val="00386C3B"/>
    <w:rsid w:val="003902DB"/>
    <w:rsid w:val="00391F48"/>
    <w:rsid w:val="0039471C"/>
    <w:rsid w:val="00396FCC"/>
    <w:rsid w:val="003A362B"/>
    <w:rsid w:val="003B060C"/>
    <w:rsid w:val="003B18E6"/>
    <w:rsid w:val="003B3710"/>
    <w:rsid w:val="003C3600"/>
    <w:rsid w:val="003C7438"/>
    <w:rsid w:val="003D3BD2"/>
    <w:rsid w:val="003D6BED"/>
    <w:rsid w:val="003D7FC1"/>
    <w:rsid w:val="003E0B5F"/>
    <w:rsid w:val="003E1D26"/>
    <w:rsid w:val="003F2B22"/>
    <w:rsid w:val="003F2CA9"/>
    <w:rsid w:val="003F5011"/>
    <w:rsid w:val="003F6933"/>
    <w:rsid w:val="00413D94"/>
    <w:rsid w:val="0042284E"/>
    <w:rsid w:val="00425476"/>
    <w:rsid w:val="004321E0"/>
    <w:rsid w:val="004406E3"/>
    <w:rsid w:val="004428C9"/>
    <w:rsid w:val="00443EE7"/>
    <w:rsid w:val="004440B4"/>
    <w:rsid w:val="00447604"/>
    <w:rsid w:val="0045789C"/>
    <w:rsid w:val="00460987"/>
    <w:rsid w:val="00464CBC"/>
    <w:rsid w:val="004713CA"/>
    <w:rsid w:val="00472DDB"/>
    <w:rsid w:val="0047436A"/>
    <w:rsid w:val="00474E68"/>
    <w:rsid w:val="004826B4"/>
    <w:rsid w:val="0048455E"/>
    <w:rsid w:val="004906BA"/>
    <w:rsid w:val="00494B26"/>
    <w:rsid w:val="00496038"/>
    <w:rsid w:val="004963AE"/>
    <w:rsid w:val="00496474"/>
    <w:rsid w:val="004A102C"/>
    <w:rsid w:val="004A3624"/>
    <w:rsid w:val="004B18D8"/>
    <w:rsid w:val="004B2567"/>
    <w:rsid w:val="004B2DF4"/>
    <w:rsid w:val="004B4A7D"/>
    <w:rsid w:val="004B5989"/>
    <w:rsid w:val="004B7C07"/>
    <w:rsid w:val="004C092D"/>
    <w:rsid w:val="004C313F"/>
    <w:rsid w:val="004C36AA"/>
    <w:rsid w:val="004D5341"/>
    <w:rsid w:val="004E6FED"/>
    <w:rsid w:val="004F55B9"/>
    <w:rsid w:val="00511432"/>
    <w:rsid w:val="00515F03"/>
    <w:rsid w:val="00523CA7"/>
    <w:rsid w:val="005243D9"/>
    <w:rsid w:val="00525781"/>
    <w:rsid w:val="005305B2"/>
    <w:rsid w:val="005354FC"/>
    <w:rsid w:val="00545899"/>
    <w:rsid w:val="00550F87"/>
    <w:rsid w:val="005532C9"/>
    <w:rsid w:val="005554A3"/>
    <w:rsid w:val="00560A70"/>
    <w:rsid w:val="0056141D"/>
    <w:rsid w:val="00572D6F"/>
    <w:rsid w:val="005737FF"/>
    <w:rsid w:val="00575B35"/>
    <w:rsid w:val="00576CCE"/>
    <w:rsid w:val="005809CF"/>
    <w:rsid w:val="00593CF3"/>
    <w:rsid w:val="0059448B"/>
    <w:rsid w:val="005946FA"/>
    <w:rsid w:val="00594BA0"/>
    <w:rsid w:val="00597CE3"/>
    <w:rsid w:val="005B201C"/>
    <w:rsid w:val="005C2692"/>
    <w:rsid w:val="005C5D17"/>
    <w:rsid w:val="005C79C5"/>
    <w:rsid w:val="005D358C"/>
    <w:rsid w:val="005D631A"/>
    <w:rsid w:val="005D71D3"/>
    <w:rsid w:val="005E2B0A"/>
    <w:rsid w:val="005F2613"/>
    <w:rsid w:val="005F3927"/>
    <w:rsid w:val="005F566B"/>
    <w:rsid w:val="00601184"/>
    <w:rsid w:val="006062A6"/>
    <w:rsid w:val="0060648B"/>
    <w:rsid w:val="0060706E"/>
    <w:rsid w:val="00611BCD"/>
    <w:rsid w:val="0061213D"/>
    <w:rsid w:val="0061260A"/>
    <w:rsid w:val="00614FA3"/>
    <w:rsid w:val="00620E2E"/>
    <w:rsid w:val="006369C6"/>
    <w:rsid w:val="00641411"/>
    <w:rsid w:val="006435E1"/>
    <w:rsid w:val="00644D6D"/>
    <w:rsid w:val="00653577"/>
    <w:rsid w:val="00653E73"/>
    <w:rsid w:val="00661592"/>
    <w:rsid w:val="0066392C"/>
    <w:rsid w:val="00665962"/>
    <w:rsid w:val="006802E4"/>
    <w:rsid w:val="00683D8B"/>
    <w:rsid w:val="00686393"/>
    <w:rsid w:val="006900A2"/>
    <w:rsid w:val="0069193F"/>
    <w:rsid w:val="006934D4"/>
    <w:rsid w:val="006941D4"/>
    <w:rsid w:val="006A0A55"/>
    <w:rsid w:val="006B4827"/>
    <w:rsid w:val="006B7744"/>
    <w:rsid w:val="006D5259"/>
    <w:rsid w:val="006E001C"/>
    <w:rsid w:val="006F3BC7"/>
    <w:rsid w:val="006F58B8"/>
    <w:rsid w:val="00700EA1"/>
    <w:rsid w:val="00712076"/>
    <w:rsid w:val="0071303C"/>
    <w:rsid w:val="00716EEB"/>
    <w:rsid w:val="0072106B"/>
    <w:rsid w:val="007223D1"/>
    <w:rsid w:val="0072478E"/>
    <w:rsid w:val="00725D26"/>
    <w:rsid w:val="007322BE"/>
    <w:rsid w:val="00736372"/>
    <w:rsid w:val="00737509"/>
    <w:rsid w:val="00743FBB"/>
    <w:rsid w:val="007475DC"/>
    <w:rsid w:val="00752E9C"/>
    <w:rsid w:val="00752EB6"/>
    <w:rsid w:val="007634D3"/>
    <w:rsid w:val="00763AE2"/>
    <w:rsid w:val="0076495F"/>
    <w:rsid w:val="00771393"/>
    <w:rsid w:val="00774DD5"/>
    <w:rsid w:val="00784C04"/>
    <w:rsid w:val="00786B02"/>
    <w:rsid w:val="00786FCF"/>
    <w:rsid w:val="00796DE9"/>
    <w:rsid w:val="007A078C"/>
    <w:rsid w:val="007A7DAC"/>
    <w:rsid w:val="007B272D"/>
    <w:rsid w:val="007B5929"/>
    <w:rsid w:val="007C0E85"/>
    <w:rsid w:val="007C743D"/>
    <w:rsid w:val="007D4B65"/>
    <w:rsid w:val="007D7F34"/>
    <w:rsid w:val="007E179B"/>
    <w:rsid w:val="007E387F"/>
    <w:rsid w:val="007E56C3"/>
    <w:rsid w:val="007F15EA"/>
    <w:rsid w:val="007F5B91"/>
    <w:rsid w:val="008010EE"/>
    <w:rsid w:val="00805505"/>
    <w:rsid w:val="0081246B"/>
    <w:rsid w:val="00814A61"/>
    <w:rsid w:val="00820951"/>
    <w:rsid w:val="0082758B"/>
    <w:rsid w:val="00832190"/>
    <w:rsid w:val="00833DAA"/>
    <w:rsid w:val="008379A1"/>
    <w:rsid w:val="008426CC"/>
    <w:rsid w:val="00842810"/>
    <w:rsid w:val="00854C8E"/>
    <w:rsid w:val="008552F1"/>
    <w:rsid w:val="00864BCC"/>
    <w:rsid w:val="00866439"/>
    <w:rsid w:val="00871F10"/>
    <w:rsid w:val="00883CAC"/>
    <w:rsid w:val="00883F19"/>
    <w:rsid w:val="00884987"/>
    <w:rsid w:val="0088693B"/>
    <w:rsid w:val="0088719E"/>
    <w:rsid w:val="008947C5"/>
    <w:rsid w:val="008957B5"/>
    <w:rsid w:val="00895BE7"/>
    <w:rsid w:val="008965E8"/>
    <w:rsid w:val="008B39C2"/>
    <w:rsid w:val="008B682A"/>
    <w:rsid w:val="008C0326"/>
    <w:rsid w:val="008C1ED3"/>
    <w:rsid w:val="008C2A4B"/>
    <w:rsid w:val="008D4EE5"/>
    <w:rsid w:val="008D633C"/>
    <w:rsid w:val="008E409B"/>
    <w:rsid w:val="008E4F7F"/>
    <w:rsid w:val="008E6D0F"/>
    <w:rsid w:val="008F0258"/>
    <w:rsid w:val="008F2C49"/>
    <w:rsid w:val="008F3888"/>
    <w:rsid w:val="008F5AF7"/>
    <w:rsid w:val="00901D72"/>
    <w:rsid w:val="00911FFB"/>
    <w:rsid w:val="0092177C"/>
    <w:rsid w:val="0092557E"/>
    <w:rsid w:val="00931D3B"/>
    <w:rsid w:val="00935D0C"/>
    <w:rsid w:val="00937342"/>
    <w:rsid w:val="00943BFD"/>
    <w:rsid w:val="0094437E"/>
    <w:rsid w:val="00944515"/>
    <w:rsid w:val="00950227"/>
    <w:rsid w:val="009573A5"/>
    <w:rsid w:val="00960497"/>
    <w:rsid w:val="00961012"/>
    <w:rsid w:val="00965D6C"/>
    <w:rsid w:val="009708CC"/>
    <w:rsid w:val="00975B44"/>
    <w:rsid w:val="00980D0F"/>
    <w:rsid w:val="009922EB"/>
    <w:rsid w:val="009A153D"/>
    <w:rsid w:val="009A2E10"/>
    <w:rsid w:val="009B6D9F"/>
    <w:rsid w:val="009C0059"/>
    <w:rsid w:val="009D1EF7"/>
    <w:rsid w:val="009D4701"/>
    <w:rsid w:val="009E1E3D"/>
    <w:rsid w:val="009E20FC"/>
    <w:rsid w:val="009F01E1"/>
    <w:rsid w:val="009F0D4E"/>
    <w:rsid w:val="009F2122"/>
    <w:rsid w:val="009F4F8A"/>
    <w:rsid w:val="009F54C3"/>
    <w:rsid w:val="00A003B9"/>
    <w:rsid w:val="00A00F85"/>
    <w:rsid w:val="00A143A1"/>
    <w:rsid w:val="00A14F6D"/>
    <w:rsid w:val="00A1535D"/>
    <w:rsid w:val="00A25038"/>
    <w:rsid w:val="00A30C22"/>
    <w:rsid w:val="00A32B01"/>
    <w:rsid w:val="00A42855"/>
    <w:rsid w:val="00A428D9"/>
    <w:rsid w:val="00A43787"/>
    <w:rsid w:val="00A51C45"/>
    <w:rsid w:val="00A54BBC"/>
    <w:rsid w:val="00A6395C"/>
    <w:rsid w:val="00A64E91"/>
    <w:rsid w:val="00A6747B"/>
    <w:rsid w:val="00A70E4F"/>
    <w:rsid w:val="00A73D8C"/>
    <w:rsid w:val="00A81C35"/>
    <w:rsid w:val="00A83678"/>
    <w:rsid w:val="00A85A60"/>
    <w:rsid w:val="00A9084F"/>
    <w:rsid w:val="00A90C1E"/>
    <w:rsid w:val="00A9404E"/>
    <w:rsid w:val="00A96229"/>
    <w:rsid w:val="00AA2D16"/>
    <w:rsid w:val="00AA4996"/>
    <w:rsid w:val="00AC7301"/>
    <w:rsid w:val="00AD7553"/>
    <w:rsid w:val="00AF6BA2"/>
    <w:rsid w:val="00AF6E7D"/>
    <w:rsid w:val="00AF7DB4"/>
    <w:rsid w:val="00B00351"/>
    <w:rsid w:val="00B03D1A"/>
    <w:rsid w:val="00B043EE"/>
    <w:rsid w:val="00B16CFC"/>
    <w:rsid w:val="00B34C8F"/>
    <w:rsid w:val="00B3658F"/>
    <w:rsid w:val="00B36A2D"/>
    <w:rsid w:val="00B37AC7"/>
    <w:rsid w:val="00B508E6"/>
    <w:rsid w:val="00B555FC"/>
    <w:rsid w:val="00B63CE3"/>
    <w:rsid w:val="00B656D5"/>
    <w:rsid w:val="00B676E8"/>
    <w:rsid w:val="00B753E3"/>
    <w:rsid w:val="00B83366"/>
    <w:rsid w:val="00B87F36"/>
    <w:rsid w:val="00B92507"/>
    <w:rsid w:val="00B936FC"/>
    <w:rsid w:val="00B97ABC"/>
    <w:rsid w:val="00BA64E4"/>
    <w:rsid w:val="00BB2DF1"/>
    <w:rsid w:val="00BC2082"/>
    <w:rsid w:val="00BC218A"/>
    <w:rsid w:val="00BC2951"/>
    <w:rsid w:val="00BC3B2E"/>
    <w:rsid w:val="00BC40AA"/>
    <w:rsid w:val="00BC43CD"/>
    <w:rsid w:val="00BC450D"/>
    <w:rsid w:val="00BC5721"/>
    <w:rsid w:val="00BC755A"/>
    <w:rsid w:val="00BD1267"/>
    <w:rsid w:val="00BD264B"/>
    <w:rsid w:val="00BD4ED8"/>
    <w:rsid w:val="00BD7E7B"/>
    <w:rsid w:val="00BE1C38"/>
    <w:rsid w:val="00BE2DC8"/>
    <w:rsid w:val="00BE3034"/>
    <w:rsid w:val="00BE799F"/>
    <w:rsid w:val="00BF3D2D"/>
    <w:rsid w:val="00BF549D"/>
    <w:rsid w:val="00C01E60"/>
    <w:rsid w:val="00C04CFE"/>
    <w:rsid w:val="00C07034"/>
    <w:rsid w:val="00C1177A"/>
    <w:rsid w:val="00C33C95"/>
    <w:rsid w:val="00C374FE"/>
    <w:rsid w:val="00C40211"/>
    <w:rsid w:val="00C4552A"/>
    <w:rsid w:val="00C55620"/>
    <w:rsid w:val="00C55FBC"/>
    <w:rsid w:val="00C60674"/>
    <w:rsid w:val="00C66AFF"/>
    <w:rsid w:val="00C7289B"/>
    <w:rsid w:val="00C76E83"/>
    <w:rsid w:val="00C77CED"/>
    <w:rsid w:val="00C84029"/>
    <w:rsid w:val="00C90BA8"/>
    <w:rsid w:val="00C920D6"/>
    <w:rsid w:val="00C925B0"/>
    <w:rsid w:val="00C9559F"/>
    <w:rsid w:val="00C9794B"/>
    <w:rsid w:val="00CA06A4"/>
    <w:rsid w:val="00CA1764"/>
    <w:rsid w:val="00CA2F41"/>
    <w:rsid w:val="00CA7458"/>
    <w:rsid w:val="00CB1541"/>
    <w:rsid w:val="00CB277F"/>
    <w:rsid w:val="00CB5ADA"/>
    <w:rsid w:val="00CB6A50"/>
    <w:rsid w:val="00CC78BE"/>
    <w:rsid w:val="00CD353D"/>
    <w:rsid w:val="00CD42D0"/>
    <w:rsid w:val="00CE0F1F"/>
    <w:rsid w:val="00CE3102"/>
    <w:rsid w:val="00CE473B"/>
    <w:rsid w:val="00CE5984"/>
    <w:rsid w:val="00CF098E"/>
    <w:rsid w:val="00CF54C2"/>
    <w:rsid w:val="00CF6016"/>
    <w:rsid w:val="00D051EA"/>
    <w:rsid w:val="00D1227A"/>
    <w:rsid w:val="00D15DD3"/>
    <w:rsid w:val="00D161A6"/>
    <w:rsid w:val="00D24D0B"/>
    <w:rsid w:val="00D2689D"/>
    <w:rsid w:val="00D31C57"/>
    <w:rsid w:val="00D40D82"/>
    <w:rsid w:val="00D41D97"/>
    <w:rsid w:val="00D44197"/>
    <w:rsid w:val="00D4699B"/>
    <w:rsid w:val="00D5515B"/>
    <w:rsid w:val="00D56A54"/>
    <w:rsid w:val="00D62A8D"/>
    <w:rsid w:val="00D75D13"/>
    <w:rsid w:val="00D76D11"/>
    <w:rsid w:val="00D76FC8"/>
    <w:rsid w:val="00D82879"/>
    <w:rsid w:val="00D83329"/>
    <w:rsid w:val="00D9001B"/>
    <w:rsid w:val="00D94429"/>
    <w:rsid w:val="00D946E5"/>
    <w:rsid w:val="00DA4491"/>
    <w:rsid w:val="00DA7EC9"/>
    <w:rsid w:val="00DC3207"/>
    <w:rsid w:val="00DC5FE4"/>
    <w:rsid w:val="00DC6070"/>
    <w:rsid w:val="00DD1D55"/>
    <w:rsid w:val="00DE2F72"/>
    <w:rsid w:val="00DE41BA"/>
    <w:rsid w:val="00DF0A61"/>
    <w:rsid w:val="00DF76A9"/>
    <w:rsid w:val="00DF793A"/>
    <w:rsid w:val="00E001BD"/>
    <w:rsid w:val="00E05B9F"/>
    <w:rsid w:val="00E149BC"/>
    <w:rsid w:val="00E215FE"/>
    <w:rsid w:val="00E2233F"/>
    <w:rsid w:val="00E27DF4"/>
    <w:rsid w:val="00E307C7"/>
    <w:rsid w:val="00E32180"/>
    <w:rsid w:val="00E334C8"/>
    <w:rsid w:val="00E35EE9"/>
    <w:rsid w:val="00E3630C"/>
    <w:rsid w:val="00E3743E"/>
    <w:rsid w:val="00E410EE"/>
    <w:rsid w:val="00E41D97"/>
    <w:rsid w:val="00E43D51"/>
    <w:rsid w:val="00E4444A"/>
    <w:rsid w:val="00E54297"/>
    <w:rsid w:val="00E81609"/>
    <w:rsid w:val="00E83D2C"/>
    <w:rsid w:val="00E84305"/>
    <w:rsid w:val="00E91044"/>
    <w:rsid w:val="00E936C7"/>
    <w:rsid w:val="00E937C4"/>
    <w:rsid w:val="00EA3967"/>
    <w:rsid w:val="00EA7FE0"/>
    <w:rsid w:val="00EB641F"/>
    <w:rsid w:val="00EC608B"/>
    <w:rsid w:val="00EC6C4E"/>
    <w:rsid w:val="00ED1A99"/>
    <w:rsid w:val="00ED2DDF"/>
    <w:rsid w:val="00ED42E9"/>
    <w:rsid w:val="00ED790A"/>
    <w:rsid w:val="00EE1F8B"/>
    <w:rsid w:val="00EF28E6"/>
    <w:rsid w:val="00EF2B32"/>
    <w:rsid w:val="00EF44A5"/>
    <w:rsid w:val="00EF5DD1"/>
    <w:rsid w:val="00F00778"/>
    <w:rsid w:val="00F016D1"/>
    <w:rsid w:val="00F022B9"/>
    <w:rsid w:val="00F05282"/>
    <w:rsid w:val="00F055B9"/>
    <w:rsid w:val="00F05E83"/>
    <w:rsid w:val="00F07550"/>
    <w:rsid w:val="00F07CF3"/>
    <w:rsid w:val="00F10778"/>
    <w:rsid w:val="00F17304"/>
    <w:rsid w:val="00F24781"/>
    <w:rsid w:val="00F250C1"/>
    <w:rsid w:val="00F332E1"/>
    <w:rsid w:val="00F3425D"/>
    <w:rsid w:val="00F418C8"/>
    <w:rsid w:val="00F56430"/>
    <w:rsid w:val="00F658A1"/>
    <w:rsid w:val="00F6672F"/>
    <w:rsid w:val="00F74472"/>
    <w:rsid w:val="00F77EFF"/>
    <w:rsid w:val="00F86713"/>
    <w:rsid w:val="00F92388"/>
    <w:rsid w:val="00F94D05"/>
    <w:rsid w:val="00F951FD"/>
    <w:rsid w:val="00F97DF0"/>
    <w:rsid w:val="00FB1BDF"/>
    <w:rsid w:val="00FB5BD4"/>
    <w:rsid w:val="00FC270D"/>
    <w:rsid w:val="00FD2CA4"/>
    <w:rsid w:val="00FD42B2"/>
    <w:rsid w:val="00FE0FF8"/>
    <w:rsid w:val="00FE28D5"/>
    <w:rsid w:val="00FF0039"/>
    <w:rsid w:val="00FF1165"/>
    <w:rsid w:val="00FF2768"/>
    <w:rsid w:val="00FF7E10"/>
    <w:rsid w:val="010B0DCA"/>
    <w:rsid w:val="01165A00"/>
    <w:rsid w:val="013440FD"/>
    <w:rsid w:val="016F2F27"/>
    <w:rsid w:val="01881C5A"/>
    <w:rsid w:val="01891F03"/>
    <w:rsid w:val="01960563"/>
    <w:rsid w:val="019D1760"/>
    <w:rsid w:val="01D3649A"/>
    <w:rsid w:val="020A7B85"/>
    <w:rsid w:val="02114808"/>
    <w:rsid w:val="02254E13"/>
    <w:rsid w:val="022F7E57"/>
    <w:rsid w:val="023F069C"/>
    <w:rsid w:val="026810AC"/>
    <w:rsid w:val="0269205E"/>
    <w:rsid w:val="02884632"/>
    <w:rsid w:val="02F2768A"/>
    <w:rsid w:val="02FE560A"/>
    <w:rsid w:val="03213186"/>
    <w:rsid w:val="03234071"/>
    <w:rsid w:val="03312FBA"/>
    <w:rsid w:val="037D02AB"/>
    <w:rsid w:val="0384147D"/>
    <w:rsid w:val="03974569"/>
    <w:rsid w:val="03AB01D2"/>
    <w:rsid w:val="03BD5967"/>
    <w:rsid w:val="042103C7"/>
    <w:rsid w:val="045E6FC8"/>
    <w:rsid w:val="0490569A"/>
    <w:rsid w:val="04C61A78"/>
    <w:rsid w:val="04CB2AF9"/>
    <w:rsid w:val="04D3608E"/>
    <w:rsid w:val="04E979E0"/>
    <w:rsid w:val="055147A9"/>
    <w:rsid w:val="05644680"/>
    <w:rsid w:val="05662B38"/>
    <w:rsid w:val="057D10EF"/>
    <w:rsid w:val="05CC6628"/>
    <w:rsid w:val="06182CFF"/>
    <w:rsid w:val="065652FA"/>
    <w:rsid w:val="06D815BB"/>
    <w:rsid w:val="071F2C3C"/>
    <w:rsid w:val="073B3735"/>
    <w:rsid w:val="074D6649"/>
    <w:rsid w:val="07516C35"/>
    <w:rsid w:val="07713599"/>
    <w:rsid w:val="077856C0"/>
    <w:rsid w:val="079A2073"/>
    <w:rsid w:val="07B12D9F"/>
    <w:rsid w:val="07B83FF0"/>
    <w:rsid w:val="07EC52BC"/>
    <w:rsid w:val="07FF4515"/>
    <w:rsid w:val="08012546"/>
    <w:rsid w:val="080446E1"/>
    <w:rsid w:val="08180FD0"/>
    <w:rsid w:val="08454BEF"/>
    <w:rsid w:val="0848715B"/>
    <w:rsid w:val="086C4F98"/>
    <w:rsid w:val="0892261F"/>
    <w:rsid w:val="08B6016F"/>
    <w:rsid w:val="08C47D55"/>
    <w:rsid w:val="08CB6B73"/>
    <w:rsid w:val="09004D76"/>
    <w:rsid w:val="09411C0C"/>
    <w:rsid w:val="0941419A"/>
    <w:rsid w:val="09587887"/>
    <w:rsid w:val="096A6390"/>
    <w:rsid w:val="096F308B"/>
    <w:rsid w:val="09706348"/>
    <w:rsid w:val="097F0AC3"/>
    <w:rsid w:val="09DF079A"/>
    <w:rsid w:val="09E1670F"/>
    <w:rsid w:val="0A113D79"/>
    <w:rsid w:val="0A3625C3"/>
    <w:rsid w:val="0A452A38"/>
    <w:rsid w:val="0AC46688"/>
    <w:rsid w:val="0AC519FE"/>
    <w:rsid w:val="0ACB0414"/>
    <w:rsid w:val="0B0C1791"/>
    <w:rsid w:val="0B13396F"/>
    <w:rsid w:val="0B1F2BFF"/>
    <w:rsid w:val="0B7E6454"/>
    <w:rsid w:val="0B902C5C"/>
    <w:rsid w:val="0BD119CF"/>
    <w:rsid w:val="0BE0738F"/>
    <w:rsid w:val="0C0059C3"/>
    <w:rsid w:val="0C125964"/>
    <w:rsid w:val="0C225A0B"/>
    <w:rsid w:val="0C2302A0"/>
    <w:rsid w:val="0C2C13EC"/>
    <w:rsid w:val="0C317097"/>
    <w:rsid w:val="0C48619F"/>
    <w:rsid w:val="0CA85214"/>
    <w:rsid w:val="0CB0637A"/>
    <w:rsid w:val="0CCD3F9B"/>
    <w:rsid w:val="0CE651F0"/>
    <w:rsid w:val="0D04341D"/>
    <w:rsid w:val="0D2A1B23"/>
    <w:rsid w:val="0D630E1E"/>
    <w:rsid w:val="0DA574CC"/>
    <w:rsid w:val="0DD72007"/>
    <w:rsid w:val="0E1D1A65"/>
    <w:rsid w:val="0E1F20AE"/>
    <w:rsid w:val="0E445A01"/>
    <w:rsid w:val="0E93010D"/>
    <w:rsid w:val="0EED0873"/>
    <w:rsid w:val="0F053DD2"/>
    <w:rsid w:val="0F167784"/>
    <w:rsid w:val="0F220132"/>
    <w:rsid w:val="0F5E3F6F"/>
    <w:rsid w:val="0F792EFD"/>
    <w:rsid w:val="0F941882"/>
    <w:rsid w:val="0FAF492B"/>
    <w:rsid w:val="0FB0293C"/>
    <w:rsid w:val="0FC11906"/>
    <w:rsid w:val="0FCA104E"/>
    <w:rsid w:val="0FCC703F"/>
    <w:rsid w:val="0FD04594"/>
    <w:rsid w:val="0FFC0116"/>
    <w:rsid w:val="100C7F1C"/>
    <w:rsid w:val="101A25B0"/>
    <w:rsid w:val="101E6F2E"/>
    <w:rsid w:val="104716E2"/>
    <w:rsid w:val="10497F58"/>
    <w:rsid w:val="106A65B0"/>
    <w:rsid w:val="107841F7"/>
    <w:rsid w:val="10851D74"/>
    <w:rsid w:val="10AB36B5"/>
    <w:rsid w:val="110D6F76"/>
    <w:rsid w:val="11177D5E"/>
    <w:rsid w:val="113433F3"/>
    <w:rsid w:val="117330E8"/>
    <w:rsid w:val="11A03AAE"/>
    <w:rsid w:val="11A27668"/>
    <w:rsid w:val="11B33FE1"/>
    <w:rsid w:val="11B7188B"/>
    <w:rsid w:val="11B856F4"/>
    <w:rsid w:val="120215DB"/>
    <w:rsid w:val="12311A11"/>
    <w:rsid w:val="124A169E"/>
    <w:rsid w:val="12855A89"/>
    <w:rsid w:val="128B022E"/>
    <w:rsid w:val="12B11EDE"/>
    <w:rsid w:val="12B539CA"/>
    <w:rsid w:val="12DE20C0"/>
    <w:rsid w:val="13046B0A"/>
    <w:rsid w:val="134A2645"/>
    <w:rsid w:val="137B6584"/>
    <w:rsid w:val="137C7CBE"/>
    <w:rsid w:val="138257B1"/>
    <w:rsid w:val="13922AD1"/>
    <w:rsid w:val="13CD78F4"/>
    <w:rsid w:val="13DF1576"/>
    <w:rsid w:val="13E5091D"/>
    <w:rsid w:val="13ED5C5B"/>
    <w:rsid w:val="13F65E50"/>
    <w:rsid w:val="14077DD1"/>
    <w:rsid w:val="141C0C3F"/>
    <w:rsid w:val="142669E3"/>
    <w:rsid w:val="14292C74"/>
    <w:rsid w:val="145A1160"/>
    <w:rsid w:val="14785353"/>
    <w:rsid w:val="147C4465"/>
    <w:rsid w:val="14A35B76"/>
    <w:rsid w:val="14D62BAC"/>
    <w:rsid w:val="151E4CCD"/>
    <w:rsid w:val="15396CD9"/>
    <w:rsid w:val="15630FCF"/>
    <w:rsid w:val="15A43CA9"/>
    <w:rsid w:val="15C14752"/>
    <w:rsid w:val="15DB3B7B"/>
    <w:rsid w:val="15F32650"/>
    <w:rsid w:val="16095201"/>
    <w:rsid w:val="1625014C"/>
    <w:rsid w:val="1626451D"/>
    <w:rsid w:val="16326912"/>
    <w:rsid w:val="164C0F11"/>
    <w:rsid w:val="16840DDD"/>
    <w:rsid w:val="16924FA5"/>
    <w:rsid w:val="16AF6D8E"/>
    <w:rsid w:val="17202442"/>
    <w:rsid w:val="17B65A4C"/>
    <w:rsid w:val="180D652A"/>
    <w:rsid w:val="1851115A"/>
    <w:rsid w:val="18710A2B"/>
    <w:rsid w:val="187D7F48"/>
    <w:rsid w:val="18954FCD"/>
    <w:rsid w:val="18A229D4"/>
    <w:rsid w:val="18C02702"/>
    <w:rsid w:val="18E90787"/>
    <w:rsid w:val="1913781A"/>
    <w:rsid w:val="191F2379"/>
    <w:rsid w:val="196A2F2B"/>
    <w:rsid w:val="19A52BB1"/>
    <w:rsid w:val="19AD686F"/>
    <w:rsid w:val="19B111F3"/>
    <w:rsid w:val="1A1F7594"/>
    <w:rsid w:val="1A3E6578"/>
    <w:rsid w:val="1A7076DA"/>
    <w:rsid w:val="1A7D0CA0"/>
    <w:rsid w:val="1AA11787"/>
    <w:rsid w:val="1ABC33ED"/>
    <w:rsid w:val="1ADD4FE3"/>
    <w:rsid w:val="1B0468CD"/>
    <w:rsid w:val="1B220910"/>
    <w:rsid w:val="1B39140C"/>
    <w:rsid w:val="1B7A6853"/>
    <w:rsid w:val="1B8452EE"/>
    <w:rsid w:val="1B8F558D"/>
    <w:rsid w:val="1BB47273"/>
    <w:rsid w:val="1BDA7B45"/>
    <w:rsid w:val="1BF54604"/>
    <w:rsid w:val="1C000CC6"/>
    <w:rsid w:val="1C032089"/>
    <w:rsid w:val="1C0D6576"/>
    <w:rsid w:val="1C3C5429"/>
    <w:rsid w:val="1C516591"/>
    <w:rsid w:val="1C524767"/>
    <w:rsid w:val="1C583702"/>
    <w:rsid w:val="1C7F6242"/>
    <w:rsid w:val="1CD355B2"/>
    <w:rsid w:val="1CFF7D37"/>
    <w:rsid w:val="1D404361"/>
    <w:rsid w:val="1D4C4407"/>
    <w:rsid w:val="1D6103E7"/>
    <w:rsid w:val="1D6B4D35"/>
    <w:rsid w:val="1D7423DA"/>
    <w:rsid w:val="1DEA2DC1"/>
    <w:rsid w:val="1E1928D9"/>
    <w:rsid w:val="1EDD445D"/>
    <w:rsid w:val="1EFF6EDA"/>
    <w:rsid w:val="1F372901"/>
    <w:rsid w:val="1F833D16"/>
    <w:rsid w:val="1FB47BE7"/>
    <w:rsid w:val="1FED592B"/>
    <w:rsid w:val="203D17BC"/>
    <w:rsid w:val="209B65EB"/>
    <w:rsid w:val="20B3421E"/>
    <w:rsid w:val="20B728E0"/>
    <w:rsid w:val="21186D64"/>
    <w:rsid w:val="213A62E1"/>
    <w:rsid w:val="21960C10"/>
    <w:rsid w:val="21B125F6"/>
    <w:rsid w:val="21C43C14"/>
    <w:rsid w:val="21C56FAF"/>
    <w:rsid w:val="224E163C"/>
    <w:rsid w:val="22772F5D"/>
    <w:rsid w:val="22BE5A03"/>
    <w:rsid w:val="22FE76E5"/>
    <w:rsid w:val="233D34AF"/>
    <w:rsid w:val="235D3457"/>
    <w:rsid w:val="235F5880"/>
    <w:rsid w:val="23735746"/>
    <w:rsid w:val="23880DDE"/>
    <w:rsid w:val="24237E7D"/>
    <w:rsid w:val="24310235"/>
    <w:rsid w:val="24315181"/>
    <w:rsid w:val="243E79D6"/>
    <w:rsid w:val="245F383D"/>
    <w:rsid w:val="24BC751B"/>
    <w:rsid w:val="24CF1C2D"/>
    <w:rsid w:val="24E42A68"/>
    <w:rsid w:val="24F10BB0"/>
    <w:rsid w:val="25335B3B"/>
    <w:rsid w:val="253B2E72"/>
    <w:rsid w:val="25540E0B"/>
    <w:rsid w:val="25917DA6"/>
    <w:rsid w:val="259A2B5E"/>
    <w:rsid w:val="25AA670D"/>
    <w:rsid w:val="25D859CC"/>
    <w:rsid w:val="260A5505"/>
    <w:rsid w:val="262370C7"/>
    <w:rsid w:val="2651572E"/>
    <w:rsid w:val="26DA39F3"/>
    <w:rsid w:val="270032A9"/>
    <w:rsid w:val="270A60ED"/>
    <w:rsid w:val="272423D5"/>
    <w:rsid w:val="27587BC0"/>
    <w:rsid w:val="27615540"/>
    <w:rsid w:val="27EE6786"/>
    <w:rsid w:val="280753C1"/>
    <w:rsid w:val="28263DFA"/>
    <w:rsid w:val="282B79A1"/>
    <w:rsid w:val="28373AA9"/>
    <w:rsid w:val="283D419A"/>
    <w:rsid w:val="28407F70"/>
    <w:rsid w:val="28507322"/>
    <w:rsid w:val="288A77EC"/>
    <w:rsid w:val="28940AEC"/>
    <w:rsid w:val="28991572"/>
    <w:rsid w:val="28BE066D"/>
    <w:rsid w:val="28C90196"/>
    <w:rsid w:val="28FB5AFE"/>
    <w:rsid w:val="29095DCF"/>
    <w:rsid w:val="291E3E04"/>
    <w:rsid w:val="297E20AD"/>
    <w:rsid w:val="29D92443"/>
    <w:rsid w:val="2A007105"/>
    <w:rsid w:val="2A01132D"/>
    <w:rsid w:val="2A157865"/>
    <w:rsid w:val="2A622373"/>
    <w:rsid w:val="2A682B23"/>
    <w:rsid w:val="2AA15D0E"/>
    <w:rsid w:val="2AE115E8"/>
    <w:rsid w:val="2AEE6E5C"/>
    <w:rsid w:val="2B225235"/>
    <w:rsid w:val="2B3F4D3E"/>
    <w:rsid w:val="2B492E08"/>
    <w:rsid w:val="2C2B292D"/>
    <w:rsid w:val="2C2F0514"/>
    <w:rsid w:val="2C47644A"/>
    <w:rsid w:val="2C647D63"/>
    <w:rsid w:val="2C7C61B2"/>
    <w:rsid w:val="2CE150DA"/>
    <w:rsid w:val="2CE15AC3"/>
    <w:rsid w:val="2CEE6D3D"/>
    <w:rsid w:val="2D027B1E"/>
    <w:rsid w:val="2D1236EE"/>
    <w:rsid w:val="2D30391F"/>
    <w:rsid w:val="2D3D3155"/>
    <w:rsid w:val="2D60370E"/>
    <w:rsid w:val="2D7E1495"/>
    <w:rsid w:val="2DA37249"/>
    <w:rsid w:val="2DC04051"/>
    <w:rsid w:val="2DE56556"/>
    <w:rsid w:val="2DF02E76"/>
    <w:rsid w:val="2DF04218"/>
    <w:rsid w:val="2E683787"/>
    <w:rsid w:val="2E6E24DD"/>
    <w:rsid w:val="2E7039D6"/>
    <w:rsid w:val="2EA6226B"/>
    <w:rsid w:val="2ED7676E"/>
    <w:rsid w:val="2EFB745D"/>
    <w:rsid w:val="2F0122DF"/>
    <w:rsid w:val="2F0E4EC4"/>
    <w:rsid w:val="2F2F18A0"/>
    <w:rsid w:val="2F3D37E1"/>
    <w:rsid w:val="2F8365E3"/>
    <w:rsid w:val="30067D04"/>
    <w:rsid w:val="303E18BB"/>
    <w:rsid w:val="30BD5395"/>
    <w:rsid w:val="30BE488A"/>
    <w:rsid w:val="30C95305"/>
    <w:rsid w:val="31154D70"/>
    <w:rsid w:val="315332A4"/>
    <w:rsid w:val="31545789"/>
    <w:rsid w:val="3177378F"/>
    <w:rsid w:val="31D51B8E"/>
    <w:rsid w:val="31E25B30"/>
    <w:rsid w:val="31E35587"/>
    <w:rsid w:val="31E4126F"/>
    <w:rsid w:val="320F4B95"/>
    <w:rsid w:val="32146EB7"/>
    <w:rsid w:val="323258FE"/>
    <w:rsid w:val="32500F81"/>
    <w:rsid w:val="325A4831"/>
    <w:rsid w:val="328E5EFD"/>
    <w:rsid w:val="32AC0C81"/>
    <w:rsid w:val="32EC14E2"/>
    <w:rsid w:val="33301503"/>
    <w:rsid w:val="33335FC1"/>
    <w:rsid w:val="334914D6"/>
    <w:rsid w:val="335D7E9A"/>
    <w:rsid w:val="3362304A"/>
    <w:rsid w:val="33826C3C"/>
    <w:rsid w:val="338A5653"/>
    <w:rsid w:val="33911F54"/>
    <w:rsid w:val="339B1653"/>
    <w:rsid w:val="33AB141E"/>
    <w:rsid w:val="33C545E5"/>
    <w:rsid w:val="33D13787"/>
    <w:rsid w:val="341E1B4F"/>
    <w:rsid w:val="34256709"/>
    <w:rsid w:val="3472055F"/>
    <w:rsid w:val="34A72C57"/>
    <w:rsid w:val="34B754B4"/>
    <w:rsid w:val="34BC1513"/>
    <w:rsid w:val="34E6264E"/>
    <w:rsid w:val="35482D7D"/>
    <w:rsid w:val="354B0E6E"/>
    <w:rsid w:val="35C4273D"/>
    <w:rsid w:val="36222C7F"/>
    <w:rsid w:val="364F0ED8"/>
    <w:rsid w:val="36A2406B"/>
    <w:rsid w:val="36A4718D"/>
    <w:rsid w:val="36AA35C0"/>
    <w:rsid w:val="370E27DE"/>
    <w:rsid w:val="371C0C9F"/>
    <w:rsid w:val="37394570"/>
    <w:rsid w:val="37453790"/>
    <w:rsid w:val="37471B3F"/>
    <w:rsid w:val="37A63E11"/>
    <w:rsid w:val="37BD42B3"/>
    <w:rsid w:val="38024D4B"/>
    <w:rsid w:val="381C23F0"/>
    <w:rsid w:val="38674F5E"/>
    <w:rsid w:val="3897129C"/>
    <w:rsid w:val="389C32BC"/>
    <w:rsid w:val="38C247C5"/>
    <w:rsid w:val="38C640A6"/>
    <w:rsid w:val="39000966"/>
    <w:rsid w:val="39052B0E"/>
    <w:rsid w:val="39234FDB"/>
    <w:rsid w:val="39614AD8"/>
    <w:rsid w:val="39A35997"/>
    <w:rsid w:val="39CA1962"/>
    <w:rsid w:val="39D26963"/>
    <w:rsid w:val="39E0246C"/>
    <w:rsid w:val="3AF5026B"/>
    <w:rsid w:val="3AFE780B"/>
    <w:rsid w:val="3B164566"/>
    <w:rsid w:val="3B9A595E"/>
    <w:rsid w:val="3BB63614"/>
    <w:rsid w:val="3BC53967"/>
    <w:rsid w:val="3BCA7D81"/>
    <w:rsid w:val="3CAA1E7B"/>
    <w:rsid w:val="3CD26312"/>
    <w:rsid w:val="3CF57EC9"/>
    <w:rsid w:val="3D0A5728"/>
    <w:rsid w:val="3D220738"/>
    <w:rsid w:val="3D2B6B54"/>
    <w:rsid w:val="3D704BE3"/>
    <w:rsid w:val="3D9D1A54"/>
    <w:rsid w:val="3E1213FB"/>
    <w:rsid w:val="3E2539AF"/>
    <w:rsid w:val="3E6058D8"/>
    <w:rsid w:val="3EB40893"/>
    <w:rsid w:val="3ED63BA9"/>
    <w:rsid w:val="3EE00E44"/>
    <w:rsid w:val="3F1F7F28"/>
    <w:rsid w:val="3F2F7FBA"/>
    <w:rsid w:val="3F400E1A"/>
    <w:rsid w:val="3FA0585C"/>
    <w:rsid w:val="3FB2672A"/>
    <w:rsid w:val="3FC14394"/>
    <w:rsid w:val="3FC451C8"/>
    <w:rsid w:val="3FE131B8"/>
    <w:rsid w:val="3FFD292D"/>
    <w:rsid w:val="4000318C"/>
    <w:rsid w:val="404B1C1C"/>
    <w:rsid w:val="407254BB"/>
    <w:rsid w:val="407E42E0"/>
    <w:rsid w:val="4092195E"/>
    <w:rsid w:val="40950B41"/>
    <w:rsid w:val="40E47CE9"/>
    <w:rsid w:val="41511732"/>
    <w:rsid w:val="41B0247D"/>
    <w:rsid w:val="420864CC"/>
    <w:rsid w:val="422E6B59"/>
    <w:rsid w:val="428F7F73"/>
    <w:rsid w:val="42D65BF4"/>
    <w:rsid w:val="42D778A7"/>
    <w:rsid w:val="42E53764"/>
    <w:rsid w:val="42F2757C"/>
    <w:rsid w:val="43001AE7"/>
    <w:rsid w:val="4358029A"/>
    <w:rsid w:val="4362183E"/>
    <w:rsid w:val="43725502"/>
    <w:rsid w:val="43876F74"/>
    <w:rsid w:val="438C5E98"/>
    <w:rsid w:val="43924767"/>
    <w:rsid w:val="43A13B05"/>
    <w:rsid w:val="443362BD"/>
    <w:rsid w:val="443D488B"/>
    <w:rsid w:val="44415B5D"/>
    <w:rsid w:val="445B0FD8"/>
    <w:rsid w:val="445C5F58"/>
    <w:rsid w:val="448B54A1"/>
    <w:rsid w:val="44AC76CB"/>
    <w:rsid w:val="44AF0E51"/>
    <w:rsid w:val="44C0298A"/>
    <w:rsid w:val="44D543D7"/>
    <w:rsid w:val="44DE7C21"/>
    <w:rsid w:val="44F67F5C"/>
    <w:rsid w:val="44FE7B92"/>
    <w:rsid w:val="450A4B7D"/>
    <w:rsid w:val="451A20B9"/>
    <w:rsid w:val="451F545F"/>
    <w:rsid w:val="456475F7"/>
    <w:rsid w:val="456B6E41"/>
    <w:rsid w:val="45903287"/>
    <w:rsid w:val="45C1403C"/>
    <w:rsid w:val="45C723D1"/>
    <w:rsid w:val="460A69CA"/>
    <w:rsid w:val="463C45F2"/>
    <w:rsid w:val="463F6681"/>
    <w:rsid w:val="466F6F6D"/>
    <w:rsid w:val="46745CC0"/>
    <w:rsid w:val="469E6039"/>
    <w:rsid w:val="46C95339"/>
    <w:rsid w:val="46D53F8D"/>
    <w:rsid w:val="46E020E4"/>
    <w:rsid w:val="47011444"/>
    <w:rsid w:val="47217FC0"/>
    <w:rsid w:val="47510F78"/>
    <w:rsid w:val="475E40D6"/>
    <w:rsid w:val="477209BF"/>
    <w:rsid w:val="47811BD7"/>
    <w:rsid w:val="479076C3"/>
    <w:rsid w:val="47C01A44"/>
    <w:rsid w:val="47CA73EE"/>
    <w:rsid w:val="47E37399"/>
    <w:rsid w:val="48084243"/>
    <w:rsid w:val="481421E2"/>
    <w:rsid w:val="48353D7A"/>
    <w:rsid w:val="48362948"/>
    <w:rsid w:val="48395220"/>
    <w:rsid w:val="48702FD3"/>
    <w:rsid w:val="49012056"/>
    <w:rsid w:val="49505BFD"/>
    <w:rsid w:val="497C1776"/>
    <w:rsid w:val="49B329B8"/>
    <w:rsid w:val="49E12F38"/>
    <w:rsid w:val="49FF773E"/>
    <w:rsid w:val="4A2513DD"/>
    <w:rsid w:val="4A670440"/>
    <w:rsid w:val="4A8035C0"/>
    <w:rsid w:val="4A8A1DE3"/>
    <w:rsid w:val="4A9D4ABC"/>
    <w:rsid w:val="4AC20834"/>
    <w:rsid w:val="4AF071D4"/>
    <w:rsid w:val="4B0F3FA9"/>
    <w:rsid w:val="4B2A6574"/>
    <w:rsid w:val="4B2E10D0"/>
    <w:rsid w:val="4B36617A"/>
    <w:rsid w:val="4B5F3020"/>
    <w:rsid w:val="4B694389"/>
    <w:rsid w:val="4B7C5B10"/>
    <w:rsid w:val="4BA9346C"/>
    <w:rsid w:val="4BAF71A8"/>
    <w:rsid w:val="4C2B2A1A"/>
    <w:rsid w:val="4C4B7FAD"/>
    <w:rsid w:val="4C5807C8"/>
    <w:rsid w:val="4C642503"/>
    <w:rsid w:val="4CAC69E2"/>
    <w:rsid w:val="4CD374AB"/>
    <w:rsid w:val="4CE43495"/>
    <w:rsid w:val="4D131D42"/>
    <w:rsid w:val="4D1F3D6C"/>
    <w:rsid w:val="4D3748BF"/>
    <w:rsid w:val="4D503927"/>
    <w:rsid w:val="4D62509B"/>
    <w:rsid w:val="4D9E30EE"/>
    <w:rsid w:val="4DCC1525"/>
    <w:rsid w:val="4DFE31E5"/>
    <w:rsid w:val="4E534A27"/>
    <w:rsid w:val="4E540833"/>
    <w:rsid w:val="4E5C5FED"/>
    <w:rsid w:val="4E6F13B6"/>
    <w:rsid w:val="4EEF4581"/>
    <w:rsid w:val="4F213C65"/>
    <w:rsid w:val="4F6C20C7"/>
    <w:rsid w:val="4F6C576E"/>
    <w:rsid w:val="4F735577"/>
    <w:rsid w:val="4F9C763C"/>
    <w:rsid w:val="4FEF2EB0"/>
    <w:rsid w:val="4FFD66E7"/>
    <w:rsid w:val="501C0514"/>
    <w:rsid w:val="503B12F5"/>
    <w:rsid w:val="50764320"/>
    <w:rsid w:val="507664C6"/>
    <w:rsid w:val="508B0317"/>
    <w:rsid w:val="50911DFE"/>
    <w:rsid w:val="50D371BE"/>
    <w:rsid w:val="50DF78DC"/>
    <w:rsid w:val="50E93CCF"/>
    <w:rsid w:val="50EC06F1"/>
    <w:rsid w:val="510141F5"/>
    <w:rsid w:val="512469E3"/>
    <w:rsid w:val="51293C96"/>
    <w:rsid w:val="51533333"/>
    <w:rsid w:val="518703C2"/>
    <w:rsid w:val="51A14935"/>
    <w:rsid w:val="51A3638C"/>
    <w:rsid w:val="51DC11C2"/>
    <w:rsid w:val="51EC4EF3"/>
    <w:rsid w:val="52026ACB"/>
    <w:rsid w:val="52602D79"/>
    <w:rsid w:val="52A05033"/>
    <w:rsid w:val="531B52F9"/>
    <w:rsid w:val="534049FD"/>
    <w:rsid w:val="538B46A2"/>
    <w:rsid w:val="53BE6ABB"/>
    <w:rsid w:val="53EF66B4"/>
    <w:rsid w:val="53F27832"/>
    <w:rsid w:val="54144386"/>
    <w:rsid w:val="54441E09"/>
    <w:rsid w:val="54B80CE9"/>
    <w:rsid w:val="54DB3B4C"/>
    <w:rsid w:val="550417AA"/>
    <w:rsid w:val="55231FF1"/>
    <w:rsid w:val="55307EDC"/>
    <w:rsid w:val="55474CF0"/>
    <w:rsid w:val="558029D7"/>
    <w:rsid w:val="55AB330E"/>
    <w:rsid w:val="55EB76F9"/>
    <w:rsid w:val="55FA7226"/>
    <w:rsid w:val="55FD6792"/>
    <w:rsid w:val="560517E2"/>
    <w:rsid w:val="563A4A10"/>
    <w:rsid w:val="56537EFE"/>
    <w:rsid w:val="56846478"/>
    <w:rsid w:val="56A30BC2"/>
    <w:rsid w:val="56A944FB"/>
    <w:rsid w:val="56B43C57"/>
    <w:rsid w:val="56DA6D2E"/>
    <w:rsid w:val="56F2491D"/>
    <w:rsid w:val="574F30EE"/>
    <w:rsid w:val="57D549CB"/>
    <w:rsid w:val="57F56A74"/>
    <w:rsid w:val="580C3A20"/>
    <w:rsid w:val="58373F53"/>
    <w:rsid w:val="584F5FC2"/>
    <w:rsid w:val="585F664D"/>
    <w:rsid w:val="58742F0D"/>
    <w:rsid w:val="58760BEF"/>
    <w:rsid w:val="58981A5B"/>
    <w:rsid w:val="58A6082F"/>
    <w:rsid w:val="58BA295B"/>
    <w:rsid w:val="58C65779"/>
    <w:rsid w:val="58E33CBA"/>
    <w:rsid w:val="58F73A8D"/>
    <w:rsid w:val="59321350"/>
    <w:rsid w:val="597C79C5"/>
    <w:rsid w:val="5988620D"/>
    <w:rsid w:val="598D2900"/>
    <w:rsid w:val="59903631"/>
    <w:rsid w:val="59B01234"/>
    <w:rsid w:val="59C24409"/>
    <w:rsid w:val="59C63C48"/>
    <w:rsid w:val="59CE5D54"/>
    <w:rsid w:val="59EA4014"/>
    <w:rsid w:val="5A0E1E7B"/>
    <w:rsid w:val="5A1D65FE"/>
    <w:rsid w:val="5A5778DC"/>
    <w:rsid w:val="5A8F1A35"/>
    <w:rsid w:val="5AA311C5"/>
    <w:rsid w:val="5AD41863"/>
    <w:rsid w:val="5AFA1D56"/>
    <w:rsid w:val="5B0A1669"/>
    <w:rsid w:val="5B256062"/>
    <w:rsid w:val="5B380E7C"/>
    <w:rsid w:val="5B930380"/>
    <w:rsid w:val="5BA2576D"/>
    <w:rsid w:val="5BC03AB8"/>
    <w:rsid w:val="5BD47366"/>
    <w:rsid w:val="5BD71E33"/>
    <w:rsid w:val="5BE95ED2"/>
    <w:rsid w:val="5BF4438D"/>
    <w:rsid w:val="5C1E0568"/>
    <w:rsid w:val="5C675420"/>
    <w:rsid w:val="5C705BD5"/>
    <w:rsid w:val="5C710CFD"/>
    <w:rsid w:val="5C844B7D"/>
    <w:rsid w:val="5CEC4D83"/>
    <w:rsid w:val="5D485C1A"/>
    <w:rsid w:val="5D6D3D06"/>
    <w:rsid w:val="5D6F637A"/>
    <w:rsid w:val="5DCC597E"/>
    <w:rsid w:val="5DD1296E"/>
    <w:rsid w:val="5DDE0B80"/>
    <w:rsid w:val="5E4E35A8"/>
    <w:rsid w:val="5E77424D"/>
    <w:rsid w:val="5EC55CE4"/>
    <w:rsid w:val="5ED57450"/>
    <w:rsid w:val="5F7138EF"/>
    <w:rsid w:val="5FA067D9"/>
    <w:rsid w:val="5FA3715A"/>
    <w:rsid w:val="5FC002F5"/>
    <w:rsid w:val="5FEA459D"/>
    <w:rsid w:val="5FF52EE8"/>
    <w:rsid w:val="604131F1"/>
    <w:rsid w:val="604B537B"/>
    <w:rsid w:val="605B1F41"/>
    <w:rsid w:val="60955359"/>
    <w:rsid w:val="60D8445B"/>
    <w:rsid w:val="616B0FDB"/>
    <w:rsid w:val="616D466D"/>
    <w:rsid w:val="617C57D9"/>
    <w:rsid w:val="61CA2DE8"/>
    <w:rsid w:val="61F72A3D"/>
    <w:rsid w:val="62260379"/>
    <w:rsid w:val="62312F27"/>
    <w:rsid w:val="625C018B"/>
    <w:rsid w:val="62656E52"/>
    <w:rsid w:val="627A3024"/>
    <w:rsid w:val="62D265ED"/>
    <w:rsid w:val="636141FB"/>
    <w:rsid w:val="63B93C15"/>
    <w:rsid w:val="63D74C19"/>
    <w:rsid w:val="645A6F3B"/>
    <w:rsid w:val="646E3320"/>
    <w:rsid w:val="649318CB"/>
    <w:rsid w:val="649556A8"/>
    <w:rsid w:val="649D7017"/>
    <w:rsid w:val="64D7708B"/>
    <w:rsid w:val="64FF4A1B"/>
    <w:rsid w:val="652C39BC"/>
    <w:rsid w:val="65441A99"/>
    <w:rsid w:val="65525D13"/>
    <w:rsid w:val="66354A95"/>
    <w:rsid w:val="669845FB"/>
    <w:rsid w:val="66991734"/>
    <w:rsid w:val="66CA3CF3"/>
    <w:rsid w:val="67044479"/>
    <w:rsid w:val="672847F9"/>
    <w:rsid w:val="67305852"/>
    <w:rsid w:val="67920D75"/>
    <w:rsid w:val="67C15F87"/>
    <w:rsid w:val="67DC6853"/>
    <w:rsid w:val="67F547B7"/>
    <w:rsid w:val="68373DE5"/>
    <w:rsid w:val="68830ACE"/>
    <w:rsid w:val="68D375C1"/>
    <w:rsid w:val="69016B57"/>
    <w:rsid w:val="69233D1C"/>
    <w:rsid w:val="697076FB"/>
    <w:rsid w:val="69782615"/>
    <w:rsid w:val="69D71A47"/>
    <w:rsid w:val="69ED5295"/>
    <w:rsid w:val="6A5E3CF8"/>
    <w:rsid w:val="6AA4058B"/>
    <w:rsid w:val="6AAF3A6E"/>
    <w:rsid w:val="6B1F7E36"/>
    <w:rsid w:val="6B8753B2"/>
    <w:rsid w:val="6BC34E27"/>
    <w:rsid w:val="6BD305B3"/>
    <w:rsid w:val="6C534475"/>
    <w:rsid w:val="6C5C4F22"/>
    <w:rsid w:val="6C9B15FB"/>
    <w:rsid w:val="6C9D1D1C"/>
    <w:rsid w:val="6CB70834"/>
    <w:rsid w:val="6CBD429B"/>
    <w:rsid w:val="6CF679B7"/>
    <w:rsid w:val="6D1D69A4"/>
    <w:rsid w:val="6D34744A"/>
    <w:rsid w:val="6D5434A3"/>
    <w:rsid w:val="6DC62A13"/>
    <w:rsid w:val="6DCD62B6"/>
    <w:rsid w:val="6E1B32E1"/>
    <w:rsid w:val="6E683E58"/>
    <w:rsid w:val="6E7B4E59"/>
    <w:rsid w:val="6ED936BF"/>
    <w:rsid w:val="6EF66519"/>
    <w:rsid w:val="6EFD7D2E"/>
    <w:rsid w:val="6F0A6922"/>
    <w:rsid w:val="6F2D24AB"/>
    <w:rsid w:val="6F6721C2"/>
    <w:rsid w:val="6F775578"/>
    <w:rsid w:val="6F9E4828"/>
    <w:rsid w:val="6FD01BA0"/>
    <w:rsid w:val="6FD559CD"/>
    <w:rsid w:val="6FDD68E7"/>
    <w:rsid w:val="70054C67"/>
    <w:rsid w:val="702E21CB"/>
    <w:rsid w:val="703D6459"/>
    <w:rsid w:val="708A4721"/>
    <w:rsid w:val="70B85FFA"/>
    <w:rsid w:val="710D0454"/>
    <w:rsid w:val="712306FD"/>
    <w:rsid w:val="712A697D"/>
    <w:rsid w:val="71635E6F"/>
    <w:rsid w:val="71BE69BE"/>
    <w:rsid w:val="71BE6EE3"/>
    <w:rsid w:val="71C96C8E"/>
    <w:rsid w:val="71D77FE9"/>
    <w:rsid w:val="721D7229"/>
    <w:rsid w:val="723620BF"/>
    <w:rsid w:val="726D6DDD"/>
    <w:rsid w:val="726E589B"/>
    <w:rsid w:val="72727C47"/>
    <w:rsid w:val="72861B07"/>
    <w:rsid w:val="729D1479"/>
    <w:rsid w:val="72F60F62"/>
    <w:rsid w:val="72F74B5B"/>
    <w:rsid w:val="72FA558C"/>
    <w:rsid w:val="73045B83"/>
    <w:rsid w:val="73107F00"/>
    <w:rsid w:val="737262DA"/>
    <w:rsid w:val="738A2100"/>
    <w:rsid w:val="738E4428"/>
    <w:rsid w:val="73BD1448"/>
    <w:rsid w:val="73C0274F"/>
    <w:rsid w:val="73C35974"/>
    <w:rsid w:val="73CE53D0"/>
    <w:rsid w:val="73D35CEE"/>
    <w:rsid w:val="73E66631"/>
    <w:rsid w:val="73F17763"/>
    <w:rsid w:val="73FE17E0"/>
    <w:rsid w:val="742377C7"/>
    <w:rsid w:val="74456E1F"/>
    <w:rsid w:val="744C3F91"/>
    <w:rsid w:val="74904AB4"/>
    <w:rsid w:val="74A365D2"/>
    <w:rsid w:val="74BA496C"/>
    <w:rsid w:val="74E737BA"/>
    <w:rsid w:val="752C2230"/>
    <w:rsid w:val="75C4264F"/>
    <w:rsid w:val="75ED37DB"/>
    <w:rsid w:val="761054AF"/>
    <w:rsid w:val="7616617F"/>
    <w:rsid w:val="766965C7"/>
    <w:rsid w:val="76890367"/>
    <w:rsid w:val="768C5A7C"/>
    <w:rsid w:val="770B262A"/>
    <w:rsid w:val="77333CDC"/>
    <w:rsid w:val="7770365A"/>
    <w:rsid w:val="77953C3E"/>
    <w:rsid w:val="77C710CA"/>
    <w:rsid w:val="780E2718"/>
    <w:rsid w:val="786D5275"/>
    <w:rsid w:val="78973B52"/>
    <w:rsid w:val="789E46B6"/>
    <w:rsid w:val="78AC6500"/>
    <w:rsid w:val="78EE7620"/>
    <w:rsid w:val="78F627AB"/>
    <w:rsid w:val="78FB5374"/>
    <w:rsid w:val="792904D8"/>
    <w:rsid w:val="79887437"/>
    <w:rsid w:val="798D2EF2"/>
    <w:rsid w:val="7A14412C"/>
    <w:rsid w:val="7A7E27BA"/>
    <w:rsid w:val="7ADA5534"/>
    <w:rsid w:val="7B3456E9"/>
    <w:rsid w:val="7B961277"/>
    <w:rsid w:val="7BFB1022"/>
    <w:rsid w:val="7BFF3062"/>
    <w:rsid w:val="7CCB7686"/>
    <w:rsid w:val="7CF470C8"/>
    <w:rsid w:val="7CF503AF"/>
    <w:rsid w:val="7D055823"/>
    <w:rsid w:val="7D2944ED"/>
    <w:rsid w:val="7D975277"/>
    <w:rsid w:val="7DDC2288"/>
    <w:rsid w:val="7E083377"/>
    <w:rsid w:val="7E265E8B"/>
    <w:rsid w:val="7E397EBB"/>
    <w:rsid w:val="7E3E15C6"/>
    <w:rsid w:val="7E4D56F7"/>
    <w:rsid w:val="7E7019A8"/>
    <w:rsid w:val="7EDA2D3F"/>
    <w:rsid w:val="7F7100A5"/>
    <w:rsid w:val="7FB90E04"/>
    <w:rsid w:val="7FEA3947"/>
    <w:rsid w:val="7FF347D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99" w:semiHidden="0" w:name="envelope return"/>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25" w:lineRule="atLeast"/>
      <w:jc w:val="both"/>
    </w:pPr>
    <w:rPr>
      <w:rFonts w:ascii="Times New Roman" w:hAnsi="Times New Roman" w:eastAsia="宋体" w:cs="Times New Roman"/>
      <w:color w:val="000000"/>
      <w:sz w:val="21"/>
      <w:lang w:val="en-US" w:eastAsia="zh-CN" w:bidi="ar-SA"/>
    </w:rPr>
  </w:style>
  <w:style w:type="paragraph" w:styleId="4">
    <w:name w:val="heading 1"/>
    <w:basedOn w:val="1"/>
    <w:next w:val="1"/>
    <w:link w:val="45"/>
    <w:qFormat/>
    <w:uiPriority w:val="99"/>
    <w:pPr>
      <w:spacing w:before="100" w:beforeAutospacing="1" w:after="100" w:afterAutospacing="1"/>
      <w:jc w:val="left"/>
      <w:outlineLvl w:val="0"/>
    </w:pPr>
    <w:rPr>
      <w:b/>
      <w:bCs/>
      <w:kern w:val="44"/>
      <w:sz w:val="44"/>
      <w:szCs w:val="44"/>
    </w:rPr>
  </w:style>
  <w:style w:type="paragraph" w:styleId="5">
    <w:name w:val="heading 2"/>
    <w:basedOn w:val="1"/>
    <w:next w:val="6"/>
    <w:link w:val="46"/>
    <w:autoRedefine/>
    <w:qFormat/>
    <w:uiPriority w:val="99"/>
    <w:pPr>
      <w:keepNext/>
      <w:keepLines/>
      <w:widowControl w:val="0"/>
      <w:tabs>
        <w:tab w:val="left" w:pos="840"/>
      </w:tabs>
      <w:spacing w:before="260" w:after="260" w:line="416" w:lineRule="auto"/>
      <w:ind w:left="840" w:hanging="420"/>
      <w:jc w:val="center"/>
      <w:outlineLvl w:val="1"/>
    </w:pPr>
    <w:rPr>
      <w:rFonts w:ascii="Cambria" w:hAnsi="Cambria"/>
      <w:b/>
      <w:bCs/>
      <w:sz w:val="32"/>
      <w:szCs w:val="32"/>
    </w:rPr>
  </w:style>
  <w:style w:type="paragraph" w:styleId="7">
    <w:name w:val="heading 3"/>
    <w:basedOn w:val="1"/>
    <w:next w:val="1"/>
    <w:link w:val="47"/>
    <w:autoRedefine/>
    <w:qFormat/>
    <w:uiPriority w:val="99"/>
    <w:pPr>
      <w:keepNext/>
      <w:keepLines/>
      <w:spacing w:line="416" w:lineRule="atLeast"/>
      <w:outlineLvl w:val="2"/>
    </w:pPr>
    <w:rPr>
      <w:b/>
      <w:bCs/>
      <w:sz w:val="32"/>
      <w:szCs w:val="32"/>
    </w:rPr>
  </w:style>
  <w:style w:type="paragraph" w:styleId="8">
    <w:name w:val="heading 4"/>
    <w:basedOn w:val="1"/>
    <w:next w:val="1"/>
    <w:link w:val="48"/>
    <w:autoRedefine/>
    <w:qFormat/>
    <w:uiPriority w:val="99"/>
    <w:pPr>
      <w:keepNext/>
      <w:keepLines/>
      <w:spacing w:before="280" w:after="290" w:line="372" w:lineRule="auto"/>
      <w:outlineLvl w:val="3"/>
    </w:pPr>
    <w:rPr>
      <w:rFonts w:ascii="Cambria" w:hAnsi="Cambria"/>
      <w:b/>
      <w:bCs/>
      <w:sz w:val="28"/>
      <w:szCs w:val="28"/>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49"/>
    <w:autoRedefine/>
    <w:qFormat/>
    <w:uiPriority w:val="99"/>
    <w:rPr>
      <w:sz w:val="20"/>
    </w:rPr>
  </w:style>
  <w:style w:type="paragraph" w:customStyle="1" w:styleId="3">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Normal Indent"/>
    <w:basedOn w:val="1"/>
    <w:autoRedefine/>
    <w:qFormat/>
    <w:uiPriority w:val="99"/>
    <w:pPr>
      <w:ind w:firstLine="420" w:firstLineChars="200"/>
    </w:pPr>
  </w:style>
  <w:style w:type="paragraph" w:styleId="9">
    <w:name w:val="Document Map"/>
    <w:basedOn w:val="1"/>
    <w:link w:val="50"/>
    <w:autoRedefine/>
    <w:qFormat/>
    <w:uiPriority w:val="99"/>
    <w:rPr>
      <w:rFonts w:ascii="宋体"/>
      <w:sz w:val="18"/>
    </w:rPr>
  </w:style>
  <w:style w:type="paragraph" w:styleId="10">
    <w:name w:val="Body Text 3"/>
    <w:basedOn w:val="1"/>
    <w:link w:val="51"/>
    <w:qFormat/>
    <w:uiPriority w:val="99"/>
    <w:pPr>
      <w:widowControl w:val="0"/>
      <w:spacing w:line="240" w:lineRule="auto"/>
    </w:pPr>
    <w:rPr>
      <w:sz w:val="16"/>
      <w:szCs w:val="16"/>
    </w:rPr>
  </w:style>
  <w:style w:type="paragraph" w:styleId="11">
    <w:name w:val="Body Text Indent"/>
    <w:basedOn w:val="1"/>
    <w:next w:val="12"/>
    <w:link w:val="52"/>
    <w:qFormat/>
    <w:uiPriority w:val="99"/>
    <w:pPr>
      <w:ind w:left="360"/>
    </w:pPr>
    <w:rPr>
      <w:sz w:val="20"/>
    </w:rPr>
  </w:style>
  <w:style w:type="paragraph" w:customStyle="1" w:styleId="12">
    <w:name w:val="Blockquote"/>
    <w:basedOn w:val="1"/>
    <w:next w:val="1"/>
    <w:autoRedefine/>
    <w:qFormat/>
    <w:uiPriority w:val="99"/>
    <w:pPr>
      <w:widowControl w:val="0"/>
      <w:autoSpaceDE w:val="0"/>
      <w:autoSpaceDN w:val="0"/>
      <w:spacing w:before="100" w:after="100" w:line="240" w:lineRule="auto"/>
      <w:ind w:left="360" w:right="360"/>
    </w:pPr>
    <w:rPr>
      <w:sz w:val="24"/>
    </w:rPr>
  </w:style>
  <w:style w:type="paragraph" w:styleId="13">
    <w:name w:val="Plain Text"/>
    <w:basedOn w:val="1"/>
    <w:link w:val="53"/>
    <w:autoRedefine/>
    <w:qFormat/>
    <w:uiPriority w:val="99"/>
    <w:pPr>
      <w:widowControl w:val="0"/>
      <w:spacing w:line="240" w:lineRule="auto"/>
    </w:pPr>
    <w:rPr>
      <w:rFonts w:ascii="宋体" w:hAnsi="Courier New"/>
      <w:color w:val="auto"/>
      <w:kern w:val="2"/>
    </w:rPr>
  </w:style>
  <w:style w:type="paragraph" w:styleId="14">
    <w:name w:val="Date"/>
    <w:basedOn w:val="1"/>
    <w:next w:val="1"/>
    <w:link w:val="54"/>
    <w:qFormat/>
    <w:uiPriority w:val="99"/>
    <w:pPr>
      <w:widowControl w:val="0"/>
      <w:adjustRightInd w:val="0"/>
      <w:spacing w:line="360" w:lineRule="atLeast"/>
      <w:textAlignment w:val="baseline"/>
    </w:pPr>
    <w:rPr>
      <w:sz w:val="20"/>
    </w:rPr>
  </w:style>
  <w:style w:type="paragraph" w:styleId="15">
    <w:name w:val="Balloon Text"/>
    <w:basedOn w:val="1"/>
    <w:link w:val="55"/>
    <w:qFormat/>
    <w:uiPriority w:val="99"/>
    <w:pPr>
      <w:spacing w:line="240" w:lineRule="auto"/>
    </w:pPr>
    <w:rPr>
      <w:sz w:val="18"/>
    </w:rPr>
  </w:style>
  <w:style w:type="paragraph" w:styleId="16">
    <w:name w:val="footer"/>
    <w:basedOn w:val="1"/>
    <w:link w:val="56"/>
    <w:autoRedefine/>
    <w:qFormat/>
    <w:uiPriority w:val="99"/>
    <w:pPr>
      <w:tabs>
        <w:tab w:val="center" w:pos="4153"/>
        <w:tab w:val="right" w:pos="8306"/>
      </w:tabs>
      <w:snapToGrid w:val="0"/>
      <w:spacing w:line="240" w:lineRule="atLeast"/>
      <w:jc w:val="left"/>
    </w:pPr>
    <w:rPr>
      <w:sz w:val="18"/>
    </w:rPr>
  </w:style>
  <w:style w:type="paragraph" w:styleId="17">
    <w:name w:val="envelope return"/>
    <w:basedOn w:val="1"/>
    <w:qFormat/>
    <w:uiPriority w:val="99"/>
    <w:pPr>
      <w:snapToGrid w:val="0"/>
    </w:pPr>
    <w:rPr>
      <w:rFonts w:ascii="Arial" w:hAnsi="Arial"/>
    </w:rPr>
  </w:style>
  <w:style w:type="paragraph" w:styleId="18">
    <w:name w:val="header"/>
    <w:basedOn w:val="1"/>
    <w:link w:val="57"/>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19">
    <w:name w:val="toc 1"/>
    <w:basedOn w:val="1"/>
    <w:next w:val="1"/>
    <w:qFormat/>
    <w:uiPriority w:val="99"/>
    <w:pPr>
      <w:spacing w:before="120"/>
      <w:jc w:val="left"/>
    </w:pPr>
    <w:rPr>
      <w:rFonts w:ascii="Calibri" w:hAnsi="Calibri"/>
      <w:b/>
      <w:bCs/>
      <w:i/>
      <w:iCs/>
      <w:sz w:val="24"/>
      <w:szCs w:val="24"/>
    </w:rPr>
  </w:style>
  <w:style w:type="paragraph" w:styleId="20">
    <w:name w:val="List 5"/>
    <w:basedOn w:val="1"/>
    <w:qFormat/>
    <w:uiPriority w:val="99"/>
    <w:pPr>
      <w:widowControl w:val="0"/>
      <w:spacing w:line="240" w:lineRule="auto"/>
      <w:ind w:left="2100" w:hanging="420"/>
    </w:pPr>
    <w:rPr>
      <w:rFonts w:eastAsia="楷体_GB2312"/>
      <w:color w:val="auto"/>
      <w:kern w:val="2"/>
      <w:sz w:val="32"/>
    </w:rPr>
  </w:style>
  <w:style w:type="paragraph" w:styleId="21">
    <w:name w:val="Body Text Indent 3"/>
    <w:basedOn w:val="1"/>
    <w:link w:val="58"/>
    <w:autoRedefine/>
    <w:qFormat/>
    <w:uiPriority w:val="99"/>
    <w:pPr>
      <w:ind w:left="420" w:leftChars="200"/>
    </w:pPr>
    <w:rPr>
      <w:sz w:val="16"/>
      <w:szCs w:val="16"/>
    </w:rPr>
  </w:style>
  <w:style w:type="paragraph" w:styleId="22">
    <w:name w:val="Body Text 2"/>
    <w:basedOn w:val="1"/>
    <w:next w:val="2"/>
    <w:link w:val="59"/>
    <w:qFormat/>
    <w:uiPriority w:val="99"/>
    <w:pPr>
      <w:widowControl w:val="0"/>
      <w:spacing w:line="360" w:lineRule="auto"/>
    </w:pPr>
    <w:rPr>
      <w:sz w:val="20"/>
    </w:rPr>
  </w:style>
  <w:style w:type="paragraph" w:styleId="23">
    <w:name w:val="List 4"/>
    <w:basedOn w:val="1"/>
    <w:autoRedefine/>
    <w:qFormat/>
    <w:uiPriority w:val="99"/>
    <w:pPr>
      <w:widowControl w:val="0"/>
      <w:spacing w:line="240" w:lineRule="auto"/>
      <w:ind w:left="1680" w:hanging="420"/>
    </w:pPr>
    <w:rPr>
      <w:rFonts w:eastAsia="楷体_GB2312"/>
      <w:color w:val="auto"/>
      <w:kern w:val="2"/>
      <w:sz w:val="32"/>
    </w:rPr>
  </w:style>
  <w:style w:type="paragraph" w:styleId="24">
    <w:name w:val="Normal (Web)"/>
    <w:basedOn w:val="1"/>
    <w:qFormat/>
    <w:uiPriority w:val="99"/>
    <w:pPr>
      <w:spacing w:beforeAutospacing="1" w:afterAutospacing="1" w:line="240" w:lineRule="auto"/>
      <w:jc w:val="left"/>
    </w:pPr>
    <w:rPr>
      <w:rFonts w:ascii="宋体" w:hAnsi="宋体"/>
      <w:color w:val="auto"/>
      <w:sz w:val="24"/>
      <w:szCs w:val="24"/>
    </w:rPr>
  </w:style>
  <w:style w:type="paragraph" w:styleId="25">
    <w:name w:val="Title"/>
    <w:basedOn w:val="1"/>
    <w:link w:val="60"/>
    <w:autoRedefine/>
    <w:qFormat/>
    <w:uiPriority w:val="99"/>
    <w:pPr>
      <w:widowControl w:val="0"/>
      <w:spacing w:line="240" w:lineRule="auto"/>
      <w:jc w:val="center"/>
      <w:outlineLvl w:val="0"/>
    </w:pPr>
    <w:rPr>
      <w:rFonts w:ascii="Cambria" w:hAnsi="Cambria"/>
      <w:b/>
      <w:bCs/>
      <w:sz w:val="32"/>
      <w:szCs w:val="32"/>
    </w:rPr>
  </w:style>
  <w:style w:type="paragraph" w:styleId="26">
    <w:name w:val="Body Text First Indent"/>
    <w:basedOn w:val="2"/>
    <w:next w:val="27"/>
    <w:link w:val="61"/>
    <w:qFormat/>
    <w:uiPriority w:val="99"/>
    <w:pPr>
      <w:ind w:firstLine="420" w:firstLineChars="100"/>
    </w:pPr>
    <w:rPr>
      <w:sz w:val="21"/>
    </w:rPr>
  </w:style>
  <w:style w:type="paragraph" w:styleId="27">
    <w:name w:val="Body Text First Indent 2"/>
    <w:basedOn w:val="11"/>
    <w:link w:val="62"/>
    <w:qFormat/>
    <w:uiPriority w:val="99"/>
    <w:pPr>
      <w:ind w:firstLine="420" w:firstLineChars="200"/>
    </w:pPr>
  </w:style>
  <w:style w:type="table" w:styleId="29">
    <w:name w:val="Table Grid"/>
    <w:basedOn w:val="2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99"/>
    <w:rPr>
      <w:rFonts w:eastAsia="仿宋_GB2312" w:cs="Times New Roman"/>
      <w:sz w:val="32"/>
    </w:rPr>
  </w:style>
  <w:style w:type="character" w:styleId="32">
    <w:name w:val="page number"/>
    <w:qFormat/>
    <w:uiPriority w:val="99"/>
    <w:rPr>
      <w:rFonts w:cs="Times New Roman"/>
    </w:rPr>
  </w:style>
  <w:style w:type="character" w:styleId="33">
    <w:name w:val="FollowedHyperlink"/>
    <w:autoRedefine/>
    <w:qFormat/>
    <w:uiPriority w:val="99"/>
    <w:rPr>
      <w:rFonts w:eastAsia="仿宋_GB2312" w:cs="Times New Roman"/>
      <w:color w:val="800080"/>
      <w:sz w:val="32"/>
      <w:u w:val="none"/>
    </w:rPr>
  </w:style>
  <w:style w:type="character" w:styleId="34">
    <w:name w:val="Emphasis"/>
    <w:autoRedefine/>
    <w:qFormat/>
    <w:uiPriority w:val="99"/>
    <w:rPr>
      <w:rFonts w:eastAsia="仿宋_GB2312" w:cs="Times New Roman"/>
      <w:sz w:val="32"/>
    </w:rPr>
  </w:style>
  <w:style w:type="character" w:styleId="35">
    <w:name w:val="HTML Definition"/>
    <w:qFormat/>
    <w:uiPriority w:val="99"/>
    <w:rPr>
      <w:rFonts w:eastAsia="仿宋_GB2312" w:cs="Times New Roman"/>
      <w:sz w:val="32"/>
    </w:rPr>
  </w:style>
  <w:style w:type="character" w:styleId="36">
    <w:name w:val="HTML Typewriter"/>
    <w:qFormat/>
    <w:uiPriority w:val="99"/>
    <w:rPr>
      <w:rFonts w:ascii="monospace" w:hAnsi="monospace" w:cs="Times New Roman"/>
      <w:sz w:val="32"/>
    </w:rPr>
  </w:style>
  <w:style w:type="character" w:styleId="37">
    <w:name w:val="HTML Acronym"/>
    <w:qFormat/>
    <w:uiPriority w:val="99"/>
    <w:rPr>
      <w:rFonts w:cs="Times New Roman"/>
    </w:rPr>
  </w:style>
  <w:style w:type="character" w:styleId="38">
    <w:name w:val="HTML Variable"/>
    <w:qFormat/>
    <w:uiPriority w:val="99"/>
    <w:rPr>
      <w:rFonts w:eastAsia="仿宋_GB2312" w:cs="Times New Roman"/>
      <w:sz w:val="32"/>
    </w:rPr>
  </w:style>
  <w:style w:type="character" w:styleId="39">
    <w:name w:val="Hyperlink"/>
    <w:qFormat/>
    <w:uiPriority w:val="99"/>
    <w:rPr>
      <w:rFonts w:eastAsia="仿宋_GB2312" w:cs="Times New Roman"/>
      <w:color w:val="0000FF"/>
      <w:sz w:val="32"/>
      <w:u w:val="none"/>
    </w:rPr>
  </w:style>
  <w:style w:type="character" w:styleId="40">
    <w:name w:val="HTML Code"/>
    <w:qFormat/>
    <w:uiPriority w:val="99"/>
    <w:rPr>
      <w:rFonts w:ascii="monospace" w:hAnsi="monospace" w:cs="Times New Roman"/>
      <w:sz w:val="32"/>
    </w:rPr>
  </w:style>
  <w:style w:type="character" w:styleId="41">
    <w:name w:val="annotation reference"/>
    <w:qFormat/>
    <w:uiPriority w:val="99"/>
    <w:rPr>
      <w:rFonts w:cs="Times New Roman"/>
      <w:sz w:val="21"/>
    </w:rPr>
  </w:style>
  <w:style w:type="character" w:styleId="42">
    <w:name w:val="HTML Cite"/>
    <w:autoRedefine/>
    <w:qFormat/>
    <w:uiPriority w:val="99"/>
    <w:rPr>
      <w:rFonts w:eastAsia="仿宋_GB2312" w:cs="Times New Roman"/>
      <w:sz w:val="32"/>
    </w:rPr>
  </w:style>
  <w:style w:type="character" w:styleId="43">
    <w:name w:val="HTML Keyboard"/>
    <w:qFormat/>
    <w:uiPriority w:val="99"/>
    <w:rPr>
      <w:rFonts w:ascii="monospace" w:hAnsi="monospace" w:cs="Times New Roman"/>
      <w:sz w:val="32"/>
    </w:rPr>
  </w:style>
  <w:style w:type="character" w:styleId="44">
    <w:name w:val="HTML Sample"/>
    <w:autoRedefine/>
    <w:qFormat/>
    <w:uiPriority w:val="99"/>
    <w:rPr>
      <w:rFonts w:ascii="monospace" w:hAnsi="monospace" w:cs="Times New Roman"/>
      <w:sz w:val="32"/>
    </w:rPr>
  </w:style>
  <w:style w:type="character" w:customStyle="1" w:styleId="45">
    <w:name w:val="标题 1 Char"/>
    <w:link w:val="4"/>
    <w:autoRedefine/>
    <w:qFormat/>
    <w:locked/>
    <w:uiPriority w:val="99"/>
    <w:rPr>
      <w:rFonts w:cs="Times New Roman"/>
      <w:b/>
      <w:bCs/>
      <w:color w:val="000000"/>
      <w:kern w:val="44"/>
      <w:sz w:val="44"/>
      <w:szCs w:val="44"/>
    </w:rPr>
  </w:style>
  <w:style w:type="character" w:customStyle="1" w:styleId="46">
    <w:name w:val="标题 2 Char"/>
    <w:link w:val="5"/>
    <w:semiHidden/>
    <w:qFormat/>
    <w:locked/>
    <w:uiPriority w:val="99"/>
    <w:rPr>
      <w:rFonts w:ascii="Cambria" w:hAnsi="Cambria" w:eastAsia="宋体" w:cs="Times New Roman"/>
      <w:b/>
      <w:bCs/>
      <w:color w:val="000000"/>
      <w:kern w:val="0"/>
      <w:sz w:val="32"/>
      <w:szCs w:val="32"/>
    </w:rPr>
  </w:style>
  <w:style w:type="character" w:customStyle="1" w:styleId="47">
    <w:name w:val="标题 3 Char"/>
    <w:link w:val="7"/>
    <w:autoRedefine/>
    <w:semiHidden/>
    <w:qFormat/>
    <w:locked/>
    <w:uiPriority w:val="99"/>
    <w:rPr>
      <w:rFonts w:cs="Times New Roman"/>
      <w:b/>
      <w:bCs/>
      <w:color w:val="000000"/>
      <w:kern w:val="0"/>
      <w:sz w:val="32"/>
      <w:szCs w:val="32"/>
    </w:rPr>
  </w:style>
  <w:style w:type="character" w:customStyle="1" w:styleId="48">
    <w:name w:val="标题 4 Char"/>
    <w:link w:val="8"/>
    <w:autoRedefine/>
    <w:semiHidden/>
    <w:qFormat/>
    <w:locked/>
    <w:uiPriority w:val="99"/>
    <w:rPr>
      <w:rFonts w:ascii="Cambria" w:hAnsi="Cambria" w:eastAsia="宋体" w:cs="Times New Roman"/>
      <w:b/>
      <w:bCs/>
      <w:color w:val="000000"/>
      <w:kern w:val="0"/>
      <w:sz w:val="28"/>
      <w:szCs w:val="28"/>
    </w:rPr>
  </w:style>
  <w:style w:type="character" w:customStyle="1" w:styleId="49">
    <w:name w:val="正文文本 Char"/>
    <w:link w:val="2"/>
    <w:autoRedefine/>
    <w:semiHidden/>
    <w:qFormat/>
    <w:locked/>
    <w:uiPriority w:val="99"/>
    <w:rPr>
      <w:rFonts w:cs="Times New Roman"/>
      <w:color w:val="000000"/>
      <w:kern w:val="0"/>
      <w:sz w:val="20"/>
      <w:szCs w:val="20"/>
    </w:rPr>
  </w:style>
  <w:style w:type="character" w:customStyle="1" w:styleId="50">
    <w:name w:val="文档结构图 Char"/>
    <w:link w:val="9"/>
    <w:autoRedefine/>
    <w:qFormat/>
    <w:locked/>
    <w:uiPriority w:val="99"/>
    <w:rPr>
      <w:rFonts w:ascii="宋体" w:hAnsi="Times New Roman" w:cs="Times New Roman"/>
      <w:color w:val="000000"/>
      <w:sz w:val="18"/>
    </w:rPr>
  </w:style>
  <w:style w:type="character" w:customStyle="1" w:styleId="51">
    <w:name w:val="正文文本 3 Char"/>
    <w:link w:val="10"/>
    <w:autoRedefine/>
    <w:semiHidden/>
    <w:qFormat/>
    <w:locked/>
    <w:uiPriority w:val="99"/>
    <w:rPr>
      <w:rFonts w:cs="Times New Roman"/>
      <w:color w:val="000000"/>
      <w:kern w:val="0"/>
      <w:sz w:val="16"/>
      <w:szCs w:val="16"/>
    </w:rPr>
  </w:style>
  <w:style w:type="character" w:customStyle="1" w:styleId="52">
    <w:name w:val="正文文本缩进 Char"/>
    <w:link w:val="11"/>
    <w:autoRedefine/>
    <w:semiHidden/>
    <w:qFormat/>
    <w:locked/>
    <w:uiPriority w:val="99"/>
    <w:rPr>
      <w:rFonts w:cs="Times New Roman"/>
      <w:color w:val="000000"/>
      <w:kern w:val="0"/>
      <w:sz w:val="20"/>
      <w:szCs w:val="20"/>
    </w:rPr>
  </w:style>
  <w:style w:type="character" w:customStyle="1" w:styleId="53">
    <w:name w:val="纯文本 Char"/>
    <w:link w:val="13"/>
    <w:qFormat/>
    <w:locked/>
    <w:uiPriority w:val="99"/>
    <w:rPr>
      <w:rFonts w:ascii="宋体" w:hAnsi="Courier New" w:cs="Times New Roman"/>
      <w:kern w:val="2"/>
      <w:sz w:val="21"/>
    </w:rPr>
  </w:style>
  <w:style w:type="character" w:customStyle="1" w:styleId="54">
    <w:name w:val="日期 Char"/>
    <w:link w:val="14"/>
    <w:autoRedefine/>
    <w:semiHidden/>
    <w:qFormat/>
    <w:locked/>
    <w:uiPriority w:val="99"/>
    <w:rPr>
      <w:rFonts w:cs="Times New Roman"/>
      <w:color w:val="000000"/>
      <w:kern w:val="0"/>
      <w:sz w:val="20"/>
      <w:szCs w:val="20"/>
    </w:rPr>
  </w:style>
  <w:style w:type="character" w:customStyle="1" w:styleId="55">
    <w:name w:val="批注框文本 Char"/>
    <w:link w:val="15"/>
    <w:autoRedefine/>
    <w:qFormat/>
    <w:locked/>
    <w:uiPriority w:val="99"/>
    <w:rPr>
      <w:rFonts w:cs="Times New Roman"/>
      <w:color w:val="000000"/>
      <w:sz w:val="18"/>
    </w:rPr>
  </w:style>
  <w:style w:type="character" w:customStyle="1" w:styleId="56">
    <w:name w:val="页脚 Char"/>
    <w:link w:val="16"/>
    <w:qFormat/>
    <w:locked/>
    <w:uiPriority w:val="99"/>
    <w:rPr>
      <w:rFonts w:ascii="Times New Roman" w:hAnsi="Times New Roman" w:cs="Times New Roman"/>
      <w:color w:val="000000"/>
      <w:sz w:val="18"/>
    </w:rPr>
  </w:style>
  <w:style w:type="character" w:customStyle="1" w:styleId="57">
    <w:name w:val="页眉 Char"/>
    <w:link w:val="18"/>
    <w:autoRedefine/>
    <w:qFormat/>
    <w:locked/>
    <w:uiPriority w:val="99"/>
    <w:rPr>
      <w:rFonts w:ascii="Times New Roman" w:hAnsi="Times New Roman" w:cs="Times New Roman"/>
      <w:color w:val="000000"/>
      <w:sz w:val="18"/>
    </w:rPr>
  </w:style>
  <w:style w:type="character" w:customStyle="1" w:styleId="58">
    <w:name w:val="正文文本缩进 3 Char"/>
    <w:link w:val="21"/>
    <w:autoRedefine/>
    <w:semiHidden/>
    <w:qFormat/>
    <w:locked/>
    <w:uiPriority w:val="99"/>
    <w:rPr>
      <w:rFonts w:cs="Times New Roman"/>
      <w:color w:val="000000"/>
      <w:kern w:val="0"/>
      <w:sz w:val="16"/>
      <w:szCs w:val="16"/>
    </w:rPr>
  </w:style>
  <w:style w:type="character" w:customStyle="1" w:styleId="59">
    <w:name w:val="正文文本 2 Char"/>
    <w:link w:val="22"/>
    <w:autoRedefine/>
    <w:semiHidden/>
    <w:qFormat/>
    <w:locked/>
    <w:uiPriority w:val="99"/>
    <w:rPr>
      <w:rFonts w:cs="Times New Roman"/>
      <w:color w:val="000000"/>
      <w:kern w:val="0"/>
      <w:sz w:val="20"/>
      <w:szCs w:val="20"/>
    </w:rPr>
  </w:style>
  <w:style w:type="character" w:customStyle="1" w:styleId="60">
    <w:name w:val="标题 Char"/>
    <w:link w:val="25"/>
    <w:autoRedefine/>
    <w:qFormat/>
    <w:locked/>
    <w:uiPriority w:val="99"/>
    <w:rPr>
      <w:rFonts w:ascii="Cambria" w:hAnsi="Cambria" w:cs="Times New Roman"/>
      <w:b/>
      <w:bCs/>
      <w:color w:val="000000"/>
      <w:kern w:val="0"/>
      <w:sz w:val="32"/>
      <w:szCs w:val="32"/>
    </w:rPr>
  </w:style>
  <w:style w:type="character" w:customStyle="1" w:styleId="61">
    <w:name w:val="正文首行缩进 Char"/>
    <w:link w:val="26"/>
    <w:qFormat/>
    <w:locked/>
    <w:uiPriority w:val="99"/>
    <w:rPr>
      <w:rFonts w:cs="Times New Roman"/>
      <w:color w:val="000000"/>
      <w:sz w:val="21"/>
    </w:rPr>
  </w:style>
  <w:style w:type="character" w:customStyle="1" w:styleId="62">
    <w:name w:val="正文首行缩进 2 Char"/>
    <w:basedOn w:val="52"/>
    <w:link w:val="27"/>
    <w:semiHidden/>
    <w:qFormat/>
    <w:locked/>
    <w:uiPriority w:val="99"/>
    <w:rPr>
      <w:rFonts w:cs="Times New Roman"/>
      <w:color w:val="000000"/>
      <w:kern w:val="0"/>
      <w:sz w:val="20"/>
      <w:szCs w:val="20"/>
    </w:rPr>
  </w:style>
  <w:style w:type="character" w:customStyle="1" w:styleId="63">
    <w:name w:val="font61"/>
    <w:qFormat/>
    <w:uiPriority w:val="99"/>
    <w:rPr>
      <w:rFonts w:ascii="宋体" w:hAnsi="宋体" w:eastAsia="宋体"/>
      <w:b/>
      <w:color w:val="000000"/>
      <w:sz w:val="24"/>
      <w:u w:val="none"/>
    </w:rPr>
  </w:style>
  <w:style w:type="character" w:customStyle="1" w:styleId="64">
    <w:name w:val="font21"/>
    <w:autoRedefine/>
    <w:qFormat/>
    <w:uiPriority w:val="99"/>
    <w:rPr>
      <w:rFonts w:ascii="宋体" w:hAnsi="宋体" w:eastAsia="宋体"/>
      <w:color w:val="000000"/>
      <w:sz w:val="21"/>
      <w:u w:val="none"/>
    </w:rPr>
  </w:style>
  <w:style w:type="character" w:customStyle="1" w:styleId="65">
    <w:name w:val="hover16"/>
    <w:autoRedefine/>
    <w:qFormat/>
    <w:uiPriority w:val="99"/>
    <w:rPr>
      <w:rFonts w:cs="Times New Roman"/>
    </w:rPr>
  </w:style>
  <w:style w:type="character" w:customStyle="1" w:styleId="66">
    <w:name w:val="font151"/>
    <w:autoRedefine/>
    <w:qFormat/>
    <w:uiPriority w:val="99"/>
    <w:rPr>
      <w:rFonts w:ascii="font-weight : 400" w:hAnsi="font-weight : 400"/>
      <w:color w:val="000000"/>
      <w:sz w:val="22"/>
      <w:u w:val="none"/>
    </w:rPr>
  </w:style>
  <w:style w:type="character" w:customStyle="1" w:styleId="67">
    <w:name w:val="font111"/>
    <w:autoRedefine/>
    <w:qFormat/>
    <w:uiPriority w:val="99"/>
    <w:rPr>
      <w:rFonts w:ascii="宋体" w:hAnsi="宋体" w:eastAsia="宋体"/>
      <w:color w:val="000000"/>
      <w:sz w:val="20"/>
      <w:u w:val="none"/>
      <w:vertAlign w:val="subscript"/>
    </w:rPr>
  </w:style>
  <w:style w:type="character" w:customStyle="1" w:styleId="68">
    <w:name w:val="first-child1"/>
    <w:autoRedefine/>
    <w:qFormat/>
    <w:uiPriority w:val="99"/>
    <w:rPr>
      <w:rFonts w:eastAsia="仿宋_GB2312"/>
      <w:color w:val="1F3149"/>
      <w:sz w:val="24"/>
    </w:rPr>
  </w:style>
  <w:style w:type="character" w:customStyle="1" w:styleId="69">
    <w:name w:val="font181"/>
    <w:autoRedefine/>
    <w:qFormat/>
    <w:uiPriority w:val="99"/>
    <w:rPr>
      <w:rFonts w:ascii="Times New Roman" w:hAnsi="Times New Roman" w:eastAsia="仿宋_GB2312"/>
      <w:color w:val="000000"/>
      <w:sz w:val="18"/>
      <w:u w:val="none"/>
    </w:rPr>
  </w:style>
  <w:style w:type="character" w:customStyle="1" w:styleId="70">
    <w:name w:val="font141"/>
    <w:autoRedefine/>
    <w:qFormat/>
    <w:uiPriority w:val="99"/>
    <w:rPr>
      <w:rFonts w:ascii="宋体" w:hAnsi="宋体" w:eastAsia="宋体"/>
      <w:color w:val="FF0000"/>
      <w:sz w:val="20"/>
      <w:u w:val="none"/>
    </w:rPr>
  </w:style>
  <w:style w:type="character" w:customStyle="1" w:styleId="71">
    <w:name w:val="hover17"/>
    <w:autoRedefine/>
    <w:qFormat/>
    <w:uiPriority w:val="99"/>
    <w:rPr>
      <w:rFonts w:cs="Times New Roman"/>
    </w:rPr>
  </w:style>
  <w:style w:type="character" w:customStyle="1" w:styleId="72">
    <w:name w:val="font31"/>
    <w:autoRedefine/>
    <w:qFormat/>
    <w:uiPriority w:val="99"/>
    <w:rPr>
      <w:rFonts w:ascii="Times New Roman" w:hAnsi="Times New Roman" w:eastAsia="仿宋_GB2312"/>
      <w:color w:val="000000"/>
      <w:sz w:val="21"/>
      <w:u w:val="none"/>
    </w:rPr>
  </w:style>
  <w:style w:type="character" w:customStyle="1" w:styleId="73">
    <w:name w:val="font71"/>
    <w:autoRedefine/>
    <w:qFormat/>
    <w:uiPriority w:val="99"/>
    <w:rPr>
      <w:rFonts w:ascii="宋体" w:hAnsi="宋体" w:eastAsia="宋体"/>
      <w:color w:val="000000"/>
      <w:sz w:val="18"/>
      <w:u w:val="none"/>
    </w:rPr>
  </w:style>
  <w:style w:type="character" w:customStyle="1" w:styleId="74">
    <w:name w:val="font191"/>
    <w:autoRedefine/>
    <w:qFormat/>
    <w:uiPriority w:val="99"/>
    <w:rPr>
      <w:rFonts w:ascii="宋体" w:hAnsi="宋体" w:eastAsia="宋体"/>
      <w:color w:val="000000"/>
      <w:sz w:val="18"/>
      <w:u w:val="none"/>
    </w:rPr>
  </w:style>
  <w:style w:type="character" w:customStyle="1" w:styleId="75">
    <w:name w:val="font11"/>
    <w:autoRedefine/>
    <w:qFormat/>
    <w:uiPriority w:val="99"/>
    <w:rPr>
      <w:rFonts w:ascii="宋体" w:hAnsi="宋体" w:eastAsia="宋体"/>
      <w:color w:val="FF0000"/>
      <w:sz w:val="18"/>
      <w:u w:val="none"/>
    </w:rPr>
  </w:style>
  <w:style w:type="character" w:customStyle="1" w:styleId="76">
    <w:name w:val="font171"/>
    <w:autoRedefine/>
    <w:qFormat/>
    <w:uiPriority w:val="99"/>
    <w:rPr>
      <w:rFonts w:ascii="宋体" w:hAnsi="宋体" w:eastAsia="宋体"/>
      <w:color w:val="000000"/>
      <w:sz w:val="21"/>
      <w:u w:val="none"/>
    </w:rPr>
  </w:style>
  <w:style w:type="character" w:customStyle="1" w:styleId="77">
    <w:name w:val="font51"/>
    <w:autoRedefine/>
    <w:qFormat/>
    <w:uiPriority w:val="99"/>
    <w:rPr>
      <w:rFonts w:ascii="宋体" w:hAnsi="宋体" w:eastAsia="宋体"/>
      <w:color w:val="000000"/>
      <w:sz w:val="21"/>
      <w:u w:val="none"/>
      <w:vertAlign w:val="subscript"/>
    </w:rPr>
  </w:style>
  <w:style w:type="character" w:customStyle="1" w:styleId="78">
    <w:name w:val="font131"/>
    <w:autoRedefine/>
    <w:qFormat/>
    <w:uiPriority w:val="99"/>
    <w:rPr>
      <w:rFonts w:ascii="宋体" w:hAnsi="宋体" w:eastAsia="宋体"/>
      <w:color w:val="000000"/>
      <w:sz w:val="20"/>
      <w:u w:val="none"/>
      <w:vertAlign w:val="subscript"/>
    </w:rPr>
  </w:style>
  <w:style w:type="character" w:customStyle="1" w:styleId="79">
    <w:name w:val="fr"/>
    <w:autoRedefine/>
    <w:qFormat/>
    <w:uiPriority w:val="99"/>
    <w:rPr>
      <w:rFonts w:cs="Times New Roman"/>
    </w:rPr>
  </w:style>
  <w:style w:type="character" w:customStyle="1" w:styleId="80">
    <w:name w:val="first-child2"/>
    <w:autoRedefine/>
    <w:qFormat/>
    <w:uiPriority w:val="99"/>
    <w:rPr>
      <w:rFonts w:eastAsia="仿宋_GB2312"/>
      <w:color w:val="1F3149"/>
      <w:sz w:val="24"/>
    </w:rPr>
  </w:style>
  <w:style w:type="character" w:customStyle="1" w:styleId="81">
    <w:name w:val="first-child"/>
    <w:autoRedefine/>
    <w:qFormat/>
    <w:uiPriority w:val="99"/>
    <w:rPr>
      <w:rFonts w:eastAsia="仿宋_GB2312"/>
      <w:color w:val="1F3149"/>
      <w:sz w:val="24"/>
    </w:rPr>
  </w:style>
  <w:style w:type="character" w:customStyle="1" w:styleId="82">
    <w:name w:val="font41"/>
    <w:autoRedefine/>
    <w:qFormat/>
    <w:uiPriority w:val="99"/>
    <w:rPr>
      <w:rFonts w:ascii="宋体" w:hAnsi="宋体" w:eastAsia="宋体"/>
      <w:b/>
      <w:color w:val="000000"/>
      <w:sz w:val="24"/>
      <w:u w:val="none"/>
    </w:rPr>
  </w:style>
  <w:style w:type="character" w:customStyle="1" w:styleId="83">
    <w:name w:val="font81"/>
    <w:autoRedefine/>
    <w:qFormat/>
    <w:uiPriority w:val="99"/>
    <w:rPr>
      <w:rFonts w:ascii="宋体" w:hAnsi="宋体" w:eastAsia="宋体"/>
      <w:color w:val="000000"/>
      <w:sz w:val="18"/>
      <w:u w:val="none"/>
    </w:rPr>
  </w:style>
  <w:style w:type="character" w:customStyle="1" w:styleId="84">
    <w:name w:val="font121"/>
    <w:qFormat/>
    <w:uiPriority w:val="99"/>
    <w:rPr>
      <w:rFonts w:ascii="宋体" w:hAnsi="宋体" w:eastAsia="宋体"/>
      <w:color w:val="000000"/>
      <w:sz w:val="21"/>
      <w:u w:val="none"/>
    </w:rPr>
  </w:style>
  <w:style w:type="character" w:customStyle="1" w:styleId="85">
    <w:name w:val="icon_ds1"/>
    <w:autoRedefine/>
    <w:qFormat/>
    <w:uiPriority w:val="99"/>
    <w:rPr>
      <w:rFonts w:eastAsia="仿宋_GB2312"/>
      <w:sz w:val="21"/>
    </w:rPr>
  </w:style>
  <w:style w:type="character" w:customStyle="1" w:styleId="86">
    <w:name w:val="font161"/>
    <w:autoRedefine/>
    <w:qFormat/>
    <w:uiPriority w:val="99"/>
    <w:rPr>
      <w:rFonts w:ascii="宋体" w:hAnsi="宋体" w:eastAsia="宋体"/>
      <w:b/>
      <w:color w:val="000000"/>
      <w:sz w:val="18"/>
      <w:u w:val="none"/>
    </w:rPr>
  </w:style>
  <w:style w:type="character" w:customStyle="1" w:styleId="87">
    <w:name w:val="普通文字 Char Char2"/>
    <w:autoRedefine/>
    <w:qFormat/>
    <w:uiPriority w:val="99"/>
    <w:rPr>
      <w:rFonts w:ascii="宋体" w:hAnsi="Courier New" w:eastAsia="宋体"/>
      <w:kern w:val="2"/>
      <w:sz w:val="21"/>
      <w:u w:color="000000"/>
      <w:lang w:val="en-US" w:eastAsia="zh-CN"/>
    </w:rPr>
  </w:style>
  <w:style w:type="character" w:customStyle="1" w:styleId="88">
    <w:name w:val="icon_ds"/>
    <w:autoRedefine/>
    <w:qFormat/>
    <w:uiPriority w:val="99"/>
    <w:rPr>
      <w:rFonts w:eastAsia="仿宋_GB2312"/>
      <w:sz w:val="32"/>
    </w:rPr>
  </w:style>
  <w:style w:type="character" w:customStyle="1" w:styleId="89">
    <w:name w:val="font01"/>
    <w:autoRedefine/>
    <w:qFormat/>
    <w:uiPriority w:val="99"/>
    <w:rPr>
      <w:rFonts w:ascii="宋体" w:hAnsi="宋体" w:eastAsia="宋体"/>
      <w:color w:val="FF0000"/>
      <w:sz w:val="22"/>
      <w:u w:val="none"/>
    </w:rPr>
  </w:style>
  <w:style w:type="character" w:customStyle="1" w:styleId="90">
    <w:name w:val="icon_gys"/>
    <w:autoRedefine/>
    <w:qFormat/>
    <w:uiPriority w:val="99"/>
    <w:rPr>
      <w:rFonts w:eastAsia="仿宋_GB2312"/>
      <w:sz w:val="21"/>
    </w:rPr>
  </w:style>
  <w:style w:type="character" w:customStyle="1" w:styleId="91">
    <w:name w:val="font112"/>
    <w:qFormat/>
    <w:uiPriority w:val="99"/>
    <w:rPr>
      <w:rFonts w:ascii="宋体" w:hAnsi="宋体" w:eastAsia="宋体"/>
      <w:b/>
      <w:color w:val="000000"/>
      <w:sz w:val="21"/>
      <w:u w:val="none"/>
    </w:rPr>
  </w:style>
  <w:style w:type="character" w:customStyle="1" w:styleId="92">
    <w:name w:val="layui-laypage-curr"/>
    <w:autoRedefine/>
    <w:qFormat/>
    <w:uiPriority w:val="99"/>
    <w:rPr>
      <w:rFonts w:cs="Times New Roman"/>
    </w:rPr>
  </w:style>
  <w:style w:type="character" w:customStyle="1" w:styleId="93">
    <w:name w:val="font91"/>
    <w:autoRedefine/>
    <w:qFormat/>
    <w:uiPriority w:val="99"/>
    <w:rPr>
      <w:rFonts w:ascii="宋体" w:hAnsi="宋体" w:eastAsia="宋体"/>
      <w:color w:val="FF0000"/>
      <w:sz w:val="21"/>
      <w:u w:val="none"/>
    </w:rPr>
  </w:style>
  <w:style w:type="character" w:customStyle="1" w:styleId="94">
    <w:name w:val="current-btn"/>
    <w:autoRedefine/>
    <w:qFormat/>
    <w:uiPriority w:val="99"/>
    <w:rPr>
      <w:rFonts w:eastAsia="仿宋_GB2312"/>
      <w:b/>
      <w:color w:val="FFFFFF"/>
      <w:sz w:val="19"/>
      <w:bdr w:val="single" w:color="A00100" w:sz="6" w:space="0"/>
      <w:shd w:val="clear" w:color="auto" w:fill="C00100"/>
    </w:rPr>
  </w:style>
  <w:style w:type="character" w:customStyle="1" w:styleId="95">
    <w:name w:val="xiadan"/>
    <w:autoRedefine/>
    <w:qFormat/>
    <w:uiPriority w:val="99"/>
    <w:rPr>
      <w:rFonts w:eastAsia="仿宋_GB2312"/>
      <w:sz w:val="32"/>
      <w:shd w:val="clear" w:color="auto" w:fill="E4393C"/>
    </w:rPr>
  </w:style>
  <w:style w:type="character" w:customStyle="1" w:styleId="96">
    <w:name w:val="fontstyle01"/>
    <w:autoRedefine/>
    <w:qFormat/>
    <w:uiPriority w:val="99"/>
    <w:rPr>
      <w:rFonts w:ascii="宋体" w:hAnsi="宋体" w:eastAsia="宋体"/>
      <w:color w:val="000000"/>
      <w:sz w:val="54"/>
    </w:rPr>
  </w:style>
  <w:style w:type="paragraph" w:customStyle="1" w:styleId="97">
    <w:name w:val="默认段落字体 Para Char Char Char Char Char Char Char Char Char Char"/>
    <w:basedOn w:val="9"/>
    <w:autoRedefine/>
    <w:qFormat/>
    <w:uiPriority w:val="99"/>
    <w:pPr>
      <w:widowControl w:val="0"/>
      <w:shd w:val="clear" w:color="auto" w:fill="000080"/>
      <w:spacing w:line="240" w:lineRule="auto"/>
    </w:pPr>
    <w:rPr>
      <w:rFonts w:ascii="Tahoma" w:hAnsi="Tahoma"/>
      <w:color w:val="auto"/>
      <w:kern w:val="2"/>
      <w:sz w:val="24"/>
      <w:szCs w:val="24"/>
    </w:rPr>
  </w:style>
  <w:style w:type="paragraph" w:customStyle="1" w:styleId="98">
    <w:name w:val="Char Char Char Char"/>
    <w:basedOn w:val="1"/>
    <w:autoRedefine/>
    <w:qFormat/>
    <w:uiPriority w:val="99"/>
    <w:pPr>
      <w:spacing w:line="360" w:lineRule="auto"/>
    </w:pPr>
    <w:rPr>
      <w:rFonts w:ascii="Calibri" w:hAnsi="Calibri"/>
    </w:rPr>
  </w:style>
  <w:style w:type="paragraph" w:customStyle="1" w:styleId="99">
    <w:name w:val="p0"/>
    <w:basedOn w:val="1"/>
    <w:autoRedefine/>
    <w:qFormat/>
    <w:uiPriority w:val="99"/>
    <w:pPr>
      <w:spacing w:line="240" w:lineRule="auto"/>
    </w:pPr>
    <w:rPr>
      <w:rFonts w:ascii="Calibri" w:hAnsi="Calibri" w:cs="宋体"/>
      <w:color w:val="auto"/>
      <w:szCs w:val="21"/>
    </w:rPr>
  </w:style>
  <w:style w:type="paragraph" w:customStyle="1" w:styleId="100">
    <w:name w:val="Table Paragraph"/>
    <w:basedOn w:val="1"/>
    <w:autoRedefine/>
    <w:qFormat/>
    <w:uiPriority w:val="99"/>
  </w:style>
  <w:style w:type="paragraph" w:customStyle="1" w:styleId="101">
    <w:name w:val="Char"/>
    <w:basedOn w:val="1"/>
    <w:autoRedefine/>
    <w:qFormat/>
    <w:uiPriority w:val="99"/>
    <w:rPr>
      <w:rFonts w:eastAsia="仿宋_GB2312"/>
      <w:sz w:val="32"/>
      <w:szCs w:val="32"/>
    </w:rPr>
  </w:style>
  <w:style w:type="paragraph" w:customStyle="1" w:styleId="102">
    <w:name w:val="正文 New New New New"/>
    <w:autoRedefine/>
    <w:qFormat/>
    <w:uiPriority w:val="99"/>
    <w:pPr>
      <w:widowControl w:val="0"/>
      <w:jc w:val="both"/>
    </w:pPr>
    <w:rPr>
      <w:rFonts w:ascii="Times New Roman" w:hAnsi="Times New Roman" w:eastAsia="宋体" w:cs="Times New Roman"/>
      <w:szCs w:val="24"/>
      <w:lang w:val="en-US" w:eastAsia="zh-CN" w:bidi="ar-SA"/>
    </w:rPr>
  </w:style>
  <w:style w:type="paragraph" w:styleId="103">
    <w:name w:val="List Paragraph"/>
    <w:basedOn w:val="1"/>
    <w:autoRedefine/>
    <w:qFormat/>
    <w:uiPriority w:val="99"/>
    <w:pPr>
      <w:ind w:firstLine="420" w:firstLineChars="200"/>
    </w:pPr>
  </w:style>
  <w:style w:type="paragraph" w:customStyle="1" w:styleId="104">
    <w:name w:val="首行缩进"/>
    <w:basedOn w:val="1"/>
    <w:autoRedefine/>
    <w:qFormat/>
    <w:uiPriority w:val="99"/>
    <w:pPr>
      <w:ind w:firstLine="480" w:firstLineChars="200"/>
    </w:pPr>
    <w:rPr>
      <w:lang w:val="zh-CN"/>
    </w:rPr>
  </w:style>
  <w:style w:type="paragraph" w:customStyle="1" w:styleId="105">
    <w:name w:val="列出段落1"/>
    <w:basedOn w:val="1"/>
    <w:autoRedefine/>
    <w:qFormat/>
    <w:uiPriority w:val="99"/>
    <w:pPr>
      <w:ind w:firstLine="420" w:firstLineChars="200"/>
    </w:pPr>
    <w:rPr>
      <w:rFonts w:ascii="Calibri" w:hAnsi="Calibri"/>
      <w:szCs w:val="22"/>
    </w:rPr>
  </w:style>
  <w:style w:type="paragraph" w:customStyle="1" w:styleId="106">
    <w:name w:val="shsj2em1"/>
    <w:basedOn w:val="1"/>
    <w:qFormat/>
    <w:uiPriority w:val="99"/>
    <w:pPr>
      <w:spacing w:line="432" w:lineRule="auto"/>
      <w:ind w:firstLine="480"/>
      <w:jc w:val="left"/>
    </w:pPr>
    <w:rPr>
      <w:rFonts w:ascii="微软雅黑" w:hAnsi="微软雅黑" w:eastAsia="微软雅黑" w:cs="宋体"/>
      <w:color w:val="auto"/>
      <w:sz w:val="24"/>
      <w:szCs w:val="24"/>
    </w:rPr>
  </w:style>
  <w:style w:type="paragraph" w:customStyle="1" w:styleId="107">
    <w:name w:val="Heading #2"/>
    <w:basedOn w:val="1"/>
    <w:autoRedefine/>
    <w:qFormat/>
    <w:uiPriority w:val="99"/>
    <w:pPr>
      <w:widowControl w:val="0"/>
      <w:shd w:val="clear" w:color="auto" w:fill="FFFFFF"/>
      <w:spacing w:before="1020" w:after="240" w:line="240" w:lineRule="atLeast"/>
      <w:outlineLvl w:val="1"/>
    </w:pPr>
    <w:rPr>
      <w:rFonts w:ascii="MingLiU" w:hAnsi="MingLiU" w:eastAsia="MingLiU" w:cs="MingLiU"/>
      <w:color w:val="auto"/>
      <w:kern w:val="2"/>
      <w:sz w:val="44"/>
      <w:szCs w:val="44"/>
    </w:rPr>
  </w:style>
  <w:style w:type="paragraph" w:customStyle="1" w:styleId="108">
    <w:name w:val="Body text (2)"/>
    <w:basedOn w:val="1"/>
    <w:link w:val="109"/>
    <w:autoRedefine/>
    <w:qFormat/>
    <w:uiPriority w:val="99"/>
    <w:pPr>
      <w:widowControl w:val="0"/>
      <w:shd w:val="clear" w:color="auto" w:fill="FFFFFF"/>
      <w:spacing w:before="780" w:after="1020" w:line="240" w:lineRule="atLeast"/>
      <w:jc w:val="center"/>
    </w:pPr>
    <w:rPr>
      <w:rFonts w:ascii="MingLiU" w:hAnsi="MingLiU" w:eastAsia="MingLiU"/>
      <w:color w:val="auto"/>
      <w:kern w:val="2"/>
      <w:sz w:val="30"/>
      <w:szCs w:val="30"/>
    </w:rPr>
  </w:style>
  <w:style w:type="character" w:customStyle="1" w:styleId="109">
    <w:name w:val="Body text (2)_"/>
    <w:link w:val="108"/>
    <w:qFormat/>
    <w:locked/>
    <w:uiPriority w:val="99"/>
    <w:rPr>
      <w:rFonts w:ascii="MingLiU" w:hAnsi="MingLiU" w:eastAsia="MingLiU" w:cs="MingLiU"/>
      <w:kern w:val="2"/>
      <w:sz w:val="30"/>
      <w:szCs w:val="30"/>
      <w:shd w:val="clear" w:color="auto" w:fill="FFFFFF"/>
    </w:rPr>
  </w:style>
  <w:style w:type="character" w:customStyle="1" w:styleId="110">
    <w:name w:val="纯文本 Char1"/>
    <w:qFormat/>
    <w:uiPriority w:val="99"/>
    <w:rPr>
      <w:rFonts w:ascii="宋体" w:hAnsi="Courier New" w:eastAsia="宋体"/>
      <w:color w:val="000000"/>
      <w:kern w:val="2"/>
      <w:sz w:val="21"/>
    </w:rPr>
  </w:style>
  <w:style w:type="paragraph" w:customStyle="1" w:styleId="111">
    <w:name w:val="Char1"/>
    <w:basedOn w:val="1"/>
    <w:qFormat/>
    <w:uiPriority w:val="99"/>
    <w:pPr>
      <w:widowControl w:val="0"/>
      <w:tabs>
        <w:tab w:val="right" w:pos="-2120"/>
      </w:tabs>
      <w:snapToGrid w:val="0"/>
      <w:spacing w:line="240" w:lineRule="auto"/>
    </w:pPr>
    <w:rPr>
      <w:rFonts w:ascii="Tahoma" w:hAnsi="Tahoma"/>
      <w:color w:val="auto"/>
      <w:spacing w:val="6"/>
      <w:kern w:val="2"/>
      <w:sz w:val="24"/>
    </w:rPr>
  </w:style>
  <w:style w:type="character" w:customStyle="1" w:styleId="112">
    <w:name w:val="未处理的提及1"/>
    <w:semiHidden/>
    <w:qFormat/>
    <w:uiPriority w:val="99"/>
    <w:rPr>
      <w:rFonts w:cs="Times New Roman"/>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72</Pages>
  <Words>37044</Words>
  <Characters>39047</Characters>
  <Lines>324</Lines>
  <Paragraphs>91</Paragraphs>
  <TotalTime>1</TotalTime>
  <ScaleCrop>false</ScaleCrop>
  <LinksUpToDate>false</LinksUpToDate>
  <CharactersWithSpaces>39310</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2021-05-13T00:57:00Z</dcterms:created>
  <dc:creator>Administrator</dc:creator>
  <cp:lastModifiedBy>心简单</cp:lastModifiedBy>
  <cp:lastPrinted>2021-07-26T09:17:00Z</cp:lastPrinted>
  <dcterms:modified xsi:type="dcterms:W3CDTF">2024-07-31T08:20:18Z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57628C8CFB5342FAB964A7AC5C41CA9E</vt:lpwstr>
  </property>
</Properties>
</file>