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AA126">
      <w:pPr>
        <w:rPr>
          <w:rFonts w:hint="eastAsia" w:eastAsia="宋体"/>
          <w:b/>
          <w:bCs/>
          <w:sz w:val="52"/>
          <w:szCs w:val="52"/>
          <w:lang w:eastAsia="zh-CN"/>
        </w:rPr>
      </w:pPr>
      <w:r>
        <w:rPr>
          <w:rFonts w:hint="eastAsia" w:eastAsia="宋体"/>
          <w:b/>
          <w:bCs/>
          <w:sz w:val="52"/>
          <w:szCs w:val="52"/>
          <w:lang w:eastAsia="zh-CN"/>
        </w:rPr>
        <w:drawing>
          <wp:inline distT="0" distB="0" distL="114300" distR="114300">
            <wp:extent cx="6021705" cy="8883015"/>
            <wp:effectExtent l="0" t="0" r="13335" b="1905"/>
            <wp:docPr id="161" name="图片 161" descr="39f1a22f377d2759b281d00210f0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39f1a22f377d2759b281d00210f0c03"/>
                    <pic:cNvPicPr>
                      <a:picLocks noChangeAspect="1"/>
                    </pic:cNvPicPr>
                  </pic:nvPicPr>
                  <pic:blipFill>
                    <a:blip r:embed="rId12"/>
                    <a:stretch>
                      <a:fillRect/>
                    </a:stretch>
                  </pic:blipFill>
                  <pic:spPr>
                    <a:xfrm>
                      <a:off x="0" y="0"/>
                      <a:ext cx="6021705" cy="8883015"/>
                    </a:xfrm>
                    <a:prstGeom prst="rect">
                      <a:avLst/>
                    </a:prstGeom>
                  </pic:spPr>
                </pic:pic>
              </a:graphicData>
            </a:graphic>
          </wp:inline>
        </w:drawing>
      </w:r>
    </w:p>
    <w:p w14:paraId="6EF17B7F">
      <w:pPr>
        <w:rPr>
          <w:b/>
          <w:bCs/>
          <w:sz w:val="52"/>
          <w:szCs w:val="52"/>
        </w:rPr>
      </w:pPr>
    </w:p>
    <w:p w14:paraId="4CD854F1">
      <w:pPr>
        <w:jc w:val="center"/>
        <w:rPr>
          <w:rFonts w:hint="eastAsia"/>
          <w:b/>
          <w:bCs/>
          <w:sz w:val="52"/>
          <w:szCs w:val="52"/>
          <w:lang w:val="en-US" w:eastAsia="zh-CN"/>
        </w:rPr>
      </w:pPr>
      <w:r>
        <w:rPr>
          <w:rFonts w:hint="eastAsia"/>
          <w:b/>
          <w:bCs/>
          <w:sz w:val="52"/>
          <w:szCs w:val="52"/>
          <w:lang w:val="en-US" w:eastAsia="zh-CN"/>
        </w:rPr>
        <w:t>南阳市第十三完全学校智慧校园</w:t>
      </w:r>
    </w:p>
    <w:p w14:paraId="27FF777C">
      <w:pPr>
        <w:jc w:val="center"/>
        <w:rPr>
          <w:rFonts w:hint="eastAsia"/>
          <w:b/>
          <w:bCs/>
          <w:sz w:val="52"/>
          <w:szCs w:val="52"/>
          <w:lang w:val="en-US" w:eastAsia="zh-CN"/>
        </w:rPr>
      </w:pPr>
      <w:r>
        <w:rPr>
          <w:rFonts w:hint="eastAsia"/>
          <w:b/>
          <w:bCs/>
          <w:sz w:val="52"/>
          <w:szCs w:val="52"/>
          <w:lang w:val="en-US" w:eastAsia="zh-CN"/>
        </w:rPr>
        <w:t>采购项目</w:t>
      </w:r>
    </w:p>
    <w:p w14:paraId="27A56591">
      <w:pPr>
        <w:jc w:val="center"/>
        <w:rPr>
          <w:rFonts w:hint="eastAsia" w:ascii="宋体" w:hAnsi="宋体" w:eastAsia="宋体" w:cs="宋体"/>
          <w:b/>
          <w:bCs/>
          <w:kern w:val="0"/>
          <w:sz w:val="36"/>
          <w:szCs w:val="36"/>
          <w:lang w:val="en-US" w:eastAsia="zh-CN"/>
        </w:rPr>
      </w:pPr>
      <w:r>
        <w:rPr>
          <w:rFonts w:hint="eastAsia" w:ascii="宋体" w:hAnsi="宋体" w:cs="宋体"/>
          <w:b/>
          <w:bCs/>
          <w:kern w:val="0"/>
          <w:sz w:val="36"/>
          <w:szCs w:val="36"/>
        </w:rPr>
        <w:t>项目编号：</w:t>
      </w:r>
      <w:r>
        <w:rPr>
          <w:rFonts w:hint="eastAsia" w:ascii="宋体" w:hAnsi="宋体" w:cs="宋体"/>
          <w:b/>
          <w:bCs/>
          <w:kern w:val="0"/>
          <w:sz w:val="36"/>
          <w:szCs w:val="36"/>
          <w:lang w:eastAsia="zh-CN"/>
        </w:rPr>
        <w:t>卧龙政采公开</w:t>
      </w:r>
      <w:r>
        <w:rPr>
          <w:rFonts w:hint="eastAsia" w:ascii="宋体" w:hAnsi="宋体" w:cs="宋体"/>
          <w:b/>
          <w:bCs/>
          <w:color w:val="000000" w:themeColor="text1"/>
          <w:kern w:val="0"/>
          <w:sz w:val="36"/>
          <w:szCs w:val="36"/>
          <w:lang w:eastAsia="zh-CN"/>
          <w14:textFill>
            <w14:solidFill>
              <w14:schemeClr w14:val="tx1"/>
            </w14:solidFill>
          </w14:textFill>
        </w:rPr>
        <w:t>-2024-</w:t>
      </w:r>
      <w:r>
        <w:rPr>
          <w:rFonts w:hint="eastAsia" w:ascii="宋体" w:hAnsi="宋体" w:cs="宋体"/>
          <w:b/>
          <w:bCs/>
          <w:color w:val="000000" w:themeColor="text1"/>
          <w:kern w:val="0"/>
          <w:sz w:val="36"/>
          <w:szCs w:val="36"/>
          <w:lang w:val="en-US" w:eastAsia="zh-CN"/>
          <w14:textFill>
            <w14:solidFill>
              <w14:schemeClr w14:val="tx1"/>
            </w14:solidFill>
          </w14:textFill>
        </w:rPr>
        <w:t>7</w:t>
      </w:r>
    </w:p>
    <w:p w14:paraId="392E401D">
      <w:pPr>
        <w:jc w:val="center"/>
        <w:rPr>
          <w:b/>
          <w:bCs/>
          <w:sz w:val="84"/>
          <w:szCs w:val="84"/>
        </w:rPr>
      </w:pPr>
    </w:p>
    <w:p w14:paraId="36E08916">
      <w:pPr>
        <w:jc w:val="center"/>
        <w:rPr>
          <w:b/>
          <w:bCs/>
          <w:sz w:val="84"/>
          <w:szCs w:val="84"/>
        </w:rPr>
      </w:pPr>
      <w:r>
        <w:rPr>
          <w:rFonts w:hint="eastAsia"/>
          <w:b/>
          <w:bCs/>
          <w:sz w:val="84"/>
          <w:szCs w:val="84"/>
        </w:rPr>
        <w:t>招标文件</w:t>
      </w:r>
    </w:p>
    <w:p w14:paraId="5A14C0EF">
      <w:pPr>
        <w:pStyle w:val="6"/>
        <w:jc w:val="center"/>
      </w:pPr>
    </w:p>
    <w:p w14:paraId="1D7CEA23">
      <w:pPr>
        <w:pStyle w:val="14"/>
        <w:ind w:firstLine="480"/>
      </w:pPr>
    </w:p>
    <w:p w14:paraId="685E5DD4">
      <w:pPr>
        <w:pStyle w:val="6"/>
        <w:ind w:firstLine="400"/>
      </w:pPr>
    </w:p>
    <w:p w14:paraId="28016558">
      <w:pPr>
        <w:ind w:firstLine="480"/>
      </w:pPr>
    </w:p>
    <w:p w14:paraId="382E51A1">
      <w:pPr>
        <w:pStyle w:val="6"/>
        <w:ind w:firstLine="400"/>
      </w:pPr>
    </w:p>
    <w:p w14:paraId="61AA3072">
      <w:pPr>
        <w:ind w:firstLine="723"/>
        <w:rPr>
          <w:b/>
          <w:bCs/>
          <w:sz w:val="36"/>
          <w:szCs w:val="36"/>
        </w:rPr>
      </w:pPr>
    </w:p>
    <w:p w14:paraId="2E4DD434">
      <w:pPr>
        <w:ind w:firstLine="1807" w:firstLineChars="500"/>
        <w:rPr>
          <w:rFonts w:hint="eastAsia" w:eastAsia="宋体"/>
          <w:b/>
          <w:bCs/>
          <w:sz w:val="36"/>
          <w:szCs w:val="36"/>
          <w:lang w:eastAsia="zh-CN"/>
        </w:rPr>
      </w:pPr>
      <w:bookmarkStart w:id="0" w:name="_Toc27397"/>
      <w:r>
        <w:rPr>
          <w:rFonts w:hint="eastAsia"/>
          <w:b/>
          <w:bCs/>
          <w:sz w:val="36"/>
          <w:szCs w:val="36"/>
        </w:rPr>
        <w:t>采 购 人：</w:t>
      </w:r>
      <w:r>
        <w:rPr>
          <w:rFonts w:hint="eastAsia"/>
          <w:b/>
          <w:bCs/>
          <w:sz w:val="36"/>
          <w:szCs w:val="36"/>
          <w:lang w:eastAsia="zh-CN"/>
        </w:rPr>
        <w:t>南阳市第十三完全学校</w:t>
      </w:r>
    </w:p>
    <w:p w14:paraId="53EE1352">
      <w:pPr>
        <w:ind w:firstLine="1807" w:firstLineChars="500"/>
        <w:rPr>
          <w:rFonts w:hint="eastAsia" w:eastAsia="宋体"/>
          <w:b/>
          <w:bCs/>
          <w:sz w:val="36"/>
          <w:szCs w:val="36"/>
          <w:lang w:eastAsia="zh-CN"/>
        </w:rPr>
      </w:pPr>
      <w:r>
        <w:rPr>
          <w:rFonts w:hint="eastAsia"/>
          <w:b/>
          <w:bCs/>
          <w:sz w:val="36"/>
          <w:szCs w:val="36"/>
        </w:rPr>
        <w:t>代理机构：</w:t>
      </w:r>
      <w:r>
        <w:rPr>
          <w:rFonts w:hint="eastAsia"/>
          <w:b/>
          <w:bCs/>
          <w:sz w:val="36"/>
          <w:szCs w:val="36"/>
          <w:lang w:eastAsia="zh-CN"/>
        </w:rPr>
        <w:t>河南合旺工程管理咨询有限公司</w:t>
      </w:r>
    </w:p>
    <w:p w14:paraId="72B2FE95">
      <w:pPr>
        <w:ind w:firstLine="1807" w:firstLineChars="500"/>
        <w:rPr>
          <w:sz w:val="28"/>
          <w:szCs w:val="28"/>
        </w:rPr>
      </w:pPr>
      <w:r>
        <w:rPr>
          <w:rFonts w:hint="eastAsia"/>
          <w:b/>
          <w:bCs/>
          <w:sz w:val="36"/>
          <w:szCs w:val="36"/>
        </w:rPr>
        <w:t>日    期：二○二</w:t>
      </w:r>
      <w:r>
        <w:rPr>
          <w:rFonts w:hint="eastAsia"/>
          <w:b/>
          <w:bCs/>
          <w:sz w:val="36"/>
          <w:szCs w:val="36"/>
          <w:lang w:val="en-US" w:eastAsia="zh-CN"/>
        </w:rPr>
        <w:t>四</w:t>
      </w:r>
      <w:r>
        <w:rPr>
          <w:rFonts w:hint="eastAsia"/>
          <w:b/>
          <w:bCs/>
          <w:sz w:val="36"/>
          <w:szCs w:val="36"/>
        </w:rPr>
        <w:t>年</w:t>
      </w:r>
      <w:r>
        <w:rPr>
          <w:rFonts w:hint="eastAsia"/>
          <w:b/>
          <w:bCs/>
          <w:sz w:val="36"/>
          <w:szCs w:val="36"/>
          <w:lang w:val="en-US" w:eastAsia="zh-CN"/>
        </w:rPr>
        <w:t>七</w:t>
      </w:r>
      <w:r>
        <w:rPr>
          <w:rFonts w:hint="eastAsia"/>
          <w:b/>
          <w:bCs/>
          <w:sz w:val="36"/>
          <w:szCs w:val="36"/>
        </w:rPr>
        <w:t>月</w:t>
      </w:r>
    </w:p>
    <w:p w14:paraId="2621C6BF">
      <w:pPr>
        <w:ind w:firstLine="883"/>
        <w:jc w:val="center"/>
        <w:rPr>
          <w:rFonts w:ascii="宋体" w:hAnsi="宋体" w:cs="宋体"/>
          <w:b/>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080" w:right="1440" w:bottom="1080" w:left="1440" w:header="720" w:footer="720" w:gutter="0"/>
          <w:cols w:space="720" w:num="1"/>
          <w:docGrid w:type="lines" w:linePitch="312" w:charSpace="0"/>
        </w:sectPr>
      </w:pPr>
    </w:p>
    <w:p w14:paraId="7F195EDB">
      <w:pPr>
        <w:ind w:firstLine="883"/>
        <w:jc w:val="center"/>
        <w:rPr>
          <w:rFonts w:ascii="宋体" w:hAnsi="宋体" w:cs="宋体"/>
          <w:b/>
          <w:sz w:val="44"/>
          <w:szCs w:val="44"/>
        </w:rPr>
      </w:pPr>
      <w:r>
        <w:rPr>
          <w:rFonts w:hint="eastAsia" w:ascii="宋体" w:hAnsi="宋体" w:cs="宋体"/>
          <w:b/>
          <w:kern w:val="0"/>
          <w:sz w:val="44"/>
          <w:szCs w:val="44"/>
        </w:rPr>
        <w:t>目  录</w:t>
      </w:r>
      <w:bookmarkEnd w:id="0"/>
    </w:p>
    <w:p w14:paraId="31158718">
      <w:pPr>
        <w:ind w:firstLine="480"/>
        <w:jc w:val="center"/>
      </w:pPr>
      <w:bookmarkStart w:id="1" w:name="_Toc17239_WPSOffice_Type1"/>
    </w:p>
    <w:bookmarkEnd w:id="1"/>
    <w:p w14:paraId="197A5C7A">
      <w:pPr>
        <w:pStyle w:val="13"/>
        <w:tabs>
          <w:tab w:val="right" w:leader="dot" w:pos="9026"/>
        </w:tabs>
        <w:spacing w:line="480" w:lineRule="auto"/>
        <w:ind w:firstLine="0" w:firstLineChars="0"/>
        <w:rPr>
          <w:rFonts w:hint="default"/>
          <w:sz w:val="32"/>
          <w:szCs w:val="32"/>
        </w:rPr>
      </w:pPr>
      <w:r>
        <w:rPr>
          <w:rFonts w:hint="default"/>
          <w:sz w:val="32"/>
          <w:szCs w:val="32"/>
        </w:rPr>
        <w:fldChar w:fldCharType="begin"/>
      </w:r>
      <w:r>
        <w:rPr>
          <w:sz w:val="32"/>
          <w:szCs w:val="32"/>
        </w:rPr>
        <w:instrText xml:space="preserve">TOC \o "1-1" \h \u </w:instrText>
      </w:r>
      <w:r>
        <w:rPr>
          <w:rFonts w:hint="default"/>
          <w:sz w:val="32"/>
          <w:szCs w:val="32"/>
        </w:rPr>
        <w:fldChar w:fldCharType="separate"/>
      </w:r>
      <w:r>
        <w:fldChar w:fldCharType="begin"/>
      </w:r>
      <w:r>
        <w:instrText xml:space="preserve"> HYPERLINK \l "_Toc8703" </w:instrText>
      </w:r>
      <w:r>
        <w:fldChar w:fldCharType="separate"/>
      </w:r>
      <w:r>
        <w:rPr>
          <w:sz w:val="32"/>
          <w:szCs w:val="32"/>
        </w:rPr>
        <w:t>第一章 招标公告</w:t>
      </w:r>
      <w:r>
        <w:rPr>
          <w:sz w:val="32"/>
          <w:szCs w:val="32"/>
        </w:rPr>
        <w:tab/>
      </w:r>
      <w:r>
        <w:rPr>
          <w:sz w:val="32"/>
          <w:szCs w:val="32"/>
        </w:rPr>
        <w:fldChar w:fldCharType="begin"/>
      </w:r>
      <w:r>
        <w:rPr>
          <w:sz w:val="32"/>
          <w:szCs w:val="32"/>
        </w:rPr>
        <w:instrText xml:space="preserve"> PAGEREF _Toc8703 \h </w:instrText>
      </w:r>
      <w:r>
        <w:rPr>
          <w:sz w:val="32"/>
          <w:szCs w:val="32"/>
        </w:rPr>
        <w:fldChar w:fldCharType="separate"/>
      </w:r>
      <w:r>
        <w:rPr>
          <w:sz w:val="32"/>
          <w:szCs w:val="32"/>
        </w:rPr>
        <w:t>4</w:t>
      </w:r>
      <w:r>
        <w:rPr>
          <w:sz w:val="32"/>
          <w:szCs w:val="32"/>
        </w:rPr>
        <w:fldChar w:fldCharType="end"/>
      </w:r>
      <w:r>
        <w:rPr>
          <w:sz w:val="32"/>
          <w:szCs w:val="32"/>
        </w:rPr>
        <w:fldChar w:fldCharType="end"/>
      </w:r>
    </w:p>
    <w:p w14:paraId="458AC257">
      <w:pPr>
        <w:pStyle w:val="13"/>
        <w:tabs>
          <w:tab w:val="right" w:leader="dot" w:pos="9026"/>
        </w:tabs>
        <w:spacing w:line="480" w:lineRule="auto"/>
        <w:ind w:firstLine="0" w:firstLineChars="0"/>
        <w:rPr>
          <w:rFonts w:hint="default"/>
          <w:sz w:val="32"/>
          <w:szCs w:val="32"/>
        </w:rPr>
      </w:pPr>
      <w:r>
        <w:fldChar w:fldCharType="begin"/>
      </w:r>
      <w:r>
        <w:instrText xml:space="preserve"> HYPERLINK \l "_Toc27828" </w:instrText>
      </w:r>
      <w:r>
        <w:fldChar w:fldCharType="separate"/>
      </w:r>
      <w:r>
        <w:rPr>
          <w:rFonts w:hAnsi="宋体" w:cs="宋体"/>
          <w:sz w:val="32"/>
          <w:szCs w:val="32"/>
        </w:rPr>
        <w:t>第二章 投标人须知</w:t>
      </w:r>
      <w:r>
        <w:rPr>
          <w:sz w:val="32"/>
          <w:szCs w:val="32"/>
        </w:rPr>
        <w:tab/>
      </w:r>
      <w:r>
        <w:rPr>
          <w:sz w:val="32"/>
          <w:szCs w:val="32"/>
        </w:rPr>
        <w:fldChar w:fldCharType="begin"/>
      </w:r>
      <w:r>
        <w:rPr>
          <w:sz w:val="32"/>
          <w:szCs w:val="32"/>
        </w:rPr>
        <w:instrText xml:space="preserve"> PAGEREF _Toc27828 \h </w:instrText>
      </w:r>
      <w:r>
        <w:rPr>
          <w:sz w:val="32"/>
          <w:szCs w:val="32"/>
        </w:rPr>
        <w:fldChar w:fldCharType="separate"/>
      </w:r>
      <w:r>
        <w:rPr>
          <w:sz w:val="32"/>
          <w:szCs w:val="32"/>
        </w:rPr>
        <w:t>9</w:t>
      </w:r>
      <w:r>
        <w:rPr>
          <w:sz w:val="32"/>
          <w:szCs w:val="32"/>
        </w:rPr>
        <w:fldChar w:fldCharType="end"/>
      </w:r>
      <w:r>
        <w:rPr>
          <w:sz w:val="32"/>
          <w:szCs w:val="32"/>
        </w:rPr>
        <w:fldChar w:fldCharType="end"/>
      </w:r>
    </w:p>
    <w:p w14:paraId="75AFE068">
      <w:pPr>
        <w:pStyle w:val="13"/>
        <w:tabs>
          <w:tab w:val="right" w:leader="dot" w:pos="9026"/>
        </w:tabs>
        <w:spacing w:line="480" w:lineRule="auto"/>
        <w:ind w:firstLine="0" w:firstLineChars="0"/>
        <w:rPr>
          <w:rFonts w:hint="default"/>
          <w:sz w:val="32"/>
          <w:szCs w:val="32"/>
        </w:rPr>
      </w:pPr>
      <w:r>
        <w:fldChar w:fldCharType="begin"/>
      </w:r>
      <w:r>
        <w:instrText xml:space="preserve"> HYPERLINK \l "_Toc19717" </w:instrText>
      </w:r>
      <w:r>
        <w:fldChar w:fldCharType="separate"/>
      </w:r>
      <w:r>
        <w:rPr>
          <w:bCs/>
          <w:sz w:val="32"/>
          <w:szCs w:val="32"/>
        </w:rPr>
        <w:t>第三章 评审办法</w:t>
      </w:r>
      <w:r>
        <w:rPr>
          <w:sz w:val="32"/>
          <w:szCs w:val="32"/>
        </w:rPr>
        <w:tab/>
      </w:r>
      <w:r>
        <w:rPr>
          <w:sz w:val="32"/>
          <w:szCs w:val="32"/>
        </w:rPr>
        <w:fldChar w:fldCharType="begin"/>
      </w:r>
      <w:r>
        <w:rPr>
          <w:sz w:val="32"/>
          <w:szCs w:val="32"/>
        </w:rPr>
        <w:instrText xml:space="preserve"> PAGEREF _Toc19717 \h </w:instrText>
      </w:r>
      <w:r>
        <w:rPr>
          <w:sz w:val="32"/>
          <w:szCs w:val="32"/>
        </w:rPr>
        <w:fldChar w:fldCharType="separate"/>
      </w:r>
      <w:r>
        <w:rPr>
          <w:sz w:val="32"/>
          <w:szCs w:val="32"/>
        </w:rPr>
        <w:t>23</w:t>
      </w:r>
      <w:r>
        <w:rPr>
          <w:sz w:val="32"/>
          <w:szCs w:val="32"/>
        </w:rPr>
        <w:fldChar w:fldCharType="end"/>
      </w:r>
      <w:r>
        <w:rPr>
          <w:sz w:val="32"/>
          <w:szCs w:val="32"/>
        </w:rPr>
        <w:fldChar w:fldCharType="end"/>
      </w:r>
    </w:p>
    <w:p w14:paraId="203CA008">
      <w:pPr>
        <w:pStyle w:val="13"/>
        <w:tabs>
          <w:tab w:val="right" w:leader="dot" w:pos="9026"/>
        </w:tabs>
        <w:spacing w:line="480" w:lineRule="auto"/>
        <w:ind w:firstLine="0" w:firstLineChars="0"/>
        <w:rPr>
          <w:rFonts w:hint="default"/>
          <w:sz w:val="32"/>
          <w:szCs w:val="32"/>
        </w:rPr>
      </w:pPr>
      <w:r>
        <w:fldChar w:fldCharType="begin"/>
      </w:r>
      <w:r>
        <w:instrText xml:space="preserve"> HYPERLINK \l "_Toc25650" </w:instrText>
      </w:r>
      <w:r>
        <w:fldChar w:fldCharType="separate"/>
      </w:r>
      <w:r>
        <w:rPr>
          <w:sz w:val="32"/>
          <w:szCs w:val="32"/>
        </w:rPr>
        <w:t>第四章 技术参数</w:t>
      </w:r>
      <w:r>
        <w:rPr>
          <w:sz w:val="32"/>
          <w:szCs w:val="32"/>
        </w:rPr>
        <w:tab/>
      </w:r>
      <w:r>
        <w:rPr>
          <w:sz w:val="32"/>
          <w:szCs w:val="32"/>
        </w:rPr>
        <w:fldChar w:fldCharType="begin"/>
      </w:r>
      <w:r>
        <w:rPr>
          <w:sz w:val="32"/>
          <w:szCs w:val="32"/>
        </w:rPr>
        <w:instrText xml:space="preserve"> PAGEREF _Toc25650 \h </w:instrText>
      </w:r>
      <w:r>
        <w:rPr>
          <w:sz w:val="32"/>
          <w:szCs w:val="32"/>
        </w:rPr>
        <w:fldChar w:fldCharType="separate"/>
      </w:r>
      <w:r>
        <w:rPr>
          <w:sz w:val="32"/>
          <w:szCs w:val="32"/>
        </w:rPr>
        <w:t>28</w:t>
      </w:r>
      <w:r>
        <w:rPr>
          <w:sz w:val="32"/>
          <w:szCs w:val="32"/>
        </w:rPr>
        <w:fldChar w:fldCharType="end"/>
      </w:r>
      <w:r>
        <w:rPr>
          <w:sz w:val="32"/>
          <w:szCs w:val="32"/>
        </w:rPr>
        <w:fldChar w:fldCharType="end"/>
      </w:r>
    </w:p>
    <w:p w14:paraId="36909B87">
      <w:pPr>
        <w:pStyle w:val="13"/>
        <w:tabs>
          <w:tab w:val="right" w:leader="dot" w:pos="9026"/>
        </w:tabs>
        <w:spacing w:line="480" w:lineRule="auto"/>
        <w:ind w:firstLine="0" w:firstLineChars="0"/>
        <w:rPr>
          <w:rFonts w:hint="default"/>
          <w:sz w:val="32"/>
          <w:szCs w:val="32"/>
        </w:rPr>
      </w:pPr>
      <w:r>
        <w:fldChar w:fldCharType="begin"/>
      </w:r>
      <w:r>
        <w:instrText xml:space="preserve"> HYPERLINK \l "_Toc18936" </w:instrText>
      </w:r>
      <w:r>
        <w:fldChar w:fldCharType="separate"/>
      </w:r>
      <w:r>
        <w:rPr>
          <w:sz w:val="32"/>
          <w:szCs w:val="32"/>
        </w:rPr>
        <w:t>第五章 政府采购合同（主要条款）</w:t>
      </w:r>
      <w:r>
        <w:rPr>
          <w:sz w:val="32"/>
          <w:szCs w:val="32"/>
        </w:rPr>
        <w:tab/>
      </w:r>
      <w:r>
        <w:rPr>
          <w:sz w:val="32"/>
          <w:szCs w:val="32"/>
        </w:rPr>
        <w:fldChar w:fldCharType="begin"/>
      </w:r>
      <w:r>
        <w:rPr>
          <w:sz w:val="32"/>
          <w:szCs w:val="32"/>
        </w:rPr>
        <w:instrText xml:space="preserve"> PAGEREF _Toc18936 \h </w:instrText>
      </w:r>
      <w:r>
        <w:rPr>
          <w:sz w:val="32"/>
          <w:szCs w:val="32"/>
        </w:rPr>
        <w:fldChar w:fldCharType="separate"/>
      </w:r>
      <w:r>
        <w:rPr>
          <w:sz w:val="32"/>
          <w:szCs w:val="32"/>
        </w:rPr>
        <w:t>63</w:t>
      </w:r>
      <w:r>
        <w:rPr>
          <w:sz w:val="32"/>
          <w:szCs w:val="32"/>
        </w:rPr>
        <w:fldChar w:fldCharType="end"/>
      </w:r>
      <w:r>
        <w:rPr>
          <w:sz w:val="32"/>
          <w:szCs w:val="32"/>
        </w:rPr>
        <w:fldChar w:fldCharType="end"/>
      </w:r>
    </w:p>
    <w:p w14:paraId="2A7B376E">
      <w:pPr>
        <w:pStyle w:val="13"/>
        <w:tabs>
          <w:tab w:val="right" w:leader="dot" w:pos="9026"/>
        </w:tabs>
        <w:spacing w:line="480" w:lineRule="auto"/>
        <w:ind w:firstLine="0" w:firstLineChars="0"/>
        <w:rPr>
          <w:rFonts w:hint="default"/>
          <w:sz w:val="32"/>
          <w:szCs w:val="32"/>
        </w:rPr>
      </w:pPr>
      <w:r>
        <w:fldChar w:fldCharType="begin"/>
      </w:r>
      <w:r>
        <w:instrText xml:space="preserve"> HYPERLINK \l "_Toc23474" </w:instrText>
      </w:r>
      <w:r>
        <w:fldChar w:fldCharType="separate"/>
      </w:r>
      <w:r>
        <w:rPr>
          <w:sz w:val="32"/>
          <w:szCs w:val="32"/>
        </w:rPr>
        <w:t>第六章 投标文件部分格式</w:t>
      </w:r>
      <w:r>
        <w:rPr>
          <w:sz w:val="32"/>
          <w:szCs w:val="32"/>
        </w:rPr>
        <w:tab/>
      </w:r>
      <w:r>
        <w:rPr>
          <w:sz w:val="32"/>
          <w:szCs w:val="32"/>
        </w:rPr>
        <w:fldChar w:fldCharType="begin"/>
      </w:r>
      <w:r>
        <w:rPr>
          <w:sz w:val="32"/>
          <w:szCs w:val="32"/>
        </w:rPr>
        <w:instrText xml:space="preserve"> PAGEREF _Toc23474 \h </w:instrText>
      </w:r>
      <w:r>
        <w:rPr>
          <w:sz w:val="32"/>
          <w:szCs w:val="32"/>
        </w:rPr>
        <w:fldChar w:fldCharType="separate"/>
      </w:r>
      <w:r>
        <w:rPr>
          <w:sz w:val="32"/>
          <w:szCs w:val="32"/>
        </w:rPr>
        <w:t>71</w:t>
      </w:r>
      <w:r>
        <w:rPr>
          <w:sz w:val="32"/>
          <w:szCs w:val="32"/>
        </w:rPr>
        <w:fldChar w:fldCharType="end"/>
      </w:r>
      <w:r>
        <w:rPr>
          <w:sz w:val="32"/>
          <w:szCs w:val="32"/>
        </w:rPr>
        <w:fldChar w:fldCharType="end"/>
      </w:r>
    </w:p>
    <w:p w14:paraId="65AEEF0C">
      <w:pPr>
        <w:spacing w:line="480" w:lineRule="auto"/>
        <w:jc w:val="center"/>
        <w:rPr>
          <w:sz w:val="32"/>
          <w:szCs w:val="32"/>
        </w:rPr>
      </w:pPr>
      <w:r>
        <w:rPr>
          <w:sz w:val="32"/>
          <w:szCs w:val="32"/>
        </w:rPr>
        <w:fldChar w:fldCharType="end"/>
      </w:r>
    </w:p>
    <w:p w14:paraId="73927F51">
      <w:pPr>
        <w:spacing w:line="480" w:lineRule="auto"/>
        <w:jc w:val="center"/>
        <w:rPr>
          <w:sz w:val="32"/>
          <w:szCs w:val="32"/>
        </w:rPr>
      </w:pPr>
    </w:p>
    <w:p w14:paraId="1905C992">
      <w:pPr>
        <w:spacing w:line="480" w:lineRule="auto"/>
        <w:jc w:val="center"/>
        <w:rPr>
          <w:sz w:val="32"/>
          <w:szCs w:val="32"/>
        </w:rPr>
      </w:pPr>
    </w:p>
    <w:p w14:paraId="3BA4BE38">
      <w:pPr>
        <w:spacing w:line="480" w:lineRule="auto"/>
        <w:jc w:val="center"/>
        <w:rPr>
          <w:sz w:val="32"/>
          <w:szCs w:val="32"/>
        </w:rPr>
      </w:pPr>
    </w:p>
    <w:p w14:paraId="4C4AD14D">
      <w:pPr>
        <w:spacing w:line="480" w:lineRule="auto"/>
        <w:jc w:val="center"/>
        <w:rPr>
          <w:sz w:val="32"/>
          <w:szCs w:val="32"/>
        </w:rPr>
      </w:pPr>
    </w:p>
    <w:p w14:paraId="312D9E3C">
      <w:pPr>
        <w:spacing w:line="480" w:lineRule="auto"/>
        <w:jc w:val="center"/>
        <w:rPr>
          <w:sz w:val="32"/>
          <w:szCs w:val="32"/>
        </w:rPr>
      </w:pPr>
    </w:p>
    <w:p w14:paraId="51383C3E">
      <w:pPr>
        <w:spacing w:line="480" w:lineRule="auto"/>
        <w:jc w:val="center"/>
        <w:rPr>
          <w:sz w:val="32"/>
          <w:szCs w:val="32"/>
        </w:rPr>
      </w:pPr>
    </w:p>
    <w:p w14:paraId="27290700">
      <w:pPr>
        <w:spacing w:line="480" w:lineRule="auto"/>
        <w:jc w:val="center"/>
        <w:rPr>
          <w:sz w:val="32"/>
          <w:szCs w:val="32"/>
        </w:rPr>
      </w:pPr>
    </w:p>
    <w:p w14:paraId="1D29D86C">
      <w:pPr>
        <w:spacing w:line="480" w:lineRule="auto"/>
        <w:jc w:val="center"/>
        <w:rPr>
          <w:sz w:val="32"/>
          <w:szCs w:val="32"/>
        </w:rPr>
      </w:pPr>
    </w:p>
    <w:p w14:paraId="16E3F93A">
      <w:pPr>
        <w:spacing w:line="480" w:lineRule="auto"/>
        <w:jc w:val="center"/>
        <w:rPr>
          <w:sz w:val="32"/>
          <w:szCs w:val="32"/>
        </w:rPr>
      </w:pPr>
    </w:p>
    <w:p w14:paraId="037D1DF3">
      <w:pPr>
        <w:spacing w:line="480" w:lineRule="auto"/>
        <w:jc w:val="center"/>
        <w:rPr>
          <w:sz w:val="32"/>
          <w:szCs w:val="32"/>
        </w:rPr>
      </w:pPr>
    </w:p>
    <w:p w14:paraId="2BB9B14E">
      <w:pPr>
        <w:spacing w:line="480" w:lineRule="auto"/>
        <w:jc w:val="center"/>
        <w:rPr>
          <w:sz w:val="32"/>
          <w:szCs w:val="32"/>
        </w:rPr>
      </w:pPr>
    </w:p>
    <w:p w14:paraId="15A39487">
      <w:pPr>
        <w:spacing w:line="480" w:lineRule="auto"/>
        <w:jc w:val="center"/>
        <w:rPr>
          <w:sz w:val="32"/>
          <w:szCs w:val="32"/>
        </w:rPr>
      </w:pPr>
    </w:p>
    <w:p w14:paraId="2596AC8F">
      <w:pPr>
        <w:spacing w:line="480" w:lineRule="auto"/>
        <w:jc w:val="center"/>
        <w:rPr>
          <w:sz w:val="32"/>
          <w:szCs w:val="32"/>
        </w:rPr>
      </w:pPr>
    </w:p>
    <w:p w14:paraId="793336B8">
      <w:pPr>
        <w:spacing w:line="480" w:lineRule="auto"/>
        <w:jc w:val="center"/>
        <w:rPr>
          <w:sz w:val="32"/>
          <w:szCs w:val="32"/>
        </w:rPr>
      </w:pPr>
    </w:p>
    <w:p w14:paraId="689AE6E5">
      <w:pPr>
        <w:spacing w:line="480" w:lineRule="auto"/>
        <w:jc w:val="center"/>
        <w:rPr>
          <w:sz w:val="32"/>
          <w:szCs w:val="32"/>
        </w:rPr>
      </w:pPr>
    </w:p>
    <w:p w14:paraId="33185BA2">
      <w:pPr>
        <w:spacing w:line="480" w:lineRule="auto"/>
        <w:jc w:val="center"/>
        <w:rPr>
          <w:sz w:val="32"/>
          <w:szCs w:val="32"/>
        </w:rPr>
      </w:pPr>
      <w:r>
        <w:rPr>
          <w:rFonts w:hint="eastAsia"/>
          <w:b/>
          <w:bCs/>
          <w:sz w:val="32"/>
          <w:szCs w:val="32"/>
        </w:rPr>
        <w:t>河南省政府采购合同融资政策告知函</w:t>
      </w:r>
    </w:p>
    <w:p w14:paraId="1739F213">
      <w:pPr>
        <w:rPr>
          <w:sz w:val="28"/>
          <w:szCs w:val="28"/>
        </w:rPr>
      </w:pPr>
      <w:r>
        <w:rPr>
          <w:rFonts w:hint="eastAsia"/>
          <w:sz w:val="28"/>
          <w:szCs w:val="28"/>
        </w:rPr>
        <w:t>各投标人：</w:t>
      </w:r>
    </w:p>
    <w:p w14:paraId="47D85DA9">
      <w:pPr>
        <w:ind w:firstLine="480"/>
        <w:rPr>
          <w:sz w:val="28"/>
          <w:szCs w:val="28"/>
        </w:rPr>
      </w:pPr>
      <w:r>
        <w:rPr>
          <w:rFonts w:hint="eastAsia"/>
          <w:sz w:val="28"/>
          <w:szCs w:val="28"/>
        </w:rPr>
        <w:t>欢迎贵公司参与河南省政府采购活动！</w:t>
      </w:r>
    </w:p>
    <w:p w14:paraId="142B4511">
      <w:pPr>
        <w:ind w:firstLine="480"/>
        <w:rPr>
          <w:rFonts w:ascii="宋体" w:hAnsi="宋体" w:cs="宋体"/>
          <w:kern w:val="0"/>
          <w:sz w:val="28"/>
          <w:szCs w:val="28"/>
        </w:rPr>
      </w:pPr>
      <w:r>
        <w:rPr>
          <w:rFonts w:hint="eastAsia"/>
          <w:sz w:val="28"/>
          <w:szCs w:val="28"/>
        </w:rPr>
        <w:t>政府采购合同融资是河南省财政厅支持中小微企业发展，针对参与政府采购活动的投标人融资难、融资贵问题推出的一项融资政策。</w:t>
      </w:r>
      <w:r>
        <w:rPr>
          <w:rFonts w:hint="eastAsia" w:ascii="宋体" w:hAnsi="宋体" w:cs="宋体"/>
          <w:kern w:val="0"/>
          <w:sz w:val="28"/>
          <w:szCs w:val="28"/>
        </w:rPr>
        <w:t>贵公司若成为本次政府采购项目的中标成交投标人，可持政府采购合同向金融机构申请贷款，无需抵押、担保，融资机构将根据《河南省政府采购合同融资工作实施方案》（豫财购〔2017〕10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查询联系。也可在《全国公共资源交易平台（河南省·南阳市·卧龙区）》网站首页“卧龙区公共资源金融服务平台”查询并使用相关金融服务（包含电子投标保函、投标贷、中标贷、履约保函等）。</w:t>
      </w:r>
    </w:p>
    <w:p w14:paraId="6486ADB5">
      <w:pPr>
        <w:autoSpaceDE w:val="0"/>
        <w:autoSpaceDN w:val="0"/>
        <w:adjustRightInd w:val="0"/>
        <w:spacing w:line="500" w:lineRule="exact"/>
        <w:ind w:firstLine="482"/>
        <w:jc w:val="left"/>
        <w:rPr>
          <w:rFonts w:ascii="宋体" w:hAnsi="宋体" w:cs="宋体"/>
          <w:b/>
          <w:kern w:val="0"/>
        </w:rPr>
      </w:pPr>
    </w:p>
    <w:p w14:paraId="09F92F29">
      <w:pPr>
        <w:autoSpaceDE w:val="0"/>
        <w:autoSpaceDN w:val="0"/>
        <w:adjustRightInd w:val="0"/>
        <w:spacing w:line="500" w:lineRule="exact"/>
        <w:ind w:firstLine="482"/>
        <w:jc w:val="left"/>
        <w:rPr>
          <w:rFonts w:ascii="宋体" w:hAnsi="宋体" w:cs="宋体"/>
          <w:b/>
          <w:kern w:val="0"/>
        </w:rPr>
      </w:pPr>
    </w:p>
    <w:p w14:paraId="39B3832C">
      <w:pPr>
        <w:autoSpaceDE w:val="0"/>
        <w:autoSpaceDN w:val="0"/>
        <w:adjustRightInd w:val="0"/>
        <w:spacing w:line="500" w:lineRule="exact"/>
        <w:ind w:firstLine="482"/>
        <w:jc w:val="left"/>
        <w:rPr>
          <w:rFonts w:ascii="宋体" w:hAnsi="宋体" w:cs="宋体"/>
          <w:b/>
          <w:kern w:val="0"/>
        </w:rPr>
      </w:pPr>
    </w:p>
    <w:p w14:paraId="385A529D">
      <w:pPr>
        <w:autoSpaceDE w:val="0"/>
        <w:autoSpaceDN w:val="0"/>
        <w:adjustRightInd w:val="0"/>
        <w:spacing w:line="500" w:lineRule="exact"/>
        <w:ind w:firstLine="482"/>
        <w:jc w:val="left"/>
        <w:rPr>
          <w:rFonts w:ascii="宋体" w:hAnsi="宋体" w:cs="宋体"/>
          <w:b/>
          <w:kern w:val="0"/>
        </w:rPr>
      </w:pPr>
    </w:p>
    <w:p w14:paraId="3036B076">
      <w:pPr>
        <w:autoSpaceDE w:val="0"/>
        <w:autoSpaceDN w:val="0"/>
        <w:adjustRightInd w:val="0"/>
        <w:spacing w:line="360" w:lineRule="auto"/>
        <w:ind w:firstLine="482"/>
        <w:jc w:val="left"/>
        <w:rPr>
          <w:rFonts w:ascii="宋体" w:hAnsi="宋体" w:cs="宋体"/>
          <w:b/>
        </w:rPr>
      </w:pPr>
      <w:r>
        <w:rPr>
          <w:rFonts w:hint="eastAsia" w:ascii="宋体" w:hAnsi="宋体" w:cs="宋体"/>
          <w:b/>
          <w:kern w:val="0"/>
        </w:rPr>
        <w:t>重要提示：</w:t>
      </w:r>
    </w:p>
    <w:p w14:paraId="1CC1A353">
      <w:pPr>
        <w:autoSpaceDE w:val="0"/>
        <w:autoSpaceDN w:val="0"/>
        <w:adjustRightInd w:val="0"/>
        <w:spacing w:line="360" w:lineRule="auto"/>
        <w:ind w:firstLine="413" w:firstLineChars="196"/>
        <w:jc w:val="left"/>
        <w:rPr>
          <w:rFonts w:ascii="宋体" w:hAnsi="宋体" w:cs="宋体"/>
          <w:b/>
        </w:rPr>
      </w:pPr>
      <w:r>
        <w:rPr>
          <w:rFonts w:hint="eastAsia" w:ascii="宋体" w:hAnsi="宋体" w:cs="宋体"/>
          <w:b/>
          <w:kern w:val="0"/>
        </w:rPr>
        <w:t>1、请各投标人务必详细阅读本招标文件的全部条款，以减少不必要的失误。</w:t>
      </w:r>
    </w:p>
    <w:p w14:paraId="1A5BAB0A">
      <w:pPr>
        <w:pStyle w:val="10"/>
        <w:spacing w:line="360" w:lineRule="auto"/>
        <w:ind w:firstLine="482"/>
      </w:pPr>
      <w:r>
        <w:rPr>
          <w:rFonts w:hint="eastAsia" w:hAnsi="宋体" w:cs="宋体"/>
          <w:b/>
          <w:kern w:val="0"/>
        </w:rPr>
        <w:t>2、投标人如认为本招标文件含有标明特定的生产供应者、含有倾向性或排斥潜在投标人的条款而使自己的权益受到损害的，可以在知道或者应知其权益受到损害之日起七个工作日内，以书面形式向采购人或招标代理机构提出质疑，否则，将视为对本招标文件要求无任何异议，并不得因此在开标后提出任何异议。</w:t>
      </w:r>
      <w:bookmarkStart w:id="2" w:name="_Toc20290"/>
      <w:bookmarkStart w:id="3" w:name="_Toc8703"/>
    </w:p>
    <w:p w14:paraId="1E128AA7">
      <w:pPr>
        <w:pStyle w:val="2"/>
      </w:pPr>
    </w:p>
    <w:p w14:paraId="60CE705A"/>
    <w:p w14:paraId="3E1C4F62">
      <w:pPr>
        <w:pStyle w:val="2"/>
        <w:rPr>
          <w:szCs w:val="28"/>
          <w:shd w:val="clear" w:color="auto" w:fill="FFFFFF"/>
        </w:rPr>
      </w:pPr>
      <w:r>
        <w:rPr>
          <w:rFonts w:hint="eastAsia"/>
        </w:rPr>
        <w:t>第一章 招标公告</w:t>
      </w:r>
      <w:bookmarkEnd w:id="2"/>
      <w:bookmarkEnd w:id="3"/>
    </w:p>
    <w:p w14:paraId="5BC09945">
      <w:pPr>
        <w:pStyle w:val="15"/>
        <w:spacing w:before="0" w:beforeAutospacing="0" w:after="0" w:afterAutospacing="0" w:line="440" w:lineRule="exact"/>
        <w:ind w:firstLine="602"/>
        <w:jc w:val="center"/>
        <w:rPr>
          <w:rFonts w:hint="eastAsia"/>
          <w:b/>
          <w:color w:val="auto"/>
          <w:sz w:val="32"/>
          <w:szCs w:val="32"/>
          <w:shd w:val="clear" w:color="auto" w:fill="FFFFFF"/>
          <w:lang w:eastAsia="zh-CN"/>
        </w:rPr>
      </w:pPr>
      <w:r>
        <w:rPr>
          <w:rFonts w:hint="eastAsia"/>
          <w:b/>
          <w:color w:val="auto"/>
          <w:sz w:val="32"/>
          <w:szCs w:val="32"/>
          <w:shd w:val="clear" w:color="auto" w:fill="FFFFFF"/>
          <w:lang w:eastAsia="zh-CN"/>
        </w:rPr>
        <w:t>南阳市第十三完全学校智慧校园采购项目</w:t>
      </w:r>
    </w:p>
    <w:p w14:paraId="21BE98D7">
      <w:pPr>
        <w:pStyle w:val="15"/>
        <w:spacing w:before="0" w:beforeAutospacing="0" w:after="0" w:afterAutospacing="0" w:line="440" w:lineRule="exact"/>
        <w:ind w:firstLine="602"/>
        <w:jc w:val="center"/>
        <w:rPr>
          <w:color w:val="auto"/>
          <w:sz w:val="22"/>
          <w:szCs w:val="24"/>
        </w:rPr>
      </w:pPr>
      <w:r>
        <w:rPr>
          <w:rFonts w:hint="eastAsia"/>
          <w:b/>
          <w:color w:val="auto"/>
          <w:sz w:val="32"/>
          <w:szCs w:val="32"/>
          <w:shd w:val="clear" w:color="auto" w:fill="FFFFFF"/>
        </w:rPr>
        <w:t>招标公告</w:t>
      </w:r>
    </w:p>
    <w:p w14:paraId="68537EF4">
      <w:pPr>
        <w:keepNext w:val="0"/>
        <w:keepLines w:val="0"/>
        <w:pageBreakBefore w:val="0"/>
        <w:kinsoku/>
        <w:wordWrap/>
        <w:overflowPunct/>
        <w:bidi w:val="0"/>
        <w:snapToGrid/>
        <w:spacing w:line="360" w:lineRule="auto"/>
        <w:ind w:firstLine="720" w:firstLineChars="300"/>
        <w:textAlignment w:val="auto"/>
        <w:rPr>
          <w:rFonts w:hint="eastAsia"/>
          <w:color w:val="auto"/>
          <w:sz w:val="24"/>
          <w:szCs w:val="24"/>
          <w:lang w:eastAsia="zh-CN"/>
        </w:rPr>
      </w:pPr>
    </w:p>
    <w:p w14:paraId="0074CD04">
      <w:pPr>
        <w:keepNext w:val="0"/>
        <w:keepLines w:val="0"/>
        <w:pageBreakBefore w:val="0"/>
        <w:kinsoku/>
        <w:wordWrap/>
        <w:overflowPunct/>
        <w:topLinePunct w:val="0"/>
        <w:bidi w:val="0"/>
        <w:snapToGrid/>
        <w:spacing w:line="360" w:lineRule="auto"/>
        <w:ind w:firstLine="720" w:firstLineChars="300"/>
        <w:textAlignment w:val="auto"/>
        <w:rPr>
          <w:rFonts w:hint="eastAsia"/>
          <w:color w:val="000000" w:themeColor="text1"/>
          <w:sz w:val="24"/>
          <w:szCs w:val="24"/>
          <w14:textFill>
            <w14:solidFill>
              <w14:schemeClr w14:val="tx1"/>
            </w14:solidFill>
          </w14:textFill>
        </w:rPr>
      </w:pPr>
      <w:r>
        <w:rPr>
          <w:rFonts w:hint="eastAsia"/>
          <w:color w:val="auto"/>
          <w:sz w:val="24"/>
          <w:szCs w:val="24"/>
          <w:lang w:val="en-US" w:eastAsia="zh-CN"/>
        </w:rPr>
        <w:t>南阳市第十三完全学校智慧校园采购项目</w:t>
      </w:r>
      <w:r>
        <w:rPr>
          <w:rFonts w:hint="eastAsia"/>
          <w:color w:val="auto"/>
          <w:sz w:val="24"/>
          <w:szCs w:val="24"/>
        </w:rPr>
        <w:t>的潜在投标人应在《全国公共资源交易平台（河南省·南阳市·卧龙区）》获取招标文件，并</w:t>
      </w:r>
      <w:r>
        <w:rPr>
          <w:rFonts w:hint="eastAsia"/>
          <w:color w:val="000000" w:themeColor="text1"/>
          <w:sz w:val="24"/>
          <w:szCs w:val="24"/>
          <w14:textFill>
            <w14:solidFill>
              <w14:schemeClr w14:val="tx1"/>
            </w14:solidFill>
          </w14:textFill>
        </w:rPr>
        <w:t>于</w:t>
      </w:r>
      <w:r>
        <w:rPr>
          <w:rFonts w:hint="eastAsia"/>
          <w:color w:val="auto"/>
          <w:sz w:val="24"/>
          <w:szCs w:val="24"/>
          <w:lang w:eastAsia="zh-CN"/>
        </w:rPr>
        <w:t>2024</w:t>
      </w:r>
      <w:r>
        <w:rPr>
          <w:rFonts w:hint="eastAsia"/>
          <w:color w:val="auto"/>
          <w:sz w:val="24"/>
          <w:szCs w:val="24"/>
        </w:rPr>
        <w:t>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21</w:t>
      </w:r>
      <w:r>
        <w:rPr>
          <w:rFonts w:hint="eastAsia"/>
          <w:color w:val="auto"/>
          <w:sz w:val="24"/>
          <w:szCs w:val="24"/>
        </w:rPr>
        <w:t>日8点 30分</w:t>
      </w:r>
      <w:r>
        <w:rPr>
          <w:rFonts w:hint="eastAsia"/>
          <w:color w:val="000000" w:themeColor="text1"/>
          <w:sz w:val="24"/>
          <w:szCs w:val="24"/>
          <w14:textFill>
            <w14:solidFill>
              <w14:schemeClr w14:val="tx1"/>
            </w14:solidFill>
          </w14:textFill>
        </w:rPr>
        <w:t>（北京时间）前提交投标文件。</w:t>
      </w:r>
    </w:p>
    <w:p w14:paraId="4BE8F0DB">
      <w:pPr>
        <w:keepNext w:val="0"/>
        <w:keepLines w:val="0"/>
        <w:pageBreakBefore w:val="0"/>
        <w:kinsoku/>
        <w:wordWrap/>
        <w:overflowPunct/>
        <w:topLinePunct w:val="0"/>
        <w:bidi w:val="0"/>
        <w:snapToGrid/>
        <w:spacing w:line="360" w:lineRule="auto"/>
        <w:ind w:firstLine="720" w:firstLineChars="300"/>
        <w:textAlignment w:val="auto"/>
        <w:rPr>
          <w:rFonts w:hint="eastAsia"/>
          <w:color w:val="000000" w:themeColor="text1"/>
          <w:sz w:val="24"/>
          <w:szCs w:val="24"/>
          <w14:textFill>
            <w14:solidFill>
              <w14:schemeClr w14:val="tx1"/>
            </w14:solidFill>
          </w14:textFill>
        </w:rPr>
      </w:pPr>
    </w:p>
    <w:p w14:paraId="3ECF92E6">
      <w:pPr>
        <w:keepNext w:val="0"/>
        <w:keepLines w:val="0"/>
        <w:pageBreakBefore w:val="0"/>
        <w:numPr>
          <w:ilvl w:val="0"/>
          <w:numId w:val="1"/>
        </w:numPr>
        <w:kinsoku/>
        <w:wordWrap/>
        <w:overflowPunct/>
        <w:topLinePunct w:val="0"/>
        <w:bidi w:val="0"/>
        <w:snapToGrid/>
        <w:spacing w:line="360" w:lineRule="auto"/>
        <w:ind w:firstLine="482"/>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项目基本情况：</w:t>
      </w:r>
    </w:p>
    <w:p w14:paraId="0C758FC3">
      <w:pPr>
        <w:keepNext w:val="0"/>
        <w:keepLines w:val="0"/>
        <w:pageBreakBefore w:val="0"/>
        <w:widowControl/>
        <w:kinsoku/>
        <w:wordWrap/>
        <w:overflowPunct/>
        <w:topLinePunct w:val="0"/>
        <w:bidi w:val="0"/>
        <w:snapToGrid/>
        <w:spacing w:line="360" w:lineRule="auto"/>
        <w:ind w:left="479" w:leftChars="171" w:hanging="120" w:hangingChars="5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1.采购编号：</w:t>
      </w:r>
      <w:r>
        <w:rPr>
          <w:rFonts w:hint="eastAsia" w:ascii="宋体" w:hAnsi="宋体" w:cs="宋体"/>
          <w:color w:val="000000" w:themeColor="text1"/>
          <w:kern w:val="0"/>
          <w:sz w:val="24"/>
          <w:szCs w:val="24"/>
          <w:lang w:eastAsia="zh-CN"/>
          <w14:textFill>
            <w14:solidFill>
              <w14:schemeClr w14:val="tx1"/>
            </w14:solidFill>
          </w14:textFill>
        </w:rPr>
        <w:t>卧龙政采公开-2024-20</w:t>
      </w:r>
    </w:p>
    <w:p w14:paraId="48B21FCD">
      <w:pPr>
        <w:keepNext w:val="0"/>
        <w:keepLines w:val="0"/>
        <w:pageBreakBefore w:val="0"/>
        <w:widowControl/>
        <w:kinsoku/>
        <w:wordWrap/>
        <w:overflowPunct/>
        <w:topLinePunct w:val="0"/>
        <w:bidi w:val="0"/>
        <w:snapToGrid/>
        <w:spacing w:line="360" w:lineRule="auto"/>
        <w:ind w:left="479" w:leftChars="171" w:hanging="120" w:hangingChars="50"/>
        <w:jc w:val="left"/>
        <w:textAlignment w:val="auto"/>
        <w:rPr>
          <w:rFonts w:hint="eastAsia"/>
          <w:color w:val="000000" w:themeColor="text1"/>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2.项目名称：</w:t>
      </w:r>
      <w:r>
        <w:rPr>
          <w:rFonts w:hint="eastAsia"/>
          <w:color w:val="000000" w:themeColor="text1"/>
          <w:sz w:val="24"/>
          <w:szCs w:val="24"/>
          <w:lang w:eastAsia="zh-CN"/>
          <w14:textFill>
            <w14:solidFill>
              <w14:schemeClr w14:val="tx1"/>
            </w14:solidFill>
          </w14:textFill>
        </w:rPr>
        <w:t>南阳市第十三完全学校智慧校园采购项目</w:t>
      </w:r>
    </w:p>
    <w:p w14:paraId="634364E1">
      <w:pPr>
        <w:keepNext w:val="0"/>
        <w:keepLines w:val="0"/>
        <w:pageBreakBefore w:val="0"/>
        <w:widowControl/>
        <w:kinsoku/>
        <w:wordWrap/>
        <w:overflowPunct/>
        <w:topLinePunct w:val="0"/>
        <w:bidi w:val="0"/>
        <w:snapToGrid/>
        <w:spacing w:line="360" w:lineRule="auto"/>
        <w:ind w:left="479" w:leftChars="171" w:hanging="120" w:hangingChars="5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3.采购方式：公开招标</w:t>
      </w:r>
    </w:p>
    <w:p w14:paraId="62141222">
      <w:pPr>
        <w:keepNext w:val="0"/>
        <w:keepLines w:val="0"/>
        <w:pageBreakBefore w:val="0"/>
        <w:widowControl/>
        <w:kinsoku/>
        <w:wordWrap/>
        <w:overflowPunct/>
        <w:topLinePunct w:val="0"/>
        <w:bidi w:val="0"/>
        <w:snapToGrid/>
        <w:spacing w:line="360" w:lineRule="auto"/>
        <w:ind w:left="479" w:leftChars="171" w:hanging="120" w:hangingChars="5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4.采购预算（控制价）：</w:t>
      </w:r>
      <w:r>
        <w:rPr>
          <w:rFonts w:hint="eastAsia" w:ascii="宋体" w:hAnsi="宋体" w:cs="宋体"/>
          <w:color w:val="000000" w:themeColor="text1"/>
          <w:kern w:val="0"/>
          <w:sz w:val="24"/>
          <w:szCs w:val="24"/>
          <w:lang w:val="en-US" w:eastAsia="zh-CN"/>
          <w14:textFill>
            <w14:solidFill>
              <w14:schemeClr w14:val="tx1"/>
            </w14:solidFill>
          </w14:textFill>
        </w:rPr>
        <w:t>14288644.67元</w:t>
      </w:r>
    </w:p>
    <w:p w14:paraId="7A9A7E56">
      <w:pPr>
        <w:keepNext w:val="0"/>
        <w:keepLines w:val="0"/>
        <w:pageBreakBefore w:val="0"/>
        <w:widowControl/>
        <w:kinsoku/>
        <w:wordWrap/>
        <w:overflowPunct/>
        <w:topLinePunct w:val="0"/>
        <w:bidi w:val="0"/>
        <w:snapToGrid/>
        <w:spacing w:line="360" w:lineRule="auto"/>
        <w:ind w:left="479" w:leftChars="171" w:hanging="120" w:hangingChars="5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5.采购需求（包括但不限于标的的名称、数量、简要技术需求、服务要求等）</w:t>
      </w:r>
    </w:p>
    <w:tbl>
      <w:tblPr>
        <w:tblStyle w:val="18"/>
        <w:tblW w:w="8299" w:type="dxa"/>
        <w:jc w:val="center"/>
        <w:tblLayout w:type="autofit"/>
        <w:tblCellMar>
          <w:top w:w="0" w:type="dxa"/>
          <w:left w:w="0" w:type="dxa"/>
          <w:bottom w:w="0" w:type="dxa"/>
          <w:right w:w="0" w:type="dxa"/>
        </w:tblCellMar>
      </w:tblPr>
      <w:tblGrid>
        <w:gridCol w:w="779"/>
        <w:gridCol w:w="726"/>
        <w:gridCol w:w="3342"/>
        <w:gridCol w:w="1536"/>
        <w:gridCol w:w="1916"/>
      </w:tblGrid>
      <w:tr w14:paraId="4BD1DE14">
        <w:tblPrEx>
          <w:tblCellMar>
            <w:top w:w="0" w:type="dxa"/>
            <w:left w:w="0" w:type="dxa"/>
            <w:bottom w:w="0" w:type="dxa"/>
            <w:right w:w="0" w:type="dxa"/>
          </w:tblCellMar>
        </w:tblPrEx>
        <w:trPr>
          <w:trHeight w:val="549" w:hRule="atLeast"/>
          <w:jc w:val="center"/>
        </w:trPr>
        <w:tc>
          <w:tcPr>
            <w:tcW w:w="781"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55B1823E">
            <w:pPr>
              <w:keepNext w:val="0"/>
              <w:keepLines w:val="0"/>
              <w:pageBreakBefore w:val="0"/>
              <w:widowControl/>
              <w:kinsoku/>
              <w:wordWrap/>
              <w:overflowPunct/>
              <w:topLinePunct w:val="0"/>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727" w:type="dxa"/>
            <w:tcBorders>
              <w:top w:val="single" w:color="auto" w:sz="8" w:space="0"/>
              <w:left w:val="nil"/>
              <w:bottom w:val="single" w:color="auto" w:sz="4" w:space="0"/>
              <w:right w:val="single" w:color="auto" w:sz="8" w:space="0"/>
            </w:tcBorders>
            <w:noWrap w:val="0"/>
            <w:tcMar>
              <w:left w:w="108" w:type="dxa"/>
              <w:right w:w="108" w:type="dxa"/>
            </w:tcMar>
            <w:vAlign w:val="center"/>
          </w:tcPr>
          <w:p w14:paraId="2BA32DD8">
            <w:pPr>
              <w:keepNext w:val="0"/>
              <w:keepLines w:val="0"/>
              <w:pageBreakBefore w:val="0"/>
              <w:widowControl/>
              <w:kinsoku/>
              <w:wordWrap/>
              <w:overflowPunct/>
              <w:topLinePunct w:val="0"/>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包号</w:t>
            </w:r>
          </w:p>
        </w:tc>
        <w:tc>
          <w:tcPr>
            <w:tcW w:w="3358" w:type="dxa"/>
            <w:tcBorders>
              <w:top w:val="single" w:color="auto" w:sz="8" w:space="0"/>
              <w:left w:val="nil"/>
              <w:bottom w:val="single" w:color="auto" w:sz="4" w:space="0"/>
              <w:right w:val="single" w:color="auto" w:sz="8" w:space="0"/>
            </w:tcBorders>
            <w:noWrap w:val="0"/>
            <w:tcMar>
              <w:left w:w="108" w:type="dxa"/>
              <w:right w:w="108" w:type="dxa"/>
            </w:tcMar>
            <w:vAlign w:val="center"/>
          </w:tcPr>
          <w:p w14:paraId="6196A442">
            <w:pPr>
              <w:keepNext w:val="0"/>
              <w:keepLines w:val="0"/>
              <w:pageBreakBefore w:val="0"/>
              <w:widowControl/>
              <w:kinsoku/>
              <w:wordWrap/>
              <w:overflowPunct/>
              <w:topLinePunct w:val="0"/>
              <w:bidi w:val="0"/>
              <w:snapToGrid/>
              <w:spacing w:line="360" w:lineRule="auto"/>
              <w:ind w:firstLine="0" w:firstLineChars="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包名称</w:t>
            </w:r>
          </w:p>
        </w:tc>
        <w:tc>
          <w:tcPr>
            <w:tcW w:w="1515" w:type="dxa"/>
            <w:tcBorders>
              <w:top w:val="single" w:color="auto" w:sz="8" w:space="0"/>
              <w:left w:val="nil"/>
              <w:bottom w:val="single" w:color="auto" w:sz="4" w:space="0"/>
              <w:right w:val="single" w:color="auto" w:sz="8" w:space="0"/>
            </w:tcBorders>
            <w:noWrap w:val="0"/>
            <w:tcMar>
              <w:left w:w="108" w:type="dxa"/>
              <w:right w:w="108" w:type="dxa"/>
            </w:tcMar>
            <w:vAlign w:val="center"/>
          </w:tcPr>
          <w:p w14:paraId="77CE0335">
            <w:pPr>
              <w:keepNext w:val="0"/>
              <w:keepLines w:val="0"/>
              <w:pageBreakBefore w:val="0"/>
              <w:widowControl/>
              <w:kinsoku/>
              <w:wordWrap/>
              <w:overflowPunct/>
              <w:topLinePunct w:val="0"/>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包预算</w:t>
            </w:r>
          </w:p>
        </w:tc>
        <w:tc>
          <w:tcPr>
            <w:tcW w:w="1918" w:type="dxa"/>
            <w:tcBorders>
              <w:top w:val="single" w:color="auto" w:sz="8" w:space="0"/>
              <w:left w:val="nil"/>
              <w:bottom w:val="single" w:color="auto" w:sz="4" w:space="0"/>
              <w:right w:val="single" w:color="auto" w:sz="8" w:space="0"/>
            </w:tcBorders>
            <w:noWrap w:val="0"/>
            <w:tcMar>
              <w:left w:w="108" w:type="dxa"/>
              <w:right w:w="108" w:type="dxa"/>
            </w:tcMar>
            <w:vAlign w:val="center"/>
          </w:tcPr>
          <w:p w14:paraId="7F968D2F">
            <w:pPr>
              <w:keepNext w:val="0"/>
              <w:keepLines w:val="0"/>
              <w:pageBreakBefore w:val="0"/>
              <w:widowControl/>
              <w:kinsoku/>
              <w:wordWrap/>
              <w:overflowPunct/>
              <w:topLinePunct w:val="0"/>
              <w:bidi w:val="0"/>
              <w:snapToGrid/>
              <w:spacing w:line="360" w:lineRule="auto"/>
              <w:ind w:firstLine="0" w:firstLineChars="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包最高限价</w:t>
            </w:r>
          </w:p>
        </w:tc>
      </w:tr>
      <w:tr w14:paraId="3F1C9CA6">
        <w:tblPrEx>
          <w:tblCellMar>
            <w:top w:w="0" w:type="dxa"/>
            <w:left w:w="0" w:type="dxa"/>
            <w:bottom w:w="0" w:type="dxa"/>
            <w:right w:w="0" w:type="dxa"/>
          </w:tblCellMar>
        </w:tblPrEx>
        <w:trPr>
          <w:trHeight w:val="1196" w:hRule="atLeast"/>
          <w:jc w:val="center"/>
        </w:trPr>
        <w:tc>
          <w:tcPr>
            <w:tcW w:w="7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0A58AF">
            <w:pPr>
              <w:keepNext w:val="0"/>
              <w:keepLines w:val="0"/>
              <w:pageBreakBefore w:val="0"/>
              <w:widowControl/>
              <w:kinsoku/>
              <w:wordWrap/>
              <w:overflowPunct/>
              <w:topLinePunct w:val="0"/>
              <w:bidi w:val="0"/>
              <w:snapToGrid/>
              <w:spacing w:line="360" w:lineRule="auto"/>
              <w:ind w:firstLine="0" w:firstLineChars="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7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1E8491">
            <w:pPr>
              <w:keepNext w:val="0"/>
              <w:keepLines w:val="0"/>
              <w:pageBreakBefore w:val="0"/>
              <w:widowControl/>
              <w:kinsoku/>
              <w:wordWrap/>
              <w:overflowPunct/>
              <w:topLinePunct w:val="0"/>
              <w:bidi w:val="0"/>
              <w:snapToGrid/>
              <w:spacing w:line="360" w:lineRule="auto"/>
              <w:ind w:firstLine="0" w:firstLineChars="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33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750916">
            <w:pPr>
              <w:keepNext w:val="0"/>
              <w:keepLines w:val="0"/>
              <w:pageBreakBefore w:val="0"/>
              <w:widowControl/>
              <w:kinsoku/>
              <w:wordWrap/>
              <w:overflowPunct/>
              <w:topLinePunct w:val="0"/>
              <w:bidi w:val="0"/>
              <w:snapToGrid/>
              <w:spacing w:line="360" w:lineRule="auto"/>
              <w:ind w:firstLine="0" w:firstLineChars="0"/>
              <w:jc w:val="center"/>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智慧校园</w:t>
            </w:r>
          </w:p>
        </w:tc>
        <w:tc>
          <w:tcPr>
            <w:tcW w:w="15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6A1F4E">
            <w:pPr>
              <w:keepNext w:val="0"/>
              <w:keepLines w:val="0"/>
              <w:pageBreakBefore w:val="0"/>
              <w:kinsoku/>
              <w:wordWrap/>
              <w:overflowPunct/>
              <w:topLinePunct w:val="0"/>
              <w:bidi w:val="0"/>
              <w:snapToGrid/>
              <w:spacing w:line="360" w:lineRule="auto"/>
              <w:jc w:val="left"/>
              <w:textAlignment w:val="auto"/>
              <w:rPr>
                <w:rFonts w:hint="default" w:eastAsia="宋体"/>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14288644.67元</w:t>
            </w:r>
          </w:p>
        </w:tc>
        <w:tc>
          <w:tcPr>
            <w:tcW w:w="19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37BE3E">
            <w:pPr>
              <w:keepNext w:val="0"/>
              <w:keepLines w:val="0"/>
              <w:pageBreakBefore w:val="0"/>
              <w:kinsoku/>
              <w:wordWrap/>
              <w:overflowPunct/>
              <w:topLinePunct w:val="0"/>
              <w:bidi w:val="0"/>
              <w:snapToGrid/>
              <w:spacing w:line="360" w:lineRule="auto"/>
              <w:jc w:val="left"/>
              <w:textAlignment w:val="auto"/>
              <w:rPr>
                <w:rFonts w:hint="default" w:eastAsia="宋体"/>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14288644.67元</w:t>
            </w:r>
          </w:p>
        </w:tc>
      </w:tr>
    </w:tbl>
    <w:p w14:paraId="381A703F">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5.1.采购内容：</w:t>
      </w: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lang w:eastAsia="zh-CN"/>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共计采购南阳市第十三完全学校智慧校园电子设施设备等，包含设备的运输、安装、维护等</w:t>
      </w:r>
      <w:r>
        <w:rPr>
          <w:rFonts w:hint="eastAsia"/>
          <w:color w:val="000000" w:themeColor="text1"/>
          <w:sz w:val="24"/>
          <w:szCs w:val="24"/>
          <w14:textFill>
            <w14:solidFill>
              <w14:schemeClr w14:val="tx1"/>
            </w14:solidFill>
          </w14:textFill>
        </w:rPr>
        <w:t>（详见采购</w:t>
      </w:r>
      <w:r>
        <w:rPr>
          <w:rFonts w:hint="eastAsia"/>
          <w:color w:val="000000" w:themeColor="text1"/>
          <w:sz w:val="24"/>
          <w:szCs w:val="24"/>
          <w:lang w:val="en-US" w:eastAsia="zh-CN"/>
          <w14:textFill>
            <w14:solidFill>
              <w14:schemeClr w14:val="tx1"/>
            </w14:solidFill>
          </w14:textFill>
        </w:rPr>
        <w:t>需求</w:t>
      </w:r>
      <w:r>
        <w:rPr>
          <w:rFonts w:hint="eastAsia"/>
          <w:color w:val="000000" w:themeColor="text1"/>
          <w:sz w:val="24"/>
          <w:szCs w:val="24"/>
          <w14:textFill>
            <w14:solidFill>
              <w14:schemeClr w14:val="tx1"/>
            </w14:solidFill>
          </w14:textFill>
        </w:rPr>
        <w:t>）；</w:t>
      </w:r>
    </w:p>
    <w:p w14:paraId="271D8487">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5.2.项目地点：</w:t>
      </w:r>
      <w:r>
        <w:rPr>
          <w:rFonts w:hint="eastAsia" w:ascii="宋体" w:hAnsi="宋体" w:cs="宋体"/>
          <w:color w:val="000000" w:themeColor="text1"/>
          <w:sz w:val="24"/>
          <w:szCs w:val="24"/>
          <w14:textFill>
            <w14:solidFill>
              <w14:schemeClr w14:val="tx1"/>
            </w14:solidFill>
          </w14:textFill>
        </w:rPr>
        <w:t>卧龙区境内</w:t>
      </w:r>
      <w:r>
        <w:rPr>
          <w:rFonts w:hint="eastAsia" w:ascii="宋体" w:hAnsi="宋体" w:cs="宋体"/>
          <w:color w:val="000000" w:themeColor="text1"/>
          <w:sz w:val="24"/>
          <w:szCs w:val="24"/>
          <w:lang w:val="en-US" w:eastAsia="zh-CN"/>
          <w14:textFill>
            <w14:solidFill>
              <w14:schemeClr w14:val="tx1"/>
            </w14:solidFill>
          </w14:textFill>
        </w:rPr>
        <w:t>采购人指定位置</w:t>
      </w:r>
      <w:r>
        <w:rPr>
          <w:rFonts w:hint="eastAsia" w:ascii="宋体" w:hAnsi="宋体" w:cs="宋体"/>
          <w:color w:val="000000" w:themeColor="text1"/>
          <w:kern w:val="0"/>
          <w:sz w:val="24"/>
          <w:szCs w:val="24"/>
          <w14:textFill>
            <w14:solidFill>
              <w14:schemeClr w14:val="tx1"/>
            </w14:solidFill>
          </w14:textFill>
        </w:rPr>
        <w:t>；</w:t>
      </w:r>
    </w:p>
    <w:p w14:paraId="7A1B674C">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5.3.质量标准：国家合格标准</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质保期不低于1年</w:t>
      </w:r>
      <w:r>
        <w:rPr>
          <w:rFonts w:hint="eastAsia" w:ascii="宋体" w:hAnsi="宋体" w:cs="宋体"/>
          <w:color w:val="000000" w:themeColor="text1"/>
          <w:kern w:val="0"/>
          <w:sz w:val="24"/>
          <w:szCs w:val="24"/>
          <w14:textFill>
            <w14:solidFill>
              <w14:schemeClr w14:val="tx1"/>
            </w14:solidFill>
          </w14:textFill>
        </w:rPr>
        <w:t>；</w:t>
      </w:r>
    </w:p>
    <w:p w14:paraId="4E3F3E77">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5.4.资金来源：财政资金；</w:t>
      </w:r>
    </w:p>
    <w:p w14:paraId="53A69E00">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5.5.标段划分：共划分为</w:t>
      </w:r>
      <w:r>
        <w:rPr>
          <w:rFonts w:hint="eastAsia" w:ascii="宋体" w:hAnsi="宋体" w:cs="宋体"/>
          <w:color w:val="000000" w:themeColor="text1"/>
          <w:kern w:val="0"/>
          <w:sz w:val="24"/>
          <w:szCs w:val="24"/>
          <w:lang w:val="en-US" w:eastAsia="zh-CN"/>
          <w14:textFill>
            <w14:solidFill>
              <w14:schemeClr w14:val="tx1"/>
            </w14:solidFill>
          </w14:textFill>
        </w:rPr>
        <w:t>一</w:t>
      </w:r>
      <w:r>
        <w:rPr>
          <w:rFonts w:hint="eastAsia" w:ascii="宋体" w:hAnsi="宋体" w:cs="宋体"/>
          <w:color w:val="000000" w:themeColor="text1"/>
          <w:kern w:val="0"/>
          <w:sz w:val="24"/>
          <w:szCs w:val="24"/>
          <w14:textFill>
            <w14:solidFill>
              <w14:schemeClr w14:val="tx1"/>
            </w14:solidFill>
          </w14:textFill>
        </w:rPr>
        <w:t>个标段：</w:t>
      </w:r>
    </w:p>
    <w:p w14:paraId="5799C7E2">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5.6.交货时间：合同签订后</w:t>
      </w:r>
      <w:r>
        <w:rPr>
          <w:rFonts w:hint="eastAsia" w:ascii="宋体" w:hAnsi="宋体" w:cs="宋体"/>
          <w:color w:val="000000" w:themeColor="text1"/>
          <w:kern w:val="0"/>
          <w:sz w:val="24"/>
          <w:szCs w:val="24"/>
          <w:lang w:val="en-US" w:eastAsia="zh-CN"/>
          <w14:textFill>
            <w14:solidFill>
              <w14:schemeClr w14:val="tx1"/>
            </w14:solidFill>
          </w14:textFill>
        </w:rPr>
        <w:t>45</w:t>
      </w:r>
      <w:r>
        <w:rPr>
          <w:rFonts w:hint="eastAsia" w:ascii="宋体" w:hAnsi="宋体" w:cs="宋体"/>
          <w:color w:val="000000" w:themeColor="text1"/>
          <w:kern w:val="0"/>
          <w:sz w:val="24"/>
          <w:szCs w:val="24"/>
          <w14:textFill>
            <w14:solidFill>
              <w14:schemeClr w14:val="tx1"/>
            </w14:solidFill>
          </w14:textFill>
        </w:rPr>
        <w:t>日历天</w:t>
      </w:r>
    </w:p>
    <w:p w14:paraId="39010B82">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6.本项目是否接受联合体投标：否</w:t>
      </w:r>
    </w:p>
    <w:p w14:paraId="2DF56E8C">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7.是否接受进口产品：否</w:t>
      </w:r>
    </w:p>
    <w:p w14:paraId="13586040">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8.本项目</w:t>
      </w:r>
      <w:r>
        <w:rPr>
          <w:rFonts w:hint="eastAsia" w:ascii="宋体" w:hAnsi="宋体" w:cs="宋体"/>
          <w:color w:val="000000" w:themeColor="text1"/>
          <w:kern w:val="0"/>
          <w:sz w:val="24"/>
          <w:szCs w:val="24"/>
          <w:lang w:val="en-US" w:eastAsia="zh-CN" w:bidi="ar-SA"/>
          <w14:textFill>
            <w14:solidFill>
              <w14:schemeClr w14:val="tx1"/>
            </w14:solidFill>
          </w14:textFill>
        </w:rPr>
        <w:t>是否专门面向中小企业采购：否</w:t>
      </w:r>
    </w:p>
    <w:p w14:paraId="44F69C39">
      <w:pPr>
        <w:pStyle w:val="6"/>
        <w:keepNext w:val="0"/>
        <w:keepLines w:val="0"/>
        <w:pageBreakBefore w:val="0"/>
        <w:kinsoku/>
        <w:wordWrap/>
        <w:overflowPunct/>
        <w:topLinePunct w:val="0"/>
        <w:bidi w:val="0"/>
        <w:snapToGrid/>
        <w:spacing w:line="360" w:lineRule="auto"/>
        <w:ind w:firstLine="482" w:firstLineChars="200"/>
        <w:textAlignment w:val="auto"/>
        <w:rPr>
          <w:rFonts w:ascii="宋体" w:hAnsi="宋体" w:cs="宋体"/>
          <w:b/>
          <w:bCs/>
          <w:color w:val="000000" w:themeColor="text1"/>
          <w:kern w:val="0"/>
          <w:sz w:val="24"/>
          <w:szCs w:val="24"/>
          <w:shd w:val="clear" w:color="auto" w:fill="FFFFFF"/>
          <w14:textFill>
            <w14:solidFill>
              <w14:schemeClr w14:val="tx1"/>
            </w14:solidFill>
          </w14:textFill>
        </w:rPr>
      </w:pPr>
      <w:r>
        <w:rPr>
          <w:rFonts w:ascii="宋体" w:hAnsi="宋体" w:cs="宋体"/>
          <w:b/>
          <w:bCs/>
          <w:color w:val="000000" w:themeColor="text1"/>
          <w:kern w:val="0"/>
          <w:sz w:val="24"/>
          <w:szCs w:val="24"/>
          <w:shd w:val="clear" w:color="auto" w:fill="FFFFFF"/>
          <w14:textFill>
            <w14:solidFill>
              <w14:schemeClr w14:val="tx1"/>
            </w14:solidFill>
          </w14:textFill>
        </w:rPr>
        <w:t>二、申请人资格要求：</w:t>
      </w:r>
    </w:p>
    <w:p w14:paraId="2A09ADCD">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p>
    <w:p w14:paraId="7613E8F9">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2、落实政府采购政策满足的资格要求：</w:t>
      </w:r>
    </w:p>
    <w:p w14:paraId="31355425">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本项目执行节约能源、保护环境、扶持不发达地区和少数民族地区、促进中小企业发展、促进残疾人就业、促进监狱企业发展等政府采购政策。本项目支持河南省政府采购合同融资政策。</w:t>
      </w:r>
    </w:p>
    <w:p w14:paraId="392BD38E">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14:paraId="690FB21B">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76CBF8B3">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62321FF6">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6A4E017B">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7A980059">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提供2024年1月1日以来任意3个月证明材料</w:t>
      </w:r>
      <w:r>
        <w:rPr>
          <w:rFonts w:hint="eastAsia" w:ascii="宋体" w:hAnsi="宋体" w:cs="宋体"/>
          <w:color w:val="000000" w:themeColor="text1"/>
          <w:sz w:val="24"/>
          <w:szCs w:val="24"/>
          <w:lang w:eastAsia="zh-CN"/>
          <w14:textFill>
            <w14:solidFill>
              <w14:schemeClr w14:val="tx1"/>
            </w14:solidFill>
          </w14:textFill>
        </w:rPr>
        <w:t>）</w:t>
      </w:r>
    </w:p>
    <w:p w14:paraId="56D77DF6">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3C2808A3">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48528ABF">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6A285A56">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247F95E2">
      <w:pPr>
        <w:keepNext w:val="0"/>
        <w:keepLines w:val="0"/>
        <w:pageBreakBefore w:val="0"/>
        <w:kinsoku/>
        <w:wordWrap/>
        <w:overflowPunct/>
        <w:topLinePunct w:val="0"/>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本项目不接受联合体投标，不得分包转包；</w:t>
      </w:r>
    </w:p>
    <w:p w14:paraId="34A458FD">
      <w:pPr>
        <w:pStyle w:val="32"/>
        <w:keepNext w:val="0"/>
        <w:keepLines w:val="0"/>
        <w:pageBreakBefore w:val="0"/>
        <w:kinsoku/>
        <w:wordWrap/>
        <w:overflowPunct/>
        <w:topLinePunct w:val="0"/>
        <w:bidi w:val="0"/>
        <w:snapToGrid/>
        <w:spacing w:line="360" w:lineRule="auto"/>
        <w:ind w:firstLine="482" w:firstLineChars="200"/>
        <w:textAlignment w:val="auto"/>
        <w:rPr>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备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人承担责任。</w:t>
      </w:r>
    </w:p>
    <w:p w14:paraId="70F15E44">
      <w:pPr>
        <w:pStyle w:val="32"/>
        <w:keepNext w:val="0"/>
        <w:keepLines w:val="0"/>
        <w:pageBreakBefore w:val="0"/>
        <w:kinsoku/>
        <w:wordWrap/>
        <w:overflowPunct/>
        <w:topLinePunct w:val="0"/>
        <w:bidi w:val="0"/>
        <w:snapToGrid/>
        <w:spacing w:line="360" w:lineRule="auto"/>
        <w:ind w:firstLine="482" w:firstLineChars="200"/>
        <w:textAlignment w:val="auto"/>
        <w:rPr>
          <w:b/>
          <w:bCs/>
          <w:color w:val="000000" w:themeColor="text1"/>
          <w:sz w:val="24"/>
          <w:szCs w:val="24"/>
          <w14:textFill>
            <w14:solidFill>
              <w14:schemeClr w14:val="tx1"/>
            </w14:solidFill>
          </w14:textFill>
        </w:rPr>
      </w:pPr>
    </w:p>
    <w:p w14:paraId="65B0D300">
      <w:pPr>
        <w:pStyle w:val="32"/>
        <w:keepNext w:val="0"/>
        <w:keepLines w:val="0"/>
        <w:pageBreakBefore w:val="0"/>
        <w:kinsoku/>
        <w:wordWrap/>
        <w:overflowPunct/>
        <w:topLinePunct w:val="0"/>
        <w:bidi w:val="0"/>
        <w:snapToGrid/>
        <w:spacing w:line="360" w:lineRule="auto"/>
        <w:ind w:firstLine="482" w:firstLineChars="200"/>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三、获取采购文件</w:t>
      </w:r>
    </w:p>
    <w:p w14:paraId="02662184">
      <w:pPr>
        <w:pStyle w:val="32"/>
        <w:keepNext w:val="0"/>
        <w:keepLines w:val="0"/>
        <w:pageBreakBefore w:val="0"/>
        <w:kinsoku/>
        <w:wordWrap/>
        <w:overflowPunct/>
        <w:topLinePunct w:val="0"/>
        <w:bidi w:val="0"/>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1、时间：</w:t>
      </w:r>
      <w:r>
        <w:rPr>
          <w:rFonts w:hint="eastAsia"/>
          <w:color w:val="000000" w:themeColor="text1"/>
          <w:sz w:val="24"/>
          <w:szCs w:val="24"/>
          <w:lang w:eastAsia="zh-CN"/>
          <w14:textFill>
            <w14:solidFill>
              <w14:schemeClr w14:val="tx1"/>
            </w14:solidFill>
          </w14:textFill>
        </w:rPr>
        <w:t>2024</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日0</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时00分至</w:t>
      </w:r>
      <w:r>
        <w:rPr>
          <w:rFonts w:hint="eastAsia"/>
          <w:color w:val="000000" w:themeColor="text1"/>
          <w:sz w:val="24"/>
          <w:szCs w:val="24"/>
          <w:lang w:eastAsia="zh-CN"/>
          <w14:textFill>
            <w14:solidFill>
              <w14:schemeClr w14:val="tx1"/>
            </w14:solidFill>
          </w14:textFill>
        </w:rPr>
        <w:t>2024</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7</w:t>
      </w:r>
      <w:r>
        <w:rPr>
          <w:color w:val="000000" w:themeColor="text1"/>
          <w:sz w:val="24"/>
          <w:szCs w:val="24"/>
          <w14:textFill>
            <w14:solidFill>
              <w14:schemeClr w14:val="tx1"/>
            </w14:solidFill>
          </w14:textFill>
        </w:rPr>
        <w:t>日1</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时</w:t>
      </w:r>
      <w:r>
        <w:rPr>
          <w:rFonts w:hint="eastAsia"/>
          <w:color w:val="000000" w:themeColor="text1"/>
          <w:sz w:val="24"/>
          <w:szCs w:val="24"/>
          <w:lang w:val="en-US" w:eastAsia="zh-CN"/>
          <w14:textFill>
            <w14:solidFill>
              <w14:schemeClr w14:val="tx1"/>
            </w14:solidFill>
          </w14:textFill>
        </w:rPr>
        <w:t>0</w:t>
      </w:r>
      <w:r>
        <w:rPr>
          <w:color w:val="000000" w:themeColor="text1"/>
          <w:sz w:val="24"/>
          <w:szCs w:val="24"/>
          <w14:textFill>
            <w14:solidFill>
              <w14:schemeClr w14:val="tx1"/>
            </w14:solidFill>
          </w14:textFill>
        </w:rPr>
        <w:t>0分（北京时间，法定节假日除外）</w:t>
      </w:r>
    </w:p>
    <w:p w14:paraId="62649D01">
      <w:pPr>
        <w:pStyle w:val="32"/>
        <w:keepNext w:val="0"/>
        <w:keepLines w:val="0"/>
        <w:pageBreakBefore w:val="0"/>
        <w:kinsoku/>
        <w:wordWrap/>
        <w:overflowPunct/>
        <w:topLinePunct w:val="0"/>
        <w:bidi w:val="0"/>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2、地点：《全国公共资源交易平台（河南省﹒南阳市﹒卧龙区）》</w:t>
      </w:r>
      <w:r>
        <w:rPr>
          <w:rFonts w:hint="eastAsia"/>
          <w:color w:val="000000" w:themeColor="text1"/>
          <w:sz w:val="24"/>
          <w:szCs w:val="24"/>
          <w14:textFill>
            <w14:solidFill>
              <w14:schemeClr w14:val="tx1"/>
            </w14:solidFill>
          </w14:textFill>
        </w:rPr>
        <w:t>网站</w:t>
      </w:r>
    </w:p>
    <w:p w14:paraId="4F9DD6BA">
      <w:pPr>
        <w:pStyle w:val="32"/>
        <w:keepNext w:val="0"/>
        <w:keepLines w:val="0"/>
        <w:pageBreakBefore w:val="0"/>
        <w:kinsoku/>
        <w:wordWrap/>
        <w:overflowPunct/>
        <w:topLinePunct w:val="0"/>
        <w:bidi w:val="0"/>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、方式：</w:t>
      </w:r>
      <w:r>
        <w:rPr>
          <w:rFonts w:hint="eastAsia"/>
          <w:color w:val="000000" w:themeColor="text1"/>
          <w:sz w:val="24"/>
          <w:szCs w:val="24"/>
          <w:lang w:eastAsia="zh-CN"/>
          <w14:textFill>
            <w14:solidFill>
              <w14:schemeClr w14:val="tx1"/>
            </w14:solidFill>
          </w14:textFill>
        </w:rPr>
        <w:t>登录</w:t>
      </w:r>
      <w:r>
        <w:rPr>
          <w:rFonts w:hint="eastAsia"/>
          <w:color w:val="000000" w:themeColor="text1"/>
          <w:sz w:val="24"/>
          <w:szCs w:val="24"/>
          <w14:textFill>
            <w14:solidFill>
              <w14:schemeClr w14:val="tx1"/>
            </w14:solidFill>
          </w14:textFill>
        </w:rPr>
        <w:t>“《全国公共资源交易平台（河南省·南阳市·卧龙区）》”网站，注册后凭办理的企业身份认证锁（ CA 数字证书）</w:t>
      </w:r>
      <w:r>
        <w:rPr>
          <w:rFonts w:hint="eastAsia"/>
          <w:color w:val="000000" w:themeColor="text1"/>
          <w:sz w:val="24"/>
          <w:szCs w:val="24"/>
          <w:lang w:eastAsia="zh-CN"/>
          <w14:textFill>
            <w14:solidFill>
              <w14:schemeClr w14:val="tx1"/>
            </w14:solidFill>
          </w14:textFill>
        </w:rPr>
        <w:t>登录</w:t>
      </w:r>
      <w:r>
        <w:rPr>
          <w:rFonts w:hint="eastAsia"/>
          <w:color w:val="000000" w:themeColor="text1"/>
          <w:sz w:val="24"/>
          <w:szCs w:val="24"/>
          <w14:textFill>
            <w14:solidFill>
              <w14:schemeClr w14:val="tx1"/>
            </w14:solidFill>
          </w14:textFill>
        </w:rPr>
        <w:t>会员系统按网上提示下载招标文件 (*.nyzf 格式 及资料（操作程序详见南阳市公共资源交易中心网站下载专区）。</w:t>
      </w:r>
    </w:p>
    <w:p w14:paraId="61351741">
      <w:pPr>
        <w:keepNext w:val="0"/>
        <w:keepLines w:val="0"/>
        <w:pageBreakBefore w:val="0"/>
        <w:kinsoku/>
        <w:wordWrap/>
        <w:overflowPunct/>
        <w:topLinePunct w:val="0"/>
        <w:bidi w:val="0"/>
        <w:snapToGrid/>
        <w:spacing w:line="360" w:lineRule="auto"/>
        <w:ind w:firstLine="480"/>
        <w:textAlignment w:val="auto"/>
        <w:rPr>
          <w:color w:val="000000" w:themeColor="text1"/>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4、售价：0元人民币/份。</w:t>
      </w:r>
    </w:p>
    <w:p w14:paraId="556D6348">
      <w:pPr>
        <w:pStyle w:val="32"/>
        <w:keepNext w:val="0"/>
        <w:keepLines w:val="0"/>
        <w:pageBreakBefore w:val="0"/>
        <w:kinsoku/>
        <w:wordWrap/>
        <w:overflowPunct/>
        <w:topLinePunct w:val="0"/>
        <w:bidi w:val="0"/>
        <w:snapToGrid/>
        <w:spacing w:line="360" w:lineRule="auto"/>
        <w:ind w:firstLine="482"/>
        <w:textAlignment w:val="auto"/>
        <w:rPr>
          <w:rFonts w:hint="eastAsia" w:hAnsi="宋体"/>
          <w:b/>
          <w:color w:val="000000" w:themeColor="text1"/>
          <w:sz w:val="24"/>
          <w:szCs w:val="24"/>
          <w14:textFill>
            <w14:solidFill>
              <w14:schemeClr w14:val="tx1"/>
            </w14:solidFill>
          </w14:textFill>
        </w:rPr>
      </w:pPr>
    </w:p>
    <w:p w14:paraId="3567B379">
      <w:pPr>
        <w:pStyle w:val="32"/>
        <w:keepNext w:val="0"/>
        <w:keepLines w:val="0"/>
        <w:pageBreakBefore w:val="0"/>
        <w:kinsoku/>
        <w:wordWrap/>
        <w:overflowPunct/>
        <w:topLinePunct w:val="0"/>
        <w:bidi w:val="0"/>
        <w:snapToGrid/>
        <w:spacing w:line="360" w:lineRule="auto"/>
        <w:ind w:firstLine="482"/>
        <w:textAlignment w:val="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四、投标截止时间及地点</w:t>
      </w:r>
    </w:p>
    <w:p w14:paraId="0E7CD447">
      <w:pPr>
        <w:pStyle w:val="32"/>
        <w:keepNext w:val="0"/>
        <w:keepLines w:val="0"/>
        <w:pageBreakBefore w:val="0"/>
        <w:kinsoku/>
        <w:wordWrap/>
        <w:overflowPunct/>
        <w:topLinePunct w:val="0"/>
        <w:bidi w:val="0"/>
        <w:snapToGrid/>
        <w:spacing w:line="360" w:lineRule="auto"/>
        <w:ind w:firstLine="482"/>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时间：</w:t>
      </w:r>
      <w:r>
        <w:rPr>
          <w:rFonts w:hint="eastAsia" w:hAnsi="宋体"/>
          <w:color w:val="000000" w:themeColor="text1"/>
          <w:sz w:val="24"/>
          <w:szCs w:val="24"/>
          <w:lang w:eastAsia="zh-CN"/>
          <w14:textFill>
            <w14:solidFill>
              <w14:schemeClr w14:val="tx1"/>
            </w14:solidFill>
          </w14:textFill>
        </w:rPr>
        <w:t>2024</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8</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21</w:t>
      </w:r>
      <w:r>
        <w:rPr>
          <w:rFonts w:hint="eastAsia" w:hAnsi="宋体"/>
          <w:color w:val="000000" w:themeColor="text1"/>
          <w:sz w:val="24"/>
          <w:szCs w:val="24"/>
          <w14:textFill>
            <w14:solidFill>
              <w14:schemeClr w14:val="tx1"/>
            </w14:solidFill>
          </w14:textFill>
        </w:rPr>
        <w:t>日8点 30分（北京时间）。</w:t>
      </w:r>
    </w:p>
    <w:p w14:paraId="466D2BC4">
      <w:pPr>
        <w:pStyle w:val="32"/>
        <w:keepNext w:val="0"/>
        <w:keepLines w:val="0"/>
        <w:pageBreakBefore w:val="0"/>
        <w:kinsoku/>
        <w:wordWrap/>
        <w:overflowPunct/>
        <w:topLinePunct w:val="0"/>
        <w:bidi w:val="0"/>
        <w:snapToGrid/>
        <w:spacing w:line="360" w:lineRule="auto"/>
        <w:ind w:firstLine="482"/>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w:t>
      </w:r>
      <w:r>
        <w:rPr>
          <w:rFonts w:hint="eastAsia" w:hAnsi="宋体"/>
          <w:color w:val="000000" w:themeColor="text1"/>
          <w:sz w:val="24"/>
          <w:szCs w:val="24"/>
          <w14:textFill>
            <w14:solidFill>
              <w14:schemeClr w14:val="tx1"/>
            </w14:solidFill>
          </w14:textFill>
        </w:rPr>
        <w:t>地点：本项目使用不见面开标，投标人无需前往现场来参与投标。具体操作流程详见南阳市公共资源交易中心下载专区栏发布的南阳不见面开标 操作手册（投标人） 。</w:t>
      </w:r>
    </w:p>
    <w:p w14:paraId="18D984AB">
      <w:pPr>
        <w:pStyle w:val="32"/>
        <w:keepNext w:val="0"/>
        <w:keepLines w:val="0"/>
        <w:pageBreakBefore w:val="0"/>
        <w:kinsoku/>
        <w:wordWrap/>
        <w:overflowPunct/>
        <w:topLinePunct w:val="0"/>
        <w:bidi w:val="0"/>
        <w:snapToGrid/>
        <w:spacing w:line="360" w:lineRule="auto"/>
        <w:ind w:firstLine="482"/>
        <w:textAlignment w:val="auto"/>
        <w:rPr>
          <w:rFonts w:hint="eastAsia" w:hAnsi="宋体"/>
          <w:b/>
          <w:color w:val="000000" w:themeColor="text1"/>
          <w:sz w:val="24"/>
          <w:szCs w:val="24"/>
          <w14:textFill>
            <w14:solidFill>
              <w14:schemeClr w14:val="tx1"/>
            </w14:solidFill>
          </w14:textFill>
        </w:rPr>
      </w:pPr>
    </w:p>
    <w:p w14:paraId="120DBA7B">
      <w:pPr>
        <w:pStyle w:val="32"/>
        <w:keepNext w:val="0"/>
        <w:keepLines w:val="0"/>
        <w:pageBreakBefore w:val="0"/>
        <w:kinsoku/>
        <w:wordWrap/>
        <w:overflowPunct/>
        <w:topLinePunct w:val="0"/>
        <w:bidi w:val="0"/>
        <w:snapToGrid/>
        <w:spacing w:line="360" w:lineRule="auto"/>
        <w:ind w:firstLine="482"/>
        <w:textAlignment w:val="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五、开标时间及地点</w:t>
      </w:r>
    </w:p>
    <w:p w14:paraId="1500EBA3">
      <w:pPr>
        <w:pStyle w:val="32"/>
        <w:keepNext w:val="0"/>
        <w:keepLines w:val="0"/>
        <w:pageBreakBefore w:val="0"/>
        <w:kinsoku/>
        <w:wordWrap/>
        <w:overflowPunct/>
        <w:topLinePunct w:val="0"/>
        <w:bidi w:val="0"/>
        <w:snapToGrid/>
        <w:spacing w:line="360" w:lineRule="auto"/>
        <w:ind w:firstLine="482"/>
        <w:textAlignment w:val="auto"/>
        <w:rPr>
          <w:rFonts w:hAnsi="宋体"/>
          <w:color w:val="auto"/>
          <w:sz w:val="24"/>
          <w:szCs w:val="24"/>
        </w:rPr>
      </w:pP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时间：</w:t>
      </w:r>
      <w:r>
        <w:rPr>
          <w:rFonts w:hint="eastAsia" w:hAnsi="宋体"/>
          <w:color w:val="000000" w:themeColor="text1"/>
          <w:sz w:val="24"/>
          <w:szCs w:val="24"/>
          <w:lang w:eastAsia="zh-CN"/>
          <w14:textFill>
            <w14:solidFill>
              <w14:schemeClr w14:val="tx1"/>
            </w14:solidFill>
          </w14:textFill>
        </w:rPr>
        <w:t>2024</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8</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21</w:t>
      </w:r>
      <w:r>
        <w:rPr>
          <w:rFonts w:hint="eastAsia" w:hAnsi="宋体"/>
          <w:color w:val="000000" w:themeColor="text1"/>
          <w:sz w:val="24"/>
          <w:szCs w:val="24"/>
          <w14:textFill>
            <w14:solidFill>
              <w14:schemeClr w14:val="tx1"/>
            </w14:solidFill>
          </w14:textFill>
        </w:rPr>
        <w:t>日8点 30分</w:t>
      </w:r>
      <w:r>
        <w:rPr>
          <w:rFonts w:hint="eastAsia" w:hAnsi="宋体"/>
          <w:color w:val="auto"/>
          <w:sz w:val="24"/>
          <w:szCs w:val="24"/>
        </w:rPr>
        <w:t>（北京时间）。</w:t>
      </w:r>
    </w:p>
    <w:p w14:paraId="2976D54C">
      <w:pPr>
        <w:pStyle w:val="32"/>
        <w:keepNext w:val="0"/>
        <w:keepLines w:val="0"/>
        <w:pageBreakBefore w:val="0"/>
        <w:kinsoku/>
        <w:wordWrap/>
        <w:overflowPunct/>
        <w:topLinePunct w:val="0"/>
        <w:bidi w:val="0"/>
        <w:snapToGrid/>
        <w:spacing w:line="360" w:lineRule="auto"/>
        <w:ind w:firstLine="482"/>
        <w:textAlignment w:val="auto"/>
        <w:rPr>
          <w:rFonts w:hAnsi="宋体"/>
          <w:color w:val="auto"/>
          <w:sz w:val="24"/>
          <w:szCs w:val="24"/>
        </w:rPr>
      </w:pPr>
      <w:r>
        <w:rPr>
          <w:rFonts w:hAnsi="宋体"/>
          <w:color w:val="auto"/>
          <w:sz w:val="24"/>
          <w:szCs w:val="24"/>
        </w:rPr>
        <w:t>2.</w:t>
      </w:r>
      <w:r>
        <w:rPr>
          <w:rFonts w:hint="eastAsia" w:hAnsi="宋体"/>
          <w:color w:val="auto"/>
          <w:sz w:val="24"/>
          <w:szCs w:val="24"/>
        </w:rPr>
        <w:t>地点：本项目采用“远程不见面”开标方式，不见面开标大厅地址，投标人无需到卧龙区公共资源交易中心现场参加开标会议，无需到达现场提交原件资料。需要注意开标前登录不见面系统进行签到。</w:t>
      </w:r>
    </w:p>
    <w:p w14:paraId="02258E43">
      <w:pPr>
        <w:pStyle w:val="32"/>
        <w:keepNext w:val="0"/>
        <w:keepLines w:val="0"/>
        <w:pageBreakBefore w:val="0"/>
        <w:kinsoku/>
        <w:wordWrap/>
        <w:overflowPunct/>
        <w:topLinePunct w:val="0"/>
        <w:bidi w:val="0"/>
        <w:snapToGrid/>
        <w:spacing w:line="360" w:lineRule="auto"/>
        <w:ind w:firstLine="482"/>
        <w:textAlignment w:val="auto"/>
        <w:rPr>
          <w:rFonts w:hAnsi="宋体"/>
          <w:color w:val="auto"/>
          <w:sz w:val="24"/>
          <w:szCs w:val="24"/>
        </w:rPr>
      </w:pPr>
      <w:r>
        <w:rPr>
          <w:rFonts w:hAnsi="宋体"/>
          <w:color w:val="auto"/>
          <w:sz w:val="24"/>
          <w:szCs w:val="24"/>
        </w:rPr>
        <w:t>3.</w:t>
      </w:r>
      <w:r>
        <w:rPr>
          <w:rFonts w:hint="eastAsia" w:hAnsi="宋体"/>
          <w:color w:val="auto"/>
          <w:sz w:val="24"/>
          <w:szCs w:val="24"/>
        </w:rPr>
        <w:t>因投标人无需现场参与开标，所有准备工作需要自行到位。开标过程中如遇到紧急事项，可在不见面开标大厅中进行提出异议或文字交流，严重问题可拨打技术支持电话</w:t>
      </w:r>
      <w:r>
        <w:rPr>
          <w:rFonts w:hint="eastAsia" w:hAnsi="宋体"/>
          <w:color w:val="auto"/>
          <w:sz w:val="24"/>
          <w:szCs w:val="24"/>
          <w:lang w:val="en-US" w:eastAsia="zh-CN"/>
        </w:rPr>
        <w:t>400-998-0000</w:t>
      </w:r>
      <w:r>
        <w:rPr>
          <w:rFonts w:hint="eastAsia" w:hAnsi="宋体"/>
          <w:color w:val="auto"/>
          <w:sz w:val="24"/>
          <w:szCs w:val="24"/>
        </w:rPr>
        <w:t>。</w:t>
      </w:r>
    </w:p>
    <w:p w14:paraId="7A231BC7">
      <w:pPr>
        <w:pStyle w:val="32"/>
        <w:keepNext w:val="0"/>
        <w:keepLines w:val="0"/>
        <w:pageBreakBefore w:val="0"/>
        <w:kinsoku/>
        <w:wordWrap/>
        <w:overflowPunct/>
        <w:topLinePunct w:val="0"/>
        <w:bidi w:val="0"/>
        <w:snapToGrid/>
        <w:spacing w:line="360" w:lineRule="auto"/>
        <w:ind w:firstLine="482"/>
        <w:textAlignment w:val="auto"/>
        <w:rPr>
          <w:rFonts w:hAnsi="宋体"/>
          <w:color w:val="auto"/>
          <w:sz w:val="24"/>
          <w:szCs w:val="24"/>
        </w:rPr>
      </w:pPr>
      <w:r>
        <w:rPr>
          <w:rFonts w:hAnsi="宋体"/>
          <w:color w:val="auto"/>
          <w:sz w:val="24"/>
          <w:szCs w:val="24"/>
        </w:rPr>
        <w:t>4.</w:t>
      </w:r>
      <w:r>
        <w:rPr>
          <w:rFonts w:hint="eastAsia" w:hAnsi="宋体"/>
          <w:color w:val="auto"/>
          <w:sz w:val="24"/>
          <w:szCs w:val="24"/>
        </w:rPr>
        <w:t>不见面开标过程中，如投标人准备不到位，造成无法及时解密、网络问题等情况造成开标无法继续的，视为该投标人自动放弃投标（ 3 0 分钟内），将被退回投标文件。</w:t>
      </w:r>
    </w:p>
    <w:p w14:paraId="3E26A060">
      <w:pPr>
        <w:pStyle w:val="32"/>
        <w:keepNext w:val="0"/>
        <w:keepLines w:val="0"/>
        <w:pageBreakBefore w:val="0"/>
        <w:kinsoku/>
        <w:wordWrap/>
        <w:overflowPunct/>
        <w:topLinePunct w:val="0"/>
        <w:bidi w:val="0"/>
        <w:snapToGrid/>
        <w:spacing w:line="360" w:lineRule="auto"/>
        <w:ind w:firstLine="482"/>
        <w:textAlignment w:val="auto"/>
        <w:rPr>
          <w:rFonts w:hAnsi="宋体"/>
          <w:b/>
          <w:color w:val="auto"/>
          <w:sz w:val="24"/>
          <w:szCs w:val="24"/>
        </w:rPr>
      </w:pPr>
      <w:r>
        <w:rPr>
          <w:rFonts w:hint="eastAsia" w:hAnsi="宋体"/>
          <w:b/>
          <w:color w:val="auto"/>
          <w:sz w:val="24"/>
          <w:szCs w:val="24"/>
        </w:rPr>
        <w:t>六、发布公告的媒介及招标公告期限</w:t>
      </w:r>
    </w:p>
    <w:p w14:paraId="249A6267">
      <w:pPr>
        <w:pStyle w:val="32"/>
        <w:keepNext w:val="0"/>
        <w:keepLines w:val="0"/>
        <w:pageBreakBefore w:val="0"/>
        <w:kinsoku/>
        <w:wordWrap/>
        <w:overflowPunct/>
        <w:topLinePunct w:val="0"/>
        <w:bidi w:val="0"/>
        <w:snapToGrid/>
        <w:spacing w:line="360" w:lineRule="auto"/>
        <w:ind w:firstLine="480" w:firstLineChars="200"/>
        <w:textAlignment w:val="auto"/>
        <w:rPr>
          <w:color w:val="auto"/>
          <w:sz w:val="24"/>
          <w:szCs w:val="24"/>
        </w:rPr>
      </w:pPr>
      <w:r>
        <w:rPr>
          <w:rFonts w:hint="eastAsia" w:hAnsi="宋体"/>
          <w:color w:val="auto"/>
          <w:sz w:val="24"/>
          <w:szCs w:val="24"/>
        </w:rPr>
        <w:t>本次公告在《河南省政府采购网》、《</w:t>
      </w:r>
      <w:r>
        <w:rPr>
          <w:rFonts w:hint="eastAsia" w:hAnsi="宋体"/>
          <w:color w:val="auto"/>
          <w:sz w:val="24"/>
          <w:szCs w:val="24"/>
          <w:lang w:val="en-US" w:eastAsia="zh-CN"/>
        </w:rPr>
        <w:t>南阳市政府采购网</w:t>
      </w:r>
      <w:r>
        <w:rPr>
          <w:rFonts w:hint="eastAsia" w:hAnsi="宋体"/>
          <w:color w:val="auto"/>
          <w:sz w:val="24"/>
          <w:szCs w:val="24"/>
        </w:rPr>
        <w:t>》、《全国公共资源交易平台（河南省·南阳市·卧龙区）》上同时发布，公告期限为5个工作日</w:t>
      </w:r>
      <w:r>
        <w:rPr>
          <w:rFonts w:hint="eastAsia"/>
          <w:color w:val="auto"/>
          <w:sz w:val="24"/>
          <w:szCs w:val="24"/>
        </w:rPr>
        <w:t>。</w:t>
      </w:r>
    </w:p>
    <w:p w14:paraId="6A6CC3C2">
      <w:pPr>
        <w:keepNext w:val="0"/>
        <w:keepLines w:val="0"/>
        <w:pageBreakBefore w:val="0"/>
        <w:widowControl/>
        <w:kinsoku/>
        <w:wordWrap/>
        <w:overflowPunct/>
        <w:topLinePunct w:val="0"/>
        <w:bidi w:val="0"/>
        <w:snapToGrid/>
        <w:spacing w:line="360" w:lineRule="auto"/>
        <w:ind w:firstLine="482"/>
        <w:jc w:val="left"/>
        <w:textAlignment w:val="auto"/>
        <w:rPr>
          <w:rFonts w:ascii="宋体" w:hAnsi="宋体" w:cs="宋体"/>
          <w:b/>
          <w:color w:val="auto"/>
          <w:kern w:val="0"/>
          <w:sz w:val="24"/>
          <w:szCs w:val="24"/>
        </w:rPr>
      </w:pPr>
      <w:r>
        <w:rPr>
          <w:rFonts w:hint="eastAsia" w:ascii="宋体" w:hAnsi="宋体" w:cs="宋体"/>
          <w:b/>
          <w:color w:val="auto"/>
          <w:kern w:val="0"/>
          <w:sz w:val="24"/>
          <w:szCs w:val="24"/>
        </w:rPr>
        <w:t>七、其他补充事宜</w:t>
      </w:r>
    </w:p>
    <w:p w14:paraId="77067170">
      <w:pPr>
        <w:pStyle w:val="15"/>
        <w:keepNext w:val="0"/>
        <w:keepLines w:val="0"/>
        <w:pageBreakBefore w:val="0"/>
        <w:tabs>
          <w:tab w:val="left" w:pos="1620"/>
        </w:tabs>
        <w:kinsoku/>
        <w:wordWrap/>
        <w:overflowPunct/>
        <w:topLinePunct w:val="0"/>
        <w:bidi w:val="0"/>
        <w:snapToGrid/>
        <w:spacing w:before="0" w:beforeAutospacing="0" w:after="0" w:afterAutospacing="0" w:line="360" w:lineRule="auto"/>
        <w:ind w:firstLine="480"/>
        <w:textAlignment w:val="auto"/>
        <w:rPr>
          <w:color w:val="auto"/>
          <w:sz w:val="24"/>
          <w:szCs w:val="24"/>
        </w:rPr>
      </w:pPr>
      <w:r>
        <w:rPr>
          <w:rFonts w:hint="eastAsia"/>
          <w:color w:val="auto"/>
          <w:sz w:val="24"/>
          <w:szCs w:val="24"/>
        </w:rPr>
        <w:t>1.报名</w:t>
      </w:r>
      <w:r>
        <w:rPr>
          <w:rFonts w:hint="eastAsia"/>
          <w:color w:val="auto"/>
          <w:sz w:val="24"/>
          <w:szCs w:val="24"/>
          <w:lang w:val="en-US" w:eastAsia="zh-CN"/>
        </w:rPr>
        <w:t>须</w:t>
      </w:r>
      <w:r>
        <w:rPr>
          <w:rFonts w:hint="eastAsia"/>
          <w:color w:val="auto"/>
          <w:sz w:val="24"/>
          <w:szCs w:val="24"/>
        </w:rPr>
        <w:t>知：</w:t>
      </w:r>
    </w:p>
    <w:p w14:paraId="1240B79A">
      <w:pPr>
        <w:pStyle w:val="15"/>
        <w:keepNext w:val="0"/>
        <w:keepLines w:val="0"/>
        <w:pageBreakBefore w:val="0"/>
        <w:tabs>
          <w:tab w:val="left" w:pos="1620"/>
        </w:tabs>
        <w:kinsoku/>
        <w:wordWrap/>
        <w:overflowPunct/>
        <w:topLinePunct w:val="0"/>
        <w:bidi w:val="0"/>
        <w:snapToGrid/>
        <w:spacing w:before="0" w:beforeAutospacing="0" w:after="0" w:afterAutospacing="0" w:line="360" w:lineRule="auto"/>
        <w:ind w:firstLine="0" w:firstLineChars="0"/>
        <w:textAlignment w:val="auto"/>
        <w:rPr>
          <w:color w:val="auto"/>
          <w:sz w:val="24"/>
          <w:szCs w:val="24"/>
        </w:rPr>
      </w:pPr>
      <w:r>
        <w:rPr>
          <w:rFonts w:hint="eastAsia"/>
          <w:color w:val="auto"/>
          <w:sz w:val="24"/>
          <w:szCs w:val="24"/>
        </w:rPr>
        <w:t>（1）企业诚信库注册</w:t>
      </w:r>
    </w:p>
    <w:p w14:paraId="71510ABE">
      <w:pPr>
        <w:pStyle w:val="15"/>
        <w:keepNext w:val="0"/>
        <w:keepLines w:val="0"/>
        <w:pageBreakBefore w:val="0"/>
        <w:kinsoku/>
        <w:wordWrap/>
        <w:overflowPunct/>
        <w:topLinePunct w:val="0"/>
        <w:bidi w:val="0"/>
        <w:snapToGrid/>
        <w:spacing w:before="0" w:beforeAutospacing="0" w:after="0" w:afterAutospacing="0" w:line="360" w:lineRule="auto"/>
        <w:ind w:firstLine="464"/>
        <w:jc w:val="both"/>
        <w:textAlignment w:val="auto"/>
        <w:rPr>
          <w:color w:val="auto"/>
          <w:sz w:val="24"/>
          <w:szCs w:val="24"/>
        </w:rPr>
      </w:pPr>
      <w:r>
        <w:rPr>
          <w:rFonts w:hint="eastAsia"/>
          <w:color w:val="auto"/>
          <w:spacing w:val="-4"/>
          <w:sz w:val="24"/>
          <w:szCs w:val="24"/>
        </w:rPr>
        <w:t>未入库的投标企业请及时办理入库手续。入库办理请参见南阳市公共资源交易中</w:t>
      </w:r>
      <w:r>
        <w:rPr>
          <w:rFonts w:hint="eastAsia"/>
          <w:color w:val="auto"/>
          <w:sz w:val="24"/>
          <w:szCs w:val="24"/>
        </w:rPr>
        <w:t>心网站</w:t>
      </w:r>
      <w:r>
        <w:rPr>
          <w:color w:val="auto"/>
          <w:sz w:val="24"/>
          <w:szCs w:val="24"/>
        </w:rPr>
        <w:fldChar w:fldCharType="begin"/>
      </w:r>
      <w:r>
        <w:rPr>
          <w:color w:val="auto"/>
          <w:sz w:val="24"/>
          <w:szCs w:val="24"/>
        </w:rPr>
        <w:instrText xml:space="preserve"> HYPERLINK "http://www.nyggzyjy.cn下载专区/" </w:instrText>
      </w:r>
      <w:r>
        <w:rPr>
          <w:color w:val="auto"/>
          <w:sz w:val="24"/>
          <w:szCs w:val="24"/>
        </w:rPr>
        <w:fldChar w:fldCharType="separate"/>
      </w:r>
      <w:r>
        <w:rPr>
          <w:rStyle w:val="27"/>
          <w:rFonts w:hint="eastAsia"/>
          <w:color w:val="auto"/>
          <w:sz w:val="24"/>
          <w:szCs w:val="24"/>
        </w:rPr>
        <w:t>下载专区《诚信库申报操作手册》，企业办理诚信库不收取任</w:t>
      </w:r>
      <w:r>
        <w:rPr>
          <w:rStyle w:val="27"/>
          <w:rFonts w:hint="eastAsia"/>
          <w:color w:val="auto"/>
          <w:sz w:val="24"/>
          <w:szCs w:val="24"/>
        </w:rPr>
        <w:fldChar w:fldCharType="end"/>
      </w:r>
      <w:r>
        <w:rPr>
          <w:rFonts w:hint="eastAsia"/>
          <w:color w:val="auto"/>
          <w:spacing w:val="-7"/>
          <w:sz w:val="24"/>
          <w:szCs w:val="24"/>
        </w:rPr>
        <w:t>何费用，不需携带原件到南阳市公共资源交易中心进行审核。因未及时办理入库手续导</w:t>
      </w:r>
      <w:r>
        <w:rPr>
          <w:rFonts w:hint="eastAsia"/>
          <w:color w:val="auto"/>
          <w:sz w:val="24"/>
          <w:szCs w:val="24"/>
        </w:rPr>
        <w:t>致无法报名的,责任自负。</w:t>
      </w:r>
    </w:p>
    <w:p w14:paraId="6B3A8D5C">
      <w:pPr>
        <w:pStyle w:val="15"/>
        <w:keepNext w:val="0"/>
        <w:keepLines w:val="0"/>
        <w:pageBreakBefore w:val="0"/>
        <w:tabs>
          <w:tab w:val="left" w:pos="1620"/>
        </w:tabs>
        <w:kinsoku/>
        <w:wordWrap/>
        <w:overflowPunct/>
        <w:topLinePunct w:val="0"/>
        <w:bidi w:val="0"/>
        <w:snapToGrid/>
        <w:spacing w:before="0" w:beforeAutospacing="0" w:after="0" w:afterAutospacing="0" w:line="360" w:lineRule="auto"/>
        <w:ind w:firstLine="0" w:firstLineChars="0"/>
        <w:textAlignment w:val="auto"/>
        <w:rPr>
          <w:color w:val="auto"/>
          <w:sz w:val="24"/>
          <w:szCs w:val="24"/>
        </w:rPr>
      </w:pPr>
      <w:r>
        <w:rPr>
          <w:rFonts w:hint="eastAsia"/>
          <w:color w:val="auto"/>
          <w:sz w:val="24"/>
          <w:szCs w:val="24"/>
        </w:rPr>
        <w:t>（2）办理CA数字证书</w:t>
      </w:r>
    </w:p>
    <w:p w14:paraId="5A56AE9E">
      <w:pPr>
        <w:pStyle w:val="15"/>
        <w:keepNext w:val="0"/>
        <w:keepLines w:val="0"/>
        <w:pageBreakBefore w:val="0"/>
        <w:kinsoku/>
        <w:wordWrap/>
        <w:overflowPunct/>
        <w:topLinePunct w:val="0"/>
        <w:bidi w:val="0"/>
        <w:snapToGrid/>
        <w:spacing w:before="0" w:beforeAutospacing="0" w:after="0" w:afterAutospacing="0" w:line="360" w:lineRule="auto"/>
        <w:ind w:firstLine="464"/>
        <w:jc w:val="both"/>
        <w:textAlignment w:val="auto"/>
        <w:rPr>
          <w:color w:val="auto"/>
          <w:sz w:val="24"/>
          <w:szCs w:val="24"/>
        </w:rPr>
      </w:pPr>
      <w:r>
        <w:rPr>
          <w:rFonts w:hint="eastAsia"/>
          <w:color w:val="auto"/>
          <w:spacing w:val="-4"/>
          <w:sz w:val="24"/>
          <w:szCs w:val="24"/>
        </w:rPr>
        <w:t>投标企业完成企业诚信库注册后，必须办理</w:t>
      </w:r>
      <w:r>
        <w:rPr>
          <w:rFonts w:hint="eastAsia"/>
          <w:color w:val="auto"/>
          <w:sz w:val="24"/>
          <w:szCs w:val="24"/>
        </w:rPr>
        <w:t>CA数字证书方可在网上办理招投标相关</w:t>
      </w:r>
      <w:r>
        <w:rPr>
          <w:rFonts w:hint="eastAsia"/>
          <w:color w:val="auto"/>
          <w:spacing w:val="-33"/>
          <w:sz w:val="24"/>
          <w:szCs w:val="24"/>
        </w:rPr>
        <w:t>业务。</w:t>
      </w:r>
      <w:r>
        <w:rPr>
          <w:rFonts w:hint="eastAsia"/>
          <w:color w:val="auto"/>
          <w:sz w:val="24"/>
          <w:szCs w:val="24"/>
        </w:rPr>
        <w:t>CA</w:t>
      </w:r>
      <w:r>
        <w:rPr>
          <w:rFonts w:hint="eastAsia"/>
          <w:color w:val="auto"/>
          <w:spacing w:val="-4"/>
          <w:sz w:val="24"/>
          <w:szCs w:val="24"/>
        </w:rPr>
        <w:t>数字证书办理请参见南阳市公共资源交易中心网站下载专区《</w:t>
      </w:r>
      <w:r>
        <w:rPr>
          <w:rFonts w:hint="eastAsia"/>
          <w:color w:val="auto"/>
          <w:sz w:val="24"/>
          <w:szCs w:val="24"/>
        </w:rPr>
        <w:t>CA</w:t>
      </w:r>
      <w:r>
        <w:rPr>
          <w:rFonts w:hint="eastAsia"/>
          <w:color w:val="auto"/>
          <w:spacing w:val="-15"/>
          <w:sz w:val="24"/>
          <w:szCs w:val="24"/>
        </w:rPr>
        <w:t>办理所需资料》。</w:t>
      </w:r>
    </w:p>
    <w:p w14:paraId="3650022B">
      <w:pPr>
        <w:pStyle w:val="15"/>
        <w:keepNext w:val="0"/>
        <w:keepLines w:val="0"/>
        <w:pageBreakBefore w:val="0"/>
        <w:kinsoku/>
        <w:wordWrap/>
        <w:overflowPunct/>
        <w:topLinePunct w:val="0"/>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① 在南阳市公共资源交易中心注册企业诚信库并办理CA数字证书的，均可以登录南阳市卧龙区公共资源交易中心网站。</w:t>
      </w:r>
    </w:p>
    <w:p w14:paraId="513F6DB6">
      <w:pPr>
        <w:pStyle w:val="15"/>
        <w:keepNext w:val="0"/>
        <w:keepLines w:val="0"/>
        <w:pageBreakBefore w:val="0"/>
        <w:kinsoku/>
        <w:wordWrap/>
        <w:overflowPunct/>
        <w:topLinePunct w:val="0"/>
        <w:bidi w:val="0"/>
        <w:snapToGrid/>
        <w:spacing w:before="0" w:beforeAutospacing="0" w:after="0" w:afterAutospacing="0" w:line="360" w:lineRule="auto"/>
        <w:ind w:firstLine="476"/>
        <w:jc w:val="both"/>
        <w:textAlignment w:val="auto"/>
        <w:rPr>
          <w:color w:val="auto"/>
          <w:sz w:val="24"/>
          <w:szCs w:val="24"/>
        </w:rPr>
      </w:pPr>
      <w:r>
        <w:rPr>
          <w:rFonts w:hint="eastAsia"/>
          <w:color w:val="auto"/>
          <w:spacing w:val="-1"/>
          <w:sz w:val="24"/>
          <w:szCs w:val="24"/>
        </w:rPr>
        <w:t>② 在南阳市公共资源交易中心办理的</w:t>
      </w:r>
      <w:r>
        <w:rPr>
          <w:rFonts w:hint="eastAsia"/>
          <w:color w:val="auto"/>
          <w:sz w:val="24"/>
          <w:szCs w:val="24"/>
        </w:rPr>
        <w:t>CA数字证书，按照卧龙区公共资源交易中心</w:t>
      </w:r>
      <w:r>
        <w:rPr>
          <w:rFonts w:hint="eastAsia"/>
          <w:color w:val="auto"/>
          <w:spacing w:val="-4"/>
          <w:sz w:val="24"/>
          <w:szCs w:val="24"/>
        </w:rPr>
        <w:t>操作手册上设置完成后，仍登录不上卧龙区公共资源交易中心</w:t>
      </w:r>
      <w:r>
        <w:rPr>
          <w:rFonts w:hint="eastAsia"/>
          <w:color w:val="auto"/>
          <w:sz w:val="24"/>
          <w:szCs w:val="24"/>
        </w:rPr>
        <w:t>（包括CA</w:t>
      </w:r>
      <w:r>
        <w:rPr>
          <w:rFonts w:hint="eastAsia"/>
          <w:color w:val="auto"/>
          <w:spacing w:val="-3"/>
          <w:sz w:val="24"/>
          <w:szCs w:val="24"/>
        </w:rPr>
        <w:t>数字证书到期续</w:t>
      </w:r>
      <w:r>
        <w:rPr>
          <w:rFonts w:hint="eastAsia"/>
          <w:color w:val="auto"/>
          <w:sz w:val="24"/>
          <w:szCs w:val="24"/>
        </w:rPr>
        <w:t>费的</w:t>
      </w:r>
      <w:r>
        <w:rPr>
          <w:rFonts w:hint="eastAsia"/>
          <w:color w:val="auto"/>
          <w:spacing w:val="-24"/>
          <w:sz w:val="24"/>
          <w:szCs w:val="24"/>
        </w:rPr>
        <w:t>），</w:t>
      </w:r>
      <w:r>
        <w:rPr>
          <w:rFonts w:hint="eastAsia"/>
          <w:color w:val="auto"/>
          <w:spacing w:val="-1"/>
          <w:sz w:val="24"/>
          <w:szCs w:val="24"/>
        </w:rPr>
        <w:t>请投标企业携带公司</w:t>
      </w:r>
      <w:r>
        <w:rPr>
          <w:rFonts w:hint="eastAsia"/>
          <w:color w:val="auto"/>
          <w:sz w:val="24"/>
          <w:szCs w:val="24"/>
        </w:rPr>
        <w:t>CA数字证书到卧龙区公共资源交易中心现场绑定CA</w:t>
      </w:r>
      <w:r>
        <w:rPr>
          <w:rFonts w:hint="eastAsia"/>
          <w:color w:val="auto"/>
          <w:spacing w:val="-5"/>
          <w:sz w:val="24"/>
          <w:szCs w:val="24"/>
        </w:rPr>
        <w:t>数字证</w:t>
      </w:r>
      <w:r>
        <w:rPr>
          <w:rFonts w:hint="eastAsia"/>
          <w:color w:val="auto"/>
          <w:sz w:val="24"/>
          <w:szCs w:val="24"/>
        </w:rPr>
        <w:t>书。</w:t>
      </w:r>
    </w:p>
    <w:p w14:paraId="1205C95C">
      <w:pPr>
        <w:pStyle w:val="15"/>
        <w:keepNext w:val="0"/>
        <w:keepLines w:val="0"/>
        <w:pageBreakBefore w:val="0"/>
        <w:kinsoku/>
        <w:wordWrap/>
        <w:overflowPunct/>
        <w:topLinePunct w:val="0"/>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2.本项目为电子评标项目，</w:t>
      </w:r>
      <w:r>
        <w:rPr>
          <w:rFonts w:hint="eastAsia"/>
          <w:color w:val="auto"/>
          <w:sz w:val="24"/>
          <w:szCs w:val="24"/>
          <w:shd w:val="clear" w:color="auto" w:fill="FFFFFF"/>
        </w:rPr>
        <w:t>投标人</w:t>
      </w:r>
      <w:r>
        <w:rPr>
          <w:rFonts w:hint="eastAsia"/>
          <w:color w:val="auto"/>
          <w:sz w:val="24"/>
          <w:szCs w:val="24"/>
        </w:rPr>
        <w:t>须提供电子投标文件，电子投标文件需要使用投标文件制作工具制作，制作工具及操作手册可</w:t>
      </w:r>
      <w:r>
        <w:rPr>
          <w:rFonts w:hint="eastAsia"/>
          <w:color w:val="auto"/>
          <w:sz w:val="24"/>
          <w:szCs w:val="24"/>
          <w:lang w:eastAsia="zh-CN"/>
        </w:rPr>
        <w:t>登录</w:t>
      </w:r>
      <w:r>
        <w:rPr>
          <w:rFonts w:hint="eastAsia"/>
          <w:color w:val="auto"/>
          <w:sz w:val="24"/>
          <w:szCs w:val="24"/>
        </w:rPr>
        <w:t>“南阳市公共资源交易中心”，在“下载专区”中下载；</w:t>
      </w:r>
    </w:p>
    <w:p w14:paraId="2472979E">
      <w:pPr>
        <w:pStyle w:val="15"/>
        <w:keepNext w:val="0"/>
        <w:keepLines w:val="0"/>
        <w:pageBreakBefore w:val="0"/>
        <w:kinsoku/>
        <w:wordWrap/>
        <w:overflowPunct/>
        <w:topLinePunct w:val="0"/>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3.电子投标文件应在招标文件规定投标截止时间前到达交易系统，逾期到达交易系统的或者未送达指定地点的投标文件，视为</w:t>
      </w:r>
      <w:r>
        <w:rPr>
          <w:rFonts w:hint="eastAsia"/>
          <w:color w:val="auto"/>
          <w:sz w:val="24"/>
          <w:szCs w:val="24"/>
          <w:shd w:val="clear" w:color="auto" w:fill="FFFFFF"/>
        </w:rPr>
        <w:t>投标人</w:t>
      </w:r>
      <w:r>
        <w:rPr>
          <w:rFonts w:hint="eastAsia"/>
          <w:color w:val="auto"/>
          <w:sz w:val="24"/>
          <w:szCs w:val="24"/>
        </w:rPr>
        <w:t>放弃本次投标。</w:t>
      </w:r>
    </w:p>
    <w:p w14:paraId="4C0BF78B">
      <w:pPr>
        <w:pStyle w:val="15"/>
        <w:keepNext w:val="0"/>
        <w:keepLines w:val="0"/>
        <w:pageBreakBefore w:val="0"/>
        <w:kinsoku/>
        <w:wordWrap/>
        <w:overflowPunct/>
        <w:topLinePunct w:val="0"/>
        <w:bidi w:val="0"/>
        <w:snapToGrid/>
        <w:spacing w:before="0" w:beforeAutospacing="0" w:after="0" w:afterAutospacing="0" w:line="360" w:lineRule="auto"/>
        <w:ind w:firstLine="480"/>
        <w:jc w:val="both"/>
        <w:textAlignment w:val="auto"/>
        <w:rPr>
          <w:color w:val="auto"/>
          <w:sz w:val="24"/>
          <w:szCs w:val="24"/>
        </w:rPr>
      </w:pPr>
      <w:r>
        <w:rPr>
          <w:rFonts w:hint="eastAsia"/>
          <w:color w:val="auto"/>
          <w:sz w:val="24"/>
          <w:szCs w:val="24"/>
        </w:rPr>
        <w:t>4.请各潜在投标人在获取文件后及时关注网站更新信息，若因其他原因未能及时看到网上更新信息而造成的损失，采购人及采购代理机构将不负任何责任。</w:t>
      </w:r>
    </w:p>
    <w:p w14:paraId="7312D692">
      <w:pPr>
        <w:keepNext w:val="0"/>
        <w:keepLines w:val="0"/>
        <w:pageBreakBefore w:val="0"/>
        <w:widowControl/>
        <w:kinsoku/>
        <w:wordWrap/>
        <w:overflowPunct/>
        <w:bidi w:val="0"/>
        <w:snapToGrid/>
        <w:spacing w:line="360" w:lineRule="auto"/>
        <w:ind w:firstLine="482"/>
        <w:jc w:val="left"/>
        <w:textAlignment w:val="auto"/>
        <w:rPr>
          <w:rFonts w:ascii="宋体" w:hAnsi="宋体" w:cs="宋体"/>
          <w:b/>
          <w:color w:val="auto"/>
          <w:kern w:val="0"/>
          <w:sz w:val="24"/>
          <w:szCs w:val="24"/>
        </w:rPr>
      </w:pPr>
      <w:r>
        <w:rPr>
          <w:rFonts w:hint="eastAsia" w:ascii="宋体" w:hAnsi="宋体" w:cs="宋体"/>
          <w:b/>
          <w:color w:val="auto"/>
          <w:kern w:val="0"/>
          <w:sz w:val="24"/>
          <w:szCs w:val="24"/>
        </w:rPr>
        <w:t>八、凡对本次招标提出询问，请按照以下方式联系</w:t>
      </w:r>
    </w:p>
    <w:p w14:paraId="2284CA01">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1、采购人信息</w:t>
      </w:r>
    </w:p>
    <w:p w14:paraId="4E52792A">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名称：南阳市第十三完全学校</w:t>
      </w:r>
    </w:p>
    <w:p w14:paraId="25A04B3C">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统一社会信用代码：12411303MB1553264H</w:t>
      </w:r>
    </w:p>
    <w:p w14:paraId="551B94FA">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 系 人：刘闯</w:t>
      </w:r>
    </w:p>
    <w:p w14:paraId="59B47122">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联系方式：15713832583</w:t>
      </w:r>
    </w:p>
    <w:p w14:paraId="09FC969A">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址：河南省南阳市龙翔路</w:t>
      </w:r>
    </w:p>
    <w:p w14:paraId="7455652F">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14:paraId="0475AD63">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2、采购代理机构</w:t>
      </w:r>
    </w:p>
    <w:p w14:paraId="3E7D8CBC">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采购代理机构：河南合旺工程管理咨询有限公司</w:t>
      </w:r>
    </w:p>
    <w:p w14:paraId="129909E4">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统一社会信用代码：91411300MA46YY6G73</w:t>
      </w:r>
    </w:p>
    <w:p w14:paraId="5C932ED8">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址：河南省南阳市卧龙区梅溪街道建设中路新经济产业园411-119</w:t>
      </w:r>
    </w:p>
    <w:p w14:paraId="21C3DD12">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联系人：王冬冬</w:t>
      </w:r>
    </w:p>
    <w:p w14:paraId="4F556E77">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电  话：037763232369</w:t>
      </w:r>
    </w:p>
    <w:p w14:paraId="7FDD9CDD">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14:paraId="53F769EB">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3、监督单位</w:t>
      </w:r>
    </w:p>
    <w:p w14:paraId="487D8566">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监督单位：南阳市卧龙区财政局</w:t>
      </w:r>
    </w:p>
    <w:p w14:paraId="68F0D09E">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统一社会信用代码：11411303006002410D</w:t>
      </w:r>
    </w:p>
    <w:p w14:paraId="5D642A5B">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联系人：马飞</w:t>
      </w:r>
    </w:p>
    <w:p w14:paraId="6C9A0E0E">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地址：南阳市卧龙区文化路518号</w:t>
      </w:r>
    </w:p>
    <w:p w14:paraId="3670FE19">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电话：0377-63136873</w:t>
      </w:r>
    </w:p>
    <w:p w14:paraId="2546493B">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14:paraId="3111A236">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4、南阳市卧龙区公共资源交易中心</w:t>
      </w:r>
    </w:p>
    <w:p w14:paraId="46A526BF">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地址：南阳市卧龙区文化路488号</w:t>
      </w:r>
    </w:p>
    <w:p w14:paraId="5305FC03">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电子交易系统技术支持电话</w:t>
      </w:r>
      <w:r>
        <w:rPr>
          <w:rFonts w:hint="eastAsia" w:cs="Calibri"/>
          <w:color w:val="auto"/>
          <w:sz w:val="24"/>
          <w:szCs w:val="24"/>
          <w:shd w:val="clear" w:color="auto" w:fill="FFFFFF"/>
          <w:lang w:eastAsia="zh-CN"/>
        </w:rPr>
        <w:t>：</w:t>
      </w:r>
      <w:r>
        <w:rPr>
          <w:rFonts w:hint="eastAsia" w:cs="Calibri"/>
          <w:color w:val="auto"/>
          <w:sz w:val="24"/>
          <w:szCs w:val="24"/>
          <w:shd w:val="clear" w:color="auto" w:fill="FFFFFF"/>
          <w:lang w:val="en-US" w:eastAsia="zh-CN"/>
        </w:rPr>
        <w:t>400-998-0000</w:t>
      </w:r>
    </w:p>
    <w:p w14:paraId="4588D78E">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CA数字证书技术支持电话：</w:t>
      </w:r>
      <w:r>
        <w:rPr>
          <w:rFonts w:hint="eastAsia" w:cs="Calibri"/>
          <w:color w:val="auto"/>
          <w:sz w:val="24"/>
          <w:szCs w:val="24"/>
          <w:shd w:val="clear" w:color="auto" w:fill="FFFFFF"/>
          <w:lang w:val="en-US" w:eastAsia="zh-CN"/>
        </w:rPr>
        <w:t>400-998-0000</w:t>
      </w:r>
    </w:p>
    <w:p w14:paraId="0E697867"/>
    <w:p w14:paraId="3BE4079C"/>
    <w:p w14:paraId="56F33219"/>
    <w:p w14:paraId="61285675">
      <w:pPr>
        <w:pStyle w:val="15"/>
        <w:shd w:val="clear" w:color="auto" w:fill="FFFFFF"/>
        <w:topLinePunct/>
        <w:spacing w:before="0" w:beforeAutospacing="0" w:after="0" w:afterAutospacing="0" w:line="340" w:lineRule="atLeast"/>
        <w:ind w:firstLine="480"/>
        <w:rPr>
          <w:rFonts w:ascii="Calibri" w:hAnsi="Calibri" w:cs="Calibri"/>
        </w:rPr>
      </w:pPr>
    </w:p>
    <w:p w14:paraId="701D855A">
      <w:pPr>
        <w:spacing w:line="360" w:lineRule="auto"/>
        <w:ind w:firstLine="480" w:firstLineChars="200"/>
        <w:jc w:val="center"/>
        <w:rPr>
          <w:sz w:val="24"/>
          <w:szCs w:val="24"/>
        </w:rPr>
      </w:pPr>
      <w:bookmarkStart w:id="4" w:name="_Toc19613"/>
      <w:bookmarkStart w:id="5" w:name="_Toc8_WPSOffice_Level1"/>
      <w:bookmarkStart w:id="6" w:name="_Toc1825"/>
      <w:bookmarkStart w:id="7" w:name="_Toc27828"/>
    </w:p>
    <w:p w14:paraId="3260D625">
      <w:pPr>
        <w:pStyle w:val="3"/>
        <w:rPr>
          <w:sz w:val="24"/>
          <w:szCs w:val="24"/>
        </w:rPr>
      </w:pPr>
    </w:p>
    <w:p w14:paraId="254BC2E9">
      <w:pPr>
        <w:rPr>
          <w:sz w:val="24"/>
          <w:szCs w:val="24"/>
        </w:rPr>
      </w:pPr>
    </w:p>
    <w:p w14:paraId="464C95BE">
      <w:pPr>
        <w:pStyle w:val="6"/>
        <w:rPr>
          <w:sz w:val="24"/>
          <w:szCs w:val="24"/>
        </w:rPr>
      </w:pPr>
    </w:p>
    <w:p w14:paraId="6B3F4C59">
      <w:pPr>
        <w:pStyle w:val="7"/>
        <w:rPr>
          <w:sz w:val="24"/>
          <w:szCs w:val="24"/>
        </w:rPr>
      </w:pPr>
    </w:p>
    <w:p w14:paraId="56D1E4B6">
      <w:pPr>
        <w:rPr>
          <w:sz w:val="24"/>
          <w:szCs w:val="24"/>
        </w:rPr>
      </w:pPr>
    </w:p>
    <w:p w14:paraId="59CE42A8">
      <w:pPr>
        <w:pStyle w:val="6"/>
        <w:rPr>
          <w:sz w:val="24"/>
          <w:szCs w:val="24"/>
        </w:rPr>
      </w:pPr>
    </w:p>
    <w:p w14:paraId="30A927AE">
      <w:pPr>
        <w:pStyle w:val="7"/>
        <w:rPr>
          <w:sz w:val="24"/>
          <w:szCs w:val="24"/>
        </w:rPr>
      </w:pPr>
    </w:p>
    <w:p w14:paraId="6F955D96">
      <w:pPr>
        <w:rPr>
          <w:sz w:val="24"/>
          <w:szCs w:val="24"/>
        </w:rPr>
      </w:pPr>
    </w:p>
    <w:p w14:paraId="0BF3F9FD">
      <w:pPr>
        <w:pStyle w:val="6"/>
        <w:rPr>
          <w:sz w:val="24"/>
          <w:szCs w:val="24"/>
        </w:rPr>
      </w:pPr>
    </w:p>
    <w:p w14:paraId="3EF371E5">
      <w:pPr>
        <w:pStyle w:val="7"/>
        <w:rPr>
          <w:sz w:val="24"/>
          <w:szCs w:val="24"/>
        </w:rPr>
      </w:pPr>
    </w:p>
    <w:p w14:paraId="32A8C832">
      <w:pPr>
        <w:rPr>
          <w:sz w:val="24"/>
          <w:szCs w:val="24"/>
        </w:rPr>
      </w:pPr>
    </w:p>
    <w:p w14:paraId="3E9A26B0">
      <w:pPr>
        <w:rPr>
          <w:sz w:val="24"/>
          <w:szCs w:val="24"/>
        </w:rPr>
      </w:pPr>
    </w:p>
    <w:p w14:paraId="290C5DAB">
      <w:pPr>
        <w:rPr>
          <w:sz w:val="24"/>
          <w:szCs w:val="24"/>
        </w:rPr>
      </w:pPr>
    </w:p>
    <w:p w14:paraId="30BB8D75">
      <w:pPr>
        <w:rPr>
          <w:sz w:val="24"/>
          <w:szCs w:val="24"/>
        </w:rPr>
      </w:pPr>
    </w:p>
    <w:p w14:paraId="681DFE6B">
      <w:pPr>
        <w:pStyle w:val="7"/>
        <w:rPr>
          <w:sz w:val="24"/>
          <w:szCs w:val="24"/>
        </w:rPr>
      </w:pPr>
    </w:p>
    <w:p w14:paraId="0B0236BE">
      <w:pPr>
        <w:pStyle w:val="6"/>
        <w:rPr>
          <w:sz w:val="24"/>
          <w:szCs w:val="24"/>
        </w:rPr>
      </w:pPr>
    </w:p>
    <w:p w14:paraId="5056D448">
      <w:pPr>
        <w:pStyle w:val="2"/>
        <w:rPr>
          <w:rFonts w:hAnsi="宋体" w:cs="宋体"/>
          <w:sz w:val="32"/>
          <w:szCs w:val="32"/>
        </w:rPr>
      </w:pPr>
      <w:r>
        <w:rPr>
          <w:rFonts w:hAnsi="宋体" w:cs="宋体"/>
          <w:sz w:val="32"/>
          <w:szCs w:val="32"/>
        </w:rPr>
        <w:t>第二章</w:t>
      </w:r>
      <w:r>
        <w:rPr>
          <w:rFonts w:hint="eastAsia" w:hAnsi="宋体" w:cs="宋体"/>
          <w:sz w:val="32"/>
          <w:szCs w:val="32"/>
        </w:rPr>
        <w:t>投标人</w:t>
      </w:r>
      <w:r>
        <w:rPr>
          <w:rFonts w:hAnsi="宋体" w:cs="宋体"/>
          <w:sz w:val="32"/>
          <w:szCs w:val="32"/>
        </w:rPr>
        <w:t>须知</w:t>
      </w:r>
      <w:bookmarkEnd w:id="4"/>
      <w:bookmarkEnd w:id="5"/>
      <w:bookmarkEnd w:id="6"/>
      <w:bookmarkEnd w:id="7"/>
    </w:p>
    <w:p w14:paraId="4FB669F2">
      <w:pPr>
        <w:ind w:firstLine="643"/>
        <w:jc w:val="center"/>
        <w:rPr>
          <w:b/>
          <w:bCs/>
          <w:sz w:val="32"/>
          <w:szCs w:val="32"/>
        </w:rPr>
      </w:pPr>
      <w:bookmarkStart w:id="8" w:name="_Toc18073830"/>
      <w:bookmarkEnd w:id="8"/>
      <w:bookmarkStart w:id="9" w:name="_Toc20501"/>
      <w:bookmarkStart w:id="10" w:name="_Toc31942"/>
      <w:r>
        <w:rPr>
          <w:rFonts w:hint="eastAsia"/>
          <w:b/>
          <w:bCs/>
          <w:sz w:val="32"/>
          <w:szCs w:val="32"/>
        </w:rPr>
        <w:t>前附表</w:t>
      </w:r>
      <w:bookmarkEnd w:id="9"/>
      <w:bookmarkEnd w:id="10"/>
    </w:p>
    <w:tbl>
      <w:tblPr>
        <w:tblStyle w:val="18"/>
        <w:tblW w:w="9579" w:type="dxa"/>
        <w:jc w:val="center"/>
        <w:tblLayout w:type="fixed"/>
        <w:tblCellMar>
          <w:top w:w="0" w:type="dxa"/>
          <w:left w:w="108" w:type="dxa"/>
          <w:bottom w:w="0" w:type="dxa"/>
          <w:right w:w="108" w:type="dxa"/>
        </w:tblCellMar>
      </w:tblPr>
      <w:tblGrid>
        <w:gridCol w:w="1146"/>
        <w:gridCol w:w="2006"/>
        <w:gridCol w:w="6427"/>
      </w:tblGrid>
      <w:tr w14:paraId="5DE02BFC">
        <w:tblPrEx>
          <w:tblCellMar>
            <w:top w:w="0" w:type="dxa"/>
            <w:left w:w="108" w:type="dxa"/>
            <w:bottom w:w="0" w:type="dxa"/>
            <w:right w:w="108" w:type="dxa"/>
          </w:tblCellMar>
        </w:tblPrEx>
        <w:trPr>
          <w:trHeight w:val="12" w:hRule="atLeast"/>
          <w:jc w:val="center"/>
        </w:trPr>
        <w:tc>
          <w:tcPr>
            <w:tcW w:w="1146" w:type="dxa"/>
            <w:tcBorders>
              <w:top w:val="single" w:color="auto" w:sz="4" w:space="0"/>
              <w:left w:val="single" w:color="auto" w:sz="4" w:space="0"/>
              <w:bottom w:val="single" w:color="auto" w:sz="4" w:space="0"/>
              <w:right w:val="single" w:color="auto" w:sz="4" w:space="0"/>
            </w:tcBorders>
            <w:noWrap/>
            <w:vAlign w:val="bottom"/>
          </w:tcPr>
          <w:p w14:paraId="310387CA">
            <w:pPr>
              <w:autoSpaceDE w:val="0"/>
              <w:autoSpaceDN w:val="0"/>
              <w:adjustRightInd w:val="0"/>
              <w:spacing w:line="440" w:lineRule="exact"/>
              <w:rPr>
                <w:rFonts w:ascii="宋体" w:hAnsi="宋体" w:cs="宋体"/>
                <w:bCs/>
                <w:kern w:val="0"/>
              </w:rPr>
            </w:pPr>
            <w:r>
              <w:rPr>
                <w:rFonts w:hint="eastAsia" w:ascii="宋体" w:hAnsi="宋体" w:cs="宋体"/>
                <w:bCs/>
                <w:kern w:val="0"/>
              </w:rPr>
              <w:t>条款号</w:t>
            </w:r>
          </w:p>
        </w:tc>
        <w:tc>
          <w:tcPr>
            <w:tcW w:w="2006" w:type="dxa"/>
            <w:tcBorders>
              <w:top w:val="single" w:color="auto" w:sz="4" w:space="0"/>
              <w:left w:val="nil"/>
              <w:bottom w:val="single" w:color="auto" w:sz="4" w:space="0"/>
              <w:right w:val="single" w:color="auto" w:sz="4" w:space="0"/>
            </w:tcBorders>
            <w:noWrap/>
            <w:vAlign w:val="bottom"/>
          </w:tcPr>
          <w:p w14:paraId="2C9E5196">
            <w:pPr>
              <w:autoSpaceDE w:val="0"/>
              <w:autoSpaceDN w:val="0"/>
              <w:adjustRightInd w:val="0"/>
              <w:spacing w:line="440" w:lineRule="exact"/>
              <w:jc w:val="center"/>
              <w:rPr>
                <w:rFonts w:ascii="宋体" w:hAnsi="宋体" w:cs="宋体"/>
                <w:bCs/>
                <w:kern w:val="0"/>
              </w:rPr>
            </w:pPr>
            <w:r>
              <w:rPr>
                <w:rFonts w:hint="eastAsia" w:ascii="宋体" w:hAnsi="宋体" w:cs="宋体"/>
                <w:bCs/>
                <w:kern w:val="0"/>
              </w:rPr>
              <w:t>条款名称</w:t>
            </w:r>
          </w:p>
        </w:tc>
        <w:tc>
          <w:tcPr>
            <w:tcW w:w="6427" w:type="dxa"/>
            <w:tcBorders>
              <w:top w:val="single" w:color="auto" w:sz="4" w:space="0"/>
              <w:left w:val="nil"/>
              <w:bottom w:val="single" w:color="auto" w:sz="4" w:space="0"/>
              <w:right w:val="single" w:color="auto" w:sz="4" w:space="0"/>
            </w:tcBorders>
            <w:noWrap/>
            <w:vAlign w:val="bottom"/>
          </w:tcPr>
          <w:p w14:paraId="55863F67">
            <w:pPr>
              <w:autoSpaceDE w:val="0"/>
              <w:autoSpaceDN w:val="0"/>
              <w:adjustRightInd w:val="0"/>
              <w:spacing w:line="400" w:lineRule="exact"/>
              <w:ind w:firstLine="480"/>
              <w:jc w:val="center"/>
              <w:rPr>
                <w:rFonts w:ascii="宋体" w:hAnsi="宋体" w:cs="宋体"/>
                <w:bCs/>
                <w:kern w:val="0"/>
              </w:rPr>
            </w:pPr>
            <w:r>
              <w:rPr>
                <w:rFonts w:hint="eastAsia" w:ascii="宋体" w:hAnsi="宋体" w:cs="宋体"/>
                <w:bCs/>
                <w:kern w:val="0"/>
              </w:rPr>
              <w:t>编  列  内  容</w:t>
            </w:r>
          </w:p>
        </w:tc>
      </w:tr>
      <w:tr w14:paraId="600A1867">
        <w:tblPrEx>
          <w:tblCellMar>
            <w:top w:w="0" w:type="dxa"/>
            <w:left w:w="108" w:type="dxa"/>
            <w:bottom w:w="0" w:type="dxa"/>
            <w:right w:w="108" w:type="dxa"/>
          </w:tblCellMar>
        </w:tblPrEx>
        <w:trPr>
          <w:trHeight w:val="58"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61F6ACD3">
            <w:pPr>
              <w:pStyle w:val="32"/>
              <w:spacing w:line="440" w:lineRule="exact"/>
              <w:rPr>
                <w:rFonts w:hAnsi="宋体"/>
                <w:bCs/>
                <w:color w:val="auto"/>
              </w:rPr>
            </w:pPr>
            <w:r>
              <w:rPr>
                <w:rFonts w:hint="eastAsia" w:hAnsi="宋体"/>
                <w:bCs/>
                <w:color w:val="auto"/>
              </w:rPr>
              <w:t>1.1.1</w:t>
            </w:r>
          </w:p>
        </w:tc>
        <w:tc>
          <w:tcPr>
            <w:tcW w:w="2006" w:type="dxa"/>
            <w:tcBorders>
              <w:top w:val="single" w:color="auto" w:sz="4" w:space="0"/>
              <w:left w:val="nil"/>
              <w:bottom w:val="single" w:color="auto" w:sz="4" w:space="0"/>
              <w:right w:val="single" w:color="auto" w:sz="4" w:space="0"/>
            </w:tcBorders>
            <w:noWrap/>
            <w:vAlign w:val="center"/>
          </w:tcPr>
          <w:p w14:paraId="15F988EA">
            <w:pPr>
              <w:pStyle w:val="32"/>
              <w:spacing w:line="440" w:lineRule="exact"/>
              <w:jc w:val="center"/>
              <w:rPr>
                <w:rFonts w:hAnsi="宋体"/>
                <w:bCs/>
                <w:color w:val="auto"/>
              </w:rPr>
            </w:pPr>
            <w:r>
              <w:rPr>
                <w:rFonts w:hint="eastAsia" w:hAnsi="宋体"/>
                <w:bCs/>
                <w:color w:val="auto"/>
              </w:rPr>
              <w:t>采购人</w:t>
            </w:r>
          </w:p>
        </w:tc>
        <w:tc>
          <w:tcPr>
            <w:tcW w:w="6427" w:type="dxa"/>
            <w:tcBorders>
              <w:top w:val="single" w:color="auto" w:sz="4" w:space="0"/>
              <w:left w:val="nil"/>
              <w:bottom w:val="single" w:color="auto" w:sz="4" w:space="0"/>
              <w:right w:val="single" w:color="auto" w:sz="4" w:space="0"/>
            </w:tcBorders>
            <w:noWrap/>
            <w:vAlign w:val="center"/>
          </w:tcPr>
          <w:p w14:paraId="4E673D3C">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名称：南阳市第十三完全学校</w:t>
            </w:r>
          </w:p>
          <w:p w14:paraId="6E841734">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统一社会信用代码：12411303MB1553264H</w:t>
            </w:r>
          </w:p>
          <w:p w14:paraId="54245631">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联 系 人：刘闯</w:t>
            </w:r>
          </w:p>
          <w:p w14:paraId="11141346">
            <w:pPr>
              <w:autoSpaceDE w:val="0"/>
              <w:autoSpaceDN w:val="0"/>
              <w:adjustRightInd w:val="0"/>
              <w:spacing w:line="400" w:lineRule="exact"/>
              <w:ind w:firstLine="480"/>
              <w:jc w:val="left"/>
              <w:rPr>
                <w:rFonts w:hint="eastAsia" w:ascii="宋体" w:hAnsi="宋体" w:cs="宋体"/>
                <w:kern w:val="0"/>
                <w:szCs w:val="21"/>
                <w:lang w:val="en-US" w:eastAsia="zh-CN"/>
              </w:rPr>
            </w:pPr>
            <w:r>
              <w:rPr>
                <w:rFonts w:hint="eastAsia" w:ascii="宋体" w:hAnsi="宋体" w:cs="宋体"/>
                <w:kern w:val="0"/>
                <w:szCs w:val="21"/>
                <w:lang w:val="en-US" w:eastAsia="zh-CN"/>
              </w:rPr>
              <w:t>联系方式：15713832583</w:t>
            </w:r>
          </w:p>
          <w:p w14:paraId="6D39D27C">
            <w:pPr>
              <w:autoSpaceDE w:val="0"/>
              <w:autoSpaceDN w:val="0"/>
              <w:adjustRightInd w:val="0"/>
              <w:spacing w:line="400" w:lineRule="exact"/>
              <w:ind w:firstLine="480"/>
              <w:jc w:val="left"/>
              <w:rPr>
                <w:rFonts w:ascii="宋体" w:hAnsi="宋体" w:cs="宋体"/>
                <w:bCs/>
                <w:kern w:val="0"/>
              </w:rPr>
            </w:pPr>
            <w:r>
              <w:rPr>
                <w:rFonts w:hint="eastAsia" w:ascii="宋体" w:hAnsi="宋体" w:cs="宋体"/>
                <w:kern w:val="0"/>
                <w:szCs w:val="21"/>
                <w:lang w:val="en-US" w:eastAsia="zh-CN"/>
              </w:rPr>
              <w:t>地  址：河南省南阳市龙翔路</w:t>
            </w:r>
          </w:p>
        </w:tc>
      </w:tr>
      <w:tr w14:paraId="660BCB77">
        <w:tblPrEx>
          <w:tblCellMar>
            <w:top w:w="0" w:type="dxa"/>
            <w:left w:w="108" w:type="dxa"/>
            <w:bottom w:w="0" w:type="dxa"/>
            <w:right w:w="108" w:type="dxa"/>
          </w:tblCellMar>
        </w:tblPrEx>
        <w:trPr>
          <w:trHeight w:val="12"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1834DB0">
            <w:pPr>
              <w:pStyle w:val="32"/>
              <w:spacing w:line="440" w:lineRule="exact"/>
              <w:rPr>
                <w:rFonts w:hAnsi="宋体"/>
                <w:bCs/>
                <w:color w:val="auto"/>
              </w:rPr>
            </w:pPr>
            <w:r>
              <w:rPr>
                <w:rFonts w:hint="eastAsia" w:hAnsi="宋体"/>
                <w:bCs/>
                <w:color w:val="auto"/>
              </w:rPr>
              <w:t>1.2.1</w:t>
            </w:r>
          </w:p>
        </w:tc>
        <w:tc>
          <w:tcPr>
            <w:tcW w:w="2006" w:type="dxa"/>
            <w:tcBorders>
              <w:top w:val="single" w:color="auto" w:sz="4" w:space="0"/>
              <w:left w:val="nil"/>
              <w:bottom w:val="single" w:color="auto" w:sz="4" w:space="0"/>
              <w:right w:val="single" w:color="auto" w:sz="4" w:space="0"/>
            </w:tcBorders>
            <w:noWrap/>
            <w:vAlign w:val="center"/>
          </w:tcPr>
          <w:p w14:paraId="4631764A">
            <w:pPr>
              <w:pStyle w:val="32"/>
              <w:spacing w:line="440" w:lineRule="exact"/>
              <w:jc w:val="center"/>
              <w:rPr>
                <w:rFonts w:hAnsi="宋体"/>
                <w:bCs/>
                <w:color w:val="auto"/>
              </w:rPr>
            </w:pPr>
            <w:r>
              <w:rPr>
                <w:rFonts w:hint="eastAsia" w:hAnsi="宋体"/>
                <w:bCs/>
                <w:color w:val="auto"/>
              </w:rPr>
              <w:t>代理机构</w:t>
            </w:r>
          </w:p>
        </w:tc>
        <w:tc>
          <w:tcPr>
            <w:tcW w:w="6427" w:type="dxa"/>
            <w:tcBorders>
              <w:top w:val="single" w:color="auto" w:sz="4" w:space="0"/>
              <w:left w:val="nil"/>
              <w:bottom w:val="single" w:color="auto" w:sz="4" w:space="0"/>
              <w:right w:val="single" w:color="auto" w:sz="4" w:space="0"/>
            </w:tcBorders>
            <w:noWrap/>
            <w:vAlign w:val="center"/>
          </w:tcPr>
          <w:p w14:paraId="70861DD2">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采购代理机构：河南合旺工程管理咨询有限公司</w:t>
            </w:r>
          </w:p>
          <w:p w14:paraId="2F3BBEBD">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统一社会信用代码：91411300MA46YY6G73</w:t>
            </w:r>
          </w:p>
          <w:p w14:paraId="31DD7A8B">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地  址：河南省南阳市卧龙区梅溪街道建设中路新经济产业园411-119</w:t>
            </w:r>
          </w:p>
          <w:p w14:paraId="0111D522">
            <w:pPr>
              <w:autoSpaceDE w:val="0"/>
              <w:autoSpaceDN w:val="0"/>
              <w:adjustRightInd w:val="0"/>
              <w:spacing w:line="400" w:lineRule="exact"/>
              <w:ind w:firstLine="480"/>
              <w:jc w:val="left"/>
              <w:rPr>
                <w:rFonts w:hint="eastAsia" w:ascii="宋体" w:hAnsi="宋体" w:cs="宋体"/>
                <w:kern w:val="0"/>
                <w:szCs w:val="21"/>
              </w:rPr>
            </w:pPr>
            <w:r>
              <w:rPr>
                <w:rFonts w:hint="eastAsia" w:ascii="宋体" w:hAnsi="宋体" w:cs="宋体"/>
                <w:kern w:val="0"/>
                <w:szCs w:val="21"/>
                <w:lang w:val="en-US" w:eastAsia="zh-CN"/>
              </w:rPr>
              <w:t>联系人：王冬冬</w:t>
            </w:r>
          </w:p>
          <w:p w14:paraId="6D80054F">
            <w:pPr>
              <w:autoSpaceDE w:val="0"/>
              <w:autoSpaceDN w:val="0"/>
              <w:adjustRightInd w:val="0"/>
              <w:spacing w:line="400" w:lineRule="exact"/>
              <w:ind w:firstLine="480"/>
              <w:jc w:val="left"/>
              <w:rPr>
                <w:rFonts w:ascii="宋体" w:hAnsi="宋体" w:cs="宋体"/>
                <w:bCs/>
                <w:kern w:val="0"/>
              </w:rPr>
            </w:pPr>
            <w:r>
              <w:rPr>
                <w:rFonts w:hint="eastAsia" w:ascii="宋体" w:hAnsi="宋体" w:cs="宋体"/>
                <w:kern w:val="0"/>
                <w:szCs w:val="21"/>
                <w:lang w:val="en-US" w:eastAsia="zh-CN"/>
              </w:rPr>
              <w:t>电  话：037763232369</w:t>
            </w:r>
          </w:p>
        </w:tc>
      </w:tr>
      <w:tr w14:paraId="2494EC5C">
        <w:tblPrEx>
          <w:tblCellMar>
            <w:top w:w="0" w:type="dxa"/>
            <w:left w:w="108" w:type="dxa"/>
            <w:bottom w:w="0" w:type="dxa"/>
            <w:right w:w="108" w:type="dxa"/>
          </w:tblCellMar>
        </w:tblPrEx>
        <w:trPr>
          <w:trHeight w:val="580"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D9B7C6B">
            <w:pPr>
              <w:autoSpaceDE w:val="0"/>
              <w:autoSpaceDN w:val="0"/>
              <w:adjustRightInd w:val="0"/>
              <w:spacing w:line="440" w:lineRule="exact"/>
              <w:rPr>
                <w:rFonts w:ascii="宋体" w:hAnsi="宋体" w:cs="宋体"/>
                <w:bCs/>
                <w:kern w:val="0"/>
              </w:rPr>
            </w:pPr>
            <w:r>
              <w:rPr>
                <w:rFonts w:hint="eastAsia" w:ascii="宋体" w:hAnsi="宋体" w:cs="宋体"/>
                <w:bCs/>
                <w:kern w:val="0"/>
              </w:rPr>
              <w:t>1.2.2</w:t>
            </w:r>
          </w:p>
        </w:tc>
        <w:tc>
          <w:tcPr>
            <w:tcW w:w="2006" w:type="dxa"/>
            <w:tcBorders>
              <w:top w:val="single" w:color="auto" w:sz="4" w:space="0"/>
              <w:left w:val="nil"/>
              <w:bottom w:val="single" w:color="auto" w:sz="4" w:space="0"/>
              <w:right w:val="single" w:color="auto" w:sz="4" w:space="0"/>
            </w:tcBorders>
            <w:noWrap/>
            <w:vAlign w:val="center"/>
          </w:tcPr>
          <w:p w14:paraId="24509BF0">
            <w:pPr>
              <w:pStyle w:val="32"/>
              <w:spacing w:line="440" w:lineRule="exact"/>
              <w:jc w:val="center"/>
              <w:rPr>
                <w:rFonts w:hAnsi="宋体"/>
                <w:bCs/>
                <w:color w:val="auto"/>
              </w:rPr>
            </w:pPr>
            <w:r>
              <w:rPr>
                <w:rFonts w:hint="eastAsia" w:hAnsi="宋体"/>
                <w:bCs/>
                <w:color w:val="auto"/>
              </w:rPr>
              <w:t>采购项目名称</w:t>
            </w:r>
          </w:p>
        </w:tc>
        <w:tc>
          <w:tcPr>
            <w:tcW w:w="6427" w:type="dxa"/>
            <w:tcBorders>
              <w:top w:val="single" w:color="auto" w:sz="4" w:space="0"/>
              <w:left w:val="nil"/>
              <w:bottom w:val="single" w:color="auto" w:sz="4" w:space="0"/>
              <w:right w:val="single" w:color="auto" w:sz="4" w:space="0"/>
            </w:tcBorders>
            <w:noWrap/>
            <w:vAlign w:val="center"/>
          </w:tcPr>
          <w:p w14:paraId="37CA01A1">
            <w:pPr>
              <w:widowControl/>
              <w:autoSpaceDE w:val="0"/>
              <w:autoSpaceDN w:val="0"/>
              <w:adjustRightInd w:val="0"/>
              <w:spacing w:line="440" w:lineRule="exact"/>
              <w:ind w:right="-197" w:rightChars="-94"/>
              <w:jc w:val="left"/>
              <w:rPr>
                <w:rFonts w:ascii="宋体" w:hAnsi="宋体" w:cs="宋体"/>
                <w:bCs/>
                <w:kern w:val="0"/>
              </w:rPr>
            </w:pPr>
            <w:r>
              <w:rPr>
                <w:rFonts w:hint="eastAsia"/>
                <w:lang w:eastAsia="zh-CN"/>
              </w:rPr>
              <w:t>南阳市第十三完全学校智慧校园采购项目</w:t>
            </w:r>
          </w:p>
        </w:tc>
      </w:tr>
      <w:tr w14:paraId="31AA28E8">
        <w:tblPrEx>
          <w:tblCellMar>
            <w:top w:w="0" w:type="dxa"/>
            <w:left w:w="108" w:type="dxa"/>
            <w:bottom w:w="0" w:type="dxa"/>
            <w:right w:w="108" w:type="dxa"/>
          </w:tblCellMar>
        </w:tblPrEx>
        <w:trPr>
          <w:trHeight w:val="405"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B95CD0C">
            <w:pPr>
              <w:autoSpaceDE w:val="0"/>
              <w:autoSpaceDN w:val="0"/>
              <w:adjustRightInd w:val="0"/>
              <w:spacing w:line="440" w:lineRule="exact"/>
              <w:rPr>
                <w:rFonts w:ascii="宋体" w:hAnsi="宋体" w:cs="宋体"/>
                <w:bCs/>
                <w:kern w:val="0"/>
              </w:rPr>
            </w:pPr>
            <w:r>
              <w:rPr>
                <w:rFonts w:hint="eastAsia" w:ascii="宋体" w:hAnsi="宋体" w:cs="宋体"/>
                <w:bCs/>
                <w:kern w:val="0"/>
              </w:rPr>
              <w:t>1.2.3</w:t>
            </w:r>
          </w:p>
        </w:tc>
        <w:tc>
          <w:tcPr>
            <w:tcW w:w="2006" w:type="dxa"/>
            <w:tcBorders>
              <w:top w:val="single" w:color="auto" w:sz="4" w:space="0"/>
              <w:left w:val="nil"/>
              <w:bottom w:val="single" w:color="auto" w:sz="4" w:space="0"/>
              <w:right w:val="single" w:color="auto" w:sz="4" w:space="0"/>
            </w:tcBorders>
            <w:noWrap/>
            <w:vAlign w:val="center"/>
          </w:tcPr>
          <w:p w14:paraId="48F46F29">
            <w:pPr>
              <w:pStyle w:val="32"/>
              <w:spacing w:line="440" w:lineRule="exact"/>
              <w:jc w:val="center"/>
              <w:rPr>
                <w:rFonts w:hAnsi="宋体"/>
                <w:bCs/>
                <w:color w:val="auto"/>
              </w:rPr>
            </w:pPr>
            <w:r>
              <w:rPr>
                <w:rFonts w:hint="eastAsia" w:hAnsi="宋体"/>
                <w:bCs/>
                <w:color w:val="auto"/>
              </w:rPr>
              <w:t>项目地点</w:t>
            </w:r>
          </w:p>
        </w:tc>
        <w:tc>
          <w:tcPr>
            <w:tcW w:w="6427" w:type="dxa"/>
            <w:tcBorders>
              <w:top w:val="single" w:color="auto" w:sz="4" w:space="0"/>
              <w:left w:val="nil"/>
              <w:bottom w:val="single" w:color="auto" w:sz="4" w:space="0"/>
              <w:right w:val="single" w:color="auto" w:sz="4" w:space="0"/>
            </w:tcBorders>
            <w:noWrap/>
            <w:vAlign w:val="center"/>
          </w:tcPr>
          <w:p w14:paraId="57033469">
            <w:pPr>
              <w:widowControl/>
              <w:autoSpaceDE w:val="0"/>
              <w:autoSpaceDN w:val="0"/>
              <w:adjustRightInd w:val="0"/>
              <w:spacing w:line="440" w:lineRule="exact"/>
              <w:ind w:right="-197" w:rightChars="-94" w:firstLine="480"/>
              <w:jc w:val="left"/>
              <w:rPr>
                <w:rFonts w:ascii="宋体" w:hAnsi="宋体" w:cs="宋体"/>
                <w:bCs/>
                <w:kern w:val="0"/>
              </w:rPr>
            </w:pPr>
            <w:r>
              <w:rPr>
                <w:rFonts w:hint="eastAsia" w:ascii="宋体" w:hAnsi="宋体" w:cs="宋体"/>
                <w:szCs w:val="21"/>
              </w:rPr>
              <w:t>卧龙区境内招标人</w:t>
            </w:r>
            <w:r>
              <w:rPr>
                <w:rFonts w:hint="eastAsia" w:ascii="宋体" w:hAnsi="宋体" w:cs="宋体"/>
                <w:szCs w:val="21"/>
                <w:lang w:val="en-US" w:eastAsia="zh-CN"/>
              </w:rPr>
              <w:t>指</w:t>
            </w:r>
            <w:r>
              <w:rPr>
                <w:rFonts w:hint="eastAsia" w:ascii="宋体" w:hAnsi="宋体" w:cs="宋体"/>
                <w:szCs w:val="21"/>
              </w:rPr>
              <w:t>定位置</w:t>
            </w:r>
          </w:p>
        </w:tc>
      </w:tr>
      <w:tr w14:paraId="0CE30C1B">
        <w:tblPrEx>
          <w:tblCellMar>
            <w:top w:w="0" w:type="dxa"/>
            <w:left w:w="108" w:type="dxa"/>
            <w:bottom w:w="0" w:type="dxa"/>
            <w:right w:w="108" w:type="dxa"/>
          </w:tblCellMar>
        </w:tblPrEx>
        <w:trPr>
          <w:trHeight w:val="340"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7E32FD8B">
            <w:pPr>
              <w:autoSpaceDE w:val="0"/>
              <w:autoSpaceDN w:val="0"/>
              <w:adjustRightInd w:val="0"/>
              <w:spacing w:line="440" w:lineRule="exact"/>
              <w:rPr>
                <w:rFonts w:ascii="宋体" w:hAnsi="宋体" w:cs="宋体"/>
                <w:bCs/>
                <w:kern w:val="0"/>
              </w:rPr>
            </w:pPr>
            <w:r>
              <w:rPr>
                <w:rFonts w:hint="eastAsia" w:ascii="宋体" w:hAnsi="宋体" w:cs="宋体"/>
                <w:bCs/>
                <w:kern w:val="0"/>
              </w:rPr>
              <w:t>1.2.4</w:t>
            </w:r>
          </w:p>
        </w:tc>
        <w:tc>
          <w:tcPr>
            <w:tcW w:w="2006" w:type="dxa"/>
            <w:tcBorders>
              <w:top w:val="single" w:color="auto" w:sz="4" w:space="0"/>
              <w:left w:val="nil"/>
              <w:bottom w:val="single" w:color="auto" w:sz="4" w:space="0"/>
              <w:right w:val="single" w:color="auto" w:sz="4" w:space="0"/>
            </w:tcBorders>
            <w:noWrap/>
            <w:vAlign w:val="center"/>
          </w:tcPr>
          <w:p w14:paraId="73DF5749">
            <w:pPr>
              <w:pStyle w:val="32"/>
              <w:spacing w:line="440" w:lineRule="exact"/>
              <w:jc w:val="center"/>
              <w:rPr>
                <w:rFonts w:hAnsi="宋体"/>
                <w:bCs/>
                <w:color w:val="auto"/>
              </w:rPr>
            </w:pPr>
            <w:r>
              <w:rPr>
                <w:rFonts w:hint="eastAsia" w:hAnsi="宋体"/>
                <w:bCs/>
                <w:color w:val="auto"/>
              </w:rPr>
              <w:t>采购方式</w:t>
            </w:r>
          </w:p>
        </w:tc>
        <w:tc>
          <w:tcPr>
            <w:tcW w:w="6427" w:type="dxa"/>
            <w:tcBorders>
              <w:top w:val="single" w:color="auto" w:sz="4" w:space="0"/>
              <w:left w:val="nil"/>
              <w:bottom w:val="single" w:color="auto" w:sz="4" w:space="0"/>
              <w:right w:val="single" w:color="auto" w:sz="4" w:space="0"/>
            </w:tcBorders>
            <w:noWrap/>
            <w:vAlign w:val="center"/>
          </w:tcPr>
          <w:p w14:paraId="4F6CBB1D">
            <w:pPr>
              <w:widowControl/>
              <w:autoSpaceDE w:val="0"/>
              <w:autoSpaceDN w:val="0"/>
              <w:adjustRightInd w:val="0"/>
              <w:spacing w:line="440" w:lineRule="exact"/>
              <w:ind w:firstLine="480"/>
              <w:jc w:val="left"/>
              <w:rPr>
                <w:rFonts w:ascii="宋体" w:hAnsi="宋体" w:cs="宋体"/>
                <w:bCs/>
                <w:kern w:val="0"/>
              </w:rPr>
            </w:pPr>
            <w:r>
              <w:rPr>
                <w:rFonts w:ascii="宋体" w:hAnsi="宋体" w:cs="宋体"/>
                <w:bCs/>
                <w:kern w:val="0"/>
              </w:rPr>
              <w:t>公开招标</w:t>
            </w:r>
          </w:p>
        </w:tc>
      </w:tr>
      <w:tr w14:paraId="017A4335">
        <w:tblPrEx>
          <w:tblCellMar>
            <w:top w:w="0" w:type="dxa"/>
            <w:left w:w="108" w:type="dxa"/>
            <w:bottom w:w="0" w:type="dxa"/>
            <w:right w:w="108" w:type="dxa"/>
          </w:tblCellMar>
        </w:tblPrEx>
        <w:trPr>
          <w:trHeight w:val="530"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3B08A633">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1.3.1</w:t>
            </w:r>
          </w:p>
        </w:tc>
        <w:tc>
          <w:tcPr>
            <w:tcW w:w="2006" w:type="dxa"/>
            <w:tcBorders>
              <w:top w:val="single" w:color="auto" w:sz="4" w:space="0"/>
              <w:left w:val="nil"/>
              <w:bottom w:val="single" w:color="auto" w:sz="4" w:space="0"/>
              <w:right w:val="single" w:color="auto" w:sz="4" w:space="0"/>
            </w:tcBorders>
            <w:noWrap/>
            <w:vAlign w:val="center"/>
          </w:tcPr>
          <w:p w14:paraId="35CC0643">
            <w:pPr>
              <w:pStyle w:val="32"/>
              <w:spacing w:line="440" w:lineRule="exact"/>
              <w:jc w:val="center"/>
              <w:rPr>
                <w:rFonts w:hAnsi="宋体"/>
                <w:bCs/>
                <w:color w:val="auto"/>
              </w:rPr>
            </w:pPr>
            <w:r>
              <w:rPr>
                <w:rFonts w:hint="eastAsia" w:hAnsi="宋体"/>
                <w:bCs/>
                <w:color w:val="auto"/>
              </w:rPr>
              <w:t>采购内容</w:t>
            </w:r>
          </w:p>
        </w:tc>
        <w:tc>
          <w:tcPr>
            <w:tcW w:w="6427" w:type="dxa"/>
            <w:tcBorders>
              <w:top w:val="single" w:color="auto" w:sz="4" w:space="0"/>
              <w:left w:val="nil"/>
              <w:bottom w:val="single" w:color="auto" w:sz="4" w:space="0"/>
              <w:right w:val="single" w:color="auto" w:sz="4" w:space="0"/>
            </w:tcBorders>
            <w:noWrap/>
            <w:vAlign w:val="center"/>
          </w:tcPr>
          <w:p w14:paraId="1A0CEBAB">
            <w:pPr>
              <w:pStyle w:val="6"/>
              <w:rPr>
                <w:rFonts w:ascii="宋体" w:hAnsi="宋体" w:cs="宋体"/>
                <w:sz w:val="24"/>
              </w:rPr>
            </w:pP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lang w:eastAsia="zh-CN"/>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共计采购南阳市第十三完全学校智慧校园电子设施设备等，包含设备的运输、安装、维护等</w:t>
            </w:r>
            <w:r>
              <w:rPr>
                <w:rFonts w:hint="eastAsia"/>
                <w:color w:val="000000" w:themeColor="text1"/>
                <w:sz w:val="24"/>
                <w:szCs w:val="24"/>
                <w14:textFill>
                  <w14:solidFill>
                    <w14:schemeClr w14:val="tx1"/>
                  </w14:solidFill>
                </w14:textFill>
              </w:rPr>
              <w:t>（详见采购</w:t>
            </w:r>
            <w:r>
              <w:rPr>
                <w:rFonts w:hint="eastAsia"/>
                <w:color w:val="000000" w:themeColor="text1"/>
                <w:sz w:val="24"/>
                <w:szCs w:val="24"/>
                <w:lang w:val="en-US" w:eastAsia="zh-CN"/>
                <w14:textFill>
                  <w14:solidFill>
                    <w14:schemeClr w14:val="tx1"/>
                  </w14:solidFill>
                </w14:textFill>
              </w:rPr>
              <w:t>需求</w:t>
            </w:r>
            <w:r>
              <w:rPr>
                <w:rFonts w:hint="eastAsia"/>
                <w:color w:val="000000" w:themeColor="text1"/>
                <w:sz w:val="24"/>
                <w:szCs w:val="24"/>
                <w14:textFill>
                  <w14:solidFill>
                    <w14:schemeClr w14:val="tx1"/>
                  </w14:solidFill>
                </w14:textFill>
              </w:rPr>
              <w:t>）</w:t>
            </w:r>
          </w:p>
        </w:tc>
      </w:tr>
      <w:tr w14:paraId="69E23AE5">
        <w:tblPrEx>
          <w:tblCellMar>
            <w:top w:w="0" w:type="dxa"/>
            <w:left w:w="108" w:type="dxa"/>
            <w:bottom w:w="0" w:type="dxa"/>
            <w:right w:w="108" w:type="dxa"/>
          </w:tblCellMar>
        </w:tblPrEx>
        <w:trPr>
          <w:trHeight w:val="603"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4F0CAA4D">
            <w:pPr>
              <w:autoSpaceDE w:val="0"/>
              <w:autoSpaceDN w:val="0"/>
              <w:adjustRightInd w:val="0"/>
              <w:spacing w:line="440" w:lineRule="exact"/>
              <w:rPr>
                <w:rFonts w:ascii="宋体" w:hAnsi="宋体" w:cs="宋体"/>
              </w:rPr>
            </w:pPr>
            <w:r>
              <w:rPr>
                <w:rFonts w:hint="eastAsia" w:ascii="宋体" w:hAnsi="宋体" w:cs="宋体"/>
                <w:kern w:val="0"/>
              </w:rPr>
              <w:t>1.3.2</w:t>
            </w:r>
          </w:p>
        </w:tc>
        <w:tc>
          <w:tcPr>
            <w:tcW w:w="2006" w:type="dxa"/>
            <w:tcBorders>
              <w:top w:val="single" w:color="auto" w:sz="4" w:space="0"/>
              <w:left w:val="nil"/>
              <w:bottom w:val="single" w:color="auto" w:sz="4" w:space="0"/>
              <w:right w:val="single" w:color="auto" w:sz="4" w:space="0"/>
            </w:tcBorders>
            <w:noWrap/>
            <w:vAlign w:val="center"/>
          </w:tcPr>
          <w:p w14:paraId="35DFDBE7">
            <w:pPr>
              <w:pStyle w:val="32"/>
              <w:spacing w:line="440" w:lineRule="exact"/>
              <w:jc w:val="center"/>
              <w:rPr>
                <w:rFonts w:hAnsi="宋体"/>
                <w:bCs/>
                <w:color w:val="auto"/>
              </w:rPr>
            </w:pPr>
            <w:r>
              <w:rPr>
                <w:rFonts w:hint="eastAsia" w:hAnsi="宋体"/>
                <w:color w:val="auto"/>
              </w:rPr>
              <w:t>交货时间</w:t>
            </w:r>
          </w:p>
        </w:tc>
        <w:tc>
          <w:tcPr>
            <w:tcW w:w="6427" w:type="dxa"/>
            <w:tcBorders>
              <w:top w:val="single" w:color="auto" w:sz="4" w:space="0"/>
              <w:left w:val="nil"/>
              <w:bottom w:val="single" w:color="auto" w:sz="4" w:space="0"/>
              <w:right w:val="single" w:color="auto" w:sz="4" w:space="0"/>
            </w:tcBorders>
            <w:noWrap/>
            <w:vAlign w:val="center"/>
          </w:tcPr>
          <w:p w14:paraId="25B19956">
            <w:pPr>
              <w:widowControl/>
              <w:autoSpaceDE w:val="0"/>
              <w:autoSpaceDN w:val="0"/>
              <w:adjustRightInd w:val="0"/>
              <w:spacing w:line="440" w:lineRule="exact"/>
              <w:ind w:right="-197" w:rightChars="-94" w:firstLine="480"/>
              <w:jc w:val="left"/>
              <w:rPr>
                <w:rFonts w:ascii="宋体" w:hAnsi="宋体" w:cs="宋体"/>
              </w:rPr>
            </w:pPr>
            <w:r>
              <w:rPr>
                <w:rFonts w:hint="eastAsia" w:ascii="宋体" w:hAnsi="宋体" w:cs="宋体"/>
                <w:kern w:val="0"/>
              </w:rPr>
              <w:t>合同签订后</w:t>
            </w:r>
            <w:r>
              <w:rPr>
                <w:rFonts w:hint="eastAsia" w:ascii="宋体" w:hAnsi="宋体" w:cs="宋体"/>
                <w:kern w:val="0"/>
                <w:lang w:val="en-US" w:eastAsia="zh-CN"/>
              </w:rPr>
              <w:t>45</w:t>
            </w:r>
            <w:r>
              <w:rPr>
                <w:rFonts w:hint="eastAsia" w:ascii="宋体" w:hAnsi="宋体" w:cs="宋体"/>
                <w:kern w:val="0"/>
              </w:rPr>
              <w:t>日历天</w:t>
            </w:r>
          </w:p>
        </w:tc>
      </w:tr>
      <w:tr w14:paraId="074751DB">
        <w:tblPrEx>
          <w:tblCellMar>
            <w:top w:w="0" w:type="dxa"/>
            <w:left w:w="108" w:type="dxa"/>
            <w:bottom w:w="0" w:type="dxa"/>
            <w:right w:w="108" w:type="dxa"/>
          </w:tblCellMar>
        </w:tblPrEx>
        <w:trPr>
          <w:trHeight w:val="514"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5DC99809">
            <w:pPr>
              <w:autoSpaceDE w:val="0"/>
              <w:autoSpaceDN w:val="0"/>
              <w:adjustRightInd w:val="0"/>
              <w:spacing w:line="440" w:lineRule="exact"/>
              <w:rPr>
                <w:rFonts w:ascii="宋体" w:hAnsi="宋体" w:cs="宋体"/>
                <w:bCs/>
                <w:kern w:val="0"/>
              </w:rPr>
            </w:pPr>
            <w:r>
              <w:rPr>
                <w:rFonts w:hint="eastAsia" w:ascii="宋体" w:hAnsi="宋体" w:cs="宋体"/>
                <w:bCs/>
                <w:kern w:val="0"/>
              </w:rPr>
              <w:t>1.3.3</w:t>
            </w:r>
          </w:p>
        </w:tc>
        <w:tc>
          <w:tcPr>
            <w:tcW w:w="2006" w:type="dxa"/>
            <w:tcBorders>
              <w:top w:val="single" w:color="auto" w:sz="4" w:space="0"/>
              <w:left w:val="nil"/>
              <w:bottom w:val="single" w:color="auto" w:sz="4" w:space="0"/>
              <w:right w:val="single" w:color="auto" w:sz="4" w:space="0"/>
            </w:tcBorders>
            <w:noWrap/>
            <w:vAlign w:val="center"/>
          </w:tcPr>
          <w:p w14:paraId="35D0A3F3">
            <w:pPr>
              <w:pStyle w:val="32"/>
              <w:spacing w:line="440" w:lineRule="exact"/>
              <w:jc w:val="center"/>
              <w:rPr>
                <w:rFonts w:hAnsi="宋体"/>
                <w:bCs/>
                <w:color w:val="auto"/>
              </w:rPr>
            </w:pPr>
            <w:r>
              <w:rPr>
                <w:rFonts w:hint="eastAsia" w:hAnsi="宋体"/>
                <w:bCs/>
                <w:color w:val="auto"/>
              </w:rPr>
              <w:t>质量要求</w:t>
            </w:r>
          </w:p>
        </w:tc>
        <w:tc>
          <w:tcPr>
            <w:tcW w:w="6427" w:type="dxa"/>
            <w:tcBorders>
              <w:top w:val="single" w:color="auto" w:sz="4" w:space="0"/>
              <w:left w:val="nil"/>
              <w:bottom w:val="single" w:color="auto" w:sz="4" w:space="0"/>
              <w:right w:val="single" w:color="auto" w:sz="4" w:space="0"/>
            </w:tcBorders>
            <w:noWrap/>
            <w:vAlign w:val="center"/>
          </w:tcPr>
          <w:p w14:paraId="326B0768">
            <w:pPr>
              <w:widowControl/>
              <w:autoSpaceDE w:val="0"/>
              <w:autoSpaceDN w:val="0"/>
              <w:adjustRightInd w:val="0"/>
              <w:spacing w:line="440" w:lineRule="exact"/>
              <w:ind w:right="-197" w:rightChars="-94" w:firstLine="480"/>
              <w:jc w:val="left"/>
              <w:rPr>
                <w:rFonts w:hint="eastAsia" w:ascii="宋体" w:hAnsi="宋体" w:eastAsia="宋体" w:cs="宋体"/>
                <w:bCs/>
                <w:kern w:val="0"/>
                <w:lang w:eastAsia="zh-CN"/>
              </w:rPr>
            </w:pPr>
            <w:r>
              <w:rPr>
                <w:rFonts w:hint="eastAsia" w:ascii="宋体" w:hAnsi="宋体" w:cs="宋体"/>
                <w:kern w:val="0"/>
              </w:rPr>
              <w:t>国家合格标准</w:t>
            </w:r>
            <w:r>
              <w:rPr>
                <w:rFonts w:hint="eastAsia" w:ascii="宋体" w:hAnsi="宋体" w:cs="宋体"/>
                <w:kern w:val="0"/>
                <w:lang w:eastAsia="zh-CN"/>
              </w:rPr>
              <w:t>，</w:t>
            </w:r>
            <w:r>
              <w:rPr>
                <w:rFonts w:hint="eastAsia" w:ascii="宋体" w:hAnsi="宋体" w:cs="宋体"/>
                <w:kern w:val="0"/>
                <w:lang w:val="en-US" w:eastAsia="zh-CN"/>
              </w:rPr>
              <w:t>质保期不低于1年。</w:t>
            </w:r>
          </w:p>
        </w:tc>
      </w:tr>
      <w:tr w14:paraId="7B0F35E7">
        <w:tblPrEx>
          <w:tblCellMar>
            <w:top w:w="0" w:type="dxa"/>
            <w:left w:w="108" w:type="dxa"/>
            <w:bottom w:w="0" w:type="dxa"/>
            <w:right w:w="108" w:type="dxa"/>
          </w:tblCellMar>
        </w:tblPrEx>
        <w:trPr>
          <w:trHeight w:val="12"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540A440B">
            <w:pPr>
              <w:autoSpaceDE w:val="0"/>
              <w:autoSpaceDN w:val="0"/>
              <w:adjustRightInd w:val="0"/>
              <w:spacing w:line="440" w:lineRule="exact"/>
              <w:rPr>
                <w:rFonts w:ascii="宋体" w:hAnsi="宋体" w:cs="宋体"/>
                <w:bCs/>
                <w:kern w:val="0"/>
              </w:rPr>
            </w:pPr>
            <w:r>
              <w:rPr>
                <w:rFonts w:hint="eastAsia" w:ascii="宋体" w:hAnsi="宋体" w:cs="宋体"/>
                <w:bCs/>
                <w:kern w:val="0"/>
              </w:rPr>
              <w:t>1.3.4</w:t>
            </w:r>
          </w:p>
        </w:tc>
        <w:tc>
          <w:tcPr>
            <w:tcW w:w="2006" w:type="dxa"/>
            <w:tcBorders>
              <w:top w:val="single" w:color="auto" w:sz="4" w:space="0"/>
              <w:left w:val="nil"/>
              <w:bottom w:val="single" w:color="auto" w:sz="4" w:space="0"/>
              <w:right w:val="single" w:color="auto" w:sz="4" w:space="0"/>
            </w:tcBorders>
            <w:noWrap/>
            <w:vAlign w:val="center"/>
          </w:tcPr>
          <w:p w14:paraId="41C8E84C">
            <w:pPr>
              <w:pStyle w:val="32"/>
              <w:spacing w:line="440" w:lineRule="exact"/>
              <w:jc w:val="center"/>
              <w:rPr>
                <w:rFonts w:hAnsi="宋体"/>
                <w:bCs/>
                <w:color w:val="auto"/>
              </w:rPr>
            </w:pPr>
            <w:r>
              <w:rPr>
                <w:rFonts w:hint="eastAsia" w:hAnsi="宋体"/>
                <w:bCs/>
                <w:color w:val="auto"/>
              </w:rPr>
              <w:t>计量单位</w:t>
            </w:r>
          </w:p>
        </w:tc>
        <w:tc>
          <w:tcPr>
            <w:tcW w:w="6427" w:type="dxa"/>
            <w:tcBorders>
              <w:top w:val="single" w:color="auto" w:sz="4" w:space="0"/>
              <w:left w:val="nil"/>
              <w:bottom w:val="single" w:color="auto" w:sz="4" w:space="0"/>
              <w:right w:val="single" w:color="auto" w:sz="4" w:space="0"/>
            </w:tcBorders>
            <w:noWrap/>
            <w:vAlign w:val="center"/>
          </w:tcPr>
          <w:p w14:paraId="40E1DCCA">
            <w:pPr>
              <w:widowControl/>
              <w:autoSpaceDE w:val="0"/>
              <w:autoSpaceDN w:val="0"/>
              <w:adjustRightInd w:val="0"/>
              <w:spacing w:line="440" w:lineRule="exact"/>
              <w:ind w:right="-197" w:rightChars="-94" w:firstLine="480"/>
              <w:jc w:val="left"/>
              <w:rPr>
                <w:rFonts w:ascii="宋体" w:hAnsi="宋体" w:cs="宋体"/>
                <w:bCs/>
                <w:kern w:val="0"/>
              </w:rPr>
            </w:pPr>
            <w:r>
              <w:rPr>
                <w:rFonts w:hint="eastAsia" w:ascii="宋体" w:hAnsi="宋体" w:cs="宋体"/>
                <w:bCs/>
                <w:kern w:val="0"/>
                <w:shd w:val="clear" w:color="auto" w:fill="FFFFFF"/>
              </w:rPr>
              <w:t>所有计量均采用中华人民共和国法定计量单位。</w:t>
            </w:r>
          </w:p>
        </w:tc>
      </w:tr>
      <w:tr w14:paraId="1A55B6C6">
        <w:tblPrEx>
          <w:tblCellMar>
            <w:top w:w="0" w:type="dxa"/>
            <w:left w:w="108" w:type="dxa"/>
            <w:bottom w:w="0" w:type="dxa"/>
            <w:right w:w="108" w:type="dxa"/>
          </w:tblCellMar>
        </w:tblPrEx>
        <w:trPr>
          <w:trHeight w:val="12"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3ECADFE6">
            <w:pPr>
              <w:autoSpaceDE w:val="0"/>
              <w:autoSpaceDN w:val="0"/>
              <w:adjustRightInd w:val="0"/>
              <w:spacing w:line="440" w:lineRule="exact"/>
              <w:rPr>
                <w:rFonts w:ascii="宋体" w:hAnsi="宋体" w:cs="宋体"/>
                <w:bCs/>
                <w:kern w:val="0"/>
              </w:rPr>
            </w:pPr>
            <w:r>
              <w:rPr>
                <w:rFonts w:hint="eastAsia" w:ascii="宋体" w:hAnsi="宋体" w:cs="宋体"/>
                <w:bCs/>
                <w:kern w:val="0"/>
              </w:rPr>
              <w:t>1.3.5</w:t>
            </w:r>
          </w:p>
        </w:tc>
        <w:tc>
          <w:tcPr>
            <w:tcW w:w="2006" w:type="dxa"/>
            <w:tcBorders>
              <w:top w:val="single" w:color="auto" w:sz="4" w:space="0"/>
              <w:left w:val="nil"/>
              <w:bottom w:val="single" w:color="auto" w:sz="4" w:space="0"/>
              <w:right w:val="single" w:color="auto" w:sz="4" w:space="0"/>
            </w:tcBorders>
            <w:noWrap/>
            <w:vAlign w:val="center"/>
          </w:tcPr>
          <w:p w14:paraId="3D3C3FB4">
            <w:pPr>
              <w:pStyle w:val="32"/>
              <w:spacing w:line="440" w:lineRule="exact"/>
              <w:jc w:val="center"/>
              <w:rPr>
                <w:rFonts w:hAnsi="宋体"/>
                <w:bCs/>
                <w:color w:val="auto"/>
              </w:rPr>
            </w:pPr>
            <w:r>
              <w:rPr>
                <w:rFonts w:hint="eastAsia" w:hAnsi="宋体"/>
                <w:bCs/>
                <w:color w:val="auto"/>
              </w:rPr>
              <w:t>标段划分</w:t>
            </w:r>
          </w:p>
        </w:tc>
        <w:tc>
          <w:tcPr>
            <w:tcW w:w="6427" w:type="dxa"/>
            <w:tcBorders>
              <w:top w:val="single" w:color="auto" w:sz="4" w:space="0"/>
              <w:left w:val="nil"/>
              <w:bottom w:val="single" w:color="auto" w:sz="4" w:space="0"/>
              <w:right w:val="single" w:color="auto" w:sz="4" w:space="0"/>
            </w:tcBorders>
            <w:noWrap/>
            <w:vAlign w:val="center"/>
          </w:tcPr>
          <w:p w14:paraId="40079EC5">
            <w:pPr>
              <w:widowControl/>
              <w:autoSpaceDE w:val="0"/>
              <w:autoSpaceDN w:val="0"/>
              <w:adjustRightInd w:val="0"/>
              <w:spacing w:line="440" w:lineRule="exact"/>
              <w:ind w:right="-197" w:rightChars="-94" w:firstLine="480"/>
              <w:jc w:val="left"/>
              <w:rPr>
                <w:rFonts w:ascii="宋体" w:hAnsi="宋体" w:cs="宋体"/>
                <w:bCs/>
                <w:kern w:val="0"/>
              </w:rPr>
            </w:pPr>
            <w:r>
              <w:rPr>
                <w:rFonts w:hint="eastAsia" w:ascii="宋体" w:hAnsi="宋体" w:cs="宋体"/>
                <w:bCs/>
                <w:kern w:val="0"/>
              </w:rPr>
              <w:t>本项目共划分1个标段。</w:t>
            </w:r>
          </w:p>
        </w:tc>
      </w:tr>
      <w:tr w14:paraId="36E8D722">
        <w:tblPrEx>
          <w:tblCellMar>
            <w:top w:w="0" w:type="dxa"/>
            <w:left w:w="108" w:type="dxa"/>
            <w:bottom w:w="0" w:type="dxa"/>
            <w:right w:w="108" w:type="dxa"/>
          </w:tblCellMar>
        </w:tblPrEx>
        <w:trPr>
          <w:trHeight w:val="12"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3E8BC82D">
            <w:pPr>
              <w:autoSpaceDE w:val="0"/>
              <w:autoSpaceDN w:val="0"/>
              <w:adjustRightInd w:val="0"/>
              <w:spacing w:line="440" w:lineRule="exact"/>
              <w:rPr>
                <w:rFonts w:ascii="宋体" w:hAnsi="宋体" w:cs="宋体"/>
                <w:bCs/>
                <w:kern w:val="0"/>
              </w:rPr>
            </w:pPr>
            <w:r>
              <w:rPr>
                <w:rFonts w:hint="eastAsia" w:ascii="宋体" w:hAnsi="宋体" w:cs="宋体"/>
                <w:bCs/>
                <w:kern w:val="0"/>
              </w:rPr>
              <w:t>1.4.1</w:t>
            </w:r>
          </w:p>
        </w:tc>
        <w:tc>
          <w:tcPr>
            <w:tcW w:w="2006" w:type="dxa"/>
            <w:tcBorders>
              <w:top w:val="single" w:color="auto" w:sz="4" w:space="0"/>
              <w:left w:val="nil"/>
              <w:bottom w:val="single" w:color="auto" w:sz="4" w:space="0"/>
              <w:right w:val="single" w:color="auto" w:sz="4" w:space="0"/>
            </w:tcBorders>
            <w:noWrap/>
            <w:vAlign w:val="center"/>
          </w:tcPr>
          <w:p w14:paraId="3B68C380">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合格投标人</w:t>
            </w:r>
          </w:p>
        </w:tc>
        <w:tc>
          <w:tcPr>
            <w:tcW w:w="6427" w:type="dxa"/>
            <w:tcBorders>
              <w:top w:val="single" w:color="auto" w:sz="4" w:space="0"/>
              <w:left w:val="nil"/>
              <w:bottom w:val="single" w:color="auto" w:sz="4" w:space="0"/>
              <w:right w:val="single" w:color="auto" w:sz="4" w:space="0"/>
            </w:tcBorders>
            <w:noWrap/>
            <w:vAlign w:val="center"/>
          </w:tcPr>
          <w:p w14:paraId="78FBD68C">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1、满足《中华人民共和国政府采购法》第二十二条规定；</w:t>
            </w:r>
          </w:p>
          <w:p w14:paraId="7A8949E7">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2、落实政府采购政策满足的资格要求：</w:t>
            </w:r>
          </w:p>
          <w:p w14:paraId="73A7CFEA">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本项目执行节约能源、保护环境、扶持不发达地区和少数民族地区、促进中小企业发展、促进残疾人就业、促进监狱企业发展等政府采购政策。本项目支持河南省政府采购合同融资政策。</w:t>
            </w:r>
          </w:p>
          <w:p w14:paraId="450D1AC1">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3、本项目的特定资格要求：</w:t>
            </w:r>
          </w:p>
          <w:p w14:paraId="309535B6">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val="en-US" w:eastAsia="zh-CN" w:bidi="ar"/>
              </w:rPr>
              <w:t>3.</w:t>
            </w:r>
            <w:r>
              <w:rPr>
                <w:rFonts w:hint="eastAsia" w:ascii="宋体" w:hAnsi="宋体" w:cs="宋体"/>
                <w:szCs w:val="21"/>
                <w:shd w:val="clear" w:color="auto" w:fill="FFFFFF"/>
                <w:lang w:bidi="ar"/>
              </w:rPr>
              <w:t>1.符合《中华人民共和国政府采购法》第二十二条及《中华人民共和国政府采购法实施条例》第十七条规定：</w:t>
            </w:r>
          </w:p>
          <w:p w14:paraId="36C8CF34">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（1）投标人应具有独立法人资格，具有有效的营业执照；</w:t>
            </w:r>
          </w:p>
          <w:p w14:paraId="56D4FC85">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（2）具有良好的商业信誉和健全的财务会计制度；</w:t>
            </w:r>
          </w:p>
          <w:p w14:paraId="73354151">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（3）具有履行合同所必需的设备和专业技术能力</w:t>
            </w:r>
          </w:p>
          <w:p w14:paraId="5462E582">
            <w:pPr>
              <w:pStyle w:val="32"/>
              <w:spacing w:line="440" w:lineRule="exact"/>
              <w:ind w:firstLine="480" w:firstLineChars="200"/>
              <w:rPr>
                <w:rFonts w:hint="eastAsia" w:ascii="宋体" w:hAnsi="宋体" w:cs="宋体"/>
                <w:szCs w:val="21"/>
                <w:shd w:val="clear" w:color="auto" w:fill="FFFFFF"/>
                <w:lang w:eastAsia="zh-CN" w:bidi="ar"/>
              </w:rPr>
            </w:pPr>
            <w:r>
              <w:rPr>
                <w:rFonts w:hint="eastAsia" w:ascii="宋体" w:hAnsi="宋体" w:cs="宋体"/>
                <w:szCs w:val="21"/>
                <w:shd w:val="clear" w:color="auto" w:fill="FFFFFF"/>
                <w:lang w:bidi="ar"/>
              </w:rPr>
              <w:t>（4）有依法缴纳税收</w:t>
            </w:r>
            <w:r>
              <w:rPr>
                <w:rFonts w:hint="eastAsia" w:ascii="宋体" w:hAnsi="宋体" w:cs="宋体"/>
                <w:szCs w:val="21"/>
                <w:shd w:val="clear" w:color="auto" w:fill="FFFFFF"/>
                <w:lang w:val="en-US" w:eastAsia="zh-CN" w:bidi="ar"/>
              </w:rPr>
              <w:t>及社保</w:t>
            </w:r>
            <w:r>
              <w:rPr>
                <w:rFonts w:hint="eastAsia" w:ascii="宋体" w:hAnsi="宋体" w:cs="宋体"/>
                <w:szCs w:val="21"/>
                <w:shd w:val="clear" w:color="auto" w:fill="FFFFFF"/>
                <w:lang w:bidi="ar"/>
              </w:rPr>
              <w:t>的良好记录</w:t>
            </w:r>
            <w:r>
              <w:rPr>
                <w:rFonts w:hint="eastAsia" w:ascii="宋体" w:hAnsi="宋体" w:cs="宋体"/>
                <w:szCs w:val="21"/>
                <w:shd w:val="clear" w:color="auto" w:fill="FFFFFF"/>
                <w:lang w:eastAsia="zh-CN" w:bidi="ar"/>
              </w:rPr>
              <w:t>（</w:t>
            </w:r>
            <w:r>
              <w:rPr>
                <w:rFonts w:hint="eastAsia" w:ascii="宋体" w:hAnsi="宋体" w:cs="宋体"/>
                <w:szCs w:val="21"/>
                <w:shd w:val="clear" w:color="auto" w:fill="FFFFFF"/>
                <w:lang w:val="en-US" w:eastAsia="zh-CN" w:bidi="ar"/>
              </w:rPr>
              <w:t>提供2022年8月1日以来任意3个月证明材料</w:t>
            </w:r>
            <w:r>
              <w:rPr>
                <w:rFonts w:hint="eastAsia" w:ascii="宋体" w:hAnsi="宋体" w:cs="宋体"/>
                <w:szCs w:val="21"/>
                <w:shd w:val="clear" w:color="auto" w:fill="FFFFFF"/>
                <w:lang w:eastAsia="zh-CN" w:bidi="ar"/>
              </w:rPr>
              <w:t>）</w:t>
            </w:r>
          </w:p>
          <w:p w14:paraId="1618E3FB">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（5）参加政府采购活动前三年内（新成立的企业从成立之日起）,在政府采购活动中没有重大违法记录的书面声明；</w:t>
            </w:r>
          </w:p>
          <w:p w14:paraId="083465E0">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w:t>
            </w:r>
            <w:r>
              <w:rPr>
                <w:rFonts w:hint="eastAsia" w:ascii="宋体" w:hAnsi="宋体" w:cs="宋体"/>
                <w:szCs w:val="21"/>
                <w:shd w:val="clear" w:color="auto" w:fill="FFFFFF"/>
                <w:lang w:val="en-US" w:eastAsia="zh-CN" w:bidi="ar"/>
              </w:rPr>
              <w:t>6</w:t>
            </w:r>
            <w:r>
              <w:rPr>
                <w:rFonts w:hint="eastAsia" w:ascii="宋体" w:hAnsi="宋体" w:cs="宋体"/>
                <w:szCs w:val="21"/>
                <w:shd w:val="clear" w:color="auto" w:fill="FFFFFF"/>
                <w:lang w:bidi="ar"/>
              </w:rPr>
              <w:t>）法律、行政法规规定的其他条件。</w:t>
            </w:r>
          </w:p>
          <w:p w14:paraId="59225B6F">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val="en-US" w:eastAsia="zh-CN" w:bidi="ar"/>
              </w:rPr>
              <w:t>3.2</w:t>
            </w:r>
            <w:r>
              <w:rPr>
                <w:rFonts w:hint="eastAsia" w:ascii="宋体" w:hAnsi="宋体" w:cs="宋体"/>
                <w:szCs w:val="21"/>
                <w:shd w:val="clear" w:color="auto" w:fill="FFFFFF"/>
                <w:lang w:bidi="ar"/>
              </w:rPr>
              <w:t>.投标人需提供无行贿犯罪记录承诺函（承诺对象包括：投标企业、法定代表人）,并对其真实性负责，若承诺不实，所造成的后果由投标人承担；</w:t>
            </w:r>
          </w:p>
          <w:p w14:paraId="06E6F62B">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bidi="ar"/>
              </w:rPr>
              <w:t>3.</w:t>
            </w:r>
            <w:r>
              <w:rPr>
                <w:rFonts w:hint="eastAsia" w:ascii="宋体" w:hAnsi="宋体" w:cs="宋体"/>
                <w:szCs w:val="21"/>
                <w:shd w:val="clear" w:color="auto" w:fill="FFFFFF"/>
                <w:lang w:val="en-US" w:eastAsia="zh-CN" w:bidi="ar"/>
              </w:rPr>
              <w:t>3</w:t>
            </w:r>
            <w:r>
              <w:rPr>
                <w:rFonts w:hint="eastAsia" w:ascii="宋体" w:hAnsi="宋体" w:cs="宋体"/>
                <w:szCs w:val="21"/>
                <w:shd w:val="clear" w:color="auto" w:fill="FFFFFF"/>
                <w:lang w:bidi="ar"/>
              </w:rPr>
              <w:t xml:space="preserve"> 依据财库〔20</w:t>
            </w:r>
            <w:r>
              <w:rPr>
                <w:rFonts w:hint="eastAsia" w:ascii="宋体" w:hAnsi="宋体" w:cs="宋体"/>
                <w:szCs w:val="21"/>
                <w:shd w:val="clear" w:color="auto" w:fill="FFFFFF"/>
                <w:lang w:val="en-US" w:eastAsia="zh-CN" w:bidi="ar"/>
              </w:rPr>
              <w:t>16</w:t>
            </w:r>
            <w:r>
              <w:rPr>
                <w:rFonts w:hint="eastAsia" w:ascii="宋体" w:hAnsi="宋体" w:cs="宋体"/>
                <w:szCs w:val="21"/>
                <w:shd w:val="clear" w:color="auto" w:fill="FFFFFF"/>
                <w:lang w:bidi="ar"/>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宋体" w:hAnsi="宋体" w:cs="宋体"/>
                <w:szCs w:val="21"/>
                <w:shd w:val="clear" w:color="auto" w:fill="FFFFFF"/>
                <w:lang w:val="en-US" w:eastAsia="zh-CN" w:bidi="ar"/>
              </w:rPr>
              <w:t>0</w:t>
            </w:r>
            <w:r>
              <w:rPr>
                <w:rFonts w:hint="eastAsia" w:ascii="宋体" w:hAnsi="宋体" w:cs="宋体"/>
                <w:szCs w:val="21"/>
                <w:shd w:val="clear" w:color="auto" w:fill="FFFFFF"/>
                <w:lang w:bidi="ar"/>
              </w:rPr>
              <w:t>〕22号)文，</w:t>
            </w:r>
            <w:r>
              <w:rPr>
                <w:rFonts w:hint="eastAsia" w:ascii="宋体" w:hAnsi="宋体" w:cs="宋体"/>
                <w:szCs w:val="21"/>
                <w:shd w:val="clear" w:color="auto" w:fill="FFFFFF"/>
                <w:lang w:val="en-US" w:eastAsia="zh-CN" w:bidi="ar"/>
              </w:rPr>
              <w:t>供应商</w:t>
            </w:r>
            <w:r>
              <w:rPr>
                <w:rFonts w:hint="eastAsia" w:ascii="宋体" w:hAnsi="宋体" w:cs="宋体"/>
                <w:szCs w:val="21"/>
                <w:shd w:val="clear" w:color="auto" w:fill="FFFFFF"/>
                <w:lang w:bidi="ar"/>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1C101D89">
            <w:pPr>
              <w:pStyle w:val="32"/>
              <w:spacing w:line="440" w:lineRule="exact"/>
              <w:ind w:firstLine="480" w:firstLineChars="200"/>
              <w:rPr>
                <w:rFonts w:hint="eastAsia" w:ascii="宋体" w:hAnsi="宋体" w:cs="宋体"/>
                <w:szCs w:val="21"/>
                <w:shd w:val="clear" w:color="auto" w:fill="FFFFFF"/>
                <w:lang w:bidi="ar"/>
              </w:rPr>
            </w:pPr>
            <w:r>
              <w:rPr>
                <w:rFonts w:hint="eastAsia" w:ascii="宋体" w:hAnsi="宋体" w:cs="宋体"/>
                <w:szCs w:val="21"/>
                <w:shd w:val="clear" w:color="auto" w:fill="FFFFFF"/>
                <w:lang w:val="en-US" w:eastAsia="zh-CN" w:bidi="ar"/>
              </w:rPr>
              <w:t>3.4</w:t>
            </w:r>
            <w:r>
              <w:rPr>
                <w:rFonts w:hint="eastAsia" w:ascii="宋体" w:hAnsi="宋体" w:cs="宋体"/>
                <w:szCs w:val="21"/>
                <w:shd w:val="clear" w:color="auto" w:fill="FFFFFF"/>
                <w:lang w:bidi="ar"/>
              </w:rPr>
              <w:t>本项目不接受联合体投标，不得分包转包；</w:t>
            </w:r>
          </w:p>
          <w:p w14:paraId="595C3519">
            <w:pPr>
              <w:pStyle w:val="32"/>
              <w:spacing w:line="440" w:lineRule="exact"/>
              <w:ind w:firstLine="442" w:firstLineChars="200"/>
              <w:rPr>
                <w:rFonts w:hAnsi="宋体"/>
                <w:bCs/>
                <w:color w:val="auto"/>
              </w:rPr>
            </w:pPr>
            <w:r>
              <w:rPr>
                <w:rFonts w:hint="eastAsia"/>
                <w:b/>
                <w:bCs/>
                <w:color w:val="auto"/>
                <w:sz w:val="22"/>
                <w:szCs w:val="22"/>
              </w:rPr>
              <w:t>备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人承担责任。</w:t>
            </w:r>
          </w:p>
        </w:tc>
      </w:tr>
      <w:tr w14:paraId="791DB899">
        <w:tblPrEx>
          <w:tblCellMar>
            <w:top w:w="0" w:type="dxa"/>
            <w:left w:w="108" w:type="dxa"/>
            <w:bottom w:w="0" w:type="dxa"/>
            <w:right w:w="108" w:type="dxa"/>
          </w:tblCellMar>
        </w:tblPrEx>
        <w:trPr>
          <w:trHeight w:val="38"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70F4D2F1">
            <w:pPr>
              <w:autoSpaceDE w:val="0"/>
              <w:autoSpaceDN w:val="0"/>
              <w:adjustRightInd w:val="0"/>
              <w:spacing w:line="440" w:lineRule="exact"/>
              <w:rPr>
                <w:rFonts w:ascii="宋体" w:hAnsi="宋体" w:cs="宋体"/>
                <w:bCs/>
                <w:kern w:val="0"/>
              </w:rPr>
            </w:pPr>
            <w:r>
              <w:rPr>
                <w:rFonts w:hint="eastAsia" w:ascii="宋体" w:hAnsi="宋体" w:cs="宋体"/>
                <w:bCs/>
                <w:kern w:val="0"/>
              </w:rPr>
              <w:t>1.4.2</w:t>
            </w:r>
          </w:p>
        </w:tc>
        <w:tc>
          <w:tcPr>
            <w:tcW w:w="2006" w:type="dxa"/>
            <w:tcBorders>
              <w:top w:val="single" w:color="auto" w:sz="4" w:space="0"/>
              <w:left w:val="nil"/>
              <w:bottom w:val="single" w:color="auto" w:sz="4" w:space="0"/>
              <w:right w:val="single" w:color="auto" w:sz="4" w:space="0"/>
            </w:tcBorders>
            <w:noWrap/>
            <w:vAlign w:val="center"/>
          </w:tcPr>
          <w:p w14:paraId="0FCC0A7E">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是否接受联合体</w:t>
            </w:r>
          </w:p>
        </w:tc>
        <w:tc>
          <w:tcPr>
            <w:tcW w:w="6427" w:type="dxa"/>
            <w:tcBorders>
              <w:top w:val="single" w:color="auto" w:sz="4" w:space="0"/>
              <w:left w:val="nil"/>
              <w:bottom w:val="single" w:color="auto" w:sz="4" w:space="0"/>
              <w:right w:val="single" w:color="auto" w:sz="4" w:space="0"/>
            </w:tcBorders>
            <w:noWrap/>
            <w:vAlign w:val="center"/>
          </w:tcPr>
          <w:p w14:paraId="5A92B8E2">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不接受</w:t>
            </w:r>
          </w:p>
        </w:tc>
      </w:tr>
      <w:tr w14:paraId="64D03321">
        <w:tblPrEx>
          <w:tblCellMar>
            <w:top w:w="0" w:type="dxa"/>
            <w:left w:w="108" w:type="dxa"/>
            <w:bottom w:w="0" w:type="dxa"/>
            <w:right w:w="108" w:type="dxa"/>
          </w:tblCellMar>
        </w:tblPrEx>
        <w:trPr>
          <w:trHeight w:val="38"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ADFAD4F">
            <w:pPr>
              <w:autoSpaceDE w:val="0"/>
              <w:autoSpaceDN w:val="0"/>
              <w:adjustRightInd w:val="0"/>
              <w:spacing w:line="440" w:lineRule="exact"/>
              <w:rPr>
                <w:rFonts w:ascii="宋体" w:hAnsi="宋体" w:cs="宋体"/>
                <w:bCs/>
                <w:kern w:val="0"/>
              </w:rPr>
            </w:pPr>
            <w:r>
              <w:rPr>
                <w:rFonts w:hint="eastAsia" w:ascii="宋体" w:hAnsi="宋体" w:cs="宋体"/>
                <w:bCs/>
                <w:kern w:val="0"/>
              </w:rPr>
              <w:t>1.5.1</w:t>
            </w:r>
          </w:p>
        </w:tc>
        <w:tc>
          <w:tcPr>
            <w:tcW w:w="2006" w:type="dxa"/>
            <w:tcBorders>
              <w:top w:val="single" w:color="auto" w:sz="4" w:space="0"/>
              <w:left w:val="nil"/>
              <w:bottom w:val="single" w:color="auto" w:sz="4" w:space="0"/>
              <w:right w:val="single" w:color="auto" w:sz="4" w:space="0"/>
            </w:tcBorders>
            <w:noWrap/>
            <w:vAlign w:val="bottom"/>
          </w:tcPr>
          <w:p w14:paraId="2314680C">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现场说明和探勘</w:t>
            </w:r>
          </w:p>
        </w:tc>
        <w:tc>
          <w:tcPr>
            <w:tcW w:w="6427" w:type="dxa"/>
            <w:tcBorders>
              <w:top w:val="single" w:color="auto" w:sz="4" w:space="0"/>
              <w:left w:val="nil"/>
              <w:bottom w:val="single" w:color="auto" w:sz="4" w:space="0"/>
              <w:right w:val="single" w:color="auto" w:sz="4" w:space="0"/>
            </w:tcBorders>
            <w:noWrap/>
            <w:vAlign w:val="center"/>
          </w:tcPr>
          <w:p w14:paraId="1C89507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不组织</w:t>
            </w:r>
          </w:p>
        </w:tc>
      </w:tr>
      <w:tr w14:paraId="3ED5DEDF">
        <w:tblPrEx>
          <w:tblCellMar>
            <w:top w:w="0" w:type="dxa"/>
            <w:left w:w="108" w:type="dxa"/>
            <w:bottom w:w="0" w:type="dxa"/>
            <w:right w:w="108" w:type="dxa"/>
          </w:tblCellMar>
        </w:tblPrEx>
        <w:trPr>
          <w:trHeight w:val="268"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8C95655">
            <w:pPr>
              <w:autoSpaceDE w:val="0"/>
              <w:autoSpaceDN w:val="0"/>
              <w:adjustRightInd w:val="0"/>
              <w:spacing w:line="440" w:lineRule="exact"/>
              <w:rPr>
                <w:rFonts w:ascii="宋体" w:hAnsi="宋体" w:cs="宋体"/>
                <w:bCs/>
                <w:kern w:val="0"/>
              </w:rPr>
            </w:pPr>
            <w:r>
              <w:rPr>
                <w:rFonts w:hint="eastAsia" w:ascii="宋体" w:hAnsi="宋体" w:cs="宋体"/>
                <w:bCs/>
                <w:kern w:val="0"/>
              </w:rPr>
              <w:t>1.5.2</w:t>
            </w:r>
          </w:p>
        </w:tc>
        <w:tc>
          <w:tcPr>
            <w:tcW w:w="2006" w:type="dxa"/>
            <w:tcBorders>
              <w:top w:val="single" w:color="auto" w:sz="4" w:space="0"/>
              <w:left w:val="nil"/>
              <w:bottom w:val="single" w:color="auto" w:sz="4" w:space="0"/>
              <w:right w:val="single" w:color="auto" w:sz="4" w:space="0"/>
            </w:tcBorders>
            <w:noWrap/>
            <w:vAlign w:val="bottom"/>
          </w:tcPr>
          <w:p w14:paraId="5BE387E4">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投标人提出问题的截止时间</w:t>
            </w:r>
          </w:p>
        </w:tc>
        <w:tc>
          <w:tcPr>
            <w:tcW w:w="6427" w:type="dxa"/>
            <w:tcBorders>
              <w:top w:val="single" w:color="auto" w:sz="4" w:space="0"/>
              <w:left w:val="nil"/>
              <w:bottom w:val="single" w:color="auto" w:sz="4" w:space="0"/>
              <w:right w:val="single" w:color="auto" w:sz="4" w:space="0"/>
            </w:tcBorders>
            <w:noWrap/>
            <w:vAlign w:val="center"/>
          </w:tcPr>
          <w:p w14:paraId="261C2F47">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递交投标文件截止之日10天前</w:t>
            </w:r>
          </w:p>
        </w:tc>
      </w:tr>
      <w:tr w14:paraId="20B677F3">
        <w:tblPrEx>
          <w:tblCellMar>
            <w:top w:w="0" w:type="dxa"/>
            <w:left w:w="108" w:type="dxa"/>
            <w:bottom w:w="0" w:type="dxa"/>
            <w:right w:w="108" w:type="dxa"/>
          </w:tblCellMar>
        </w:tblPrEx>
        <w:trPr>
          <w:trHeight w:val="115"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D4AEAE7">
            <w:pPr>
              <w:autoSpaceDE w:val="0"/>
              <w:autoSpaceDN w:val="0"/>
              <w:adjustRightInd w:val="0"/>
              <w:spacing w:line="440" w:lineRule="exact"/>
              <w:rPr>
                <w:rFonts w:ascii="宋体" w:hAnsi="宋体" w:cs="宋体"/>
                <w:bCs/>
                <w:kern w:val="0"/>
              </w:rPr>
            </w:pPr>
            <w:r>
              <w:rPr>
                <w:rFonts w:hint="eastAsia" w:ascii="宋体" w:hAnsi="宋体" w:cs="宋体"/>
                <w:bCs/>
                <w:kern w:val="0"/>
              </w:rPr>
              <w:t>1.5.3</w:t>
            </w:r>
          </w:p>
        </w:tc>
        <w:tc>
          <w:tcPr>
            <w:tcW w:w="2006" w:type="dxa"/>
            <w:tcBorders>
              <w:top w:val="single" w:color="auto" w:sz="4" w:space="0"/>
              <w:left w:val="nil"/>
              <w:bottom w:val="single" w:color="auto" w:sz="4" w:space="0"/>
              <w:right w:val="single" w:color="auto" w:sz="4" w:space="0"/>
            </w:tcBorders>
            <w:noWrap/>
            <w:vAlign w:val="bottom"/>
          </w:tcPr>
          <w:p w14:paraId="3863DC20">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采购人澄清的时间</w:t>
            </w:r>
          </w:p>
        </w:tc>
        <w:tc>
          <w:tcPr>
            <w:tcW w:w="6427" w:type="dxa"/>
            <w:tcBorders>
              <w:top w:val="single" w:color="auto" w:sz="4" w:space="0"/>
              <w:left w:val="nil"/>
              <w:bottom w:val="single" w:color="auto" w:sz="4" w:space="0"/>
              <w:right w:val="single" w:color="auto" w:sz="4" w:space="0"/>
            </w:tcBorders>
            <w:noWrap/>
            <w:vAlign w:val="center"/>
          </w:tcPr>
          <w:p w14:paraId="5AA96B56">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递交投标文件截止之日15天前</w:t>
            </w:r>
          </w:p>
        </w:tc>
      </w:tr>
      <w:tr w14:paraId="6F23D8CD">
        <w:tblPrEx>
          <w:tblCellMar>
            <w:top w:w="0" w:type="dxa"/>
            <w:left w:w="108" w:type="dxa"/>
            <w:bottom w:w="0" w:type="dxa"/>
            <w:right w:w="108" w:type="dxa"/>
          </w:tblCellMar>
        </w:tblPrEx>
        <w:trPr>
          <w:trHeight w:val="115"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3353A517">
            <w:pPr>
              <w:autoSpaceDE w:val="0"/>
              <w:autoSpaceDN w:val="0"/>
              <w:adjustRightInd w:val="0"/>
              <w:spacing w:line="440" w:lineRule="exact"/>
              <w:rPr>
                <w:rFonts w:ascii="宋体" w:hAnsi="宋体" w:cs="宋体"/>
                <w:bCs/>
                <w:kern w:val="0"/>
              </w:rPr>
            </w:pPr>
            <w:r>
              <w:rPr>
                <w:rFonts w:hint="eastAsia" w:ascii="宋体" w:hAnsi="宋体" w:cs="宋体"/>
                <w:bCs/>
                <w:kern w:val="0"/>
              </w:rPr>
              <w:t>1.6.1</w:t>
            </w:r>
          </w:p>
        </w:tc>
        <w:tc>
          <w:tcPr>
            <w:tcW w:w="2006" w:type="dxa"/>
            <w:tcBorders>
              <w:top w:val="single" w:color="auto" w:sz="4" w:space="0"/>
              <w:left w:val="nil"/>
              <w:bottom w:val="single" w:color="auto" w:sz="4" w:space="0"/>
              <w:right w:val="single" w:color="auto" w:sz="4" w:space="0"/>
            </w:tcBorders>
            <w:noWrap/>
            <w:vAlign w:val="center"/>
          </w:tcPr>
          <w:p w14:paraId="4F035DF1">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分包</w:t>
            </w:r>
          </w:p>
        </w:tc>
        <w:tc>
          <w:tcPr>
            <w:tcW w:w="6427" w:type="dxa"/>
            <w:tcBorders>
              <w:top w:val="single" w:color="auto" w:sz="4" w:space="0"/>
              <w:left w:val="nil"/>
              <w:bottom w:val="single" w:color="auto" w:sz="4" w:space="0"/>
              <w:right w:val="single" w:color="auto" w:sz="4" w:space="0"/>
            </w:tcBorders>
            <w:noWrap/>
            <w:vAlign w:val="center"/>
          </w:tcPr>
          <w:p w14:paraId="1935FBE7">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不允许</w:t>
            </w:r>
          </w:p>
        </w:tc>
      </w:tr>
      <w:tr w14:paraId="024974FB">
        <w:tblPrEx>
          <w:tblCellMar>
            <w:top w:w="0" w:type="dxa"/>
            <w:left w:w="108" w:type="dxa"/>
            <w:bottom w:w="0" w:type="dxa"/>
            <w:right w:w="108" w:type="dxa"/>
          </w:tblCellMar>
        </w:tblPrEx>
        <w:trPr>
          <w:trHeight w:val="153"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449A76CB">
            <w:pPr>
              <w:autoSpaceDE w:val="0"/>
              <w:autoSpaceDN w:val="0"/>
              <w:adjustRightInd w:val="0"/>
              <w:spacing w:line="440" w:lineRule="exact"/>
              <w:rPr>
                <w:rFonts w:ascii="宋体" w:hAnsi="宋体" w:cs="宋体"/>
                <w:bCs/>
                <w:kern w:val="0"/>
              </w:rPr>
            </w:pPr>
            <w:r>
              <w:rPr>
                <w:rFonts w:hint="eastAsia" w:ascii="宋体" w:hAnsi="宋体" w:cs="宋体"/>
                <w:bCs/>
                <w:kern w:val="0"/>
              </w:rPr>
              <w:t>2.1.1</w:t>
            </w:r>
          </w:p>
        </w:tc>
        <w:tc>
          <w:tcPr>
            <w:tcW w:w="2006" w:type="dxa"/>
            <w:tcBorders>
              <w:top w:val="single" w:color="auto" w:sz="4" w:space="0"/>
              <w:left w:val="nil"/>
              <w:bottom w:val="single" w:color="auto" w:sz="4" w:space="0"/>
              <w:right w:val="single" w:color="auto" w:sz="4" w:space="0"/>
            </w:tcBorders>
            <w:noWrap/>
            <w:vAlign w:val="center"/>
          </w:tcPr>
          <w:p w14:paraId="0F815F2F">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构成招标文件的其他材料</w:t>
            </w:r>
          </w:p>
        </w:tc>
        <w:tc>
          <w:tcPr>
            <w:tcW w:w="6427" w:type="dxa"/>
            <w:tcBorders>
              <w:top w:val="single" w:color="auto" w:sz="4" w:space="0"/>
              <w:left w:val="nil"/>
              <w:bottom w:val="single" w:color="auto" w:sz="4" w:space="0"/>
              <w:right w:val="single" w:color="auto" w:sz="4" w:space="0"/>
            </w:tcBorders>
            <w:noWrap/>
            <w:vAlign w:val="center"/>
          </w:tcPr>
          <w:p w14:paraId="7C03F552">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除招标文件外，采购人在采购期间发出的澄清、修改、补充、补遗和其它有效正式函件等内容均是招标文件的组成部分</w:t>
            </w:r>
          </w:p>
        </w:tc>
      </w:tr>
      <w:tr w14:paraId="2F0327D4">
        <w:tblPrEx>
          <w:tblCellMar>
            <w:top w:w="0" w:type="dxa"/>
            <w:left w:w="108" w:type="dxa"/>
            <w:bottom w:w="0" w:type="dxa"/>
            <w:right w:w="108" w:type="dxa"/>
          </w:tblCellMar>
        </w:tblPrEx>
        <w:trPr>
          <w:trHeight w:val="49"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45201A0">
            <w:pPr>
              <w:autoSpaceDE w:val="0"/>
              <w:autoSpaceDN w:val="0"/>
              <w:adjustRightInd w:val="0"/>
              <w:spacing w:line="440" w:lineRule="exact"/>
              <w:rPr>
                <w:rFonts w:ascii="宋体" w:hAnsi="宋体" w:cs="宋体"/>
                <w:bCs/>
                <w:kern w:val="0"/>
              </w:rPr>
            </w:pPr>
            <w:r>
              <w:rPr>
                <w:rFonts w:hint="eastAsia" w:ascii="宋体" w:hAnsi="宋体" w:cs="宋体"/>
                <w:bCs/>
                <w:kern w:val="0"/>
              </w:rPr>
              <w:t>2.2.1</w:t>
            </w:r>
          </w:p>
        </w:tc>
        <w:tc>
          <w:tcPr>
            <w:tcW w:w="2006" w:type="dxa"/>
            <w:tcBorders>
              <w:top w:val="single" w:color="auto" w:sz="4" w:space="0"/>
              <w:left w:val="nil"/>
              <w:bottom w:val="single" w:color="auto" w:sz="4" w:space="0"/>
              <w:right w:val="single" w:color="auto" w:sz="4" w:space="0"/>
            </w:tcBorders>
            <w:noWrap/>
            <w:vAlign w:val="bottom"/>
          </w:tcPr>
          <w:p w14:paraId="69D7ABF3">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投标人要求澄清招标文件的截止时间</w:t>
            </w:r>
          </w:p>
        </w:tc>
        <w:tc>
          <w:tcPr>
            <w:tcW w:w="6427" w:type="dxa"/>
            <w:tcBorders>
              <w:top w:val="single" w:color="auto" w:sz="4" w:space="0"/>
              <w:left w:val="nil"/>
              <w:bottom w:val="single" w:color="auto" w:sz="4" w:space="0"/>
              <w:right w:val="single" w:color="auto" w:sz="4" w:space="0"/>
            </w:tcBorders>
            <w:noWrap/>
            <w:vAlign w:val="center"/>
          </w:tcPr>
          <w:p w14:paraId="392BD91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递交投标文件截止之日10天前</w:t>
            </w:r>
          </w:p>
        </w:tc>
      </w:tr>
      <w:tr w14:paraId="7250BEB0">
        <w:tblPrEx>
          <w:tblCellMar>
            <w:top w:w="0" w:type="dxa"/>
            <w:left w:w="108" w:type="dxa"/>
            <w:bottom w:w="0" w:type="dxa"/>
            <w:right w:w="108" w:type="dxa"/>
          </w:tblCellMar>
        </w:tblPrEx>
        <w:trPr>
          <w:trHeight w:val="38"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408F34B5">
            <w:pPr>
              <w:autoSpaceDE w:val="0"/>
              <w:autoSpaceDN w:val="0"/>
              <w:adjustRightInd w:val="0"/>
              <w:spacing w:line="440" w:lineRule="exact"/>
              <w:rPr>
                <w:rFonts w:ascii="宋体" w:hAnsi="宋体" w:cs="宋体"/>
                <w:bCs/>
                <w:kern w:val="0"/>
              </w:rPr>
            </w:pPr>
            <w:r>
              <w:rPr>
                <w:rFonts w:hint="eastAsia" w:ascii="宋体" w:hAnsi="宋体" w:cs="宋体"/>
                <w:bCs/>
                <w:kern w:val="0"/>
              </w:rPr>
              <w:t>2.2.2</w:t>
            </w:r>
          </w:p>
        </w:tc>
        <w:tc>
          <w:tcPr>
            <w:tcW w:w="2006" w:type="dxa"/>
            <w:tcBorders>
              <w:top w:val="single" w:color="auto" w:sz="4" w:space="0"/>
              <w:left w:val="nil"/>
              <w:bottom w:val="single" w:color="auto" w:sz="4" w:space="0"/>
              <w:right w:val="single" w:color="auto" w:sz="4" w:space="0"/>
            </w:tcBorders>
            <w:noWrap/>
            <w:vAlign w:val="bottom"/>
          </w:tcPr>
          <w:p w14:paraId="78E978A2">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提交投标文件截止时间</w:t>
            </w:r>
          </w:p>
        </w:tc>
        <w:tc>
          <w:tcPr>
            <w:tcW w:w="6427" w:type="dxa"/>
            <w:tcBorders>
              <w:top w:val="single" w:color="auto" w:sz="4" w:space="0"/>
              <w:left w:val="nil"/>
              <w:bottom w:val="single" w:color="auto" w:sz="4" w:space="0"/>
              <w:right w:val="single" w:color="auto" w:sz="4" w:space="0"/>
            </w:tcBorders>
            <w:noWrap/>
            <w:vAlign w:val="center"/>
          </w:tcPr>
          <w:p w14:paraId="7AC221DD">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详见采购公告</w:t>
            </w:r>
          </w:p>
        </w:tc>
      </w:tr>
      <w:tr w14:paraId="512F10AA">
        <w:tblPrEx>
          <w:tblCellMar>
            <w:top w:w="0" w:type="dxa"/>
            <w:left w:w="108" w:type="dxa"/>
            <w:bottom w:w="0" w:type="dxa"/>
            <w:right w:w="108" w:type="dxa"/>
          </w:tblCellMar>
        </w:tblPrEx>
        <w:trPr>
          <w:trHeight w:val="27" w:hRule="atLeast"/>
          <w:jc w:val="center"/>
        </w:trPr>
        <w:tc>
          <w:tcPr>
            <w:tcW w:w="1146" w:type="dxa"/>
            <w:tcBorders>
              <w:top w:val="single" w:color="auto" w:sz="4" w:space="0"/>
              <w:left w:val="single" w:color="auto" w:sz="4" w:space="0"/>
              <w:bottom w:val="nil"/>
              <w:right w:val="single" w:color="auto" w:sz="4" w:space="0"/>
            </w:tcBorders>
            <w:noWrap/>
            <w:vAlign w:val="center"/>
          </w:tcPr>
          <w:p w14:paraId="14E05964">
            <w:pPr>
              <w:autoSpaceDE w:val="0"/>
              <w:autoSpaceDN w:val="0"/>
              <w:adjustRightInd w:val="0"/>
              <w:spacing w:line="440" w:lineRule="exact"/>
              <w:rPr>
                <w:rFonts w:ascii="宋体" w:hAnsi="宋体" w:cs="宋体"/>
                <w:bCs/>
                <w:kern w:val="0"/>
              </w:rPr>
            </w:pPr>
            <w:r>
              <w:rPr>
                <w:rFonts w:hint="eastAsia" w:ascii="宋体" w:hAnsi="宋体" w:cs="宋体"/>
                <w:bCs/>
                <w:kern w:val="0"/>
              </w:rPr>
              <w:t>2.2.3</w:t>
            </w:r>
          </w:p>
        </w:tc>
        <w:tc>
          <w:tcPr>
            <w:tcW w:w="2006" w:type="dxa"/>
            <w:tcBorders>
              <w:top w:val="single" w:color="auto" w:sz="4" w:space="0"/>
              <w:left w:val="nil"/>
              <w:bottom w:val="nil"/>
              <w:right w:val="single" w:color="auto" w:sz="4" w:space="0"/>
            </w:tcBorders>
            <w:noWrap/>
            <w:vAlign w:val="center"/>
          </w:tcPr>
          <w:p w14:paraId="1A4DFBF1">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投标人确认收到招标文件澄清的时间</w:t>
            </w:r>
          </w:p>
        </w:tc>
        <w:tc>
          <w:tcPr>
            <w:tcW w:w="6427" w:type="dxa"/>
            <w:tcBorders>
              <w:top w:val="single" w:color="auto" w:sz="4" w:space="0"/>
              <w:left w:val="nil"/>
              <w:bottom w:val="nil"/>
              <w:right w:val="single" w:color="auto" w:sz="4" w:space="0"/>
            </w:tcBorders>
            <w:noWrap/>
            <w:vAlign w:val="center"/>
          </w:tcPr>
          <w:p w14:paraId="4BA7B56D">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相关文件发出后即视为投标人收到</w:t>
            </w:r>
          </w:p>
        </w:tc>
      </w:tr>
      <w:tr w14:paraId="12F640D2">
        <w:tblPrEx>
          <w:tblCellMar>
            <w:top w:w="0" w:type="dxa"/>
            <w:left w:w="108" w:type="dxa"/>
            <w:bottom w:w="0" w:type="dxa"/>
            <w:right w:w="108" w:type="dxa"/>
          </w:tblCellMar>
        </w:tblPrEx>
        <w:trPr>
          <w:trHeight w:val="27" w:hRule="atLeast"/>
          <w:jc w:val="center"/>
        </w:trPr>
        <w:tc>
          <w:tcPr>
            <w:tcW w:w="1146" w:type="dxa"/>
            <w:tcBorders>
              <w:top w:val="single" w:color="auto" w:sz="4" w:space="0"/>
              <w:left w:val="single" w:color="auto" w:sz="4" w:space="0"/>
              <w:bottom w:val="nil"/>
              <w:right w:val="single" w:color="auto" w:sz="4" w:space="0"/>
            </w:tcBorders>
            <w:noWrap/>
            <w:vAlign w:val="center"/>
          </w:tcPr>
          <w:p w14:paraId="7A13FD5F">
            <w:pPr>
              <w:autoSpaceDE w:val="0"/>
              <w:autoSpaceDN w:val="0"/>
              <w:adjustRightInd w:val="0"/>
              <w:spacing w:line="440" w:lineRule="exact"/>
              <w:rPr>
                <w:rFonts w:ascii="宋体" w:hAnsi="宋体" w:cs="宋体"/>
                <w:bCs/>
                <w:kern w:val="0"/>
              </w:rPr>
            </w:pPr>
            <w:r>
              <w:rPr>
                <w:rFonts w:hint="eastAsia" w:ascii="宋体" w:hAnsi="宋体" w:cs="宋体"/>
                <w:bCs/>
                <w:kern w:val="0"/>
              </w:rPr>
              <w:t>2.3.1</w:t>
            </w:r>
          </w:p>
        </w:tc>
        <w:tc>
          <w:tcPr>
            <w:tcW w:w="2006" w:type="dxa"/>
            <w:tcBorders>
              <w:top w:val="single" w:color="auto" w:sz="4" w:space="0"/>
              <w:left w:val="nil"/>
              <w:bottom w:val="nil"/>
              <w:right w:val="single" w:color="auto" w:sz="4" w:space="0"/>
            </w:tcBorders>
            <w:noWrap/>
            <w:vAlign w:val="center"/>
          </w:tcPr>
          <w:p w14:paraId="72CC26B8">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投标人确认收到招标文件修改的时间</w:t>
            </w:r>
          </w:p>
        </w:tc>
        <w:tc>
          <w:tcPr>
            <w:tcW w:w="6427" w:type="dxa"/>
            <w:tcBorders>
              <w:top w:val="single" w:color="auto" w:sz="4" w:space="0"/>
              <w:left w:val="nil"/>
              <w:bottom w:val="nil"/>
              <w:right w:val="single" w:color="auto" w:sz="4" w:space="0"/>
            </w:tcBorders>
            <w:noWrap/>
            <w:vAlign w:val="center"/>
          </w:tcPr>
          <w:p w14:paraId="2A10BB90">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相关文件发出后即视为投标人收到</w:t>
            </w:r>
          </w:p>
        </w:tc>
      </w:tr>
      <w:tr w14:paraId="30C336E1">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nil"/>
              <w:right w:val="single" w:color="auto" w:sz="4" w:space="0"/>
            </w:tcBorders>
            <w:noWrap/>
            <w:vAlign w:val="center"/>
          </w:tcPr>
          <w:p w14:paraId="3E604ECB">
            <w:pPr>
              <w:autoSpaceDE w:val="0"/>
              <w:autoSpaceDN w:val="0"/>
              <w:adjustRightInd w:val="0"/>
              <w:spacing w:line="440" w:lineRule="exact"/>
              <w:rPr>
                <w:rFonts w:ascii="宋体" w:hAnsi="宋体" w:cs="宋体"/>
                <w:bCs/>
                <w:kern w:val="0"/>
              </w:rPr>
            </w:pPr>
            <w:r>
              <w:rPr>
                <w:rFonts w:hint="eastAsia" w:ascii="宋体" w:hAnsi="宋体" w:cs="宋体"/>
                <w:bCs/>
                <w:kern w:val="0"/>
              </w:rPr>
              <w:t>3.1.1</w:t>
            </w:r>
          </w:p>
        </w:tc>
        <w:tc>
          <w:tcPr>
            <w:tcW w:w="2006" w:type="dxa"/>
            <w:tcBorders>
              <w:top w:val="single" w:color="auto" w:sz="4" w:space="0"/>
              <w:left w:val="nil"/>
              <w:bottom w:val="nil"/>
              <w:right w:val="single" w:color="auto" w:sz="4" w:space="0"/>
            </w:tcBorders>
            <w:noWrap/>
            <w:vAlign w:val="center"/>
          </w:tcPr>
          <w:p w14:paraId="32B55CF0">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构成投标文件的其他材料</w:t>
            </w:r>
          </w:p>
        </w:tc>
        <w:tc>
          <w:tcPr>
            <w:tcW w:w="6427" w:type="dxa"/>
            <w:tcBorders>
              <w:top w:val="single" w:color="auto" w:sz="4" w:space="0"/>
              <w:left w:val="nil"/>
              <w:bottom w:val="nil"/>
              <w:right w:val="single" w:color="auto" w:sz="4" w:space="0"/>
            </w:tcBorders>
            <w:noWrap/>
            <w:vAlign w:val="center"/>
          </w:tcPr>
          <w:p w14:paraId="5A4D006E">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投标人认为需要提交的其他证明材料</w:t>
            </w:r>
          </w:p>
        </w:tc>
      </w:tr>
      <w:tr w14:paraId="44F00BF5">
        <w:tblPrEx>
          <w:tblCellMar>
            <w:top w:w="0" w:type="dxa"/>
            <w:left w:w="108" w:type="dxa"/>
            <w:bottom w:w="0" w:type="dxa"/>
            <w:right w:w="108" w:type="dxa"/>
          </w:tblCellMar>
        </w:tblPrEx>
        <w:trPr>
          <w:trHeight w:val="584"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76A64EA">
            <w:pPr>
              <w:autoSpaceDE w:val="0"/>
              <w:autoSpaceDN w:val="0"/>
              <w:adjustRightInd w:val="0"/>
              <w:spacing w:line="440" w:lineRule="exact"/>
              <w:rPr>
                <w:rFonts w:ascii="宋体" w:hAnsi="宋体" w:cs="宋体"/>
                <w:bCs/>
                <w:kern w:val="0"/>
              </w:rPr>
            </w:pPr>
            <w:r>
              <w:rPr>
                <w:rFonts w:hint="eastAsia" w:ascii="宋体" w:hAnsi="宋体" w:cs="宋体"/>
                <w:bCs/>
                <w:kern w:val="0"/>
              </w:rPr>
              <w:t>3.2.1</w:t>
            </w:r>
          </w:p>
        </w:tc>
        <w:tc>
          <w:tcPr>
            <w:tcW w:w="2006" w:type="dxa"/>
            <w:tcBorders>
              <w:top w:val="single" w:color="auto" w:sz="4" w:space="0"/>
              <w:left w:val="nil"/>
              <w:bottom w:val="single" w:color="auto" w:sz="4" w:space="0"/>
              <w:right w:val="single" w:color="auto" w:sz="4" w:space="0"/>
            </w:tcBorders>
            <w:noWrap/>
            <w:vAlign w:val="center"/>
          </w:tcPr>
          <w:p w14:paraId="4E004168">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投标有效期</w:t>
            </w:r>
          </w:p>
        </w:tc>
        <w:tc>
          <w:tcPr>
            <w:tcW w:w="6427" w:type="dxa"/>
            <w:tcBorders>
              <w:top w:val="single" w:color="auto" w:sz="4" w:space="0"/>
              <w:left w:val="nil"/>
              <w:bottom w:val="single" w:color="auto" w:sz="4" w:space="0"/>
              <w:right w:val="single" w:color="auto" w:sz="4" w:space="0"/>
            </w:tcBorders>
            <w:noWrap/>
            <w:vAlign w:val="center"/>
          </w:tcPr>
          <w:p w14:paraId="422D4985">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60 日历天（投标文件递交截止之日起）</w:t>
            </w:r>
          </w:p>
        </w:tc>
      </w:tr>
      <w:tr w14:paraId="21F1E299">
        <w:tblPrEx>
          <w:tblCellMar>
            <w:top w:w="0" w:type="dxa"/>
            <w:left w:w="108" w:type="dxa"/>
            <w:bottom w:w="0" w:type="dxa"/>
            <w:right w:w="108" w:type="dxa"/>
          </w:tblCellMar>
        </w:tblPrEx>
        <w:trPr>
          <w:trHeight w:val="1156"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39B2B40">
            <w:pPr>
              <w:autoSpaceDE w:val="0"/>
              <w:autoSpaceDN w:val="0"/>
              <w:adjustRightInd w:val="0"/>
              <w:spacing w:line="440" w:lineRule="exact"/>
              <w:rPr>
                <w:rFonts w:ascii="宋体" w:hAnsi="宋体" w:cs="宋体"/>
                <w:bCs/>
                <w:kern w:val="0"/>
              </w:rPr>
            </w:pPr>
            <w:r>
              <w:rPr>
                <w:rFonts w:hint="eastAsia" w:ascii="宋体" w:hAnsi="宋体" w:cs="宋体"/>
                <w:bCs/>
                <w:kern w:val="0"/>
              </w:rPr>
              <w:t>3.3.1</w:t>
            </w:r>
          </w:p>
        </w:tc>
        <w:tc>
          <w:tcPr>
            <w:tcW w:w="2006" w:type="dxa"/>
            <w:tcBorders>
              <w:top w:val="single" w:color="auto" w:sz="4" w:space="0"/>
              <w:left w:val="nil"/>
              <w:bottom w:val="single" w:color="auto" w:sz="4" w:space="0"/>
              <w:right w:val="single" w:color="auto" w:sz="4" w:space="0"/>
            </w:tcBorders>
            <w:noWrap/>
            <w:vAlign w:val="center"/>
          </w:tcPr>
          <w:p w14:paraId="534060E3">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政府采购政策执行</w:t>
            </w:r>
          </w:p>
        </w:tc>
        <w:tc>
          <w:tcPr>
            <w:tcW w:w="6427" w:type="dxa"/>
            <w:tcBorders>
              <w:top w:val="single" w:color="auto" w:sz="4" w:space="0"/>
              <w:left w:val="nil"/>
              <w:bottom w:val="single" w:color="auto" w:sz="4" w:space="0"/>
              <w:right w:val="single" w:color="auto" w:sz="4" w:space="0"/>
            </w:tcBorders>
            <w:noWrap/>
            <w:vAlign w:val="center"/>
          </w:tcPr>
          <w:p w14:paraId="3D2C7DD2">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政府采购相关政策：</w:t>
            </w:r>
          </w:p>
          <w:p w14:paraId="232B645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A、为贯彻落实财库〔2020〕46号《财政部、工信部关于印发&lt;政府采购促进中小企业发展管理办法&gt;的通知》、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为依据。关于投标报价评分中给予小微企业优惠的说明：评审时给予小微型企业10%的价格扣除，用扣除后的价格参与评审。投标人须提供中小企业声明函，否则不予认可（小型、微型企业提供中型企业制造的货物的，视同为中型企业）,中小企业用评标报价参与评分。</w:t>
            </w:r>
          </w:p>
          <w:p w14:paraId="67D5EF79">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大中型企业评标报价=投标报价</w:t>
            </w:r>
          </w:p>
          <w:p w14:paraId="65214F07">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小型或微型企业评标报价=投标报价*（1-</w:t>
            </w:r>
            <w:r>
              <w:rPr>
                <w:rFonts w:hint="eastAsia" w:ascii="宋体" w:hAnsi="宋体" w:cs="宋体"/>
                <w:bCs/>
                <w:kern w:val="0"/>
                <w:lang w:val="en-US" w:eastAsia="zh-CN"/>
              </w:rPr>
              <w:t>10</w:t>
            </w:r>
            <w:r>
              <w:rPr>
                <w:rFonts w:hint="eastAsia" w:ascii="宋体" w:hAnsi="宋体" w:cs="宋体"/>
                <w:bCs/>
                <w:kern w:val="0"/>
              </w:rPr>
              <w:t>%）</w:t>
            </w:r>
          </w:p>
          <w:p w14:paraId="497A184A">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08D67D71">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07A8C7A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D、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04CA1C33">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E、其它未尽事宜，按国家有关法律法规执行。</w:t>
            </w:r>
          </w:p>
        </w:tc>
      </w:tr>
      <w:tr w14:paraId="3E934857">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7D11BC1D">
            <w:pPr>
              <w:autoSpaceDE w:val="0"/>
              <w:autoSpaceDN w:val="0"/>
              <w:adjustRightInd w:val="0"/>
              <w:spacing w:line="440" w:lineRule="exact"/>
              <w:rPr>
                <w:rFonts w:ascii="宋体" w:hAnsi="宋体" w:cs="宋体"/>
                <w:bCs/>
                <w:kern w:val="0"/>
              </w:rPr>
            </w:pPr>
            <w:r>
              <w:rPr>
                <w:rFonts w:hint="eastAsia" w:ascii="宋体" w:hAnsi="宋体" w:cs="宋体"/>
                <w:bCs/>
                <w:kern w:val="0"/>
              </w:rPr>
              <w:t>3.4.1</w:t>
            </w:r>
          </w:p>
        </w:tc>
        <w:tc>
          <w:tcPr>
            <w:tcW w:w="2006" w:type="dxa"/>
            <w:tcBorders>
              <w:top w:val="single" w:color="auto" w:sz="4" w:space="0"/>
              <w:left w:val="nil"/>
              <w:bottom w:val="single" w:color="auto" w:sz="4" w:space="0"/>
              <w:right w:val="single" w:color="auto" w:sz="4" w:space="0"/>
            </w:tcBorders>
            <w:noWrap/>
            <w:vAlign w:val="center"/>
          </w:tcPr>
          <w:p w14:paraId="2015F99F">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是否允许递交备选投标方案</w:t>
            </w:r>
          </w:p>
        </w:tc>
        <w:tc>
          <w:tcPr>
            <w:tcW w:w="6427" w:type="dxa"/>
            <w:tcBorders>
              <w:top w:val="single" w:color="auto" w:sz="4" w:space="0"/>
              <w:left w:val="nil"/>
              <w:bottom w:val="single" w:color="auto" w:sz="4" w:space="0"/>
              <w:right w:val="single" w:color="auto" w:sz="4" w:space="0"/>
            </w:tcBorders>
            <w:noWrap/>
            <w:vAlign w:val="center"/>
          </w:tcPr>
          <w:p w14:paraId="5D611B26">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不允许</w:t>
            </w:r>
          </w:p>
        </w:tc>
      </w:tr>
      <w:tr w14:paraId="124C854D">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5E8A499">
            <w:pPr>
              <w:autoSpaceDE w:val="0"/>
              <w:autoSpaceDN w:val="0"/>
              <w:adjustRightInd w:val="0"/>
              <w:spacing w:line="440" w:lineRule="exact"/>
              <w:rPr>
                <w:rFonts w:ascii="宋体" w:hAnsi="宋体" w:cs="宋体"/>
                <w:bCs/>
                <w:kern w:val="0"/>
              </w:rPr>
            </w:pPr>
            <w:r>
              <w:rPr>
                <w:rFonts w:hint="eastAsia" w:ascii="宋体" w:hAnsi="宋体" w:cs="宋体"/>
                <w:bCs/>
                <w:kern w:val="0"/>
              </w:rPr>
              <w:t>3.5.1</w:t>
            </w:r>
          </w:p>
        </w:tc>
        <w:tc>
          <w:tcPr>
            <w:tcW w:w="2006" w:type="dxa"/>
            <w:tcBorders>
              <w:top w:val="single" w:color="auto" w:sz="4" w:space="0"/>
              <w:left w:val="nil"/>
              <w:bottom w:val="single" w:color="auto" w:sz="4" w:space="0"/>
              <w:right w:val="single" w:color="auto" w:sz="4" w:space="0"/>
            </w:tcBorders>
            <w:noWrap/>
            <w:vAlign w:val="center"/>
          </w:tcPr>
          <w:p w14:paraId="6D5030B1">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投标文件制作</w:t>
            </w:r>
          </w:p>
        </w:tc>
        <w:tc>
          <w:tcPr>
            <w:tcW w:w="6427" w:type="dxa"/>
            <w:tcBorders>
              <w:top w:val="single" w:color="auto" w:sz="4" w:space="0"/>
              <w:left w:val="nil"/>
              <w:bottom w:val="single" w:color="auto" w:sz="4" w:space="0"/>
              <w:right w:val="single" w:color="auto" w:sz="4" w:space="0"/>
            </w:tcBorders>
            <w:noWrap/>
          </w:tcPr>
          <w:p w14:paraId="5016A3B1">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投标文件应按第六章“投标文件部分格式”进行编写。如有漏项或代理机构、采购人认为其投标文件有明显缺陷的，造成的后果由投标人自己承担。</w:t>
            </w:r>
          </w:p>
          <w:p w14:paraId="6D5D5496">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电子投标文件需要使用投标文件制作工具制作，并使用CA数字证书认证并加密，具体详见《投标人操作手册》。否则，被视为无效投标文件，其投标文件将被电子交易系统拒绝。</w:t>
            </w:r>
          </w:p>
          <w:p w14:paraId="5EBC9496">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电子投标文件中的图片应清晰可</w:t>
            </w:r>
            <w:r>
              <w:rPr>
                <w:rFonts w:hint="eastAsia" w:ascii="宋体" w:hAnsi="宋体" w:cs="宋体"/>
                <w:bCs/>
                <w:kern w:val="0"/>
                <w:lang w:eastAsia="zh-CN"/>
              </w:rPr>
              <w:t>辨</w:t>
            </w:r>
            <w:r>
              <w:rPr>
                <w:rFonts w:hint="eastAsia" w:ascii="宋体" w:hAnsi="宋体" w:cs="宋体"/>
                <w:bCs/>
                <w:kern w:val="0"/>
              </w:rPr>
              <w:t>，否则所导致的一切后果由投标人自行承担。</w:t>
            </w:r>
          </w:p>
          <w:p w14:paraId="2B3BFD5A">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投标文件文字：投标文件均以中文印制，中文以外的文字应附以中文译文，中外文不符时以中文为准。</w:t>
            </w:r>
          </w:p>
          <w:p w14:paraId="4B20359E">
            <w:pPr>
              <w:widowControl/>
              <w:numPr>
                <w:ilvl w:val="0"/>
                <w:numId w:val="2"/>
              </w:num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投标文件计量单位：除在招标文件的技术规格中有规定的之外，计量单位使用中华人民共和国法定计量单位。</w:t>
            </w:r>
          </w:p>
        </w:tc>
      </w:tr>
      <w:tr w14:paraId="552E45D5">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4FF3CF44">
            <w:pPr>
              <w:autoSpaceDE w:val="0"/>
              <w:autoSpaceDN w:val="0"/>
              <w:adjustRightInd w:val="0"/>
              <w:spacing w:line="440" w:lineRule="exact"/>
              <w:rPr>
                <w:rFonts w:ascii="宋体" w:hAnsi="宋体" w:cs="宋体"/>
                <w:bCs/>
                <w:kern w:val="0"/>
              </w:rPr>
            </w:pPr>
            <w:r>
              <w:rPr>
                <w:rFonts w:hint="eastAsia" w:ascii="宋体" w:hAnsi="宋体" w:cs="宋体"/>
                <w:bCs/>
                <w:kern w:val="0"/>
              </w:rPr>
              <w:t>3.6.1</w:t>
            </w:r>
          </w:p>
        </w:tc>
        <w:tc>
          <w:tcPr>
            <w:tcW w:w="2006" w:type="dxa"/>
            <w:tcBorders>
              <w:top w:val="single" w:color="auto" w:sz="4" w:space="0"/>
              <w:left w:val="nil"/>
              <w:bottom w:val="single" w:color="auto" w:sz="4" w:space="0"/>
              <w:right w:val="single" w:color="auto" w:sz="4" w:space="0"/>
            </w:tcBorders>
            <w:noWrap/>
            <w:vAlign w:val="center"/>
          </w:tcPr>
          <w:p w14:paraId="672F40AB">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投标文件签名或签章要求</w:t>
            </w:r>
          </w:p>
        </w:tc>
        <w:tc>
          <w:tcPr>
            <w:tcW w:w="6427" w:type="dxa"/>
            <w:tcBorders>
              <w:top w:val="single" w:color="auto" w:sz="4" w:space="0"/>
              <w:left w:val="nil"/>
              <w:bottom w:val="single" w:color="auto" w:sz="4" w:space="0"/>
              <w:right w:val="single" w:color="auto" w:sz="4" w:space="0"/>
            </w:tcBorders>
            <w:noWrap/>
            <w:vAlign w:val="center"/>
          </w:tcPr>
          <w:p w14:paraId="7D3D8D1C">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上传交易系统电子投标文件签字盖章要求:电子投标文件应按规定格式进行电子签章。</w:t>
            </w:r>
          </w:p>
        </w:tc>
      </w:tr>
      <w:tr w14:paraId="44F36C5D">
        <w:tblPrEx>
          <w:tblCellMar>
            <w:top w:w="0" w:type="dxa"/>
            <w:left w:w="108" w:type="dxa"/>
            <w:bottom w:w="0" w:type="dxa"/>
            <w:right w:w="108" w:type="dxa"/>
          </w:tblCellMar>
        </w:tblPrEx>
        <w:trPr>
          <w:trHeight w:val="2131"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6210ADD7">
            <w:pPr>
              <w:autoSpaceDE w:val="0"/>
              <w:autoSpaceDN w:val="0"/>
              <w:adjustRightInd w:val="0"/>
              <w:spacing w:line="440" w:lineRule="exact"/>
              <w:rPr>
                <w:rFonts w:ascii="宋体" w:hAnsi="宋体" w:cs="宋体"/>
                <w:bCs/>
                <w:kern w:val="0"/>
              </w:rPr>
            </w:pPr>
            <w:r>
              <w:rPr>
                <w:rFonts w:hint="eastAsia" w:ascii="宋体" w:hAnsi="宋体" w:cs="宋体"/>
                <w:bCs/>
                <w:kern w:val="0"/>
              </w:rPr>
              <w:t>4.1.1</w:t>
            </w:r>
          </w:p>
        </w:tc>
        <w:tc>
          <w:tcPr>
            <w:tcW w:w="2006" w:type="dxa"/>
            <w:tcBorders>
              <w:top w:val="single" w:color="auto" w:sz="4" w:space="0"/>
              <w:left w:val="nil"/>
              <w:bottom w:val="single" w:color="auto" w:sz="4" w:space="0"/>
              <w:right w:val="single" w:color="auto" w:sz="4" w:space="0"/>
            </w:tcBorders>
            <w:noWrap/>
            <w:vAlign w:val="center"/>
          </w:tcPr>
          <w:p w14:paraId="206E14A5">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投标文件份数装订及密封要求（中标人提供）</w:t>
            </w:r>
          </w:p>
        </w:tc>
        <w:tc>
          <w:tcPr>
            <w:tcW w:w="6427" w:type="dxa"/>
            <w:tcBorders>
              <w:top w:val="single" w:color="auto" w:sz="4" w:space="0"/>
              <w:left w:val="nil"/>
              <w:bottom w:val="single" w:color="auto" w:sz="4" w:space="0"/>
              <w:right w:val="single" w:color="auto" w:sz="4" w:space="0"/>
            </w:tcBorders>
            <w:noWrap/>
            <w:vAlign w:val="center"/>
          </w:tcPr>
          <w:p w14:paraId="0C3F4849">
            <w:pPr>
              <w:spacing w:line="350" w:lineRule="exact"/>
              <w:ind w:firstLine="480"/>
              <w:jc w:val="left"/>
              <w:rPr>
                <w:rFonts w:ascii="宋体" w:hAnsi="宋体" w:cs="宋体"/>
                <w:bCs/>
                <w:kern w:val="0"/>
              </w:rPr>
            </w:pPr>
            <w:r>
              <w:rPr>
                <w:rFonts w:hint="eastAsia" w:ascii="宋体" w:hAnsi="宋体" w:cs="宋体"/>
                <w:bCs/>
                <w:kern w:val="0"/>
              </w:rPr>
              <w:t>（1）加密电子投标文件一份（在《全国公共资源交易平台（河南省·南阳市·卧龙区）》系统指定位置上传）</w:t>
            </w:r>
          </w:p>
          <w:p w14:paraId="4BB13551">
            <w:pPr>
              <w:autoSpaceDE w:val="0"/>
              <w:autoSpaceDN w:val="0"/>
              <w:adjustRightInd w:val="0"/>
              <w:ind w:firstLine="480"/>
              <w:jc w:val="left"/>
              <w:rPr>
                <w:rFonts w:ascii="宋体" w:hAnsi="宋体" w:cs="宋体"/>
                <w:bCs/>
                <w:kern w:val="0"/>
              </w:rPr>
            </w:pPr>
            <w:r>
              <w:rPr>
                <w:rFonts w:hint="eastAsia" w:ascii="宋体" w:hAnsi="宋体" w:cs="宋体"/>
                <w:bCs/>
                <w:kern w:val="0"/>
              </w:rPr>
              <w:t>（2）</w:t>
            </w:r>
            <w:r>
              <w:rPr>
                <w:rFonts w:hint="eastAsia" w:ascii="宋体" w:hAnsi="宋体" w:cs="宋体"/>
                <w:kern w:val="0"/>
              </w:rPr>
              <w:t>潜在投标人中标后，</w:t>
            </w:r>
            <w:r>
              <w:rPr>
                <w:rFonts w:hint="eastAsia" w:ascii="宋体" w:hAnsi="宋体" w:cs="宋体"/>
                <w:kern w:val="0"/>
                <w:lang w:val="en-US" w:eastAsia="zh-CN"/>
              </w:rPr>
              <w:t>应该按照采购人要求提供纸质投标文件。</w:t>
            </w:r>
          </w:p>
        </w:tc>
      </w:tr>
      <w:tr w14:paraId="53C4B034">
        <w:tblPrEx>
          <w:tblCellMar>
            <w:top w:w="0" w:type="dxa"/>
            <w:left w:w="108" w:type="dxa"/>
            <w:bottom w:w="0" w:type="dxa"/>
            <w:right w:w="108" w:type="dxa"/>
          </w:tblCellMar>
        </w:tblPrEx>
        <w:trPr>
          <w:trHeight w:val="90"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DBD4E48">
            <w:pPr>
              <w:autoSpaceDE w:val="0"/>
              <w:autoSpaceDN w:val="0"/>
              <w:adjustRightInd w:val="0"/>
              <w:spacing w:line="440" w:lineRule="exact"/>
              <w:rPr>
                <w:rFonts w:ascii="宋体" w:hAnsi="宋体" w:cs="宋体"/>
                <w:bCs/>
                <w:kern w:val="0"/>
              </w:rPr>
            </w:pPr>
            <w:r>
              <w:rPr>
                <w:rFonts w:hint="eastAsia" w:ascii="宋体" w:hAnsi="宋体" w:cs="宋体"/>
                <w:bCs/>
                <w:kern w:val="0"/>
              </w:rPr>
              <w:t>4.2.1</w:t>
            </w:r>
          </w:p>
        </w:tc>
        <w:tc>
          <w:tcPr>
            <w:tcW w:w="2006" w:type="dxa"/>
            <w:tcBorders>
              <w:top w:val="single" w:color="auto" w:sz="4" w:space="0"/>
              <w:left w:val="nil"/>
              <w:bottom w:val="single" w:color="auto" w:sz="4" w:space="0"/>
              <w:right w:val="single" w:color="auto" w:sz="4" w:space="0"/>
            </w:tcBorders>
            <w:noWrap/>
            <w:vAlign w:val="center"/>
          </w:tcPr>
          <w:p w14:paraId="16FC0595">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投标文件提交</w:t>
            </w:r>
          </w:p>
        </w:tc>
        <w:tc>
          <w:tcPr>
            <w:tcW w:w="6427" w:type="dxa"/>
            <w:tcBorders>
              <w:top w:val="single" w:color="auto" w:sz="4" w:space="0"/>
              <w:left w:val="nil"/>
              <w:bottom w:val="single" w:color="auto" w:sz="4" w:space="0"/>
              <w:right w:val="single" w:color="auto" w:sz="4" w:space="0"/>
            </w:tcBorders>
            <w:noWrap/>
          </w:tcPr>
          <w:p w14:paraId="15117AC2">
            <w:pPr>
              <w:pStyle w:val="15"/>
              <w:numPr>
                <w:ilvl w:val="0"/>
                <w:numId w:val="3"/>
              </w:numPr>
              <w:spacing w:before="0" w:beforeAutospacing="0" w:after="0" w:afterAutospacing="0" w:line="312" w:lineRule="auto"/>
              <w:ind w:firstLine="480"/>
              <w:rPr>
                <w:bCs/>
              </w:rPr>
            </w:pPr>
            <w:r>
              <w:rPr>
                <w:rFonts w:hint="eastAsia"/>
                <w:bCs/>
              </w:rPr>
              <w:t>在《全国公共资源交易平台（河南省·南阳市·卧龙区）》会员系统指定位置上传。</w:t>
            </w:r>
          </w:p>
          <w:p w14:paraId="36755FE3">
            <w:pPr>
              <w:pStyle w:val="15"/>
              <w:spacing w:before="0" w:beforeAutospacing="0" w:after="0" w:afterAutospacing="0" w:line="312" w:lineRule="auto"/>
              <w:ind w:firstLine="480"/>
              <w:rPr>
                <w:bCs/>
              </w:rPr>
            </w:pPr>
            <w:r>
              <w:rPr>
                <w:rFonts w:hint="eastAsia"/>
                <w:bCs/>
              </w:rPr>
              <w:t>2、本项目为电子评标项目，投标人须上传加密电子响应文件。电子响应文件需要使用“新点响应文件制作软件（南阳版）” 制作，制作工具及操作手册可在南阳市公共资源交易中心网站下载专区下载。</w:t>
            </w:r>
          </w:p>
          <w:p w14:paraId="2912EEA1">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3、加密电子响应文件（格式后缀为:.nytf）应在招标文件规定的上传截止时间前到达交易系统。逾期到达交易系统的电子响应文件视为无效文件。</w:t>
            </w:r>
          </w:p>
        </w:tc>
      </w:tr>
      <w:tr w14:paraId="0515A0E7">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2724401">
            <w:pPr>
              <w:autoSpaceDE w:val="0"/>
              <w:autoSpaceDN w:val="0"/>
              <w:adjustRightInd w:val="0"/>
              <w:spacing w:line="440" w:lineRule="exact"/>
              <w:rPr>
                <w:rFonts w:ascii="宋体" w:hAnsi="宋体" w:cs="宋体"/>
                <w:bCs/>
                <w:kern w:val="0"/>
              </w:rPr>
            </w:pPr>
            <w:r>
              <w:rPr>
                <w:rFonts w:hint="eastAsia" w:ascii="宋体" w:hAnsi="宋体" w:cs="宋体"/>
                <w:bCs/>
                <w:kern w:val="0"/>
              </w:rPr>
              <w:t>4.2.2</w:t>
            </w:r>
          </w:p>
        </w:tc>
        <w:tc>
          <w:tcPr>
            <w:tcW w:w="2006" w:type="dxa"/>
            <w:tcBorders>
              <w:top w:val="single" w:color="auto" w:sz="4" w:space="0"/>
              <w:left w:val="nil"/>
              <w:bottom w:val="single" w:color="auto" w:sz="4" w:space="0"/>
              <w:right w:val="single" w:color="auto" w:sz="4" w:space="0"/>
            </w:tcBorders>
            <w:noWrap/>
            <w:vAlign w:val="center"/>
          </w:tcPr>
          <w:p w14:paraId="4D5F151F">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是否退还投标文件</w:t>
            </w:r>
          </w:p>
        </w:tc>
        <w:tc>
          <w:tcPr>
            <w:tcW w:w="6427" w:type="dxa"/>
            <w:tcBorders>
              <w:top w:val="single" w:color="auto" w:sz="4" w:space="0"/>
              <w:left w:val="nil"/>
              <w:bottom w:val="single" w:color="auto" w:sz="4" w:space="0"/>
              <w:right w:val="single" w:color="auto" w:sz="4" w:space="0"/>
            </w:tcBorders>
            <w:noWrap/>
          </w:tcPr>
          <w:p w14:paraId="7F5CD228">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否</w:t>
            </w:r>
          </w:p>
        </w:tc>
      </w:tr>
      <w:tr w14:paraId="2B979A06">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7FD2BC47">
            <w:pPr>
              <w:autoSpaceDE w:val="0"/>
              <w:autoSpaceDN w:val="0"/>
              <w:adjustRightInd w:val="0"/>
              <w:spacing w:line="440" w:lineRule="exact"/>
              <w:rPr>
                <w:rFonts w:ascii="宋体" w:hAnsi="宋体" w:cs="宋体"/>
                <w:bCs/>
                <w:kern w:val="0"/>
              </w:rPr>
            </w:pPr>
            <w:r>
              <w:rPr>
                <w:rFonts w:hint="eastAsia" w:ascii="宋体" w:hAnsi="宋体" w:cs="宋体"/>
                <w:bCs/>
                <w:kern w:val="0"/>
              </w:rPr>
              <w:t>5.1.1</w:t>
            </w:r>
          </w:p>
        </w:tc>
        <w:tc>
          <w:tcPr>
            <w:tcW w:w="2006" w:type="dxa"/>
            <w:tcBorders>
              <w:top w:val="single" w:color="auto" w:sz="4" w:space="0"/>
              <w:left w:val="nil"/>
              <w:bottom w:val="single" w:color="auto" w:sz="4" w:space="0"/>
              <w:right w:val="single" w:color="auto" w:sz="4" w:space="0"/>
            </w:tcBorders>
            <w:noWrap/>
            <w:vAlign w:val="center"/>
          </w:tcPr>
          <w:p w14:paraId="370172AC">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开标时间和地点</w:t>
            </w:r>
          </w:p>
        </w:tc>
        <w:tc>
          <w:tcPr>
            <w:tcW w:w="6427" w:type="dxa"/>
            <w:tcBorders>
              <w:top w:val="single" w:color="auto" w:sz="4" w:space="0"/>
              <w:left w:val="nil"/>
              <w:bottom w:val="single" w:color="auto" w:sz="4" w:space="0"/>
              <w:right w:val="single" w:color="auto" w:sz="4" w:space="0"/>
            </w:tcBorders>
            <w:noWrap/>
          </w:tcPr>
          <w:p w14:paraId="6D6F12B8">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1、开标时间：同投标文件提交截止时间</w:t>
            </w:r>
          </w:p>
          <w:p w14:paraId="3D699A99">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2、开标地点：南阳市卧龙区公共资源交易中心</w:t>
            </w:r>
          </w:p>
        </w:tc>
      </w:tr>
      <w:tr w14:paraId="4B2F9A23">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3E97D6B7">
            <w:pPr>
              <w:autoSpaceDE w:val="0"/>
              <w:autoSpaceDN w:val="0"/>
              <w:adjustRightInd w:val="0"/>
              <w:spacing w:line="440" w:lineRule="exact"/>
              <w:rPr>
                <w:rFonts w:ascii="宋体" w:hAnsi="宋体" w:cs="宋体"/>
                <w:bCs/>
                <w:kern w:val="0"/>
              </w:rPr>
            </w:pPr>
            <w:r>
              <w:rPr>
                <w:rFonts w:hint="eastAsia" w:ascii="宋体" w:hAnsi="宋体" w:cs="宋体"/>
                <w:bCs/>
                <w:kern w:val="0"/>
              </w:rPr>
              <w:t>5.2.1</w:t>
            </w:r>
          </w:p>
        </w:tc>
        <w:tc>
          <w:tcPr>
            <w:tcW w:w="2006" w:type="dxa"/>
            <w:tcBorders>
              <w:top w:val="single" w:color="auto" w:sz="4" w:space="0"/>
              <w:left w:val="nil"/>
              <w:bottom w:val="single" w:color="auto" w:sz="4" w:space="0"/>
              <w:right w:val="single" w:color="auto" w:sz="4" w:space="0"/>
            </w:tcBorders>
            <w:noWrap/>
            <w:vAlign w:val="center"/>
          </w:tcPr>
          <w:p w14:paraId="2A5D297D">
            <w:pPr>
              <w:autoSpaceDE w:val="0"/>
              <w:autoSpaceDN w:val="0"/>
              <w:adjustRightInd w:val="0"/>
              <w:spacing w:line="440" w:lineRule="exact"/>
              <w:jc w:val="center"/>
              <w:rPr>
                <w:rFonts w:ascii="宋体" w:hAnsi="宋体" w:cs="宋体"/>
                <w:bCs/>
                <w:kern w:val="0"/>
              </w:rPr>
            </w:pPr>
            <w:r>
              <w:rPr>
                <w:rFonts w:hint="eastAsia" w:ascii="宋体" w:hAnsi="宋体" w:cs="宋体"/>
                <w:bCs/>
                <w:kern w:val="0"/>
              </w:rPr>
              <w:t>开标程序</w:t>
            </w:r>
          </w:p>
        </w:tc>
        <w:tc>
          <w:tcPr>
            <w:tcW w:w="6427" w:type="dxa"/>
            <w:tcBorders>
              <w:top w:val="single" w:color="auto" w:sz="4" w:space="0"/>
              <w:left w:val="nil"/>
              <w:bottom w:val="single" w:color="auto" w:sz="4" w:space="0"/>
              <w:right w:val="single" w:color="auto" w:sz="4" w:space="0"/>
            </w:tcBorders>
            <w:noWrap/>
            <w:vAlign w:val="center"/>
          </w:tcPr>
          <w:p w14:paraId="1AD2139F">
            <w:pPr>
              <w:spacing w:line="312" w:lineRule="auto"/>
              <w:ind w:firstLine="480"/>
              <w:rPr>
                <w:rFonts w:ascii="宋体" w:hAnsi="宋体" w:cs="宋体"/>
                <w:bCs/>
                <w:kern w:val="0"/>
              </w:rPr>
            </w:pPr>
            <w:r>
              <w:rPr>
                <w:rFonts w:hint="eastAsia" w:ascii="宋体" w:hAnsi="宋体" w:cs="宋体"/>
                <w:bCs/>
                <w:kern w:val="0"/>
              </w:rPr>
              <w:t>1、投标人代表持本单位CA数字证书提前登录不见面开标系统并在线签到。</w:t>
            </w:r>
          </w:p>
          <w:p w14:paraId="31DA0C1D">
            <w:pPr>
              <w:spacing w:line="312" w:lineRule="auto"/>
              <w:ind w:firstLine="480"/>
              <w:rPr>
                <w:rFonts w:ascii="宋体" w:hAnsi="宋体" w:cs="宋体"/>
                <w:bCs/>
                <w:kern w:val="0"/>
              </w:rPr>
            </w:pPr>
            <w:r>
              <w:rPr>
                <w:rFonts w:hint="eastAsia" w:ascii="宋体" w:hAnsi="宋体" w:cs="宋体"/>
                <w:bCs/>
                <w:kern w:val="0"/>
              </w:rPr>
              <w:t>2、开标时间到，在线公布投标人、招标人代表、监标人等有关名单。并退回不符合要求的响应文件。</w:t>
            </w:r>
          </w:p>
          <w:p w14:paraId="78FABAA5">
            <w:pPr>
              <w:spacing w:line="312" w:lineRule="auto"/>
              <w:ind w:firstLine="480"/>
              <w:rPr>
                <w:rFonts w:ascii="宋体" w:hAnsi="宋体" w:cs="宋体"/>
                <w:bCs/>
                <w:kern w:val="0"/>
              </w:rPr>
            </w:pPr>
            <w:r>
              <w:rPr>
                <w:rFonts w:hint="eastAsia" w:ascii="宋体" w:hAnsi="宋体" w:cs="宋体"/>
                <w:bCs/>
                <w:kern w:val="0"/>
              </w:rPr>
              <w:t xml:space="preserve">3、开标顺序： </w:t>
            </w:r>
          </w:p>
          <w:p w14:paraId="178FDD9B">
            <w:pPr>
              <w:spacing w:line="312" w:lineRule="auto"/>
              <w:ind w:firstLine="480"/>
              <w:rPr>
                <w:rFonts w:ascii="宋体" w:hAnsi="宋体" w:cs="宋体"/>
                <w:bCs/>
                <w:kern w:val="0"/>
              </w:rPr>
            </w:pPr>
            <w:r>
              <w:rPr>
                <w:rFonts w:hint="eastAsia" w:ascii="宋体" w:hAnsi="宋体" w:cs="宋体"/>
                <w:bCs/>
                <w:kern w:val="0"/>
              </w:rPr>
              <w:t>①投标人解密：投标企业制作电子响应文件时，必须使用本单位企业数字证书进行加密，投标企业在开标前须自行检查数字证书有效性。在解密时间到达后，系统做出解密提示，请各投标人自行解密即可。开标解密时未解密成功的视为撤销其投标文件（因电子开标系统原因除外）。</w:t>
            </w:r>
          </w:p>
          <w:p w14:paraId="06C074F2">
            <w:pPr>
              <w:spacing w:line="312" w:lineRule="auto"/>
              <w:ind w:firstLine="480"/>
              <w:rPr>
                <w:rFonts w:ascii="宋体" w:hAnsi="宋体" w:cs="宋体"/>
                <w:bCs/>
                <w:kern w:val="0"/>
              </w:rPr>
            </w:pPr>
            <w:r>
              <w:rPr>
                <w:rFonts w:hint="eastAsia" w:ascii="宋体" w:hAnsi="宋体" w:cs="宋体"/>
                <w:bCs/>
                <w:kern w:val="0"/>
              </w:rPr>
              <w:t>②招标人解密。招标人持有本单位CA数字证书进行二次解密。</w:t>
            </w:r>
          </w:p>
          <w:p w14:paraId="357B99A6">
            <w:pPr>
              <w:spacing w:line="312" w:lineRule="auto"/>
              <w:ind w:firstLine="480"/>
              <w:rPr>
                <w:rFonts w:ascii="宋体" w:hAnsi="宋体" w:cs="宋体"/>
                <w:bCs/>
                <w:kern w:val="0"/>
              </w:rPr>
            </w:pPr>
            <w:r>
              <w:rPr>
                <w:rFonts w:hint="eastAsia" w:ascii="宋体" w:hAnsi="宋体" w:cs="宋体"/>
                <w:bCs/>
                <w:kern w:val="0"/>
              </w:rPr>
              <w:t>③唱标。查看唱标信息（系统不提供语音在线播放，该页面停留5分钟供投标人查看，如无异议视为同意）。招标人、监督人需要关注开标过程中，投标人随时在线提出的异议、问题沟通等信息，并做好及时回复；</w:t>
            </w:r>
          </w:p>
          <w:p w14:paraId="01915920">
            <w:pPr>
              <w:spacing w:line="312" w:lineRule="auto"/>
              <w:ind w:firstLine="480"/>
              <w:rPr>
                <w:rFonts w:ascii="宋体" w:hAnsi="宋体" w:cs="宋体"/>
                <w:bCs/>
                <w:kern w:val="0"/>
              </w:rPr>
            </w:pPr>
            <w:r>
              <w:rPr>
                <w:rFonts w:hint="eastAsia" w:ascii="宋体" w:hAnsi="宋体" w:cs="宋体"/>
                <w:bCs/>
                <w:kern w:val="0"/>
              </w:rPr>
              <w:t>④招标人、监督人等相关人员在开标记录表上（可进入原评标系统直接打印）签字确认。</w:t>
            </w:r>
          </w:p>
          <w:p w14:paraId="73FE7EF1">
            <w:pPr>
              <w:widowControl/>
              <w:autoSpaceDE w:val="0"/>
              <w:autoSpaceDN w:val="0"/>
              <w:adjustRightInd w:val="0"/>
              <w:ind w:firstLine="480"/>
              <w:jc w:val="left"/>
              <w:rPr>
                <w:rFonts w:ascii="宋体" w:hAnsi="宋体" w:cs="宋体"/>
                <w:bCs/>
                <w:kern w:val="0"/>
              </w:rPr>
            </w:pPr>
            <w:r>
              <w:rPr>
                <w:rFonts w:hint="eastAsia" w:ascii="宋体" w:hAnsi="宋体" w:cs="宋体"/>
                <w:bCs/>
                <w:kern w:val="0"/>
              </w:rPr>
              <w:t>⑤招标代理机构宣布开标结束，在评标系统中点击“开标结束”，并进行“响应文件导入”、“控制价文件导入”。</w:t>
            </w:r>
          </w:p>
        </w:tc>
      </w:tr>
      <w:tr w14:paraId="45B850CB">
        <w:tblPrEx>
          <w:tblCellMar>
            <w:top w:w="0" w:type="dxa"/>
            <w:left w:w="108" w:type="dxa"/>
            <w:bottom w:w="0" w:type="dxa"/>
            <w:right w:w="108" w:type="dxa"/>
          </w:tblCellMar>
        </w:tblPrEx>
        <w:trPr>
          <w:trHeight w:val="898"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BA2150F">
            <w:pPr>
              <w:autoSpaceDE w:val="0"/>
              <w:autoSpaceDN w:val="0"/>
              <w:adjustRightInd w:val="0"/>
              <w:spacing w:line="440" w:lineRule="exact"/>
              <w:rPr>
                <w:rFonts w:ascii="宋体" w:hAnsi="宋体" w:cs="宋体"/>
                <w:bCs/>
                <w:kern w:val="0"/>
              </w:rPr>
            </w:pPr>
            <w:r>
              <w:rPr>
                <w:rFonts w:hint="eastAsia" w:ascii="宋体" w:hAnsi="宋体" w:cs="宋体"/>
                <w:bCs/>
                <w:kern w:val="0"/>
              </w:rPr>
              <w:t>6.1.1</w:t>
            </w:r>
          </w:p>
        </w:tc>
        <w:tc>
          <w:tcPr>
            <w:tcW w:w="2006" w:type="dxa"/>
            <w:tcBorders>
              <w:top w:val="single" w:color="auto" w:sz="4" w:space="0"/>
              <w:left w:val="nil"/>
              <w:bottom w:val="single" w:color="auto" w:sz="4" w:space="0"/>
              <w:right w:val="single" w:color="auto" w:sz="4" w:space="0"/>
            </w:tcBorders>
            <w:noWrap/>
            <w:vAlign w:val="center"/>
          </w:tcPr>
          <w:p w14:paraId="5550A593">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评标小组的组成</w:t>
            </w:r>
          </w:p>
        </w:tc>
        <w:tc>
          <w:tcPr>
            <w:tcW w:w="6427" w:type="dxa"/>
            <w:tcBorders>
              <w:top w:val="single" w:color="auto" w:sz="4" w:space="0"/>
              <w:left w:val="nil"/>
              <w:bottom w:val="single" w:color="auto" w:sz="4" w:space="0"/>
              <w:right w:val="single" w:color="auto" w:sz="4" w:space="0"/>
            </w:tcBorders>
            <w:noWrap/>
          </w:tcPr>
          <w:p w14:paraId="0373123B">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评标小组构成：共</w:t>
            </w:r>
            <w:r>
              <w:rPr>
                <w:rFonts w:hint="eastAsia" w:ascii="宋体" w:hAnsi="宋体" w:cs="宋体"/>
                <w:bCs/>
                <w:kern w:val="0"/>
                <w:lang w:val="en-US" w:eastAsia="zh-CN"/>
              </w:rPr>
              <w:t>7</w:t>
            </w:r>
            <w:r>
              <w:rPr>
                <w:rFonts w:hint="eastAsia" w:ascii="宋体" w:hAnsi="宋体" w:cs="宋体"/>
                <w:bCs/>
                <w:kern w:val="0"/>
              </w:rPr>
              <w:t>人，其中采购人代表</w:t>
            </w:r>
            <w:r>
              <w:rPr>
                <w:rFonts w:hint="eastAsia" w:ascii="宋体" w:hAnsi="宋体" w:cs="宋体"/>
                <w:bCs/>
                <w:kern w:val="0"/>
                <w:lang w:val="en-US" w:eastAsia="zh-CN"/>
              </w:rPr>
              <w:t>2</w:t>
            </w:r>
            <w:r>
              <w:rPr>
                <w:rFonts w:hint="eastAsia" w:ascii="宋体" w:hAnsi="宋体" w:cs="宋体"/>
                <w:bCs/>
                <w:kern w:val="0"/>
              </w:rPr>
              <w:t>人，专家评委</w:t>
            </w:r>
            <w:r>
              <w:rPr>
                <w:rFonts w:hint="eastAsia" w:ascii="宋体" w:hAnsi="宋体" w:cs="宋体"/>
                <w:bCs/>
                <w:kern w:val="0"/>
                <w:lang w:val="en-US" w:eastAsia="zh-CN"/>
              </w:rPr>
              <w:t>5</w:t>
            </w:r>
            <w:r>
              <w:rPr>
                <w:rFonts w:hint="eastAsia" w:ascii="宋体" w:hAnsi="宋体" w:cs="宋体"/>
                <w:bCs/>
                <w:kern w:val="0"/>
              </w:rPr>
              <w:t>人；专家确定方式：开标前从相关专家库中随机抽取。</w:t>
            </w:r>
          </w:p>
        </w:tc>
      </w:tr>
      <w:tr w14:paraId="448E063B">
        <w:tblPrEx>
          <w:tblCellMar>
            <w:top w:w="0" w:type="dxa"/>
            <w:left w:w="108" w:type="dxa"/>
            <w:bottom w:w="0" w:type="dxa"/>
            <w:right w:w="108" w:type="dxa"/>
          </w:tblCellMar>
        </w:tblPrEx>
        <w:trPr>
          <w:trHeight w:val="932"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6E7EDAC6">
            <w:pPr>
              <w:autoSpaceDE w:val="0"/>
              <w:autoSpaceDN w:val="0"/>
              <w:adjustRightInd w:val="0"/>
              <w:spacing w:line="440" w:lineRule="exact"/>
              <w:rPr>
                <w:rFonts w:ascii="宋体" w:hAnsi="宋体" w:cs="宋体"/>
                <w:bCs/>
                <w:kern w:val="0"/>
              </w:rPr>
            </w:pPr>
            <w:r>
              <w:rPr>
                <w:rFonts w:hint="eastAsia" w:ascii="宋体" w:hAnsi="宋体" w:cs="宋体"/>
                <w:bCs/>
                <w:kern w:val="0"/>
              </w:rPr>
              <w:t>7.1.1</w:t>
            </w:r>
          </w:p>
        </w:tc>
        <w:tc>
          <w:tcPr>
            <w:tcW w:w="2006" w:type="dxa"/>
            <w:tcBorders>
              <w:top w:val="single" w:color="auto" w:sz="4" w:space="0"/>
              <w:left w:val="nil"/>
              <w:bottom w:val="single" w:color="auto" w:sz="4" w:space="0"/>
              <w:right w:val="single" w:color="auto" w:sz="4" w:space="0"/>
            </w:tcBorders>
            <w:noWrap/>
            <w:vAlign w:val="bottom"/>
          </w:tcPr>
          <w:p w14:paraId="2F953B0F">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是否授权评标小组确定成交人</w:t>
            </w:r>
          </w:p>
        </w:tc>
        <w:tc>
          <w:tcPr>
            <w:tcW w:w="6427" w:type="dxa"/>
            <w:tcBorders>
              <w:top w:val="single" w:color="auto" w:sz="4" w:space="0"/>
              <w:left w:val="nil"/>
              <w:bottom w:val="single" w:color="auto" w:sz="4" w:space="0"/>
              <w:right w:val="single" w:color="auto" w:sz="4" w:space="0"/>
            </w:tcBorders>
            <w:noWrap/>
            <w:vAlign w:val="center"/>
          </w:tcPr>
          <w:p w14:paraId="542D0566">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否；推荐的成交候选人数：1-3名</w:t>
            </w:r>
          </w:p>
        </w:tc>
      </w:tr>
      <w:tr w14:paraId="60457679">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09290E8">
            <w:pPr>
              <w:autoSpaceDE w:val="0"/>
              <w:autoSpaceDN w:val="0"/>
              <w:adjustRightInd w:val="0"/>
              <w:spacing w:line="440" w:lineRule="exact"/>
              <w:jc w:val="left"/>
              <w:rPr>
                <w:rFonts w:ascii="宋体" w:hAnsi="宋体" w:cs="宋体"/>
                <w:bCs/>
                <w:kern w:val="0"/>
              </w:rPr>
            </w:pPr>
            <w:r>
              <w:rPr>
                <w:rFonts w:hint="eastAsia" w:ascii="宋体" w:hAnsi="宋体" w:cs="宋体"/>
                <w:bCs/>
                <w:kern w:val="0"/>
              </w:rPr>
              <w:t>7.2.1</w:t>
            </w:r>
          </w:p>
        </w:tc>
        <w:tc>
          <w:tcPr>
            <w:tcW w:w="2006" w:type="dxa"/>
            <w:tcBorders>
              <w:top w:val="single" w:color="auto" w:sz="4" w:space="0"/>
              <w:left w:val="nil"/>
              <w:bottom w:val="single" w:color="auto" w:sz="4" w:space="0"/>
              <w:right w:val="single" w:color="auto" w:sz="4" w:space="0"/>
            </w:tcBorders>
            <w:noWrap/>
            <w:vAlign w:val="center"/>
          </w:tcPr>
          <w:p w14:paraId="3C3B4041">
            <w:p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履约担保</w:t>
            </w:r>
          </w:p>
        </w:tc>
        <w:tc>
          <w:tcPr>
            <w:tcW w:w="6427" w:type="dxa"/>
            <w:tcBorders>
              <w:top w:val="single" w:color="auto" w:sz="4" w:space="0"/>
              <w:left w:val="nil"/>
              <w:bottom w:val="single" w:color="auto" w:sz="4" w:space="0"/>
              <w:right w:val="single" w:color="auto" w:sz="4" w:space="0"/>
            </w:tcBorders>
            <w:noWrap/>
            <w:vAlign w:val="center"/>
          </w:tcPr>
          <w:p w14:paraId="34F25EDF">
            <w:pPr>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无</w:t>
            </w:r>
          </w:p>
        </w:tc>
      </w:tr>
      <w:tr w14:paraId="0BF2B531">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405C2018">
            <w:pPr>
              <w:autoSpaceDE w:val="0"/>
              <w:autoSpaceDN w:val="0"/>
              <w:adjustRightInd w:val="0"/>
              <w:spacing w:line="440" w:lineRule="exact"/>
              <w:jc w:val="left"/>
              <w:rPr>
                <w:rFonts w:ascii="宋体" w:hAnsi="宋体" w:cs="宋体"/>
                <w:bCs/>
                <w:kern w:val="0"/>
              </w:rPr>
            </w:pPr>
            <w:r>
              <w:rPr>
                <w:rFonts w:hint="eastAsia" w:ascii="宋体" w:hAnsi="宋体" w:cs="宋体"/>
                <w:bCs/>
                <w:kern w:val="0"/>
              </w:rPr>
              <w:t>8.1.1</w:t>
            </w:r>
          </w:p>
        </w:tc>
        <w:tc>
          <w:tcPr>
            <w:tcW w:w="2006" w:type="dxa"/>
            <w:tcBorders>
              <w:top w:val="single" w:color="auto" w:sz="4" w:space="0"/>
              <w:left w:val="nil"/>
              <w:bottom w:val="single" w:color="auto" w:sz="4" w:space="0"/>
              <w:right w:val="single" w:color="auto" w:sz="4" w:space="0"/>
            </w:tcBorders>
            <w:noWrap/>
            <w:vAlign w:val="center"/>
          </w:tcPr>
          <w:p w14:paraId="31E862AA">
            <w:pPr>
              <w:autoSpaceDE w:val="0"/>
              <w:autoSpaceDN w:val="0"/>
              <w:adjustRightInd w:val="0"/>
              <w:spacing w:line="420" w:lineRule="exact"/>
              <w:jc w:val="center"/>
              <w:rPr>
                <w:rFonts w:ascii="宋体" w:hAnsi="宋体" w:cs="宋体"/>
                <w:bCs/>
                <w:kern w:val="0"/>
              </w:rPr>
            </w:pPr>
            <w:r>
              <w:rPr>
                <w:rFonts w:hint="eastAsia" w:ascii="宋体" w:hAnsi="宋体" w:cs="宋体"/>
                <w:bCs/>
                <w:kern w:val="0"/>
              </w:rPr>
              <w:t>投标文件制作要求</w:t>
            </w:r>
          </w:p>
        </w:tc>
        <w:tc>
          <w:tcPr>
            <w:tcW w:w="6427" w:type="dxa"/>
            <w:tcBorders>
              <w:top w:val="single" w:color="auto" w:sz="4" w:space="0"/>
              <w:left w:val="nil"/>
              <w:bottom w:val="single" w:color="auto" w:sz="4" w:space="0"/>
              <w:right w:val="single" w:color="auto" w:sz="4" w:space="0"/>
            </w:tcBorders>
            <w:noWrap/>
            <w:vAlign w:val="center"/>
          </w:tcPr>
          <w:p w14:paraId="7FD492B8">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根据《河南省财政厅关于防范供应商串通投标促进政府采购公平竞争的通知》（豫财购﹝2021﹞6号）文件精神要求：，除政府采购法律法规规定的恶意串通、视同串通投标情形外，供应商存在下列情形之一的，其投标（响应）文件无效：</w:t>
            </w:r>
          </w:p>
          <w:p w14:paraId="2FFA8BBD">
            <w:pPr>
              <w:numPr>
                <w:ilvl w:val="0"/>
                <w:numId w:val="4"/>
              </w:num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不同供应商的电子投标（响应）文件上传计算机的网卡MAC地址、CPU序列号和硬盘序列号等硬件信息相同的；依据豫发改公管{2019}198号文要求，不同供应商的投标文件制作器码一致</w:t>
            </w:r>
          </w:p>
          <w:p w14:paraId="566F04E8">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（二）不同供应商的投标（响应）文件由同一电子设备编制、打印加密或者上传；</w:t>
            </w:r>
          </w:p>
          <w:p w14:paraId="324EA183">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（三）不同供应商的投标（响应）文件由同一电子设备打印、复印；</w:t>
            </w:r>
          </w:p>
          <w:p w14:paraId="2D1C0894">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（四）不同供应商的投标（响应）文件由同一人送达或者分发，或者不同供应商联系人为同一人或不同联系人的联系电话一致的；</w:t>
            </w:r>
          </w:p>
          <w:p w14:paraId="53C16F75">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（五）不同供应商的投标（响应）文件的内容存在两处以上细节错误一致；</w:t>
            </w:r>
          </w:p>
          <w:p w14:paraId="45BF5683">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（六）不同供应商的法定代表人、委托代理人、项目经理、项目负责人等由同一个单位缴纳社会保险或者领取报酬的；</w:t>
            </w:r>
          </w:p>
          <w:p w14:paraId="5EAE89F3">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（七）不同供应商投标（响应）文件中法定代表人或者负责人签字出自同一人之手；</w:t>
            </w:r>
          </w:p>
          <w:p w14:paraId="7B1C4E78">
            <w:pPr>
              <w:adjustRightInd w:val="0"/>
              <w:spacing w:line="360" w:lineRule="auto"/>
              <w:ind w:firstLine="420" w:firstLineChars="200"/>
              <w:textAlignment w:val="baseline"/>
              <w:rPr>
                <w:rFonts w:ascii="宋体" w:hAnsi="宋体" w:cs="宋体"/>
                <w:szCs w:val="21"/>
              </w:rPr>
            </w:pPr>
            <w:r>
              <w:rPr>
                <w:rFonts w:hint="eastAsia" w:ascii="宋体" w:hAnsi="宋体" w:cs="宋体"/>
                <w:szCs w:val="21"/>
              </w:rPr>
              <w:t xml:space="preserve">（八）其它涉嫌串通的情形。     </w:t>
            </w:r>
          </w:p>
          <w:p w14:paraId="1706E5D7">
            <w:pPr>
              <w:autoSpaceDE w:val="0"/>
              <w:autoSpaceDN w:val="0"/>
              <w:adjustRightInd w:val="0"/>
              <w:spacing w:line="420" w:lineRule="exact"/>
              <w:ind w:firstLine="480"/>
              <w:jc w:val="left"/>
            </w:pPr>
            <w:r>
              <w:rPr>
                <w:rFonts w:hint="eastAsia" w:ascii="宋体" w:hAnsi="宋体" w:cs="宋体"/>
                <w:szCs w:val="21"/>
              </w:rPr>
              <w:t xml:space="preserve"> 另外：工程领域招标投标行政主管部门对供应商串通投标的处理处罚结果，在我省政府采购活动中可以直接采信。</w:t>
            </w:r>
          </w:p>
        </w:tc>
      </w:tr>
      <w:tr w14:paraId="53CBE5E9">
        <w:tblPrEx>
          <w:tblCellMar>
            <w:top w:w="0" w:type="dxa"/>
            <w:left w:w="108" w:type="dxa"/>
            <w:bottom w:w="0" w:type="dxa"/>
            <w:right w:w="108" w:type="dxa"/>
          </w:tblCellMar>
        </w:tblPrEx>
        <w:trPr>
          <w:trHeight w:val="77" w:hRule="atLeast"/>
          <w:jc w:val="center"/>
        </w:trPr>
        <w:tc>
          <w:tcPr>
            <w:tcW w:w="9579" w:type="dxa"/>
            <w:gridSpan w:val="3"/>
            <w:tcBorders>
              <w:top w:val="single" w:color="auto" w:sz="4" w:space="0"/>
              <w:left w:val="single" w:color="auto" w:sz="4" w:space="0"/>
              <w:bottom w:val="single" w:color="auto" w:sz="4" w:space="0"/>
              <w:right w:val="single" w:color="auto" w:sz="4" w:space="0"/>
            </w:tcBorders>
            <w:noWrap/>
            <w:vAlign w:val="center"/>
          </w:tcPr>
          <w:p w14:paraId="282F61DF">
            <w:pPr>
              <w:autoSpaceDE w:val="0"/>
              <w:autoSpaceDN w:val="0"/>
              <w:adjustRightInd w:val="0"/>
              <w:spacing w:line="420" w:lineRule="exact"/>
              <w:ind w:firstLine="210" w:firstLineChars="100"/>
              <w:jc w:val="center"/>
              <w:rPr>
                <w:rFonts w:ascii="宋体" w:hAnsi="宋体" w:cs="宋体"/>
                <w:bCs/>
                <w:kern w:val="0"/>
              </w:rPr>
            </w:pPr>
            <w:r>
              <w:rPr>
                <w:rFonts w:hint="eastAsia" w:ascii="宋体" w:hAnsi="宋体" w:cs="宋体"/>
                <w:bCs/>
                <w:kern w:val="0"/>
              </w:rPr>
              <w:t>需要补充的其他内容</w:t>
            </w:r>
          </w:p>
        </w:tc>
      </w:tr>
      <w:tr w14:paraId="5591DEEE">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5F1D403D">
            <w:pPr>
              <w:autoSpaceDE w:val="0"/>
              <w:autoSpaceDN w:val="0"/>
              <w:adjustRightInd w:val="0"/>
              <w:spacing w:line="440" w:lineRule="exact"/>
              <w:jc w:val="left"/>
              <w:rPr>
                <w:rFonts w:ascii="宋体" w:hAnsi="宋体" w:cs="宋体"/>
                <w:bCs/>
                <w:kern w:val="0"/>
              </w:rPr>
            </w:pPr>
            <w:r>
              <w:rPr>
                <w:rFonts w:hint="eastAsia" w:ascii="宋体" w:hAnsi="宋体" w:cs="宋体"/>
                <w:bCs/>
                <w:kern w:val="0"/>
              </w:rPr>
              <w:t>预算（最高限价）</w:t>
            </w:r>
          </w:p>
        </w:tc>
        <w:tc>
          <w:tcPr>
            <w:tcW w:w="8433" w:type="dxa"/>
            <w:gridSpan w:val="2"/>
            <w:tcBorders>
              <w:top w:val="single" w:color="auto" w:sz="4" w:space="0"/>
              <w:left w:val="nil"/>
              <w:bottom w:val="single" w:color="auto" w:sz="4" w:space="0"/>
              <w:right w:val="single" w:color="auto" w:sz="4" w:space="0"/>
            </w:tcBorders>
            <w:noWrap/>
            <w:vAlign w:val="center"/>
          </w:tcPr>
          <w:p w14:paraId="44739400">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详见采购公告</w:t>
            </w:r>
          </w:p>
          <w:p w14:paraId="3CB403C8">
            <w:pPr>
              <w:widowControl/>
              <w:autoSpaceDE w:val="0"/>
              <w:autoSpaceDN w:val="0"/>
              <w:adjustRightInd w:val="0"/>
              <w:spacing w:line="440" w:lineRule="exact"/>
              <w:jc w:val="left"/>
              <w:rPr>
                <w:rFonts w:ascii="宋体" w:hAnsi="宋体" w:cs="宋体"/>
                <w:b/>
                <w:bCs/>
                <w:kern w:val="0"/>
              </w:rPr>
            </w:pPr>
            <w:r>
              <w:rPr>
                <w:rFonts w:hint="eastAsia" w:ascii="宋体" w:hAnsi="宋体" w:cs="宋体"/>
                <w:b/>
                <w:bCs/>
                <w:kern w:val="0"/>
              </w:rPr>
              <w:t>报价超过最高限价的按废标处理。</w:t>
            </w:r>
          </w:p>
        </w:tc>
      </w:tr>
      <w:tr w14:paraId="3641C40C">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0E844DFB">
            <w:pPr>
              <w:autoSpaceDE w:val="0"/>
              <w:autoSpaceDN w:val="0"/>
              <w:adjustRightInd w:val="0"/>
              <w:spacing w:line="440" w:lineRule="exact"/>
              <w:jc w:val="left"/>
              <w:rPr>
                <w:rFonts w:hint="default" w:ascii="宋体" w:hAnsi="宋体" w:eastAsia="宋体" w:cs="宋体"/>
                <w:bCs/>
                <w:kern w:val="0"/>
                <w:lang w:val="en-US" w:eastAsia="zh-CN"/>
              </w:rPr>
            </w:pPr>
            <w:r>
              <w:rPr>
                <w:rFonts w:hint="eastAsia" w:ascii="宋体" w:hAnsi="宋体" w:cs="宋体"/>
                <w:bCs/>
                <w:kern w:val="0"/>
                <w:lang w:val="en-US" w:eastAsia="zh-CN"/>
              </w:rPr>
              <w:t>行业分类</w:t>
            </w:r>
          </w:p>
        </w:tc>
        <w:tc>
          <w:tcPr>
            <w:tcW w:w="8433" w:type="dxa"/>
            <w:gridSpan w:val="2"/>
            <w:tcBorders>
              <w:top w:val="single" w:color="auto" w:sz="4" w:space="0"/>
              <w:left w:val="nil"/>
              <w:bottom w:val="single" w:color="auto" w:sz="4" w:space="0"/>
              <w:right w:val="single" w:color="auto" w:sz="4" w:space="0"/>
            </w:tcBorders>
            <w:noWrap/>
            <w:vAlign w:val="center"/>
          </w:tcPr>
          <w:p w14:paraId="365AC6D8">
            <w:pPr>
              <w:widowControl/>
              <w:autoSpaceDE w:val="0"/>
              <w:autoSpaceDN w:val="0"/>
              <w:adjustRightInd w:val="0"/>
              <w:spacing w:line="440" w:lineRule="exact"/>
              <w:jc w:val="left"/>
              <w:rPr>
                <w:rFonts w:hint="eastAsia" w:ascii="宋体" w:hAnsi="宋体" w:cs="宋体"/>
                <w:b/>
                <w:bCs/>
                <w:kern w:val="0"/>
              </w:rPr>
            </w:pPr>
            <w:r>
              <w:rPr>
                <w:rFonts w:hint="eastAsia" w:ascii="宋体" w:hAnsi="宋体" w:cs="宋体"/>
                <w:b/>
                <w:bCs/>
                <w:kern w:val="0"/>
                <w:lang w:val="en-US" w:eastAsia="zh-CN"/>
              </w:rPr>
              <w:t>根据</w:t>
            </w:r>
            <w:r>
              <w:rPr>
                <w:rFonts w:hint="eastAsia" w:ascii="宋体" w:hAnsi="宋体" w:cs="宋体"/>
                <w:b/>
                <w:bCs/>
                <w:kern w:val="0"/>
              </w:rPr>
              <w:fldChar w:fldCharType="begin"/>
            </w:r>
            <w:r>
              <w:rPr>
                <w:rFonts w:hint="eastAsia" w:ascii="宋体" w:hAnsi="宋体" w:cs="宋体"/>
                <w:b/>
                <w:bCs/>
                <w:kern w:val="0"/>
              </w:rPr>
              <w:instrText xml:space="preserve"> HYPERLINK "https://www.docin.com/p-4242415419.html" \t "https://cn.bing.com/_blank" </w:instrText>
            </w:r>
            <w:r>
              <w:rPr>
                <w:rFonts w:hint="eastAsia" w:ascii="宋体" w:hAnsi="宋体" w:cs="宋体"/>
                <w:b/>
                <w:bCs/>
                <w:kern w:val="0"/>
              </w:rPr>
              <w:fldChar w:fldCharType="separate"/>
            </w:r>
            <w:r>
              <w:rPr>
                <w:rFonts w:hint="eastAsia" w:ascii="宋体" w:hAnsi="宋体" w:cs="宋体"/>
                <w:b/>
                <w:bCs/>
                <w:kern w:val="0"/>
              </w:rPr>
              <w:t>《中小企业划型标准规定》（工信部联企业〔2022〕300号</w:t>
            </w:r>
            <w:r>
              <w:rPr>
                <w:rFonts w:hint="eastAsia" w:ascii="宋体" w:hAnsi="宋体" w:cs="宋体"/>
                <w:b/>
                <w:bCs/>
                <w:kern w:val="0"/>
              </w:rPr>
              <w:fldChar w:fldCharType="end"/>
            </w:r>
            <w:r>
              <w:rPr>
                <w:rFonts w:hint="eastAsia" w:ascii="宋体" w:hAnsi="宋体" w:cs="宋体"/>
                <w:b/>
                <w:bCs/>
                <w:kern w:val="0"/>
                <w:lang w:val="en-US" w:eastAsia="zh-CN"/>
              </w:rPr>
              <w:t>文件规定，本项目为制造业。</w:t>
            </w:r>
          </w:p>
        </w:tc>
      </w:tr>
      <w:tr w14:paraId="34857A4B">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062800E0">
            <w:pPr>
              <w:autoSpaceDE w:val="0"/>
              <w:autoSpaceDN w:val="0"/>
              <w:adjustRightInd w:val="0"/>
              <w:spacing w:line="440" w:lineRule="exact"/>
              <w:jc w:val="left"/>
              <w:rPr>
                <w:rFonts w:ascii="宋体" w:hAnsi="宋体" w:cs="宋体"/>
                <w:bCs/>
                <w:kern w:val="0"/>
              </w:rPr>
            </w:pPr>
            <w:r>
              <w:rPr>
                <w:rFonts w:hint="eastAsia" w:ascii="宋体" w:hAnsi="宋体" w:cs="宋体"/>
                <w:bCs/>
                <w:kern w:val="0"/>
              </w:rPr>
              <w:t>中标</w:t>
            </w:r>
          </w:p>
          <w:p w14:paraId="7336A16A">
            <w:pPr>
              <w:autoSpaceDE w:val="0"/>
              <w:autoSpaceDN w:val="0"/>
              <w:adjustRightInd w:val="0"/>
              <w:spacing w:line="440" w:lineRule="exact"/>
              <w:jc w:val="left"/>
              <w:rPr>
                <w:rFonts w:ascii="宋体" w:hAnsi="宋体" w:cs="宋体"/>
                <w:bCs/>
                <w:kern w:val="0"/>
              </w:rPr>
            </w:pPr>
            <w:r>
              <w:rPr>
                <w:rFonts w:hint="eastAsia" w:ascii="宋体" w:hAnsi="宋体" w:cs="宋体"/>
                <w:bCs/>
                <w:kern w:val="0"/>
              </w:rPr>
              <w:t>公告</w:t>
            </w:r>
          </w:p>
        </w:tc>
        <w:tc>
          <w:tcPr>
            <w:tcW w:w="8433" w:type="dxa"/>
            <w:gridSpan w:val="2"/>
            <w:tcBorders>
              <w:top w:val="single" w:color="auto" w:sz="4" w:space="0"/>
              <w:left w:val="nil"/>
              <w:bottom w:val="single" w:color="auto" w:sz="4" w:space="0"/>
              <w:right w:val="single" w:color="auto" w:sz="4" w:space="0"/>
            </w:tcBorders>
            <w:noWrap/>
            <w:vAlign w:val="center"/>
          </w:tcPr>
          <w:p w14:paraId="0F8BB195">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在中标通知书发出前，采购人将中标人的情况在本采购项目招标公告发布的同一媒介予以公告，公告期限1个工作日。</w:t>
            </w:r>
          </w:p>
        </w:tc>
      </w:tr>
      <w:tr w14:paraId="1F035D02">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bottom"/>
          </w:tcPr>
          <w:p w14:paraId="0D9E4D6E">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投标保证金说明</w:t>
            </w:r>
          </w:p>
        </w:tc>
        <w:tc>
          <w:tcPr>
            <w:tcW w:w="8433" w:type="dxa"/>
            <w:gridSpan w:val="2"/>
            <w:tcBorders>
              <w:top w:val="single" w:color="auto" w:sz="4" w:space="0"/>
              <w:left w:val="nil"/>
              <w:bottom w:val="single" w:color="auto" w:sz="4" w:space="0"/>
              <w:right w:val="single" w:color="auto" w:sz="4" w:space="0"/>
            </w:tcBorders>
            <w:noWrap/>
            <w:vAlign w:val="center"/>
          </w:tcPr>
          <w:p w14:paraId="3CA93CD0">
            <w:pPr>
              <w:widowControl/>
              <w:autoSpaceDE w:val="0"/>
              <w:autoSpaceDN w:val="0"/>
              <w:adjustRightInd w:val="0"/>
              <w:spacing w:line="440" w:lineRule="exact"/>
              <w:jc w:val="left"/>
              <w:rPr>
                <w:rFonts w:ascii="宋体" w:hAnsi="宋体" w:cs="宋体"/>
                <w:bCs/>
                <w:kern w:val="0"/>
              </w:rPr>
            </w:pPr>
            <w:r>
              <w:rPr>
                <w:rFonts w:hint="eastAsia" w:ascii="宋体" w:hAnsi="宋体" w:cs="宋体"/>
                <w:bCs/>
                <w:kern w:val="0"/>
              </w:rPr>
              <w:t>本项目不收取保证金</w:t>
            </w:r>
          </w:p>
        </w:tc>
      </w:tr>
      <w:tr w14:paraId="14115969">
        <w:tblPrEx>
          <w:tblCellMar>
            <w:top w:w="0" w:type="dxa"/>
            <w:left w:w="108" w:type="dxa"/>
            <w:bottom w:w="0" w:type="dxa"/>
            <w:right w:w="108" w:type="dxa"/>
          </w:tblCellMar>
        </w:tblPrEx>
        <w:trPr>
          <w:trHeight w:val="77"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2FBC7C3C">
            <w:pPr>
              <w:widowControl/>
              <w:autoSpaceDE w:val="0"/>
              <w:autoSpaceDN w:val="0"/>
              <w:adjustRightInd w:val="0"/>
              <w:spacing w:line="440" w:lineRule="exact"/>
              <w:jc w:val="center"/>
              <w:rPr>
                <w:rFonts w:ascii="宋体" w:hAnsi="宋体" w:cs="宋体"/>
                <w:bCs/>
                <w:kern w:val="0"/>
              </w:rPr>
            </w:pPr>
            <w:r>
              <w:rPr>
                <w:rFonts w:hint="eastAsia" w:ascii="宋体" w:hAnsi="宋体" w:cs="宋体"/>
                <w:bCs/>
                <w:kern w:val="0"/>
              </w:rPr>
              <w:t>解释权</w:t>
            </w:r>
          </w:p>
        </w:tc>
        <w:tc>
          <w:tcPr>
            <w:tcW w:w="8433" w:type="dxa"/>
            <w:gridSpan w:val="2"/>
            <w:tcBorders>
              <w:top w:val="single" w:color="auto" w:sz="4" w:space="0"/>
              <w:left w:val="nil"/>
              <w:bottom w:val="single" w:color="auto" w:sz="4" w:space="0"/>
              <w:right w:val="single" w:color="auto" w:sz="4" w:space="0"/>
            </w:tcBorders>
            <w:noWrap/>
            <w:vAlign w:val="center"/>
          </w:tcPr>
          <w:p w14:paraId="2CABF7EC">
            <w:pPr>
              <w:widowControl/>
              <w:autoSpaceDE w:val="0"/>
              <w:autoSpaceDN w:val="0"/>
              <w:adjustRightInd w:val="0"/>
              <w:spacing w:line="440" w:lineRule="exact"/>
              <w:ind w:firstLine="480"/>
              <w:jc w:val="left"/>
              <w:rPr>
                <w:rFonts w:ascii="宋体" w:hAnsi="宋体" w:cs="宋体"/>
                <w:bCs/>
                <w:kern w:val="0"/>
              </w:rPr>
            </w:pPr>
            <w:r>
              <w:rPr>
                <w:rFonts w:hint="eastAsia" w:ascii="宋体" w:hAnsi="宋体" w:cs="宋体"/>
                <w:bCs/>
                <w:kern w:val="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前附表、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CAA3F1C">
        <w:tblPrEx>
          <w:tblCellMar>
            <w:top w:w="0" w:type="dxa"/>
            <w:left w:w="108" w:type="dxa"/>
            <w:bottom w:w="0" w:type="dxa"/>
            <w:right w:w="108" w:type="dxa"/>
          </w:tblCellMar>
        </w:tblPrEx>
        <w:trPr>
          <w:trHeight w:val="77" w:hRule="atLeast"/>
          <w:jc w:val="center"/>
        </w:trPr>
        <w:tc>
          <w:tcPr>
            <w:tcW w:w="9579" w:type="dxa"/>
            <w:gridSpan w:val="3"/>
            <w:tcBorders>
              <w:top w:val="single" w:color="auto" w:sz="4" w:space="0"/>
              <w:left w:val="single" w:color="auto" w:sz="4" w:space="0"/>
              <w:bottom w:val="single" w:color="auto" w:sz="4" w:space="0"/>
              <w:right w:val="single" w:color="auto" w:sz="4" w:space="0"/>
            </w:tcBorders>
            <w:noWrap/>
            <w:vAlign w:val="bottom"/>
          </w:tcPr>
          <w:p w14:paraId="65FF8AFE">
            <w:pPr>
              <w:spacing w:line="350" w:lineRule="exact"/>
              <w:ind w:firstLine="482"/>
              <w:rPr>
                <w:rFonts w:ascii="宋体" w:hAnsi="宋体" w:cs="宋体"/>
                <w:b/>
                <w:bCs/>
                <w:kern w:val="0"/>
              </w:rPr>
            </w:pPr>
            <w:r>
              <w:rPr>
                <w:rFonts w:hint="eastAsia" w:ascii="宋体" w:hAnsi="宋体" w:cs="宋体"/>
                <w:b/>
                <w:bCs/>
                <w:kern w:val="0"/>
              </w:rPr>
              <w:t>备注：政府采购项目实行网上受理，开标前所有信息保密。因此，南阳市卧龙区中心政府采购项目发布的一切公告信息（包括采购公告、变更公告、澄清公告等）均在“《河南省政府采购网》”、“《全国公共资源交易平台（河南省·南阳市·卧龙区）》”等媒体发布，请潜在投标人随时查询有关公告信息。若因潜在投标人没有及时查看到公告信息而造成的投标失误，责任自负。</w:t>
            </w:r>
          </w:p>
        </w:tc>
      </w:tr>
    </w:tbl>
    <w:p w14:paraId="1FBE0112">
      <w:pPr>
        <w:widowControl/>
        <w:autoSpaceDE w:val="0"/>
        <w:autoSpaceDN w:val="0"/>
        <w:adjustRightInd w:val="0"/>
        <w:spacing w:line="500" w:lineRule="exact"/>
        <w:jc w:val="left"/>
        <w:rPr>
          <w:rFonts w:ascii="宋体" w:hAnsi="宋体" w:cs="宋体"/>
          <w:b/>
          <w:kern w:val="0"/>
        </w:rPr>
      </w:pPr>
    </w:p>
    <w:p w14:paraId="57696F07">
      <w:pPr>
        <w:widowControl/>
        <w:autoSpaceDE w:val="0"/>
        <w:autoSpaceDN w:val="0"/>
        <w:adjustRightInd w:val="0"/>
        <w:spacing w:line="500" w:lineRule="exact"/>
        <w:jc w:val="left"/>
        <w:rPr>
          <w:rFonts w:ascii="宋体" w:hAnsi="宋体" w:cs="宋体"/>
          <w:b/>
          <w:kern w:val="0"/>
        </w:rPr>
      </w:pPr>
    </w:p>
    <w:p w14:paraId="67805995">
      <w:pPr>
        <w:widowControl/>
        <w:autoSpaceDE w:val="0"/>
        <w:autoSpaceDN w:val="0"/>
        <w:adjustRightInd w:val="0"/>
        <w:spacing w:line="500" w:lineRule="exact"/>
        <w:jc w:val="left"/>
        <w:rPr>
          <w:rFonts w:ascii="宋体" w:hAnsi="宋体" w:cs="宋体"/>
          <w:b/>
          <w:kern w:val="0"/>
        </w:rPr>
      </w:pPr>
    </w:p>
    <w:p w14:paraId="41E6C9F7">
      <w:pPr>
        <w:widowControl/>
        <w:autoSpaceDE w:val="0"/>
        <w:autoSpaceDN w:val="0"/>
        <w:adjustRightInd w:val="0"/>
        <w:spacing w:line="500" w:lineRule="exact"/>
        <w:jc w:val="left"/>
        <w:rPr>
          <w:rFonts w:ascii="宋体" w:hAnsi="宋体" w:cs="宋体"/>
          <w:b/>
          <w:kern w:val="0"/>
        </w:rPr>
      </w:pPr>
    </w:p>
    <w:p w14:paraId="4E98A1A0">
      <w:pPr>
        <w:widowControl/>
        <w:autoSpaceDE w:val="0"/>
        <w:autoSpaceDN w:val="0"/>
        <w:adjustRightInd w:val="0"/>
        <w:spacing w:line="500" w:lineRule="exact"/>
        <w:jc w:val="left"/>
        <w:rPr>
          <w:rFonts w:ascii="宋体" w:hAnsi="宋体" w:cs="宋体"/>
          <w:b/>
          <w:kern w:val="0"/>
        </w:rPr>
      </w:pPr>
    </w:p>
    <w:p w14:paraId="7229CB64">
      <w:pPr>
        <w:widowControl/>
        <w:autoSpaceDE w:val="0"/>
        <w:autoSpaceDN w:val="0"/>
        <w:adjustRightInd w:val="0"/>
        <w:spacing w:line="500" w:lineRule="exact"/>
        <w:jc w:val="left"/>
        <w:rPr>
          <w:rFonts w:ascii="宋体" w:hAnsi="宋体" w:cs="宋体"/>
          <w:b/>
          <w:kern w:val="0"/>
        </w:rPr>
      </w:pPr>
    </w:p>
    <w:p w14:paraId="5C840C64">
      <w:pPr>
        <w:widowControl/>
        <w:autoSpaceDE w:val="0"/>
        <w:autoSpaceDN w:val="0"/>
        <w:adjustRightInd w:val="0"/>
        <w:spacing w:line="500" w:lineRule="exact"/>
        <w:jc w:val="left"/>
        <w:rPr>
          <w:rFonts w:ascii="宋体" w:hAnsi="宋体" w:cs="宋体"/>
          <w:b/>
          <w:kern w:val="0"/>
        </w:rPr>
      </w:pPr>
    </w:p>
    <w:p w14:paraId="40285A78">
      <w:pPr>
        <w:pStyle w:val="3"/>
      </w:pPr>
      <w:bookmarkStart w:id="11" w:name="_Toc11239"/>
      <w:r>
        <w:rPr>
          <w:rFonts w:hint="eastAsia"/>
        </w:rPr>
        <w:t>1.总则</w:t>
      </w:r>
      <w:bookmarkEnd w:id="11"/>
    </w:p>
    <w:p w14:paraId="30C0BCDA">
      <w:pPr>
        <w:pStyle w:val="4"/>
        <w:ind w:firstLine="482"/>
      </w:pPr>
      <w:bookmarkStart w:id="12" w:name="_Toc4615"/>
      <w:bookmarkStart w:id="13" w:name="_Toc16731"/>
      <w:r>
        <w:rPr>
          <w:rFonts w:hint="eastAsia"/>
        </w:rPr>
        <w:t>1.1适用范围</w:t>
      </w:r>
      <w:bookmarkEnd w:id="12"/>
      <w:bookmarkEnd w:id="13"/>
    </w:p>
    <w:p w14:paraId="14AF77FE">
      <w:pPr>
        <w:ind w:firstLine="480"/>
      </w:pPr>
      <w:r>
        <w:rPr>
          <w:rFonts w:hint="eastAsia"/>
        </w:rPr>
        <w:t>1.1.1根据《中华人民共和国政府采购法》等有关法律法规和规章的规定，本项目已具备招标条件，现对本项目进行公开招标。</w:t>
      </w:r>
    </w:p>
    <w:p w14:paraId="7FDED822">
      <w:pPr>
        <w:pStyle w:val="4"/>
        <w:ind w:firstLine="482"/>
        <w:rPr>
          <w:rFonts w:ascii="宋体" w:hAnsi="宋体" w:cs="宋体"/>
        </w:rPr>
      </w:pPr>
      <w:bookmarkStart w:id="14" w:name="_Toc26453"/>
      <w:bookmarkStart w:id="15" w:name="_Toc13513"/>
      <w:r>
        <w:rPr>
          <w:rFonts w:hint="eastAsia"/>
        </w:rPr>
        <w:t>1.2采购项目说明</w:t>
      </w:r>
      <w:bookmarkEnd w:id="14"/>
      <w:bookmarkEnd w:id="15"/>
    </w:p>
    <w:p w14:paraId="6E98A68D">
      <w:pPr>
        <w:ind w:firstLine="480"/>
      </w:pPr>
      <w:r>
        <w:rPr>
          <w:rFonts w:hint="eastAsia"/>
        </w:rPr>
        <w:t>1.2.1本项目采购人：见投标人须知前附表。</w:t>
      </w:r>
    </w:p>
    <w:p w14:paraId="6748CA83">
      <w:pPr>
        <w:ind w:firstLine="480"/>
      </w:pPr>
      <w:r>
        <w:rPr>
          <w:rFonts w:hint="eastAsia"/>
        </w:rPr>
        <w:t>1.2.2本项目采购代理机构：见投标人须知前附表。</w:t>
      </w:r>
    </w:p>
    <w:p w14:paraId="02398839">
      <w:pPr>
        <w:ind w:firstLine="480"/>
        <w:rPr>
          <w:rFonts w:ascii="宋体" w:hAnsi="宋体" w:cs="宋体"/>
        </w:rPr>
      </w:pPr>
      <w:r>
        <w:rPr>
          <w:rFonts w:hint="eastAsia"/>
        </w:rPr>
        <w:t>1.2.3本项目名称：见投标人须知前附表。</w:t>
      </w:r>
    </w:p>
    <w:p w14:paraId="5444BDD2">
      <w:pPr>
        <w:pStyle w:val="4"/>
        <w:ind w:firstLine="482"/>
        <w:rPr>
          <w:rFonts w:ascii="宋体" w:hAnsi="宋体" w:cs="宋体"/>
        </w:rPr>
      </w:pPr>
      <w:bookmarkStart w:id="16" w:name="_Toc31649"/>
      <w:bookmarkStart w:id="17" w:name="_Toc11638"/>
      <w:r>
        <w:rPr>
          <w:rFonts w:hint="eastAsia"/>
        </w:rPr>
        <w:t>1.3定义及解释</w:t>
      </w:r>
      <w:bookmarkEnd w:id="16"/>
      <w:bookmarkEnd w:id="17"/>
    </w:p>
    <w:p w14:paraId="04DF9986">
      <w:pPr>
        <w:ind w:firstLine="480"/>
      </w:pPr>
      <w:r>
        <w:rPr>
          <w:rFonts w:hint="eastAsia"/>
        </w:rPr>
        <w:t>1.3.1采购人：依法进行政府采购的国家机关、事业单位、团体组织。</w:t>
      </w:r>
    </w:p>
    <w:p w14:paraId="5B5EB0E8">
      <w:pPr>
        <w:ind w:firstLine="480"/>
      </w:pPr>
      <w:r>
        <w:rPr>
          <w:rFonts w:hint="eastAsia"/>
        </w:rPr>
        <w:t>1.3.2采购代理机构：取得政府采购招标代理资质，受采购人委托组织招标活动的社会中介组织。</w:t>
      </w:r>
    </w:p>
    <w:p w14:paraId="33151993">
      <w:pPr>
        <w:ind w:firstLine="480"/>
      </w:pPr>
      <w:r>
        <w:rPr>
          <w:rFonts w:hint="eastAsia"/>
        </w:rPr>
        <w:t>1.3.3服务：系指根据本招标文件规定投标人须承担的服务以及其他类似的义务等。</w:t>
      </w:r>
    </w:p>
    <w:p w14:paraId="7EAE901E">
      <w:pPr>
        <w:ind w:firstLine="480"/>
      </w:pPr>
      <w:r>
        <w:rPr>
          <w:rFonts w:hint="eastAsia"/>
        </w:rPr>
        <w:t>1.3.4投标人：投标人是指投标文件、参加招标活动的中华人民共和国境内的法人、其它组织。</w:t>
      </w:r>
    </w:p>
    <w:p w14:paraId="738F2000">
      <w:pPr>
        <w:ind w:firstLine="480"/>
      </w:pPr>
      <w:r>
        <w:rPr>
          <w:rFonts w:hint="eastAsia"/>
        </w:rPr>
        <w:t>1.3.5投标文件：指投标人根据招标文件提交的所有文件。</w:t>
      </w:r>
    </w:p>
    <w:p w14:paraId="26EC98DC">
      <w:pPr>
        <w:ind w:firstLine="480"/>
      </w:pPr>
      <w:r>
        <w:rPr>
          <w:rFonts w:hint="eastAsia"/>
        </w:rPr>
        <w:t>1.3.6评标小组：依据《中华人民共和国政府采购法》及有关法律法规的规定依法组建的专门负责本次评标工作的临时机构。</w:t>
      </w:r>
    </w:p>
    <w:p w14:paraId="348FBA76">
      <w:pPr>
        <w:ind w:firstLine="480"/>
      </w:pPr>
      <w:r>
        <w:rPr>
          <w:rFonts w:hint="eastAsia"/>
        </w:rPr>
        <w:t>1.3.7偏离：投标文件的响应相对于招标文件要求的偏差，该偏差优于招标文件要求的为正偏离；劣于的，为负偏离。若为负偏离将做废标处理。</w:t>
      </w:r>
    </w:p>
    <w:p w14:paraId="3B1DE006">
      <w:pPr>
        <w:ind w:firstLine="480"/>
      </w:pPr>
      <w:r>
        <w:rPr>
          <w:rFonts w:hint="eastAsia"/>
        </w:rPr>
        <w:t>1.3.8“日”或“天”：指日历天。</w:t>
      </w:r>
    </w:p>
    <w:p w14:paraId="7895EADA">
      <w:pPr>
        <w:ind w:firstLine="480"/>
      </w:pPr>
      <w:r>
        <w:rPr>
          <w:rFonts w:hint="eastAsia"/>
        </w:rPr>
        <w:t>1.3.9合同：指依据本次服务采购评标结果签订的协议或合约文件。</w:t>
      </w:r>
    </w:p>
    <w:p w14:paraId="0E870839">
      <w:pPr>
        <w:ind w:firstLine="480"/>
      </w:pPr>
      <w:r>
        <w:rPr>
          <w:rFonts w:hint="eastAsia"/>
        </w:rPr>
        <w:t>1.3.10招标文件中的标题或题名仅起引导作用，而不应视为对招标文件内容的理解和解释。</w:t>
      </w:r>
    </w:p>
    <w:p w14:paraId="6216AD14">
      <w:pPr>
        <w:pStyle w:val="4"/>
        <w:ind w:firstLine="482"/>
      </w:pPr>
      <w:bookmarkStart w:id="18" w:name="_Toc21936"/>
      <w:bookmarkStart w:id="19" w:name="_Toc660"/>
      <w:r>
        <w:rPr>
          <w:rFonts w:hint="eastAsia"/>
        </w:rPr>
        <w:t>1.4采购内容及要求</w:t>
      </w:r>
      <w:bookmarkEnd w:id="18"/>
      <w:bookmarkEnd w:id="19"/>
    </w:p>
    <w:p w14:paraId="23016012">
      <w:pPr>
        <w:ind w:firstLine="480"/>
      </w:pPr>
      <w:r>
        <w:rPr>
          <w:rFonts w:hint="eastAsia"/>
        </w:rPr>
        <w:t>1.4.1本项目的内容：见投标人须知前附表。</w:t>
      </w:r>
    </w:p>
    <w:p w14:paraId="55F7D4EC">
      <w:pPr>
        <w:ind w:firstLine="480"/>
      </w:pPr>
      <w:r>
        <w:rPr>
          <w:rFonts w:hint="eastAsia"/>
        </w:rPr>
        <w:t>1.4.2本项目的交货时间：见投标人须知前附表。</w:t>
      </w:r>
    </w:p>
    <w:p w14:paraId="44CD159A">
      <w:pPr>
        <w:ind w:firstLine="480"/>
      </w:pPr>
      <w:r>
        <w:rPr>
          <w:rFonts w:hint="eastAsia"/>
        </w:rPr>
        <w:t>1.4.3本项目的质量要求：见投标人须知前附表。</w:t>
      </w:r>
    </w:p>
    <w:p w14:paraId="1BAA71F8">
      <w:pPr>
        <w:pStyle w:val="4"/>
        <w:ind w:firstLine="482"/>
        <w:rPr>
          <w:rFonts w:ascii="宋体" w:hAnsi="宋体" w:cs="宋体"/>
        </w:rPr>
      </w:pPr>
      <w:bookmarkStart w:id="20" w:name="_Toc18417"/>
      <w:bookmarkStart w:id="21" w:name="_Toc23979"/>
      <w:r>
        <w:rPr>
          <w:rFonts w:hint="eastAsia"/>
        </w:rPr>
        <w:t>1.5投标人资质条件和能力</w:t>
      </w:r>
      <w:bookmarkEnd w:id="20"/>
      <w:bookmarkEnd w:id="21"/>
    </w:p>
    <w:p w14:paraId="37F3E7D3">
      <w:pPr>
        <w:ind w:firstLine="480"/>
      </w:pPr>
      <w:r>
        <w:rPr>
          <w:rFonts w:hint="eastAsia"/>
        </w:rPr>
        <w:t>1.5.1投标人资质及能力要求：见投标人须知前附表。</w:t>
      </w:r>
    </w:p>
    <w:p w14:paraId="3F5F6480">
      <w:pPr>
        <w:ind w:firstLine="480"/>
      </w:pPr>
      <w:r>
        <w:rPr>
          <w:rFonts w:hint="eastAsia"/>
        </w:rPr>
        <w:t>1.5.2是否接受联合体：见投标人须知前附表。</w:t>
      </w:r>
    </w:p>
    <w:p w14:paraId="2C1AFC5C">
      <w:pPr>
        <w:pStyle w:val="4"/>
        <w:ind w:firstLine="482"/>
        <w:rPr>
          <w:rFonts w:ascii="宋体" w:hAnsi="宋体" w:cs="宋体"/>
        </w:rPr>
      </w:pPr>
      <w:bookmarkStart w:id="22" w:name="_Toc2894"/>
      <w:bookmarkStart w:id="23" w:name="_Toc2624"/>
      <w:r>
        <w:rPr>
          <w:rFonts w:hint="eastAsia"/>
        </w:rPr>
        <w:t>1.6费用承担</w:t>
      </w:r>
      <w:bookmarkEnd w:id="22"/>
      <w:bookmarkEnd w:id="23"/>
    </w:p>
    <w:p w14:paraId="05D3A56A">
      <w:pPr>
        <w:ind w:firstLine="480"/>
      </w:pPr>
      <w:r>
        <w:rPr>
          <w:rFonts w:hint="eastAsia"/>
        </w:rPr>
        <w:t>投标人准备和参加招标活动发生的费用自理，不论招标的结果如何，采购人和采购代理机构在任何情况下均无义务和责任承担这些费用。</w:t>
      </w:r>
    </w:p>
    <w:p w14:paraId="362046B4">
      <w:pPr>
        <w:pStyle w:val="4"/>
        <w:ind w:firstLine="482"/>
      </w:pPr>
      <w:bookmarkStart w:id="24" w:name="_Toc24711"/>
      <w:bookmarkStart w:id="25" w:name="_Toc9057"/>
      <w:r>
        <w:rPr>
          <w:rFonts w:hint="eastAsia"/>
        </w:rPr>
        <w:t>1.7保密</w:t>
      </w:r>
      <w:bookmarkEnd w:id="24"/>
      <w:bookmarkEnd w:id="25"/>
    </w:p>
    <w:p w14:paraId="69A0024D">
      <w:pPr>
        <w:ind w:firstLine="480"/>
      </w:pPr>
      <w:r>
        <w:rPr>
          <w:rFonts w:hint="eastAsia"/>
        </w:rPr>
        <w:t>参与招标活动的各方应对招标文件和投标文件中的商业和技术等秘密保密，违者应对由此造成的后果承担法律责任。</w:t>
      </w:r>
    </w:p>
    <w:p w14:paraId="2A1E42A3">
      <w:pPr>
        <w:pStyle w:val="4"/>
        <w:ind w:firstLine="482"/>
      </w:pPr>
      <w:bookmarkStart w:id="26" w:name="_Toc31193"/>
      <w:bookmarkStart w:id="27" w:name="_Toc12821"/>
      <w:r>
        <w:rPr>
          <w:rFonts w:hint="eastAsia"/>
        </w:rPr>
        <w:t>1.8语言文字</w:t>
      </w:r>
      <w:bookmarkEnd w:id="26"/>
      <w:bookmarkEnd w:id="27"/>
    </w:p>
    <w:p w14:paraId="0C9E6389">
      <w:pPr>
        <w:ind w:firstLine="480"/>
        <w:rPr>
          <w:rFonts w:ascii="宋体" w:hAnsi="宋体" w:cs="宋体"/>
        </w:rPr>
      </w:pPr>
      <w:r>
        <w:rPr>
          <w:rFonts w:hint="eastAsia"/>
        </w:rPr>
        <w:t>除专用术语外，与招标有关的语言均使用中文。必要时专用术语应附有中文注释，对不同文字文本投标文件的解释发生异议的，以中文文本为准。</w:t>
      </w:r>
    </w:p>
    <w:p w14:paraId="1815AA4B">
      <w:pPr>
        <w:pStyle w:val="4"/>
        <w:ind w:firstLine="482"/>
        <w:rPr>
          <w:rFonts w:ascii="宋体" w:hAnsi="宋体" w:cs="宋体"/>
        </w:rPr>
      </w:pPr>
      <w:bookmarkStart w:id="28" w:name="_Toc5030"/>
      <w:bookmarkStart w:id="29" w:name="_Toc15901"/>
      <w:r>
        <w:rPr>
          <w:rFonts w:hint="eastAsia"/>
        </w:rPr>
        <w:t>1.9计量单位</w:t>
      </w:r>
      <w:bookmarkEnd w:id="28"/>
      <w:bookmarkEnd w:id="29"/>
    </w:p>
    <w:p w14:paraId="3FB331D2">
      <w:pPr>
        <w:ind w:firstLine="480"/>
        <w:rPr>
          <w:rFonts w:ascii="宋体" w:hAnsi="宋体" w:cs="宋体"/>
        </w:rPr>
      </w:pPr>
      <w:r>
        <w:rPr>
          <w:rFonts w:hint="eastAsia"/>
        </w:rPr>
        <w:t>所有计量均采用中华人民共和国法定计量单位。</w:t>
      </w:r>
    </w:p>
    <w:p w14:paraId="5DFC3F94">
      <w:pPr>
        <w:pStyle w:val="4"/>
        <w:ind w:firstLine="482"/>
      </w:pPr>
      <w:bookmarkStart w:id="30" w:name="_Toc28439"/>
      <w:bookmarkStart w:id="31" w:name="_Toc12827"/>
      <w:r>
        <w:rPr>
          <w:rFonts w:hint="eastAsia"/>
        </w:rPr>
        <w:t>1.10分包</w:t>
      </w:r>
      <w:bookmarkEnd w:id="30"/>
      <w:bookmarkEnd w:id="31"/>
    </w:p>
    <w:p w14:paraId="439E202E">
      <w:pPr>
        <w:ind w:firstLine="480"/>
      </w:pPr>
      <w:r>
        <w:rPr>
          <w:rFonts w:hint="eastAsia"/>
        </w:rPr>
        <w:t>是否允许分包：见投标人须知前附表。</w:t>
      </w:r>
    </w:p>
    <w:p w14:paraId="6252893D">
      <w:pPr>
        <w:pStyle w:val="3"/>
      </w:pPr>
      <w:bookmarkStart w:id="32" w:name="_Toc27310"/>
      <w:r>
        <w:rPr>
          <w:rFonts w:hint="eastAsia"/>
        </w:rPr>
        <w:t>2.招标文件</w:t>
      </w:r>
      <w:bookmarkEnd w:id="32"/>
    </w:p>
    <w:p w14:paraId="1E5DD2E7">
      <w:pPr>
        <w:pStyle w:val="4"/>
        <w:ind w:firstLine="482"/>
      </w:pPr>
      <w:r>
        <w:rPr>
          <w:rFonts w:hint="eastAsia"/>
        </w:rPr>
        <w:t>2.1招标文件的组成</w:t>
      </w:r>
    </w:p>
    <w:p w14:paraId="395EC73A">
      <w:pPr>
        <w:ind w:firstLine="480"/>
      </w:pPr>
      <w:r>
        <w:rPr>
          <w:rFonts w:hint="eastAsia"/>
        </w:rPr>
        <w:t>本招标文件包括：</w:t>
      </w:r>
    </w:p>
    <w:p w14:paraId="481FE56D">
      <w:pPr>
        <w:ind w:firstLine="480"/>
      </w:pPr>
      <w:r>
        <w:rPr>
          <w:rFonts w:hint="eastAsia"/>
        </w:rPr>
        <w:t>招标文件用以阐明所需货物规格要求、采购方法和程序及合同条款。招标文件由下述部分组成：</w:t>
      </w:r>
    </w:p>
    <w:p w14:paraId="1742E344">
      <w:pPr>
        <w:ind w:firstLine="480"/>
      </w:pPr>
      <w:bookmarkStart w:id="33" w:name="_Toc2228"/>
      <w:bookmarkStart w:id="34" w:name="_Toc6026"/>
      <w:r>
        <w:rPr>
          <w:rFonts w:hint="eastAsia"/>
        </w:rPr>
        <w:t>第一章招标公告</w:t>
      </w:r>
      <w:bookmarkEnd w:id="33"/>
      <w:bookmarkEnd w:id="34"/>
    </w:p>
    <w:p w14:paraId="416BF011">
      <w:pPr>
        <w:ind w:firstLine="480"/>
      </w:pPr>
      <w:bookmarkStart w:id="35" w:name="_Toc3585"/>
      <w:bookmarkStart w:id="36" w:name="_Toc15538"/>
      <w:r>
        <w:rPr>
          <w:rFonts w:hint="eastAsia"/>
        </w:rPr>
        <w:t>第二章投标人须知前附表</w:t>
      </w:r>
      <w:bookmarkEnd w:id="35"/>
      <w:bookmarkEnd w:id="36"/>
    </w:p>
    <w:p w14:paraId="21860AA6">
      <w:pPr>
        <w:ind w:firstLine="480"/>
      </w:pPr>
      <w:bookmarkStart w:id="37" w:name="_Toc13658"/>
      <w:bookmarkStart w:id="38" w:name="_Toc20557"/>
      <w:r>
        <w:rPr>
          <w:rFonts w:hint="eastAsia"/>
        </w:rPr>
        <w:t>第三章评审办法</w:t>
      </w:r>
      <w:bookmarkEnd w:id="37"/>
      <w:bookmarkEnd w:id="38"/>
    </w:p>
    <w:p w14:paraId="5578C67D">
      <w:pPr>
        <w:ind w:firstLine="480"/>
      </w:pPr>
      <w:bookmarkStart w:id="39" w:name="_Toc20615"/>
      <w:bookmarkStart w:id="40" w:name="_Toc16876"/>
      <w:r>
        <w:rPr>
          <w:rFonts w:hint="eastAsia"/>
        </w:rPr>
        <w:t>第四章</w:t>
      </w:r>
      <w:bookmarkEnd w:id="39"/>
      <w:bookmarkEnd w:id="40"/>
      <w:r>
        <w:rPr>
          <w:rFonts w:hint="eastAsia"/>
        </w:rPr>
        <w:t>技术参数</w:t>
      </w:r>
    </w:p>
    <w:p w14:paraId="3F8B74AD">
      <w:pPr>
        <w:ind w:firstLine="480"/>
      </w:pPr>
      <w:bookmarkStart w:id="41" w:name="_Toc30252"/>
      <w:bookmarkStart w:id="42" w:name="_Toc30474"/>
      <w:r>
        <w:rPr>
          <w:rFonts w:hint="eastAsia"/>
        </w:rPr>
        <w:t>第五章政府采购合同主要条款（参考）</w:t>
      </w:r>
      <w:bookmarkEnd w:id="41"/>
      <w:bookmarkEnd w:id="42"/>
    </w:p>
    <w:p w14:paraId="7FCC9224">
      <w:pPr>
        <w:ind w:firstLine="480"/>
      </w:pPr>
      <w:bookmarkStart w:id="43" w:name="_Toc22609"/>
      <w:bookmarkStart w:id="44" w:name="_Toc21225"/>
      <w:r>
        <w:rPr>
          <w:rFonts w:hint="eastAsia"/>
        </w:rPr>
        <w:t>第六章投标文件部分格式</w:t>
      </w:r>
      <w:bookmarkEnd w:id="43"/>
      <w:bookmarkEnd w:id="44"/>
    </w:p>
    <w:p w14:paraId="23C50D61">
      <w:pPr>
        <w:pStyle w:val="4"/>
        <w:ind w:firstLine="482"/>
        <w:rPr>
          <w:rFonts w:ascii="宋体" w:hAnsi="宋体" w:cs="宋体"/>
        </w:rPr>
      </w:pPr>
      <w:bookmarkStart w:id="45" w:name="_Toc16185"/>
      <w:bookmarkStart w:id="46" w:name="_Toc19178"/>
      <w:r>
        <w:rPr>
          <w:rFonts w:hint="eastAsia"/>
        </w:rPr>
        <w:t>2.2招标文件的澄清和修改</w:t>
      </w:r>
      <w:bookmarkEnd w:id="45"/>
      <w:bookmarkEnd w:id="46"/>
    </w:p>
    <w:p w14:paraId="0A868AEF">
      <w:pPr>
        <w:ind w:firstLine="480"/>
      </w:pPr>
      <w:r>
        <w:rPr>
          <w:rFonts w:hint="eastAsia"/>
        </w:rPr>
        <w:t>2.2.1采购人、代理机构可以对已发出的招标文件、资格预审文件、投标邀请书进行必要的澄清或者修改，但不得改变采购标的和资格条件。澄清或者修改应当在原公告发布媒体上发布澄清公告。</w:t>
      </w:r>
    </w:p>
    <w:p w14:paraId="784A2BFD">
      <w:pPr>
        <w:ind w:firstLine="480"/>
      </w:pPr>
      <w:r>
        <w:rPr>
          <w:rFonts w:hint="eastAsia"/>
        </w:rPr>
        <w:t>2.2.2招标文件澄清或者修改的内容可能影响招标文件编制的，采购人或者采购代理机构应当在投标截止时间至少15日前，以书面形式（必须在原公告发布媒体上发布公告）通知所有获取招标文件的潜在投标人；不足15日的，应当顺延提交投标文件的截止时间。</w:t>
      </w:r>
    </w:p>
    <w:p w14:paraId="135BB8E9">
      <w:pPr>
        <w:ind w:firstLine="480"/>
      </w:pPr>
      <w:r>
        <w:rPr>
          <w:rFonts w:hint="eastAsia"/>
        </w:rPr>
        <w:t>2.2.3澄清或者修改的内容为招标文件、资格预审文件、投标邀请书的组成部分。</w:t>
      </w:r>
    </w:p>
    <w:p w14:paraId="6998D9C0">
      <w:pPr>
        <w:ind w:firstLine="480"/>
        <w:rPr>
          <w:rFonts w:ascii="宋体" w:hAnsi="宋体" w:cs="宋体"/>
          <w:b/>
          <w:bCs/>
          <w:highlight w:val="yellow"/>
        </w:rPr>
      </w:pPr>
      <w:r>
        <w:rPr>
          <w:rFonts w:hint="eastAsia"/>
        </w:rPr>
        <w:t>2.2.4政府采购项目实行网上受理，开标前所有信息保密。因此，采购人或代理机构发布的一切公告信息（包括招标公告、资格预审公告、变更公告、澄清公告、修改公告等）均在“招标公告”发布的同一媒体发布，</w:t>
      </w:r>
      <w:r>
        <w:rPr>
          <w:rFonts w:hint="eastAsia" w:ascii="宋体" w:hAnsi="宋体" w:cs="宋体"/>
          <w:b/>
          <w:bCs/>
          <w:kern w:val="0"/>
        </w:rPr>
        <w:t>请潜在投标人随时查询有关公告信息。若因潜在投标人没有及时查看到公告信息而造成的投标失误，责任自负。</w:t>
      </w:r>
    </w:p>
    <w:p w14:paraId="108C9A80">
      <w:pPr>
        <w:pStyle w:val="3"/>
        <w:rPr>
          <w:rFonts w:ascii="宋体" w:hAnsi="宋体"/>
        </w:rPr>
      </w:pPr>
      <w:bookmarkStart w:id="47" w:name="_Toc12377"/>
      <w:r>
        <w:rPr>
          <w:rFonts w:hint="eastAsia"/>
        </w:rPr>
        <w:t>3.投标文件</w:t>
      </w:r>
      <w:bookmarkEnd w:id="47"/>
    </w:p>
    <w:p w14:paraId="18D09B03">
      <w:pPr>
        <w:pStyle w:val="4"/>
        <w:ind w:firstLine="482"/>
      </w:pPr>
      <w:bookmarkStart w:id="48" w:name="_Toc2808"/>
      <w:bookmarkStart w:id="49" w:name="_Toc3766"/>
      <w:r>
        <w:rPr>
          <w:rFonts w:hint="eastAsia"/>
        </w:rPr>
        <w:t>3.1投标文件的组成</w:t>
      </w:r>
      <w:bookmarkEnd w:id="48"/>
      <w:bookmarkEnd w:id="49"/>
    </w:p>
    <w:p w14:paraId="693BEFD3">
      <w:pPr>
        <w:autoSpaceDE w:val="0"/>
        <w:autoSpaceDN w:val="0"/>
        <w:adjustRightInd w:val="0"/>
        <w:spacing w:line="500" w:lineRule="exact"/>
        <w:ind w:left="7" w:right="120" w:firstLine="480"/>
        <w:jc w:val="left"/>
        <w:rPr>
          <w:rFonts w:ascii="宋体" w:hAnsi="宋体" w:cs="宋体"/>
        </w:rPr>
      </w:pPr>
      <w:r>
        <w:rPr>
          <w:rFonts w:hint="eastAsia" w:ascii="宋体" w:hAnsi="宋体" w:cs="宋体"/>
          <w:kern w:val="0"/>
        </w:rPr>
        <w:t>详见第六章“投标文件格式”</w:t>
      </w:r>
    </w:p>
    <w:p w14:paraId="2E49A7DC">
      <w:pPr>
        <w:pStyle w:val="4"/>
        <w:ind w:firstLine="482"/>
        <w:rPr>
          <w:rFonts w:ascii="宋体" w:hAnsi="宋体" w:cs="宋体"/>
        </w:rPr>
      </w:pPr>
      <w:bookmarkStart w:id="50" w:name="_Toc26191"/>
      <w:bookmarkStart w:id="51" w:name="_Toc24145"/>
      <w:r>
        <w:rPr>
          <w:rFonts w:hint="eastAsia"/>
        </w:rPr>
        <w:t>3.2投标报价</w:t>
      </w:r>
      <w:bookmarkEnd w:id="50"/>
      <w:bookmarkEnd w:id="51"/>
    </w:p>
    <w:p w14:paraId="2166ACC9">
      <w:pPr>
        <w:ind w:firstLine="480"/>
      </w:pPr>
      <w:r>
        <w:rPr>
          <w:rFonts w:hint="eastAsia"/>
        </w:rPr>
        <w:t>3.2.1货物类项目为交货地点交货价格，包括货物、随配附件、备品备件、工具、厂家赠品、运抵指定交货地点费用、保险费、安装调试费、服务费、售后服务、税金及其他所有费用的总和；服务类项目为招标文件要求服务内容的全部费用。</w:t>
      </w:r>
    </w:p>
    <w:p w14:paraId="34F419A9">
      <w:pPr>
        <w:ind w:firstLine="480"/>
      </w:pPr>
      <w:r>
        <w:rPr>
          <w:rFonts w:hint="eastAsia"/>
        </w:rPr>
        <w:t>3.2.2投标报价为最终报价，除非因特殊原因并经买卖双方协商同意，投标人不得在要求追加任何费用。同时，除非合同条款中另有规定，否则投标单位所报价格在合同实施期间不因市场变化因素而变动。</w:t>
      </w:r>
    </w:p>
    <w:p w14:paraId="4017CCCF">
      <w:pPr>
        <w:ind w:firstLine="480"/>
      </w:pPr>
      <w:r>
        <w:rPr>
          <w:rFonts w:hint="eastAsia"/>
        </w:rPr>
        <w:t>3.2.3成交人不得以任何理由在投标截止后对投标报价予以修改，报价在投标有效期内是固定的，不因任何原因而改变。任何包含价格调整要求和条件的投标，将被视为非实质性响应投标而予与拒绝。</w:t>
      </w:r>
    </w:p>
    <w:p w14:paraId="7F479846">
      <w:pPr>
        <w:pStyle w:val="4"/>
        <w:ind w:firstLine="482"/>
        <w:rPr>
          <w:rFonts w:ascii="宋体" w:hAnsi="宋体" w:cs="宋体"/>
        </w:rPr>
      </w:pPr>
      <w:bookmarkStart w:id="52" w:name="_Toc21825"/>
      <w:bookmarkStart w:id="53" w:name="_Toc18093"/>
      <w:r>
        <w:rPr>
          <w:rFonts w:hint="eastAsia"/>
        </w:rPr>
        <w:t>3.3投标有效期</w:t>
      </w:r>
      <w:bookmarkEnd w:id="52"/>
      <w:bookmarkEnd w:id="53"/>
    </w:p>
    <w:p w14:paraId="4AC93318">
      <w:pPr>
        <w:ind w:firstLine="480"/>
      </w:pPr>
      <w:r>
        <w:rPr>
          <w:rFonts w:hint="eastAsia"/>
        </w:rPr>
        <w:t>3.3.1在投标人须知前附表规定的投标有效期内，投标人不得要求撤销或修改其投标文件。</w:t>
      </w:r>
    </w:p>
    <w:p w14:paraId="48712985">
      <w:pPr>
        <w:ind w:firstLine="480"/>
      </w:pPr>
      <w:r>
        <w:rPr>
          <w:rFonts w:hint="eastAsia"/>
        </w:rPr>
        <w:t>3.3.2特别情况下，代理机构、采购人可于投标有效期满之前要求投标人同意延长有效期，要求与答复均为书面形式。投标人可以拒绝上述要求。对于同意该要求的投标人，既不要求也不允许其修改投标文件。</w:t>
      </w:r>
    </w:p>
    <w:p w14:paraId="46C71A57">
      <w:pPr>
        <w:pStyle w:val="4"/>
        <w:ind w:firstLine="482"/>
      </w:pPr>
      <w:bookmarkStart w:id="54" w:name="_Toc3943"/>
      <w:bookmarkStart w:id="55" w:name="_Toc20368"/>
      <w:r>
        <w:rPr>
          <w:rFonts w:hint="eastAsia"/>
        </w:rPr>
        <w:t>3.4资格审查资料</w:t>
      </w:r>
      <w:bookmarkEnd w:id="54"/>
      <w:bookmarkEnd w:id="55"/>
    </w:p>
    <w:p w14:paraId="7A3B5A70">
      <w:pPr>
        <w:ind w:firstLine="480"/>
        <w:rPr>
          <w:rFonts w:ascii="宋体" w:hAnsi="宋体" w:cs="宋体"/>
        </w:rPr>
      </w:pPr>
      <w:r>
        <w:rPr>
          <w:rFonts w:hint="eastAsia"/>
        </w:rPr>
        <w:t>见投标人须知前附表。</w:t>
      </w:r>
    </w:p>
    <w:p w14:paraId="3D1FD1EC">
      <w:pPr>
        <w:pStyle w:val="4"/>
        <w:ind w:firstLine="482"/>
      </w:pPr>
      <w:bookmarkStart w:id="56" w:name="_Toc29557"/>
      <w:bookmarkStart w:id="57" w:name="_Toc21365"/>
      <w:r>
        <w:rPr>
          <w:rFonts w:hint="eastAsia"/>
        </w:rPr>
        <w:t>3.5备选方案</w:t>
      </w:r>
      <w:bookmarkEnd w:id="56"/>
      <w:bookmarkEnd w:id="57"/>
    </w:p>
    <w:p w14:paraId="2461195F">
      <w:pPr>
        <w:ind w:firstLine="480"/>
      </w:pPr>
      <w:r>
        <w:rPr>
          <w:rFonts w:hint="eastAsia"/>
        </w:rPr>
        <w:t>除投标人须知前附表另有规定外，投标人不得递交备选投标方案。</w:t>
      </w:r>
    </w:p>
    <w:p w14:paraId="0D5EEF5C">
      <w:pPr>
        <w:pStyle w:val="4"/>
        <w:ind w:firstLine="482"/>
      </w:pPr>
      <w:bookmarkStart w:id="58" w:name="_Toc32462"/>
      <w:bookmarkStart w:id="59" w:name="_Toc22909"/>
      <w:r>
        <w:rPr>
          <w:rFonts w:hint="eastAsia"/>
        </w:rPr>
        <w:t>3.6投标文件的编制</w:t>
      </w:r>
      <w:bookmarkEnd w:id="58"/>
      <w:bookmarkEnd w:id="59"/>
    </w:p>
    <w:p w14:paraId="2EE4F2BE">
      <w:pPr>
        <w:ind w:firstLine="480"/>
      </w:pPr>
      <w:r>
        <w:rPr>
          <w:rFonts w:hint="eastAsia"/>
        </w:rPr>
        <w:t>3.6.1投标文件应按第六章“投标文件部分格式”进行编写，如有必要，可以增加附页，作为投标文件的组成部分。其中，报价函附录在满足招标文件实质性要求的基础上，可以提出比招标文件要求更有利于采购人的承诺。</w:t>
      </w:r>
    </w:p>
    <w:p w14:paraId="64B295FF">
      <w:pPr>
        <w:ind w:firstLine="480"/>
      </w:pPr>
      <w:r>
        <w:rPr>
          <w:rFonts w:hint="eastAsia"/>
        </w:rPr>
        <w:t>3.6.2电子投标文件需要使用投标文件制作工具制作，并使用CA数字证书认证并加密，具体详见《投标人操作手册》。否则，被视为无效投标文件，其投标文件将被电子交易系统拒绝。</w:t>
      </w:r>
    </w:p>
    <w:p w14:paraId="1D217FE6">
      <w:pPr>
        <w:ind w:firstLine="480"/>
      </w:pPr>
      <w:r>
        <w:rPr>
          <w:rFonts w:hint="eastAsia"/>
        </w:rPr>
        <w:t>3.6.3电子投标文件中的图片应清晰可辨，否则所导致的一切后果由投标人自行承担。</w:t>
      </w:r>
    </w:p>
    <w:p w14:paraId="479292D4">
      <w:pPr>
        <w:ind w:firstLine="480"/>
      </w:pPr>
      <w:r>
        <w:rPr>
          <w:rFonts w:hint="eastAsia"/>
        </w:rPr>
        <w:t>3.6.4投标文件文字：投标文件均以中文印制，中文以外的文字应附以中文译文，中外文不符时以中文为准。</w:t>
      </w:r>
    </w:p>
    <w:p w14:paraId="352C44E2">
      <w:pPr>
        <w:ind w:firstLine="480"/>
      </w:pPr>
      <w:r>
        <w:rPr>
          <w:rFonts w:hint="eastAsia"/>
        </w:rPr>
        <w:t>3.6.5投标文件计量单位：除在投标文件的技术规格中有规定的之外，计量单位使用中华人民共和国法定计量单位。</w:t>
      </w:r>
    </w:p>
    <w:p w14:paraId="053E0A8A">
      <w:pPr>
        <w:ind w:firstLine="480"/>
      </w:pPr>
      <w:r>
        <w:rPr>
          <w:rFonts w:hint="eastAsia"/>
        </w:rPr>
        <w:t>3.6.6投标文件签名或签章要求：电子投标文件必须在规定签章处加盖电子签章（投标人电子公章或法定代表人电子签名）。</w:t>
      </w:r>
    </w:p>
    <w:p w14:paraId="77050310">
      <w:pPr>
        <w:pStyle w:val="3"/>
        <w:rPr>
          <w:rFonts w:ascii="宋体" w:hAnsi="宋体"/>
        </w:rPr>
      </w:pPr>
      <w:bookmarkStart w:id="60" w:name="_Toc20871"/>
      <w:r>
        <w:rPr>
          <w:rFonts w:hint="eastAsia"/>
        </w:rPr>
        <w:t>4.</w:t>
      </w:r>
      <w:r>
        <w:t>投标</w:t>
      </w:r>
      <w:bookmarkEnd w:id="60"/>
    </w:p>
    <w:p w14:paraId="70DE438F">
      <w:pPr>
        <w:pStyle w:val="4"/>
        <w:ind w:firstLine="482"/>
      </w:pPr>
      <w:bookmarkStart w:id="61" w:name="_Toc8087"/>
      <w:bookmarkStart w:id="62" w:name="_Toc5049"/>
      <w:r>
        <w:rPr>
          <w:rFonts w:hint="eastAsia"/>
        </w:rPr>
        <w:t>4.1投标文件的密封和标记</w:t>
      </w:r>
      <w:bookmarkEnd w:id="61"/>
      <w:bookmarkEnd w:id="62"/>
    </w:p>
    <w:p w14:paraId="5C49C203">
      <w:pPr>
        <w:ind w:firstLine="480"/>
      </w:pPr>
      <w:r>
        <w:rPr>
          <w:rFonts w:hint="eastAsia"/>
        </w:rPr>
        <w:t>4.1.1投标文件的密封方式详见投标人须知前附表。</w:t>
      </w:r>
    </w:p>
    <w:p w14:paraId="5C636767">
      <w:pPr>
        <w:ind w:firstLine="480"/>
      </w:pPr>
      <w:r>
        <w:rPr>
          <w:rFonts w:hint="eastAsia"/>
        </w:rPr>
        <w:t>4.1.2未按本章第4.1.1项要求密封上传的投标文件，采购人不予受理。</w:t>
      </w:r>
    </w:p>
    <w:p w14:paraId="1537964F">
      <w:pPr>
        <w:pStyle w:val="4"/>
        <w:ind w:firstLine="482"/>
      </w:pPr>
      <w:bookmarkStart w:id="63" w:name="_Toc15600"/>
      <w:bookmarkStart w:id="64" w:name="_Toc30521"/>
      <w:r>
        <w:rPr>
          <w:rFonts w:hint="eastAsia"/>
        </w:rPr>
        <w:t>4.2投标文件的递交</w:t>
      </w:r>
      <w:bookmarkEnd w:id="63"/>
      <w:bookmarkEnd w:id="64"/>
    </w:p>
    <w:p w14:paraId="633EB457">
      <w:pPr>
        <w:ind w:firstLine="480"/>
      </w:pPr>
      <w:r>
        <w:rPr>
          <w:rFonts w:hint="eastAsia"/>
        </w:rPr>
        <w:t>4.2.1电子投标文件递交详见投标人须知前附表。</w:t>
      </w:r>
    </w:p>
    <w:p w14:paraId="2DACA1ED">
      <w:pPr>
        <w:ind w:firstLine="480"/>
      </w:pPr>
      <w:r>
        <w:rPr>
          <w:rFonts w:hint="eastAsia"/>
        </w:rPr>
        <w:t>4.2.2备份电子投标文件的提交详见投标人须知前附表。</w:t>
      </w:r>
    </w:p>
    <w:p w14:paraId="686CDA4C">
      <w:pPr>
        <w:ind w:firstLine="480"/>
      </w:pPr>
      <w:r>
        <w:rPr>
          <w:rFonts w:hint="eastAsia"/>
        </w:rPr>
        <w:t>4.2.3除投标人须知前附表另有规定外，投标人所递交的投标文件不予退还。</w:t>
      </w:r>
    </w:p>
    <w:p w14:paraId="096AF86D">
      <w:pPr>
        <w:ind w:firstLine="480"/>
        <w:rPr>
          <w:rFonts w:ascii="宋体" w:hAnsi="宋体" w:cs="宋体"/>
        </w:rPr>
      </w:pPr>
      <w:r>
        <w:rPr>
          <w:rFonts w:hint="eastAsia"/>
        </w:rPr>
        <w:t>4.2.4逾期上传的或者未上传指定地点的电子投标文件，采购人不予受理。</w:t>
      </w:r>
    </w:p>
    <w:p w14:paraId="24163415">
      <w:pPr>
        <w:pStyle w:val="4"/>
        <w:ind w:firstLine="482"/>
      </w:pPr>
      <w:bookmarkStart w:id="65" w:name="_Toc28813"/>
      <w:bookmarkStart w:id="66" w:name="_Toc19772"/>
      <w:r>
        <w:rPr>
          <w:rFonts w:hint="eastAsia"/>
        </w:rPr>
        <w:t>4.3投标文件的签署及修改</w:t>
      </w:r>
      <w:bookmarkEnd w:id="65"/>
      <w:bookmarkEnd w:id="66"/>
    </w:p>
    <w:p w14:paraId="5CF85867">
      <w:pPr>
        <w:ind w:firstLine="482"/>
        <w:rPr>
          <w:b/>
          <w:bCs/>
        </w:rPr>
      </w:pPr>
      <w:r>
        <w:rPr>
          <w:rFonts w:hint="eastAsia"/>
          <w:b/>
          <w:bCs/>
        </w:rPr>
        <w:t>4.3.1电子投标文件必须在规定签章处加盖电子签章（投标人电子公章、法定代表人电子签名）。</w:t>
      </w:r>
    </w:p>
    <w:p w14:paraId="3DF0408F">
      <w:pPr>
        <w:ind w:firstLine="482"/>
        <w:rPr>
          <w:b/>
          <w:bCs/>
        </w:rPr>
      </w:pPr>
      <w:r>
        <w:rPr>
          <w:rFonts w:hint="eastAsia"/>
          <w:b/>
          <w:bCs/>
        </w:rPr>
        <w:t>4.3.2投标人应关注是否有发布最新的澄清更正公告和电子答疑文件，如有则需下载最新的招标文件，并在此基础上制作最新的投标文件和上传。</w:t>
      </w:r>
    </w:p>
    <w:p w14:paraId="5C436DC6">
      <w:pPr>
        <w:ind w:firstLine="480"/>
      </w:pPr>
      <w:r>
        <w:rPr>
          <w:rFonts w:hint="eastAsia"/>
        </w:rPr>
        <w:t>4.3.3在招标文件规定的投标截止时间前，投标人可以修改或撤回已上传的电子投标文件，最终电子投标文件以投标截止时间前完成上传至《全国公共资源交易平台（河南省·南阳市·卧龙区）》以最后一份电子投标文件为准。</w:t>
      </w:r>
    </w:p>
    <w:p w14:paraId="7D036234">
      <w:pPr>
        <w:ind w:firstLine="480"/>
      </w:pPr>
      <w:r>
        <w:rPr>
          <w:rFonts w:hint="eastAsia"/>
        </w:rPr>
        <w:t>4.3.4投标截止时间之后，投标单位不得修改或撤回电子投标文件。</w:t>
      </w:r>
    </w:p>
    <w:p w14:paraId="1874BB00">
      <w:pPr>
        <w:pStyle w:val="3"/>
      </w:pPr>
      <w:bookmarkStart w:id="67" w:name="_Toc28384"/>
      <w:r>
        <w:rPr>
          <w:rFonts w:hint="eastAsia"/>
        </w:rPr>
        <w:t>5.开标</w:t>
      </w:r>
      <w:bookmarkEnd w:id="67"/>
    </w:p>
    <w:p w14:paraId="72D06D12">
      <w:pPr>
        <w:pStyle w:val="4"/>
        <w:ind w:firstLine="482"/>
        <w:rPr>
          <w:rFonts w:ascii="宋体" w:hAnsi="宋体" w:cs="宋体"/>
        </w:rPr>
      </w:pPr>
      <w:bookmarkStart w:id="68" w:name="_Toc27908"/>
      <w:bookmarkStart w:id="69" w:name="_Toc18884"/>
      <w:r>
        <w:rPr>
          <w:rFonts w:hint="eastAsia"/>
        </w:rPr>
        <w:t>5.1开标时间和地点</w:t>
      </w:r>
      <w:bookmarkEnd w:id="68"/>
      <w:bookmarkEnd w:id="69"/>
    </w:p>
    <w:p w14:paraId="5FE5E2C2">
      <w:pPr>
        <w:ind w:firstLine="480"/>
      </w:pPr>
      <w:bookmarkStart w:id="70" w:name="_Toc7286"/>
      <w:bookmarkStart w:id="71" w:name="_Toc16023"/>
      <w:r>
        <w:rPr>
          <w:rFonts w:hint="eastAsia"/>
        </w:rPr>
        <w:t>招标人将按招标文件规定的时间和地点组织开标。</w:t>
      </w:r>
    </w:p>
    <w:p w14:paraId="763EEF39">
      <w:pPr>
        <w:pStyle w:val="4"/>
        <w:ind w:firstLine="482"/>
        <w:rPr>
          <w:rFonts w:ascii="宋体" w:hAnsi="宋体" w:cs="宋体"/>
        </w:rPr>
      </w:pPr>
      <w:r>
        <w:rPr>
          <w:rFonts w:hint="eastAsia"/>
        </w:rPr>
        <w:t>5.2开标程序</w:t>
      </w:r>
      <w:bookmarkEnd w:id="70"/>
      <w:bookmarkEnd w:id="71"/>
    </w:p>
    <w:p w14:paraId="5E7D5CA2">
      <w:pPr>
        <w:ind w:firstLine="480"/>
      </w:pPr>
      <w:r>
        <w:rPr>
          <w:rFonts w:hint="eastAsia"/>
        </w:rPr>
        <w:t>5.2.1本项目采用“远程不见面”开标方式,投标人无需到现场提交原件资料、无需到卧龙区公共资源交易中心现场参加开标会议；投标人应当在开标截止时间前,用信安CA数字证书登录卧龙区公共资源交易中心并进入“不见面开标大厅”等候开标,在线准时参加开标活动并进行投标文件解密、答疑澄清等。（开标过程中，如投标人准备不到位，造成无法及时解密、网络问题等情况造成开标无法继续的，视为错过解密时长，本次项目解密时长为30分钟，错过解密时长者视为自动放弃本次投标）</w:t>
      </w:r>
    </w:p>
    <w:p w14:paraId="18BF95DC">
      <w:pPr>
        <w:ind w:firstLine="480"/>
      </w:pPr>
      <w:r>
        <w:rPr>
          <w:rFonts w:hint="eastAsia"/>
        </w:rPr>
        <w:t>5.2.2招标人、监督部门代表到达开标现场</w:t>
      </w:r>
    </w:p>
    <w:p w14:paraId="5A1D06DE">
      <w:pPr>
        <w:ind w:firstLine="480"/>
      </w:pPr>
      <w:r>
        <w:rPr>
          <w:rFonts w:hint="eastAsia"/>
        </w:rPr>
        <w:t>5.2.3远程开标程序</w:t>
      </w:r>
    </w:p>
    <w:p w14:paraId="1863A201">
      <w:pPr>
        <w:ind w:firstLine="480"/>
      </w:pPr>
      <w:r>
        <w:rPr>
          <w:rFonts w:hint="eastAsia"/>
        </w:rPr>
        <w:t>5.2.3.1投标人解密：开标时间截止后，在规定时间内使用电子CA自行解密电子投标文件。</w:t>
      </w:r>
    </w:p>
    <w:p w14:paraId="52C4CC18">
      <w:pPr>
        <w:ind w:firstLine="480"/>
      </w:pPr>
      <w:r>
        <w:rPr>
          <w:rFonts w:hint="eastAsia"/>
        </w:rPr>
        <w:t>5.2.3.2不见面开标大厅公布开标现场一览表</w:t>
      </w:r>
    </w:p>
    <w:p w14:paraId="34B5A9E5">
      <w:pPr>
        <w:ind w:firstLine="480"/>
      </w:pPr>
      <w:r>
        <w:rPr>
          <w:rFonts w:hint="eastAsia"/>
        </w:rPr>
        <w:t>5.2.3.3投标人（或其授权委托代理人）在线签章确认开标现场一览表，在规定时限内（投标截</w:t>
      </w:r>
      <w:r>
        <w:rPr>
          <w:rFonts w:hint="eastAsia"/>
          <w:lang w:val="en-US" w:eastAsia="zh-CN"/>
        </w:rPr>
        <w:t>至</w:t>
      </w:r>
      <w:r>
        <w:rPr>
          <w:rFonts w:hint="eastAsia"/>
        </w:rPr>
        <w:t>30分钟内）未签章确认的视为默认开标现场一览表。</w:t>
      </w:r>
    </w:p>
    <w:p w14:paraId="2F0C67A5">
      <w:pPr>
        <w:ind w:firstLine="480"/>
        <w:rPr>
          <w:rFonts w:ascii="宋体" w:hAnsi="宋体" w:cs="宋体"/>
          <w:kern w:val="0"/>
        </w:rPr>
      </w:pPr>
      <w:r>
        <w:rPr>
          <w:rFonts w:hint="eastAsia"/>
        </w:rPr>
        <w:t>5.2.3.4宣布开标结束。</w:t>
      </w:r>
    </w:p>
    <w:p w14:paraId="0EC50FF4">
      <w:pPr>
        <w:pStyle w:val="3"/>
        <w:rPr>
          <w:rFonts w:ascii="宋体" w:hAnsi="宋体"/>
        </w:rPr>
      </w:pPr>
      <w:bookmarkStart w:id="72" w:name="_Toc19931"/>
      <w:r>
        <w:rPr>
          <w:rFonts w:hint="eastAsia"/>
        </w:rPr>
        <w:t>6.评标</w:t>
      </w:r>
      <w:bookmarkEnd w:id="72"/>
    </w:p>
    <w:p w14:paraId="05036EA2">
      <w:pPr>
        <w:pStyle w:val="4"/>
        <w:ind w:firstLine="482"/>
      </w:pPr>
      <w:bookmarkStart w:id="73" w:name="_Toc16265"/>
      <w:bookmarkStart w:id="74" w:name="_Toc3658"/>
      <w:r>
        <w:rPr>
          <w:rFonts w:hint="eastAsia"/>
        </w:rPr>
        <w:t>6.1评标小组</w:t>
      </w:r>
      <w:bookmarkEnd w:id="73"/>
      <w:bookmarkEnd w:id="74"/>
    </w:p>
    <w:p w14:paraId="4E3D817E">
      <w:pPr>
        <w:ind w:firstLine="480"/>
      </w:pPr>
      <w:r>
        <w:rPr>
          <w:rFonts w:hint="eastAsia"/>
        </w:rPr>
        <w:t>评标由采购人依法组建的评标小组负责。评标小组由采购人代表以及有关技术、经济等方面的专家组成。评标小组成员人数以及技术、经济等方面专家的确定方式见投标人须知前附表。</w:t>
      </w:r>
    </w:p>
    <w:p w14:paraId="75B679A0">
      <w:pPr>
        <w:pStyle w:val="4"/>
        <w:ind w:firstLine="482"/>
      </w:pPr>
      <w:bookmarkStart w:id="75" w:name="_Toc8776"/>
      <w:bookmarkStart w:id="76" w:name="_Toc3166"/>
      <w:r>
        <w:rPr>
          <w:rFonts w:hint="eastAsia"/>
        </w:rPr>
        <w:t>6.2评标原则</w:t>
      </w:r>
      <w:bookmarkEnd w:id="75"/>
      <w:bookmarkEnd w:id="76"/>
    </w:p>
    <w:p w14:paraId="1A791744">
      <w:pPr>
        <w:ind w:firstLine="480"/>
        <w:rPr>
          <w:rFonts w:ascii="宋体" w:hAnsi="宋体" w:cs="宋体"/>
        </w:rPr>
      </w:pPr>
      <w:r>
        <w:rPr>
          <w:rFonts w:hint="eastAsia"/>
        </w:rPr>
        <w:t>评标活动遵循公平、公正、科学和择优的原则。</w:t>
      </w:r>
    </w:p>
    <w:p w14:paraId="29B23CA3">
      <w:pPr>
        <w:pStyle w:val="4"/>
        <w:ind w:firstLine="482"/>
        <w:rPr>
          <w:rFonts w:ascii="宋体" w:hAnsi="宋体" w:cs="宋体"/>
        </w:rPr>
      </w:pPr>
      <w:bookmarkStart w:id="77" w:name="_Toc23372"/>
      <w:bookmarkStart w:id="78" w:name="_Toc32216"/>
      <w:r>
        <w:rPr>
          <w:rFonts w:hint="eastAsia"/>
        </w:rPr>
        <w:t>6.3</w:t>
      </w:r>
      <w:bookmarkEnd w:id="77"/>
      <w:bookmarkEnd w:id="78"/>
      <w:r>
        <w:rPr>
          <w:rFonts w:hint="eastAsia"/>
        </w:rPr>
        <w:t>评标</w:t>
      </w:r>
    </w:p>
    <w:p w14:paraId="26CE34BE">
      <w:pPr>
        <w:ind w:firstLine="480"/>
      </w:pPr>
      <w:r>
        <w:rPr>
          <w:rFonts w:hint="eastAsia"/>
        </w:rPr>
        <w:t>评标小组按照第三章“评标办法”规定的方法、评审因素、标准和程序对投标文件进行评审。第三章“评标办法”没有规定的方法、评审因素和标准，不作为评标依据。</w:t>
      </w:r>
    </w:p>
    <w:p w14:paraId="61389C5C">
      <w:pPr>
        <w:pStyle w:val="3"/>
      </w:pPr>
      <w:bookmarkStart w:id="79" w:name="_Toc7875"/>
      <w:r>
        <w:rPr>
          <w:rFonts w:hint="eastAsia"/>
        </w:rPr>
        <w:t>7.合同授予</w:t>
      </w:r>
      <w:bookmarkEnd w:id="79"/>
    </w:p>
    <w:p w14:paraId="64283849">
      <w:pPr>
        <w:pStyle w:val="4"/>
        <w:ind w:firstLine="482"/>
      </w:pPr>
      <w:bookmarkStart w:id="80" w:name="_Toc8435"/>
      <w:bookmarkStart w:id="81" w:name="_Toc26800"/>
      <w:r>
        <w:rPr>
          <w:rFonts w:hint="eastAsia"/>
        </w:rPr>
        <w:t>7.1定标方式</w:t>
      </w:r>
      <w:bookmarkEnd w:id="80"/>
      <w:bookmarkEnd w:id="81"/>
    </w:p>
    <w:p w14:paraId="0FB05116">
      <w:pPr>
        <w:ind w:firstLine="480"/>
      </w:pPr>
      <w:r>
        <w:rPr>
          <w:rFonts w:hint="eastAsia"/>
        </w:rPr>
        <w:t>除投标人须知前附表规定评标小组直接确定成交人外，采购人依据评标小组推荐的成交候选人确定成交人，评标小组推荐成交候选人的人数见投标人须知前附表。采购人将依序确定排名第一的投标人为成交人，若第一成交候选人放弃成交、因不可抗力不能履行合同，或者被查实存在影响成交结果的违法行为等情形，不符合成交条件的，采购人可以按照评标小组提出的成交候选人名单排序依次确定其他成交候选人为成交人，也可以重新招标。</w:t>
      </w:r>
    </w:p>
    <w:p w14:paraId="7D674396">
      <w:pPr>
        <w:pStyle w:val="4"/>
        <w:ind w:firstLine="482"/>
        <w:rPr>
          <w:rFonts w:ascii="宋体" w:hAnsi="宋体" w:cs="宋体"/>
        </w:rPr>
      </w:pPr>
      <w:bookmarkStart w:id="82" w:name="_Toc20189"/>
      <w:bookmarkStart w:id="83" w:name="_Toc21697"/>
      <w:r>
        <w:rPr>
          <w:rFonts w:hint="eastAsia"/>
        </w:rPr>
        <w:t>7.2成交通知</w:t>
      </w:r>
      <w:bookmarkEnd w:id="82"/>
      <w:bookmarkEnd w:id="83"/>
    </w:p>
    <w:p w14:paraId="010A5AF9">
      <w:pPr>
        <w:ind w:firstLine="480"/>
      </w:pPr>
      <w:r>
        <w:rPr>
          <w:rFonts w:hint="eastAsia"/>
        </w:rPr>
        <w:t>7.2.1成交人被正式确定后，代理机构将在招标公告发布的同一媒体上公告中标结果。</w:t>
      </w:r>
    </w:p>
    <w:p w14:paraId="0641AF6A">
      <w:pPr>
        <w:ind w:firstLine="480"/>
        <w:rPr>
          <w:rFonts w:ascii="宋体" w:hAnsi="宋体" w:cs="宋体"/>
        </w:rPr>
      </w:pPr>
      <w:r>
        <w:rPr>
          <w:rFonts w:hint="eastAsia"/>
        </w:rPr>
        <w:t>7.2.2《成交通知书》将作为签订合同的依据之一。</w:t>
      </w:r>
    </w:p>
    <w:p w14:paraId="1EACC90D">
      <w:pPr>
        <w:pStyle w:val="4"/>
        <w:ind w:firstLine="482"/>
      </w:pPr>
      <w:bookmarkStart w:id="84" w:name="_Toc17902"/>
      <w:bookmarkStart w:id="85" w:name="_Toc23347"/>
      <w:r>
        <w:rPr>
          <w:rFonts w:hint="eastAsia"/>
        </w:rPr>
        <w:t>7.3签订合同</w:t>
      </w:r>
      <w:bookmarkEnd w:id="84"/>
      <w:bookmarkEnd w:id="85"/>
    </w:p>
    <w:p w14:paraId="52C959BC">
      <w:pPr>
        <w:ind w:firstLine="480"/>
      </w:pPr>
      <w:r>
        <w:rPr>
          <w:rFonts w:hint="eastAsia"/>
        </w:rPr>
        <w:t>7.3.1采购人和成交人应当自成交通知书发出之日起30天内，根据招标文件和成交人的投标文件订立合同。成交人无正当理由拒签合同的，采购人取消其成交资格；给采购人造成的损失的，成交人还应当对予以赔偿。</w:t>
      </w:r>
    </w:p>
    <w:p w14:paraId="45969BCB">
      <w:pPr>
        <w:ind w:firstLine="480"/>
      </w:pPr>
      <w:r>
        <w:rPr>
          <w:rFonts w:hint="eastAsia"/>
        </w:rPr>
        <w:t>7.3.2招标文件、投标文件、答疑及澄清文件，均为签订合同的依据。</w:t>
      </w:r>
    </w:p>
    <w:p w14:paraId="14B51622">
      <w:pPr>
        <w:ind w:firstLine="480"/>
      </w:pPr>
      <w:bookmarkStart w:id="86" w:name="_Toc13985"/>
      <w:bookmarkStart w:id="87" w:name="_Toc9728"/>
      <w:r>
        <w:rPr>
          <w:rFonts w:hint="eastAsia"/>
        </w:rPr>
        <w:t>7.4</w:t>
      </w:r>
      <w:r>
        <w:rPr>
          <w:rFonts w:hint="eastAsia"/>
          <w:b/>
          <w:bCs/>
        </w:rPr>
        <w:t>履约担保</w:t>
      </w:r>
      <w:bookmarkEnd w:id="86"/>
      <w:bookmarkEnd w:id="87"/>
      <w:r>
        <w:rPr>
          <w:rFonts w:hint="eastAsia"/>
          <w:b/>
          <w:bCs/>
        </w:rPr>
        <w:t>（如有）</w:t>
      </w:r>
    </w:p>
    <w:p w14:paraId="5985775B">
      <w:pPr>
        <w:ind w:firstLine="480"/>
        <w:rPr>
          <w:rFonts w:ascii="宋体" w:hAnsi="宋体" w:cs="宋体"/>
          <w:highlight w:val="yellow"/>
        </w:rPr>
      </w:pPr>
      <w:r>
        <w:rPr>
          <w:rFonts w:hint="eastAsia"/>
        </w:rPr>
        <w:t>7.4.1在签订合同前，成交人应按投标人须知前附表规定的担保形式和招标文件“合同条款及格式”规定的或者事先经过采购人书面认可的履约担保格式向采购人提交履约担保。除投标人须知前附表另有规定外，履约担保金额为中标合同金额的5%。</w:t>
      </w:r>
    </w:p>
    <w:p w14:paraId="45EA71FB">
      <w:pPr>
        <w:pStyle w:val="3"/>
      </w:pPr>
      <w:bookmarkStart w:id="88" w:name="_Toc27058"/>
      <w:r>
        <w:rPr>
          <w:rFonts w:hint="eastAsia"/>
        </w:rPr>
        <w:t>8.在招标采购中，出现下列情形之一的，应予废标：</w:t>
      </w:r>
      <w:bookmarkEnd w:id="88"/>
    </w:p>
    <w:p w14:paraId="2F02B34F">
      <w:pPr>
        <w:ind w:firstLine="480"/>
      </w:pPr>
      <w:r>
        <w:rPr>
          <w:rFonts w:hint="eastAsia"/>
        </w:rPr>
        <w:t>（1）提交投标文件截止时间止，投标人少于3家的；</w:t>
      </w:r>
    </w:p>
    <w:p w14:paraId="6260EEDB">
      <w:pPr>
        <w:ind w:firstLine="480"/>
      </w:pPr>
      <w:r>
        <w:rPr>
          <w:rFonts w:hint="eastAsia"/>
        </w:rPr>
        <w:t>（2）经评标小组评审后否决所有投标文件的；</w:t>
      </w:r>
    </w:p>
    <w:p w14:paraId="4CB151DD">
      <w:pPr>
        <w:ind w:firstLine="480"/>
      </w:pPr>
      <w:r>
        <w:rPr>
          <w:rFonts w:hint="eastAsia"/>
        </w:rPr>
        <w:t>（3）投标人的报价均超过了采购预算，采购人不能支付的；</w:t>
      </w:r>
    </w:p>
    <w:p w14:paraId="338CF727">
      <w:pPr>
        <w:ind w:firstLine="480"/>
      </w:pPr>
      <w:r>
        <w:rPr>
          <w:rFonts w:hint="eastAsia"/>
        </w:rPr>
        <w:t>（4）出现影响采购公正的违法、违规行为的；</w:t>
      </w:r>
    </w:p>
    <w:p w14:paraId="103285A7">
      <w:pPr>
        <w:ind w:firstLine="480"/>
      </w:pPr>
      <w:r>
        <w:rPr>
          <w:rFonts w:hint="eastAsia"/>
        </w:rPr>
        <w:t>（5）因重大变故，采购任务取消的。废标后，应当在指定媒体发布公告，将废标理由通知所有投标人。</w:t>
      </w:r>
    </w:p>
    <w:p w14:paraId="2D2A4155">
      <w:pPr>
        <w:pStyle w:val="3"/>
      </w:pPr>
      <w:bookmarkStart w:id="89" w:name="_Toc31325"/>
      <w:r>
        <w:rPr>
          <w:rFonts w:hint="eastAsia"/>
        </w:rPr>
        <w:t>9.纪律和监督</w:t>
      </w:r>
      <w:bookmarkEnd w:id="89"/>
    </w:p>
    <w:p w14:paraId="4EE48053">
      <w:pPr>
        <w:pStyle w:val="4"/>
        <w:ind w:firstLine="482"/>
        <w:rPr>
          <w:rFonts w:ascii="宋体" w:hAnsi="宋体" w:cs="宋体"/>
        </w:rPr>
      </w:pPr>
      <w:r>
        <w:rPr>
          <w:rFonts w:hint="eastAsia"/>
        </w:rPr>
        <w:t>9.1对采购人的纪律要求</w:t>
      </w:r>
    </w:p>
    <w:p w14:paraId="178C8E7D">
      <w:pPr>
        <w:ind w:firstLine="480"/>
      </w:pPr>
      <w:r>
        <w:rPr>
          <w:rFonts w:hint="eastAsia"/>
        </w:rPr>
        <w:t>采购人不得泄露招标活动中应当保密的情况和资料，不得与投标人串通损害国家利益、社会公共利益或者他人合法权益。</w:t>
      </w:r>
    </w:p>
    <w:p w14:paraId="5A627724">
      <w:pPr>
        <w:pStyle w:val="4"/>
        <w:ind w:firstLine="482"/>
        <w:rPr>
          <w:rFonts w:ascii="宋体" w:hAnsi="宋体" w:cs="宋体"/>
        </w:rPr>
      </w:pPr>
      <w:r>
        <w:rPr>
          <w:rFonts w:hint="eastAsia"/>
        </w:rPr>
        <w:t>9.2对投标人的纪律要求</w:t>
      </w:r>
    </w:p>
    <w:p w14:paraId="775180FD">
      <w:pPr>
        <w:ind w:firstLine="480"/>
      </w:pPr>
      <w:r>
        <w:rPr>
          <w:rFonts w:hint="eastAsia"/>
        </w:rPr>
        <w:t>投标人不得相互串通或者与采购人串通，不得向采购人或者评标小组行贿谋取成交，不得以他人名义或者以其他方式弄虚作假骗取成交；投标人不得以任何方式干扰、影响评审工作。</w:t>
      </w:r>
    </w:p>
    <w:p w14:paraId="52746DAD">
      <w:pPr>
        <w:pStyle w:val="4"/>
        <w:ind w:firstLine="482"/>
      </w:pPr>
      <w:r>
        <w:rPr>
          <w:rFonts w:hint="eastAsia"/>
        </w:rPr>
        <w:t>9.3对评标小组成员的纪律要求</w:t>
      </w:r>
    </w:p>
    <w:p w14:paraId="7561F5BC">
      <w:pPr>
        <w:ind w:firstLine="480"/>
      </w:pPr>
      <w:r>
        <w:rPr>
          <w:rFonts w:hint="eastAsia"/>
        </w:rPr>
        <w:t>评标小组成员不得收受他人的财物或者其他好处，不得向他人</w:t>
      </w:r>
      <w:r>
        <w:rPr>
          <w:rFonts w:hint="eastAsia"/>
          <w:lang w:eastAsia="zh-CN"/>
        </w:rPr>
        <w:t>透露</w:t>
      </w:r>
      <w:r>
        <w:rPr>
          <w:rFonts w:hint="eastAsia"/>
        </w:rPr>
        <w:t>对投标文件的评审和比较、成交候选人的推荐情况以及评标有关的其他情况。在评标活动中，评标小组成员不得擅离职守，影响评标程序正常进行，不得使用第三章“评标办法”没有规定的评审因素和标准进行评标。</w:t>
      </w:r>
    </w:p>
    <w:p w14:paraId="04388842">
      <w:pPr>
        <w:pStyle w:val="4"/>
        <w:ind w:firstLine="482"/>
      </w:pPr>
      <w:r>
        <w:rPr>
          <w:rFonts w:hint="eastAsia"/>
        </w:rPr>
        <w:t>9.4对与评标活动有关的工作人员的纪律要求</w:t>
      </w:r>
    </w:p>
    <w:p w14:paraId="6E0CF042">
      <w:pPr>
        <w:ind w:firstLine="480"/>
      </w:pPr>
      <w:r>
        <w:rPr>
          <w:rFonts w:hint="eastAsia"/>
        </w:rPr>
        <w:t>与评标活动有关的工作人员不得收受他人的财物或者其他好处，不得向他人</w:t>
      </w:r>
      <w:r>
        <w:rPr>
          <w:rFonts w:hint="eastAsia"/>
          <w:lang w:eastAsia="zh-CN"/>
        </w:rPr>
        <w:t>透露</w:t>
      </w:r>
      <w:r>
        <w:rPr>
          <w:rFonts w:hint="eastAsia"/>
        </w:rPr>
        <w:t>对投标文件的评审和比较、成交候选人的推荐情况以及评标有关的其他情况。在评标活动中，与评标活动有关的工作人员不得擅离职守，影响评标程序正常进行。</w:t>
      </w:r>
    </w:p>
    <w:p w14:paraId="77850745">
      <w:pPr>
        <w:pStyle w:val="4"/>
        <w:ind w:firstLine="482"/>
        <w:rPr>
          <w:rFonts w:ascii="宋体" w:hAnsi="宋体" w:cs="宋体"/>
        </w:rPr>
      </w:pPr>
      <w:r>
        <w:rPr>
          <w:rFonts w:hint="eastAsia"/>
        </w:rPr>
        <w:t>9.5质疑与答复</w:t>
      </w:r>
    </w:p>
    <w:p w14:paraId="04D74BFA">
      <w:pPr>
        <w:autoSpaceDE w:val="0"/>
        <w:autoSpaceDN w:val="0"/>
        <w:adjustRightInd w:val="0"/>
        <w:spacing w:line="500" w:lineRule="exact"/>
        <w:ind w:left="7" w:right="120" w:firstLine="480"/>
        <w:jc w:val="left"/>
        <w:rPr>
          <w:rFonts w:ascii="宋体" w:hAnsi="宋体" w:cs="宋体"/>
          <w:kern w:val="0"/>
        </w:rPr>
      </w:pPr>
      <w:bookmarkStart w:id="90" w:name="_Toc13476"/>
      <w:r>
        <w:rPr>
          <w:rFonts w:hint="eastAsia" w:ascii="宋体" w:hAnsi="宋体" w:cs="宋体"/>
          <w:kern w:val="0"/>
        </w:rPr>
        <w:t>投标供应商和其他利害关系人认为本次招标活动违反法律法规和规章规定的，有权按照《中华人民共和国财政部令第94号--政府采购质疑和投诉办法》规定的程序进行投诉和质疑，但须对投诉和质疑内容的真实性承担责任。监督机构将按国家有关规定予以答复。</w:t>
      </w:r>
    </w:p>
    <w:p w14:paraId="626A2900">
      <w:pPr>
        <w:autoSpaceDE w:val="0"/>
        <w:autoSpaceDN w:val="0"/>
        <w:adjustRightInd w:val="0"/>
        <w:spacing w:line="500" w:lineRule="exact"/>
        <w:ind w:left="7" w:right="120" w:firstLine="480"/>
        <w:jc w:val="left"/>
        <w:rPr>
          <w:rFonts w:ascii="宋体" w:hAnsi="宋体" w:cs="宋体"/>
          <w:kern w:val="0"/>
        </w:rPr>
      </w:pPr>
      <w:r>
        <w:rPr>
          <w:rFonts w:hint="eastAsia" w:ascii="宋体" w:hAnsi="宋体" w:cs="宋体"/>
          <w:kern w:val="0"/>
        </w:rPr>
        <w:t>供应商须在法定质疑期内一次性提出针对同一采购程序环节的质疑。质疑事项应具体、明确，并有必要的事实依据和法律依据。超出法定质疑期的、重复提出的、分次提出的或内容、形式不符合《政府采购质疑和投诉办法》的，采购人和采购代理机构可以拒收，质疑供应商将依法承担不利后果。</w:t>
      </w:r>
    </w:p>
    <w:p w14:paraId="637E41F8">
      <w:pPr>
        <w:pStyle w:val="3"/>
        <w:rPr>
          <w:rFonts w:ascii="宋体" w:hAnsi="宋体"/>
        </w:rPr>
      </w:pPr>
      <w:r>
        <w:rPr>
          <w:rFonts w:hint="eastAsia"/>
        </w:rPr>
        <w:t>10.需要补充的其他内容</w:t>
      </w:r>
      <w:bookmarkEnd w:id="90"/>
    </w:p>
    <w:p w14:paraId="240AC584">
      <w:pPr>
        <w:ind w:firstLine="480"/>
        <w:rPr>
          <w:rStyle w:val="37"/>
          <w:sz w:val="30"/>
          <w:szCs w:val="30"/>
        </w:rPr>
      </w:pPr>
      <w:r>
        <w:rPr>
          <w:rFonts w:hint="eastAsia"/>
        </w:rPr>
        <w:t>需要补充的其他内容：见投标人须知前附表</w:t>
      </w:r>
      <w:r>
        <w:rPr>
          <w:rFonts w:hint="eastAsia" w:ascii="宋体" w:hAnsi="宋体" w:cs="宋体"/>
          <w:szCs w:val="32"/>
        </w:rPr>
        <w:br w:type="page"/>
      </w:r>
      <w:bookmarkStart w:id="91" w:name="_Toc182281918"/>
      <w:bookmarkEnd w:id="91"/>
      <w:bookmarkStart w:id="92" w:name="_Toc16479"/>
      <w:bookmarkEnd w:id="92"/>
      <w:bookmarkStart w:id="93" w:name="_Toc18590"/>
      <w:bookmarkStart w:id="94" w:name="_Toc16107"/>
      <w:bookmarkStart w:id="95" w:name="_Toc19717"/>
      <w:bookmarkStart w:id="96" w:name="_Toc18176"/>
      <w:bookmarkStart w:id="97" w:name="_Toc22009_WPSOffice_Level1"/>
    </w:p>
    <w:p w14:paraId="1A63E701">
      <w:pPr>
        <w:autoSpaceDE w:val="0"/>
        <w:autoSpaceDN w:val="0"/>
        <w:adjustRightInd w:val="0"/>
        <w:ind w:firstLine="1042" w:firstLineChars="346"/>
        <w:jc w:val="center"/>
        <w:rPr>
          <w:rStyle w:val="37"/>
          <w:sz w:val="30"/>
          <w:szCs w:val="30"/>
        </w:rPr>
      </w:pPr>
      <w:r>
        <w:rPr>
          <w:rStyle w:val="37"/>
          <w:sz w:val="30"/>
          <w:szCs w:val="30"/>
        </w:rPr>
        <w:t>第三章评审办法</w:t>
      </w:r>
      <w:bookmarkEnd w:id="93"/>
      <w:bookmarkEnd w:id="94"/>
      <w:bookmarkEnd w:id="95"/>
      <w:bookmarkEnd w:id="96"/>
      <w:bookmarkEnd w:id="97"/>
    </w:p>
    <w:p w14:paraId="09BE273D">
      <w:pPr>
        <w:keepNext/>
        <w:keepLines/>
        <w:spacing w:before="100" w:line="400" w:lineRule="exact"/>
        <w:jc w:val="center"/>
        <w:outlineLvl w:val="1"/>
        <w:rPr>
          <w:rFonts w:hint="eastAsia" w:ascii="宋体" w:hAnsi="宋体" w:cs="宋体"/>
          <w:b/>
          <w:bCs/>
          <w:sz w:val="28"/>
          <w:szCs w:val="28"/>
        </w:rPr>
      </w:pPr>
      <w:bookmarkStart w:id="98" w:name="_Toc323995624"/>
      <w:bookmarkStart w:id="99" w:name="_Toc312749924"/>
      <w:bookmarkStart w:id="100" w:name="_Toc312313654"/>
      <w:bookmarkStart w:id="101" w:name="_Toc302335052"/>
      <w:bookmarkStart w:id="102" w:name="_Toc359504088"/>
      <w:bookmarkStart w:id="103" w:name="_Toc37600549"/>
      <w:r>
        <w:rPr>
          <w:rFonts w:hint="eastAsia" w:ascii="宋体" w:hAnsi="宋体" w:cs="宋体"/>
          <w:b/>
          <w:bCs/>
          <w:sz w:val="28"/>
          <w:szCs w:val="28"/>
        </w:rPr>
        <w:t>评标办法前附表</w:t>
      </w:r>
      <w:bookmarkEnd w:id="98"/>
      <w:bookmarkEnd w:id="99"/>
      <w:bookmarkEnd w:id="100"/>
      <w:bookmarkEnd w:id="101"/>
      <w:bookmarkEnd w:id="102"/>
      <w:bookmarkEnd w:id="103"/>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420"/>
        <w:gridCol w:w="1965"/>
        <w:gridCol w:w="256"/>
        <w:gridCol w:w="5392"/>
      </w:tblGrid>
      <w:tr w14:paraId="32882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72F4FB">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条款号</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D4B7FA">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评审因素</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BF032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评审标准</w:t>
            </w:r>
          </w:p>
        </w:tc>
      </w:tr>
      <w:tr w14:paraId="499C5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6233871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2.1.1</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676F0E73">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形式评审标准</w:t>
            </w: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4DB09A95">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投标人名称</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718F5338">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与营业执照一致</w:t>
            </w:r>
          </w:p>
        </w:tc>
      </w:tr>
      <w:tr w14:paraId="070D5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3CBD6AC">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269923B">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97095E">
            <w:pPr>
              <w:jc w:val="center"/>
              <w:rPr>
                <w:rFonts w:ascii="宋体" w:hAnsi="宋体" w:cs="宋体"/>
                <w:color w:val="000000"/>
                <w:szCs w:val="21"/>
              </w:rPr>
            </w:pPr>
            <w:r>
              <w:rPr>
                <w:rFonts w:hint="eastAsia" w:ascii="宋体" w:hAnsi="宋体" w:cs="宋体"/>
                <w:color w:val="000000"/>
                <w:szCs w:val="21"/>
              </w:rPr>
              <w:t>投标函签字盖章</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ED8594">
            <w:pPr>
              <w:rPr>
                <w:rFonts w:ascii="宋体" w:hAnsi="宋体" w:cs="宋体"/>
                <w:color w:val="000000"/>
                <w:szCs w:val="21"/>
              </w:rPr>
            </w:pPr>
            <w:r>
              <w:rPr>
                <w:rFonts w:hint="eastAsia" w:ascii="宋体" w:hAnsi="宋体" w:cs="宋体"/>
                <w:color w:val="000000"/>
                <w:spacing w:val="1"/>
                <w:kern w:val="0"/>
                <w:szCs w:val="21"/>
              </w:rPr>
              <w:t>加盖单位章并有法定代表人或其授权委托人签字</w:t>
            </w:r>
          </w:p>
        </w:tc>
      </w:tr>
      <w:tr w14:paraId="1F2A5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14A85C3C">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2FD96D5B">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0B01882A">
            <w:pPr>
              <w:jc w:val="center"/>
              <w:rPr>
                <w:rFonts w:ascii="宋体" w:hAnsi="宋体" w:cs="宋体"/>
                <w:color w:val="000000"/>
                <w:szCs w:val="21"/>
              </w:rPr>
            </w:pPr>
            <w:r>
              <w:rPr>
                <w:rFonts w:hint="eastAsia" w:ascii="宋体" w:hAnsi="宋体" w:cs="宋体"/>
                <w:color w:val="000000"/>
                <w:szCs w:val="21"/>
              </w:rPr>
              <w:t>投标文件格式</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09DA5114">
            <w:pPr>
              <w:rPr>
                <w:rFonts w:ascii="宋体" w:hAnsi="宋体" w:cs="宋体"/>
                <w:color w:val="000000"/>
                <w:szCs w:val="21"/>
              </w:rPr>
            </w:pPr>
            <w:r>
              <w:rPr>
                <w:rFonts w:hint="eastAsia" w:ascii="宋体" w:hAnsi="宋体" w:cs="宋体"/>
                <w:color w:val="000000"/>
                <w:szCs w:val="21"/>
              </w:rPr>
              <w:t>符合第六章“投标文件格式”的要求</w:t>
            </w:r>
          </w:p>
        </w:tc>
      </w:tr>
      <w:tr w14:paraId="1079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000FF2B">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ABC83E1">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B4F68A">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报价唯一</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F47F31">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只能有一个有效报价</w:t>
            </w:r>
          </w:p>
        </w:tc>
      </w:tr>
      <w:tr w14:paraId="640AC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02112DF5">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2.1.2</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32C8A7F4">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资格评审标准</w:t>
            </w: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6CC8B7EC">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营业执照</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5CB9352A">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具备有效的营业执照</w:t>
            </w:r>
            <w:r>
              <w:rPr>
                <w:rFonts w:hint="eastAsia" w:ascii="宋体" w:hAnsi="宋体" w:cs="宋体"/>
                <w:b/>
                <w:color w:val="000000"/>
                <w:szCs w:val="21"/>
              </w:rPr>
              <w:t>（以企业诚信库“基本信息”中证件的原件扫描件为准）</w:t>
            </w:r>
          </w:p>
        </w:tc>
      </w:tr>
      <w:tr w14:paraId="3438A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511D208">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D6F7092">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B9E679">
            <w:pPr>
              <w:autoSpaceDE w:val="0"/>
              <w:autoSpaceDN w:val="0"/>
              <w:adjustRightInd w:val="0"/>
              <w:spacing w:line="0" w:lineRule="atLeast"/>
              <w:jc w:val="center"/>
              <w:rPr>
                <w:rFonts w:ascii="宋体" w:hAnsi="宋体" w:cs="宋体"/>
                <w:color w:val="000000"/>
                <w:kern w:val="0"/>
                <w:szCs w:val="21"/>
              </w:rPr>
            </w:pPr>
            <w:r>
              <w:rPr>
                <w:rFonts w:hint="eastAsia" w:ascii="宋体" w:hAnsi="宋体" w:cs="宋体"/>
                <w:color w:val="000000"/>
                <w:kern w:val="0"/>
                <w:szCs w:val="21"/>
              </w:rPr>
              <w:t>财务状况</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29DA5F">
            <w:pPr>
              <w:spacing w:line="0" w:lineRule="atLeast"/>
              <w:rPr>
                <w:rFonts w:ascii="宋体" w:hAnsi="宋体" w:cs="宋体"/>
                <w:color w:val="000000"/>
                <w:kern w:val="0"/>
                <w:szCs w:val="21"/>
              </w:rPr>
            </w:pPr>
            <w:r>
              <w:rPr>
                <w:rFonts w:hint="eastAsia" w:ascii="宋体" w:hAnsi="宋体" w:cs="宋体"/>
                <w:color w:val="000000"/>
                <w:kern w:val="0"/>
                <w:szCs w:val="21"/>
              </w:rPr>
              <w:t>符合第二章“投标人须知”第1.4.1项规定</w:t>
            </w:r>
            <w:r>
              <w:rPr>
                <w:rFonts w:hint="eastAsia" w:ascii="宋体" w:hAnsi="宋体" w:cs="宋体"/>
                <w:b/>
                <w:color w:val="000000"/>
                <w:szCs w:val="21"/>
              </w:rPr>
              <w:t>（以企业诚信库中证件的原件扫描件为准）</w:t>
            </w:r>
          </w:p>
        </w:tc>
      </w:tr>
      <w:tr w14:paraId="66A4A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6D88A2D4">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2DD9B584">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60416BFD">
            <w:pPr>
              <w:autoSpaceDE w:val="0"/>
              <w:autoSpaceDN w:val="0"/>
              <w:adjustRightInd w:val="0"/>
              <w:spacing w:line="0" w:lineRule="atLeast"/>
              <w:jc w:val="center"/>
              <w:rPr>
                <w:rFonts w:ascii="宋体" w:hAnsi="宋体" w:cs="宋体"/>
                <w:color w:val="000000"/>
                <w:kern w:val="0"/>
                <w:szCs w:val="21"/>
              </w:rPr>
            </w:pPr>
            <w:r>
              <w:rPr>
                <w:rFonts w:hint="eastAsia" w:ascii="宋体" w:hAnsi="宋体" w:cs="宋体"/>
                <w:color w:val="000000"/>
                <w:kern w:val="0"/>
                <w:szCs w:val="21"/>
              </w:rPr>
              <w:t>完税社保</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2BFF40E2">
            <w:pPr>
              <w:spacing w:line="0" w:lineRule="atLeast"/>
              <w:rPr>
                <w:rFonts w:ascii="宋体" w:hAnsi="宋体" w:cs="宋体"/>
                <w:color w:val="000000"/>
                <w:kern w:val="0"/>
                <w:szCs w:val="21"/>
              </w:rPr>
            </w:pPr>
            <w:r>
              <w:rPr>
                <w:rFonts w:hint="eastAsia" w:ascii="宋体" w:hAnsi="宋体" w:cs="宋体"/>
                <w:color w:val="000000"/>
                <w:kern w:val="0"/>
                <w:szCs w:val="21"/>
              </w:rPr>
              <w:t>符合第二章“投标人须知”第1.4.1项规定</w:t>
            </w:r>
            <w:r>
              <w:rPr>
                <w:rFonts w:hint="eastAsia" w:ascii="宋体" w:hAnsi="宋体" w:cs="宋体"/>
                <w:b/>
                <w:color w:val="000000"/>
                <w:kern w:val="0"/>
                <w:szCs w:val="21"/>
              </w:rPr>
              <w:t>（以企业诚信库中证件的原件扫描件为准）</w:t>
            </w:r>
          </w:p>
        </w:tc>
      </w:tr>
      <w:tr w14:paraId="7803D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A12FF9C">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7CE1D12">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E4874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信誉</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0158E7">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符合第二章“投标人须知”第1.4.1项规定</w:t>
            </w:r>
            <w:r>
              <w:rPr>
                <w:rFonts w:hint="eastAsia" w:ascii="宋体" w:hAnsi="宋体" w:cs="宋体"/>
                <w:b/>
                <w:color w:val="000000"/>
                <w:szCs w:val="21"/>
              </w:rPr>
              <w:t>（以企业诚信库中证件的原件扫描件为准）</w:t>
            </w:r>
          </w:p>
        </w:tc>
      </w:tr>
      <w:tr w14:paraId="12431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653AC5DC">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22E86CFE">
            <w:pPr>
              <w:adjustRightInd w:val="0"/>
              <w:spacing w:line="0" w:lineRule="atLeast"/>
              <w:jc w:val="center"/>
              <w:textAlignment w:val="baseline"/>
              <w:rPr>
                <w:rFonts w:ascii="宋体" w:hAnsi="宋体" w:cs="宋体"/>
                <w:color w:val="000000"/>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0C0BBDB8">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其他要求</w:t>
            </w:r>
          </w:p>
        </w:tc>
        <w:tc>
          <w:tcPr>
            <w:tcW w:w="5648"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2AD3C3BB">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符合第二章“投标人须知”第1.4.1项规定</w:t>
            </w:r>
            <w:r>
              <w:rPr>
                <w:rFonts w:hint="eastAsia" w:ascii="宋体" w:hAnsi="宋体" w:cs="宋体"/>
                <w:b/>
                <w:color w:val="000000"/>
                <w:szCs w:val="21"/>
              </w:rPr>
              <w:t>（以企业诚信库中证件的原件扫描件为准）</w:t>
            </w:r>
          </w:p>
        </w:tc>
      </w:tr>
      <w:tr w14:paraId="56E7C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9A3CEF1">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5260A71">
            <w:pPr>
              <w:adjustRightInd w:val="0"/>
              <w:spacing w:line="0" w:lineRule="atLeast"/>
              <w:jc w:val="center"/>
              <w:textAlignment w:val="baseline"/>
              <w:rPr>
                <w:rFonts w:ascii="宋体" w:hAnsi="宋体" w:cs="宋体"/>
                <w:color w:val="000000"/>
                <w:szCs w:val="21"/>
              </w:rPr>
            </w:pPr>
          </w:p>
        </w:tc>
        <w:tc>
          <w:tcPr>
            <w:tcW w:w="7613"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4FE22E">
            <w:pPr>
              <w:adjustRightInd w:val="0"/>
              <w:spacing w:line="0" w:lineRule="atLeast"/>
              <w:textAlignment w:val="baseline"/>
              <w:rPr>
                <w:rFonts w:ascii="宋体" w:hAnsi="宋体" w:cs="宋体"/>
                <w:color w:val="000000"/>
                <w:szCs w:val="21"/>
              </w:rPr>
            </w:pPr>
            <w:r>
              <w:rPr>
                <w:rFonts w:hint="eastAsia" w:ascii="宋体" w:hAnsi="宋体" w:cs="宋体"/>
                <w:b/>
                <w:color w:val="000000"/>
                <w:szCs w:val="21"/>
              </w:rPr>
              <w:t>注：投标人需按资格审查小组要求在企业诚信库中上传真实、有效的证件原件扫描件以证明投标人的资格（营业执照等）。</w:t>
            </w:r>
          </w:p>
        </w:tc>
      </w:tr>
      <w:tr w14:paraId="46AA4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6247C6BC">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2.1.3</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FFFDFA"/>
            <w:noWrap/>
            <w:vAlign w:val="center"/>
          </w:tcPr>
          <w:p w14:paraId="11E52C8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响应性评审标准</w:t>
            </w:r>
          </w:p>
        </w:tc>
        <w:tc>
          <w:tcPr>
            <w:tcW w:w="2221"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2E7709E1">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投标内容</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11F4B275">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1683C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62AD141">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987580B">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5101C0">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交货期</w:t>
            </w:r>
          </w:p>
        </w:tc>
        <w:tc>
          <w:tcPr>
            <w:tcW w:w="53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F4314D">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235E1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3F44B150">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2F5A67B5">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03C91123">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投标有效期</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4B8DCC1A">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596B7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21DA70F">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6CE65A7">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3DC982">
            <w:pPr>
              <w:adjustRightInd w:val="0"/>
              <w:spacing w:line="0" w:lineRule="atLeast"/>
              <w:jc w:val="center"/>
              <w:textAlignment w:val="baseline"/>
              <w:rPr>
                <w:rFonts w:hint="eastAsia" w:ascii="宋体" w:hAnsi="宋体" w:eastAsia="宋体" w:cs="宋体"/>
                <w:color w:val="000000"/>
                <w:szCs w:val="21"/>
                <w:lang w:eastAsia="zh-CN"/>
              </w:rPr>
            </w:pPr>
            <w:r>
              <w:rPr>
                <w:rFonts w:hint="eastAsia" w:ascii="宋体" w:hAnsi="宋体" w:cs="宋体"/>
                <w:color w:val="000000"/>
                <w:szCs w:val="21"/>
                <w:lang w:val="en-US" w:eastAsia="zh-CN"/>
              </w:rPr>
              <w:t>质量</w:t>
            </w:r>
          </w:p>
        </w:tc>
        <w:tc>
          <w:tcPr>
            <w:tcW w:w="53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91B7D0">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符合第二章“投标人须知”规定</w:t>
            </w:r>
          </w:p>
        </w:tc>
      </w:tr>
      <w:tr w14:paraId="1DAF4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6337EB7A">
            <w:pPr>
              <w:adjustRightInd w:val="0"/>
              <w:spacing w:line="0" w:lineRule="atLeast"/>
              <w:jc w:val="center"/>
              <w:textAlignment w:val="baseline"/>
              <w:rPr>
                <w:rFonts w:ascii="宋体" w:hAnsi="宋体" w:cs="宋体"/>
                <w:color w:val="000000"/>
                <w:szCs w:val="21"/>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FFFDFA"/>
            <w:noWrap/>
            <w:vAlign w:val="center"/>
          </w:tcPr>
          <w:p w14:paraId="3EB065FE">
            <w:pPr>
              <w:adjustRightInd w:val="0"/>
              <w:spacing w:line="0" w:lineRule="atLeast"/>
              <w:jc w:val="center"/>
              <w:textAlignment w:val="baseline"/>
              <w:rPr>
                <w:rFonts w:ascii="宋体" w:hAnsi="宋体" w:cs="宋体"/>
                <w:color w:val="000000"/>
                <w:szCs w:val="21"/>
              </w:rPr>
            </w:pPr>
          </w:p>
        </w:tc>
        <w:tc>
          <w:tcPr>
            <w:tcW w:w="2221" w:type="dxa"/>
            <w:gridSpan w:val="2"/>
            <w:tcBorders>
              <w:top w:val="single" w:color="auto" w:sz="4" w:space="0"/>
              <w:left w:val="single" w:color="auto" w:sz="4" w:space="0"/>
              <w:bottom w:val="single" w:color="auto" w:sz="4" w:space="0"/>
              <w:right w:val="single" w:color="auto" w:sz="4" w:space="0"/>
            </w:tcBorders>
            <w:shd w:val="clear" w:color="auto" w:fill="FFFDFA"/>
            <w:noWrap/>
            <w:vAlign w:val="center"/>
          </w:tcPr>
          <w:p w14:paraId="1C10E626">
            <w:pPr>
              <w:jc w:val="center"/>
              <w:rPr>
                <w:rFonts w:ascii="宋体" w:hAnsi="宋体" w:cs="宋体"/>
                <w:color w:val="000000"/>
                <w:szCs w:val="21"/>
              </w:rPr>
            </w:pPr>
            <w:r>
              <w:rPr>
                <w:rFonts w:hint="eastAsia" w:ascii="宋体" w:hAnsi="宋体" w:cs="宋体"/>
                <w:color w:val="000000"/>
                <w:szCs w:val="21"/>
              </w:rPr>
              <w:t>投标价格</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7BC07AA5">
            <w:pPr>
              <w:rPr>
                <w:rFonts w:ascii="宋体" w:hAnsi="宋体" w:cs="宋体"/>
                <w:color w:val="000000"/>
                <w:kern w:val="0"/>
                <w:szCs w:val="21"/>
              </w:rPr>
            </w:pPr>
            <w:r>
              <w:rPr>
                <w:rFonts w:hint="eastAsia" w:ascii="宋体" w:hAnsi="宋体" w:cs="宋体"/>
                <w:color w:val="000000"/>
                <w:szCs w:val="21"/>
              </w:rPr>
              <w:t>不高于第二章“投标人须知”采购预算价。</w:t>
            </w:r>
          </w:p>
        </w:tc>
      </w:tr>
    </w:tbl>
    <w:p w14:paraId="6EEB866A">
      <w:pPr>
        <w:pStyle w:val="17"/>
        <w:ind w:left="0" w:leftChars="0" w:firstLine="0" w:firstLineChars="0"/>
        <w:jc w:val="center"/>
        <w:rPr>
          <w:rFonts w:hint="eastAsia" w:ascii="宋体" w:hAnsi="宋体" w:cs="宋体"/>
          <w:b/>
          <w:bCs/>
          <w:sz w:val="32"/>
          <w:szCs w:val="32"/>
          <w:lang w:eastAsia="zh-CN"/>
        </w:rPr>
      </w:pPr>
      <w:r>
        <w:rPr>
          <w:rFonts w:hint="eastAsia" w:ascii="宋体" w:hAnsi="宋体" w:cs="宋体"/>
          <w:b/>
          <w:bCs/>
          <w:sz w:val="32"/>
          <w:szCs w:val="32"/>
          <w:lang w:eastAsia="zh-CN"/>
        </w:rPr>
        <w:t>详细评审办法</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
        <w:gridCol w:w="621"/>
        <w:gridCol w:w="535"/>
        <w:gridCol w:w="137"/>
        <w:gridCol w:w="1085"/>
        <w:gridCol w:w="999"/>
        <w:gridCol w:w="5392"/>
      </w:tblGrid>
      <w:tr w14:paraId="7CCC7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246E0A2">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条款号</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3A904F">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条款内容</w:t>
            </w:r>
          </w:p>
        </w:tc>
        <w:tc>
          <w:tcPr>
            <w:tcW w:w="53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FE0319">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编列内容</w:t>
            </w:r>
          </w:p>
        </w:tc>
      </w:tr>
      <w:tr w14:paraId="66C09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181C8785">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2.2.1</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45D394D2">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分值构成</w:t>
            </w:r>
          </w:p>
          <w:p w14:paraId="43F2599F">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（总分100分）</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5205600F">
            <w:pPr>
              <w:adjustRightInd w:val="0"/>
              <w:spacing w:line="0" w:lineRule="atLeast"/>
              <w:jc w:val="left"/>
              <w:textAlignment w:val="baseline"/>
              <w:rPr>
                <w:rFonts w:ascii="宋体" w:hAnsi="宋体" w:cs="宋体"/>
                <w:color w:val="000000"/>
                <w:szCs w:val="21"/>
              </w:rPr>
            </w:pPr>
            <w:r>
              <w:rPr>
                <w:rFonts w:hint="eastAsia" w:ascii="宋体" w:hAnsi="宋体" w:cs="宋体"/>
                <w:color w:val="000000"/>
                <w:szCs w:val="21"/>
              </w:rPr>
              <w:t>报价部分：        30分</w:t>
            </w:r>
          </w:p>
          <w:p w14:paraId="3FF5FCB2">
            <w:pPr>
              <w:adjustRightInd w:val="0"/>
              <w:spacing w:line="0" w:lineRule="atLeast"/>
              <w:textAlignment w:val="baseline"/>
              <w:rPr>
                <w:rFonts w:ascii="宋体" w:hAnsi="宋体" w:cs="宋体"/>
                <w:color w:val="000000"/>
                <w:szCs w:val="21"/>
              </w:rPr>
            </w:pPr>
            <w:r>
              <w:rPr>
                <w:rFonts w:hint="eastAsia" w:ascii="宋体" w:hAnsi="宋体" w:cs="宋体"/>
                <w:color w:val="000000"/>
                <w:szCs w:val="21"/>
              </w:rPr>
              <w:t>综合部分：        2</w:t>
            </w:r>
            <w:r>
              <w:rPr>
                <w:rFonts w:hint="eastAsia" w:ascii="宋体" w:hAnsi="宋体" w:cs="宋体"/>
                <w:color w:val="000000"/>
                <w:szCs w:val="21"/>
                <w:lang w:val="en-US" w:eastAsia="zh-CN"/>
              </w:rPr>
              <w:t>7</w:t>
            </w:r>
            <w:r>
              <w:rPr>
                <w:rFonts w:hint="eastAsia" w:ascii="宋体" w:hAnsi="宋体" w:cs="宋体"/>
                <w:color w:val="000000"/>
                <w:szCs w:val="21"/>
              </w:rPr>
              <w:t>分</w:t>
            </w:r>
          </w:p>
          <w:p w14:paraId="32C8C868">
            <w:pPr>
              <w:rPr>
                <w:rFonts w:ascii="宋体" w:hAnsi="宋体" w:cs="宋体"/>
                <w:color w:val="000000"/>
                <w:szCs w:val="24"/>
              </w:rPr>
            </w:pPr>
            <w:r>
              <w:rPr>
                <w:rFonts w:hint="eastAsia" w:ascii="宋体" w:hAnsi="宋体" w:cs="宋体"/>
                <w:color w:val="000000"/>
                <w:szCs w:val="21"/>
                <w:lang w:val="zh-CN"/>
              </w:rPr>
              <w:t xml:space="preserve">技术部分：        </w:t>
            </w:r>
            <w:r>
              <w:rPr>
                <w:rFonts w:hint="eastAsia" w:ascii="宋体" w:hAnsi="宋体" w:cs="宋体"/>
                <w:color w:val="000000"/>
                <w:szCs w:val="21"/>
                <w:lang w:val="en-US" w:eastAsia="zh-CN"/>
              </w:rPr>
              <w:t>43</w:t>
            </w:r>
            <w:r>
              <w:rPr>
                <w:rFonts w:hint="eastAsia" w:ascii="宋体" w:hAnsi="宋体" w:cs="宋体"/>
                <w:color w:val="000000"/>
                <w:szCs w:val="21"/>
                <w:lang w:val="zh-CN"/>
              </w:rPr>
              <w:t>分</w:t>
            </w:r>
          </w:p>
        </w:tc>
      </w:tr>
      <w:tr w14:paraId="6FD8B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8078BC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2.2.2</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B08CA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评标基准价</w:t>
            </w:r>
          </w:p>
          <w:p w14:paraId="61138D38">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计算方法</w:t>
            </w:r>
          </w:p>
        </w:tc>
        <w:tc>
          <w:tcPr>
            <w:tcW w:w="53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02F453">
            <w:pPr>
              <w:rPr>
                <w:rFonts w:ascii="宋体" w:hAnsi="宋体" w:cs="宋体"/>
                <w:color w:val="000000"/>
                <w:szCs w:val="21"/>
              </w:rPr>
            </w:pPr>
            <w:r>
              <w:rPr>
                <w:rFonts w:hint="eastAsia" w:ascii="宋体" w:hAnsi="宋体" w:cs="宋体"/>
                <w:color w:val="000000"/>
                <w:szCs w:val="21"/>
              </w:rPr>
              <w:t>投标报价不高于采购预算价为有效投标报价。最终报价得分采用低价优先法计算，即满足招标文件要求且评标价最低的报价为评标基准价。</w:t>
            </w:r>
          </w:p>
        </w:tc>
      </w:tr>
      <w:tr w14:paraId="3FCC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69"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2FEE1AF2">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2.2.3</w:t>
            </w:r>
          </w:p>
        </w:tc>
        <w:tc>
          <w:tcPr>
            <w:tcW w:w="2221" w:type="dxa"/>
            <w:gridSpan w:val="3"/>
            <w:tcBorders>
              <w:top w:val="single" w:color="auto" w:sz="4" w:space="0"/>
              <w:left w:val="single" w:color="auto" w:sz="4" w:space="0"/>
              <w:bottom w:val="single" w:color="auto" w:sz="4" w:space="0"/>
              <w:right w:val="single" w:color="auto" w:sz="4" w:space="0"/>
            </w:tcBorders>
            <w:shd w:val="clear" w:color="auto" w:fill="FFFDFA"/>
            <w:noWrap/>
            <w:vAlign w:val="center"/>
          </w:tcPr>
          <w:p w14:paraId="13E26EF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投标报价计算公式</w:t>
            </w:r>
          </w:p>
        </w:tc>
        <w:tc>
          <w:tcPr>
            <w:tcW w:w="5392" w:type="dxa"/>
            <w:tcBorders>
              <w:top w:val="single" w:color="auto" w:sz="4" w:space="0"/>
              <w:left w:val="single" w:color="auto" w:sz="4" w:space="0"/>
              <w:bottom w:val="single" w:color="auto" w:sz="4" w:space="0"/>
              <w:right w:val="single" w:color="auto" w:sz="4" w:space="0"/>
            </w:tcBorders>
            <w:shd w:val="clear" w:color="auto" w:fill="FFFDFA"/>
            <w:noWrap/>
            <w:vAlign w:val="center"/>
          </w:tcPr>
          <w:p w14:paraId="2E172F64">
            <w:pPr>
              <w:rPr>
                <w:rFonts w:ascii="宋体" w:hAnsi="宋体" w:cs="宋体"/>
                <w:color w:val="000000"/>
                <w:szCs w:val="21"/>
              </w:rPr>
            </w:pPr>
            <w:r>
              <w:rPr>
                <w:rFonts w:hint="eastAsia" w:ascii="宋体" w:hAnsi="宋体" w:cs="宋体"/>
                <w:color w:val="000000"/>
                <w:szCs w:val="21"/>
              </w:rPr>
              <w:t>最终报价得分＝（评标基准价÷评标报价）×30（评标报价指的是投标报价经过算术修正或者中小企业、残疾人及监狱企业价格扣除之后的价格）最终得分计算保留小数点两位。</w:t>
            </w:r>
          </w:p>
          <w:p w14:paraId="27EAE483">
            <w:pPr>
              <w:rPr>
                <w:rFonts w:ascii="宋体" w:hAnsi="宋体" w:cs="宋体"/>
                <w:color w:val="000000"/>
                <w:szCs w:val="21"/>
              </w:rPr>
            </w:pPr>
            <w:r>
              <w:rPr>
                <w:rFonts w:hint="eastAsia" w:ascii="宋体" w:hAnsi="宋体" w:cs="宋体"/>
                <w:color w:val="000000"/>
                <w:szCs w:val="21"/>
              </w:rPr>
              <w:t>注：未通过初步评审的投标不参与投标报价得分的计算。</w:t>
            </w:r>
          </w:p>
        </w:tc>
      </w:tr>
      <w:tr w14:paraId="1424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510" w:hRule="atLeast"/>
        </w:trPr>
        <w:tc>
          <w:tcPr>
            <w:tcW w:w="621" w:type="dxa"/>
            <w:shd w:val="clear" w:color="auto" w:fill="FFFFFF"/>
            <w:noWrap/>
            <w:vAlign w:val="center"/>
          </w:tcPr>
          <w:p w14:paraId="79C626E5">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条款号</w:t>
            </w:r>
          </w:p>
        </w:tc>
        <w:tc>
          <w:tcPr>
            <w:tcW w:w="672" w:type="dxa"/>
            <w:gridSpan w:val="2"/>
            <w:shd w:val="clear" w:color="auto" w:fill="FFFFFF"/>
            <w:noWrap/>
            <w:vAlign w:val="center"/>
          </w:tcPr>
          <w:p w14:paraId="5007428E">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评审因素</w:t>
            </w:r>
          </w:p>
        </w:tc>
        <w:tc>
          <w:tcPr>
            <w:tcW w:w="1085" w:type="dxa"/>
            <w:shd w:val="clear" w:color="auto" w:fill="FFFFFF"/>
            <w:noWrap/>
            <w:vAlign w:val="center"/>
          </w:tcPr>
          <w:p w14:paraId="01C2391F">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评分内容</w:t>
            </w:r>
          </w:p>
        </w:tc>
        <w:tc>
          <w:tcPr>
            <w:tcW w:w="6391" w:type="dxa"/>
            <w:gridSpan w:val="2"/>
            <w:shd w:val="clear" w:color="auto" w:fill="FFFFFF"/>
            <w:noWrap/>
            <w:vAlign w:val="center"/>
          </w:tcPr>
          <w:p w14:paraId="065980FD">
            <w:pPr>
              <w:adjustRightInd w:val="0"/>
              <w:spacing w:line="0" w:lineRule="atLeast"/>
              <w:jc w:val="center"/>
              <w:textAlignment w:val="baseline"/>
              <w:rPr>
                <w:rFonts w:ascii="宋体" w:hAnsi="宋体" w:cs="宋体"/>
                <w:color w:val="000000"/>
                <w:szCs w:val="21"/>
              </w:rPr>
            </w:pPr>
            <w:r>
              <w:rPr>
                <w:rFonts w:hint="eastAsia" w:ascii="宋体" w:hAnsi="宋体" w:cs="宋体"/>
                <w:color w:val="000000"/>
                <w:szCs w:val="21"/>
              </w:rPr>
              <w:t xml:space="preserve"> 评分标准</w:t>
            </w:r>
          </w:p>
        </w:tc>
      </w:tr>
      <w:tr w14:paraId="756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094" w:hRule="atLeast"/>
        </w:trPr>
        <w:tc>
          <w:tcPr>
            <w:tcW w:w="621" w:type="dxa"/>
            <w:shd w:val="clear" w:color="auto" w:fill="F1F1F1" w:themeFill="background1" w:themeFillShade="F2"/>
            <w:noWrap/>
            <w:vAlign w:val="center"/>
          </w:tcPr>
          <w:p w14:paraId="7D9A7923">
            <w:pPr>
              <w:adjustRightInd w:val="0"/>
              <w:snapToGrid w:val="0"/>
              <w:spacing w:line="300" w:lineRule="auto"/>
              <w:jc w:val="center"/>
              <w:textAlignment w:val="baseline"/>
              <w:rPr>
                <w:rFonts w:ascii="宋体" w:hAnsi="宋体" w:cs="宋体"/>
                <w:color w:val="000000"/>
                <w:szCs w:val="21"/>
              </w:rPr>
            </w:pPr>
            <w:r>
              <w:rPr>
                <w:rFonts w:hint="eastAsia" w:ascii="等线" w:hAnsi="等线" w:eastAsia="等线" w:cs="等线"/>
                <w:color w:val="000000"/>
                <w:szCs w:val="21"/>
              </w:rPr>
              <w:t>4（1）</w:t>
            </w:r>
          </w:p>
        </w:tc>
        <w:tc>
          <w:tcPr>
            <w:tcW w:w="672" w:type="dxa"/>
            <w:gridSpan w:val="2"/>
            <w:shd w:val="clear" w:color="auto" w:fill="F1F1F1" w:themeFill="background1" w:themeFillShade="F2"/>
            <w:noWrap/>
            <w:vAlign w:val="center"/>
          </w:tcPr>
          <w:p w14:paraId="16C05054">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rPr>
              <w:t>报价部分</w:t>
            </w:r>
          </w:p>
          <w:p w14:paraId="5BC4AEBB">
            <w:pPr>
              <w:snapToGrid w:val="0"/>
              <w:spacing w:line="300" w:lineRule="auto"/>
              <w:rPr>
                <w:rFonts w:ascii="宋体" w:hAnsi="宋体" w:cs="宋体"/>
                <w:color w:val="000000"/>
                <w:szCs w:val="21"/>
              </w:rPr>
            </w:pPr>
            <w:r>
              <w:rPr>
                <w:rFonts w:hint="eastAsia" w:ascii="等线" w:hAnsi="等线" w:eastAsia="等线" w:cs="等线"/>
                <w:color w:val="000000"/>
                <w:szCs w:val="21"/>
              </w:rPr>
              <w:t>（30分）</w:t>
            </w:r>
          </w:p>
        </w:tc>
        <w:tc>
          <w:tcPr>
            <w:tcW w:w="1085" w:type="dxa"/>
            <w:shd w:val="clear" w:color="auto" w:fill="F1F1F1" w:themeFill="background1" w:themeFillShade="F2"/>
            <w:noWrap/>
            <w:vAlign w:val="center"/>
          </w:tcPr>
          <w:p w14:paraId="6C2F5E69">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rPr>
              <w:t>投标报价</w:t>
            </w:r>
          </w:p>
          <w:p w14:paraId="09FA81A1">
            <w:pPr>
              <w:snapToGrid w:val="0"/>
              <w:spacing w:line="300" w:lineRule="auto"/>
              <w:rPr>
                <w:rFonts w:ascii="宋体" w:hAnsi="宋体" w:cs="宋体"/>
                <w:color w:val="000000"/>
                <w:szCs w:val="21"/>
              </w:rPr>
            </w:pPr>
            <w:r>
              <w:rPr>
                <w:rFonts w:hint="eastAsia" w:ascii="等线" w:hAnsi="等线" w:eastAsia="等线" w:cs="等线"/>
                <w:color w:val="000000"/>
                <w:szCs w:val="21"/>
              </w:rPr>
              <w:t>（30分）</w:t>
            </w:r>
          </w:p>
        </w:tc>
        <w:tc>
          <w:tcPr>
            <w:tcW w:w="6391" w:type="dxa"/>
            <w:gridSpan w:val="2"/>
            <w:shd w:val="clear" w:color="auto" w:fill="F1F1F1" w:themeFill="background1" w:themeFillShade="F2"/>
            <w:noWrap/>
            <w:vAlign w:val="center"/>
          </w:tcPr>
          <w:p w14:paraId="118860B9">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rPr>
              <w:t>最终报价得分＝（评标基准价÷评标报价）×30（评标报价指的是投标报价经过算术修正或者中小企业、残疾人及监狱企业价格扣除之后的价格）最终得分计算保留小数点两位。</w:t>
            </w:r>
          </w:p>
          <w:p w14:paraId="0DBF8041">
            <w:pPr>
              <w:snapToGrid w:val="0"/>
              <w:spacing w:line="300" w:lineRule="auto"/>
              <w:rPr>
                <w:rFonts w:ascii="宋体" w:hAnsi="宋体" w:cs="宋体"/>
                <w:color w:val="000000"/>
                <w:szCs w:val="21"/>
              </w:rPr>
            </w:pPr>
            <w:r>
              <w:rPr>
                <w:rFonts w:hint="eastAsia" w:ascii="等线" w:hAnsi="等线" w:eastAsia="等线" w:cs="等线"/>
                <w:color w:val="000000"/>
                <w:szCs w:val="21"/>
              </w:rPr>
              <w:t>注：未通过初步评审的投标不参与投标报价得分的计算</w:t>
            </w:r>
          </w:p>
        </w:tc>
      </w:tr>
      <w:tr w14:paraId="7115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63" w:hRule="atLeast"/>
        </w:trPr>
        <w:tc>
          <w:tcPr>
            <w:tcW w:w="621" w:type="dxa"/>
            <w:vMerge w:val="restart"/>
            <w:shd w:val="clear" w:color="auto" w:fill="auto"/>
            <w:noWrap/>
            <w:vAlign w:val="center"/>
          </w:tcPr>
          <w:p w14:paraId="67A4958C">
            <w:pPr>
              <w:adjustRightInd w:val="0"/>
              <w:snapToGrid w:val="0"/>
              <w:spacing w:line="300" w:lineRule="auto"/>
              <w:jc w:val="center"/>
              <w:textAlignment w:val="baseline"/>
              <w:rPr>
                <w:rFonts w:ascii="宋体" w:hAnsi="宋体" w:cs="宋体"/>
                <w:color w:val="000000"/>
                <w:szCs w:val="21"/>
              </w:rPr>
            </w:pPr>
            <w:r>
              <w:rPr>
                <w:rFonts w:hint="eastAsia" w:ascii="等线" w:hAnsi="等线" w:eastAsia="等线" w:cs="等线"/>
                <w:color w:val="000000"/>
                <w:szCs w:val="21"/>
              </w:rPr>
              <w:t>4（2）</w:t>
            </w:r>
          </w:p>
        </w:tc>
        <w:tc>
          <w:tcPr>
            <w:tcW w:w="672" w:type="dxa"/>
            <w:gridSpan w:val="2"/>
            <w:vMerge w:val="restart"/>
            <w:shd w:val="clear" w:color="auto" w:fill="auto"/>
            <w:noWrap/>
            <w:vAlign w:val="center"/>
          </w:tcPr>
          <w:p w14:paraId="2A3A79CB">
            <w:pPr>
              <w:adjustRightInd w:val="0"/>
              <w:snapToGrid w:val="0"/>
              <w:spacing w:line="300" w:lineRule="auto"/>
              <w:jc w:val="center"/>
              <w:textAlignment w:val="baseline"/>
              <w:rPr>
                <w:rFonts w:hint="eastAsia" w:ascii="等线" w:hAnsi="等线" w:eastAsia="等线" w:cs="等线"/>
                <w:color w:val="000000"/>
                <w:szCs w:val="21"/>
              </w:rPr>
            </w:pPr>
            <w:r>
              <w:rPr>
                <w:rFonts w:hint="eastAsia" w:ascii="等线" w:hAnsi="等线" w:eastAsia="等线" w:cs="等线"/>
                <w:color w:val="000000"/>
                <w:szCs w:val="21"/>
              </w:rPr>
              <w:t>商务部分</w:t>
            </w:r>
          </w:p>
          <w:p w14:paraId="188BD332">
            <w:pPr>
              <w:pStyle w:val="36"/>
              <w:snapToGrid w:val="0"/>
              <w:spacing w:line="300" w:lineRule="auto"/>
              <w:ind w:firstLine="0" w:firstLineChars="0"/>
              <w:jc w:val="center"/>
              <w:rPr>
                <w:rFonts w:hint="default" w:ascii="宋体" w:hAnsi="宋体" w:eastAsia="宋体" w:cs="宋体"/>
                <w:color w:val="000000"/>
                <w:lang w:val="en-US" w:eastAsia="zh-CN"/>
              </w:rPr>
            </w:pPr>
            <w:r>
              <w:rPr>
                <w:rFonts w:hint="eastAsia" w:ascii="等线" w:hAnsi="等线" w:eastAsia="等线" w:cs="等线"/>
                <w:color w:val="000000"/>
                <w:szCs w:val="21"/>
                <w:lang w:val="en-US"/>
              </w:rPr>
              <w:t>(27分)</w:t>
            </w:r>
          </w:p>
        </w:tc>
        <w:tc>
          <w:tcPr>
            <w:tcW w:w="1085" w:type="dxa"/>
            <w:shd w:val="clear" w:color="auto" w:fill="auto"/>
            <w:noWrap/>
            <w:vAlign w:val="center"/>
          </w:tcPr>
          <w:p w14:paraId="7E796B4E">
            <w:pPr>
              <w:pStyle w:val="36"/>
              <w:snapToGrid w:val="0"/>
              <w:spacing w:line="300" w:lineRule="auto"/>
              <w:ind w:firstLine="0" w:firstLineChars="0"/>
              <w:jc w:val="center"/>
              <w:rPr>
                <w:rFonts w:ascii="宋体" w:hAnsi="宋体" w:eastAsia="宋体" w:cs="宋体"/>
                <w:color w:val="000000"/>
                <w:kern w:val="2"/>
                <w:sz w:val="21"/>
                <w:szCs w:val="24"/>
                <w:lang w:val="en-US" w:eastAsia="zh-CN" w:bidi="ar-SA"/>
              </w:rPr>
            </w:pPr>
            <w:r>
              <w:rPr>
                <w:rFonts w:hint="eastAsia" w:ascii="等线" w:hAnsi="等线" w:eastAsia="等线" w:cs="等线"/>
                <w:szCs w:val="21"/>
                <w:lang w:val="en-US"/>
              </w:rPr>
              <w:t>资质证书(4分)</w:t>
            </w:r>
          </w:p>
        </w:tc>
        <w:tc>
          <w:tcPr>
            <w:tcW w:w="6391" w:type="dxa"/>
            <w:gridSpan w:val="2"/>
            <w:shd w:val="clear" w:color="auto" w:fill="auto"/>
            <w:noWrap/>
            <w:vAlign w:val="center"/>
          </w:tcPr>
          <w:p w14:paraId="332054BF">
            <w:pPr>
              <w:snapToGrid w:val="0"/>
              <w:spacing w:line="300" w:lineRule="auto"/>
              <w:rPr>
                <w:rFonts w:hint="eastAsia" w:ascii="等线" w:hAnsi="等线" w:eastAsia="等线" w:cs="等线"/>
                <w:szCs w:val="21"/>
              </w:rPr>
            </w:pPr>
            <w:r>
              <w:rPr>
                <w:rFonts w:hint="eastAsia" w:ascii="等线" w:hAnsi="等线" w:eastAsia="等线" w:cs="等线"/>
                <w:szCs w:val="21"/>
              </w:rPr>
              <w:t>1.投标企业具有电子与智能化工程专业承包壹级资质证书，满足得</w:t>
            </w:r>
            <w:r>
              <w:rPr>
                <w:rFonts w:hint="eastAsia" w:ascii="等线" w:hAnsi="等线" w:eastAsia="等线" w:cs="等线"/>
                <w:szCs w:val="21"/>
                <w:lang w:val="en-US" w:eastAsia="zh-CN"/>
              </w:rPr>
              <w:t>2</w:t>
            </w:r>
            <w:r>
              <w:rPr>
                <w:rFonts w:hint="eastAsia" w:ascii="等线" w:hAnsi="等线" w:eastAsia="等线" w:cs="等线"/>
                <w:szCs w:val="21"/>
              </w:rPr>
              <w:t>分；不满足不得分；</w:t>
            </w:r>
          </w:p>
          <w:p w14:paraId="5DD0BFF7">
            <w:pPr>
              <w:pStyle w:val="47"/>
              <w:snapToGrid w:val="0"/>
              <w:spacing w:line="300" w:lineRule="auto"/>
              <w:ind w:firstLine="0" w:firstLineChars="0"/>
              <w:rPr>
                <w:rFonts w:ascii="宋体" w:hAnsi="宋体" w:eastAsia="宋体" w:cs="宋体"/>
                <w:color w:val="000000"/>
                <w:kern w:val="2"/>
                <w:sz w:val="21"/>
                <w:szCs w:val="22"/>
                <w:lang w:val="en-US" w:eastAsia="zh-CN" w:bidi="ar-SA"/>
              </w:rPr>
            </w:pPr>
            <w:r>
              <w:rPr>
                <w:rFonts w:hint="eastAsia" w:ascii="等线" w:hAnsi="等线" w:eastAsia="等线" w:cs="等线"/>
                <w:szCs w:val="21"/>
                <w:lang w:val="en-US" w:eastAsia="zh-CN"/>
              </w:rPr>
              <w:t>2</w:t>
            </w:r>
            <w:r>
              <w:rPr>
                <w:rFonts w:hint="eastAsia" w:ascii="等线" w:hAnsi="等线" w:eastAsia="等线" w:cs="等线"/>
                <w:szCs w:val="21"/>
              </w:rPr>
              <w:t>.</w:t>
            </w:r>
            <w:r>
              <w:rPr>
                <w:rFonts w:hint="eastAsia" w:ascii="等线" w:hAnsi="等线" w:eastAsia="等线" w:cs="等线"/>
                <w:color w:val="000000"/>
                <w:szCs w:val="21"/>
              </w:rPr>
              <w:t>投标企业具有CMMI5证书，</w:t>
            </w:r>
            <w:r>
              <w:rPr>
                <w:rFonts w:hint="eastAsia" w:ascii="等线" w:hAnsi="等线" w:eastAsia="等线" w:cs="等线"/>
                <w:szCs w:val="21"/>
              </w:rPr>
              <w:t>满足得</w:t>
            </w:r>
            <w:r>
              <w:rPr>
                <w:rFonts w:hint="eastAsia" w:ascii="等线" w:hAnsi="等线" w:eastAsia="等线" w:cs="等线"/>
                <w:szCs w:val="21"/>
                <w:lang w:val="en-US" w:eastAsia="zh-CN"/>
              </w:rPr>
              <w:t>2</w:t>
            </w:r>
            <w:r>
              <w:rPr>
                <w:rFonts w:hint="eastAsia" w:ascii="等线" w:hAnsi="等线" w:eastAsia="等线" w:cs="等线"/>
                <w:szCs w:val="21"/>
              </w:rPr>
              <w:t>分；不满足不得分。</w:t>
            </w:r>
          </w:p>
        </w:tc>
      </w:tr>
      <w:tr w14:paraId="2D4F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50" w:hRule="atLeast"/>
        </w:trPr>
        <w:tc>
          <w:tcPr>
            <w:tcW w:w="621" w:type="dxa"/>
            <w:vMerge w:val="continue"/>
            <w:shd w:val="clear" w:color="auto" w:fill="auto"/>
            <w:noWrap/>
            <w:vAlign w:val="center"/>
          </w:tcPr>
          <w:p w14:paraId="12FF10EE">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auto"/>
            <w:noWrap/>
            <w:vAlign w:val="center"/>
          </w:tcPr>
          <w:p w14:paraId="4BCEBB99">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auto"/>
            <w:noWrap/>
            <w:vAlign w:val="center"/>
          </w:tcPr>
          <w:p w14:paraId="73D9BBF3">
            <w:pPr>
              <w:pStyle w:val="36"/>
              <w:snapToGrid w:val="0"/>
              <w:spacing w:line="300" w:lineRule="auto"/>
              <w:ind w:firstLine="0" w:firstLineChars="0"/>
              <w:jc w:val="center"/>
              <w:rPr>
                <w:rFonts w:ascii="宋体" w:hAnsi="宋体" w:eastAsia="宋体" w:cs="宋体"/>
                <w:color w:val="auto"/>
                <w:kern w:val="2"/>
                <w:sz w:val="21"/>
                <w:szCs w:val="24"/>
                <w:lang w:val="en-US" w:eastAsia="zh-CN" w:bidi="ar-SA"/>
              </w:rPr>
            </w:pPr>
            <w:r>
              <w:rPr>
                <w:rFonts w:hint="eastAsia" w:ascii="等线" w:hAnsi="等线" w:eastAsia="等线" w:cs="等线"/>
                <w:color w:val="000000"/>
                <w:kern w:val="0"/>
                <w:szCs w:val="21"/>
                <w:lang w:bidi="ar"/>
              </w:rPr>
              <w:t>综合实力（6分）</w:t>
            </w:r>
          </w:p>
        </w:tc>
        <w:tc>
          <w:tcPr>
            <w:tcW w:w="6391" w:type="dxa"/>
            <w:gridSpan w:val="2"/>
            <w:shd w:val="clear" w:color="auto" w:fill="auto"/>
            <w:noWrap/>
            <w:vAlign w:val="center"/>
          </w:tcPr>
          <w:p w14:paraId="0CE6DA08">
            <w:pPr>
              <w:pStyle w:val="6"/>
              <w:snapToGrid w:val="0"/>
              <w:spacing w:after="0" w:line="300" w:lineRule="auto"/>
              <w:jc w:val="left"/>
              <w:rPr>
                <w:rFonts w:hint="eastAsia" w:ascii="等线" w:hAnsi="等线" w:eastAsia="等线" w:cs="等线"/>
                <w:sz w:val="21"/>
                <w:szCs w:val="21"/>
              </w:rPr>
            </w:pPr>
            <w:r>
              <w:rPr>
                <w:rFonts w:hint="eastAsia" w:ascii="等线" w:hAnsi="等线" w:eastAsia="等线" w:cs="等线"/>
                <w:sz w:val="21"/>
                <w:szCs w:val="21"/>
              </w:rPr>
              <w:t>1.投标企业同时具有有效期内的信息安全、质量、环境、职业健康安全管理体系认证证书的得4分，每缺一项扣1分，扣完为止。【以证书扫描件和在全国认证认可信息公共服务平台（查询网址：http://cx.cnca.cn/CertECloud/index/index/page）查询的截图（查询截图显示的为“有效”）为准，否则不予计分】；</w:t>
            </w:r>
          </w:p>
          <w:p w14:paraId="3CFAC393">
            <w:pPr>
              <w:pStyle w:val="7"/>
              <w:snapToGrid w:val="0"/>
              <w:spacing w:line="300" w:lineRule="auto"/>
              <w:ind w:left="0" w:leftChars="0"/>
              <w:jc w:val="left"/>
              <w:rPr>
                <w:rFonts w:hint="default" w:ascii="宋体" w:hAnsi="宋体" w:eastAsia="宋体" w:cs="宋体"/>
                <w:color w:val="auto"/>
                <w:kern w:val="2"/>
                <w:sz w:val="21"/>
                <w:szCs w:val="22"/>
                <w:lang w:val="en-US" w:eastAsia="zh-CN" w:bidi="ar-SA"/>
              </w:rPr>
            </w:pPr>
            <w:r>
              <w:rPr>
                <w:rFonts w:hint="eastAsia" w:ascii="等线" w:hAnsi="等线" w:eastAsia="等线" w:cs="等线"/>
                <w:szCs w:val="21"/>
              </w:rPr>
              <w:t>2.投标企业具有高新技术企业证书，满足得2分，不满足不得分。</w:t>
            </w:r>
          </w:p>
        </w:tc>
      </w:tr>
      <w:tr w14:paraId="61B5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50" w:hRule="atLeast"/>
        </w:trPr>
        <w:tc>
          <w:tcPr>
            <w:tcW w:w="621" w:type="dxa"/>
            <w:vMerge w:val="continue"/>
            <w:shd w:val="clear" w:color="auto" w:fill="auto"/>
            <w:noWrap/>
            <w:vAlign w:val="center"/>
          </w:tcPr>
          <w:p w14:paraId="4F13EECF">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auto"/>
            <w:noWrap/>
            <w:vAlign w:val="center"/>
          </w:tcPr>
          <w:p w14:paraId="64C124C0">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auto"/>
            <w:noWrap/>
            <w:vAlign w:val="center"/>
          </w:tcPr>
          <w:p w14:paraId="58C640A3">
            <w:pPr>
              <w:pStyle w:val="36"/>
              <w:snapToGrid w:val="0"/>
              <w:spacing w:line="300" w:lineRule="auto"/>
              <w:ind w:firstLine="0" w:firstLineChars="0"/>
              <w:jc w:val="center"/>
              <w:rPr>
                <w:rFonts w:hint="default" w:ascii="宋体" w:hAnsi="宋体" w:cs="宋体"/>
                <w:color w:val="auto"/>
                <w:lang w:val="en-US" w:eastAsia="zh-CN"/>
              </w:rPr>
            </w:pPr>
            <w:r>
              <w:rPr>
                <w:rFonts w:hint="eastAsia" w:ascii="等线" w:hAnsi="等线" w:eastAsia="等线" w:cs="等线"/>
                <w:szCs w:val="21"/>
                <w:lang w:val="en-US"/>
              </w:rPr>
              <w:t>项目负责人（3分）</w:t>
            </w:r>
          </w:p>
        </w:tc>
        <w:tc>
          <w:tcPr>
            <w:tcW w:w="6391" w:type="dxa"/>
            <w:gridSpan w:val="2"/>
            <w:shd w:val="clear" w:color="auto" w:fill="auto"/>
            <w:noWrap/>
            <w:vAlign w:val="center"/>
          </w:tcPr>
          <w:p w14:paraId="64864293">
            <w:pPr>
              <w:pStyle w:val="47"/>
              <w:snapToGrid w:val="0"/>
              <w:spacing w:line="300" w:lineRule="auto"/>
              <w:ind w:firstLine="0" w:firstLineChars="0"/>
              <w:rPr>
                <w:rFonts w:hint="eastAsia" w:ascii="宋体" w:hAnsi="宋体" w:cs="宋体"/>
                <w:color w:val="auto"/>
                <w:lang w:val="en-US" w:eastAsia="zh-CN"/>
              </w:rPr>
            </w:pPr>
            <w:r>
              <w:rPr>
                <w:rFonts w:hint="eastAsia" w:ascii="等线" w:hAnsi="等线" w:eastAsia="等线" w:cs="等线"/>
                <w:color w:val="auto"/>
                <w:lang w:val="en-US" w:eastAsia="zh-CN"/>
              </w:rPr>
              <w:t>项目负责人同时获得PMP证书、系统集成项目管理工程师（或信息系统项目管理师）证书，满足者得3分；否则得0分。</w:t>
            </w:r>
          </w:p>
        </w:tc>
      </w:tr>
      <w:tr w14:paraId="4F32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50" w:hRule="atLeast"/>
        </w:trPr>
        <w:tc>
          <w:tcPr>
            <w:tcW w:w="621" w:type="dxa"/>
            <w:vMerge w:val="continue"/>
            <w:shd w:val="clear" w:color="auto" w:fill="auto"/>
            <w:noWrap/>
            <w:vAlign w:val="center"/>
          </w:tcPr>
          <w:p w14:paraId="01A21EA6">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auto"/>
            <w:noWrap/>
            <w:vAlign w:val="center"/>
          </w:tcPr>
          <w:p w14:paraId="3136D0EB">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auto"/>
            <w:noWrap/>
            <w:vAlign w:val="center"/>
          </w:tcPr>
          <w:p w14:paraId="508298F7">
            <w:pPr>
              <w:pStyle w:val="36"/>
              <w:snapToGrid w:val="0"/>
              <w:spacing w:line="300" w:lineRule="auto"/>
              <w:ind w:firstLine="0" w:firstLineChars="0"/>
              <w:jc w:val="center"/>
              <w:rPr>
                <w:rFonts w:hint="default" w:ascii="宋体" w:hAnsi="宋体" w:cs="宋体"/>
                <w:color w:val="auto"/>
                <w:lang w:val="en-US" w:eastAsia="zh-CN"/>
              </w:rPr>
            </w:pPr>
            <w:r>
              <w:rPr>
                <w:rFonts w:hint="eastAsia" w:ascii="等线" w:hAnsi="等线" w:eastAsia="等线" w:cs="等线"/>
                <w:color w:val="auto"/>
                <w:kern w:val="2"/>
                <w:sz w:val="21"/>
                <w:szCs w:val="22"/>
                <w:lang w:val="en-US" w:eastAsia="zh-CN" w:bidi="ar-SA"/>
              </w:rPr>
              <w:t>业绩（8分）</w:t>
            </w:r>
          </w:p>
        </w:tc>
        <w:tc>
          <w:tcPr>
            <w:tcW w:w="6391" w:type="dxa"/>
            <w:gridSpan w:val="2"/>
            <w:shd w:val="clear" w:color="auto" w:fill="auto"/>
            <w:noWrap/>
            <w:vAlign w:val="center"/>
          </w:tcPr>
          <w:p w14:paraId="610F7147">
            <w:pPr>
              <w:pStyle w:val="6"/>
              <w:snapToGrid w:val="0"/>
              <w:spacing w:after="0" w:line="300" w:lineRule="auto"/>
              <w:rPr>
                <w:rFonts w:hint="eastAsia" w:ascii="宋体" w:hAnsi="宋体" w:cs="宋体"/>
                <w:color w:val="auto"/>
                <w:lang w:val="en-US" w:eastAsia="zh-CN"/>
              </w:rPr>
            </w:pPr>
            <w:r>
              <w:rPr>
                <w:rFonts w:hint="eastAsia" w:ascii="等线" w:hAnsi="等线" w:eastAsia="等线" w:cs="等线"/>
                <w:color w:val="auto"/>
                <w:kern w:val="2"/>
                <w:sz w:val="21"/>
                <w:szCs w:val="22"/>
                <w:lang w:val="en-US" w:eastAsia="zh-CN" w:bidi="ar-SA"/>
              </w:rPr>
              <w:t>2020年1月1日以来（以合同签订时间或中标时间为准），智慧校园或者智慧政务项目的案例数，提供四份合同得4分，在此基础上每多提供一份加2分，最多得8分。提供合同首页、服务内容、盖章页、签订日期，扫描件并加盖公章。</w:t>
            </w:r>
          </w:p>
        </w:tc>
      </w:tr>
      <w:tr w14:paraId="6ADF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50" w:hRule="atLeast"/>
        </w:trPr>
        <w:tc>
          <w:tcPr>
            <w:tcW w:w="621" w:type="dxa"/>
            <w:vMerge w:val="continue"/>
            <w:shd w:val="clear" w:color="auto" w:fill="auto"/>
            <w:noWrap/>
            <w:vAlign w:val="center"/>
          </w:tcPr>
          <w:p w14:paraId="7A16F55B">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auto"/>
            <w:noWrap/>
            <w:vAlign w:val="center"/>
          </w:tcPr>
          <w:p w14:paraId="6577B410">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auto"/>
            <w:noWrap/>
            <w:vAlign w:val="center"/>
          </w:tcPr>
          <w:p w14:paraId="7FEF77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软件著作权证书（4分）</w:t>
            </w:r>
          </w:p>
        </w:tc>
        <w:tc>
          <w:tcPr>
            <w:tcW w:w="6391" w:type="dxa"/>
            <w:gridSpan w:val="2"/>
            <w:shd w:val="clear" w:color="auto" w:fill="auto"/>
            <w:noWrap/>
            <w:vAlign w:val="center"/>
          </w:tcPr>
          <w:p w14:paraId="63474250">
            <w:pPr>
              <w:numPr>
                <w:ilvl w:val="0"/>
                <w:numId w:val="0"/>
              </w:numPr>
              <w:ind w:left="0" w:leftChars="0" w:firstLine="0" w:firstLineChars="0"/>
              <w:rPr>
                <w:rFonts w:hint="eastAsia" w:ascii="宋体" w:hAnsi="宋体" w:cs="宋体"/>
                <w:color w:val="auto"/>
                <w:lang w:val="en-US" w:eastAsia="zh-CN"/>
              </w:rPr>
            </w:pPr>
            <w:r>
              <w:rPr>
                <w:rFonts w:hint="eastAsia" w:ascii="等线" w:hAnsi="等线" w:eastAsia="等线" w:cs="等线"/>
                <w:color w:val="auto"/>
                <w:lang w:val="en-US" w:eastAsia="zh-CN"/>
              </w:rPr>
              <w:t>提供与智慧校园或智慧政务项目相关的软件著作权证书，提供3个得2分，提供5个及以上得4分，不提供不得分。</w:t>
            </w:r>
          </w:p>
        </w:tc>
      </w:tr>
      <w:tr w14:paraId="0989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90" w:hRule="atLeast"/>
        </w:trPr>
        <w:tc>
          <w:tcPr>
            <w:tcW w:w="621" w:type="dxa"/>
            <w:vMerge w:val="continue"/>
            <w:shd w:val="clear" w:color="auto" w:fill="auto"/>
            <w:noWrap/>
            <w:vAlign w:val="center"/>
          </w:tcPr>
          <w:p w14:paraId="78EB2388">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auto"/>
            <w:noWrap/>
            <w:vAlign w:val="center"/>
          </w:tcPr>
          <w:p w14:paraId="61CC596A">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auto"/>
            <w:noWrap/>
            <w:vAlign w:val="center"/>
          </w:tcPr>
          <w:p w14:paraId="4F2A3AA5">
            <w:pPr>
              <w:pStyle w:val="36"/>
              <w:snapToGrid w:val="0"/>
              <w:spacing w:line="300" w:lineRule="auto"/>
              <w:ind w:firstLine="0" w:firstLineChars="0"/>
              <w:jc w:val="center"/>
              <w:rPr>
                <w:rFonts w:hint="default" w:ascii="宋体" w:hAnsi="宋体" w:eastAsia="宋体" w:cs="宋体"/>
                <w:color w:val="000000"/>
                <w:lang w:val="en-US" w:eastAsia="zh-CN"/>
              </w:rPr>
            </w:pPr>
            <w:r>
              <w:rPr>
                <w:rFonts w:hint="eastAsia" w:ascii="等线" w:hAnsi="等线" w:eastAsia="等线" w:cs="等线"/>
                <w:color w:val="000000"/>
                <w:szCs w:val="21"/>
                <w:lang w:val="en-US"/>
              </w:rPr>
              <w:t>售后服务（</w:t>
            </w:r>
            <w:r>
              <w:rPr>
                <w:rFonts w:hint="eastAsia" w:ascii="等线" w:hAnsi="等线" w:eastAsia="等线" w:cs="等线"/>
                <w:color w:val="000000"/>
                <w:szCs w:val="21"/>
                <w:lang w:val="en-US" w:eastAsia="zh-CN"/>
              </w:rPr>
              <w:t>2</w:t>
            </w:r>
            <w:r>
              <w:rPr>
                <w:rFonts w:hint="eastAsia" w:ascii="等线" w:hAnsi="等线" w:eastAsia="等线" w:cs="等线"/>
                <w:color w:val="000000"/>
                <w:szCs w:val="21"/>
                <w:lang w:val="en-US"/>
              </w:rPr>
              <w:t>分）</w:t>
            </w:r>
          </w:p>
        </w:tc>
        <w:tc>
          <w:tcPr>
            <w:tcW w:w="6391" w:type="dxa"/>
            <w:gridSpan w:val="2"/>
            <w:shd w:val="clear" w:color="auto" w:fill="auto"/>
            <w:noWrap/>
            <w:vAlign w:val="center"/>
          </w:tcPr>
          <w:p w14:paraId="76300526">
            <w:pPr>
              <w:widowControl/>
              <w:snapToGrid w:val="0"/>
              <w:spacing w:line="300" w:lineRule="auto"/>
              <w:jc w:val="left"/>
              <w:rPr>
                <w:rFonts w:hint="eastAsia" w:ascii="等线" w:hAnsi="等线" w:eastAsia="等线" w:cs="等线"/>
                <w:szCs w:val="21"/>
              </w:rPr>
            </w:pPr>
            <w:r>
              <w:rPr>
                <w:rFonts w:hint="eastAsia" w:ascii="等线" w:hAnsi="等线" w:eastAsia="等线" w:cs="等线"/>
                <w:szCs w:val="21"/>
              </w:rPr>
              <w:t>1.投标人提供售后服务计划（内容包括但不限于售后服务内容、售后服务体系、故障响应、备品备件保障供应、巡检服务），内容详尽、措施完整，得</w:t>
            </w:r>
            <w:r>
              <w:rPr>
                <w:rFonts w:hint="eastAsia" w:ascii="等线" w:hAnsi="等线" w:eastAsia="等线" w:cs="等线"/>
                <w:szCs w:val="21"/>
                <w:lang w:val="en-US" w:eastAsia="zh-CN"/>
              </w:rPr>
              <w:t>1</w:t>
            </w:r>
            <w:r>
              <w:rPr>
                <w:rFonts w:hint="eastAsia" w:ascii="等线" w:hAnsi="等线" w:eastAsia="等线" w:cs="等线"/>
                <w:szCs w:val="21"/>
              </w:rPr>
              <w:t>分，仅有简单描述</w:t>
            </w:r>
            <w:r>
              <w:rPr>
                <w:rFonts w:hint="eastAsia" w:ascii="等线" w:hAnsi="等线" w:eastAsia="等线" w:cs="等线"/>
                <w:szCs w:val="21"/>
                <w:lang w:val="en-US" w:eastAsia="zh-CN"/>
              </w:rPr>
              <w:t>或</w:t>
            </w:r>
            <w:r>
              <w:rPr>
                <w:rFonts w:hint="eastAsia" w:ascii="等线" w:hAnsi="等线" w:eastAsia="等线" w:cs="等线"/>
                <w:szCs w:val="21"/>
              </w:rPr>
              <w:t>缺项或不提供的不得分；</w:t>
            </w:r>
          </w:p>
          <w:p w14:paraId="240E0C8D">
            <w:pPr>
              <w:pStyle w:val="6"/>
              <w:snapToGrid w:val="0"/>
              <w:spacing w:after="0" w:line="300" w:lineRule="auto"/>
              <w:rPr>
                <w:rFonts w:hint="default"/>
                <w:lang w:val="en-US" w:eastAsia="zh-CN"/>
              </w:rPr>
            </w:pPr>
            <w:r>
              <w:rPr>
                <w:rFonts w:hint="eastAsia" w:ascii="等线" w:hAnsi="等线" w:eastAsia="等线" w:cs="等线"/>
                <w:sz w:val="21"/>
                <w:szCs w:val="21"/>
              </w:rPr>
              <w:t>2.投标人提供应急维修保障措施（内容包括但不限应急维修程序、应急维修预案、应急维修人员配备），内容详尽、措施完整，得</w:t>
            </w:r>
            <w:r>
              <w:rPr>
                <w:rFonts w:hint="eastAsia" w:ascii="等线" w:hAnsi="等线" w:eastAsia="等线" w:cs="等线"/>
                <w:sz w:val="21"/>
                <w:szCs w:val="21"/>
                <w:lang w:val="en-US" w:eastAsia="zh-CN"/>
              </w:rPr>
              <w:t>1</w:t>
            </w:r>
            <w:r>
              <w:rPr>
                <w:rFonts w:hint="eastAsia" w:ascii="等线" w:hAnsi="等线" w:eastAsia="等线" w:cs="等线"/>
                <w:sz w:val="21"/>
                <w:szCs w:val="21"/>
              </w:rPr>
              <w:t>分，仅有简单描述</w:t>
            </w:r>
            <w:r>
              <w:rPr>
                <w:rFonts w:hint="eastAsia" w:ascii="等线" w:hAnsi="等线" w:eastAsia="等线" w:cs="等线"/>
                <w:sz w:val="21"/>
                <w:szCs w:val="21"/>
                <w:lang w:val="en-US" w:eastAsia="zh-CN"/>
              </w:rPr>
              <w:t>或</w:t>
            </w:r>
            <w:r>
              <w:rPr>
                <w:rFonts w:hint="eastAsia" w:ascii="等线" w:hAnsi="等线" w:eastAsia="等线" w:cs="等线"/>
                <w:sz w:val="21"/>
                <w:szCs w:val="21"/>
              </w:rPr>
              <w:t>缺项或不提供的不得分。</w:t>
            </w:r>
          </w:p>
        </w:tc>
      </w:tr>
      <w:tr w14:paraId="481D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3925" w:hRule="atLeast"/>
        </w:trPr>
        <w:tc>
          <w:tcPr>
            <w:tcW w:w="621" w:type="dxa"/>
            <w:vMerge w:val="restart"/>
            <w:shd w:val="clear" w:color="auto" w:fill="F1F1F1" w:themeFill="background1" w:themeFillShade="F2"/>
            <w:noWrap/>
            <w:vAlign w:val="center"/>
          </w:tcPr>
          <w:p w14:paraId="3D367B8C">
            <w:pPr>
              <w:adjustRightInd w:val="0"/>
              <w:snapToGrid w:val="0"/>
              <w:spacing w:line="300" w:lineRule="auto"/>
              <w:jc w:val="center"/>
              <w:textAlignment w:val="baseline"/>
              <w:rPr>
                <w:rFonts w:ascii="宋体" w:hAnsi="宋体" w:cs="宋体"/>
                <w:color w:val="000000"/>
                <w:szCs w:val="21"/>
              </w:rPr>
            </w:pPr>
            <w:r>
              <w:rPr>
                <w:rFonts w:hint="eastAsia" w:ascii="等线" w:hAnsi="等线" w:eastAsia="等线" w:cs="等线"/>
                <w:color w:val="000000"/>
                <w:szCs w:val="21"/>
              </w:rPr>
              <w:t>4（3）</w:t>
            </w:r>
          </w:p>
        </w:tc>
        <w:tc>
          <w:tcPr>
            <w:tcW w:w="672" w:type="dxa"/>
            <w:gridSpan w:val="2"/>
            <w:vMerge w:val="restart"/>
            <w:shd w:val="clear" w:color="auto" w:fill="F1F1F1" w:themeFill="background1" w:themeFillShade="F2"/>
            <w:noWrap/>
            <w:vAlign w:val="center"/>
          </w:tcPr>
          <w:p w14:paraId="57AFF0B3">
            <w:pPr>
              <w:adjustRightInd w:val="0"/>
              <w:snapToGrid w:val="0"/>
              <w:spacing w:line="300" w:lineRule="auto"/>
              <w:jc w:val="center"/>
              <w:textAlignment w:val="baseline"/>
              <w:rPr>
                <w:rFonts w:ascii="宋体" w:hAnsi="宋体" w:cs="宋体"/>
                <w:color w:val="000000"/>
                <w:szCs w:val="21"/>
              </w:rPr>
            </w:pPr>
            <w:r>
              <w:rPr>
                <w:rFonts w:hint="eastAsia" w:ascii="等线" w:hAnsi="等线" w:eastAsia="等线" w:cs="等线"/>
                <w:color w:val="000000"/>
                <w:szCs w:val="21"/>
              </w:rPr>
              <w:t xml:space="preserve">技术部分（43分）  </w:t>
            </w:r>
          </w:p>
        </w:tc>
        <w:tc>
          <w:tcPr>
            <w:tcW w:w="1085" w:type="dxa"/>
            <w:shd w:val="clear" w:color="auto" w:fill="F1F1F1" w:themeFill="background1" w:themeFillShade="F2"/>
            <w:noWrap/>
            <w:vAlign w:val="center"/>
          </w:tcPr>
          <w:p w14:paraId="25DBA0A6">
            <w:pPr>
              <w:snapToGrid w:val="0"/>
              <w:spacing w:line="300" w:lineRule="auto"/>
              <w:jc w:val="center"/>
              <w:rPr>
                <w:rFonts w:ascii="宋体" w:hAnsi="宋体" w:cs="宋体"/>
                <w:color w:val="000000"/>
              </w:rPr>
            </w:pPr>
            <w:r>
              <w:rPr>
                <w:rFonts w:hint="eastAsia" w:ascii="等线" w:hAnsi="等线" w:eastAsia="等线" w:cs="等线"/>
                <w:color w:val="000000"/>
                <w:szCs w:val="21"/>
              </w:rPr>
              <w:t>产品功能和技术指标（26分）</w:t>
            </w:r>
          </w:p>
        </w:tc>
        <w:tc>
          <w:tcPr>
            <w:tcW w:w="6391" w:type="dxa"/>
            <w:gridSpan w:val="2"/>
            <w:shd w:val="clear" w:color="auto" w:fill="F1F1F1" w:themeFill="background1" w:themeFillShade="F2"/>
            <w:noWrap/>
            <w:vAlign w:val="center"/>
          </w:tcPr>
          <w:p w14:paraId="1DBD3014">
            <w:pPr>
              <w:pStyle w:val="36"/>
              <w:snapToGrid w:val="0"/>
              <w:spacing w:line="300" w:lineRule="auto"/>
              <w:ind w:firstLine="0" w:firstLineChars="0"/>
              <w:rPr>
                <w:rFonts w:hint="eastAsia" w:ascii="等线" w:hAnsi="等线" w:eastAsia="等线" w:cs="等线"/>
                <w:b w:val="0"/>
                <w:bCs w:val="0"/>
                <w:color w:val="auto"/>
                <w:szCs w:val="21"/>
                <w:highlight w:val="none"/>
              </w:rPr>
            </w:pPr>
            <w:r>
              <w:rPr>
                <w:rFonts w:hint="eastAsia" w:ascii="等线" w:hAnsi="等线" w:eastAsia="等线" w:cs="等线"/>
                <w:color w:val="000000"/>
                <w:szCs w:val="21"/>
              </w:rPr>
              <w:t>（</w:t>
            </w:r>
            <w:r>
              <w:rPr>
                <w:rFonts w:hint="eastAsia" w:ascii="等线" w:hAnsi="等线" w:eastAsia="等线" w:cs="等线"/>
                <w:color w:val="000000"/>
                <w:szCs w:val="21"/>
                <w:lang w:val="en-US"/>
              </w:rPr>
              <w:t>1</w:t>
            </w:r>
            <w:r>
              <w:rPr>
                <w:rFonts w:hint="eastAsia" w:ascii="等线" w:hAnsi="等线" w:eastAsia="等线" w:cs="等线"/>
                <w:color w:val="000000"/>
                <w:szCs w:val="21"/>
              </w:rPr>
              <w:t>）投标产品全部满足招标文件采购产品参数功能及服务参数需求得22分。</w:t>
            </w:r>
            <w:r>
              <w:rPr>
                <w:rFonts w:hint="eastAsia" w:ascii="等线" w:hAnsi="等线" w:eastAsia="等线" w:cs="等线"/>
                <w:b/>
                <w:bCs/>
                <w:color w:val="auto"/>
                <w:szCs w:val="21"/>
                <w:shd w:val="clear"/>
                <w:lang w:val="en-US" w:eastAsia="zh-CN"/>
              </w:rPr>
              <w:t>标星项</w:t>
            </w:r>
            <w:r>
              <w:rPr>
                <w:rFonts w:hint="eastAsia" w:ascii="等线" w:hAnsi="等线" w:eastAsia="等线" w:cs="等线"/>
                <w:b/>
                <w:bCs/>
                <w:color w:val="auto"/>
                <w:szCs w:val="21"/>
                <w:shd w:val="clear"/>
              </w:rPr>
              <w:t>每</w:t>
            </w:r>
            <w:r>
              <w:rPr>
                <w:rFonts w:hint="eastAsia" w:ascii="等线" w:hAnsi="等线" w:eastAsia="等线" w:cs="等线"/>
                <w:b/>
                <w:bCs/>
                <w:color w:val="auto"/>
                <w:szCs w:val="21"/>
                <w:shd w:val="clear"/>
                <w:lang w:val="en-US"/>
              </w:rPr>
              <w:t>有一</w:t>
            </w:r>
            <w:r>
              <w:rPr>
                <w:rFonts w:hint="eastAsia" w:ascii="等线" w:hAnsi="等线" w:eastAsia="等线" w:cs="等线"/>
                <w:b/>
                <w:bCs/>
                <w:color w:val="auto"/>
                <w:szCs w:val="21"/>
                <w:shd w:val="clear"/>
              </w:rPr>
              <w:t>项</w:t>
            </w:r>
            <w:r>
              <w:rPr>
                <w:rFonts w:hint="eastAsia" w:ascii="等线" w:hAnsi="等线" w:eastAsia="等线" w:cs="等线"/>
                <w:b/>
                <w:bCs/>
                <w:color w:val="auto"/>
                <w:szCs w:val="21"/>
                <w:shd w:val="clear"/>
                <w:lang w:val="en-US"/>
              </w:rPr>
              <w:t>不满足</w:t>
            </w:r>
            <w:r>
              <w:rPr>
                <w:rFonts w:hint="eastAsia" w:ascii="等线" w:hAnsi="等线" w:eastAsia="等线" w:cs="等线"/>
                <w:b/>
                <w:bCs/>
                <w:color w:val="auto"/>
                <w:szCs w:val="21"/>
                <w:shd w:val="clear"/>
              </w:rPr>
              <w:t>扣</w:t>
            </w:r>
            <w:r>
              <w:rPr>
                <w:rFonts w:hint="eastAsia" w:ascii="等线" w:hAnsi="等线" w:eastAsia="等线" w:cs="等线"/>
                <w:b/>
                <w:bCs/>
                <w:color w:val="auto"/>
                <w:szCs w:val="21"/>
                <w:shd w:val="clear"/>
                <w:lang w:val="en-US" w:eastAsia="zh-CN"/>
              </w:rPr>
              <w:t>1</w:t>
            </w:r>
            <w:r>
              <w:rPr>
                <w:rFonts w:hint="eastAsia" w:ascii="等线" w:hAnsi="等线" w:eastAsia="等线" w:cs="等线"/>
                <w:b/>
                <w:bCs/>
                <w:color w:val="auto"/>
                <w:szCs w:val="21"/>
                <w:shd w:val="clear"/>
              </w:rPr>
              <w:t>分</w:t>
            </w:r>
            <w:r>
              <w:rPr>
                <w:rFonts w:hint="eastAsia" w:ascii="等线" w:hAnsi="等线" w:eastAsia="等线" w:cs="等线"/>
                <w:b/>
                <w:bCs/>
                <w:color w:val="auto"/>
                <w:szCs w:val="21"/>
                <w:shd w:val="clear"/>
                <w:lang w:eastAsia="zh-CN"/>
              </w:rPr>
              <w:t>；</w:t>
            </w:r>
            <w:r>
              <w:rPr>
                <w:rFonts w:hint="eastAsia" w:ascii="等线" w:hAnsi="等线" w:eastAsia="等线" w:cs="等线"/>
                <w:b/>
                <w:bCs/>
                <w:color w:val="auto"/>
                <w:szCs w:val="21"/>
                <w:shd w:val="clear"/>
                <w:lang w:val="en-US" w:eastAsia="zh-CN"/>
              </w:rPr>
              <w:t>其他非标星项</w:t>
            </w:r>
            <w:r>
              <w:rPr>
                <w:rFonts w:hint="eastAsia" w:ascii="等线" w:hAnsi="等线" w:eastAsia="等线" w:cs="等线"/>
                <w:b/>
                <w:bCs/>
                <w:color w:val="auto"/>
                <w:szCs w:val="21"/>
                <w:shd w:val="clear"/>
              </w:rPr>
              <w:t>每</w:t>
            </w:r>
            <w:r>
              <w:rPr>
                <w:rFonts w:hint="eastAsia" w:ascii="等线" w:hAnsi="等线" w:eastAsia="等线" w:cs="等线"/>
                <w:b/>
                <w:bCs/>
                <w:color w:val="auto"/>
                <w:szCs w:val="21"/>
                <w:shd w:val="clear"/>
                <w:lang w:val="en-US"/>
              </w:rPr>
              <w:t>有一</w:t>
            </w:r>
            <w:r>
              <w:rPr>
                <w:rFonts w:hint="eastAsia" w:ascii="等线" w:hAnsi="等线" w:eastAsia="等线" w:cs="等线"/>
                <w:b/>
                <w:bCs/>
                <w:color w:val="auto"/>
                <w:szCs w:val="21"/>
                <w:shd w:val="clear"/>
              </w:rPr>
              <w:t>项</w:t>
            </w:r>
            <w:r>
              <w:rPr>
                <w:rFonts w:hint="eastAsia" w:ascii="等线" w:hAnsi="等线" w:eastAsia="等线" w:cs="等线"/>
                <w:b/>
                <w:bCs/>
                <w:color w:val="auto"/>
                <w:szCs w:val="21"/>
                <w:shd w:val="clear"/>
                <w:lang w:val="en-US"/>
              </w:rPr>
              <w:t>不满足</w:t>
            </w:r>
            <w:r>
              <w:rPr>
                <w:rFonts w:hint="eastAsia" w:ascii="等线" w:hAnsi="等线" w:eastAsia="等线" w:cs="等线"/>
                <w:b/>
                <w:bCs/>
                <w:color w:val="auto"/>
                <w:szCs w:val="21"/>
                <w:shd w:val="clear"/>
              </w:rPr>
              <w:t>扣0.5分；22分扣完为止。</w:t>
            </w:r>
            <w:r>
              <w:rPr>
                <w:rFonts w:hint="eastAsia" w:ascii="等线" w:hAnsi="等线" w:eastAsia="等线" w:cs="等线"/>
                <w:b w:val="0"/>
                <w:bCs w:val="0"/>
                <w:color w:val="auto"/>
                <w:szCs w:val="21"/>
              </w:rPr>
              <w:t>（</w:t>
            </w:r>
            <w:r>
              <w:rPr>
                <w:rFonts w:hint="eastAsia" w:ascii="等线" w:hAnsi="等线" w:eastAsia="等线" w:cs="等线"/>
                <w:b w:val="0"/>
                <w:bCs w:val="0"/>
                <w:color w:val="auto"/>
                <w:lang w:eastAsia="zh-CN"/>
              </w:rPr>
              <w:t>需根据</w:t>
            </w:r>
            <w:r>
              <w:rPr>
                <w:rFonts w:hint="eastAsia" w:ascii="等线" w:hAnsi="等线" w:eastAsia="等线" w:cs="等线"/>
                <w:b w:val="0"/>
                <w:bCs w:val="0"/>
                <w:color w:val="auto"/>
                <w:lang w:val="en-US" w:eastAsia="zh-CN"/>
              </w:rPr>
              <w:t>功能的具体需求</w:t>
            </w:r>
            <w:r>
              <w:rPr>
                <w:rFonts w:hint="eastAsia" w:ascii="等线" w:hAnsi="等线" w:eastAsia="等线" w:cs="等线"/>
                <w:b w:val="0"/>
                <w:bCs w:val="0"/>
                <w:color w:val="auto"/>
                <w:lang w:eastAsia="zh-CN"/>
              </w:rPr>
              <w:t>，提供证明材料，材料类型包括厂家提供的证书、彩页或与产品相关的其他材料</w:t>
            </w:r>
            <w:r>
              <w:rPr>
                <w:rFonts w:hint="eastAsia" w:ascii="等线" w:hAnsi="等线" w:eastAsia="等线" w:cs="等线"/>
                <w:b w:val="0"/>
                <w:bCs w:val="0"/>
                <w:color w:val="auto"/>
                <w:szCs w:val="21"/>
                <w:highlight w:val="none"/>
              </w:rPr>
              <w:t>，不提供为不满足。）</w:t>
            </w:r>
          </w:p>
          <w:p w14:paraId="0474E464">
            <w:pPr>
              <w:pStyle w:val="36"/>
              <w:snapToGrid w:val="0"/>
              <w:spacing w:line="300" w:lineRule="auto"/>
              <w:ind w:firstLine="0" w:firstLineChars="0"/>
              <w:rPr>
                <w:rFonts w:hint="eastAsia" w:ascii="等线" w:hAnsi="等线" w:eastAsia="等线" w:cs="等线"/>
                <w:color w:val="000000"/>
                <w:szCs w:val="21"/>
              </w:rPr>
            </w:pPr>
            <w:r>
              <w:rPr>
                <w:rFonts w:hint="eastAsia" w:ascii="等线" w:hAnsi="等线" w:eastAsia="等线" w:cs="等线"/>
                <w:color w:val="000000"/>
                <w:szCs w:val="21"/>
              </w:rPr>
              <w:t>（</w:t>
            </w:r>
            <w:r>
              <w:rPr>
                <w:rFonts w:hint="eastAsia" w:ascii="等线" w:hAnsi="等线" w:eastAsia="等线" w:cs="等线"/>
                <w:color w:val="000000"/>
                <w:szCs w:val="21"/>
                <w:lang w:val="en-US"/>
              </w:rPr>
              <w:t>2</w:t>
            </w:r>
            <w:r>
              <w:rPr>
                <w:rFonts w:hint="eastAsia" w:ascii="等线" w:hAnsi="等线" w:eastAsia="等线" w:cs="等线"/>
                <w:color w:val="000000"/>
                <w:szCs w:val="21"/>
              </w:rPr>
              <w:t>）节能产品：所投产品如为节能产品的，每有一项得</w:t>
            </w:r>
            <w:r>
              <w:rPr>
                <w:rFonts w:hint="eastAsia" w:ascii="等线" w:hAnsi="等线" w:eastAsia="等线" w:cs="等线"/>
                <w:color w:val="000000"/>
                <w:szCs w:val="21"/>
                <w:lang w:val="en-US"/>
              </w:rPr>
              <w:t>0.5</w:t>
            </w:r>
            <w:r>
              <w:rPr>
                <w:rFonts w:hint="eastAsia" w:ascii="等线" w:hAnsi="等线" w:eastAsia="等线" w:cs="等线"/>
                <w:color w:val="000000"/>
                <w:szCs w:val="21"/>
              </w:rPr>
              <w:t>分，最多得</w:t>
            </w:r>
            <w:r>
              <w:rPr>
                <w:rFonts w:hint="eastAsia" w:ascii="等线" w:hAnsi="等线" w:eastAsia="等线" w:cs="等线"/>
                <w:color w:val="000000"/>
                <w:szCs w:val="21"/>
                <w:lang w:val="en-US"/>
              </w:rPr>
              <w:t>2</w:t>
            </w:r>
            <w:r>
              <w:rPr>
                <w:rFonts w:hint="eastAsia" w:ascii="等线" w:hAnsi="等线" w:eastAsia="等线" w:cs="等线"/>
                <w:color w:val="000000"/>
                <w:szCs w:val="21"/>
              </w:rPr>
              <w:t>分。供应商须在投标文件中附该产品国家确定的认证机构出具的、在有效期内的《国家节能产品认证证书》复印件，否则评标委员会有权不予认可。</w:t>
            </w:r>
          </w:p>
          <w:p w14:paraId="7DA843FC">
            <w:pPr>
              <w:pStyle w:val="36"/>
              <w:snapToGrid w:val="0"/>
              <w:spacing w:line="300" w:lineRule="auto"/>
              <w:ind w:firstLine="0" w:firstLineChars="0"/>
              <w:rPr>
                <w:rFonts w:ascii="宋体" w:hAnsi="宋体" w:cs="宋体"/>
                <w:b/>
                <w:bCs/>
                <w:color w:val="000000"/>
              </w:rPr>
            </w:pPr>
            <w:r>
              <w:rPr>
                <w:rFonts w:hint="eastAsia" w:ascii="等线" w:hAnsi="等线" w:eastAsia="等线" w:cs="等线"/>
                <w:color w:val="000000"/>
                <w:szCs w:val="21"/>
              </w:rPr>
              <w:t>（</w:t>
            </w:r>
            <w:r>
              <w:rPr>
                <w:rFonts w:hint="eastAsia" w:ascii="等线" w:hAnsi="等线" w:eastAsia="等线" w:cs="等线"/>
                <w:color w:val="000000"/>
                <w:szCs w:val="21"/>
                <w:lang w:val="en-US"/>
              </w:rPr>
              <w:t>3</w:t>
            </w:r>
            <w:r>
              <w:rPr>
                <w:rFonts w:hint="eastAsia" w:ascii="等线" w:hAnsi="等线" w:eastAsia="等线" w:cs="等线"/>
                <w:color w:val="000000"/>
                <w:szCs w:val="21"/>
              </w:rPr>
              <w:t>）环保产品：所投产品如为</w:t>
            </w:r>
            <w:r>
              <w:rPr>
                <w:rFonts w:hint="eastAsia" w:ascii="等线" w:hAnsi="等线" w:eastAsia="等线" w:cs="等线"/>
                <w:color w:val="000000"/>
                <w:szCs w:val="21"/>
                <w:lang w:val="en-US"/>
              </w:rPr>
              <w:t>环保</w:t>
            </w:r>
            <w:r>
              <w:rPr>
                <w:rFonts w:hint="eastAsia" w:ascii="等线" w:hAnsi="等线" w:eastAsia="等线" w:cs="等线"/>
                <w:color w:val="000000"/>
                <w:szCs w:val="21"/>
              </w:rPr>
              <w:t>产品的，每有一项得</w:t>
            </w:r>
            <w:r>
              <w:rPr>
                <w:rFonts w:hint="eastAsia" w:ascii="等线" w:hAnsi="等线" w:eastAsia="等线" w:cs="等线"/>
                <w:color w:val="000000"/>
                <w:szCs w:val="21"/>
                <w:lang w:val="en-US"/>
              </w:rPr>
              <w:t>0.5</w:t>
            </w:r>
            <w:r>
              <w:rPr>
                <w:rFonts w:hint="eastAsia" w:ascii="等线" w:hAnsi="等线" w:eastAsia="等线" w:cs="等线"/>
                <w:color w:val="000000"/>
                <w:szCs w:val="21"/>
              </w:rPr>
              <w:t>分，最多得</w:t>
            </w:r>
            <w:r>
              <w:rPr>
                <w:rFonts w:hint="eastAsia" w:ascii="等线" w:hAnsi="等线" w:eastAsia="等线" w:cs="等线"/>
                <w:color w:val="000000"/>
                <w:szCs w:val="21"/>
                <w:lang w:val="en-US"/>
              </w:rPr>
              <w:t>2</w:t>
            </w:r>
            <w:r>
              <w:rPr>
                <w:rFonts w:hint="eastAsia" w:ascii="等线" w:hAnsi="等线" w:eastAsia="等线" w:cs="等线"/>
                <w:color w:val="000000"/>
                <w:szCs w:val="21"/>
              </w:rPr>
              <w:t>分。供应商须在投标文件中附该产品国家确定的认证机构出具的、在有效期内的《中国环境标志产品认证证书》复印件，否则评委委员会有权不予认可。</w:t>
            </w:r>
          </w:p>
        </w:tc>
      </w:tr>
      <w:tr w14:paraId="33F5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506" w:hRule="atLeast"/>
        </w:trPr>
        <w:tc>
          <w:tcPr>
            <w:tcW w:w="621" w:type="dxa"/>
            <w:vMerge w:val="continue"/>
            <w:shd w:val="clear" w:color="auto" w:fill="F1F1F1" w:themeFill="background1" w:themeFillShade="F2"/>
            <w:noWrap/>
            <w:vAlign w:val="center"/>
          </w:tcPr>
          <w:p w14:paraId="4611BF87">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F1F1F1" w:themeFill="background1" w:themeFillShade="F2"/>
            <w:noWrap/>
            <w:vAlign w:val="center"/>
          </w:tcPr>
          <w:p w14:paraId="3B499D37">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F1F1F1" w:themeFill="background1" w:themeFillShade="F2"/>
            <w:noWrap/>
            <w:vAlign w:val="center"/>
          </w:tcPr>
          <w:p w14:paraId="42C41888">
            <w:pPr>
              <w:pStyle w:val="6"/>
              <w:snapToGrid w:val="0"/>
              <w:spacing w:after="0" w:line="300" w:lineRule="auto"/>
              <w:rPr>
                <w:rFonts w:hint="default"/>
                <w:lang w:val="en-US" w:eastAsia="zh-CN"/>
              </w:rPr>
            </w:pPr>
            <w:r>
              <w:rPr>
                <w:rFonts w:hint="eastAsia" w:ascii="等线" w:hAnsi="等线" w:eastAsia="等线" w:cs="等线"/>
                <w:sz w:val="21"/>
                <w:szCs w:val="21"/>
                <w:lang w:val="zh-CN"/>
              </w:rPr>
              <w:t>项目理解与重难点分析（</w:t>
            </w:r>
            <w:r>
              <w:rPr>
                <w:rFonts w:hint="eastAsia" w:ascii="等线" w:hAnsi="等线" w:eastAsia="等线" w:cs="等线"/>
                <w:sz w:val="21"/>
                <w:szCs w:val="21"/>
              </w:rPr>
              <w:t>6分</w:t>
            </w:r>
            <w:r>
              <w:rPr>
                <w:rFonts w:hint="eastAsia" w:ascii="等线" w:hAnsi="等线" w:eastAsia="等线" w:cs="等线"/>
                <w:sz w:val="21"/>
                <w:szCs w:val="21"/>
                <w:lang w:val="zh-CN"/>
              </w:rPr>
              <w:t>）</w:t>
            </w:r>
          </w:p>
        </w:tc>
        <w:tc>
          <w:tcPr>
            <w:tcW w:w="6391" w:type="dxa"/>
            <w:gridSpan w:val="2"/>
            <w:shd w:val="clear" w:color="auto" w:fill="F1F1F1" w:themeFill="background1" w:themeFillShade="F2"/>
            <w:noWrap/>
            <w:vAlign w:val="center"/>
          </w:tcPr>
          <w:p w14:paraId="2A66B65B">
            <w:pPr>
              <w:snapToGrid w:val="0"/>
              <w:spacing w:line="300" w:lineRule="auto"/>
              <w:rPr>
                <w:rFonts w:hint="eastAsia" w:ascii="等线" w:hAnsi="等线" w:eastAsia="等线" w:cs="等线"/>
                <w:color w:val="000000"/>
                <w:szCs w:val="21"/>
                <w:lang w:val="zh-CN"/>
              </w:rPr>
            </w:pPr>
            <w:r>
              <w:rPr>
                <w:rFonts w:hint="eastAsia" w:ascii="等线" w:hAnsi="等线" w:eastAsia="等线" w:cs="等线"/>
                <w:color w:val="000000"/>
                <w:szCs w:val="21"/>
                <w:lang w:val="zh-CN"/>
              </w:rPr>
              <w:t>投标人对本项目需求有深刻的理解，充分了解项目工作量，切合项目实际情况；</w:t>
            </w:r>
          </w:p>
          <w:p w14:paraId="72954EC9">
            <w:pPr>
              <w:snapToGrid w:val="0"/>
              <w:spacing w:line="300" w:lineRule="auto"/>
              <w:rPr>
                <w:rFonts w:hint="eastAsia" w:ascii="等线" w:hAnsi="等线" w:eastAsia="等线" w:cs="等线"/>
                <w:color w:val="000000"/>
                <w:szCs w:val="21"/>
                <w:lang w:val="zh-CN"/>
              </w:rPr>
            </w:pPr>
            <w:r>
              <w:rPr>
                <w:rFonts w:hint="eastAsia" w:ascii="等线" w:hAnsi="等线" w:eastAsia="等线" w:cs="等线"/>
                <w:color w:val="000000"/>
                <w:szCs w:val="21"/>
                <w:lang w:val="en-US" w:eastAsia="zh-CN"/>
              </w:rPr>
              <w:t>第一档：</w:t>
            </w:r>
            <w:r>
              <w:rPr>
                <w:rFonts w:hint="eastAsia" w:ascii="等线" w:hAnsi="等线" w:eastAsia="等线" w:cs="等线"/>
                <w:color w:val="000000"/>
                <w:szCs w:val="21"/>
                <w:lang w:val="zh-CN"/>
              </w:rPr>
              <w:t>对本项目内容重、难点分析透彻、合理、完善，切合项目实际情况得6分；</w:t>
            </w:r>
          </w:p>
          <w:p w14:paraId="5DDEE743">
            <w:pPr>
              <w:snapToGrid w:val="0"/>
              <w:spacing w:line="300" w:lineRule="auto"/>
              <w:rPr>
                <w:rFonts w:hint="eastAsia" w:ascii="等线" w:hAnsi="等线" w:eastAsia="等线" w:cs="等线"/>
                <w:color w:val="000000"/>
                <w:szCs w:val="21"/>
                <w:lang w:val="zh-CN"/>
              </w:rPr>
            </w:pPr>
            <w:r>
              <w:rPr>
                <w:rFonts w:hint="eastAsia" w:ascii="等线" w:hAnsi="等线" w:eastAsia="等线" w:cs="等线"/>
                <w:color w:val="000000"/>
                <w:szCs w:val="21"/>
                <w:lang w:val="en-US" w:eastAsia="zh-CN"/>
              </w:rPr>
              <w:t>第二档：</w:t>
            </w:r>
            <w:r>
              <w:rPr>
                <w:rFonts w:hint="eastAsia" w:ascii="等线" w:hAnsi="等线" w:eastAsia="等线" w:cs="等线"/>
                <w:color w:val="000000"/>
                <w:szCs w:val="21"/>
                <w:lang w:val="zh-CN"/>
              </w:rPr>
              <w:t>投标人对本项目需求有较为深刻的理解，对于项目工作量有较为充分的了解，基本切合项目实际情况；对本项目大部分内容重、难点分析合理、完善，切合项目实际情况得4分；</w:t>
            </w:r>
          </w:p>
          <w:p w14:paraId="0051CE0F">
            <w:pPr>
              <w:snapToGrid w:val="0"/>
              <w:spacing w:line="300" w:lineRule="auto"/>
              <w:rPr>
                <w:rFonts w:hint="eastAsia" w:ascii="等线" w:hAnsi="等线" w:eastAsia="等线" w:cs="等线"/>
                <w:color w:val="000000"/>
                <w:szCs w:val="21"/>
                <w:lang w:val="zh-CN"/>
              </w:rPr>
            </w:pPr>
            <w:r>
              <w:rPr>
                <w:rFonts w:hint="eastAsia" w:ascii="等线" w:hAnsi="等线" w:eastAsia="等线" w:cs="等线"/>
                <w:color w:val="000000"/>
                <w:szCs w:val="21"/>
                <w:lang w:val="en-US" w:eastAsia="zh-CN"/>
              </w:rPr>
              <w:t>第三档：</w:t>
            </w:r>
            <w:r>
              <w:rPr>
                <w:rFonts w:hint="eastAsia" w:ascii="等线" w:hAnsi="等线" w:eastAsia="等线" w:cs="等线"/>
                <w:color w:val="000000"/>
                <w:szCs w:val="21"/>
                <w:lang w:val="zh-CN"/>
              </w:rPr>
              <w:t>投标人对本项目需求有一定理解，基本了解项目工作量，大部分内容比较切合项目实际情况；对本项目内容中部分重、难点分析比较合理，基本切合项目实际情况得2分；</w:t>
            </w:r>
          </w:p>
          <w:p w14:paraId="3FD3823E">
            <w:pPr>
              <w:pStyle w:val="36"/>
              <w:snapToGrid w:val="0"/>
              <w:spacing w:line="300" w:lineRule="auto"/>
              <w:ind w:firstLine="0" w:firstLineChars="0"/>
              <w:rPr>
                <w:rFonts w:hint="default"/>
                <w:color w:val="000000"/>
                <w:lang w:val="en-US" w:eastAsia="zh-CN"/>
              </w:rPr>
            </w:pPr>
            <w:r>
              <w:rPr>
                <w:rFonts w:hint="eastAsia" w:ascii="等线" w:hAnsi="等线" w:eastAsia="等线" w:cs="等线"/>
                <w:color w:val="000000"/>
                <w:szCs w:val="21"/>
                <w:lang w:val="en-US" w:eastAsia="zh-CN"/>
              </w:rPr>
              <w:t>第四档：</w:t>
            </w:r>
            <w:r>
              <w:rPr>
                <w:rFonts w:hint="eastAsia" w:ascii="等线" w:hAnsi="等线" w:eastAsia="等线" w:cs="等线"/>
                <w:color w:val="000000"/>
                <w:szCs w:val="21"/>
              </w:rPr>
              <w:t>投标人对本项目需求仅仅是复制招标文件相关内容，没有展开论述，对内容的重、难点分析不符合实际，没有针对性得</w:t>
            </w:r>
            <w:r>
              <w:rPr>
                <w:rFonts w:hint="eastAsia" w:ascii="等线" w:hAnsi="等线" w:eastAsia="等线" w:cs="等线"/>
                <w:color w:val="000000"/>
                <w:szCs w:val="21"/>
                <w:lang w:val="en-US" w:eastAsia="zh-CN"/>
              </w:rPr>
              <w:t>0</w:t>
            </w:r>
            <w:r>
              <w:rPr>
                <w:rFonts w:hint="eastAsia" w:ascii="等线" w:hAnsi="等线" w:eastAsia="等线" w:cs="等线"/>
                <w:color w:val="000000"/>
                <w:szCs w:val="21"/>
              </w:rPr>
              <w:t>分。</w:t>
            </w:r>
          </w:p>
        </w:tc>
      </w:tr>
      <w:tr w14:paraId="60BD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08" w:hRule="atLeast"/>
        </w:trPr>
        <w:tc>
          <w:tcPr>
            <w:tcW w:w="621" w:type="dxa"/>
            <w:vMerge w:val="continue"/>
            <w:shd w:val="clear" w:color="auto" w:fill="F1F1F1" w:themeFill="background1" w:themeFillShade="F2"/>
            <w:noWrap/>
            <w:vAlign w:val="center"/>
          </w:tcPr>
          <w:p w14:paraId="0C057E44">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F1F1F1" w:themeFill="background1" w:themeFillShade="F2"/>
            <w:noWrap/>
            <w:vAlign w:val="center"/>
          </w:tcPr>
          <w:p w14:paraId="17CD8B05">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F1F1F1" w:themeFill="background1" w:themeFillShade="F2"/>
            <w:noWrap/>
            <w:vAlign w:val="center"/>
          </w:tcPr>
          <w:p w14:paraId="3111A984">
            <w:pPr>
              <w:snapToGrid w:val="0"/>
              <w:spacing w:line="300" w:lineRule="auto"/>
              <w:jc w:val="center"/>
              <w:rPr>
                <w:rFonts w:ascii="宋体" w:hAnsi="宋体" w:cs="宋体"/>
                <w:color w:val="000000"/>
                <w:lang w:val="zh-CN"/>
              </w:rPr>
            </w:pPr>
            <w:r>
              <w:rPr>
                <w:rFonts w:hint="eastAsia" w:ascii="等线" w:hAnsi="等线" w:eastAsia="等线" w:cs="等线"/>
                <w:color w:val="000000"/>
                <w:szCs w:val="21"/>
              </w:rPr>
              <w:t>方案设计合理性（4分）</w:t>
            </w:r>
          </w:p>
        </w:tc>
        <w:tc>
          <w:tcPr>
            <w:tcW w:w="6391" w:type="dxa"/>
            <w:gridSpan w:val="2"/>
            <w:shd w:val="clear" w:color="auto" w:fill="F1F1F1" w:themeFill="background1" w:themeFillShade="F2"/>
            <w:noWrap/>
            <w:vAlign w:val="center"/>
          </w:tcPr>
          <w:p w14:paraId="5975BA29">
            <w:pPr>
              <w:pStyle w:val="36"/>
              <w:snapToGrid w:val="0"/>
              <w:spacing w:line="300" w:lineRule="auto"/>
              <w:ind w:firstLine="0" w:firstLineChars="0"/>
              <w:rPr>
                <w:rFonts w:hint="eastAsia" w:ascii="等线" w:hAnsi="等线" w:eastAsia="等线" w:cs="等线"/>
                <w:color w:val="000000"/>
                <w:szCs w:val="21"/>
              </w:rPr>
            </w:pPr>
            <w:r>
              <w:rPr>
                <w:rFonts w:hint="eastAsia" w:ascii="等线" w:hAnsi="等线" w:eastAsia="等线" w:cs="等线"/>
                <w:color w:val="000000"/>
                <w:szCs w:val="21"/>
              </w:rPr>
              <w:t>供应商提供详细的技术方案，包括项目功能实现、需求分析内容。</w:t>
            </w:r>
          </w:p>
          <w:p w14:paraId="771829C9">
            <w:pPr>
              <w:pStyle w:val="36"/>
              <w:snapToGrid w:val="0"/>
              <w:spacing w:line="300" w:lineRule="auto"/>
              <w:ind w:firstLine="0" w:firstLineChars="0"/>
              <w:rPr>
                <w:rFonts w:hint="eastAsia" w:ascii="等线" w:hAnsi="等线" w:eastAsia="等线" w:cs="等线"/>
                <w:color w:val="000000"/>
                <w:szCs w:val="21"/>
              </w:rPr>
            </w:pPr>
            <w:r>
              <w:rPr>
                <w:rFonts w:hint="eastAsia" w:ascii="等线" w:hAnsi="等线" w:eastAsia="等线" w:cs="等线"/>
                <w:color w:val="000000"/>
                <w:szCs w:val="21"/>
                <w:lang w:val="en-US" w:eastAsia="zh-CN"/>
              </w:rPr>
              <w:t>第一档：</w:t>
            </w:r>
            <w:r>
              <w:rPr>
                <w:rFonts w:hint="eastAsia" w:ascii="等线" w:hAnsi="等线" w:eastAsia="等线" w:cs="等线"/>
                <w:color w:val="000000"/>
                <w:szCs w:val="21"/>
              </w:rPr>
              <w:t>方案完整合理，功能完善，针对性、可操作性强，完全满足采购人需求：4分；</w:t>
            </w:r>
          </w:p>
          <w:p w14:paraId="1B0393AF">
            <w:pPr>
              <w:pStyle w:val="36"/>
              <w:snapToGrid w:val="0"/>
              <w:spacing w:line="300" w:lineRule="auto"/>
              <w:ind w:firstLine="0" w:firstLineChars="0"/>
              <w:rPr>
                <w:rFonts w:hint="eastAsia" w:ascii="等线" w:hAnsi="等线" w:eastAsia="等线" w:cs="等线"/>
                <w:color w:val="000000"/>
                <w:szCs w:val="21"/>
              </w:rPr>
            </w:pPr>
            <w:r>
              <w:rPr>
                <w:rFonts w:hint="eastAsia" w:ascii="等线" w:hAnsi="等线" w:eastAsia="等线" w:cs="等线"/>
                <w:color w:val="000000"/>
                <w:szCs w:val="21"/>
                <w:lang w:val="en-US" w:eastAsia="zh-CN"/>
              </w:rPr>
              <w:t>第二档：</w:t>
            </w:r>
            <w:r>
              <w:rPr>
                <w:rFonts w:hint="eastAsia" w:ascii="等线" w:hAnsi="等线" w:eastAsia="等线" w:cs="等线"/>
                <w:color w:val="000000"/>
                <w:szCs w:val="21"/>
              </w:rPr>
              <w:t>方案较完整合理，功能较完善，针对性、可操作性较强，较满足采购人需求：2分；</w:t>
            </w:r>
          </w:p>
          <w:p w14:paraId="6B243C23">
            <w:pPr>
              <w:pStyle w:val="36"/>
              <w:snapToGrid w:val="0"/>
              <w:spacing w:line="300" w:lineRule="auto"/>
              <w:ind w:firstLine="0" w:firstLineChars="0"/>
              <w:rPr>
                <w:rFonts w:hint="eastAsia" w:ascii="等线" w:hAnsi="等线" w:eastAsia="等线" w:cs="等线"/>
                <w:color w:val="000000"/>
                <w:szCs w:val="21"/>
              </w:rPr>
            </w:pPr>
            <w:r>
              <w:rPr>
                <w:rFonts w:hint="eastAsia" w:ascii="等线" w:hAnsi="等线" w:eastAsia="等线" w:cs="等线"/>
                <w:color w:val="000000"/>
                <w:szCs w:val="21"/>
                <w:lang w:val="en-US" w:eastAsia="zh-CN"/>
              </w:rPr>
              <w:t>第三档：</w:t>
            </w:r>
            <w:r>
              <w:rPr>
                <w:rFonts w:hint="eastAsia" w:ascii="等线" w:hAnsi="等线" w:eastAsia="等线" w:cs="等线"/>
                <w:color w:val="000000"/>
                <w:szCs w:val="21"/>
              </w:rPr>
              <w:t>方案完整合理性一般，功能不完善，针对性、可操作性一般，基本满足采购人需求：1分；</w:t>
            </w:r>
          </w:p>
          <w:p w14:paraId="7020889A">
            <w:pPr>
              <w:pStyle w:val="36"/>
              <w:snapToGrid w:val="0"/>
              <w:spacing w:line="300" w:lineRule="auto"/>
              <w:ind w:firstLine="0" w:firstLineChars="0"/>
              <w:rPr>
                <w:rFonts w:ascii="宋体" w:hAnsi="宋体" w:cs="宋体"/>
                <w:color w:val="000000"/>
              </w:rPr>
            </w:pPr>
            <w:r>
              <w:rPr>
                <w:rFonts w:hint="eastAsia" w:ascii="等线" w:hAnsi="等线" w:eastAsia="等线" w:cs="等线"/>
                <w:color w:val="000000"/>
                <w:szCs w:val="21"/>
                <w:lang w:val="en-US" w:eastAsia="zh-CN"/>
              </w:rPr>
              <w:t>第四档：</w:t>
            </w:r>
            <w:r>
              <w:rPr>
                <w:rFonts w:hint="eastAsia" w:ascii="等线" w:hAnsi="等线" w:eastAsia="等线" w:cs="等线"/>
                <w:color w:val="000000"/>
                <w:szCs w:val="21"/>
              </w:rPr>
              <w:t>其他：0分。</w:t>
            </w:r>
          </w:p>
        </w:tc>
      </w:tr>
      <w:tr w14:paraId="6F61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444" w:hRule="atLeast"/>
        </w:trPr>
        <w:tc>
          <w:tcPr>
            <w:tcW w:w="621" w:type="dxa"/>
            <w:vMerge w:val="continue"/>
            <w:shd w:val="clear" w:color="auto" w:fill="F1F1F1" w:themeFill="background1" w:themeFillShade="F2"/>
            <w:noWrap/>
            <w:vAlign w:val="center"/>
          </w:tcPr>
          <w:p w14:paraId="0EA40A28">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F1F1F1" w:themeFill="background1" w:themeFillShade="F2"/>
            <w:noWrap/>
            <w:vAlign w:val="center"/>
          </w:tcPr>
          <w:p w14:paraId="5252466C">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F1F1F1" w:themeFill="background1" w:themeFillShade="F2"/>
            <w:noWrap/>
            <w:vAlign w:val="center"/>
          </w:tcPr>
          <w:p w14:paraId="33C4BF41">
            <w:pPr>
              <w:snapToGrid w:val="0"/>
              <w:spacing w:line="300" w:lineRule="auto"/>
              <w:rPr>
                <w:rFonts w:hint="eastAsia" w:ascii="宋体" w:hAnsi="宋体" w:cs="宋体"/>
                <w:color w:val="000000"/>
              </w:rPr>
            </w:pPr>
            <w:r>
              <w:rPr>
                <w:rFonts w:hint="eastAsia" w:ascii="等线" w:hAnsi="等线" w:eastAsia="等线" w:cs="等线"/>
                <w:color w:val="000000"/>
                <w:szCs w:val="21"/>
              </w:rPr>
              <w:t>项目实施（4分）</w:t>
            </w:r>
          </w:p>
        </w:tc>
        <w:tc>
          <w:tcPr>
            <w:tcW w:w="6391" w:type="dxa"/>
            <w:gridSpan w:val="2"/>
            <w:shd w:val="clear" w:color="auto" w:fill="F1F1F1" w:themeFill="background1" w:themeFillShade="F2"/>
            <w:noWrap/>
            <w:vAlign w:val="center"/>
          </w:tcPr>
          <w:p w14:paraId="1ED4DA10">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rPr>
              <w:t>项目实施方案：项目实施计划能否保证项目顺利实施，主要包括计划的完整性、合理性、先进性等，评委根据供应商提供的方案进行评分。</w:t>
            </w:r>
          </w:p>
          <w:p w14:paraId="57C8B760">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lang w:val="en-US" w:eastAsia="zh-CN"/>
              </w:rPr>
              <w:t>第一档：</w:t>
            </w:r>
            <w:r>
              <w:rPr>
                <w:rFonts w:hint="eastAsia" w:ascii="等线" w:hAnsi="等线" w:eastAsia="等线" w:cs="等线"/>
                <w:color w:val="000000"/>
                <w:szCs w:val="21"/>
              </w:rPr>
              <w:t>项目实施方案与本项目实际情况匹配，逻辑层次清晰，内容完整，具有针对性，合理性，科学性得4分；</w:t>
            </w:r>
          </w:p>
          <w:p w14:paraId="48DB852D">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lang w:val="en-US" w:eastAsia="zh-CN"/>
              </w:rPr>
              <w:t>第二档：</w:t>
            </w:r>
            <w:r>
              <w:rPr>
                <w:rFonts w:hint="eastAsia" w:ascii="等线" w:hAnsi="等线" w:eastAsia="等线" w:cs="等线"/>
                <w:color w:val="000000"/>
                <w:szCs w:val="21"/>
              </w:rPr>
              <w:t>基本符合要求得2分；</w:t>
            </w:r>
          </w:p>
          <w:p w14:paraId="0DB8B19C">
            <w:pPr>
              <w:snapToGrid w:val="0"/>
              <w:spacing w:line="300" w:lineRule="auto"/>
              <w:rPr>
                <w:rFonts w:hint="eastAsia" w:ascii="等线" w:hAnsi="等线" w:eastAsia="等线" w:cs="等线"/>
                <w:color w:val="000000"/>
                <w:szCs w:val="21"/>
              </w:rPr>
            </w:pPr>
            <w:r>
              <w:rPr>
                <w:rFonts w:hint="eastAsia" w:ascii="等线" w:hAnsi="等线" w:eastAsia="等线" w:cs="等线"/>
                <w:color w:val="000000"/>
                <w:szCs w:val="21"/>
                <w:lang w:val="en-US" w:eastAsia="zh-CN"/>
              </w:rPr>
              <w:t>第三档：</w:t>
            </w:r>
            <w:r>
              <w:rPr>
                <w:rFonts w:hint="eastAsia" w:ascii="等线" w:hAnsi="等线" w:eastAsia="等线" w:cs="等线"/>
                <w:color w:val="000000"/>
                <w:szCs w:val="21"/>
              </w:rPr>
              <w:t>部分符合要求得1分；</w:t>
            </w:r>
          </w:p>
          <w:p w14:paraId="75A654EC">
            <w:pPr>
              <w:snapToGrid w:val="0"/>
              <w:spacing w:line="300" w:lineRule="auto"/>
              <w:rPr>
                <w:rFonts w:hint="eastAsia" w:ascii="宋体" w:hAnsi="宋体" w:cs="宋体"/>
                <w:color w:val="000000"/>
              </w:rPr>
            </w:pPr>
            <w:r>
              <w:rPr>
                <w:rFonts w:hint="eastAsia" w:ascii="等线" w:hAnsi="等线" w:eastAsia="等线" w:cs="等线"/>
                <w:color w:val="000000"/>
                <w:szCs w:val="21"/>
                <w:lang w:val="en-US" w:eastAsia="zh-CN"/>
              </w:rPr>
              <w:t>第四档：</w:t>
            </w:r>
            <w:r>
              <w:rPr>
                <w:rFonts w:hint="eastAsia" w:ascii="等线" w:hAnsi="等线" w:eastAsia="等线" w:cs="等线"/>
                <w:color w:val="000000"/>
                <w:szCs w:val="21"/>
              </w:rPr>
              <w:t>其他：0分。</w:t>
            </w:r>
          </w:p>
        </w:tc>
      </w:tr>
      <w:tr w14:paraId="659E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08" w:hRule="atLeast"/>
        </w:trPr>
        <w:tc>
          <w:tcPr>
            <w:tcW w:w="621" w:type="dxa"/>
            <w:vMerge w:val="continue"/>
            <w:shd w:val="clear" w:color="auto" w:fill="F1F1F1" w:themeFill="background1" w:themeFillShade="F2"/>
            <w:noWrap/>
            <w:vAlign w:val="center"/>
          </w:tcPr>
          <w:p w14:paraId="3F6427F7">
            <w:pPr>
              <w:adjustRightInd w:val="0"/>
              <w:snapToGrid w:val="0"/>
              <w:spacing w:line="300" w:lineRule="auto"/>
              <w:jc w:val="center"/>
              <w:textAlignment w:val="baseline"/>
              <w:rPr>
                <w:rFonts w:ascii="宋体" w:hAnsi="宋体" w:cs="宋体"/>
                <w:color w:val="000000"/>
                <w:szCs w:val="21"/>
              </w:rPr>
            </w:pPr>
          </w:p>
        </w:tc>
        <w:tc>
          <w:tcPr>
            <w:tcW w:w="672" w:type="dxa"/>
            <w:gridSpan w:val="2"/>
            <w:vMerge w:val="continue"/>
            <w:shd w:val="clear" w:color="auto" w:fill="F1F1F1" w:themeFill="background1" w:themeFillShade="F2"/>
            <w:noWrap/>
            <w:vAlign w:val="center"/>
          </w:tcPr>
          <w:p w14:paraId="1AAF8516">
            <w:pPr>
              <w:adjustRightInd w:val="0"/>
              <w:snapToGrid w:val="0"/>
              <w:spacing w:line="300" w:lineRule="auto"/>
              <w:jc w:val="center"/>
              <w:textAlignment w:val="baseline"/>
              <w:rPr>
                <w:rFonts w:ascii="宋体" w:hAnsi="宋体" w:cs="宋体"/>
                <w:color w:val="000000"/>
                <w:szCs w:val="21"/>
              </w:rPr>
            </w:pPr>
          </w:p>
        </w:tc>
        <w:tc>
          <w:tcPr>
            <w:tcW w:w="1085" w:type="dxa"/>
            <w:shd w:val="clear" w:color="auto" w:fill="F1F1F1" w:themeFill="background1" w:themeFillShade="F2"/>
            <w:noWrap/>
            <w:vAlign w:val="center"/>
          </w:tcPr>
          <w:p w14:paraId="4D965C3A">
            <w:pPr>
              <w:snapToGrid w:val="0"/>
              <w:spacing w:line="300" w:lineRule="auto"/>
              <w:rPr>
                <w:rFonts w:hint="eastAsia" w:ascii="宋体" w:hAnsi="宋体" w:cs="宋体"/>
                <w:color w:val="000000"/>
                <w:szCs w:val="21"/>
              </w:rPr>
            </w:pPr>
            <w:r>
              <w:rPr>
                <w:rFonts w:hint="eastAsia" w:ascii="等线" w:hAnsi="等线" w:eastAsia="等线" w:cs="等线"/>
                <w:color w:val="000000"/>
                <w:szCs w:val="21"/>
              </w:rPr>
              <w:t>进度管理方案（3分）</w:t>
            </w:r>
          </w:p>
        </w:tc>
        <w:tc>
          <w:tcPr>
            <w:tcW w:w="6391" w:type="dxa"/>
            <w:gridSpan w:val="2"/>
            <w:shd w:val="clear" w:color="auto" w:fill="F1F1F1" w:themeFill="background1" w:themeFillShade="F2"/>
            <w:noWrap/>
            <w:vAlign w:val="center"/>
          </w:tcPr>
          <w:p w14:paraId="44247E2C">
            <w:pPr>
              <w:pStyle w:val="6"/>
              <w:snapToGrid w:val="0"/>
              <w:spacing w:after="0" w:line="300" w:lineRule="auto"/>
              <w:rPr>
                <w:rFonts w:hint="eastAsia" w:ascii="等线" w:hAnsi="等线" w:eastAsia="等线" w:cs="等线"/>
                <w:color w:val="000000"/>
                <w:sz w:val="21"/>
                <w:szCs w:val="21"/>
              </w:rPr>
            </w:pPr>
            <w:r>
              <w:rPr>
                <w:rFonts w:hint="eastAsia" w:ascii="等线" w:hAnsi="等线" w:eastAsia="等线" w:cs="等线"/>
                <w:color w:val="000000"/>
                <w:sz w:val="21"/>
                <w:szCs w:val="21"/>
              </w:rPr>
              <w:t>从进度控制内容、人员组织、时间安排、措施、监督方式等五个方面对进度管理方案的评审，</w:t>
            </w:r>
          </w:p>
          <w:p w14:paraId="40CEC221">
            <w:pPr>
              <w:pStyle w:val="6"/>
              <w:snapToGrid w:val="0"/>
              <w:spacing w:after="0" w:line="300" w:lineRule="auto"/>
              <w:rPr>
                <w:rFonts w:hint="eastAsia" w:ascii="等线" w:hAnsi="等线" w:eastAsia="等线" w:cs="等线"/>
                <w:color w:val="000000"/>
                <w:sz w:val="21"/>
                <w:szCs w:val="21"/>
              </w:rPr>
            </w:pPr>
            <w:r>
              <w:rPr>
                <w:rFonts w:hint="eastAsia" w:ascii="等线" w:hAnsi="等线" w:eastAsia="等线" w:cs="等线"/>
                <w:color w:val="000000"/>
                <w:sz w:val="21"/>
                <w:szCs w:val="21"/>
                <w:lang w:val="en-US" w:eastAsia="zh-CN"/>
              </w:rPr>
              <w:t>第一档：</w:t>
            </w:r>
            <w:r>
              <w:rPr>
                <w:rFonts w:hint="eastAsia" w:ascii="等线" w:hAnsi="等线" w:eastAsia="等线" w:cs="等线"/>
                <w:color w:val="000000"/>
                <w:sz w:val="21"/>
                <w:szCs w:val="21"/>
              </w:rPr>
              <w:t>综合评审结果优秀得3分，</w:t>
            </w:r>
          </w:p>
          <w:p w14:paraId="4C2125DD">
            <w:pPr>
              <w:pStyle w:val="6"/>
              <w:snapToGrid w:val="0"/>
              <w:spacing w:after="0" w:line="300" w:lineRule="auto"/>
              <w:rPr>
                <w:rFonts w:hint="eastAsia" w:ascii="等线" w:hAnsi="等线" w:eastAsia="等线" w:cs="等线"/>
                <w:color w:val="000000"/>
                <w:sz w:val="21"/>
                <w:szCs w:val="21"/>
              </w:rPr>
            </w:pPr>
            <w:r>
              <w:rPr>
                <w:rFonts w:hint="eastAsia" w:ascii="等线" w:hAnsi="等线" w:eastAsia="等线" w:cs="等线"/>
                <w:color w:val="000000"/>
                <w:sz w:val="21"/>
                <w:szCs w:val="21"/>
                <w:lang w:val="en-US" w:eastAsia="zh-CN"/>
              </w:rPr>
              <w:t>第二档：</w:t>
            </w:r>
            <w:r>
              <w:rPr>
                <w:rFonts w:hint="eastAsia" w:ascii="等线" w:hAnsi="等线" w:eastAsia="等线" w:cs="等线"/>
                <w:color w:val="000000"/>
                <w:sz w:val="21"/>
                <w:szCs w:val="21"/>
              </w:rPr>
              <w:t>评审结果优良得2分，</w:t>
            </w:r>
          </w:p>
          <w:p w14:paraId="73679362">
            <w:pPr>
              <w:pStyle w:val="6"/>
              <w:snapToGrid w:val="0"/>
              <w:spacing w:after="0" w:line="300" w:lineRule="auto"/>
              <w:rPr>
                <w:rFonts w:hint="eastAsia" w:ascii="等线" w:hAnsi="等线" w:eastAsia="等线" w:cs="等线"/>
                <w:color w:val="000000"/>
                <w:sz w:val="21"/>
                <w:szCs w:val="21"/>
              </w:rPr>
            </w:pPr>
            <w:r>
              <w:rPr>
                <w:rFonts w:hint="eastAsia" w:ascii="等线" w:hAnsi="等线" w:eastAsia="等线" w:cs="等线"/>
                <w:color w:val="000000"/>
                <w:sz w:val="21"/>
                <w:szCs w:val="21"/>
                <w:lang w:val="en-US" w:eastAsia="zh-CN"/>
              </w:rPr>
              <w:t>第三档：</w:t>
            </w:r>
            <w:r>
              <w:rPr>
                <w:rFonts w:hint="eastAsia" w:ascii="等线" w:hAnsi="等线" w:eastAsia="等线" w:cs="等线"/>
                <w:color w:val="000000"/>
                <w:sz w:val="21"/>
                <w:szCs w:val="21"/>
              </w:rPr>
              <w:t>评审结果一般得1分，</w:t>
            </w:r>
          </w:p>
          <w:p w14:paraId="677AAE26">
            <w:pPr>
              <w:pStyle w:val="6"/>
              <w:snapToGrid w:val="0"/>
              <w:spacing w:after="0" w:line="300" w:lineRule="auto"/>
              <w:rPr>
                <w:rFonts w:hint="eastAsia" w:ascii="宋体" w:hAnsi="宋体" w:cs="宋体"/>
                <w:color w:val="000000"/>
                <w:szCs w:val="21"/>
              </w:rPr>
            </w:pPr>
            <w:r>
              <w:rPr>
                <w:rFonts w:hint="eastAsia" w:ascii="等线" w:hAnsi="等线" w:eastAsia="等线" w:cs="等线"/>
                <w:color w:val="000000"/>
                <w:sz w:val="21"/>
                <w:lang w:val="en-US" w:eastAsia="zh-CN"/>
              </w:rPr>
              <w:t>第四档：</w:t>
            </w:r>
            <w:r>
              <w:rPr>
                <w:rFonts w:hint="eastAsia" w:ascii="等线" w:hAnsi="等线" w:eastAsia="等线" w:cs="等线"/>
                <w:color w:val="000000"/>
                <w:sz w:val="21"/>
              </w:rPr>
              <w:t>其他：0分。</w:t>
            </w:r>
          </w:p>
        </w:tc>
      </w:tr>
      <w:tr w14:paraId="0AD4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08" w:hRule="atLeast"/>
        </w:trPr>
        <w:tc>
          <w:tcPr>
            <w:tcW w:w="8769" w:type="dxa"/>
            <w:gridSpan w:val="6"/>
            <w:shd w:val="clear" w:color="auto" w:fill="F1F1F1" w:themeFill="background1" w:themeFillShade="F2"/>
            <w:noWrap/>
            <w:vAlign w:val="center"/>
          </w:tcPr>
          <w:p w14:paraId="2518E5EB">
            <w:pPr>
              <w:adjustRightInd w:val="0"/>
              <w:snapToGrid w:val="0"/>
              <w:ind w:left="0" w:firstLine="0"/>
              <w:rPr>
                <w:rFonts w:hint="eastAsia" w:ascii="宋体" w:hAnsi="宋体" w:cs="Arial"/>
                <w:sz w:val="24"/>
                <w:szCs w:val="24"/>
              </w:rPr>
            </w:pPr>
            <w:r>
              <w:rPr>
                <w:rFonts w:hint="eastAsia" w:ascii="宋体" w:hAnsi="宋体" w:cs="Arial"/>
                <w:sz w:val="24"/>
                <w:szCs w:val="24"/>
              </w:rPr>
              <w:t>注：第一档打分说明：指阐述（说明、方案、或承诺）完整详细、合理可行、针对性强。对于说明，有详尽的说明文件，包括货物或其它技术手段的具体实现方式及相关界面展示，并结合了招标文件中的具体采购需求，不是笼统的表达；有方案的具体实现，包括说明方案的可行性、方案中涉及的货物或其它技术手段的实现方法，方案的优点及能达到的效果；对于承诺，说明了如何能够实现承诺，如实现的技术手段、人员配备等。</w:t>
            </w:r>
          </w:p>
          <w:p w14:paraId="1BCFFC45">
            <w:pPr>
              <w:adjustRightInd w:val="0"/>
              <w:snapToGrid w:val="0"/>
              <w:ind w:left="0" w:firstLine="0"/>
              <w:rPr>
                <w:rFonts w:hint="eastAsia" w:ascii="宋体" w:hAnsi="宋体" w:cs="Arial"/>
                <w:sz w:val="24"/>
                <w:szCs w:val="24"/>
              </w:rPr>
            </w:pPr>
            <w:r>
              <w:rPr>
                <w:rFonts w:hint="eastAsia" w:ascii="宋体" w:hAnsi="宋体" w:cs="Arial"/>
                <w:sz w:val="24"/>
                <w:szCs w:val="24"/>
              </w:rPr>
              <w:t>第二档打分说明：指阐述（说明、方案、或承诺）详细，合理可行，有针对性。对于说明，有说明文件。能够满足招标文件要求，对于方案的各方面安排比较合理，对可行性、实现方法、优点、效果等方面有说明；对于承诺，能够满足符合招标文件要求。</w:t>
            </w:r>
          </w:p>
          <w:p w14:paraId="5ABC19FA">
            <w:pPr>
              <w:adjustRightInd w:val="0"/>
              <w:snapToGrid w:val="0"/>
              <w:ind w:left="0" w:firstLine="0"/>
              <w:rPr>
                <w:rFonts w:hint="eastAsia" w:ascii="宋体" w:hAnsi="宋体" w:cs="Arial"/>
                <w:sz w:val="24"/>
                <w:szCs w:val="24"/>
              </w:rPr>
            </w:pPr>
            <w:r>
              <w:rPr>
                <w:rFonts w:hint="eastAsia" w:ascii="宋体" w:hAnsi="宋体" w:cs="Arial"/>
                <w:sz w:val="24"/>
                <w:szCs w:val="24"/>
              </w:rPr>
              <w:t>第三档打分说明：指阐述（说明、方案、或承诺）笼统、模糊。对于说明，有说明文件，但实现手段描述不够全面详细；对于方案，可行性、实现方法、优点、效果等方面有说明；对于承诺，较为满足相关要求。</w:t>
            </w:r>
          </w:p>
          <w:p w14:paraId="24C1ADC4">
            <w:pPr>
              <w:adjustRightInd w:val="0"/>
              <w:snapToGrid w:val="0"/>
              <w:ind w:left="0" w:firstLine="0"/>
              <w:rPr>
                <w:rFonts w:hint="eastAsia" w:ascii="宋体" w:hAnsi="宋体" w:cs="Arial"/>
                <w:sz w:val="24"/>
                <w:szCs w:val="24"/>
              </w:rPr>
            </w:pPr>
            <w:r>
              <w:rPr>
                <w:rFonts w:hint="eastAsia" w:ascii="宋体" w:hAnsi="宋体" w:cs="Arial"/>
                <w:sz w:val="24"/>
                <w:szCs w:val="24"/>
              </w:rPr>
              <w:t>第四档打分说明：仅有标题及概括性内容，实际内容与本项目不符合，没有可行性，对于承诺，不能满足相关要求。</w:t>
            </w:r>
          </w:p>
          <w:p w14:paraId="12242F85">
            <w:pPr>
              <w:pStyle w:val="6"/>
              <w:snapToGrid w:val="0"/>
              <w:spacing w:after="0" w:line="300" w:lineRule="auto"/>
              <w:rPr>
                <w:rFonts w:hint="eastAsia" w:ascii="等线" w:hAnsi="等线" w:eastAsia="等线" w:cs="等线"/>
                <w:color w:val="000000"/>
                <w:sz w:val="21"/>
                <w:lang w:val="en-US" w:eastAsia="zh-CN"/>
              </w:rPr>
            </w:pPr>
            <w:r>
              <w:rPr>
                <w:rFonts w:hint="eastAsia" w:ascii="宋体" w:hAnsi="宋体" w:cs="Arial"/>
                <w:sz w:val="24"/>
                <w:szCs w:val="24"/>
                <w:lang w:eastAsia="zh-CN"/>
              </w:rPr>
              <w:t>以上各项如有缺项，此项得</w:t>
            </w:r>
            <w:r>
              <w:rPr>
                <w:rFonts w:hint="eastAsia" w:ascii="宋体" w:hAnsi="宋体" w:cs="Arial"/>
                <w:sz w:val="24"/>
                <w:szCs w:val="24"/>
                <w:lang w:val="en-US" w:eastAsia="zh-CN"/>
              </w:rPr>
              <w:t>0分</w:t>
            </w:r>
          </w:p>
        </w:tc>
      </w:tr>
    </w:tbl>
    <w:p w14:paraId="04F6B094">
      <w:pPr>
        <w:pStyle w:val="10"/>
        <w:ind w:firstLine="482"/>
        <w:rPr>
          <w:rFonts w:hAnsi="宋体"/>
          <w:b/>
          <w:szCs w:val="24"/>
        </w:rPr>
      </w:pPr>
      <w:r>
        <w:rPr>
          <w:rFonts w:hAnsi="宋体"/>
          <w:b/>
          <w:szCs w:val="24"/>
        </w:rPr>
        <w:t>注：</w:t>
      </w:r>
      <w:r>
        <w:rPr>
          <w:rFonts w:ascii="Calibri" w:hAnsi="Calibri" w:cs="Calibri"/>
          <w:b/>
          <w:szCs w:val="24"/>
        </w:rPr>
        <w:t>①</w:t>
      </w:r>
      <w:r>
        <w:rPr>
          <w:rFonts w:hAnsi="宋体"/>
          <w:b/>
          <w:szCs w:val="24"/>
        </w:rPr>
        <w:t>招标文件要求的所有原件相关的材料，均以诚信库上传的复印件或扫描件为准。</w:t>
      </w:r>
    </w:p>
    <w:p w14:paraId="560A24AE">
      <w:pPr>
        <w:pStyle w:val="10"/>
        <w:ind w:firstLine="482"/>
        <w:rPr>
          <w:rFonts w:hint="eastAsia" w:ascii="Calibri" w:hAnsi="Calibri" w:cs="Calibri"/>
          <w:b/>
          <w:color w:val="FF0000"/>
          <w:szCs w:val="24"/>
          <w:lang w:val="en-US" w:eastAsia="zh-CN"/>
        </w:rPr>
      </w:pPr>
      <w:r>
        <w:rPr>
          <w:rFonts w:ascii="Calibri" w:hAnsi="Calibri" w:cs="Calibri"/>
          <w:b/>
          <w:szCs w:val="24"/>
        </w:rPr>
        <w:t>②</w:t>
      </w:r>
      <w:r>
        <w:rPr>
          <w:rFonts w:hint="eastAsia" w:ascii="Calibri" w:hAnsi="Calibri" w:cs="Calibri"/>
          <w:b/>
          <w:color w:val="auto"/>
          <w:szCs w:val="24"/>
          <w:lang w:val="en-US" w:eastAsia="zh-CN"/>
        </w:rPr>
        <w:t>核心产品：半球摄像机</w:t>
      </w:r>
    </w:p>
    <w:p w14:paraId="52107010">
      <w:pPr>
        <w:pStyle w:val="10"/>
        <w:ind w:firstLine="482"/>
        <w:rPr>
          <w:rFonts w:hAnsi="宋体"/>
          <w:b/>
          <w:szCs w:val="24"/>
        </w:rPr>
      </w:pPr>
      <w:r>
        <w:rPr>
          <w:rFonts w:hint="eastAsia" w:hAnsi="宋体"/>
          <w:b/>
          <w:szCs w:val="24"/>
        </w:rPr>
        <w:t>投标产品若出现同一品牌需参照：（中华人民共和国财政部令第87号--政府采购货物和服务招标投标管理办法）第三十一条：使用综合评分法的采购项目，提供相同品牌产品且通过资格审查、符合性审查的不同投标人参加同一合同项下投标的，按一家投标人计算，评审后得分最高的同品牌投标人获得中标人推荐资格；评审得分相同的，报价最低的同品牌投标人获得中标人推荐资格，评审得分相同报价相同的由采购人或者采购人委托评标委员会采取随机抽取方式确定，其他同品牌投标人不作为中标候选人。</w:t>
      </w:r>
    </w:p>
    <w:p w14:paraId="3796FB3A">
      <w:pPr>
        <w:ind w:firstLine="482"/>
        <w:rPr>
          <w:rFonts w:ascii="宋体" w:hAnsi="宋体" w:cs="宋体"/>
        </w:rPr>
      </w:pPr>
      <w:bookmarkStart w:id="104" w:name="_Toc4775"/>
      <w:bookmarkStart w:id="105" w:name="_Toc25239"/>
      <w:r>
        <w:rPr>
          <w:rFonts w:hint="eastAsia"/>
          <w:b/>
          <w:bCs/>
        </w:rPr>
        <w:t>2、计分办法</w:t>
      </w:r>
      <w:bookmarkEnd w:id="104"/>
      <w:bookmarkEnd w:id="105"/>
    </w:p>
    <w:p w14:paraId="00AC7233">
      <w:pPr>
        <w:ind w:firstLine="480"/>
        <w:rPr>
          <w:rFonts w:ascii="宋体" w:cs="宋体"/>
        </w:rPr>
      </w:pPr>
      <w:r>
        <w:rPr>
          <w:rFonts w:hint="eastAsia"/>
        </w:rPr>
        <w:t>根据招标文件、投标文件，按照评分办法，得出每个评委对投标人的评标分数。投标人的最终得分为所有评委对其打分的算术平均值。计分过程按四舍五入取至小数点后三位，最终得分取至小数点后二位。如出现两家投标人并列最高分（四舍五入后得分相等），将两家投标人的分值取小数点后三位进行比较，得分高者为排序第一。</w:t>
      </w:r>
    </w:p>
    <w:p w14:paraId="7F081808">
      <w:pPr>
        <w:ind w:firstLine="482"/>
        <w:rPr>
          <w:b/>
          <w:bCs/>
        </w:rPr>
      </w:pPr>
      <w:bookmarkStart w:id="106" w:name="_Toc4830"/>
      <w:bookmarkStart w:id="107" w:name="_Toc24908"/>
      <w:r>
        <w:rPr>
          <w:rFonts w:hint="eastAsia"/>
          <w:b/>
          <w:bCs/>
        </w:rPr>
        <w:t>3、定标办法</w:t>
      </w:r>
      <w:bookmarkEnd w:id="106"/>
      <w:bookmarkEnd w:id="107"/>
    </w:p>
    <w:p w14:paraId="30E062F7">
      <w:pPr>
        <w:ind w:firstLine="480"/>
      </w:pPr>
      <w:r>
        <w:rPr>
          <w:rFonts w:hint="eastAsia"/>
        </w:rPr>
        <w:t>（1）投标人的排名按得分顺序从高到低排列；得分相同的，按投标报价由低到高顺序排列；得分且投标报价相同的，按技术指标优劣顺序排列。</w:t>
      </w:r>
    </w:p>
    <w:p w14:paraId="02F7E6C8">
      <w:pPr>
        <w:ind w:firstLine="480"/>
        <w:rPr>
          <w:rFonts w:ascii="宋体" w:cs="宋体"/>
        </w:rPr>
      </w:pPr>
      <w:r>
        <w:rPr>
          <w:rFonts w:hint="eastAsia"/>
        </w:rPr>
        <w:t>（2）采购人应在投标人须知前附表规定的媒介发布成交结果公告。</w:t>
      </w:r>
    </w:p>
    <w:p w14:paraId="510F3DA9">
      <w:pPr>
        <w:ind w:firstLine="482"/>
        <w:rPr>
          <w:b/>
          <w:bCs/>
        </w:rPr>
      </w:pPr>
      <w:bookmarkStart w:id="108" w:name="_Toc517793048"/>
      <w:bookmarkEnd w:id="108"/>
      <w:bookmarkStart w:id="109" w:name="_Toc448696510"/>
      <w:bookmarkEnd w:id="109"/>
      <w:bookmarkStart w:id="110" w:name="_Toc2933983"/>
      <w:bookmarkEnd w:id="110"/>
      <w:bookmarkStart w:id="111" w:name="_Toc516675468"/>
      <w:bookmarkStart w:id="112" w:name="_Toc10795"/>
      <w:bookmarkStart w:id="113" w:name="_Toc9201"/>
      <w:r>
        <w:rPr>
          <w:rFonts w:hint="eastAsia"/>
          <w:b/>
          <w:bCs/>
        </w:rPr>
        <w:t>4、</w:t>
      </w:r>
      <w:bookmarkEnd w:id="111"/>
      <w:r>
        <w:rPr>
          <w:rFonts w:hint="eastAsia"/>
          <w:b/>
          <w:bCs/>
        </w:rPr>
        <w:t>成交信息</w:t>
      </w:r>
      <w:bookmarkEnd w:id="112"/>
      <w:bookmarkEnd w:id="113"/>
    </w:p>
    <w:p w14:paraId="2F6581B9">
      <w:pPr>
        <w:ind w:firstLine="480"/>
      </w:pPr>
      <w:r>
        <w:rPr>
          <w:rFonts w:hint="eastAsia"/>
        </w:rPr>
        <w:t>（1）采购人根据评标小组的推荐意见，最终确定成交投标人。评标结束，在《河南省政府采购网》、《南阳市政府采购网》、《全国公共资源交易平台（河南省·南阳市·卧龙区）》予以公示。由采购代理机构签发《成交通知书》；</w:t>
      </w:r>
    </w:p>
    <w:p w14:paraId="0F98099A">
      <w:pPr>
        <w:ind w:firstLine="480"/>
      </w:pPr>
      <w:r>
        <w:rPr>
          <w:rFonts w:hint="eastAsia"/>
        </w:rPr>
        <w:t>（2）对未成交投标人，采购代理机构不对未成交原因作出解释，同时亦不退还投标文件；</w:t>
      </w:r>
    </w:p>
    <w:p w14:paraId="1FD17F8C">
      <w:pPr>
        <w:ind w:firstLine="480"/>
      </w:pPr>
      <w:r>
        <w:rPr>
          <w:rFonts w:hint="eastAsia"/>
        </w:rPr>
        <w:t>（3）《成交通知书》将作为签订合同的重要依据。</w:t>
      </w:r>
    </w:p>
    <w:p w14:paraId="557FB96E">
      <w:pPr>
        <w:ind w:firstLine="482"/>
        <w:rPr>
          <w:b/>
          <w:bCs/>
        </w:rPr>
      </w:pPr>
      <w:bookmarkStart w:id="114" w:name="_Toc25045873"/>
      <w:bookmarkEnd w:id="114"/>
      <w:bookmarkStart w:id="115" w:name="_Toc11715"/>
      <w:bookmarkStart w:id="116" w:name="_Toc16835"/>
      <w:r>
        <w:rPr>
          <w:rFonts w:hint="eastAsia"/>
          <w:b/>
          <w:bCs/>
        </w:rPr>
        <w:t>5、签订合同</w:t>
      </w:r>
      <w:bookmarkEnd w:id="115"/>
      <w:bookmarkEnd w:id="116"/>
    </w:p>
    <w:p w14:paraId="356F357D">
      <w:pPr>
        <w:ind w:firstLine="480"/>
      </w:pPr>
      <w:r>
        <w:rPr>
          <w:rFonts w:hint="eastAsia"/>
        </w:rPr>
        <w:t>（1）采购人和成交投标人应当自成交通知书发出之日起30日内按照招标文件和成交投标人的投标文件订立书面合同；</w:t>
      </w:r>
    </w:p>
    <w:p w14:paraId="3D555B6E">
      <w:pPr>
        <w:ind w:firstLine="480"/>
      </w:pPr>
      <w:r>
        <w:rPr>
          <w:rFonts w:hint="eastAsia"/>
        </w:rPr>
        <w:t>（2）</w:t>
      </w:r>
      <w:bookmarkStart w:id="117" w:name="_Toc516675469"/>
      <w:bookmarkEnd w:id="117"/>
      <w:bookmarkStart w:id="118" w:name="_Toc517793049"/>
      <w:bookmarkEnd w:id="118"/>
      <w:bookmarkStart w:id="119" w:name="_Toc448696511"/>
      <w:bookmarkEnd w:id="119"/>
      <w:bookmarkStart w:id="120" w:name="_Toc2933984"/>
      <w:r>
        <w:rPr>
          <w:rFonts w:hint="eastAsia"/>
        </w:rPr>
        <w:t>成交投标人应按采购人指定的地点与其签订合同。</w:t>
      </w:r>
      <w:bookmarkEnd w:id="120"/>
    </w:p>
    <w:p w14:paraId="5A545097">
      <w:pPr>
        <w:ind w:firstLine="482"/>
        <w:rPr>
          <w:b/>
          <w:bCs/>
        </w:rPr>
      </w:pPr>
      <w:bookmarkStart w:id="121" w:name="_Toc8399"/>
      <w:bookmarkStart w:id="122" w:name="_Toc17050"/>
      <w:r>
        <w:rPr>
          <w:rFonts w:hint="eastAsia"/>
          <w:b/>
          <w:bCs/>
        </w:rPr>
        <w:t>6．成交服务费</w:t>
      </w:r>
      <w:bookmarkEnd w:id="121"/>
      <w:bookmarkEnd w:id="122"/>
    </w:p>
    <w:p w14:paraId="31286D40">
      <w:pPr>
        <w:ind w:firstLine="480"/>
      </w:pPr>
      <w:r>
        <w:rPr>
          <w:rFonts w:hint="eastAsia"/>
        </w:rPr>
        <w:t>成交服务费用（中标服务费）：由成交投标人按照发改办价格【2015】299号文</w:t>
      </w:r>
      <w:r>
        <w:rPr>
          <w:rFonts w:hint="eastAsia"/>
          <w:lang w:val="en-US" w:eastAsia="zh-CN"/>
        </w:rPr>
        <w:t>及河南省招标代理服务收费指导意见</w:t>
      </w:r>
      <w:r>
        <w:rPr>
          <w:rFonts w:hint="eastAsia"/>
        </w:rPr>
        <w:t>的规定，代理费用由成交投标人在领取中标/成交通知书前以现金形式交至招标代理机构。</w:t>
      </w:r>
    </w:p>
    <w:p w14:paraId="1F2302F4">
      <w:pPr>
        <w:ind w:firstLine="482"/>
        <w:rPr>
          <w:b/>
          <w:bCs/>
        </w:rPr>
      </w:pPr>
      <w:bookmarkStart w:id="123" w:name="_Toc23778"/>
      <w:bookmarkStart w:id="124" w:name="_Toc28893"/>
      <w:r>
        <w:rPr>
          <w:rFonts w:hint="eastAsia"/>
          <w:b/>
          <w:bCs/>
        </w:rPr>
        <w:t>7、付款方式</w:t>
      </w:r>
      <w:bookmarkEnd w:id="123"/>
      <w:bookmarkEnd w:id="124"/>
    </w:p>
    <w:p w14:paraId="7939BDBD">
      <w:pPr>
        <w:ind w:firstLine="480"/>
      </w:pPr>
      <w:r>
        <w:rPr>
          <w:rFonts w:hint="eastAsia"/>
        </w:rPr>
        <w:t>付款方式：由双方约定支付。</w:t>
      </w:r>
    </w:p>
    <w:p w14:paraId="64EE94A8">
      <w:pPr>
        <w:ind w:firstLine="482"/>
        <w:rPr>
          <w:b/>
          <w:bCs/>
        </w:rPr>
      </w:pPr>
      <w:bookmarkStart w:id="125" w:name="_Toc31987"/>
      <w:bookmarkStart w:id="126" w:name="_Toc21675"/>
      <w:r>
        <w:rPr>
          <w:rFonts w:hint="eastAsia"/>
          <w:b/>
          <w:bCs/>
        </w:rPr>
        <w:t>8、解决争议的办法</w:t>
      </w:r>
      <w:bookmarkEnd w:id="125"/>
      <w:bookmarkEnd w:id="126"/>
    </w:p>
    <w:p w14:paraId="20383EAD">
      <w:pPr>
        <w:ind w:firstLine="480"/>
      </w:pPr>
      <w:r>
        <w:rPr>
          <w:rFonts w:hint="eastAsia"/>
        </w:rPr>
        <w:t>出现争议时，双方可协商解决，不能达成一致意见时，可通过诉讼方式由采购人所在地法院裁决。</w:t>
      </w:r>
    </w:p>
    <w:p w14:paraId="609B8861">
      <w:pPr>
        <w:ind w:firstLine="480"/>
      </w:pPr>
      <w:r>
        <w:rPr>
          <w:rFonts w:hint="eastAsia"/>
        </w:rPr>
        <w:t>（1）重新招标</w:t>
      </w:r>
    </w:p>
    <w:p w14:paraId="4838BD10">
      <w:pPr>
        <w:ind w:firstLine="480"/>
      </w:pPr>
      <w:r>
        <w:rPr>
          <w:rFonts w:hint="eastAsia"/>
        </w:rPr>
        <w:t>有下列情形之一的，采购人将重新招标：</w:t>
      </w:r>
    </w:p>
    <w:p w14:paraId="2C4E6EAF">
      <w:pPr>
        <w:ind w:firstLine="480"/>
      </w:pPr>
      <w:r>
        <w:rPr>
          <w:rFonts w:cs="Calibri"/>
        </w:rPr>
        <w:t>①</w:t>
      </w:r>
      <w:r>
        <w:rPr>
          <w:rFonts w:hint="eastAsia"/>
        </w:rPr>
        <w:t>投标截止时间止，投标人少于3个的；</w:t>
      </w:r>
    </w:p>
    <w:p w14:paraId="5285FD5D">
      <w:pPr>
        <w:ind w:firstLine="480"/>
      </w:pPr>
      <w:r>
        <w:rPr>
          <w:rFonts w:cs="Calibri"/>
        </w:rPr>
        <w:t>②</w:t>
      </w:r>
      <w:r>
        <w:rPr>
          <w:rFonts w:hint="eastAsia"/>
        </w:rPr>
        <w:t>经评标小组评审后否决所有投标的。</w:t>
      </w:r>
    </w:p>
    <w:p w14:paraId="649AD4DD">
      <w:pPr>
        <w:ind w:firstLine="480"/>
      </w:pPr>
      <w:r>
        <w:rPr>
          <w:rFonts w:hint="eastAsia"/>
        </w:rPr>
        <w:t>（2）不再招标</w:t>
      </w:r>
    </w:p>
    <w:p w14:paraId="34320FDA">
      <w:pPr>
        <w:ind w:firstLine="480"/>
      </w:pPr>
      <w:r>
        <w:rPr>
          <w:rFonts w:hint="eastAsia"/>
        </w:rPr>
        <w:t>重新招标后投标人仍少于3个或者所有投标被否决的，属于必须审批或核准的项目，经原审批或核准部门批准后不再进行招标。</w:t>
      </w:r>
    </w:p>
    <w:p w14:paraId="5395D134">
      <w:pPr>
        <w:ind w:firstLine="482"/>
        <w:rPr>
          <w:b/>
          <w:bCs/>
        </w:rPr>
      </w:pPr>
      <w:bookmarkStart w:id="127" w:name="_Toc448696512"/>
      <w:bookmarkEnd w:id="127"/>
      <w:bookmarkStart w:id="128" w:name="_Toc516675470"/>
      <w:bookmarkEnd w:id="128"/>
      <w:bookmarkStart w:id="129" w:name="_Toc2933985"/>
      <w:bookmarkEnd w:id="129"/>
      <w:bookmarkStart w:id="130" w:name="_Toc311276264"/>
      <w:bookmarkEnd w:id="130"/>
      <w:bookmarkStart w:id="131" w:name="_Toc16401"/>
      <w:bookmarkStart w:id="132" w:name="_Toc517793050"/>
      <w:bookmarkStart w:id="133" w:name="_Toc32429"/>
      <w:r>
        <w:rPr>
          <w:rFonts w:hint="eastAsia"/>
          <w:b/>
          <w:bCs/>
        </w:rPr>
        <w:t>9.纪律和监督</w:t>
      </w:r>
      <w:bookmarkEnd w:id="131"/>
      <w:bookmarkEnd w:id="132"/>
      <w:bookmarkEnd w:id="133"/>
    </w:p>
    <w:p w14:paraId="7E3E26B1">
      <w:pPr>
        <w:ind w:firstLine="480"/>
      </w:pPr>
      <w:bookmarkStart w:id="134" w:name="_Toc311276265"/>
      <w:bookmarkEnd w:id="134"/>
      <w:r>
        <w:rPr>
          <w:rFonts w:hint="eastAsia"/>
        </w:rPr>
        <w:t>（1）对采购人的纪律要求</w:t>
      </w:r>
    </w:p>
    <w:p w14:paraId="644885B6">
      <w:pPr>
        <w:ind w:firstLine="480"/>
      </w:pPr>
      <w:r>
        <w:rPr>
          <w:rFonts w:hint="eastAsia"/>
        </w:rPr>
        <w:t>采购人不得泄露招标投标活动中应当保密的情况和资料，不得与投标人串通损害国家利益、社会公共利益或者他人合法权益。</w:t>
      </w:r>
    </w:p>
    <w:p w14:paraId="1ED51831">
      <w:pPr>
        <w:ind w:firstLine="480"/>
      </w:pPr>
      <w:bookmarkStart w:id="135" w:name="_Toc311276266"/>
      <w:bookmarkEnd w:id="135"/>
      <w:r>
        <w:rPr>
          <w:rFonts w:hint="eastAsia"/>
        </w:rPr>
        <w:t>（2）对投标人的纪律要求</w:t>
      </w:r>
    </w:p>
    <w:p w14:paraId="231EF9FD">
      <w:pPr>
        <w:ind w:firstLine="480"/>
      </w:pPr>
      <w:r>
        <w:rPr>
          <w:rFonts w:hint="eastAsia"/>
        </w:rPr>
        <w:t>投标人不得相互串通投标或者与采购人串通投标，不得向采购人或者评标小组成员行贿谋取中标，不得以他人名义投标或者以其他方式弄虚作假骗取中标；投标人不得以任何方式干扰、影响评标工作。</w:t>
      </w:r>
    </w:p>
    <w:p w14:paraId="6CDC536F">
      <w:pPr>
        <w:ind w:firstLine="480"/>
      </w:pPr>
      <w:bookmarkStart w:id="136" w:name="_Toc311276267"/>
      <w:bookmarkEnd w:id="136"/>
      <w:r>
        <w:rPr>
          <w:rFonts w:hint="eastAsia"/>
        </w:rPr>
        <w:t>（3）对评标小组成员的纪律要求</w:t>
      </w:r>
    </w:p>
    <w:p w14:paraId="3F38FCE6">
      <w:pPr>
        <w:ind w:firstLine="480"/>
      </w:pPr>
      <w:r>
        <w:rPr>
          <w:rFonts w:hint="eastAsia"/>
        </w:rPr>
        <w:t>评标小组成员不得收受他人的财物或者其他好处，不得向他人</w:t>
      </w:r>
      <w:r>
        <w:rPr>
          <w:rFonts w:hint="eastAsia"/>
          <w:lang w:eastAsia="zh-CN"/>
        </w:rPr>
        <w:t>透露</w:t>
      </w:r>
      <w:r>
        <w:rPr>
          <w:rFonts w:hint="eastAsia"/>
        </w:rPr>
        <w:t>对投标文件的评审和比较、中标候选人的推荐情况以及评标有关的其他情况。在评标活动中，评标小组成员不得擅离职守，影响评标程序正常进行，不得使用“评标办法”没有规定的评审因素和标准进行评标。</w:t>
      </w:r>
    </w:p>
    <w:p w14:paraId="72953E75">
      <w:pPr>
        <w:ind w:firstLine="480"/>
      </w:pPr>
      <w:bookmarkStart w:id="137" w:name="_Toc311276268"/>
      <w:bookmarkEnd w:id="137"/>
      <w:r>
        <w:rPr>
          <w:rFonts w:hint="eastAsia"/>
        </w:rPr>
        <w:t>（4）对与评标活动有关的工作人员的纪律要求</w:t>
      </w:r>
    </w:p>
    <w:p w14:paraId="3AB74F0D">
      <w:pPr>
        <w:ind w:firstLine="480"/>
      </w:pPr>
      <w:r>
        <w:rPr>
          <w:rFonts w:hint="eastAsia"/>
        </w:rPr>
        <w:t>与评标活动有关的工作人员不得收受他人的财物或者其他好处，不得向他人</w:t>
      </w:r>
      <w:r>
        <w:rPr>
          <w:rFonts w:hint="eastAsia"/>
          <w:lang w:eastAsia="zh-CN"/>
        </w:rPr>
        <w:t>透露</w:t>
      </w:r>
      <w:r>
        <w:rPr>
          <w:rFonts w:hint="eastAsia"/>
        </w:rPr>
        <w:t>对投标文件的评审和比较、中标候选人的推荐情况以及评标有关的其他情况。在评标活动中，与评标活动有关的工作人员不得擅离职守，影响评标程序正常进行。</w:t>
      </w:r>
    </w:p>
    <w:p w14:paraId="2E16BCF1">
      <w:pPr>
        <w:ind w:firstLine="480"/>
      </w:pPr>
      <w:bookmarkStart w:id="138" w:name="_Toc311276269"/>
      <w:bookmarkEnd w:id="138"/>
      <w:r>
        <w:rPr>
          <w:rFonts w:hint="eastAsia"/>
        </w:rPr>
        <w:t>（5）投诉</w:t>
      </w:r>
    </w:p>
    <w:p w14:paraId="5A26DEEC">
      <w:pPr>
        <w:ind w:firstLine="480"/>
      </w:pPr>
      <w:r>
        <w:rPr>
          <w:rFonts w:hint="eastAsia"/>
        </w:rPr>
        <w:t>各有关当事人对中标结果有异议的，可以按照《中华人民共和国财政部令第94号--政府采购质疑和投诉办法》规定的程序，以书面形式同时向采购人和采购代理机构提出质疑(加盖单位公章且法人签字)，由法定代表人或其原授权代表携带企业营业执照原件（复印件加盖公章）及本人身份证件（原件）一并提交（邮寄、传真件不予受理），并以质疑函接收日期作为受理时间。逾期提交或未按照要求提交的质疑函将不予受理。供应商保证提出的质疑内容和相应证明材料的真实性及来源的合法性，并承担相应的法律责任。</w:t>
      </w:r>
    </w:p>
    <w:p w14:paraId="47155D6B">
      <w:pPr>
        <w:ind w:firstLine="480"/>
      </w:pPr>
      <w:r>
        <w:rPr>
          <w:rFonts w:hint="eastAsia"/>
        </w:rPr>
        <w:t>（6）未尽事宜，按国家有关规定执行。</w:t>
      </w:r>
    </w:p>
    <w:p w14:paraId="51AE494D">
      <w:pPr>
        <w:ind w:firstLine="480"/>
      </w:pPr>
      <w:r>
        <w:rPr>
          <w:rFonts w:hint="eastAsia"/>
        </w:rPr>
        <w:t>（7）本招标文件的解释权属采购人。</w:t>
      </w:r>
    </w:p>
    <w:p w14:paraId="5974D7C2">
      <w:pPr>
        <w:pStyle w:val="2"/>
        <w:keepNext w:val="0"/>
        <w:keepLines w:val="0"/>
        <w:pageBreakBefore/>
        <w:rPr>
          <w:rFonts w:hint="default" w:eastAsia="宋体"/>
          <w:lang w:val="en-US" w:eastAsia="zh-CN"/>
        </w:rPr>
      </w:pPr>
      <w:bookmarkStart w:id="139" w:name="_Toc448696518"/>
      <w:bookmarkEnd w:id="139"/>
      <w:bookmarkStart w:id="140" w:name="_Toc516675488"/>
      <w:bookmarkEnd w:id="140"/>
      <w:bookmarkStart w:id="141" w:name="_Toc24884"/>
      <w:bookmarkEnd w:id="141"/>
      <w:bookmarkStart w:id="142" w:name="_Toc2933989"/>
      <w:bookmarkEnd w:id="142"/>
      <w:bookmarkStart w:id="143" w:name="_Toc517793056"/>
      <w:bookmarkEnd w:id="143"/>
      <w:bookmarkStart w:id="144" w:name="_Toc25650"/>
      <w:bookmarkStart w:id="145" w:name="_Toc15092"/>
      <w:bookmarkStart w:id="146" w:name="_Toc22670"/>
      <w:bookmarkStart w:id="147" w:name="_Toc2579_WPSOffice_Level1"/>
      <w:r>
        <w:rPr>
          <w:rFonts w:hint="eastAsia"/>
        </w:rPr>
        <w:t xml:space="preserve">第四章 </w:t>
      </w:r>
      <w:bookmarkEnd w:id="144"/>
      <w:bookmarkEnd w:id="145"/>
      <w:r>
        <w:rPr>
          <w:rFonts w:hint="eastAsia"/>
          <w:lang w:val="en-US" w:eastAsia="zh-CN"/>
        </w:rPr>
        <w:t>采购需求</w:t>
      </w:r>
    </w:p>
    <w:p w14:paraId="5611F4CF"/>
    <w:p w14:paraId="697AAC31">
      <w:pPr>
        <w:jc w:val="center"/>
        <w:rPr>
          <w:rFonts w:hint="eastAsia" w:ascii="等线" w:hAnsi="等线" w:eastAsia="等线" w:cs="等线"/>
          <w:b/>
          <w:bCs/>
          <w:sz w:val="28"/>
          <w:szCs w:val="28"/>
          <w:lang w:val="en-US" w:eastAsia="zh-CN"/>
        </w:rPr>
      </w:pPr>
      <w:r>
        <w:rPr>
          <w:rFonts w:hint="eastAsia" w:ascii="等线" w:hAnsi="等线" w:eastAsia="等线" w:cs="等线"/>
          <w:b/>
          <w:bCs/>
          <w:sz w:val="28"/>
          <w:szCs w:val="28"/>
          <w:lang w:val="en-US" w:eastAsia="zh-CN"/>
        </w:rPr>
        <w:t>产品参数及数量</w:t>
      </w:r>
    </w:p>
    <w:p w14:paraId="490BBC9F">
      <w:pPr>
        <w:pStyle w:val="32"/>
        <w:rPr>
          <w:rFonts w:hint="eastAsia"/>
          <w:lang w:val="en-US" w:eastAsia="zh-CN"/>
        </w:rPr>
      </w:pPr>
    </w:p>
    <w:p w14:paraId="3D2C8CFE">
      <w:pPr>
        <w:pStyle w:val="32"/>
        <w:spacing w:line="360" w:lineRule="auto"/>
      </w:pPr>
      <w:r>
        <w:rPr>
          <w:rFonts w:hint="eastAsia" w:ascii="等线" w:hAnsi="等线" w:eastAsia="等线" w:cs="等线"/>
          <w:b/>
          <w:sz w:val="22"/>
          <w:szCs w:val="22"/>
        </w:rPr>
        <w:t>注：①</w:t>
      </w:r>
      <w:r>
        <w:rPr>
          <w:rFonts w:hint="eastAsia" w:ascii="等线" w:hAnsi="等线" w:eastAsia="等线" w:cs="等线"/>
          <w:b/>
          <w:sz w:val="22"/>
          <w:szCs w:val="22"/>
          <w:lang w:val="en-US" w:eastAsia="zh-CN"/>
        </w:rPr>
        <w:t>招标文件中标准参数的标星项为10项；其中【下一代防火墙】1项；【核心交换机】1项；【汇聚交换机】1项；【半球摄像机】2项；【网络枪机】2项；【球机】1项；【数字音频处理器】1项；【智能网络电源管理器】1项。</w:t>
      </w:r>
    </w:p>
    <w:tbl>
      <w:tblPr>
        <w:tblStyle w:val="18"/>
        <w:tblW w:w="9543"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714"/>
        <w:gridCol w:w="7029"/>
        <w:gridCol w:w="742"/>
        <w:gridCol w:w="586"/>
      </w:tblGrid>
      <w:tr w14:paraId="7C25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E15">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0792">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21" name="AutoShape_8"/>
                  <wp:cNvGraphicFramePr/>
                  <a:graphic xmlns:a="http://schemas.openxmlformats.org/drawingml/2006/main">
                    <a:graphicData uri="http://schemas.openxmlformats.org/drawingml/2006/picture">
                      <pic:pic xmlns:pic="http://schemas.openxmlformats.org/drawingml/2006/picture">
                        <pic:nvPicPr>
                          <pic:cNvPr id="21" name="AutoShape_8"/>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24" name="AutoShape_8_SpCnt_1"/>
                  <wp:cNvGraphicFramePr/>
                  <a:graphic xmlns:a="http://schemas.openxmlformats.org/drawingml/2006/main">
                    <a:graphicData uri="http://schemas.openxmlformats.org/drawingml/2006/picture">
                      <pic:pic xmlns:pic="http://schemas.openxmlformats.org/drawingml/2006/picture">
                        <pic:nvPicPr>
                          <pic:cNvPr id="24" name="AutoShape_8_SpCnt_1"/>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b/>
                <w:bCs/>
                <w:i w:val="0"/>
                <w:iCs w:val="0"/>
                <w:color w:val="000000"/>
                <w:kern w:val="0"/>
                <w:sz w:val="24"/>
                <w:szCs w:val="24"/>
                <w:u w:val="none"/>
                <w:lang w:val="en-US" w:eastAsia="zh-CN" w:bidi="ar"/>
              </w:rPr>
              <w:t>产品名称</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A25">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标准参数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801A">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A2D">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单位</w:t>
            </w:r>
          </w:p>
        </w:tc>
      </w:tr>
      <w:tr w14:paraId="7809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A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711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22" name="AutoShape_8_SpCnt_2"/>
                  <wp:cNvGraphicFramePr/>
                  <a:graphic xmlns:a="http://schemas.openxmlformats.org/drawingml/2006/main">
                    <a:graphicData uri="http://schemas.openxmlformats.org/drawingml/2006/picture">
                      <pic:pic xmlns:pic="http://schemas.openxmlformats.org/drawingml/2006/picture">
                        <pic:nvPicPr>
                          <pic:cNvPr id="22" name="AutoShape_8_SpCnt_2"/>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23" name="AutoShape_8_SpCnt_3"/>
                  <wp:cNvGraphicFramePr/>
                  <a:graphic xmlns:a="http://schemas.openxmlformats.org/drawingml/2006/main">
                    <a:graphicData uri="http://schemas.openxmlformats.org/drawingml/2006/picture">
                      <pic:pic xmlns:pic="http://schemas.openxmlformats.org/drawingml/2006/picture">
                        <pic:nvPicPr>
                          <pic:cNvPr id="23" name="AutoShape_8_SpCnt_3"/>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网络化主机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36A0ABC">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1、专业机架式工控机箱体设计，采用整体铁、铝合金面板和电镀钢板喷涂机箱结构，有较高的散热、抗干扰、防尘、防冲击能力；</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2、采用15.6英寸高清触摸屏，简单易用的触摸屏操控；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3、内置大容量SSD固态硬盘，具有抗震动、抗摔、读写速度快、功耗低等特点；</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4、安装广播系统服务器软件后，构成IP广播系统的管理控制中心，对广播系统各路音源信号控制，广播区域分配，终端信息的配置；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5、可根据服务软件形成的电子地图，查看各路广播终端实时情况；</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6、标准RJ45网络接口，有以太网口的地方即可接入，支持跨网段和跨路由；</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7、主机支持GPS和北斗校正对时，无需英特尔网络，适合无网络地区使用；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8、显示屏幕分辨率不低于：1920×1080P；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9、处理器不低于2.8GHz；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10、内置128GB固态硬盘 4* SATA3.0 硬盘接口,传输速度可达6Gbps.Supports RAID 0/1/5；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11、内置4G 内存，最大支持16GB。</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3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C66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B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B9F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25" name="AutoShape_8_SpCnt_4"/>
                  <wp:cNvGraphicFramePr/>
                  <a:graphic xmlns:a="http://schemas.openxmlformats.org/drawingml/2006/main">
                    <a:graphicData uri="http://schemas.openxmlformats.org/drawingml/2006/picture">
                      <pic:pic xmlns:pic="http://schemas.openxmlformats.org/drawingml/2006/picture">
                        <pic:nvPicPr>
                          <pic:cNvPr id="25" name="AutoShape_8_SpCnt_4"/>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26" name="AutoShape_8_SpCnt_5"/>
                  <wp:cNvGraphicFramePr/>
                  <a:graphic xmlns:a="http://schemas.openxmlformats.org/drawingml/2006/main">
                    <a:graphicData uri="http://schemas.openxmlformats.org/drawingml/2006/picture">
                      <pic:pic xmlns:pic="http://schemas.openxmlformats.org/drawingml/2006/picture">
                        <pic:nvPicPr>
                          <pic:cNvPr id="26" name="AutoShape_8_SpCnt_5"/>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27" name="AutoShape_8_SpCnt_6"/>
                  <wp:cNvGraphicFramePr/>
                  <a:graphic xmlns:a="http://schemas.openxmlformats.org/drawingml/2006/main">
                    <a:graphicData uri="http://schemas.openxmlformats.org/drawingml/2006/picture">
                      <pic:pic xmlns:pic="http://schemas.openxmlformats.org/drawingml/2006/picture">
                        <pic:nvPicPr>
                          <pic:cNvPr id="27" name="AutoShape_8_SpCnt_6"/>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31" name="AutoShape_8_SpCnt_7"/>
                  <wp:cNvGraphicFramePr/>
                  <a:graphic xmlns:a="http://schemas.openxmlformats.org/drawingml/2006/main">
                    <a:graphicData uri="http://schemas.openxmlformats.org/drawingml/2006/picture">
                      <pic:pic xmlns:pic="http://schemas.openxmlformats.org/drawingml/2006/picture">
                        <pic:nvPicPr>
                          <pic:cNvPr id="31" name="AutoShape_8_SpCnt_7"/>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32" name="AutoShape_8_SpCnt_8"/>
                  <wp:cNvGraphicFramePr/>
                  <a:graphic xmlns:a="http://schemas.openxmlformats.org/drawingml/2006/main">
                    <a:graphicData uri="http://schemas.openxmlformats.org/drawingml/2006/picture">
                      <pic:pic xmlns:pic="http://schemas.openxmlformats.org/drawingml/2006/picture">
                        <pic:nvPicPr>
                          <pic:cNvPr id="32" name="AutoShape_8_SpCnt_8"/>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28" name="AutoShape_8_SpCnt_9"/>
                  <wp:cNvGraphicFramePr/>
                  <a:graphic xmlns:a="http://schemas.openxmlformats.org/drawingml/2006/main">
                    <a:graphicData uri="http://schemas.openxmlformats.org/drawingml/2006/picture">
                      <pic:pic xmlns:pic="http://schemas.openxmlformats.org/drawingml/2006/picture">
                        <pic:nvPicPr>
                          <pic:cNvPr id="28" name="AutoShape_8_SpCnt_9"/>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29" name="AutoShape_8_SpCnt_10"/>
                  <wp:cNvGraphicFramePr/>
                  <a:graphic xmlns:a="http://schemas.openxmlformats.org/drawingml/2006/main">
                    <a:graphicData uri="http://schemas.openxmlformats.org/drawingml/2006/picture">
                      <pic:pic xmlns:pic="http://schemas.openxmlformats.org/drawingml/2006/picture">
                        <pic:nvPicPr>
                          <pic:cNvPr id="29" name="AutoShape_8_SpCnt_10"/>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30" name="AutoShape_8_SpCnt_11"/>
                  <wp:cNvGraphicFramePr/>
                  <a:graphic xmlns:a="http://schemas.openxmlformats.org/drawingml/2006/main">
                    <a:graphicData uri="http://schemas.openxmlformats.org/drawingml/2006/picture">
                      <pic:pic xmlns:pic="http://schemas.openxmlformats.org/drawingml/2006/picture">
                        <pic:nvPicPr>
                          <pic:cNvPr id="30" name="AutoShape_8_SpCnt_11"/>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36" name="AutoShape_8_SpCnt_12"/>
                  <wp:cNvGraphicFramePr/>
                  <a:graphic xmlns:a="http://schemas.openxmlformats.org/drawingml/2006/main">
                    <a:graphicData uri="http://schemas.openxmlformats.org/drawingml/2006/picture">
                      <pic:pic xmlns:pic="http://schemas.openxmlformats.org/drawingml/2006/picture">
                        <pic:nvPicPr>
                          <pic:cNvPr id="36" name="AutoShape_8_SpCnt_12"/>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35" name="AutoShape_8_SpCnt_13"/>
                  <wp:cNvGraphicFramePr/>
                  <a:graphic xmlns:a="http://schemas.openxmlformats.org/drawingml/2006/main">
                    <a:graphicData uri="http://schemas.openxmlformats.org/drawingml/2006/picture">
                      <pic:pic xmlns:pic="http://schemas.openxmlformats.org/drawingml/2006/picture">
                        <pic:nvPicPr>
                          <pic:cNvPr id="35" name="AutoShape_8_SpCnt_13"/>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33" name="AutoShape_8_SpCnt_14"/>
                  <wp:cNvGraphicFramePr/>
                  <a:graphic xmlns:a="http://schemas.openxmlformats.org/drawingml/2006/main">
                    <a:graphicData uri="http://schemas.openxmlformats.org/drawingml/2006/picture">
                      <pic:pic xmlns:pic="http://schemas.openxmlformats.org/drawingml/2006/picture">
                        <pic:nvPicPr>
                          <pic:cNvPr id="33" name="AutoShape_8_SpCnt_14"/>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40" name="AutoShape_8_SpCnt_15"/>
                  <wp:cNvGraphicFramePr/>
                  <a:graphic xmlns:a="http://schemas.openxmlformats.org/drawingml/2006/main">
                    <a:graphicData uri="http://schemas.openxmlformats.org/drawingml/2006/picture">
                      <pic:pic xmlns:pic="http://schemas.openxmlformats.org/drawingml/2006/picture">
                        <pic:nvPicPr>
                          <pic:cNvPr id="40" name="AutoShape_8_SpCnt_15"/>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39" name="AutoShape_8_SpCnt_16"/>
                  <wp:cNvGraphicFramePr/>
                  <a:graphic xmlns:a="http://schemas.openxmlformats.org/drawingml/2006/main">
                    <a:graphicData uri="http://schemas.openxmlformats.org/drawingml/2006/picture">
                      <pic:pic xmlns:pic="http://schemas.openxmlformats.org/drawingml/2006/picture">
                        <pic:nvPicPr>
                          <pic:cNvPr id="39" name="AutoShape_8_SpCnt_16"/>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34" name="AutoShape_8_SpCnt_17"/>
                  <wp:cNvGraphicFramePr/>
                  <a:graphic xmlns:a="http://schemas.openxmlformats.org/drawingml/2006/main">
                    <a:graphicData uri="http://schemas.openxmlformats.org/drawingml/2006/picture">
                      <pic:pic xmlns:pic="http://schemas.openxmlformats.org/drawingml/2006/picture">
                        <pic:nvPicPr>
                          <pic:cNvPr id="34" name="AutoShape_8_SpCnt_17"/>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37" name="AutoShape_8_SpCnt_18"/>
                  <wp:cNvGraphicFramePr/>
                  <a:graphic xmlns:a="http://schemas.openxmlformats.org/drawingml/2006/main">
                    <a:graphicData uri="http://schemas.openxmlformats.org/drawingml/2006/picture">
                      <pic:pic xmlns:pic="http://schemas.openxmlformats.org/drawingml/2006/picture">
                        <pic:nvPicPr>
                          <pic:cNvPr id="37" name="AutoShape_8_SpCnt_18"/>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38" name="AutoShape_8_SpCnt_19"/>
                  <wp:cNvGraphicFramePr/>
                  <a:graphic xmlns:a="http://schemas.openxmlformats.org/drawingml/2006/main">
                    <a:graphicData uri="http://schemas.openxmlformats.org/drawingml/2006/picture">
                      <pic:pic xmlns:pic="http://schemas.openxmlformats.org/drawingml/2006/picture">
                        <pic:nvPicPr>
                          <pic:cNvPr id="38" name="AutoShape_8_SpCnt_19"/>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4" name="AutoShape_8_SpCnt_20"/>
                  <wp:cNvGraphicFramePr/>
                  <a:graphic xmlns:a="http://schemas.openxmlformats.org/drawingml/2006/main">
                    <a:graphicData uri="http://schemas.openxmlformats.org/drawingml/2006/picture">
                      <pic:pic xmlns:pic="http://schemas.openxmlformats.org/drawingml/2006/picture">
                        <pic:nvPicPr>
                          <pic:cNvPr id="4" name="AutoShape_8_SpCnt_20"/>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6" name="AutoShape_8_SpCnt_21"/>
                  <wp:cNvGraphicFramePr/>
                  <a:graphic xmlns:a="http://schemas.openxmlformats.org/drawingml/2006/main">
                    <a:graphicData uri="http://schemas.openxmlformats.org/drawingml/2006/picture">
                      <pic:pic xmlns:pic="http://schemas.openxmlformats.org/drawingml/2006/picture">
                        <pic:nvPicPr>
                          <pic:cNvPr id="6" name="AutoShape_8_SpCnt_21"/>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8" name="AutoShape_8_SpCnt_22"/>
                  <wp:cNvGraphicFramePr/>
                  <a:graphic xmlns:a="http://schemas.openxmlformats.org/drawingml/2006/main">
                    <a:graphicData uri="http://schemas.openxmlformats.org/drawingml/2006/picture">
                      <pic:pic xmlns:pic="http://schemas.openxmlformats.org/drawingml/2006/picture">
                        <pic:nvPicPr>
                          <pic:cNvPr id="8" name="AutoShape_8_SpCnt_22"/>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7" name="AutoShape_8_SpCnt_23"/>
                  <wp:cNvGraphicFramePr/>
                  <a:graphic xmlns:a="http://schemas.openxmlformats.org/drawingml/2006/main">
                    <a:graphicData uri="http://schemas.openxmlformats.org/drawingml/2006/picture">
                      <pic:pic xmlns:pic="http://schemas.openxmlformats.org/drawingml/2006/picture">
                        <pic:nvPicPr>
                          <pic:cNvPr id="7" name="AutoShape_8_SpCnt_23"/>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5" name="AutoShape_8_SpCnt_24"/>
                  <wp:cNvGraphicFramePr/>
                  <a:graphic xmlns:a="http://schemas.openxmlformats.org/drawingml/2006/main">
                    <a:graphicData uri="http://schemas.openxmlformats.org/drawingml/2006/picture">
                      <pic:pic xmlns:pic="http://schemas.openxmlformats.org/drawingml/2006/picture">
                        <pic:nvPicPr>
                          <pic:cNvPr id="5" name="AutoShape_8_SpCnt_24"/>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10" name="AutoShape_8_SpCnt_25"/>
                  <wp:cNvGraphicFramePr/>
                  <a:graphic xmlns:a="http://schemas.openxmlformats.org/drawingml/2006/main">
                    <a:graphicData uri="http://schemas.openxmlformats.org/drawingml/2006/picture">
                      <pic:pic xmlns:pic="http://schemas.openxmlformats.org/drawingml/2006/picture">
                        <pic:nvPicPr>
                          <pic:cNvPr id="10" name="AutoShape_8_SpCnt_25"/>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2" name="AutoShape_8_SpCnt_26"/>
                  <wp:cNvGraphicFramePr/>
                  <a:graphic xmlns:a="http://schemas.openxmlformats.org/drawingml/2006/main">
                    <a:graphicData uri="http://schemas.openxmlformats.org/drawingml/2006/picture">
                      <pic:pic xmlns:pic="http://schemas.openxmlformats.org/drawingml/2006/picture">
                        <pic:nvPicPr>
                          <pic:cNvPr id="2" name="AutoShape_8_SpCnt_26"/>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12" name="AutoShape_8_SpCnt_27"/>
                  <wp:cNvGraphicFramePr/>
                  <a:graphic xmlns:a="http://schemas.openxmlformats.org/drawingml/2006/main">
                    <a:graphicData uri="http://schemas.openxmlformats.org/drawingml/2006/picture">
                      <pic:pic xmlns:pic="http://schemas.openxmlformats.org/drawingml/2006/picture">
                        <pic:nvPicPr>
                          <pic:cNvPr id="12" name="AutoShape_8_SpCnt_27"/>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IP服务器软件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288F8E7A">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1、基于国产Linux系统，支持7x24小时不间断工作；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2、基于B/S架构设计，任意平台（Windows、Android、IOS等）均可通过网络浏览器远程访问服务器，无需安装任何客户端软件；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3、WEB采用先进的渐进式框架设计，动态构建用户界面，提供优秀的显示效果及操作体验；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4、系统支持局域网与广域网混合组网，兼容各种复杂的网络环境；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5、系统支持广播、对讲、监控系统的融合；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6、支持1000个以上网络广播终端；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7、支持1000路以上组播任务及200路以下独立播放任务；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8、具有强大的分控功能、完整的鉴权体系，支持多用户同时远程登录管理；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9、强大的定时功能，支持多达100个定时方案，每个定时方案支持200个定时点，定时方案可随时切换；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10、支持今日定时点任务一览，包括已执行、正在执行、未执行的定时任务，提供任务详细信息、倒计时显示等功能；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11、系统支持节目源监听及终端现场监听功能；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12、支持系统配置文件的备份、导入、导出；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13、支持WEB远程管理歌曲库，支持新建/删除/重命名歌曲列表、上传/删除歌曲等操作；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14、支持全系列产品的日志查询、过滤、检索、导出功能，包括运行日志、播放日志、消防日志、寻呼日志等日志类型；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15、灵活管理所有终端分区，包括播放控制、音源控制、状态控制等；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16、支持对全系列设备的参数管理，具有强大的DSP音效处理功能，预设流行、舞曲、摇滚、古典、人声、柔和等音效，提供10段DSP参量均衡图形化调节；针对支持蓝牙5.0功能的终端（选配），提供蓝牙名称、密码修改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17、所有控制界面均具备灵活的分区设备检索功能，支持分区/分组独立管理；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18、系统维护方便，支持远程、本地管理与维护。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53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084F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84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24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9" name="AutoShape_8_SpCnt_28"/>
                  <wp:cNvGraphicFramePr/>
                  <a:graphic xmlns:a="http://schemas.openxmlformats.org/drawingml/2006/main">
                    <a:graphicData uri="http://schemas.openxmlformats.org/drawingml/2006/picture">
                      <pic:pic xmlns:pic="http://schemas.openxmlformats.org/drawingml/2006/picture">
                        <pic:nvPicPr>
                          <pic:cNvPr id="9" name="AutoShape_8_SpCnt_28"/>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4" name="AutoShape_8_SpCnt_29"/>
                  <wp:cNvGraphicFramePr/>
                  <a:graphic xmlns:a="http://schemas.openxmlformats.org/drawingml/2006/main">
                    <a:graphicData uri="http://schemas.openxmlformats.org/drawingml/2006/picture">
                      <pic:pic xmlns:pic="http://schemas.openxmlformats.org/drawingml/2006/picture">
                        <pic:nvPicPr>
                          <pic:cNvPr id="14" name="AutoShape_8_SpCnt_29"/>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5" name="AutoShape_8_SpCnt_30"/>
                  <wp:cNvGraphicFramePr/>
                  <a:graphic xmlns:a="http://schemas.openxmlformats.org/drawingml/2006/main">
                    <a:graphicData uri="http://schemas.openxmlformats.org/drawingml/2006/picture">
                      <pic:pic xmlns:pic="http://schemas.openxmlformats.org/drawingml/2006/picture">
                        <pic:nvPicPr>
                          <pic:cNvPr id="15" name="AutoShape_8_SpCnt_30"/>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6" name="AutoShape_8_SpCnt_31"/>
                  <wp:cNvGraphicFramePr/>
                  <a:graphic xmlns:a="http://schemas.openxmlformats.org/drawingml/2006/main">
                    <a:graphicData uri="http://schemas.openxmlformats.org/drawingml/2006/picture">
                      <pic:pic xmlns:pic="http://schemas.openxmlformats.org/drawingml/2006/picture">
                        <pic:nvPicPr>
                          <pic:cNvPr id="16" name="AutoShape_8_SpCnt_31"/>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17" name="AutoShape_8_SpCnt_32"/>
                  <wp:cNvGraphicFramePr/>
                  <a:graphic xmlns:a="http://schemas.openxmlformats.org/drawingml/2006/main">
                    <a:graphicData uri="http://schemas.openxmlformats.org/drawingml/2006/picture">
                      <pic:pic xmlns:pic="http://schemas.openxmlformats.org/drawingml/2006/picture">
                        <pic:nvPicPr>
                          <pic:cNvPr id="17" name="AutoShape_8_SpCnt_32"/>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20" name="AutoShape_8_SpCnt_33"/>
                  <wp:cNvGraphicFramePr/>
                  <a:graphic xmlns:a="http://schemas.openxmlformats.org/drawingml/2006/main">
                    <a:graphicData uri="http://schemas.openxmlformats.org/drawingml/2006/picture">
                      <pic:pic xmlns:pic="http://schemas.openxmlformats.org/drawingml/2006/picture">
                        <pic:nvPicPr>
                          <pic:cNvPr id="20" name="AutoShape_8_SpCnt_33"/>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19" name="AutoShape_8_SpCnt_34"/>
                  <wp:cNvGraphicFramePr/>
                  <a:graphic xmlns:a="http://schemas.openxmlformats.org/drawingml/2006/main">
                    <a:graphicData uri="http://schemas.openxmlformats.org/drawingml/2006/picture">
                      <pic:pic xmlns:pic="http://schemas.openxmlformats.org/drawingml/2006/picture">
                        <pic:nvPicPr>
                          <pic:cNvPr id="19" name="AutoShape_8_SpCnt_34"/>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18" name="AutoShape_8_SpCnt_35"/>
                  <wp:cNvGraphicFramePr/>
                  <a:graphic xmlns:a="http://schemas.openxmlformats.org/drawingml/2006/main">
                    <a:graphicData uri="http://schemas.openxmlformats.org/drawingml/2006/picture">
                      <pic:pic xmlns:pic="http://schemas.openxmlformats.org/drawingml/2006/picture">
                        <pic:nvPicPr>
                          <pic:cNvPr id="18" name="AutoShape_8_SpCnt_35"/>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13" name="AutoShape_8_SpCnt_36"/>
                  <wp:cNvGraphicFramePr/>
                  <a:graphic xmlns:a="http://schemas.openxmlformats.org/drawingml/2006/main">
                    <a:graphicData uri="http://schemas.openxmlformats.org/drawingml/2006/picture">
                      <pic:pic xmlns:pic="http://schemas.openxmlformats.org/drawingml/2006/picture">
                        <pic:nvPicPr>
                          <pic:cNvPr id="13" name="AutoShape_8_SpCnt_36"/>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650875</wp:posOffset>
                  </wp:positionH>
                  <wp:positionV relativeFrom="paragraph">
                    <wp:posOffset>0</wp:posOffset>
                  </wp:positionV>
                  <wp:extent cx="368300" cy="304800"/>
                  <wp:effectExtent l="0" t="0" r="0" b="0"/>
                  <wp:wrapNone/>
                  <wp:docPr id="41" name="AutoShape_8_SpCnt_37"/>
                  <wp:cNvGraphicFramePr/>
                  <a:graphic xmlns:a="http://schemas.openxmlformats.org/drawingml/2006/main">
                    <a:graphicData uri="http://schemas.openxmlformats.org/drawingml/2006/picture">
                      <pic:pic xmlns:pic="http://schemas.openxmlformats.org/drawingml/2006/picture">
                        <pic:nvPicPr>
                          <pic:cNvPr id="41" name="AutoShape_8_SpCnt_37"/>
                          <pic:cNvPicPr/>
                        </pic:nvPicPr>
                        <pic:blipFill>
                          <a:blip r:embed="rId14"/>
                          <a:stretch>
                            <a:fillRect/>
                          </a:stretch>
                        </pic:blipFill>
                        <pic:spPr>
                          <a:xfrm>
                            <a:off x="0" y="0"/>
                            <a:ext cx="36830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42" name="AutoShape_8_SpCnt_38"/>
                  <wp:cNvGraphicFramePr/>
                  <a:graphic xmlns:a="http://schemas.openxmlformats.org/drawingml/2006/main">
                    <a:graphicData uri="http://schemas.openxmlformats.org/drawingml/2006/picture">
                      <pic:pic xmlns:pic="http://schemas.openxmlformats.org/drawingml/2006/picture">
                        <pic:nvPicPr>
                          <pic:cNvPr id="42" name="AutoShape_8_SpCnt_38"/>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43" name="AutoShape_8_SpCnt_39"/>
                  <wp:cNvGraphicFramePr/>
                  <a:graphic xmlns:a="http://schemas.openxmlformats.org/drawingml/2006/main">
                    <a:graphicData uri="http://schemas.openxmlformats.org/drawingml/2006/picture">
                      <pic:pic xmlns:pic="http://schemas.openxmlformats.org/drawingml/2006/picture">
                        <pic:nvPicPr>
                          <pic:cNvPr id="43" name="AutoShape_8_SpCnt_39"/>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90" name="AutoShape_8_SpCnt_40"/>
                  <wp:cNvGraphicFramePr/>
                  <a:graphic xmlns:a="http://schemas.openxmlformats.org/drawingml/2006/main">
                    <a:graphicData uri="http://schemas.openxmlformats.org/drawingml/2006/picture">
                      <pic:pic xmlns:pic="http://schemas.openxmlformats.org/drawingml/2006/picture">
                        <pic:nvPicPr>
                          <pic:cNvPr id="90" name="AutoShape_8_SpCnt_40"/>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59" name="AutoShape_8_SpCnt_41"/>
                  <wp:cNvGraphicFramePr/>
                  <a:graphic xmlns:a="http://schemas.openxmlformats.org/drawingml/2006/main">
                    <a:graphicData uri="http://schemas.openxmlformats.org/drawingml/2006/picture">
                      <pic:pic xmlns:pic="http://schemas.openxmlformats.org/drawingml/2006/picture">
                        <pic:nvPicPr>
                          <pic:cNvPr id="59" name="AutoShape_8_SpCnt_41"/>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88" name="AutoShape_8_SpCnt_42"/>
                  <wp:cNvGraphicFramePr/>
                  <a:graphic xmlns:a="http://schemas.openxmlformats.org/drawingml/2006/main">
                    <a:graphicData uri="http://schemas.openxmlformats.org/drawingml/2006/picture">
                      <pic:pic xmlns:pic="http://schemas.openxmlformats.org/drawingml/2006/picture">
                        <pic:nvPicPr>
                          <pic:cNvPr id="88" name="AutoShape_8_SpCnt_42"/>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2585" cy="304800"/>
                  <wp:effectExtent l="0" t="0" r="0" b="0"/>
                  <wp:wrapNone/>
                  <wp:docPr id="83" name="AutoShape_8_SpCnt_43"/>
                  <wp:cNvGraphicFramePr/>
                  <a:graphic xmlns:a="http://schemas.openxmlformats.org/drawingml/2006/main">
                    <a:graphicData uri="http://schemas.openxmlformats.org/drawingml/2006/picture">
                      <pic:pic xmlns:pic="http://schemas.openxmlformats.org/drawingml/2006/picture">
                        <pic:nvPicPr>
                          <pic:cNvPr id="83" name="AutoShape_8_SpCnt_43"/>
                          <pic:cNvPicPr/>
                        </pic:nvPicPr>
                        <pic:blipFill>
                          <a:blip r:embed="rId14"/>
                          <a:stretch>
                            <a:fillRect/>
                          </a:stretch>
                        </pic:blipFill>
                        <pic:spPr>
                          <a:xfrm>
                            <a:off x="0" y="0"/>
                            <a:ext cx="36258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16路网络电源时序器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42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1、基于TCP/IP传输协议的电源管理 ，可以挂接到网络实现网络与设备同步控制；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2、本设备具有16路电源控制，其中4路两孔国标插座，12路三孔国标插座，总功率可达6000W，可单独的断开或接通每一路，也可顺序开启；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3、3.5英寸全彩显示屏，5位按键设计，界面更加简洁，操作更加方便，可直观的显示每路的输出状态，可独立设置更改IP地址；</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4、通过网络广播管理页面实行控制；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5、可实现集联控制；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6、高级保护电路，输出电流电压稳定；</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7、每路可单独控制，可网络控制，也可定时控制；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8、具有一键全开，顺序开启等功能；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9、屏幕背光点亮时间与亮度可调，实现节能运行；</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10、具有过压或欠压指示灯指示，网络指示灯指示。</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B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7B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0D7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1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5E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8" name="AutoShape_8_SpCnt_44"/>
                  <wp:cNvGraphicFramePr/>
                  <a:graphic xmlns:a="http://schemas.openxmlformats.org/drawingml/2006/main">
                    <a:graphicData uri="http://schemas.openxmlformats.org/drawingml/2006/picture">
                      <pic:pic xmlns:pic="http://schemas.openxmlformats.org/drawingml/2006/picture">
                        <pic:nvPicPr>
                          <pic:cNvPr id="68" name="AutoShape_8_SpCnt_44"/>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7" name="AutoShape_8_SpCnt_45"/>
                  <wp:cNvGraphicFramePr/>
                  <a:graphic xmlns:a="http://schemas.openxmlformats.org/drawingml/2006/main">
                    <a:graphicData uri="http://schemas.openxmlformats.org/drawingml/2006/picture">
                      <pic:pic xmlns:pic="http://schemas.openxmlformats.org/drawingml/2006/picture">
                        <pic:nvPicPr>
                          <pic:cNvPr id="87" name="AutoShape_8_SpCnt_45"/>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7" name="AutoShape_8_SpCnt_46"/>
                  <wp:cNvGraphicFramePr/>
                  <a:graphic xmlns:a="http://schemas.openxmlformats.org/drawingml/2006/main">
                    <a:graphicData uri="http://schemas.openxmlformats.org/drawingml/2006/picture">
                      <pic:pic xmlns:pic="http://schemas.openxmlformats.org/drawingml/2006/picture">
                        <pic:nvPicPr>
                          <pic:cNvPr id="67" name="AutoShape_8_SpCnt_46"/>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0" name="AutoShape_8_SpCnt_47"/>
                  <wp:cNvGraphicFramePr/>
                  <a:graphic xmlns:a="http://schemas.openxmlformats.org/drawingml/2006/main">
                    <a:graphicData uri="http://schemas.openxmlformats.org/drawingml/2006/picture">
                      <pic:pic xmlns:pic="http://schemas.openxmlformats.org/drawingml/2006/picture">
                        <pic:nvPicPr>
                          <pic:cNvPr id="60" name="AutoShape_8_SpCnt_47"/>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5" name="AutoShape_8_SpCnt_48"/>
                  <wp:cNvGraphicFramePr/>
                  <a:graphic xmlns:a="http://schemas.openxmlformats.org/drawingml/2006/main">
                    <a:graphicData uri="http://schemas.openxmlformats.org/drawingml/2006/picture">
                      <pic:pic xmlns:pic="http://schemas.openxmlformats.org/drawingml/2006/picture">
                        <pic:nvPicPr>
                          <pic:cNvPr id="65" name="AutoShape_8_SpCnt_48"/>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2" name="AutoShape_8_SpCnt_49"/>
                  <wp:cNvGraphicFramePr/>
                  <a:graphic xmlns:a="http://schemas.openxmlformats.org/drawingml/2006/main">
                    <a:graphicData uri="http://schemas.openxmlformats.org/drawingml/2006/picture">
                      <pic:pic xmlns:pic="http://schemas.openxmlformats.org/drawingml/2006/picture">
                        <pic:nvPicPr>
                          <pic:cNvPr id="82" name="AutoShape_8_SpCnt_49"/>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四通道网络音频采集卡</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43D4D27">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1、支持TCP、UDP、IGMP、ICMP等网络协议；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2、支持Web配置，操作方便、简单；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3、4路单声/立体声线路输入；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4、电源输入 AC100-240V 50Hz/60Hz；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5、网络 Rj45(10/100M)；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6、音频输入灵敏度 0.775V；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7、频率响应 80-16000Hz；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8、工作环境温度-40℃ ~ +70℃；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5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B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401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5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472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6" name="AutoShape_8_SpCnt_50"/>
                  <wp:cNvGraphicFramePr/>
                  <a:graphic xmlns:a="http://schemas.openxmlformats.org/drawingml/2006/main">
                    <a:graphicData uri="http://schemas.openxmlformats.org/drawingml/2006/picture">
                      <pic:pic xmlns:pic="http://schemas.openxmlformats.org/drawingml/2006/picture">
                        <pic:nvPicPr>
                          <pic:cNvPr id="66" name="AutoShape_8_SpCnt_50"/>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5" name="AutoShape_8_SpCnt_51"/>
                  <wp:cNvGraphicFramePr/>
                  <a:graphic xmlns:a="http://schemas.openxmlformats.org/drawingml/2006/main">
                    <a:graphicData uri="http://schemas.openxmlformats.org/drawingml/2006/picture">
                      <pic:pic xmlns:pic="http://schemas.openxmlformats.org/drawingml/2006/picture">
                        <pic:nvPicPr>
                          <pic:cNvPr id="75" name="AutoShape_8_SpCnt_51"/>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寻呼话筒</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3FF6DD63">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1、专业桌面式网络寻呼话筒设计，坚固耐用，高档铝合金面板，全金属机身；</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2、高保真鹅颈式软管话筒直接输入，话筒打开时红色指示灯自动点亮；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3、采用IPS高清显示屏，宽视角，全方位无障碍显示；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4、采用电容触摸技术，操作灵敏、交互方便；</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5、图形化界面、信息显示一目了然，操作简单便捷；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6、支持分区广播、分组广播、全区广播；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7、支持TCP、UDP、IGMP、ICMP等网络协议；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8、内置专业DSP啸叫抑制模块；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9、应急一键寻呼，带防护盖，防止误操作；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10、具有无声音输入时自动关闭功能，并可设定自动关闭时间；</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11、内置全频高保真扬声器，用于监听和对讲；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12、支持背景音讲话，话音自动优先；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13、具有对分区/分组/全区节目源点播控制功能；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14、1路3.5耳机接口线路输入，支持单声道或立体声输入，具有采集播放功能；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15、工作环境温度-40℃ ~ +70℃。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0C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2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C18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2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广播专业麦克风</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64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1、高品质话筒，内置两种钟声；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2、具有延时自动关闭功能；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3、话筒输出电压 600mV±10mV或20mV±10%（非平衡）；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4、钟声额定输出电压 600mV±10mV或20mV±10%；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5、频率范围 100Hz-15kHz；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6、失真度 MIC：≤1%；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7、频响50-13500HZ；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8、阻抗600欧姆；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9、灵敏度：-62dB。</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6B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r>
      <w:tr w14:paraId="7A92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8C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9" name="AutoShape_8_SpCnt_52"/>
                  <wp:cNvGraphicFramePr/>
                  <a:graphic xmlns:a="http://schemas.openxmlformats.org/drawingml/2006/main">
                    <a:graphicData uri="http://schemas.openxmlformats.org/drawingml/2006/picture">
                      <pic:pic xmlns:pic="http://schemas.openxmlformats.org/drawingml/2006/picture">
                        <pic:nvPicPr>
                          <pic:cNvPr id="69" name="AutoShape_8_SpCnt_52"/>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1" name="AutoShape_8_SpCnt_53"/>
                  <wp:cNvGraphicFramePr/>
                  <a:graphic xmlns:a="http://schemas.openxmlformats.org/drawingml/2006/main">
                    <a:graphicData uri="http://schemas.openxmlformats.org/drawingml/2006/picture">
                      <pic:pic xmlns:pic="http://schemas.openxmlformats.org/drawingml/2006/picture">
                        <pic:nvPicPr>
                          <pic:cNvPr id="61" name="AutoShape_8_SpCnt_53"/>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6" name="AutoShape_8_SpCnt_54"/>
                  <wp:cNvGraphicFramePr/>
                  <a:graphic xmlns:a="http://schemas.openxmlformats.org/drawingml/2006/main">
                    <a:graphicData uri="http://schemas.openxmlformats.org/drawingml/2006/picture">
                      <pic:pic xmlns:pic="http://schemas.openxmlformats.org/drawingml/2006/picture">
                        <pic:nvPicPr>
                          <pic:cNvPr id="76" name="AutoShape_8_SpCnt_54"/>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2" name="AutoShape_8_SpCnt_55"/>
                  <wp:cNvGraphicFramePr/>
                  <a:graphic xmlns:a="http://schemas.openxmlformats.org/drawingml/2006/main">
                    <a:graphicData uri="http://schemas.openxmlformats.org/drawingml/2006/picture">
                      <pic:pic xmlns:pic="http://schemas.openxmlformats.org/drawingml/2006/picture">
                        <pic:nvPicPr>
                          <pic:cNvPr id="62" name="AutoShape_8_SpCnt_55"/>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0" name="AutoShape_8_SpCnt_56"/>
                  <wp:cNvGraphicFramePr/>
                  <a:graphic xmlns:a="http://schemas.openxmlformats.org/drawingml/2006/main">
                    <a:graphicData uri="http://schemas.openxmlformats.org/drawingml/2006/picture">
                      <pic:pic xmlns:pic="http://schemas.openxmlformats.org/drawingml/2006/picture">
                        <pic:nvPicPr>
                          <pic:cNvPr id="80" name="AutoShape_8_SpCnt_56"/>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1" name="AutoShape_8_SpCnt_57"/>
                  <wp:cNvGraphicFramePr/>
                  <a:graphic xmlns:a="http://schemas.openxmlformats.org/drawingml/2006/main">
                    <a:graphicData uri="http://schemas.openxmlformats.org/drawingml/2006/picture">
                      <pic:pic xmlns:pic="http://schemas.openxmlformats.org/drawingml/2006/picture">
                        <pic:nvPicPr>
                          <pic:cNvPr id="81" name="AutoShape_8_SpCnt_57"/>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0" name="AutoShape_8_SpCnt_58"/>
                  <wp:cNvGraphicFramePr/>
                  <a:graphic xmlns:a="http://schemas.openxmlformats.org/drawingml/2006/main">
                    <a:graphicData uri="http://schemas.openxmlformats.org/drawingml/2006/picture">
                      <pic:pic xmlns:pic="http://schemas.openxmlformats.org/drawingml/2006/picture">
                        <pic:nvPicPr>
                          <pic:cNvPr id="70" name="AutoShape_8_SpCnt_58"/>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1" name="AutoShape_8_SpCnt_59"/>
                  <wp:cNvGraphicFramePr/>
                  <a:graphic xmlns:a="http://schemas.openxmlformats.org/drawingml/2006/main">
                    <a:graphicData uri="http://schemas.openxmlformats.org/drawingml/2006/picture">
                      <pic:pic xmlns:pic="http://schemas.openxmlformats.org/drawingml/2006/picture">
                        <pic:nvPicPr>
                          <pic:cNvPr id="71" name="AutoShape_8_SpCnt_59"/>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32路消防采集器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28499A65">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1、铝合金面板，1U金属机身；</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2、1路标准RJ45网络接口；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3、32路消防报警接入端子，非排线接入，方便快捷，可多台级联；</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4、设置报警复位按钮，可手动复位；</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5、带2路断电器触点短路信号输出（直流2A电流)，触发报警器等短路触发其它设备；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6、报警接入信号、电平输入或短路信号输入或电平和短路混合输入；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7、电源输入 AC100-240V 50Hz/60Hz；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8、网络 Rj45(10/100M)；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9、触发信号级别 电平5V-24V or 0~5KΩ；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10、工作环境温度-40℃ ~ +70℃。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FC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1D4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28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9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2" name="AutoShape_8_SpCnt_60"/>
                  <wp:cNvGraphicFramePr/>
                  <a:graphic xmlns:a="http://schemas.openxmlformats.org/drawingml/2006/main">
                    <a:graphicData uri="http://schemas.openxmlformats.org/drawingml/2006/picture">
                      <pic:pic xmlns:pic="http://schemas.openxmlformats.org/drawingml/2006/picture">
                        <pic:nvPicPr>
                          <pic:cNvPr id="72" name="AutoShape_8_SpCnt_60"/>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3" name="AutoShape_8_SpCnt_61"/>
                  <wp:cNvGraphicFramePr/>
                  <a:graphic xmlns:a="http://schemas.openxmlformats.org/drawingml/2006/main">
                    <a:graphicData uri="http://schemas.openxmlformats.org/drawingml/2006/picture">
                      <pic:pic xmlns:pic="http://schemas.openxmlformats.org/drawingml/2006/picture">
                        <pic:nvPicPr>
                          <pic:cNvPr id="73" name="AutoShape_8_SpCnt_61"/>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3" name="AutoShape_8_SpCnt_62"/>
                  <wp:cNvGraphicFramePr/>
                  <a:graphic xmlns:a="http://schemas.openxmlformats.org/drawingml/2006/main">
                    <a:graphicData uri="http://schemas.openxmlformats.org/drawingml/2006/picture">
                      <pic:pic xmlns:pic="http://schemas.openxmlformats.org/drawingml/2006/picture">
                        <pic:nvPicPr>
                          <pic:cNvPr id="63" name="AutoShape_8_SpCnt_62"/>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4" name="AutoShape_8_SpCnt_63"/>
                  <wp:cNvGraphicFramePr/>
                  <a:graphic xmlns:a="http://schemas.openxmlformats.org/drawingml/2006/main">
                    <a:graphicData uri="http://schemas.openxmlformats.org/drawingml/2006/picture">
                      <pic:pic xmlns:pic="http://schemas.openxmlformats.org/drawingml/2006/picture">
                        <pic:nvPicPr>
                          <pic:cNvPr id="74" name="AutoShape_8_SpCnt_63"/>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7" name="AutoShape_8_SpCnt_64"/>
                  <wp:cNvGraphicFramePr/>
                  <a:graphic xmlns:a="http://schemas.openxmlformats.org/drawingml/2006/main">
                    <a:graphicData uri="http://schemas.openxmlformats.org/drawingml/2006/picture">
                      <pic:pic xmlns:pic="http://schemas.openxmlformats.org/drawingml/2006/picture">
                        <pic:nvPicPr>
                          <pic:cNvPr id="77" name="AutoShape_8_SpCnt_64"/>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64" name="AutoShape_8_SpCnt_65"/>
                  <wp:cNvGraphicFramePr/>
                  <a:graphic xmlns:a="http://schemas.openxmlformats.org/drawingml/2006/main">
                    <a:graphicData uri="http://schemas.openxmlformats.org/drawingml/2006/picture">
                      <pic:pic xmlns:pic="http://schemas.openxmlformats.org/drawingml/2006/picture">
                        <pic:nvPicPr>
                          <pic:cNvPr id="64" name="AutoShape_8_SpCnt_65"/>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8" name="AutoShape_8_SpCnt_66"/>
                  <wp:cNvGraphicFramePr/>
                  <a:graphic xmlns:a="http://schemas.openxmlformats.org/drawingml/2006/main">
                    <a:graphicData uri="http://schemas.openxmlformats.org/drawingml/2006/picture">
                      <pic:pic xmlns:pic="http://schemas.openxmlformats.org/drawingml/2006/picture">
                        <pic:nvPicPr>
                          <pic:cNvPr id="78" name="AutoShape_8_SpCnt_66"/>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79" name="AutoShape_8_SpCnt_67"/>
                  <wp:cNvGraphicFramePr/>
                  <a:graphic xmlns:a="http://schemas.openxmlformats.org/drawingml/2006/main">
                    <a:graphicData uri="http://schemas.openxmlformats.org/drawingml/2006/picture">
                      <pic:pic xmlns:pic="http://schemas.openxmlformats.org/drawingml/2006/picture">
                        <pic:nvPicPr>
                          <pic:cNvPr id="79" name="AutoShape_8_SpCnt_67"/>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前置放大器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6C0FDA9A">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1、多种、多个输入/输出口、5个话筒口；3个辅助口；2个优先口；4个输出口；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2、各通道独立音量控制；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3、高音和低音音调控制；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4、自动默音（有强插功能）；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5、最小源电动势Mic ≤3.2mV, 不平衡；Aux  ≤300mV 不平衡；EMC≤450mV；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6、输出电平、0dBV；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7、频率响应Line 30Hz-20KHz (±3dB）；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8、总谐波失真Aux ≤0.1%（1KHz，额定正常工作条件）；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9、信噪比Aux input ≥66dB；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10、音调调节范围Bass  ±10dB（100Hz）；Treble ±10dB（10kHz）；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11、保护、AC保险丝；</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12、电源、AC 220V/50Hz；</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D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D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5CA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C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9A5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4" name="AutoShape_8_SpCnt_68"/>
                  <wp:cNvGraphicFramePr/>
                  <a:graphic xmlns:a="http://schemas.openxmlformats.org/drawingml/2006/main">
                    <a:graphicData uri="http://schemas.openxmlformats.org/drawingml/2006/picture">
                      <pic:pic xmlns:pic="http://schemas.openxmlformats.org/drawingml/2006/picture">
                        <pic:nvPicPr>
                          <pic:cNvPr id="84" name="AutoShape_8_SpCnt_68"/>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5" name="AutoShape_8_SpCnt_69"/>
                  <wp:cNvGraphicFramePr/>
                  <a:graphic xmlns:a="http://schemas.openxmlformats.org/drawingml/2006/main">
                    <a:graphicData uri="http://schemas.openxmlformats.org/drawingml/2006/picture">
                      <pic:pic xmlns:pic="http://schemas.openxmlformats.org/drawingml/2006/picture">
                        <pic:nvPicPr>
                          <pic:cNvPr id="85" name="AutoShape_8_SpCnt_69"/>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CD播放器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49ECFE15">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1、DVD/VCD/CD/USB播放功能；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2、高亮度动态VFD显示，清晰醒目；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3、具有曲目直选功能；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4、具有通电后自动播放功能；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5、具有视频输出口高亮度动态VFD显示，清晰醒目；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6、频率响应：20Hz-20kHz；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7、信噪比：90dB；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8、动态范围：90dB；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9、谐波失真：0.005%；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10、输出电平：0dBV；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11、保护：AC fuse ×1；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12、电源：AC 220 –240 V / 50～60 Hz；</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A8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CF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213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0C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7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数字调谐器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1BED4804">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1、LCD液晶屏显示；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2、立体声调频收音，电台频率记忆存储可达99个；</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3、全频段自动搜索，自动保存功能；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4、快捷手动保存电台功能；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5、可数字调谐音量大小；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6、可以直接输入收听频率，如输入：106.60；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7、收听电台，掉电记忆功能；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8、接收范围：FM 87.0 ~ 108.0 MHz；AM 522 ~ 1611 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9、输入灵敏度：FM 16dBμ；AM 49dBμ；</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10、信噪比：FM 单声道76dB，立体声70dB；AM 40dB；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11、电源：AC 220 –240 V / 50～60 Hz。</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3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1B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F33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8F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4.5"网络壁挂音箱（2*20W）</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77B9174A">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1、基于TCP/IP传输协议的全数字化的模数转换信号处理器，由主控系统智能控制，可播放来自主控系统的背景节目、紧急寻呼、告警信号等；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2、全数字化设计，高保真、语音传输指数高；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3、内置2*20W高品质数字功放，可外接副箱，低功耗设置；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4、专业DSP音效处理芯片，支持10 段参量均衡音效处理，具有高保真CD音质；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5、高可靠性设计寿命长，平均无故障时间(MTBF)&gt;10万小时；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6、可脱离服务器接受紧急寻呼，音量自动调节到设定值；</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7、支持DHCP、静态IP网络模式；支持AUTO IP功能，DHCP模式下如果没有获取到IP地址，自动切换到临时IP；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8、支持无音乐信号（包括本地音频信号）自动待机节能工作模式；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9、1路本地MIC、1路LINE IN输入、1路LINE OUT输出；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10、喇叭单元5.5"*1 1"*1；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11、额定功率 2*30W；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12、输入电压 DC12V-24V/2A   AC220V 50Hz/60Hz；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13、灵敏度(1m,1W) 90dB；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14、最大声压级(1m) 104dB；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15、频率响应 80-20kHz；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16、工作环境温度-40℃ ~ +69℃。</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29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9D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4687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22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4.5"壁挂（20W)</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8D0176">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1、喇叭单元 1"×1  4"×1；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2、额定功率 20W；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3、额定阻抗 8欧；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4、灵敏度(1m,1W) 89dB；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5、最大声压级(1m) 103dB；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6、频率响应 100-20kHz。</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4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2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1181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1E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4.5"壁挂</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303E944A">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1、喇叭单元4.5"*1 2"*1；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2、额定功率 15W；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3、额定阻抗 8欧；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4、灵敏度(1m,1W) 88dB；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5、最大声压级(1m)98dB；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6、频率响应 120-20kHz。</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EF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42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0D22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06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C0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网络化功放（350W)</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49244FED">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1、采用高档2U铝合金拉丝面板制造；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2、可挂接在网络到达的任何地方, 采用网络自主研发的网络传输协议，动态音频数据传输；</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3、双网络接口冗余设计，可跨网段工作；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4、内置高效率数字功放，70V/100V定压输出及4-16Ω，效率高达90%以上；</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5、功放额定输出功率、350W；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6、面板集成7个状态指示灯，工作状态一目了然，1个网络连接状态显示，4个信号状态显示，1个短路保护显示，1个过温保护显示；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7、短路、过温保护设计；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8、外置1路AUX线路输入、1路AUX线路输出，方便扩展本地其它音源广播，与本地功率扩展；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9、外置本地1路100V EMC输入，方便接入消防本地广播系统；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10、具有优先级管理功能，默音电平量可调节；</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11、具有网络播放功能，可播放网络化主机下发的节目源或网络化音频采集器的音频流；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12、可播放来自系统主机的背景音乐、紧急寻呼、告警信号等，网络节目源具有7级以上优先等级管理功能，分为背景广播、业务广播、紧急广播三大类；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13、采用高保真CD音质的解码芯片，最大支持48KHZ采样率16bit的MP3/WMA/WAV/PCM音频流数据解码。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7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7C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DA2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23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A49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带前置网络化功放（650W)</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59D601C3">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1、采用高档2U铝合金拉丝面板制造；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2、可挂接在网络到达的任何地方, 采用网络自主研发的网络传输协议，动态音频数据传输；</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3、双网络接口冗余设计，可跨网段工作；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4、70V/100V定压输出及4-16Ω，效率高达90%以上；</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5、功放额定输出功率、650W；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6、短路、过温保护设计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7、外置3路AUX线路输入、1路AUX线路输出，方便扩展本地其它音源广播，与本地功率扩展；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8、外置本地2路MIC输入，方便接入本地MIC；</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9、具有优先级管理功能，默音电平量可调节；</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10、具有网络播放功能，可播放网络化主机下发的节目源或网络化音频采集器的音频流；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11、可播放来自系统主机的背景音乐、紧急寻呼、告警信号等，网络节目源具有7级以上优先等级管理功能，分为背景广播、业务广播、紧急广播三大类；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12、采用高保真CD音质的解码芯片，最大支持48KHZ采样率16bit的MP3/WMA/WAV/PCM音频流数据解码。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1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0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EFB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6"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4D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736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网络化功放（120W)</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24EE1862">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1、采用高档2U铝合金拉丝面板制造；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2、可挂接在网络到达的任何地方, 采用网络自主研发的网络传输协议，动态音频数据传输；</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3、双网络接口冗余设计，可跨网段工作；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4、内置高效率数字功放，70V/100V定压输出及4-16Ω，效率高达90%以上；</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5、功放额定输出功率、120W；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6、面板集成7个状态指示灯，工作状态一目了然，1个网络连接状态显示，4个信号状态显示，1个短路保护显示，1个过温保护显示；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7、短路、过温保护设计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8、外置1路AUX线路输入、1路AUX线路输出，方便扩展本地其它音源广播，与本地功率扩展；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9、外置本地1路100V EMC输入，方便接入消防本地广播系统；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10、具有优先级管理功能，默音电平量可调节；</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11、具有网络播放功能，可播放网络化主机下发的节目源或网络化音频采集器的音频流；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12、可播放来自系统主机的背景音乐、紧急寻呼、告警信号等，网络节目源具有7级以上优先等级管理功能，分为背景广播、业务广播、紧急广播三大类；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13、采用高保真CD音质的解码芯片，最大支持48KHZ采样率16bit的MP3/WMA/WAV/PCM音频流数据解码。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7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A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AA7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81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9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5"防水音柱</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13CA9671">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1、喇叭单元 3"×1  5"×3；</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2、额定功率 60W；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3、输入电压 70V/100V；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4、灵敏度(1m,1W) 93dB；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5、最大声压级(1m) 110dB；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6、频率响应 80-20KHZ。</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4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6518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6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0E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真分集无线话筒</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106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1、采用ID码导频技术，彻底解决同频、串频现象；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2、采用OLED显示屏，内置调节菜单功能；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3、标准的19英寸安装尺寸；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4、理想使用距离150米。载波频段UHF550-960MHz可选；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5、频宽：50MHz；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6、预设群组数：20组，每组预设25个频率；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7、动态范围：90dB；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8、失真度：&lt;0.5%；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9、频率响应：30-20KHz/±2dB；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10、电池使用时间：&gt;5小时。</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5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9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7841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2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9B4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天线放大器加天线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68241F40">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1、12dB可调的射频信号电平用于优化使用不同线缆的接收效率；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2、链接输出可链接8台无线接收机组成大型系统；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3、RF电平过载LED及时监察射频信号的质量；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4、高清LCD显示。</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D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3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2347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9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735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6" name="AutoShape_8_SpCnt_70"/>
                  <wp:cNvGraphicFramePr/>
                  <a:graphic xmlns:a="http://schemas.openxmlformats.org/drawingml/2006/main">
                    <a:graphicData uri="http://schemas.openxmlformats.org/drawingml/2006/picture">
                      <pic:pic xmlns:pic="http://schemas.openxmlformats.org/drawingml/2006/picture">
                        <pic:nvPicPr>
                          <pic:cNvPr id="86" name="AutoShape_8_SpCnt_70"/>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89" name="AutoShape_8_SpCnt_71"/>
                  <wp:cNvGraphicFramePr/>
                  <a:graphic xmlns:a="http://schemas.openxmlformats.org/drawingml/2006/main">
                    <a:graphicData uri="http://schemas.openxmlformats.org/drawingml/2006/picture">
                      <pic:pic xmlns:pic="http://schemas.openxmlformats.org/drawingml/2006/picture">
                        <pic:nvPicPr>
                          <pic:cNvPr id="89" name="AutoShape_8_SpCnt_71"/>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2" name="AutoShape_8_SpCnt_72"/>
                  <wp:cNvGraphicFramePr/>
                  <a:graphic xmlns:a="http://schemas.openxmlformats.org/drawingml/2006/main">
                    <a:graphicData uri="http://schemas.openxmlformats.org/drawingml/2006/picture">
                      <pic:pic xmlns:pic="http://schemas.openxmlformats.org/drawingml/2006/picture">
                        <pic:nvPicPr>
                          <pic:cNvPr id="112" name="AutoShape_8_SpCnt_72"/>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20" name="AutoShape_8_SpCnt_73"/>
                  <wp:cNvGraphicFramePr/>
                  <a:graphic xmlns:a="http://schemas.openxmlformats.org/drawingml/2006/main">
                    <a:graphicData uri="http://schemas.openxmlformats.org/drawingml/2006/picture">
                      <pic:pic xmlns:pic="http://schemas.openxmlformats.org/drawingml/2006/picture">
                        <pic:nvPicPr>
                          <pic:cNvPr id="120" name="AutoShape_8_SpCnt_73"/>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4" name="AutoShape_8_SpCnt_74"/>
                  <wp:cNvGraphicFramePr/>
                  <a:graphic xmlns:a="http://schemas.openxmlformats.org/drawingml/2006/main">
                    <a:graphicData uri="http://schemas.openxmlformats.org/drawingml/2006/picture">
                      <pic:pic xmlns:pic="http://schemas.openxmlformats.org/drawingml/2006/picture">
                        <pic:nvPicPr>
                          <pic:cNvPr id="114" name="AutoShape_8_SpCnt_74"/>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00" name="AutoShape_8_SpCnt_75"/>
                  <wp:cNvGraphicFramePr/>
                  <a:graphic xmlns:a="http://schemas.openxmlformats.org/drawingml/2006/main">
                    <a:graphicData uri="http://schemas.openxmlformats.org/drawingml/2006/picture">
                      <pic:pic xmlns:pic="http://schemas.openxmlformats.org/drawingml/2006/picture">
                        <pic:nvPicPr>
                          <pic:cNvPr id="100" name="AutoShape_8_SpCnt_75"/>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94" name="AutoShape_8_SpCnt_76"/>
                  <wp:cNvGraphicFramePr/>
                  <a:graphic xmlns:a="http://schemas.openxmlformats.org/drawingml/2006/main">
                    <a:graphicData uri="http://schemas.openxmlformats.org/drawingml/2006/picture">
                      <pic:pic xmlns:pic="http://schemas.openxmlformats.org/drawingml/2006/picture">
                        <pic:nvPicPr>
                          <pic:cNvPr id="94" name="AutoShape_8_SpCnt_76"/>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01" name="AutoShape_8_SpCnt_77"/>
                  <wp:cNvGraphicFramePr/>
                  <a:graphic xmlns:a="http://schemas.openxmlformats.org/drawingml/2006/main">
                    <a:graphicData uri="http://schemas.openxmlformats.org/drawingml/2006/picture">
                      <pic:pic xmlns:pic="http://schemas.openxmlformats.org/drawingml/2006/picture">
                        <pic:nvPicPr>
                          <pic:cNvPr id="101" name="AutoShape_8_SpCnt_77"/>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02" name="AutoShape_8_SpCnt_78"/>
                  <wp:cNvGraphicFramePr/>
                  <a:graphic xmlns:a="http://schemas.openxmlformats.org/drawingml/2006/main">
                    <a:graphicData uri="http://schemas.openxmlformats.org/drawingml/2006/picture">
                      <pic:pic xmlns:pic="http://schemas.openxmlformats.org/drawingml/2006/picture">
                        <pic:nvPicPr>
                          <pic:cNvPr id="102" name="AutoShape_8_SpCnt_78"/>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3" name="AutoShape_8_SpCnt_79"/>
                  <wp:cNvGraphicFramePr/>
                  <a:graphic xmlns:a="http://schemas.openxmlformats.org/drawingml/2006/main">
                    <a:graphicData uri="http://schemas.openxmlformats.org/drawingml/2006/picture">
                      <pic:pic xmlns:pic="http://schemas.openxmlformats.org/drawingml/2006/picture">
                        <pic:nvPicPr>
                          <pic:cNvPr id="113" name="AutoShape_8_SpCnt_79"/>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0" name="AutoShape_8_SpCnt_80"/>
                  <wp:cNvGraphicFramePr/>
                  <a:graphic xmlns:a="http://schemas.openxmlformats.org/drawingml/2006/main">
                    <a:graphicData uri="http://schemas.openxmlformats.org/drawingml/2006/picture">
                      <pic:pic xmlns:pic="http://schemas.openxmlformats.org/drawingml/2006/picture">
                        <pic:nvPicPr>
                          <pic:cNvPr id="110" name="AutoShape_8_SpCnt_80"/>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7" name="AutoShape_8_SpCnt_81"/>
                  <wp:cNvGraphicFramePr/>
                  <a:graphic xmlns:a="http://schemas.openxmlformats.org/drawingml/2006/main">
                    <a:graphicData uri="http://schemas.openxmlformats.org/drawingml/2006/picture">
                      <pic:pic xmlns:pic="http://schemas.openxmlformats.org/drawingml/2006/picture">
                        <pic:nvPicPr>
                          <pic:cNvPr id="117" name="AutoShape_8_SpCnt_81"/>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03" name="AutoShape_8_SpCnt_82"/>
                  <wp:cNvGraphicFramePr/>
                  <a:graphic xmlns:a="http://schemas.openxmlformats.org/drawingml/2006/main">
                    <a:graphicData uri="http://schemas.openxmlformats.org/drawingml/2006/picture">
                      <pic:pic xmlns:pic="http://schemas.openxmlformats.org/drawingml/2006/picture">
                        <pic:nvPicPr>
                          <pic:cNvPr id="103" name="AutoShape_8_SpCnt_82"/>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1" name="AutoShape_8_SpCnt_83"/>
                  <wp:cNvGraphicFramePr/>
                  <a:graphic xmlns:a="http://schemas.openxmlformats.org/drawingml/2006/main">
                    <a:graphicData uri="http://schemas.openxmlformats.org/drawingml/2006/picture">
                      <pic:pic xmlns:pic="http://schemas.openxmlformats.org/drawingml/2006/picture">
                        <pic:nvPicPr>
                          <pic:cNvPr id="111" name="AutoShape_8_SpCnt_83"/>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主扩音箱</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05084B2">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1、额定功率：350W；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2、频率响应：55Hz-20KHz ±3dB；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3、推荐功放：600W into 8ohms；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4、单元规格：低频12"铁氧体低音单元、65mm音圈 高频1.75"铁氧体高音单元,44.4mm音圈；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5、分频点：1.8KHz；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6、灵敏度：97dB；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7、最大声压级：125dB/1m；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8、连接插座：2xNeutrik NL4；</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9、标准阻抗：8Ω。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DB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12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6BCF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8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80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主扩功放</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66F7DD03">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1、输出功率：8Ω 2×800W；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2、输出功率：4Ω 2×1200W；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3、输出功率：8Ω桥接 2400W；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4、信噪比：&gt;100dB；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5、失真度：&lt;0.1%；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6、灵敏度：0.775V；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7、输入阻抗：20K2 平衡；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8、阻尼系数：&gt;200/8Ω；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9、频率响应：20Hz-20KHz,土0.5dB；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10、通道分离度：&gt;95dB；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11、冷却方式：无级变速风扇散热；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12、功放保护：具有短路、过流、欠压、过压和过温。</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20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3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79C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9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76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99" name="AutoShape_8_SpCnt_84"/>
                  <wp:cNvGraphicFramePr/>
                  <a:graphic xmlns:a="http://schemas.openxmlformats.org/drawingml/2006/main">
                    <a:graphicData uri="http://schemas.openxmlformats.org/drawingml/2006/picture">
                      <pic:pic xmlns:pic="http://schemas.openxmlformats.org/drawingml/2006/picture">
                        <pic:nvPicPr>
                          <pic:cNvPr id="99" name="AutoShape_8_SpCnt_84"/>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8" name="AutoShape_8_SpCnt_85"/>
                  <wp:cNvGraphicFramePr/>
                  <a:graphic xmlns:a="http://schemas.openxmlformats.org/drawingml/2006/main">
                    <a:graphicData uri="http://schemas.openxmlformats.org/drawingml/2006/picture">
                      <pic:pic xmlns:pic="http://schemas.openxmlformats.org/drawingml/2006/picture">
                        <pic:nvPicPr>
                          <pic:cNvPr id="118" name="AutoShape_8_SpCnt_85"/>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超低音</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2A9C4197">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1、单元配置：1x 18寸(100mm音圈)铁氧体单元；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2、额定功率：800w；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3、频率响应：35Hz-300Hz；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4、灵敏度：100dB；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5、最大声压级：132dB；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6、额定阻抗：8欧；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7、接线方式：1x Neutrik Speakon, model NL4 (wired in parallel)；</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8、表面涂层： 耐磨，双组分外观整洁，提供超高抗划痕得保护；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9、材料选用：全采用欧洲环保POHS标准；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10、接口：1x Neutrik Nl4针；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11、系统类型：低音直射式；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12、大规格的装有号角的超低音音箱；</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13、双调谐，平行带通设计。</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F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6C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57DD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6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60A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09" name="AutoShape_8_SpCnt_86"/>
                  <wp:cNvGraphicFramePr/>
                  <a:graphic xmlns:a="http://schemas.openxmlformats.org/drawingml/2006/main">
                    <a:graphicData uri="http://schemas.openxmlformats.org/drawingml/2006/picture">
                      <pic:pic xmlns:pic="http://schemas.openxmlformats.org/drawingml/2006/picture">
                        <pic:nvPicPr>
                          <pic:cNvPr id="109" name="AutoShape_8_SpCnt_86"/>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91" name="AutoShape_8_SpCnt_87"/>
                  <wp:cNvGraphicFramePr/>
                  <a:graphic xmlns:a="http://schemas.openxmlformats.org/drawingml/2006/main">
                    <a:graphicData uri="http://schemas.openxmlformats.org/drawingml/2006/picture">
                      <pic:pic xmlns:pic="http://schemas.openxmlformats.org/drawingml/2006/picture">
                        <pic:nvPicPr>
                          <pic:cNvPr id="91" name="AutoShape_8_SpCnt_87"/>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超低音功放</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030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1、输出额定功率：2x1000W 8Ω立体声功率  4Ω立体声功率2x1500W；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2、频率响应：20Hz-20KHz±1dB；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3、总谐失真：≤0.05%；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4、阻尼系数：≥300；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5、输入灵敏度：0.775V/1.44V/2.0V；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6、信噪比率(dB)：≥95dB；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7、输入阻抗：30KΩ/&gt;15KΩ；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8、电压增益：41.3dB；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9、分离度 (@1KHz)：98dB；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10、电源：220V~/50Hz；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11、保护方式：过流保护、直流保护、短路保护；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12、峰值指示灯黄色，保护指示灯红色，信号指示灯绿色。</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CD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386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6D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FB8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辅助音箱</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6828F41">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1、额定功率：300W；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2、标准阻抗：8Ω；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3、频率响应：65Hz-20KHz ±3dB；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4、推荐功放：500W into 8ohms；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5、单元规格：低频10"铁氧体低音单元、65mm音圈  高频1．75"铁氧体高音单元,44mm音圈；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6、分频点：2KHz；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7、灵敏度：96dB；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8、最大声压级：120dB/1m；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9、连接插座：2xNeutrik NL4；</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10、覆盖角度：90°×40°。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F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A4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2517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30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321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辅助功放</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D3271CE">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1、输出功率：8Ω 2×500W；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2、输出功率：4Ω 2×800W；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3、输出功率：8Ω桥接 1500W；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4、信噪比：&gt;100dB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5、失真度：&lt;0.1%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6、灵敏度：0.775V；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7、输入阻抗：20K2 平衡；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8、阻尼系数：&gt;200/8Ω；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9、频率响应：20Hz-20KHz,土0.5dB；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10、通道分离度：&gt;95dB；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11、冷却方式：无级变速风扇散热；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12、功放保护：具有短路、过流、欠压、过压和过温。</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64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3B0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A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壁挂架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1C2BFE75">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1、全金属，壁挂前后180%，吊挂水平360%；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2、壁挂：195-310mm。</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1A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付</w:t>
            </w:r>
          </w:p>
        </w:tc>
      </w:tr>
      <w:tr w14:paraId="1853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8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B5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96" name="AutoShape_8_SpCnt_88"/>
                  <wp:cNvGraphicFramePr/>
                  <a:graphic xmlns:a="http://schemas.openxmlformats.org/drawingml/2006/main">
                    <a:graphicData uri="http://schemas.openxmlformats.org/drawingml/2006/picture">
                      <pic:pic xmlns:pic="http://schemas.openxmlformats.org/drawingml/2006/picture">
                        <pic:nvPicPr>
                          <pic:cNvPr id="96" name="AutoShape_8_SpCnt_88"/>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115" name="AutoShape_8_SpCnt_89"/>
                  <wp:cNvGraphicFramePr/>
                  <a:graphic xmlns:a="http://schemas.openxmlformats.org/drawingml/2006/main">
                    <a:graphicData uri="http://schemas.openxmlformats.org/drawingml/2006/picture">
                      <pic:pic xmlns:pic="http://schemas.openxmlformats.org/drawingml/2006/picture">
                        <pic:nvPicPr>
                          <pic:cNvPr id="115" name="AutoShape_8_SpCnt_89"/>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音柱</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15C42A55">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1、扬声器类型：双4.5寸全频音箱；</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2、频响：（±3dB） 120Hz-20KHz；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3、驱动单元：4.5寸*2；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4、灵敏度：96dB；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5、阻抗(Ω)：4Ω；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6、功率：80W(AES)。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DA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A7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r>
      <w:tr w14:paraId="4FCC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6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904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专业功放</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152EFC17">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1、输出功率：8Ω 2×300W；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2、输出功率：4Ω 2×450W；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3、输出功率：8Ω桥接 900W；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4、信噪比：&gt;100dB；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5、失真度：&lt;0.1%；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6、灵敏度：0.775V；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7、输入阻抗：20K2 平衡；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8、阻尼系数：&gt;200/8Ω；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9、频率响应：20Hz-20KHz,土0.5dB；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10、通道分离度：&gt;95dB；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11、冷却方式：无级变速风扇散热；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12、功放保护：具有短路、过流、欠压、过压和过温。</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F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E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E4C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B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51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移动功放</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F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1、连续播放不不低于30小时；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2、无线话筒距离不小于45m；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3、蓝牙无线连接。</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F5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12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49A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D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92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大功率室外功放</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B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1、12"全频带电池扬声器；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2、频率范围(-10 dB)：45 Hz – 20 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3、频率范围（-3 dB）：55 Hz – 20 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4、最大SPL：126dB；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5、覆盖角度（水平 x 垂直）：100° x 60°；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6、放大器额定功率：400 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7、分频频率：2.5 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8、带有2个XLR/TRS多功能接口，1个3.5mm立体声输入，支持蓝牙5.0真无线立体声音频流同时播放。</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31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B0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EF4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A6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96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便携扩音设备</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5C3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1、无线连接方式：蓝牙；</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2、蓝牙版本：蓝牙5.0；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3、电源类型：电池供电；</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4、线长：1.5米以下。</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85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E2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2293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B3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CE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08" name="AutoShape_8_SpCnt_90"/>
                  <wp:cNvGraphicFramePr/>
                  <a:graphic xmlns:a="http://schemas.openxmlformats.org/drawingml/2006/main">
                    <a:graphicData uri="http://schemas.openxmlformats.org/drawingml/2006/picture">
                      <pic:pic xmlns:pic="http://schemas.openxmlformats.org/drawingml/2006/picture">
                        <pic:nvPicPr>
                          <pic:cNvPr id="108" name="AutoShape_8_SpCnt_90"/>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97" name="AutoShape_8_SpCnt_91"/>
                  <wp:cNvGraphicFramePr/>
                  <a:graphic xmlns:a="http://schemas.openxmlformats.org/drawingml/2006/main">
                    <a:graphicData uri="http://schemas.openxmlformats.org/drawingml/2006/picture">
                      <pic:pic xmlns:pic="http://schemas.openxmlformats.org/drawingml/2006/picture">
                        <pic:nvPicPr>
                          <pic:cNvPr id="97" name="AutoShape_8_SpCnt_91"/>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1" name="AutoShape_8_SpCnt_92"/>
                  <wp:cNvGraphicFramePr/>
                  <a:graphic xmlns:a="http://schemas.openxmlformats.org/drawingml/2006/main">
                    <a:graphicData uri="http://schemas.openxmlformats.org/drawingml/2006/picture">
                      <pic:pic xmlns:pic="http://schemas.openxmlformats.org/drawingml/2006/picture">
                        <pic:nvPicPr>
                          <pic:cNvPr id="121" name="AutoShape_8_SpCnt_92"/>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2" name="AutoShape_8_SpCnt_93"/>
                  <wp:cNvGraphicFramePr/>
                  <a:graphic xmlns:a="http://schemas.openxmlformats.org/drawingml/2006/main">
                    <a:graphicData uri="http://schemas.openxmlformats.org/drawingml/2006/picture">
                      <pic:pic xmlns:pic="http://schemas.openxmlformats.org/drawingml/2006/picture">
                        <pic:nvPicPr>
                          <pic:cNvPr id="122" name="AutoShape_8_SpCnt_93"/>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93" name="AutoShape_8_SpCnt_94"/>
                  <wp:cNvGraphicFramePr/>
                  <a:graphic xmlns:a="http://schemas.openxmlformats.org/drawingml/2006/main">
                    <a:graphicData uri="http://schemas.openxmlformats.org/drawingml/2006/picture">
                      <pic:pic xmlns:pic="http://schemas.openxmlformats.org/drawingml/2006/picture">
                        <pic:nvPicPr>
                          <pic:cNvPr id="93" name="AutoShape_8_SpCnt_94"/>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92" name="AutoShape_8_SpCnt_95"/>
                  <wp:cNvGraphicFramePr/>
                  <a:graphic xmlns:a="http://schemas.openxmlformats.org/drawingml/2006/main">
                    <a:graphicData uri="http://schemas.openxmlformats.org/drawingml/2006/picture">
                      <pic:pic xmlns:pic="http://schemas.openxmlformats.org/drawingml/2006/picture">
                        <pic:nvPicPr>
                          <pic:cNvPr id="92" name="AutoShape_8_SpCnt_95"/>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16" name="AutoShape_8_SpCnt_96"/>
                  <wp:cNvGraphicFramePr/>
                  <a:graphic xmlns:a="http://schemas.openxmlformats.org/drawingml/2006/main">
                    <a:graphicData uri="http://schemas.openxmlformats.org/drawingml/2006/picture">
                      <pic:pic xmlns:pic="http://schemas.openxmlformats.org/drawingml/2006/picture">
                        <pic:nvPicPr>
                          <pic:cNvPr id="116" name="AutoShape_8_SpCnt_96"/>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19" name="AutoShape_8_SpCnt_97"/>
                  <wp:cNvGraphicFramePr/>
                  <a:graphic xmlns:a="http://schemas.openxmlformats.org/drawingml/2006/main">
                    <a:graphicData uri="http://schemas.openxmlformats.org/drawingml/2006/picture">
                      <pic:pic xmlns:pic="http://schemas.openxmlformats.org/drawingml/2006/picture">
                        <pic:nvPicPr>
                          <pic:cNvPr id="119" name="AutoShape_8_SpCnt_97"/>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95" name="AutoShape_8_SpCnt_98"/>
                  <wp:cNvGraphicFramePr/>
                  <a:graphic xmlns:a="http://schemas.openxmlformats.org/drawingml/2006/main">
                    <a:graphicData uri="http://schemas.openxmlformats.org/drawingml/2006/picture">
                      <pic:pic xmlns:pic="http://schemas.openxmlformats.org/drawingml/2006/picture">
                        <pic:nvPicPr>
                          <pic:cNvPr id="95" name="AutoShape_8_SpCnt_98"/>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04" name="AutoShape_8_SpCnt_99"/>
                  <wp:cNvGraphicFramePr/>
                  <a:graphic xmlns:a="http://schemas.openxmlformats.org/drawingml/2006/main">
                    <a:graphicData uri="http://schemas.openxmlformats.org/drawingml/2006/picture">
                      <pic:pic xmlns:pic="http://schemas.openxmlformats.org/drawingml/2006/picture">
                        <pic:nvPicPr>
                          <pic:cNvPr id="104" name="AutoShape_8_SpCnt_99"/>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98" name="AutoShape_8_SpCnt_100"/>
                  <wp:cNvGraphicFramePr/>
                  <a:graphic xmlns:a="http://schemas.openxmlformats.org/drawingml/2006/main">
                    <a:graphicData uri="http://schemas.openxmlformats.org/drawingml/2006/picture">
                      <pic:pic xmlns:pic="http://schemas.openxmlformats.org/drawingml/2006/picture">
                        <pic:nvPicPr>
                          <pic:cNvPr id="98" name="AutoShape_8_SpCnt_100"/>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05" name="AutoShape_8_SpCnt_101"/>
                  <wp:cNvGraphicFramePr/>
                  <a:graphic xmlns:a="http://schemas.openxmlformats.org/drawingml/2006/main">
                    <a:graphicData uri="http://schemas.openxmlformats.org/drawingml/2006/picture">
                      <pic:pic xmlns:pic="http://schemas.openxmlformats.org/drawingml/2006/picture">
                        <pic:nvPicPr>
                          <pic:cNvPr id="105" name="AutoShape_8_SpCnt_101"/>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06" name="AutoShape_8_SpCnt_102"/>
                  <wp:cNvGraphicFramePr/>
                  <a:graphic xmlns:a="http://schemas.openxmlformats.org/drawingml/2006/main">
                    <a:graphicData uri="http://schemas.openxmlformats.org/drawingml/2006/picture">
                      <pic:pic xmlns:pic="http://schemas.openxmlformats.org/drawingml/2006/picture">
                        <pic:nvPicPr>
                          <pic:cNvPr id="106" name="AutoShape_8_SpCnt_102"/>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07" name="AutoShape_8_SpCnt_103"/>
                  <wp:cNvGraphicFramePr/>
                  <a:graphic xmlns:a="http://schemas.openxmlformats.org/drawingml/2006/main">
                    <a:graphicData uri="http://schemas.openxmlformats.org/drawingml/2006/picture">
                      <pic:pic xmlns:pic="http://schemas.openxmlformats.org/drawingml/2006/picture">
                        <pic:nvPicPr>
                          <pic:cNvPr id="107" name="AutoShape_8_SpCnt_103"/>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3" name="AutoShape_8_SpCnt_104"/>
                  <wp:cNvGraphicFramePr/>
                  <a:graphic xmlns:a="http://schemas.openxmlformats.org/drawingml/2006/main">
                    <a:graphicData uri="http://schemas.openxmlformats.org/drawingml/2006/picture">
                      <pic:pic xmlns:pic="http://schemas.openxmlformats.org/drawingml/2006/picture">
                        <pic:nvPicPr>
                          <pic:cNvPr id="123" name="AutoShape_8_SpCnt_104"/>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4" name="AutoShape_8_SpCnt_105"/>
                  <wp:cNvGraphicFramePr/>
                  <a:graphic xmlns:a="http://schemas.openxmlformats.org/drawingml/2006/main">
                    <a:graphicData uri="http://schemas.openxmlformats.org/drawingml/2006/picture">
                      <pic:pic xmlns:pic="http://schemas.openxmlformats.org/drawingml/2006/picture">
                        <pic:nvPicPr>
                          <pic:cNvPr id="124" name="AutoShape_8_SpCnt_105"/>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6" name="AutoShape_8_SpCnt_106"/>
                  <wp:cNvGraphicFramePr/>
                  <a:graphic xmlns:a="http://schemas.openxmlformats.org/drawingml/2006/main">
                    <a:graphicData uri="http://schemas.openxmlformats.org/drawingml/2006/picture">
                      <pic:pic xmlns:pic="http://schemas.openxmlformats.org/drawingml/2006/picture">
                        <pic:nvPicPr>
                          <pic:cNvPr id="126" name="AutoShape_8_SpCnt_106"/>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31" name="AutoShape_8_SpCnt_107"/>
                  <wp:cNvGraphicFramePr/>
                  <a:graphic xmlns:a="http://schemas.openxmlformats.org/drawingml/2006/main">
                    <a:graphicData uri="http://schemas.openxmlformats.org/drawingml/2006/picture">
                      <pic:pic xmlns:pic="http://schemas.openxmlformats.org/drawingml/2006/picture">
                        <pic:nvPicPr>
                          <pic:cNvPr id="131" name="AutoShape_8_SpCnt_107"/>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5" name="AutoShape_8_SpCnt_108"/>
                  <wp:cNvGraphicFramePr/>
                  <a:graphic xmlns:a="http://schemas.openxmlformats.org/drawingml/2006/main">
                    <a:graphicData uri="http://schemas.openxmlformats.org/drawingml/2006/picture">
                      <pic:pic xmlns:pic="http://schemas.openxmlformats.org/drawingml/2006/picture">
                        <pic:nvPicPr>
                          <pic:cNvPr id="125" name="AutoShape_8_SpCnt_108"/>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48" name="AutoShape_8_SpCnt_109"/>
                  <wp:cNvGraphicFramePr/>
                  <a:graphic xmlns:a="http://schemas.openxmlformats.org/drawingml/2006/main">
                    <a:graphicData uri="http://schemas.openxmlformats.org/drawingml/2006/picture">
                      <pic:pic xmlns:pic="http://schemas.openxmlformats.org/drawingml/2006/picture">
                        <pic:nvPicPr>
                          <pic:cNvPr id="148" name="AutoShape_8_SpCnt_109"/>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40" name="AutoShape_8_SpCnt_110"/>
                  <wp:cNvGraphicFramePr/>
                  <a:graphic xmlns:a="http://schemas.openxmlformats.org/drawingml/2006/main">
                    <a:graphicData uri="http://schemas.openxmlformats.org/drawingml/2006/picture">
                      <pic:pic xmlns:pic="http://schemas.openxmlformats.org/drawingml/2006/picture">
                        <pic:nvPicPr>
                          <pic:cNvPr id="140" name="AutoShape_8_SpCnt_110"/>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7" name="AutoShape_8_SpCnt_111"/>
                  <wp:cNvGraphicFramePr/>
                  <a:graphic xmlns:a="http://schemas.openxmlformats.org/drawingml/2006/main">
                    <a:graphicData uri="http://schemas.openxmlformats.org/drawingml/2006/picture">
                      <pic:pic xmlns:pic="http://schemas.openxmlformats.org/drawingml/2006/picture">
                        <pic:nvPicPr>
                          <pic:cNvPr id="127" name="AutoShape_8_SpCnt_111"/>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50" name="AutoShape_8_SpCnt_112"/>
                  <wp:cNvGraphicFramePr/>
                  <a:graphic xmlns:a="http://schemas.openxmlformats.org/drawingml/2006/main">
                    <a:graphicData uri="http://schemas.openxmlformats.org/drawingml/2006/picture">
                      <pic:pic xmlns:pic="http://schemas.openxmlformats.org/drawingml/2006/picture">
                        <pic:nvPicPr>
                          <pic:cNvPr id="150" name="AutoShape_8_SpCnt_112"/>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34" name="AutoShape_8_SpCnt_113"/>
                  <wp:cNvGraphicFramePr/>
                  <a:graphic xmlns:a="http://schemas.openxmlformats.org/drawingml/2006/main">
                    <a:graphicData uri="http://schemas.openxmlformats.org/drawingml/2006/picture">
                      <pic:pic xmlns:pic="http://schemas.openxmlformats.org/drawingml/2006/picture">
                        <pic:nvPicPr>
                          <pic:cNvPr id="134" name="AutoShape_8_SpCnt_113"/>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51" name="AutoShape_8_SpCnt_114"/>
                  <wp:cNvGraphicFramePr/>
                  <a:graphic xmlns:a="http://schemas.openxmlformats.org/drawingml/2006/main">
                    <a:graphicData uri="http://schemas.openxmlformats.org/drawingml/2006/picture">
                      <pic:pic xmlns:pic="http://schemas.openxmlformats.org/drawingml/2006/picture">
                        <pic:nvPicPr>
                          <pic:cNvPr id="151" name="AutoShape_8_SpCnt_114"/>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35" name="AutoShape_8_SpCnt_115"/>
                  <wp:cNvGraphicFramePr/>
                  <a:graphic xmlns:a="http://schemas.openxmlformats.org/drawingml/2006/main">
                    <a:graphicData uri="http://schemas.openxmlformats.org/drawingml/2006/picture">
                      <pic:pic xmlns:pic="http://schemas.openxmlformats.org/drawingml/2006/picture">
                        <pic:nvPicPr>
                          <pic:cNvPr id="135" name="AutoShape_8_SpCnt_115"/>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28" name="AutoShape_8_SpCnt_116"/>
                  <wp:cNvGraphicFramePr/>
                  <a:graphic xmlns:a="http://schemas.openxmlformats.org/drawingml/2006/main">
                    <a:graphicData uri="http://schemas.openxmlformats.org/drawingml/2006/picture">
                      <pic:pic xmlns:pic="http://schemas.openxmlformats.org/drawingml/2006/picture">
                        <pic:nvPicPr>
                          <pic:cNvPr id="128" name="AutoShape_8_SpCnt_116"/>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2" name="AutoShape_8_SpCnt_117"/>
                  <wp:cNvGraphicFramePr/>
                  <a:graphic xmlns:a="http://schemas.openxmlformats.org/drawingml/2006/main">
                    <a:graphicData uri="http://schemas.openxmlformats.org/drawingml/2006/picture">
                      <pic:pic xmlns:pic="http://schemas.openxmlformats.org/drawingml/2006/picture">
                        <pic:nvPicPr>
                          <pic:cNvPr id="132" name="AutoShape_8_SpCnt_117"/>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1" name="AutoShape_8_SpCnt_118"/>
                  <wp:cNvGraphicFramePr/>
                  <a:graphic xmlns:a="http://schemas.openxmlformats.org/drawingml/2006/main">
                    <a:graphicData uri="http://schemas.openxmlformats.org/drawingml/2006/picture">
                      <pic:pic xmlns:pic="http://schemas.openxmlformats.org/drawingml/2006/picture">
                        <pic:nvPicPr>
                          <pic:cNvPr id="141" name="AutoShape_8_SpCnt_118"/>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29" name="AutoShape_8_SpCnt_119"/>
                  <wp:cNvGraphicFramePr/>
                  <a:graphic xmlns:a="http://schemas.openxmlformats.org/drawingml/2006/main">
                    <a:graphicData uri="http://schemas.openxmlformats.org/drawingml/2006/picture">
                      <pic:pic xmlns:pic="http://schemas.openxmlformats.org/drawingml/2006/picture">
                        <pic:nvPicPr>
                          <pic:cNvPr id="129" name="AutoShape_8_SpCnt_119"/>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52" name="AutoShape_8_SpCnt_120"/>
                  <wp:cNvGraphicFramePr/>
                  <a:graphic xmlns:a="http://schemas.openxmlformats.org/drawingml/2006/main">
                    <a:graphicData uri="http://schemas.openxmlformats.org/drawingml/2006/picture">
                      <pic:pic xmlns:pic="http://schemas.openxmlformats.org/drawingml/2006/picture">
                        <pic:nvPicPr>
                          <pic:cNvPr id="152" name="AutoShape_8_SpCnt_120"/>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3" name="AutoShape_8_SpCnt_121"/>
                  <wp:cNvGraphicFramePr/>
                  <a:graphic xmlns:a="http://schemas.openxmlformats.org/drawingml/2006/main">
                    <a:graphicData uri="http://schemas.openxmlformats.org/drawingml/2006/picture">
                      <pic:pic xmlns:pic="http://schemas.openxmlformats.org/drawingml/2006/picture">
                        <pic:nvPicPr>
                          <pic:cNvPr id="143" name="AutoShape_8_SpCnt_121"/>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0" name="AutoShape_8_SpCnt_122"/>
                  <wp:cNvGraphicFramePr/>
                  <a:graphic xmlns:a="http://schemas.openxmlformats.org/drawingml/2006/main">
                    <a:graphicData uri="http://schemas.openxmlformats.org/drawingml/2006/picture">
                      <pic:pic xmlns:pic="http://schemas.openxmlformats.org/drawingml/2006/picture">
                        <pic:nvPicPr>
                          <pic:cNvPr id="130" name="AutoShape_8_SpCnt_122"/>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54" name="AutoShape_8_SpCnt_123"/>
                  <wp:cNvGraphicFramePr/>
                  <a:graphic xmlns:a="http://schemas.openxmlformats.org/drawingml/2006/main">
                    <a:graphicData uri="http://schemas.openxmlformats.org/drawingml/2006/picture">
                      <pic:pic xmlns:pic="http://schemas.openxmlformats.org/drawingml/2006/picture">
                        <pic:nvPicPr>
                          <pic:cNvPr id="154" name="AutoShape_8_SpCnt_123"/>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8" name="AutoShape_8_SpCnt_124"/>
                  <wp:cNvGraphicFramePr/>
                  <a:graphic xmlns:a="http://schemas.openxmlformats.org/drawingml/2006/main">
                    <a:graphicData uri="http://schemas.openxmlformats.org/drawingml/2006/picture">
                      <pic:pic xmlns:pic="http://schemas.openxmlformats.org/drawingml/2006/picture">
                        <pic:nvPicPr>
                          <pic:cNvPr id="138" name="AutoShape_8_SpCnt_124"/>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4" name="AutoShape_8_SpCnt_125"/>
                  <wp:cNvGraphicFramePr/>
                  <a:graphic xmlns:a="http://schemas.openxmlformats.org/drawingml/2006/main">
                    <a:graphicData uri="http://schemas.openxmlformats.org/drawingml/2006/picture">
                      <pic:pic xmlns:pic="http://schemas.openxmlformats.org/drawingml/2006/picture">
                        <pic:nvPicPr>
                          <pic:cNvPr id="144" name="AutoShape_8_SpCnt_125"/>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3" name="AutoShape_8_SpCnt_126"/>
                  <wp:cNvGraphicFramePr/>
                  <a:graphic xmlns:a="http://schemas.openxmlformats.org/drawingml/2006/main">
                    <a:graphicData uri="http://schemas.openxmlformats.org/drawingml/2006/picture">
                      <pic:pic xmlns:pic="http://schemas.openxmlformats.org/drawingml/2006/picture">
                        <pic:nvPicPr>
                          <pic:cNvPr id="133" name="AutoShape_8_SpCnt_126"/>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2" name="AutoShape_8_SpCnt_127"/>
                  <wp:cNvGraphicFramePr/>
                  <a:graphic xmlns:a="http://schemas.openxmlformats.org/drawingml/2006/main">
                    <a:graphicData uri="http://schemas.openxmlformats.org/drawingml/2006/picture">
                      <pic:pic xmlns:pic="http://schemas.openxmlformats.org/drawingml/2006/picture">
                        <pic:nvPicPr>
                          <pic:cNvPr id="142" name="AutoShape_8_SpCnt_127"/>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6" name="AutoShape_8_SpCnt_128"/>
                  <wp:cNvGraphicFramePr/>
                  <a:graphic xmlns:a="http://schemas.openxmlformats.org/drawingml/2006/main">
                    <a:graphicData uri="http://schemas.openxmlformats.org/drawingml/2006/picture">
                      <pic:pic xmlns:pic="http://schemas.openxmlformats.org/drawingml/2006/picture">
                        <pic:nvPicPr>
                          <pic:cNvPr id="146" name="AutoShape_8_SpCnt_128"/>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6" name="AutoShape_8_SpCnt_129"/>
                  <wp:cNvGraphicFramePr/>
                  <a:graphic xmlns:a="http://schemas.openxmlformats.org/drawingml/2006/main">
                    <a:graphicData uri="http://schemas.openxmlformats.org/drawingml/2006/picture">
                      <pic:pic xmlns:pic="http://schemas.openxmlformats.org/drawingml/2006/picture">
                        <pic:nvPicPr>
                          <pic:cNvPr id="136" name="AutoShape_8_SpCnt_129"/>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7" name="AutoShape_8_SpCnt_130"/>
                  <wp:cNvGraphicFramePr/>
                  <a:graphic xmlns:a="http://schemas.openxmlformats.org/drawingml/2006/main">
                    <a:graphicData uri="http://schemas.openxmlformats.org/drawingml/2006/picture">
                      <pic:pic xmlns:pic="http://schemas.openxmlformats.org/drawingml/2006/picture">
                        <pic:nvPicPr>
                          <pic:cNvPr id="137" name="AutoShape_8_SpCnt_130"/>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5" name="AutoShape_8_SpCnt_131"/>
                  <wp:cNvGraphicFramePr/>
                  <a:graphic xmlns:a="http://schemas.openxmlformats.org/drawingml/2006/main">
                    <a:graphicData uri="http://schemas.openxmlformats.org/drawingml/2006/picture">
                      <pic:pic xmlns:pic="http://schemas.openxmlformats.org/drawingml/2006/picture">
                        <pic:nvPicPr>
                          <pic:cNvPr id="145" name="AutoShape_8_SpCnt_131"/>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53" name="AutoShape_8_SpCnt_132"/>
                  <wp:cNvGraphicFramePr/>
                  <a:graphic xmlns:a="http://schemas.openxmlformats.org/drawingml/2006/main">
                    <a:graphicData uri="http://schemas.openxmlformats.org/drawingml/2006/picture">
                      <pic:pic xmlns:pic="http://schemas.openxmlformats.org/drawingml/2006/picture">
                        <pic:nvPicPr>
                          <pic:cNvPr id="153" name="AutoShape_8_SpCnt_132"/>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39" name="AutoShape_8_SpCnt_133"/>
                  <wp:cNvGraphicFramePr/>
                  <a:graphic xmlns:a="http://schemas.openxmlformats.org/drawingml/2006/main">
                    <a:graphicData uri="http://schemas.openxmlformats.org/drawingml/2006/picture">
                      <pic:pic xmlns:pic="http://schemas.openxmlformats.org/drawingml/2006/picture">
                        <pic:nvPicPr>
                          <pic:cNvPr id="139" name="AutoShape_8_SpCnt_133"/>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656590</wp:posOffset>
                  </wp:positionH>
                  <wp:positionV relativeFrom="paragraph">
                    <wp:posOffset>0</wp:posOffset>
                  </wp:positionV>
                  <wp:extent cx="361315" cy="304800"/>
                  <wp:effectExtent l="0" t="0" r="0" b="0"/>
                  <wp:wrapNone/>
                  <wp:docPr id="147" name="AutoShape_8_SpCnt_134"/>
                  <wp:cNvGraphicFramePr/>
                  <a:graphic xmlns:a="http://schemas.openxmlformats.org/drawingml/2006/main">
                    <a:graphicData uri="http://schemas.openxmlformats.org/drawingml/2006/picture">
                      <pic:pic xmlns:pic="http://schemas.openxmlformats.org/drawingml/2006/picture">
                        <pic:nvPicPr>
                          <pic:cNvPr id="147" name="AutoShape_8_SpCnt_134"/>
                          <pic:cNvPicPr/>
                        </pic:nvPicPr>
                        <pic:blipFill>
                          <a:blip r:embed="rId15"/>
                          <a:stretch>
                            <a:fillRect/>
                          </a:stretch>
                        </pic:blipFill>
                        <pic:spPr>
                          <a:xfrm>
                            <a:off x="0" y="0"/>
                            <a:ext cx="361315"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模拟调音台</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5CAE4A2C">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1、8路输入通道结构，8路平衡式话筒输入，2 组母线输出，1组AUX辅助输出；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2、高品质，低噪音的话筒输入；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3、低噪音的前置放大，具有强大的抗干扰能力；</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4、话筒提供优质的+48V幻像电电源；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5、1组AUX辅助输出AUX1为推子前；</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6、2TK录音输入，输出莲花接口；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7、内置16种混响延时效果器，数字显示效果种类；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8、高精度三色精确电平柱，准确显示输出电平；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9、电路板采用双面SMT贴片技术，使用性能稳定；</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10、内置净化开关电源，电压范围：交流90V- 240V；</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6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95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AF6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D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C4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49" name="AutoShape_8_SpCnt_135"/>
                  <wp:cNvGraphicFramePr/>
                  <a:graphic xmlns:a="http://schemas.openxmlformats.org/drawingml/2006/main">
                    <a:graphicData uri="http://schemas.openxmlformats.org/drawingml/2006/picture">
                      <pic:pic xmlns:pic="http://schemas.openxmlformats.org/drawingml/2006/picture">
                        <pic:nvPicPr>
                          <pic:cNvPr id="149" name="AutoShape_8_SpCnt_135"/>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数字调音台</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35AAAE7B">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1、面板锁支持两重设置：指纹识别及密码输入双重保护;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2、XLR输出（平衡式）8个自定义XLR输出，L/R +4个单总线+4个立体声总线；1）麦克风输入16个输入（平衡输入），麦克风连接器16个卡侬包含4个COMBO卡侬输入；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3、16段高精度主输出电平表，9个100MM行程的优质电动滑杆电位器；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4、采用第四代工业级浮点SHARC处理器，24bits/192kHZAD/DA；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5、6个内置的效果器模块，2个调制，2个延时和2个混响；</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6、10.1寸1280*800像素高清IPS触摸屏，1个扩展插槽，可选配USB DANTE和AES/EBU等多种模块；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7、RS232支持中控系统接入，支持IPAD远程遥控，支持中文操作系统；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8、支持MP3 AAC WAV FLAC APE等格式的音源播放；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9、支持8组面板物理按键一键场景调用，方便快捷;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10、耳机输出TRSjiack直插，耳机输出阻抗100Ω，最大输出电平+22dBu；</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11、数字1/0 AES/EBU输入和输出，USB立体声播放和录音；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12、USB最大支持内存32GB.</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F4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DE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4AA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7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DB6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56" name="AutoShape_8_SpCnt_136"/>
                  <wp:cNvGraphicFramePr/>
                  <a:graphic xmlns:a="http://schemas.openxmlformats.org/drawingml/2006/main">
                    <a:graphicData uri="http://schemas.openxmlformats.org/drawingml/2006/picture">
                      <pic:pic xmlns:pic="http://schemas.openxmlformats.org/drawingml/2006/picture">
                        <pic:nvPicPr>
                          <pic:cNvPr id="156" name="AutoShape_8_SpCnt_136"/>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一拖四无线会议话筒</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EDD84CF">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1、具有数字导频功能,彻底杜绝干扰和窜频现象;音频信号处理功能，采用自动增益控制（AGC）或者手动 MCU 增益设置，音量调节功能，可增加拾音距离;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2、采用30级电子音量控制;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3、使用极佳的心型指向头;</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4、80组可选频点，抗干扰能力强;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5、频率范围：690-700MHz;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6、使用电源适配器电压：DC12V;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7、调制方式：数字调制;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8、无线接口：SMA接口/50欧;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9、信道间隔：500KHz;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10、灵敏度：&gt;-106dBM;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11、频率稳定度：士0、001%;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12、最大输出电平：-6dBV：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13、天线方式：内置天线;</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14、频率响应：30Hz-20KHz土2dB;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15、发射功率：+10dBM;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16、信噪比：&gt;86dB;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17、使用电源电压：3、7V 1200mAh锂电池;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18、失真率：&lt;0、5%;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19、连续使用时间不低于：6小时。</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B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C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15F7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C5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A4C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真分集一拖二头戴无线麦克风</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40D26C89">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1、接收机频率范围：740—800MHz；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2、可调信道数：100X2=200；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3、震荡方式：锁相环（PLL)频率合成；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4、频率稳定性：±10ppm；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5、接收方式：超外差二次变频；</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6、分集类型：双调谐眞分集自动选讯；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7、接收灵敏度：-95dBm；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8、音频频响：40--18KHz；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9、失真度：≤0.5%；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10、信噪比：≥110dB；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11、音频输出：平衡输出和不平衡输出；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12、电源规格：110-240V-12V 50-60Hz（开关电源适配器）；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13、发射机频率范围：740—800MHz；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14、调频射频功率：10--30mW；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15、电池寿命：8—15小时。</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3E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6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5A11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D9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23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57" name="AutoShape_8_SpCnt_137"/>
                  <wp:cNvGraphicFramePr/>
                  <a:graphic xmlns:a="http://schemas.openxmlformats.org/drawingml/2006/main">
                    <a:graphicData uri="http://schemas.openxmlformats.org/drawingml/2006/picture">
                      <pic:pic xmlns:pic="http://schemas.openxmlformats.org/drawingml/2006/picture">
                        <pic:nvPicPr>
                          <pic:cNvPr id="157" name="AutoShape_8_SpCnt_137"/>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天线放大器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083FC474">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1、32级可调的射频信号电平，用于优化使用不同线缆的接收效率；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2、链接输出，可链接8台无线接收机组成大型系统；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3、RF电平过载LED，及时监察射频信号的质量；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4、高清LCD显示；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5、机器码记录可调；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6、面板锁键功能防止演出失误操作。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9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E52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B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1FA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数字反馈抑制器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45DDF122">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1、输出阻抗：平衡&gt;120Ω,不平衡&gt;60Ω；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2、最大输出电平：+20dBu；</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3、频率响应：20Hz-20KHz,±0.3db；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4、模拟输入：2CH-XLR和1/4“TRS(母)输入,电子平衡/不平衡；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5、输入阻抗：平衡47Ω,不平衡20KΩ；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6、最大线路电平输入：+18dBu；</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7、模拟输出:2CH-XLR和1/4“TRS(母)输入,电子平衡/不平衡；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8、工作电压：110V/220V/AC 50Hz/60Hz；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9、2.1寸TFT彩屏，中英文可选；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10、配有专业的PC调试软件，USB免驱动即插即用，方便快捷；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11、反馈加移频设计方案，移频4档可选；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12、每通道设12个陷波器,工作频率20-20KHZ，自动扫描啸叫点并抑制；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13、独特的噪声门功能可抑制系统微弱噪声干扰；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14、输入压缩功能，消除反馈同时更可扩展人声动态；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15、响应时间快中慢3速可定。</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76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7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4ED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6"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6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11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155" name="AutoShape_8_SpCnt_138"/>
                  <wp:cNvGraphicFramePr/>
                  <a:graphic xmlns:a="http://schemas.openxmlformats.org/drawingml/2006/main">
                    <a:graphicData uri="http://schemas.openxmlformats.org/drawingml/2006/picture">
                      <pic:pic xmlns:pic="http://schemas.openxmlformats.org/drawingml/2006/picture">
                        <pic:nvPicPr>
                          <pic:cNvPr id="155" name="AutoShape_8_SpCnt_138"/>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数字音频处理器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249D6FFC">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1、★2寸中文彩屏、中英文可切换；（提供截图佐证，并提供带有CNAS标志及厂商公章的第三方权威机构检测报告扫描件证实此项功能）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2、96KHz采样频率，32-bit DSP处理器，24-bit A/D及D/A转换；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3、支持WiFi无线连接，并配有USB及RS232接口连接电脑，让调试更方便和简洁；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4、输入和输出每路均设有6段独立参量均衡（调节增益范围可达±20dB），每路均有延时、极性及静音设置，延时最长可达1000ms；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5、输出通道的均衡调节设有Lo-shelf、Hi-shelf两种模式，还可控制增益、压限及输入通道信号的选择功能；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6、可变高/低通虑波器的斜率可设置为12dB,18dB,24dB或48dB每倍频程；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7、特设通道参数拷贝功能；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8、可存储20组用户程序，支持RS232,RS485中控协议；USB免驱动、支持APP调试；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9、混合每个输出通道可单独选择不同的输入通道，也可以选择输入通道的任意组合；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10、延时每个输入通道有单独延时控制，调节范围0-1000ms。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3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3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BD4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FD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50" name="AutoShape_8_SpCnt_139"/>
                  <wp:cNvGraphicFramePr/>
                  <a:graphic xmlns:a="http://schemas.openxmlformats.org/drawingml/2006/main">
                    <a:graphicData uri="http://schemas.openxmlformats.org/drawingml/2006/picture">
                      <pic:pic xmlns:pic="http://schemas.openxmlformats.org/drawingml/2006/picture">
                        <pic:nvPicPr>
                          <pic:cNvPr id="50" name="AutoShape_8_SpCnt_139"/>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0840" cy="304800"/>
                  <wp:effectExtent l="0" t="0" r="0" b="0"/>
                  <wp:wrapNone/>
                  <wp:docPr id="55" name="AutoShape_8_SpCnt_140"/>
                  <wp:cNvGraphicFramePr/>
                  <a:graphic xmlns:a="http://schemas.openxmlformats.org/drawingml/2006/main">
                    <a:graphicData uri="http://schemas.openxmlformats.org/drawingml/2006/picture">
                      <pic:pic xmlns:pic="http://schemas.openxmlformats.org/drawingml/2006/picture">
                        <pic:nvPicPr>
                          <pic:cNvPr id="55" name="AutoShape_8_SpCnt_140"/>
                          <pic:cNvPicPr/>
                        </pic:nvPicPr>
                        <pic:blipFill>
                          <a:blip r:embed="rId13"/>
                          <a:stretch>
                            <a:fillRect/>
                          </a:stretch>
                        </pic:blipFill>
                        <pic:spPr>
                          <a:xfrm>
                            <a:off x="0" y="0"/>
                            <a:ext cx="37084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智能网络电源管理器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top"/>
          </w:tcPr>
          <w:p w14:paraId="5841C30C">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1、额定输出电压：AC100V-240V、50-60HZ；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2、单路额定输出电流：13A；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3、额定总输出电流：30A；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4、10路输出可控制电源，可自由设置延时开启和关闭时间，带独立滤波隔离器；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5、★双2寸彩色液晶屏显示，可实时显示当前电流、电压、日期、时间、每路开关状态；（提供截图佐证，并提供带有CNAS标志及厂商公章的第三方权威机构检测报告扫描件证实此项功能）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配置RS232串口；支持RJ45，可实现跨网段（局域网）进行远程控制，每台设备对接网端，在设备上可设定固定的IP地址，可在集中控制中心通过一台电脑PC端预设设备固定IP地址，实现控制开关机模式调用，每个ID名称可自定义（16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7、自带ID设置和检测；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8、支持多台设备级联控制，级联状态可自动检测及设置，并设有触发功能；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9、欠压、超压、过流检测及报警；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10、内置时钟芯片，定时设置自动开关机；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11、支持延时断电保护功能；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12、支持Android,IOS及Windows操作系统无线控制调试，实现一键开关机及模式调用。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C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7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10E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F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391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智慧互动大屏</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18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1、尺寸：75英寸</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2、OPS电脑配置不低于(I5/8G/256G)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3、显示屏：4K高清</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4、支持Android 8、0及以上版本</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5、无线投屏，一键切换，回传互控，红外触摸，20点触控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6、内置WIFI支持双路，6路麦克风，1300万像素摄像头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A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8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6B9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B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C3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液晶显示单元</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6D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1、显示尺寸：55 inch；</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2、物理拼缝：3.5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3、分辨率：1920*1080；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4、屏幕宽高比16：9；</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5、亮度500CD/㎡；</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6、对比度4500：1；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7、可视角度178°；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8、工作温度：0℃-50℃；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9、工作湿度：20%-80%；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10、工作寿命：不低于6万小时；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11、供电电源：AC100-240V。</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A4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1E9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5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06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模块化底座</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D7D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1、配置：无左右上封板；前开门/前封板，后留空；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2、材质：优质冷轧钢板(SPCC)，材料厚度从T1.0-T5不等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3、表面处理：静电喷塑，涂层厚度&gt;60微米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4、弧度：0°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5、适用规模：不宜超过4行；不超过5行。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74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DD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71CE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C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A1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模块化框架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D7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1、配置：无左右上封板；前开门/前封板，后留空；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2、材质：优质冷轧钢板(SPCC)，材料厚度从T1.0-T5不等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3、表面处理：静电喷塑，涂层厚度&gt;60微米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4、弧度：0°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5、适用规模：不宜超过4行；不超过5行。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33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9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13F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9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DD8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高清解码器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FB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1、支持电脑、视频会议终端等视频输入信号源，支持2路1080P@50/60 或1路4K@30，通过HDMI 1.4本地输入，HDMI可内嵌音频；</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2、支持HDMI 1.4视频信号输出，支持4K分辨率（3840 × 2160@30 Hz）超高清输出，输出采用帧同步技术，保证所有输出口的图像完全同步；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3、支持两种音频输出方式：HDMI内嵌音频和外置音频输出；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4、采用H.264/H.265编码标准，默认采用H.265，支持子码流及主码流编码；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5、支持网络设备解码，支持H.264、H.265、Smart264、Smart265、MJPEG、HIK264等主流码流格式，支持PS、TS、ES、RTP等主流封装格式，支持子码流及主码流切换；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6、最大支持3200w分辨率解码，具有96个解码通道，支持96路200W视频同时解码上墙。</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96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E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37C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1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A9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网络综合管理平台</w:t>
            </w:r>
          </w:p>
        </w:tc>
        <w:tc>
          <w:tcPr>
            <w:tcW w:w="7029" w:type="dxa"/>
            <w:tcBorders>
              <w:top w:val="single" w:color="000000" w:sz="4" w:space="0"/>
              <w:left w:val="single" w:color="000000" w:sz="4" w:space="0"/>
              <w:bottom w:val="nil"/>
              <w:right w:val="single" w:color="000000" w:sz="4" w:space="0"/>
            </w:tcBorders>
            <w:shd w:val="clear" w:color="auto" w:fill="auto"/>
            <w:vAlign w:val="center"/>
          </w:tcPr>
          <w:p w14:paraId="0CDF92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二、三层网络拓扑发现能力，并通过拓扑图进行自动的布局呈现，可根据用户需求自定义拓扑图来呈现所关注的设备情况；提供准确的定位查询功能，提供完整的设备列表，允许用户按照自己的需要对设备进行分组呈现和自定义呈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通过SNMP协议对设备进行设备信息提取和监控，被监控设备首先需要打开SNMP协议，可监控内容包括：CPU监控：设备CPU运行率监控；内存监控：设备内存当前使用率监控；设备端口监控：端口流量速率监控；设备通断监控：通过SNMP或PING检测服务器是否正常工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网络配置管理平台对于网络中无线AP、AC、POE交换机、汇聚交换机等相关设备进行管理，提供上述设备的告警信息，设备上下线、设备状态告警、设备终端或者流量告警等，并可推送至维护人员、终端接入数量统计、设备流入流出流量统计等多种网络管理资源，同时上述网络资源能够通过多种视图进行呈现，便于管理员维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配置安全认证组件，实现对用户网络准入的认证接入，支持通过固定账号、短信或MAC地址绑定等多种认证方式接入；支持终端登录一次后，一定期限内的无感知连接；支持某些终端登录一次后，非主动退出的持续连接；支持访客通过短信认证方式接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5、支持提供安全日志数据的存储，包括会话日志、URL日志、DNS日志、流量日志、IPS日志、AV日志、流量报表数据、URL访问数据等，存储时长不少于180天；</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6、实配支持每天终端接入数授权≥2000，支持累加；实配支持设备管理许可授权≥200，支持累加。</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A6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9C7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5E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93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无线控制器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196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1、支持并实配千兆电口≥8个，千兆光口≥2个，USB口≥1个；支持最大管理AP数量≥1024个，实配AP授权不少于600个；</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2、支持IPv4/IPv6 DHCPv4/DHCPv6 Server和Client 策略路由、静态路由；</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3、支持基于AP、SSID、用户的带宽限制，上下行流量可以分别控制；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4、支持MAC地址、Portal认证、802.1x认证；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5、支持设置静态反制列表、敏感SSID列表等，提升对非法无线设备反制的精准度，可主动配置选择反制类型，如钓鱼设备、疑似钓鱼设备、静态反制设备及其他未分类设备；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6、支持对周围无线信号进行扫描检测和反制，可统计呈现AP、ADHOC、网桥、STA等潜在非法设备的BSSID、设备类型、反制类型、信道、SSID、发现时间等信息。</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E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E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07F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E7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C9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下一代防火墙</w:t>
            </w:r>
          </w:p>
        </w:tc>
        <w:tc>
          <w:tcPr>
            <w:tcW w:w="7029" w:type="dxa"/>
            <w:tcBorders>
              <w:top w:val="single" w:color="000000" w:sz="4" w:space="0"/>
              <w:left w:val="single" w:color="000000" w:sz="4" w:space="0"/>
              <w:bottom w:val="nil"/>
              <w:right w:val="single" w:color="000000" w:sz="4" w:space="0"/>
            </w:tcBorders>
            <w:shd w:val="clear" w:color="auto" w:fill="FFFFFF"/>
            <w:vAlign w:val="center"/>
          </w:tcPr>
          <w:p w14:paraId="13C2E3B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1、★1U机箱；千兆电口≥8个；千兆光口≥2个；万兆光口≥2个；支持并实配冗余电源；实配不少于3年特征库授权；（需提供产品彩页或官网截图）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2、最大吞吐量≥10 Gbps；最大并发连接数≥200万；每秒新建连接数≥5万；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3、支持静态路由、策略路由、RIP v1/v2/ng、OSPFv2/v3、BGP4/4+协议；支持策略路由，可根据应用进行智能选路，支持源地址+目的地址、源地址、目的地址、时延、链路带宽、跳数等方式实现路由负载均衡；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4、本地病毒库规模不少于3000+万；支持对HTTP、FTP、POP3、SMTP、IMAP、SMB协议进行病毒查杀；</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5、支持HTTP、IMAP、SMTP、POP3、FTP、SMB、OTHER_APP等应用协议的漏洞防护；产品的漏洞防护特征库包含知名的高危漏洞特征，并能查询详细信息。</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7D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5F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3810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3F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出口安全网关</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C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1、支持并实配千兆电口≥16个、千兆光口≥4个、万兆光口≥4个，支持扩展槽扩展；实配模块化冗余电源；实配不少于3年的特征库授权；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2、内存≥8G，FLASH卡或内置SSD≥8GB；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3、整机吞吐≥10Gbps；最大并发500万； HTTP新建连接≥5万/秒；</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网关模式，支持NAT、路由转发、DHCP等功能；支持网桥模式，以透明方式串接在网络中，支持多组桥、多口桥；支持旁路模式，单接口监听交换机镜像流量，无需更改网络配置，实现上网行为审计，支持旁路和串行混合部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5、支持静态路由、策略路由、ISP路由、OSPF、BGP；支持NAT66，NAT64，NAT46；支持标准IPSEC VPN对接；支持国密算法：SM2、SM4、SM3；</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6、支持虚拟路由转发功能；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7、支持端口镜像功能，支持入流量、出流量和双向流量等维度镜像；支持IPv6隧道、支持ISATAP、支持6TO4隧道；</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8、支持在设备旁路部署时针对内网上网用户进行实名身份认证，旁路认证方式包括但不限于本地WEB认证、Portal Server认证、短信认证、免认证、混合认证、单点登录等。</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C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5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920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B1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70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核心交换机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34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1、★业务槽位≥4，支持并实配双主控、模块化双电源；实配千兆电接口≥24个、千兆SFP光接口≥24个、万兆 SFP+光接口≥20个；（需提供产品彩页或官网截图）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2、交换容量≥384Tbps；包转发率≥118000Mpps；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3、支持4K个VLAN，支持基于端口、MAC、IP子网、协议的VLAN；支持STP/RSTP/MSTP；支持端口负载均衡、支持LACP，每链路聚合组支持8个端口；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4、支持静态路由、RIP、OSPF、BGP等动态路由协议；支持VRRP，支持BFD for VRRP/Static/RIP/OSPF等；支持Local认证，Radius，AAA、802.1x认证；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5、支持CPU 保护功能，如ICMP Flood拦截、SYN Flood攻击拦截等，CPU根据不同协议进行限速保护；支持MSTP协议国密算法加密；RIP、OSPF协议支持国密认证算法；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6、支持SP、WDRR、SP+WDRR、SP、WRR等队列技术，支持RED、WRED等拥塞避免控制，端口限速的粒度≤8K；</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7、提供入网许可证。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E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3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391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2C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B0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汇聚交换机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80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1、★万兆SFP+光接口≥24个，40G QSFP光接口≥2个；支持并实配模块化冗余电源；单台实配万兆单模光模块≥2；（需提供产品彩页或官网截图）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2、交换容量≥4.8Tbps；包转发率≥1620Mpps；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3、支持4K个VLAN，支持基于端口、MAC、IP子网、协议的VLAN；支持STP/RSTP/MSTP；支持端口负载均衡、支持LACP，每链路聚合组支持8个端口；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4、支持静态路由、RIP、OSPF、BGP等动态路由协议；支持VRRP，支持BFD for VRRP/Static/RIP/OSPF等；支持Local认证，Radius，AAA、802.1x认证；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5、支持CPU 保护功能，如ICMP Flood拦截、SYN Flood攻击拦截等，CPU根据不同协议进行限速保护；支持MSTP协议国密算法加密；RIP、OSPF协议支持国密认证算法；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6、支持横向虚拟化、纵向虚拟化；</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7、支持标准、扩展ACL，基于MAC的ACL、基于时间ACL等；支持SP、WDRR、SP+WDRR等队列技术，支持WRED等拥塞控制；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8、提供入网许可证。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5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9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339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7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B8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放装式AP</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D7C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1、千兆电口≥2个；USB口≥1个；支持802.3af/at受电；</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2、射频数量≥2个，每路射频支持WiFi6；内置天线≥4；MIMO:整机4条空间流；支持802.11a/b/g/n/ac/ax，支持HT20/HT40/HT80/HT160带宽；传输速率: 整机最大2.975Gbps;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3、可同时支持集中转发、本地转发；SSID数量≥32；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4、支持AC宕机后，AP可持续工作，保证老用户正常在线的同时，允许新用户终端采用原有认证方式进行接入；支持AC宕机后AP意外重启后也不影响用户认证接入，提高无线网络的可用性；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单AP实现内外网硬件隔离：AP采用2.4GHz和5GHz射频芯片硬件独立设计，且可映射对应两个上行千兆电口分别接内外网上行接入交换机，无线射频根据上行网络进行隔离，实现两个频段分别满足内外网无线应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6、瘦AP模式下支持页面配置导航功能，可在导航页面上配置IP地址、AC发现方式与AC地址、桥模式和NAT模式、LAN和WAN等接口配置。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8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347</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64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C10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3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DF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入墙式AP</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4F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1、千兆上行电口≥1个，千兆下行电口≥4个；嵌入86暗盒进行安装；</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2、射频数量≥2个，每路射频支持WiFi6；传输速率: 整机最大2.975Gbps;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3、AP采用2.4GHz和5GHz射频芯片硬件独立设计，且可映射对应两个上行千兆电口分别接内外网上行接入交换机，无线射频根据上行网络进行隔离，实现两个频段分别满足内外网无线应用；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4、瘦AP模式下，可配合AC实现接入终端类型的识别，识别终端操作系统类型不得少于8种，并且可根据终端类型实现访问控制策略下发；</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5、瘦AP模式下支持页面配置导航功能，可在导航页面上配置IP地址、AC发现方式与AC地址、桥模式和NAT模式、LAN和WAN等接口配置。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11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4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350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3F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01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24口接入交换机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6A2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1、10/100/1000Base-T电接口≥24个，万兆SFP+光口≥4个；单台实配万兆多模光模块≥2；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2、交换容量≥336Gbps；包转发率≥95Mpps；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3、支持4K个VLAN，支持基于MAC、IP子网的VLAN；支持端口的负载均衡、支持LACP，每个链路聚合组最少支持8个成员端口；支持IGMP、IGMP Snooping；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4、支持静态路由协议；支持STP/RSTP/MSTP；支持标准、扩展ACL，基于MAC的ACL、基于时间的ACL等；支持IP+MAC+端口的绑定，支持SP、WRR、SP+WRR、DWRR、SDWRR等队列技术；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5、支持横向虚拟化功能，支持并实配M-LAG功能；支持Local认证，Radius、Tacacs+、AAA、802.1x认证；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6、提供入网许可证。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3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33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3C8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1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AD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48口接入交换机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A0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1、10/100/1000Base-T电接口≥48个，万兆SFP+光口≥4个；单台实配万兆多模光模块≥2；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2、交换容量≥336Gbps；包转发率≥160Mpps；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3、支持4K个VLAN，支持基于MAC、IP子网的VLAN；支持端口的负载均衡、支持LACP，每个链路聚合组最少支持8个成员端口；支持IGMP、IGMP Snooping；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4、支持静态路由协议；支持STP/RSTP/MSTP；支持标准、扩展ACL，基于MAC的ACL、基于时间的ACL等；支持IP+MAC+端口的绑定，支持SP、WRR、SP+WRR、DWRR、SDWRR等队列技术；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5、支持横向虚拟化功能，支持并实配M-LAG功能；支持Local认证，Radius、Tacacs+、AAA、802.1x认证；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6、提供入网许可证。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F3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7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C8E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B1E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24口POE交换机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4E4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1、10/100/1000Base-T电接口≥24个，万兆SFP+光口≥4个；所有电口支持POE/POE+供电(802.3 af、at)；单台实配万兆多模光模块≥2；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2、交换容量≥336Gbps；包转发率≥95Mpps；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3、支持4K个VLAN，支持基于MAC、IP子网的VLAN；支持端口的负载均衡、支持LACP，每个链路聚合组最少支持8个成员端口；支持IGMP、IGMP Snooping；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4、支持静态路由协议；支持STP/RSTP/MSTP；支持标准、扩展ACL，基于MAC的ACL、基于时间的ACL等；支持IP+MAC+端口的绑定，支持SP、WRR、SP+WRR、DWRR、SDWRR等队列技术；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5、支持横向虚拟化功能，支持并实配M-LAG功能；支持Local认证，Radius、Tacacs+、AAA、802.1x认证；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6、提供入网许可证。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28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B37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6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48口POE交换机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26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1、10/100/1000Base-T电接口≥48个，万兆SFP+光口≥4个；所有电口支持POE/POE+供电(802.3 af、at)；单台实配万兆多模光模块≥2；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2、交换容量≥336Gbps；包转发率≥160Mpps；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3、支持4K个VLAN，支持基于MAC、IP子网的VLAN；支持端口的负载均衡、支持LACP，每个链路聚合组最少支持8个成员端口；支持IGMP、IGMP Snooping；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4、支持静态路由协议；支持STP/RSTP/MSTP；支持标准、扩展ACL，基于MAC的ACL、基于时间的ACL等；支持IP+MAC+端口的绑定，支持SP、WRR、SP+WRR、DWRR、SDWRR等队列技术；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5、支持横向虚拟化功能，支持并实配M-LAG功能；支持Local认证，Radius、Tacacs+、AAA、802.1x认证；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6、提供入网许可证。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0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0D5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E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F90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可视化运维管理平台</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CF5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1、可管理资源授权数≥100 网元。可管理包括网络设备、服务器、数据库、中间件、服务资源、网页资源、安全设备，支持设备IPV6通信协议管理，并支持SNMPV3协议管理设备。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2、采用B/S架构，Java开放式平台，平台无需flash插件便可随时访问，可搭载任意关系型数据库。支持多种部署方式，支持邮件告警、微信告警、钉钉告警等多种告警方式。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3、系统支持系统操作日志的记录，记录设备管理用户登录设备成功或失败信息，包括登录名、登录结果（失败原因），登录时间，日志类型等，日志可以导出到Excel表格中。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4、服务器硬件管理监控，主板、CPU、内存、系统磁盘、风扇状态、电源状态、网卡状态等硬件监控。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5、系统能够对符合SNMP标准协议的交换机、路由器、防火墙、均衡负载等网络设备进行监控。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系统能够支持监控：网页服务、邮件服务、文件服务、DNS服务等，监控响应时间、状态码、服务健康度、可用率、日志分析，服务应用运行情况监控以及服务管理等内容监控，折线图形式展示服务响应时间的趋势图，加强了对服务战略决策的分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系统能够对各监测指标偶然产生的波动可自动进行判断，避免误报事件，告警敏感度的设置可以精确到每个不同的指标。系统能够分时对不同的异常和告警生成过滤条件并进行过滤，可以精确到每天的不同时间以及不同的异常判断和不同的告警判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提供系统报表功能，需要记录设备日报、周报、月报、年报表，支持多设备多指标分析，用户可以对多个设备的多个指标在指定的同一个时间段内进行对比分析，给用户提供多角度数据分析参考，并可将分析数据导出到Excel。报表支持多种格式导出，如PDF、EXCEL等，协助运维人员做策略的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9、可以实时统计分析每次轮询数据、30分钟统计、2小时统计、日统计等多种实时统计和数据保存。</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C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1498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2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8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一体化柜主控柜</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8FF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1、全面玻璃门一体柜；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2、尺寸不小于600*1200*2000mm；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3、黑色哑光前玻璃后钣金单开密闭门，含脚轮支撑脚，40套螺丝螺母，两块PDU安装板，不含侧板；</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4、前后密闭冷热通道，前门开10寸控制屏，前后门采用机械锁控制。</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06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D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898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C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BCB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一体化柜IT柜</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9B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1、全面玻璃门一体柜；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2、尺寸不小于600*1200*2000mm；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3、黑色哑光前玻璃后钣金单开密闭门，含脚轮支撑脚 ，40套螺丝螺母，两块PDU安装板，不含侧板；</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4、前后密闭冷热通道，前后门采用机械锁控制。</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BA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86F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8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438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机柜侧板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580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1、适用1200*2000mm一体化机柜。</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76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6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w:t>
            </w:r>
          </w:p>
        </w:tc>
      </w:tr>
      <w:tr w14:paraId="38CA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9FC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带孔侧板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EB1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1、适用1200*2000mm一体化机柜。</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27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A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w:t>
            </w:r>
          </w:p>
        </w:tc>
      </w:tr>
      <w:tr w14:paraId="70CB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6C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5B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带耳层板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50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1、适用于1200mm深柜子，承重不低于60kg。</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CC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94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r>
      <w:tr w14:paraId="6190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9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CBF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层板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8C0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1、适用于1200mm深柜子，承重不低于150kg。</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7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C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r>
      <w:tr w14:paraId="1185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00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81B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毛刷理线架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66E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1、用于机柜横向理线，1U高度，带毛刷。</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5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53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5825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2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0D4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塑料盲板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30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1、ABS塑胶盲板，1U高度，快拆结构，用于机柜气流遏制。</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3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87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57BA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3A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BB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20口PDU</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09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1、1.5U黑色，16位10A国标+4位16A国标+指示灯+32A接线盒，左侧装。</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F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4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r>
      <w:tr w14:paraId="7721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0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94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20口PDU</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BC6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1、1.5U黑色，16位10A国标+4位16A国标+指示灯+32A接线盒，右侧装。</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BD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3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r>
      <w:tr w14:paraId="5DA6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3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A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照明</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89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1、5WLED节能一体化灯，220V供电。</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E1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86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3AE6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AA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CB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氛围灯</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C2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1、双色氛围。蓝色+红色，常规显示蓝色，故障或报警时显示红色。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2、含两根灯管，前门两侧成对安装。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0B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13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w:t>
            </w:r>
          </w:p>
        </w:tc>
      </w:tr>
      <w:tr w14:paraId="3303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1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C05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H型线槽</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DF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1、钣金结构，厚度1.2mm，用于600mm宽机柜，高度100mm，长度600mm，三个槽道，单个槽道空间170mm。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E6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8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3B5A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0D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04D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线材包</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9C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1、机柜间连接线，含照明、门磁PDU等设备的线缆以及机柜间的跨接线。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1A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9B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5F04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3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2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配电箱</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89B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1、1路市电总输入225A/3P；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2、1路市电输出160A/3P，（多联机主机柜输入）；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3、10路市电输出32A/3P,（备用）；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4、9路市电输出16A/1P，（用于墙插、照明等备用）；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5、配置B级防雷模块，零、地接线铜排；</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6、安装方式：壁挂。</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79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659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4D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87B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40K配电输入模块</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6F7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1、7U机架式配电模块；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2、空调:4*32A/1P;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3、UPS：1*800A/3P；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4、照明及应急通风：2*10A/1P；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5、直流12V输出：12V*2；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6、新风控制接口*1；含电源指示灯，C级防雷，主路电量监测，支持RS485通讯。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B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9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C26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0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70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机架式高频机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9B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1、高频机架式40kVA，三进三出，输出功因0.9，LCD液晶屏显示，直流电压384V。</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C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0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A9B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9F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0A8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16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1、规格:12V100AH；</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2、尺寸不小于：407*173*208*232mm；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3、容量不小于：100AH(20HR)。</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E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节</w:t>
            </w:r>
          </w:p>
        </w:tc>
      </w:tr>
      <w:tr w14:paraId="67C3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5A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85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电池连接线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6E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1、16节电池连结线，400mm12根，60mm3根，1000mm1根，1500mm1根，2000mm1根；</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2、规格：10mm2；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3、不含柜外连线。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0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06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421F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97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A3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电池柜及开关箱</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325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1、160A3P直流开关，配套电池支架(柜)使用；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2、尺寸不小于W*H*D 400*500*200mm。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D5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474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4A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1B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机架式空调</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AD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1、单冷型，制冷量12.5kW，风量2300m³/h，变频机架精密空调，含室外机。</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5A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2F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013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6D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空调铜管</w:t>
            </w:r>
          </w:p>
        </w:tc>
        <w:tc>
          <w:tcPr>
            <w:tcW w:w="7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EA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1、含保温棉，每台空调含10米铜管。</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92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72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179B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12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1B4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一体化机柜监控单元</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D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1、监控主机具备10寸的触摸屏，1个RS232，5个RS485串口，并具备5个DI量和2个DO量;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2、可接入漏水，防雷，红外，烟感等传感器。</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C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D8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189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1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AD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一体化机柜智能管理软件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BA7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1、系统支持配电监测、UPS监测、精密空调监测、温湿度监测、漏水监测、门禁监测、消防监测等功能，并预留接口，方便以后功能扩展。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2、监控对象包含：空调、UPS、配电模块、冷温湿度、机柜前后门开关状态、空调漏水监测、烟雾探测等。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3、支持柜内环境、设备运行信息的采集、管理、分析和告警，包括柜内微环境监控、UPS、配电设备监控。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4、监控系统带不小于10英寸彩色触摸屏,镶嵌于机柜正门,能够实时查看UPS、配电、柜内环境量（温湿度、漏水、烟雾）等数据。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5、支持单机版监控，可通过Web界面查看系统运行信息、告警信息，进行参数配置。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6、可提供SNMP北向接口，支持数据查询和告警上报，可接入第三方网管，集中统一监控。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7、可直接通过监控系统设置空调运行的详细参数（送、回风温湿度控制、精度校准等），远程开关机操作。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8、提供告警联动，根据冷通道温度控制应急通风系统的启停，可选与消防系统进行联动。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9、配置门磁传感器，用于监测机柜前后门状态，干接点信号输出，每台机柜配置2对。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4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0747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B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1E7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全网通语音电话短信猫</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BD7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1、短信语音二合一，支持三大运营商，需要用户提供电话卡。</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4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6BB1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D1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DB2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机柜温湿度设备</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74D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1、-20-80℃ (5%-95%)(带磁铁、正面板黑色) LED显示。</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C6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7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198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1B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温湿度监控软件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0F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1、冷热通道配置温湿度传感器，检测冷热通道温湿度状态，并适时提醒。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16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0C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0DC9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90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F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烟雾传感器设备</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36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1、优选，2线制，工作电压12V。</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C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6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091C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25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B90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烟雾传感器监控软件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070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1、热通道配置烟雾传感器，检测机柜烟雾状态，并适时提醒。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B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0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45F7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3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C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声光告警设备</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842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1、DC12V供电，通过干接点控制，音量可调。</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93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F2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04BE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9B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87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声光监控软件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769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1、支持活动告警查询显示、历史告警查询显示，有故障时可发出声光告警，并适时提醒。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D7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1770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8F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E4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门磁传感器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43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1、用于监测机柜前后门状态，干接点信号输出，每台机柜配置2对。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9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F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w:t>
            </w:r>
          </w:p>
        </w:tc>
      </w:tr>
      <w:tr w14:paraId="4794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C7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06C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不定位式漏水检测器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1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1、可调灵敏度；只用在使用水浸绳的情况下，最大监测距离500米；导轨安装。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D8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41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76AD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06C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不定位漏水感应绳</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8B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1、非定位，送胶贴，自带引出线。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B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1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r>
      <w:tr w14:paraId="6BB2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A5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5F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漏水监测软件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A9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1、每台空调配置漏水传感器及漏水感应绳，检测漏水状态，并适时提醒。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4D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A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5B88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4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4E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半球摄像机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F33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1、400万海螺型网络摄像机；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2、最高分辨率可达2560 × 1440 @25 fps；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3、支持用户登录锁定机制，及密码复杂度提示；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4、支持SmartIR，防止夜间红外过曝；</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5、支持背光补偿，强光抑制，3D数字降噪，数字宽动态，适应不同环境；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6、支持ROI感兴趣区域增强编码；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7、支持开放型网络视频接口，ISAPI，SDK，GB28181协议；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8、1个内置麦克风；</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9、采用高效阵列红外灯，使用寿命长，红外照射最远可达30m；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10、符合IP66防尘防水设计，可靠性高。</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D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4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663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D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36A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硬盘录像机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5A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1、3U机架式16盘位嵌入式网络硬盘录像机，采用短机箱设计，搭载高性能ATX电源；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2、存储接口：16个SATA接口，已内置16块10TB硬盘；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3、视频接口：2×HDMI，2×VGA；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4、网络接口：2×RJ45 10/100/1000Mbps自适应以太网口；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5、报警接口：16路报警输入，9路报警输出（其中第9路支持CTRL 12V）；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6、反向供电：1路DC12V 1A；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7、串行接口：1路RS-232接口，1路半双工RS-485接口；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8、USB接口：2×USB 2.0，2×USB 3.0。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FA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32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2BD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3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41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A7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1、企业级硬盘4T容量。</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A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A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r>
      <w:tr w14:paraId="14DC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F6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A9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F0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1、16个10/100/1000M PoE 电口，4个100/1000M SFP口，1个RJ45 Console口；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2、16个电口支持IEEE802.3at标准,最大输出功率240W；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3、交换容量≥40Gbps；包转发率≥30Mbps。</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7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1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652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5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A6F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视频管理集成软件接口</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F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1、集成视频监控图像、实时查看浏览查看视频图像、可调阅历史视频图像。</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F7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0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6124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6"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1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F51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人脸指纹刷卡密码一体机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D4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1、设备外观：采用4.3英寸LCD触摸显示屏，分辨率:480:272,200万像素宽动态，面部识别距离0.3-2m；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2、设备容量：支持1500张人脸白名单，1：N人脸比对时间＜0.2S/人，支持3000枚指纹，3000张卡片，150000条记录；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3、认证方式：支持人脸、指纹、密码二维码及其组合的认证方式；可选读取Mifare卡（IC卡）、CPU卡序列号、身份证序列号；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4、通讯方式：上行通讯为TCP/IP；支持外接RS485，Wiegand副读卡器；基线支持标准韦根26/34/27/35；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5、输入接口：LAN*1、RS485*1、wiegand * 1、USB*1、门磁*1、开门按钮*1；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6、输出接口：电锁*1个，报警输出*1个；</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7、工作电压：DC 12V/1A，不自带电源；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8、使用环境：室内外环境，室外使用必须搭配遮阳罩；</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9、安装方式：壁挂。</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9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4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0B5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38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B46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双门控制器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3D0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1、RJ45输出，出入口管理控制器(双门)由控制主板、显示灯、金属盒、外接RF感应头、红外、门磁、联动输入等功能模块组成；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2、结合非接触感应智能卡独特的安全性、电控门锁、红外、门磁碰等传感器及网络通信，组成智能安全的“出入”控制系统。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53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7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2F90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2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9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双门磁力锁</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B4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1、拉力不小于280kg，DC12V，五线制有门禁状态采集。</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B7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8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r>
      <w:tr w14:paraId="2FA9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C9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67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双门磁力锁支架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6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1、双门磁力锁L型支架。</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93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D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r>
      <w:tr w14:paraId="6B37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8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48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出门按钮</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FF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1、PC材质、明装开关，带夜光指示，86大小，可直接墙面安装，无需挖孔或者预埋底盒，NO常开输出。</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3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4293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29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3E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感应卡</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357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1、国标IC卡。</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9E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3E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w:t>
            </w:r>
          </w:p>
        </w:tc>
      </w:tr>
      <w:tr w14:paraId="3200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4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B7B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门禁箱体</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A1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1、门禁电源箱、AC/DC门禁电源 DC12V5A。</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E9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7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5B5B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1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F2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门禁管理集成软件接口</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08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1、集成门禁进出门记录、门的开关状态、控制门的开关、门禁授权、门禁历史记录查看等。</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F2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A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3FBA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0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9B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工字钢</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05C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1、国标，规格20#a；高腿腰不小于200*100*7mm。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C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2A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4DE2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7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E2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防静电地板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0E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1、国标，尺寸不小于600*600*35mm，全钢PVC防静电地板。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D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5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片</w:t>
            </w:r>
          </w:p>
        </w:tc>
      </w:tr>
      <w:tr w14:paraId="4E34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67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FB56B">
            <w:pPr>
              <w:keepNext w:val="0"/>
              <w:keepLines w:val="0"/>
              <w:widowControl/>
              <w:suppressLineNumbers w:val="0"/>
              <w:jc w:val="left"/>
              <w:textAlignment w:val="center"/>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半球摄像机</w:t>
            </w:r>
          </w:p>
        </w:tc>
        <w:tc>
          <w:tcPr>
            <w:tcW w:w="70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B1B13">
            <w:pPr>
              <w:keepNext w:val="0"/>
              <w:keepLines w:val="0"/>
              <w:widowControl/>
              <w:suppressLineNumbers w:val="0"/>
              <w:jc w:val="left"/>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1、400万海螺型网络摄像机；</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2、★在2560x1440下分辨力可达到1400TVL。（提供公安部出具的检验报告复印件并加盖厂商公章）</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3、支持用户登录锁定机制，及密码复杂度提示；</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4、支持SmartIR，防止夜间红外过曝；</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5、支持背光补偿，强光抑制，3D数字降噪，数字宽动态，适应不同环境；</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6、支持ROI感兴趣区域增强编码；</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7、支持开放型网络视频接口，ISAPI，SDK，GB28181协议；</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8、1个内置麦克风；</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9、★支持红外补光，有效补光距离达到30m。（提供公安部出具的检验报告复印件并加盖厂商公章）</w:t>
            </w:r>
            <w:r>
              <w:rPr>
                <w:rFonts w:hint="eastAsia" w:ascii="等线" w:hAnsi="等线" w:eastAsia="等线" w:cs="等线"/>
                <w:i w:val="0"/>
                <w:iCs w:val="0"/>
                <w:color w:val="auto"/>
                <w:kern w:val="0"/>
                <w:sz w:val="22"/>
                <w:szCs w:val="22"/>
                <w:u w:val="none"/>
                <w:lang w:val="en-US" w:eastAsia="zh-CN" w:bidi="ar"/>
              </w:rPr>
              <w:br w:type="textWrapping"/>
            </w:r>
            <w:r>
              <w:rPr>
                <w:rFonts w:hint="eastAsia" w:ascii="等线" w:hAnsi="等线" w:eastAsia="等线" w:cs="等线"/>
                <w:i w:val="0"/>
                <w:iCs w:val="0"/>
                <w:color w:val="auto"/>
                <w:kern w:val="0"/>
                <w:sz w:val="22"/>
                <w:szCs w:val="22"/>
                <w:u w:val="none"/>
                <w:lang w:val="en-US" w:eastAsia="zh-CN" w:bidi="ar"/>
              </w:rPr>
              <w:t>10、符合IP66防尘防水设计，可靠性高。</w:t>
            </w:r>
          </w:p>
        </w:tc>
        <w:tc>
          <w:tcPr>
            <w:tcW w:w="7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8100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365</w:t>
            </w:r>
          </w:p>
        </w:tc>
        <w:tc>
          <w:tcPr>
            <w:tcW w:w="5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10EE1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台</w:t>
            </w:r>
          </w:p>
        </w:tc>
      </w:tr>
      <w:tr w14:paraId="4459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5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4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网络枪机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D3B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1、400万筒型网络摄像机；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2、★在2560x1440下分辨力可达到1400TVL。（提供公安部出具的检验报告复印件并加盖厂商公章）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3、支持用户登录锁定机制，及密码复杂度提示；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4、支持SmartIR，防止夜间红外过曝；</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5、支持背光补偿，强光抑制，3D数字降噪，数字宽动态，适应不同环境；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6、支持ROI感兴趣区域增强编码；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7、支持开放型网络视频接口，ISAPI，SDK，GB28181协议；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8、1个内置麦克风；</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9、★支持红外补光，有效补光距离达到50m。（提供公安部出具的检验报告复印件并加盖厂商公章）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10、符合IP66防尘防水设计，可靠性高。</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6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E9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9E5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34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991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枪机支架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4A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2、调整角度 水平：360°，垂直：-45°~45°。</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10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37AA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34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3BE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A78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1、采用全景细节倍率拼接设计，实现大光圈大视场角；</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2、全景和细节镜头均采用背照式传感器；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3、支持深度学习区域入侵、人车分类侦测、人脸抓拍等轻智能功能，更好的助力平安校园管理；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4、支持双摄双模：默认单路模式输出倍率拼接画面，可选双路模式输出广角画面+特写画面，可支持画中画展示（需展示端支持）；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5、支持多级变倍功能，广角~24倍光学变倍，16倍数字变倍；</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6、支持区域入侵侦测、越界侦测、进入区域侦测和离开区域侦等智能侦测；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7、支持深度学习算法，提供精准的人车分类侦测、报警；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8、★视频输出支持1920×1080@25fps，分辨力不小于1100TVL，红外距离可达500米。（提供公安部出具的检验报告复印件并加盖厂商公章）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9、支持切换为人脸抓拍模式，最多可同时抓拍5张人脸；</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10、支持超低照度；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11、内置加热玻璃，有效除雾；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12、支持定时任务、一键守望、一键巡航功能。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6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A44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D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999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球机支架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A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1、压铸铝合金材质，表面做喷塑处理；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2、支持球机通过报警输出同支架相连，控制红蓝警戒灯和蜂鸣器，实现警戒震慑功能；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3、支持强光提醒，报警联动红蓝警戒灯提醒，可实现100m红蓝灯指示；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4、支持声音提醒，内置蜂鸣器，可实现警戒音30m 50dB提示；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4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61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3F12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1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DC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监控立杆</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9C3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1、镀锌钢管高度不低于8米，加粗加厚，高承重力。</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8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46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148C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3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AE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综合安防管理平台服务器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A4E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1、2U双路标准机架式服务器；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2、CPU：配置1颗intel至强4210R处理器，核数≥10核，主频≥2.4GHz  （可扩展至2颗）；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3、内存：配置64G DDR4，16根内存插槽，最大支持扩展至2TB内存；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4、硬盘：配置2块960G SSD硬盘；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5、阵列卡：配置SAS+HBA卡，支持RAID 0/1/10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6、PCIE扩展：支持6个PCIE扩展插槽；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7、网口：板载2个千兆电口，另加配2个千兆电口；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8、支持选配10GbE、25GbE SFP+等多种网络接口；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9、其他接口：1个RJ45管理接口，后置2个USB 3.0接口，前置2个USB2.0接口，1个VGA接口。</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10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60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A86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C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58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综合安防管理平台软件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38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1、依托视频智能，通过对物联数据的多维度分析处理，解决校园内的人、车、地、物管理问题；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2、功能涵盖校园应用、综合管控、视频监控、一卡通、车辆管控、报警检测、网络管理等；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3、基于统一软件技术架构，通过对应用功能模块进行整合，集预警、查询、定位、管理、分析为一体，从多个业务维度对校园工作进行管理。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2F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39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52E6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2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40A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存储服务器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105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1、3U机架式网络存储设备；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2、存储容量400TB，支持硬盘热插拔；</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3、CPU：64位多核处理器；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4、内存：16GB缓存；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5、接口：2个千兆网口，1个千兆管理口；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6、电源：1+1冗余电源；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7、存储模式：支持视音频流直存；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8、接入带宽：1050Mbps（525路）；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9、RAID模式：纠删码技术，保护数据不丢失，业务不中断；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10、网络协议：RTSP、ONVIF、PSIA、GB/T28181。</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6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D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261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B2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5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应用服务器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48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1、机架式服务器主机2U；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2、CPU:1*银牌4310【12核心2.1G】；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3、内存：32G；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4、硬盘：2*2T。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F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B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B6C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6"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1C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1F6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网络摄像机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6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1、支持镜头前盖防油污可拆卸设计；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2、支持后厨三白检测算法，支持未戴白帽子，白口罩，白衣服的检测；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3、最高分辨率可达2688 × 1520 @30 fps，在该分辨率下可输出实时图像；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4、支持背光补偿，强光抑制，透雾、3D数字降噪，120 dB宽动态，适应不同监控环境；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5、支持红外补光，红外光最远可达30m；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6、支持开放型网络视频接口，ISAPI，SDK，ISUP 5.0，GB28181协议接入；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7、支持ROI感兴趣区域增强编码，支持Smart265/264编码，可根据场景情况自适应调整码率分配，有效节省存储成本；</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8、支持异常侦测，支持智能警戒，支持联动声音报警（无内置喇叭，需要外接扬声器）；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9、支持音频异常侦测，音频陡升侦测，音频陡降侦测；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10、支持H.265/H.264/MJPEG视频压缩算法，支持多级别视频质量配置、编码复杂度设置；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11、支持最大256 GB MicroSD/MicroSDHC/MicroSDXC卡本地存储；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12、符合IP66防尘防水设计，可靠性高。</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B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0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FE0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73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摄像机支架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C7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1、型号：吊装支架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2、材质：铝合金</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D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139A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FE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F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液晶显示单元</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809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1、显示尺寸：55 inch；</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2、物理拼缝：3.5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3、分辨率：1920*1080；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4、屏幕宽高比16：9；</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5、亮度500CD/㎡；</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6、对比度4500：1；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7、可视角度178°；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8、工作温度：0℃-50℃；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9、工作湿度：20%-80%；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10、工作寿命：不低于6万小时；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11、供电电源：AC100-240V。</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3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5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888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DB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E5E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模块化底座</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D1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1、配置：无左右上封板；前开门/前封板，后留空；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2、材质：优质冷轧钢板(SPCC)，材料厚度从T1.0-T5不等；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3、表面处理：静电喷塑，涂层厚度&gt;60微米；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4、弧度：0°；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5、适用规模：不宜超过4行；不超过5行。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A3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75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D81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2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B2A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模块化框架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34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1、配置：无左右上封板；前开门/前封板，后留空；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2、材质：优质冷轧钢板(SPCC)，材料厚度从T1.0-T5不等；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3、表面处理：静电喷塑，涂层厚度&gt;60微米；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4、弧度：0°；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5、适用规模：不宜超过4行；不超过5行。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B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1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376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2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2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9A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1、显示屏尺寸不低于23.8；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2、CPU配置不低于i5-10400(六核2.9G)；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3、内存不低于16G；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4、固态硬盘不低于512G。</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9B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04E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3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9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高清解码器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1B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1、支持电脑、视频会议终端等视频输入信号源，支持2路1080P@50/60 或1路4K@30，通过HDMI 1.4本地输入，HDMI可内嵌音频；</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2、支持HDMI 1.4视频信号输出，支持4K分辨率（3840 × 2160@30 Hz）超高清输出，输出采用帧同步技术，保证所有输出口的图像完全同步；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3、支持两种音频输出方式：HDMI内嵌音频和外置音频输出；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4、采用H.264/H.265编码标准，默认采用H.265，支持子码流及主码流编码；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5、支持网络设备解码，支持H.264、H.265、Smart264、Smart265、MJPEG、HIK264等主流码流格式，支持PS、TS、ES、RTP等主流封装格式，支持子码流及主码流切换；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6、最大支持3200w分辨率解码，具有96个解码通道，支持96路200W视频同时解码上墙。</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46B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B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9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硬盘录像机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B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1、3U机架式16盘位嵌入式网络硬盘录像机，采用短机箱设计，搭载高性能ATX电源；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2、存储接口：16个SATA接口，已内置16块10TB硬盘；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3、视频接口：2×HDMI，2×VGA；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4、网络接口：2×RJ45 10/100/1000Mbps自适应以太网口；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5、报警接口：16路报警输入，9路报警输出（其中第9路支持CTRL 12V）；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6、反向供电：1路DC12V 1A；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7、串行接口：1路RS-232接口，1路半双工RS-485接口；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8、USB接口：2×USB 2.0，2×USB 3.0。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6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0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91A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A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1AA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学生异常行为识别</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3D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利用安防视频监控数据，进行学生的各类异常行为识别，并向学校安保人员发出告警，以便迅速处置；避免恶性校园暴力事件发生，降低各类学生人身安全相关危险事件的影响。2、识别的行为包括：打架、冲撞、在危险区域徘徊、翻越楼层栏杆等易致使学生伤残的动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CA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79E7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ED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学生活动轨迹监测</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6D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1、无感地监测学生活动轨迹，从学生进入校园到学生离开校门，形成以10米为空间间隔，以5分钟为时间间隔的活动轨迹图。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2、结合校园地图，具备根据轨迹自动分析学生行为的能力，具备向校方自动提供异常轨迹报警的能力，并具备向学生家长提供查询自己子女当前状态的能力。</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3、分析的学生异常行为包括：逃课、迟到、早退、在教学时间未在指定教室、多人异常聚集、不按规定午休等。</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E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DC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7E51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2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02F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校园安全态势感知</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35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1、利用3D仿真和WebGIS技术，将校园安防设备、建筑物、教师、学生（依托异常行为识别和轨迹监测）状态信息融合至一个三维沙盘，形成校园整体的安全态势感知系统；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2、具备发现各类安全隐患并及时提醒处置的能力；</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3、具备针对当前安全态势进行1小时内人员危险事件推演的能力；</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4、具备针对安防设施当前工作状态进行24小时内设备失效事件推演的能力。</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BE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39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6DC9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19E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液晶显示单元</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E6C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1、显示尺寸：55 inch；</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2、物理拼缝：3.5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3、分辨率：1920*1080；屏幕宽高比16：9；亮度500CD/㎡；对比度4500：1；可视角度178°；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4、工作温度：0℃-50℃；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5、工作湿度：20%-80%；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6、工作寿命：不低于6万小时；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7、供电电源：AC100-240V；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8、工作功耗：180W；</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2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9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288B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8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CDA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模块化底座</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54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1、配置：无左右上封板；前开门/前封板，后留空；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2、材质：优质冷轧钢板(SPCC)，材料厚度从T1.0-T5不等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3、表面处理：静电喷塑，涂层厚度&gt;60微米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4、弧度：0°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5、适用规模：不宜超过4行；不超过5行。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D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A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5970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2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04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模块化框架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53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1、配置：无左右上封板；前开门/前封板，后留空；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2、材质：优质冷轧钢板(SPCC)，材料厚度从T1.0-T5不等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3、表面处理：静电喷塑，涂层厚度&gt;60微米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4、弧度：0°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5、适用规模：不宜超过4行；不超过5行。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0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01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6F6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1"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0C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AE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高清解码器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AD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1、支持电脑、视频会议终端等视频输入信号源，支持2路1080P@50/60 或1路4K@30，通过HDMI 1.4本地输入，HDMI可内嵌音频；</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2、支持HDMI 1.4视频信号输出，支持4K分辨率（3840 × 2160@30 Hz）超高清输出，输出采用帧同步技术，保证所有输出口的图像完全同步；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3、支持两种音频输出方式：HDMI内嵌音频和外置音频输出；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4、采用H.264/H.265编码标准，默认采用H.265，支持子码流及主码流编码；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5、支持网络设备解码，支持H.264、H.265、Smart264、Smart265、MJPEG、HIK264等主流码流格式，支持PS、TS、ES、RTP等主流封装格式，支持子码流及主码流切换；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6、最大支持3200w分辨率解码，具有96个解码通道，支持96路200W视频同时解码上墙。</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2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76AF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50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C4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控制键盘</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72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1、支持U盘升级及导入/导出配置文件；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2、支持语音识别，通过指定的语音指令实现快捷切换操作。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F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49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DC2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6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85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B8C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1、显示屏尺寸不低于23.8；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2、CPU配置不低于i5-10400(六核2.9G)；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3、内存不低于16G；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4、固态硬盘不低于512G。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8ED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11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BB9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操作台</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199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1、操作台工位不少于5人；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2、尺寸不小于6000*800*760mm；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3、灯带颜色：白色或蓝色；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4、型号：直型带柜。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E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E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6CEE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7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B4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网络版张力围栏主机 </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86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1、网络型，0.96英寸的OLED显示操作屏；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2、显示在线线制的数量和离线的数量；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3、自动分配和识别每一根线的地址，并实时监测在线的数量及离线数量；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4、可调节张力控制杆的报警灵敏度，由低到高1—10档；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5、防区报警显示图标，可实时监控每个防区情况，并可提供每根线的报警情况，一旦报警，图标立即闪烁并报警提示；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6、100条本地报警记录存储；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7、自带一键撤布防按键，自带地址编程功能，可直接定位张力主机地址，通过网络IP通讯接口可直接连接键盘，实时获取前端围栏的报警情况，并与其他安防设备连接，如与视频摄像机联动；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8、可输出防区报警开关量、防拆报警、外部开关量报警等。</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1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A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6D9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E8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D1B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六线双防控制杆</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10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1、铝合金材质，防锈和耐腐蚀表面处理，可根据现场需要调节安装角度，用于防区中间，内置张力传感器，通过物理连接获取张力围栏的拉力强度，并通过航空五芯线将信号传输给张力主机；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2、长宽高不小于：75*50*1200mm。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3C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r>
      <w:tr w14:paraId="5975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5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AD0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避雷器（含支架）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B34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1、材质：金属氧化锌+硅橡胶；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2、当感应雷电压超过额定值时，避雷器内部电阻变为零，直接把雷引入大地，更好地起到避雷作用。</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9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3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6E93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C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DD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室外声光报警器（含支架，电源）</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474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1、材质：ABS+PC；</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2、电源：INPUT:200~240V AC 50~60HZ  OUTPUT:12V 2A DC；</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3、功率：1.5w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4、防护等级：IP30。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7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6047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A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0CA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6线国标张力杆</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DB3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1、铝合金材质，防锈和耐腐蚀表面处理,可根据现场需要调节安装角度，用于防区终端，与控制杆距离40米；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2、长*宽*高不小于：32*32*1200mm。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E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AF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r>
      <w:tr w14:paraId="7EC7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45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4C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张力杆附件包(4线制/6线制)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3E2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1、铝合金材质，防锈和耐腐蚀表面处理,可根据现场需要调节安装角度，用于连接张力杆和墙体，给张力杆以支撑，用膨胀螺丝安装，帽子安装在通用杆的顶端，用于杆体防水。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E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65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w:t>
            </w:r>
          </w:p>
        </w:tc>
      </w:tr>
      <w:tr w14:paraId="0072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DE2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6线支撑杆</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9F0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1、铝合金材质，防锈和耐腐蚀表面处理，可根据现场需要调节安装角度，用于防区终端，每4米安装1根。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BF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52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r>
      <w:tr w14:paraId="73D5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4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B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支撑杆附件包(4线制/6线制)</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8B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1、铝合金材质，防锈和耐腐蚀表面处理,可根据现场需要调节安装角度，用于连接支撑杆和墙体，给支撑杆以支撑，用膨胀螺丝安装。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05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13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w:t>
            </w:r>
          </w:p>
        </w:tc>
      </w:tr>
      <w:tr w14:paraId="4E0A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14C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6线国标转向杆</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69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1、铝合金材料，防锈和耐腐蚀表面处理，适用于直角转角、小于90°、大于90°的转角。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E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45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r>
      <w:tr w14:paraId="12D5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1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B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6线转向杆附件包</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1F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底座安装在转向杆的底部，用于连接转向杆和墙体，给转向杆以支撑，用膨胀螺丝安装，转向滑轮为铝合金材料，防锈和耐腐蚀表面处理，用于转角处，安装在转向杆上，以支撑张力线平滑过渡，线夹用于不锈钢钢丝绳的连接和固定。</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1B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w:t>
            </w:r>
          </w:p>
        </w:tc>
      </w:tr>
      <w:tr w14:paraId="42E7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67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E7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6线高低落差杆附件包</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6C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底座安装在落差杆的底部，用于连接落差杆杆和墙体，给落差杆以支撑，用膨胀螺丝安装，高低落差滑轮为铝合金材料，防锈和耐腐蚀表面处理，用于高低落差处，安装在落差杆上，以支撑张力线平滑过渡，线夹用于不锈钢钢丝绳的连接和固定。</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C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w:t>
            </w:r>
          </w:p>
        </w:tc>
      </w:tr>
      <w:tr w14:paraId="799F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9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05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12#不锈钢丝,400米/盘</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55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1、材质：12#不锈钢丝，SUS304不锈钢，抗氧化、耐腐蚀，高强度。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2A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3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r>
      <w:tr w14:paraId="6BD9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4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71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12#不锈钢丝,1000米/盘</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4E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1、材质：12#不锈钢丝，SUS304不锈钢，抗氧化、耐腐蚀，高强度。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0B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AC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盘</w:t>
            </w:r>
          </w:p>
        </w:tc>
      </w:tr>
      <w:tr w14:paraId="6142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4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6F3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接地桩</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2E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1、用于给张力主机接地使用，有感应雷过来的时候，将雷电引入大地中。</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D5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72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r>
      <w:tr w14:paraId="0FD3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9D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A0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6米10mm²接地线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284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1、用于连接避雷器和接地桩，长为6米，10mm²的铜导线。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F0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2F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r>
      <w:tr w14:paraId="6FBC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2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D97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张力围栏警示牌</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CEF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1、pvc材质，夜光型。</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4D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F9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r>
      <w:tr w14:paraId="32F5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E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596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控制室声光报警器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3E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1、警号（红白色）；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2、报警音量: 105dB at 30cm；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3、防护等级：IP54，室外防水；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4、内置水平仪，便于辅助安装；</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5、支持关闭报警声音输出，实现声光报警模式和光闪模式切换；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6、工作湿度：10％～90％；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7、工作温度：-20℃～＋60℃；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40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6A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0418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6A6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周界报警主机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91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1、支持通过网络和RS485模块的接入电子围栏主机、张力围栏主机、防区扩展模块、继电器扩展模块等；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2、支持32个子系统，256路防区管理（其中RS485扩展上限为64路，网络扩展上限为256路）；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3、支持板载4路继电器输出，可扩展至64路，支持RS485模块和网络继电器模块扩展60路继电器输出；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4、支持关联4路视频，报警时自动截取7S事前和事后视频，推送至APP或发送邮件；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5、支持TCP/IP、3G/4G（需加配模块）方式上传，支持互为主备上报；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6、支持ISAPI协议、ISUP（5.0）协议、NAL2300协议、标准Contact ID协议；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7、支持1个安装员用户，1个制造商用户，1个管理员用户，45个普通用户；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8、支持Web端、手机APP配置、支持IVMS4200配置；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9、支持平台远程布撤防、手机APP布撤防，支持键盘、遥控器、刷卡撤布防；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10、支持8个号码，短信发送报警信息和短信布撤防回控（需配置4G模块）。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F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D3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4D20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F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65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控制键盘</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234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1、混合报警主机专用控制键盘；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2、支持密码、刷卡、遥控器操作，具体数量由对应报警主机管理；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3、支持防区名称自定义（支持中文）；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4、支持80x25mm大屏显示；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5、支持背壳双面防拆；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6、支持上下翻页查看事件信息；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7、支持双向遥控器，遥控器LED显示操作结果。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3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5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5573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82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325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485光纤收发器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2B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1、485双向数据传输，建议个数和主机个数保持一致。</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90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21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63AD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4E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7D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一体机</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DF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1、显示屏尺寸不低于23.8；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2、CPU配置不低于i5-10400(六核2.9G)；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3、内存不低于16G；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4、固态硬盘不低于512G。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81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7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627D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8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w:t>
            </w:r>
          </w:p>
        </w:tc>
        <w:tc>
          <w:tcPr>
            <w:tcW w:w="714" w:type="dxa"/>
            <w:tcBorders>
              <w:top w:val="nil"/>
              <w:left w:val="single" w:color="000000" w:sz="4" w:space="0"/>
              <w:bottom w:val="nil"/>
              <w:right w:val="single" w:color="000000" w:sz="4" w:space="0"/>
            </w:tcBorders>
            <w:shd w:val="clear" w:color="auto" w:fill="auto"/>
            <w:vAlign w:val="center"/>
          </w:tcPr>
          <w:p w14:paraId="1B65FEC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巡检管理系统</w:t>
            </w:r>
          </w:p>
        </w:tc>
        <w:tc>
          <w:tcPr>
            <w:tcW w:w="7029" w:type="dxa"/>
            <w:tcBorders>
              <w:top w:val="nil"/>
              <w:left w:val="single" w:color="000000" w:sz="4" w:space="0"/>
              <w:bottom w:val="nil"/>
              <w:right w:val="single" w:color="000000" w:sz="4" w:space="0"/>
            </w:tcBorders>
            <w:shd w:val="clear" w:color="auto" w:fill="auto"/>
            <w:vAlign w:val="center"/>
          </w:tcPr>
          <w:p w14:paraId="335685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1、根据不同巡检项目，制定不同的巡检模板。环境卫生巡检，安全保卫巡检，消防设施巡检，环境照明巡检，食品卫生巡检，重要资产巡检，设备保养巡检，机房环境巡检；</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2、巡检计划维护，包括巡检周期，巡检项，巡检结论。巡检计划可按月、按周、按天等多种模式，制定巡检及值班计划模板，自动产生巡检工单信息；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3、巡检计划到期时，系统自动生成巡检工单，巡检人员根据巡检工单进行巡检执行，交接班管理，巡检问题处理，巡检记录查询等；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4、根据巡检任务执行情况，查询巡检结果；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5、统计分析巡检记录，自动生成日报，周报，月报等；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6、根据巡检计划，自动生成巡检工单，巡检人员使用手机APP进行巡检，填报各项巡检内容，确认无误后提交上报；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7、巡检时如发现异常，系统可自动生成巡检问题工单，并通过消息提醒运维人员。</w:t>
            </w:r>
          </w:p>
        </w:tc>
        <w:tc>
          <w:tcPr>
            <w:tcW w:w="742" w:type="dxa"/>
            <w:tcBorders>
              <w:top w:val="nil"/>
              <w:left w:val="single" w:color="000000" w:sz="4" w:space="0"/>
              <w:bottom w:val="single" w:color="000000" w:sz="4" w:space="0"/>
              <w:right w:val="single" w:color="000000" w:sz="4" w:space="0"/>
            </w:tcBorders>
            <w:shd w:val="clear" w:color="auto" w:fill="auto"/>
            <w:noWrap/>
            <w:vAlign w:val="center"/>
          </w:tcPr>
          <w:p w14:paraId="5E09B5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nil"/>
              <w:left w:val="single" w:color="000000" w:sz="4" w:space="0"/>
              <w:bottom w:val="single" w:color="000000" w:sz="4" w:space="0"/>
              <w:right w:val="single" w:color="000000" w:sz="4" w:space="0"/>
            </w:tcBorders>
            <w:shd w:val="clear" w:color="auto" w:fill="auto"/>
            <w:noWrap/>
            <w:vAlign w:val="center"/>
          </w:tcPr>
          <w:p w14:paraId="14BF43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22E3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00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714" w:type="dxa"/>
            <w:tcBorders>
              <w:top w:val="single" w:color="000000" w:sz="4" w:space="0"/>
              <w:left w:val="single" w:color="000000" w:sz="4" w:space="0"/>
              <w:bottom w:val="nil"/>
              <w:right w:val="single" w:color="000000" w:sz="4" w:space="0"/>
            </w:tcBorders>
            <w:shd w:val="clear" w:color="auto" w:fill="auto"/>
            <w:vAlign w:val="center"/>
          </w:tcPr>
          <w:p w14:paraId="792F60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运维工单报修系统</w:t>
            </w:r>
          </w:p>
        </w:tc>
        <w:tc>
          <w:tcPr>
            <w:tcW w:w="7029" w:type="dxa"/>
            <w:tcBorders>
              <w:top w:val="single" w:color="000000" w:sz="4" w:space="0"/>
              <w:left w:val="single" w:color="000000" w:sz="4" w:space="0"/>
              <w:bottom w:val="nil"/>
              <w:right w:val="single" w:color="000000" w:sz="4" w:space="0"/>
            </w:tcBorders>
            <w:shd w:val="clear" w:color="auto" w:fill="auto"/>
            <w:vAlign w:val="center"/>
          </w:tcPr>
          <w:p w14:paraId="0189EA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1、配置运维工单类型，并根据不同工单类型设置不同的派单方案。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2、根据不同工单类型设置不同的派单方案和运维值班排班。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3、通过在线工单表单填报，完成报修工单申报。（可选配AI语音报单报修）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4、受理中心受理报修工单，并通过工单派送规则分类，手动或自动将工单派发给相应的处理人员。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5、维修人员接受派发的工单，进行工单处理，完成后在线提交处理结果。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6、由发起人对已完成的工单进行确认及评价，完成工单闭环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7、多维度运维工单统计分析，按申报科室，处理人，处理时长等维度统计工单完成情况，核算工作量。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8、支持手机端APP，小程序模式进行工单申报，受理，执行。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1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86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3BAF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7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B1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应用服务器</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74C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1、机架式服务器主机2U；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2、CPU:1*银牌4310【12核心2.1G】；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3、内存：32G；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4、硬盘：2*2T。</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8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34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3D97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F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644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ODF机房布线柜</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3B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1、720芯直插式，光纤配线架，光缆配线柜，满配FC。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A3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08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r>
      <w:tr w14:paraId="1D96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31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5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六类非屏蔽配线架24口</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CE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1、六类机架式，工程机镀金理线架。</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7F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E1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4A50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3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B35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六类非屏蔽网线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97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1、六类千兆网线。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A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88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箱</w:t>
            </w:r>
          </w:p>
        </w:tc>
      </w:tr>
      <w:tr w14:paraId="1D2C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D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E1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光纤配线架24口</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69F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1、24口24芯SC单模机架式光纤终端盒。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64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E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556B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C1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DB1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2*1.5电源线。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BE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1、100米/卷。</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99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r>
      <w:tr w14:paraId="4746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4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403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光纤跳线48芯</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3B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1、芯光缆光纤48芯。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8A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E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21D2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D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46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光纤跳线24芯</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61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1、芯光缆光纤24芯。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C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83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1BE1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1A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6A7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光纤跳线6芯</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96D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1、芯光缆光纤6芯。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E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3E60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30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227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六类非屏蔽模块</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4CE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1、千兆免打【非屏蔽】信息模块。</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8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A7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0C5C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6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92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单孔信息面板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BA2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1、单口网络面板86*86mm。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6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25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1053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8F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7A2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双孔信息面板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8D6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1、双口网络面板86*86mm。</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F3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E5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2130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1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07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音箱线专用线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557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1、纯铜2*100芯。</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D9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27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422A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B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441960</wp:posOffset>
                  </wp:positionH>
                  <wp:positionV relativeFrom="paragraph">
                    <wp:posOffset>56515</wp:posOffset>
                  </wp:positionV>
                  <wp:extent cx="333375" cy="297815"/>
                  <wp:effectExtent l="0" t="0" r="0" b="0"/>
                  <wp:wrapNone/>
                  <wp:docPr id="53" name="AutoShape_8_SpCnt_141"/>
                  <wp:cNvGraphicFramePr/>
                  <a:graphic xmlns:a="http://schemas.openxmlformats.org/drawingml/2006/main">
                    <a:graphicData uri="http://schemas.openxmlformats.org/drawingml/2006/picture">
                      <pic:pic xmlns:pic="http://schemas.openxmlformats.org/drawingml/2006/picture">
                        <pic:nvPicPr>
                          <pic:cNvPr id="53" name="AutoShape_8_SpCnt_141"/>
                          <pic:cNvPicPr/>
                        </pic:nvPicPr>
                        <pic:blipFill>
                          <a:blip r:embed="rId16"/>
                          <a:stretch>
                            <a:fillRect/>
                          </a:stretch>
                        </pic:blipFill>
                        <pic:spPr>
                          <a:xfrm>
                            <a:off x="0" y="0"/>
                            <a:ext cx="333375" cy="29781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172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F92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56515</wp:posOffset>
                  </wp:positionV>
                  <wp:extent cx="229235" cy="297815"/>
                  <wp:effectExtent l="0" t="0" r="0" b="0"/>
                  <wp:wrapNone/>
                  <wp:docPr id="47" name="AutoShape_8_SpCnt_142"/>
                  <wp:cNvGraphicFramePr/>
                  <a:graphic xmlns:a="http://schemas.openxmlformats.org/drawingml/2006/main">
                    <a:graphicData uri="http://schemas.openxmlformats.org/drawingml/2006/picture">
                      <pic:pic xmlns:pic="http://schemas.openxmlformats.org/drawingml/2006/picture">
                        <pic:nvPicPr>
                          <pic:cNvPr id="47" name="AutoShape_8_SpCnt_142"/>
                          <pic:cNvPicPr/>
                        </pic:nvPicPr>
                        <pic:blipFill>
                          <a:blip r:embed="rId17"/>
                          <a:stretch>
                            <a:fillRect/>
                          </a:stretch>
                        </pic:blipFill>
                        <pic:spPr>
                          <a:xfrm>
                            <a:off x="0" y="0"/>
                            <a:ext cx="229235" cy="29781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广播音响线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9A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1、2X1.5音响线。</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D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9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6910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A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247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419735"/>
                  <wp:effectExtent l="0" t="0" r="0" b="0"/>
                  <wp:wrapNone/>
                  <wp:docPr id="45" name="AutoShape_8_SpCnt_143"/>
                  <wp:cNvGraphicFramePr/>
                  <a:graphic xmlns:a="http://schemas.openxmlformats.org/drawingml/2006/main">
                    <a:graphicData uri="http://schemas.openxmlformats.org/drawingml/2006/picture">
                      <pic:pic xmlns:pic="http://schemas.openxmlformats.org/drawingml/2006/picture">
                        <pic:nvPicPr>
                          <pic:cNvPr id="45" name="AutoShape_8_SpCnt_143"/>
                          <pic:cNvPicPr/>
                        </pic:nvPicPr>
                        <pic:blipFill>
                          <a:blip r:embed="rId18"/>
                          <a:stretch>
                            <a:fillRect/>
                          </a:stretch>
                        </pic:blipFill>
                        <pic:spPr>
                          <a:xfrm>
                            <a:off x="0" y="0"/>
                            <a:ext cx="372110" cy="41973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音箱插头</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E3F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331470</wp:posOffset>
                  </wp:positionH>
                  <wp:positionV relativeFrom="paragraph">
                    <wp:posOffset>198120</wp:posOffset>
                  </wp:positionV>
                  <wp:extent cx="335915" cy="292735"/>
                  <wp:effectExtent l="0" t="0" r="0" b="0"/>
                  <wp:wrapNone/>
                  <wp:docPr id="56" name="AutoShape_8_SpCnt_144"/>
                  <wp:cNvGraphicFramePr/>
                  <a:graphic xmlns:a="http://schemas.openxmlformats.org/drawingml/2006/main">
                    <a:graphicData uri="http://schemas.openxmlformats.org/drawingml/2006/picture">
                      <pic:pic xmlns:pic="http://schemas.openxmlformats.org/drawingml/2006/picture">
                        <pic:nvPicPr>
                          <pic:cNvPr id="56" name="AutoShape_8_SpCnt_144"/>
                          <pic:cNvPicPr/>
                        </pic:nvPicPr>
                        <pic:blipFill>
                          <a:blip r:embed="rId16"/>
                          <a:stretch>
                            <a:fillRect/>
                          </a:stretch>
                        </pic:blipFill>
                        <pic:spPr>
                          <a:xfrm>
                            <a:off x="0" y="0"/>
                            <a:ext cx="335915" cy="29273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1、四芯音响连接器。</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8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333375" cy="292735"/>
                  <wp:effectExtent l="0" t="0" r="0" b="0"/>
                  <wp:wrapNone/>
                  <wp:docPr id="57" name="AutoShape_8_SpCnt_145"/>
                  <wp:cNvGraphicFramePr/>
                  <a:graphic xmlns:a="http://schemas.openxmlformats.org/drawingml/2006/main">
                    <a:graphicData uri="http://schemas.openxmlformats.org/drawingml/2006/picture">
                      <pic:pic xmlns:pic="http://schemas.openxmlformats.org/drawingml/2006/picture">
                        <pic:nvPicPr>
                          <pic:cNvPr id="57" name="AutoShape_8_SpCnt_145"/>
                          <pic:cNvPicPr/>
                        </pic:nvPicPr>
                        <pic:blipFill>
                          <a:blip r:embed="rId16"/>
                          <a:stretch>
                            <a:fillRect/>
                          </a:stretch>
                        </pic:blipFill>
                        <pic:spPr>
                          <a:xfrm>
                            <a:off x="0" y="0"/>
                            <a:ext cx="333375" cy="29273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333375" cy="292735"/>
                  <wp:effectExtent l="0" t="0" r="0" b="0"/>
                  <wp:wrapNone/>
                  <wp:docPr id="54" name="AutoShape_8_SpCnt_146"/>
                  <wp:cNvGraphicFramePr/>
                  <a:graphic xmlns:a="http://schemas.openxmlformats.org/drawingml/2006/main">
                    <a:graphicData uri="http://schemas.openxmlformats.org/drawingml/2006/picture">
                      <pic:pic xmlns:pic="http://schemas.openxmlformats.org/drawingml/2006/picture">
                        <pic:nvPicPr>
                          <pic:cNvPr id="54" name="AutoShape_8_SpCnt_146"/>
                          <pic:cNvPicPr/>
                        </pic:nvPicPr>
                        <pic:blipFill>
                          <a:blip r:embed="rId16"/>
                          <a:stretch>
                            <a:fillRect/>
                          </a:stretch>
                        </pic:blipFill>
                        <pic:spPr>
                          <a:xfrm>
                            <a:off x="0" y="0"/>
                            <a:ext cx="333375" cy="29273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52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C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4EF9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5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CF1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15595"/>
                  <wp:effectExtent l="0" t="0" r="0" b="0"/>
                  <wp:wrapNone/>
                  <wp:docPr id="44" name="AutoShape_8_SpCnt_147"/>
                  <wp:cNvGraphicFramePr/>
                  <a:graphic xmlns:a="http://schemas.openxmlformats.org/drawingml/2006/main">
                    <a:graphicData uri="http://schemas.openxmlformats.org/drawingml/2006/picture">
                      <pic:pic xmlns:pic="http://schemas.openxmlformats.org/drawingml/2006/picture">
                        <pic:nvPicPr>
                          <pic:cNvPr id="44" name="AutoShape_8_SpCnt_147"/>
                          <pic:cNvPicPr/>
                        </pic:nvPicPr>
                        <pic:blipFill>
                          <a:blip r:embed="rId19"/>
                          <a:stretch>
                            <a:fillRect/>
                          </a:stretch>
                        </pic:blipFill>
                        <pic:spPr>
                          <a:xfrm>
                            <a:off x="0" y="0"/>
                            <a:ext cx="372110" cy="31559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15595"/>
                  <wp:effectExtent l="0" t="0" r="0" b="0"/>
                  <wp:wrapNone/>
                  <wp:docPr id="58" name="AutoShape_8_SpCnt_148"/>
                  <wp:cNvGraphicFramePr/>
                  <a:graphic xmlns:a="http://schemas.openxmlformats.org/drawingml/2006/main">
                    <a:graphicData uri="http://schemas.openxmlformats.org/drawingml/2006/picture">
                      <pic:pic xmlns:pic="http://schemas.openxmlformats.org/drawingml/2006/picture">
                        <pic:nvPicPr>
                          <pic:cNvPr id="58" name="AutoShape_8_SpCnt_148"/>
                          <pic:cNvPicPr/>
                        </pic:nvPicPr>
                        <pic:blipFill>
                          <a:blip r:embed="rId19"/>
                          <a:stretch>
                            <a:fillRect/>
                          </a:stretch>
                        </pic:blipFill>
                        <pic:spPr>
                          <a:xfrm>
                            <a:off x="0" y="0"/>
                            <a:ext cx="372110" cy="31559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音箱地插盒</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E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1、双联铜款。</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D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FC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r>
      <w:tr w14:paraId="596F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6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8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15595"/>
                  <wp:effectExtent l="0" t="0" r="0" b="0"/>
                  <wp:wrapNone/>
                  <wp:docPr id="48" name="AutoShape_8_SpCnt_149"/>
                  <wp:cNvGraphicFramePr/>
                  <a:graphic xmlns:a="http://schemas.openxmlformats.org/drawingml/2006/main">
                    <a:graphicData uri="http://schemas.openxmlformats.org/drawingml/2006/picture">
                      <pic:pic xmlns:pic="http://schemas.openxmlformats.org/drawingml/2006/picture">
                        <pic:nvPicPr>
                          <pic:cNvPr id="48" name="AutoShape_8_SpCnt_149"/>
                          <pic:cNvPicPr/>
                        </pic:nvPicPr>
                        <pic:blipFill>
                          <a:blip r:embed="rId19"/>
                          <a:stretch>
                            <a:fillRect/>
                          </a:stretch>
                        </pic:blipFill>
                        <pic:spPr>
                          <a:xfrm>
                            <a:off x="0" y="0"/>
                            <a:ext cx="372110" cy="31559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音频信号线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246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1、所有铜丝均为(OFC)无氧铜镀锡，PE绝缘，铝箔屏蔽，外形为绞型，PVC外套，适用于工程地埋安装和流动演出。</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4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0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r>
      <w:tr w14:paraId="2E40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B4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5D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647065</wp:posOffset>
                  </wp:positionH>
                  <wp:positionV relativeFrom="paragraph">
                    <wp:posOffset>0</wp:posOffset>
                  </wp:positionV>
                  <wp:extent cx="372110" cy="304800"/>
                  <wp:effectExtent l="0" t="0" r="0" b="0"/>
                  <wp:wrapNone/>
                  <wp:docPr id="46" name="AutoShape_8_SpCnt_150"/>
                  <wp:cNvGraphicFramePr/>
                  <a:graphic xmlns:a="http://schemas.openxmlformats.org/drawingml/2006/main">
                    <a:graphicData uri="http://schemas.openxmlformats.org/drawingml/2006/picture">
                      <pic:pic xmlns:pic="http://schemas.openxmlformats.org/drawingml/2006/picture">
                        <pic:nvPicPr>
                          <pic:cNvPr id="46" name="AutoShape_8_SpCnt_150"/>
                          <pic:cNvPicPr/>
                        </pic:nvPicPr>
                        <pic:blipFill>
                          <a:blip r:embed="rId13"/>
                          <a:stretch>
                            <a:fillRect/>
                          </a:stretch>
                        </pic:blipFill>
                        <pic:spPr>
                          <a:xfrm>
                            <a:off x="0" y="0"/>
                            <a:ext cx="372110" cy="30480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0</wp:posOffset>
                  </wp:positionV>
                  <wp:extent cx="306705" cy="295910"/>
                  <wp:effectExtent l="0" t="0" r="0" b="0"/>
                  <wp:wrapNone/>
                  <wp:docPr id="49" name="AutoShape_8_SpCnt_151"/>
                  <wp:cNvGraphicFramePr/>
                  <a:graphic xmlns:a="http://schemas.openxmlformats.org/drawingml/2006/main">
                    <a:graphicData uri="http://schemas.openxmlformats.org/drawingml/2006/picture">
                      <pic:pic xmlns:pic="http://schemas.openxmlformats.org/drawingml/2006/picture">
                        <pic:nvPicPr>
                          <pic:cNvPr id="49" name="AutoShape_8_SpCnt_151"/>
                          <pic:cNvPicPr/>
                        </pic:nvPicPr>
                        <pic:blipFill>
                          <a:blip r:embed="rId20"/>
                          <a:stretch>
                            <a:fillRect/>
                          </a:stretch>
                        </pic:blipFill>
                        <pic:spPr>
                          <a:xfrm>
                            <a:off x="0" y="0"/>
                            <a:ext cx="306705" cy="29591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0</wp:posOffset>
                  </wp:positionV>
                  <wp:extent cx="306705" cy="295910"/>
                  <wp:effectExtent l="0" t="0" r="0" b="0"/>
                  <wp:wrapNone/>
                  <wp:docPr id="51" name="AutoShape_8_SpCnt_152"/>
                  <wp:cNvGraphicFramePr/>
                  <a:graphic xmlns:a="http://schemas.openxmlformats.org/drawingml/2006/main">
                    <a:graphicData uri="http://schemas.openxmlformats.org/drawingml/2006/picture">
                      <pic:pic xmlns:pic="http://schemas.openxmlformats.org/drawingml/2006/picture">
                        <pic:nvPicPr>
                          <pic:cNvPr id="51" name="AutoShape_8_SpCnt_152"/>
                          <pic:cNvPicPr/>
                        </pic:nvPicPr>
                        <pic:blipFill>
                          <a:blip r:embed="rId20"/>
                          <a:stretch>
                            <a:fillRect/>
                          </a:stretch>
                        </pic:blipFill>
                        <pic:spPr>
                          <a:xfrm>
                            <a:off x="0" y="0"/>
                            <a:ext cx="306705" cy="29591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0</wp:posOffset>
                  </wp:positionV>
                  <wp:extent cx="306705" cy="295910"/>
                  <wp:effectExtent l="0" t="0" r="0" b="0"/>
                  <wp:wrapNone/>
                  <wp:docPr id="52" name="AutoShape_8_SpCnt_153"/>
                  <wp:cNvGraphicFramePr/>
                  <a:graphic xmlns:a="http://schemas.openxmlformats.org/drawingml/2006/main">
                    <a:graphicData uri="http://schemas.openxmlformats.org/drawingml/2006/picture">
                      <pic:pic xmlns:pic="http://schemas.openxmlformats.org/drawingml/2006/picture">
                        <pic:nvPicPr>
                          <pic:cNvPr id="52" name="AutoShape_8_SpCnt_153"/>
                          <pic:cNvPicPr/>
                        </pic:nvPicPr>
                        <pic:blipFill>
                          <a:blip r:embed="rId20"/>
                          <a:stretch>
                            <a:fillRect/>
                          </a:stretch>
                        </pic:blipFill>
                        <pic:spPr>
                          <a:xfrm>
                            <a:off x="0" y="0"/>
                            <a:ext cx="306705" cy="29591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0</wp:posOffset>
                  </wp:positionV>
                  <wp:extent cx="306705" cy="295910"/>
                  <wp:effectExtent l="0" t="0" r="0" b="0"/>
                  <wp:wrapNone/>
                  <wp:docPr id="158" name="AutoShape_8_SpCnt_154"/>
                  <wp:cNvGraphicFramePr/>
                  <a:graphic xmlns:a="http://schemas.openxmlformats.org/drawingml/2006/main">
                    <a:graphicData uri="http://schemas.openxmlformats.org/drawingml/2006/picture">
                      <pic:pic xmlns:pic="http://schemas.openxmlformats.org/drawingml/2006/picture">
                        <pic:nvPicPr>
                          <pic:cNvPr id="158" name="AutoShape_8_SpCnt_154"/>
                          <pic:cNvPicPr/>
                        </pic:nvPicPr>
                        <pic:blipFill>
                          <a:blip r:embed="rId20"/>
                          <a:stretch>
                            <a:fillRect/>
                          </a:stretch>
                        </pic:blipFill>
                        <pic:spPr>
                          <a:xfrm>
                            <a:off x="0" y="0"/>
                            <a:ext cx="306705" cy="29591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0</wp:posOffset>
                  </wp:positionV>
                  <wp:extent cx="306705" cy="295910"/>
                  <wp:effectExtent l="0" t="0" r="0" b="0"/>
                  <wp:wrapNone/>
                  <wp:docPr id="159" name="AutoShape_8_SpCnt_155"/>
                  <wp:cNvGraphicFramePr/>
                  <a:graphic xmlns:a="http://schemas.openxmlformats.org/drawingml/2006/main">
                    <a:graphicData uri="http://schemas.openxmlformats.org/drawingml/2006/picture">
                      <pic:pic xmlns:pic="http://schemas.openxmlformats.org/drawingml/2006/picture">
                        <pic:nvPicPr>
                          <pic:cNvPr id="159" name="AutoShape_8_SpCnt_155"/>
                          <pic:cNvPicPr/>
                        </pic:nvPicPr>
                        <pic:blipFill>
                          <a:blip r:embed="rId20"/>
                          <a:stretch>
                            <a:fillRect/>
                          </a:stretch>
                        </pic:blipFill>
                        <pic:spPr>
                          <a:xfrm>
                            <a:off x="0" y="0"/>
                            <a:ext cx="306705" cy="29591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665480</wp:posOffset>
                  </wp:positionH>
                  <wp:positionV relativeFrom="paragraph">
                    <wp:posOffset>0</wp:posOffset>
                  </wp:positionV>
                  <wp:extent cx="306705" cy="295910"/>
                  <wp:effectExtent l="0" t="0" r="0" b="0"/>
                  <wp:wrapNone/>
                  <wp:docPr id="160" name="AutoShape_8_SpCnt_156"/>
                  <wp:cNvGraphicFramePr/>
                  <a:graphic xmlns:a="http://schemas.openxmlformats.org/drawingml/2006/main">
                    <a:graphicData uri="http://schemas.openxmlformats.org/drawingml/2006/picture">
                      <pic:pic xmlns:pic="http://schemas.openxmlformats.org/drawingml/2006/picture">
                        <pic:nvPicPr>
                          <pic:cNvPr id="160" name="AutoShape_8_SpCnt_156"/>
                          <pic:cNvPicPr/>
                        </pic:nvPicPr>
                        <pic:blipFill>
                          <a:blip r:embed="rId20"/>
                          <a:stretch>
                            <a:fillRect/>
                          </a:stretch>
                        </pic:blipFill>
                        <pic:spPr>
                          <a:xfrm>
                            <a:off x="0" y="0"/>
                            <a:ext cx="306705" cy="29591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水晶头</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C6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1、六类水晶头RJ45千兆网络水晶头。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19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E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件</w:t>
            </w:r>
          </w:p>
        </w:tc>
      </w:tr>
      <w:tr w14:paraId="5DD4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9B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1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86底盒</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276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1、86底盒pvc。</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D2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25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3572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7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D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过路盒</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2D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1、过线盒pvc 6公分 100过路盒。</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2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3B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73F4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1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1E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插线板</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393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1、4位总控2米。</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79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E3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6509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D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A42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电工胶布</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C3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1、电工胶布阻燃PVC电气绝缘胶带，电线胶布高粘性防水无铅600V电工配件，白黑红黄绿色电工胶耐高温。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C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40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r>
      <w:tr w14:paraId="7378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9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B4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扎带</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ED2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1、尼龙扎带。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D6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0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一百只</w:t>
            </w:r>
          </w:p>
        </w:tc>
      </w:tr>
      <w:tr w14:paraId="764A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E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F40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膨胀螺栓</w:t>
            </w: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DF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1、304不锈钢膨胀螺栓M12。</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FF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9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r>
      <w:tr w14:paraId="430F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5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CA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7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5E9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17C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093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bl>
    <w:p w14:paraId="2304EC47"/>
    <w:p w14:paraId="4571FE3F">
      <w:pPr>
        <w:rPr>
          <w:rFonts w:hint="default"/>
          <w:lang w:val="en-US" w:eastAsia="zh-CN"/>
        </w:rPr>
      </w:pPr>
    </w:p>
    <w:p w14:paraId="53AA7827">
      <w:pPr>
        <w:pStyle w:val="10"/>
        <w:ind w:firstLine="480"/>
      </w:pPr>
    </w:p>
    <w:p w14:paraId="1B280FF5">
      <w:pPr>
        <w:pStyle w:val="10"/>
        <w:ind w:firstLine="480"/>
      </w:pPr>
    </w:p>
    <w:p w14:paraId="3C53DE8D">
      <w:pPr>
        <w:pStyle w:val="10"/>
        <w:ind w:firstLine="480"/>
      </w:pPr>
    </w:p>
    <w:p w14:paraId="4B9A68CB">
      <w:pPr>
        <w:pStyle w:val="10"/>
        <w:ind w:firstLine="480"/>
      </w:pPr>
    </w:p>
    <w:p w14:paraId="199DD38F">
      <w:pPr>
        <w:pStyle w:val="10"/>
        <w:ind w:firstLine="480"/>
      </w:pPr>
    </w:p>
    <w:p w14:paraId="4F3D6119">
      <w:pPr>
        <w:pStyle w:val="10"/>
        <w:ind w:firstLine="480"/>
      </w:pPr>
    </w:p>
    <w:p w14:paraId="2F67D5BB">
      <w:pPr>
        <w:pStyle w:val="10"/>
        <w:ind w:firstLine="480"/>
      </w:pPr>
    </w:p>
    <w:p w14:paraId="67F7F9CE">
      <w:pPr>
        <w:pStyle w:val="10"/>
        <w:ind w:firstLine="480"/>
      </w:pPr>
    </w:p>
    <w:p w14:paraId="5EB51BD4">
      <w:pPr>
        <w:pStyle w:val="10"/>
        <w:ind w:firstLine="480"/>
      </w:pPr>
    </w:p>
    <w:p w14:paraId="611E1DFF">
      <w:pPr>
        <w:pStyle w:val="10"/>
        <w:ind w:firstLine="480"/>
      </w:pPr>
    </w:p>
    <w:p w14:paraId="56EBE469">
      <w:pPr>
        <w:pStyle w:val="10"/>
        <w:ind w:firstLine="480"/>
      </w:pPr>
    </w:p>
    <w:p w14:paraId="5CA1F1E5">
      <w:pPr>
        <w:pStyle w:val="10"/>
        <w:ind w:firstLine="480"/>
      </w:pPr>
    </w:p>
    <w:p w14:paraId="521C396E">
      <w:pPr>
        <w:pStyle w:val="10"/>
        <w:ind w:firstLine="480"/>
      </w:pPr>
    </w:p>
    <w:p w14:paraId="2F224975">
      <w:pPr>
        <w:pStyle w:val="10"/>
        <w:ind w:firstLine="480"/>
      </w:pPr>
    </w:p>
    <w:p w14:paraId="7287A2ED">
      <w:pPr>
        <w:pStyle w:val="10"/>
        <w:ind w:firstLine="480"/>
      </w:pPr>
    </w:p>
    <w:p w14:paraId="6B7519E8">
      <w:pPr>
        <w:pStyle w:val="10"/>
        <w:ind w:firstLine="480"/>
      </w:pPr>
    </w:p>
    <w:p w14:paraId="7CF2493C">
      <w:pPr>
        <w:pStyle w:val="10"/>
        <w:ind w:firstLine="480"/>
      </w:pPr>
    </w:p>
    <w:p w14:paraId="7120C41A">
      <w:pPr>
        <w:pStyle w:val="10"/>
        <w:ind w:firstLine="480"/>
      </w:pPr>
    </w:p>
    <w:p w14:paraId="1776CA2F">
      <w:pPr>
        <w:pStyle w:val="10"/>
        <w:ind w:firstLine="480"/>
      </w:pPr>
    </w:p>
    <w:p w14:paraId="54B4E9E3">
      <w:pPr>
        <w:pStyle w:val="10"/>
        <w:ind w:firstLine="480"/>
      </w:pPr>
    </w:p>
    <w:p w14:paraId="5DFE2363">
      <w:pPr>
        <w:pStyle w:val="10"/>
        <w:ind w:firstLine="480"/>
      </w:pPr>
    </w:p>
    <w:p w14:paraId="2533C945">
      <w:pPr>
        <w:pStyle w:val="10"/>
        <w:ind w:firstLine="480"/>
      </w:pPr>
    </w:p>
    <w:p w14:paraId="14B7CB80">
      <w:pPr>
        <w:pStyle w:val="10"/>
        <w:ind w:firstLine="480"/>
      </w:pPr>
    </w:p>
    <w:p w14:paraId="7137803D">
      <w:pPr>
        <w:pStyle w:val="10"/>
        <w:ind w:firstLine="480"/>
      </w:pPr>
    </w:p>
    <w:p w14:paraId="2038D60C">
      <w:pPr>
        <w:pStyle w:val="10"/>
        <w:ind w:firstLine="480"/>
      </w:pPr>
    </w:p>
    <w:p w14:paraId="04CC44B9">
      <w:pPr>
        <w:pStyle w:val="10"/>
        <w:ind w:firstLine="480"/>
      </w:pPr>
    </w:p>
    <w:p w14:paraId="04C2E92C">
      <w:pPr>
        <w:pStyle w:val="10"/>
        <w:ind w:firstLine="480"/>
      </w:pPr>
    </w:p>
    <w:p w14:paraId="3400C0D3">
      <w:pPr>
        <w:pStyle w:val="10"/>
        <w:ind w:firstLine="480"/>
      </w:pPr>
    </w:p>
    <w:p w14:paraId="3F97166B">
      <w:pPr>
        <w:pStyle w:val="10"/>
      </w:pPr>
    </w:p>
    <w:p w14:paraId="1FDA021A">
      <w:pPr>
        <w:pStyle w:val="10"/>
        <w:ind w:firstLine="480"/>
      </w:pPr>
    </w:p>
    <w:bookmarkEnd w:id="146"/>
    <w:bookmarkEnd w:id="147"/>
    <w:p w14:paraId="3075E988">
      <w:pPr>
        <w:pStyle w:val="2"/>
        <w:rPr>
          <w:rFonts w:hAnsi="宋体" w:cs="宋体"/>
          <w:szCs w:val="32"/>
        </w:rPr>
      </w:pPr>
      <w:bookmarkStart w:id="148" w:name="_Toc25522"/>
      <w:bookmarkStart w:id="149" w:name="_Toc18936"/>
      <w:r>
        <w:t>第五章</w:t>
      </w:r>
      <w:r>
        <w:rPr>
          <w:rFonts w:hint="eastAsia"/>
        </w:rPr>
        <w:t xml:space="preserve"> 政府采购合同（主要条款）</w:t>
      </w:r>
      <w:bookmarkEnd w:id="148"/>
      <w:bookmarkEnd w:id="149"/>
    </w:p>
    <w:p w14:paraId="4CED746F">
      <w:pPr>
        <w:autoSpaceDE w:val="0"/>
        <w:autoSpaceDN w:val="0"/>
        <w:adjustRightInd w:val="0"/>
        <w:snapToGrid w:val="0"/>
        <w:spacing w:line="24" w:lineRule="atLeast"/>
        <w:jc w:val="center"/>
        <w:outlineLvl w:val="1"/>
        <w:rPr>
          <w:rFonts w:ascii="宋体" w:hAnsi="宋体" w:cs="宋体"/>
          <w:b/>
          <w:szCs w:val="21"/>
        </w:rPr>
      </w:pPr>
      <w:r>
        <w:rPr>
          <w:rFonts w:hint="eastAsia" w:ascii="宋体" w:hAnsi="宋体" w:cs="宋体"/>
          <w:b/>
          <w:szCs w:val="21"/>
        </w:rPr>
        <w:t>（仅供参考，不作为签订合同的依据）</w:t>
      </w:r>
    </w:p>
    <w:p w14:paraId="470F6700">
      <w:pPr>
        <w:widowControl/>
        <w:spacing w:line="360" w:lineRule="auto"/>
        <w:ind w:firstLine="2891" w:firstLineChars="9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第一部分 合同书 </w:t>
      </w:r>
    </w:p>
    <w:p w14:paraId="56585BBD">
      <w:pPr>
        <w:widowControl/>
        <w:spacing w:line="360" w:lineRule="auto"/>
        <w:jc w:val="left"/>
        <w:rPr>
          <w:rFonts w:hint="eastAsia" w:ascii="仿宋" w:hAnsi="仿宋" w:eastAsia="仿宋" w:cs="仿宋"/>
          <w:color w:val="000000"/>
          <w:kern w:val="0"/>
          <w:sz w:val="28"/>
          <w:szCs w:val="28"/>
          <w:lang w:bidi="ar"/>
        </w:rPr>
      </w:pPr>
    </w:p>
    <w:p w14:paraId="56BF829E">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项目名称：</w:t>
      </w:r>
      <w:r>
        <w:rPr>
          <w:rFonts w:hint="eastAsia" w:ascii="仿宋" w:hAnsi="仿宋" w:eastAsia="仿宋" w:cs="仿宋"/>
          <w:color w:val="000000"/>
          <w:kern w:val="0"/>
          <w:sz w:val="28"/>
          <w:szCs w:val="28"/>
          <w:lang w:eastAsia="zh-CN" w:bidi="ar"/>
        </w:rPr>
        <w:t>南阳市第十三完全学校智慧校园采购项目</w:t>
      </w:r>
      <w:r>
        <w:rPr>
          <w:rFonts w:hint="eastAsia" w:ascii="仿宋" w:hAnsi="仿宋" w:eastAsia="仿宋" w:cs="仿宋"/>
          <w:color w:val="000000"/>
          <w:kern w:val="0"/>
          <w:sz w:val="28"/>
          <w:szCs w:val="28"/>
          <w:lang w:bidi="ar"/>
        </w:rPr>
        <w:t xml:space="preserve"> </w:t>
      </w:r>
    </w:p>
    <w:p w14:paraId="7755DD15">
      <w:pPr>
        <w:widowControl/>
        <w:spacing w:line="360" w:lineRule="auto"/>
        <w:ind w:firstLine="1400" w:firstLineChars="500"/>
        <w:jc w:val="left"/>
        <w:rPr>
          <w:rFonts w:hint="eastAsia" w:ascii="仿宋" w:hAnsi="仿宋" w:eastAsia="仿宋" w:cs="仿宋"/>
          <w:color w:val="000000"/>
          <w:kern w:val="0"/>
          <w:sz w:val="28"/>
          <w:szCs w:val="28"/>
          <w:u w:val="single"/>
          <w:lang w:bidi="ar"/>
        </w:rPr>
      </w:pPr>
    </w:p>
    <w:p w14:paraId="15ECB9FA">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项目编号： </w:t>
      </w:r>
    </w:p>
    <w:p w14:paraId="0BFA2A48">
      <w:pPr>
        <w:widowControl/>
        <w:spacing w:line="360" w:lineRule="auto"/>
        <w:ind w:firstLine="1400" w:firstLineChars="500"/>
        <w:jc w:val="left"/>
        <w:rPr>
          <w:rFonts w:hint="eastAsia" w:ascii="仿宋" w:hAnsi="仿宋" w:eastAsia="仿宋" w:cs="仿宋"/>
          <w:color w:val="000000"/>
          <w:kern w:val="0"/>
          <w:sz w:val="28"/>
          <w:szCs w:val="28"/>
          <w:lang w:bidi="ar"/>
        </w:rPr>
      </w:pPr>
    </w:p>
    <w:p w14:paraId="7EEFF6B4">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甲方：</w:t>
      </w:r>
      <w:r>
        <w:rPr>
          <w:rFonts w:hint="eastAsia" w:ascii="仿宋" w:hAnsi="仿宋" w:eastAsia="仿宋" w:cs="仿宋"/>
          <w:color w:val="000000"/>
          <w:kern w:val="0"/>
          <w:sz w:val="28"/>
          <w:szCs w:val="28"/>
          <w:lang w:eastAsia="zh-CN" w:bidi="ar"/>
        </w:rPr>
        <w:t>南阳市第十三完全学校</w:t>
      </w:r>
      <w:r>
        <w:rPr>
          <w:rFonts w:hint="eastAsia" w:ascii="仿宋" w:hAnsi="仿宋" w:eastAsia="仿宋" w:cs="仿宋"/>
          <w:color w:val="000000"/>
          <w:kern w:val="0"/>
          <w:sz w:val="28"/>
          <w:szCs w:val="28"/>
          <w:lang w:bidi="ar"/>
        </w:rPr>
        <w:t xml:space="preserve"> </w:t>
      </w:r>
    </w:p>
    <w:p w14:paraId="03F9119A">
      <w:pPr>
        <w:widowControl/>
        <w:spacing w:line="360" w:lineRule="auto"/>
        <w:ind w:firstLine="1400" w:firstLineChars="500"/>
        <w:jc w:val="left"/>
        <w:rPr>
          <w:rFonts w:hint="eastAsia" w:ascii="仿宋" w:hAnsi="仿宋" w:eastAsia="仿宋" w:cs="仿宋"/>
          <w:color w:val="000000"/>
          <w:kern w:val="0"/>
          <w:sz w:val="28"/>
          <w:szCs w:val="28"/>
          <w:lang w:bidi="ar"/>
        </w:rPr>
      </w:pPr>
    </w:p>
    <w:p w14:paraId="49FA26AC">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乙方： </w:t>
      </w:r>
    </w:p>
    <w:p w14:paraId="77ABB371">
      <w:pPr>
        <w:widowControl/>
        <w:spacing w:line="360" w:lineRule="auto"/>
        <w:ind w:firstLine="1400" w:firstLineChars="500"/>
        <w:jc w:val="left"/>
        <w:rPr>
          <w:rFonts w:hint="eastAsia" w:ascii="仿宋" w:hAnsi="仿宋" w:eastAsia="仿宋" w:cs="仿宋"/>
          <w:color w:val="000000"/>
          <w:kern w:val="0"/>
          <w:sz w:val="28"/>
          <w:szCs w:val="28"/>
          <w:lang w:bidi="ar"/>
        </w:rPr>
      </w:pPr>
    </w:p>
    <w:p w14:paraId="53AEB5BE">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签订地：</w:t>
      </w:r>
      <w:r>
        <w:rPr>
          <w:rFonts w:hint="eastAsia" w:ascii="仿宋" w:hAnsi="仿宋" w:eastAsia="仿宋" w:cs="仿宋"/>
          <w:color w:val="000000"/>
          <w:kern w:val="0"/>
          <w:sz w:val="28"/>
          <w:szCs w:val="28"/>
          <w:lang w:eastAsia="zh-CN" w:bidi="ar"/>
        </w:rPr>
        <w:t>南阳市第十三完全学校</w:t>
      </w:r>
      <w:r>
        <w:rPr>
          <w:rFonts w:hint="eastAsia" w:ascii="仿宋" w:hAnsi="仿宋" w:eastAsia="仿宋" w:cs="仿宋"/>
          <w:color w:val="000000"/>
          <w:kern w:val="0"/>
          <w:sz w:val="28"/>
          <w:szCs w:val="28"/>
          <w:lang w:bidi="ar"/>
        </w:rPr>
        <w:t xml:space="preserve"> </w:t>
      </w:r>
    </w:p>
    <w:p w14:paraId="6AE0D19A">
      <w:pPr>
        <w:widowControl/>
        <w:spacing w:line="360" w:lineRule="auto"/>
        <w:ind w:firstLine="1400" w:firstLineChars="500"/>
        <w:jc w:val="left"/>
        <w:rPr>
          <w:rFonts w:hint="eastAsia" w:ascii="仿宋" w:hAnsi="仿宋" w:eastAsia="仿宋" w:cs="仿宋"/>
          <w:color w:val="000000"/>
          <w:kern w:val="0"/>
          <w:sz w:val="28"/>
          <w:szCs w:val="28"/>
          <w:lang w:bidi="ar"/>
        </w:rPr>
      </w:pPr>
    </w:p>
    <w:p w14:paraId="23B41C39">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签订日期： </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年 月 日</w:t>
      </w:r>
    </w:p>
    <w:p w14:paraId="7E108D49">
      <w:pPr>
        <w:widowControl/>
        <w:spacing w:line="360" w:lineRule="auto"/>
        <w:jc w:val="left"/>
        <w:rPr>
          <w:rFonts w:hint="eastAsia" w:ascii="仿宋" w:hAnsi="仿宋" w:eastAsia="仿宋" w:cs="仿宋"/>
          <w:color w:val="000000"/>
          <w:kern w:val="0"/>
          <w:sz w:val="24"/>
          <w:szCs w:val="24"/>
          <w:lang w:bidi="ar"/>
        </w:rPr>
      </w:pPr>
    </w:p>
    <w:p w14:paraId="7380C1A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年 月 日</w:t>
      </w:r>
      <w:r>
        <w:rPr>
          <w:rFonts w:hint="eastAsia" w:ascii="仿宋" w:hAnsi="仿宋" w:eastAsia="仿宋" w:cs="仿宋"/>
          <w:color w:val="000000"/>
          <w:kern w:val="0"/>
          <w:sz w:val="24"/>
          <w:szCs w:val="24"/>
          <w:u w:val="single"/>
          <w:lang w:eastAsia="zh-CN" w:bidi="ar"/>
        </w:rPr>
        <w:t>南阳市第十三完全学校</w:t>
      </w:r>
      <w:r>
        <w:rPr>
          <w:rFonts w:hint="eastAsia" w:ascii="仿宋" w:hAnsi="仿宋" w:eastAsia="仿宋" w:cs="仿宋"/>
          <w:color w:val="000000"/>
          <w:kern w:val="0"/>
          <w:sz w:val="24"/>
          <w:szCs w:val="24"/>
          <w:lang w:bidi="ar"/>
        </w:rPr>
        <w:t>以（政府采购方式）对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bidi="ar"/>
        </w:rPr>
        <w:t>项目</w:t>
      </w:r>
      <w:r>
        <w:rPr>
          <w:rFonts w:hint="eastAsia" w:ascii="仿宋" w:hAnsi="仿宋" w:eastAsia="仿宋" w:cs="仿宋"/>
          <w:color w:val="000000"/>
          <w:kern w:val="0"/>
          <w:sz w:val="24"/>
          <w:szCs w:val="24"/>
          <w:lang w:bidi="ar"/>
        </w:rPr>
        <w:t>进行了采购。经</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（相关评定主体名称）评定, </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（中标供应商名称）为该项目中标供应商。中标供应商在收到《中标通知书》后，需2日内与采购人签订供货合同，按照采购文件确定的事项签订本合同。 根据《中华人民共和国民法典》、《中华人民共和国政府采购法》等相关法律法规之规定，按照平等、自愿、公平和诚实信用的原则，经</w:t>
      </w:r>
      <w:r>
        <w:rPr>
          <w:rFonts w:hint="eastAsia" w:ascii="仿宋" w:hAnsi="仿宋" w:eastAsia="仿宋" w:cs="仿宋"/>
          <w:color w:val="000000"/>
          <w:kern w:val="0"/>
          <w:sz w:val="24"/>
          <w:szCs w:val="24"/>
          <w:u w:val="single"/>
          <w:lang w:eastAsia="zh-CN" w:bidi="ar"/>
        </w:rPr>
        <w:t>南阳市第十三完全学校</w:t>
      </w:r>
      <w:r>
        <w:rPr>
          <w:rFonts w:hint="eastAsia" w:ascii="仿宋" w:hAnsi="仿宋" w:eastAsia="仿宋" w:cs="仿宋"/>
          <w:color w:val="000000"/>
          <w:kern w:val="0"/>
          <w:sz w:val="24"/>
          <w:szCs w:val="24"/>
          <w:u w:val="single"/>
          <w:lang w:bidi="ar"/>
        </w:rPr>
        <w:t>（采购人名称）(以下简称：甲方)</w:t>
      </w:r>
      <w:r>
        <w:rPr>
          <w:rFonts w:hint="eastAsia" w:ascii="仿宋" w:hAnsi="仿宋" w:eastAsia="仿宋" w:cs="仿宋"/>
          <w:color w:val="000000"/>
          <w:kern w:val="0"/>
          <w:sz w:val="24"/>
          <w:szCs w:val="24"/>
          <w:lang w:bidi="ar"/>
        </w:rPr>
        <w:t>和</w:t>
      </w:r>
      <w:r>
        <w:rPr>
          <w:rFonts w:hint="eastAsia" w:ascii="仿宋" w:hAnsi="仿宋" w:eastAsia="仿宋" w:cs="仿宋"/>
          <w:color w:val="000000"/>
          <w:kern w:val="0"/>
          <w:sz w:val="24"/>
          <w:szCs w:val="24"/>
          <w:u w:val="single"/>
          <w:lang w:bidi="ar"/>
        </w:rPr>
        <w:t xml:space="preserve">              （中标供应商名称）(以下简称：乙方)</w:t>
      </w:r>
      <w:r>
        <w:rPr>
          <w:rFonts w:hint="eastAsia" w:ascii="仿宋" w:hAnsi="仿宋" w:eastAsia="仿宋" w:cs="仿宋"/>
          <w:color w:val="000000"/>
          <w:kern w:val="0"/>
          <w:sz w:val="24"/>
          <w:szCs w:val="24"/>
          <w:lang w:bidi="ar"/>
        </w:rPr>
        <w:t>协商一致，约定以下合同条款，以兹共同遵守、全面履行。</w:t>
      </w:r>
    </w:p>
    <w:p w14:paraId="7822A72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1.1合同组成部分 </w:t>
      </w:r>
    </w:p>
    <w:p w14:paraId="5C5129C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298528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1.1.1 本合同及其补充合同、变更协议； </w:t>
      </w:r>
    </w:p>
    <w:p w14:paraId="2567638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1.1.2 中标通知书； </w:t>
      </w:r>
    </w:p>
    <w:p w14:paraId="2A52959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1.1.3 投标文件（含澄清或者说明文件）； </w:t>
      </w:r>
    </w:p>
    <w:p w14:paraId="44F2D2E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1.1.4 招标文件（含澄清或者修改文件）； </w:t>
      </w:r>
    </w:p>
    <w:p w14:paraId="5BA3A35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1.1.5 其他相关采购文件。 </w:t>
      </w:r>
    </w:p>
    <w:p w14:paraId="782ADA2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1.2 货物 </w:t>
      </w:r>
    </w:p>
    <w:p w14:paraId="148A689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1.2.1 货物名称： </w:t>
      </w:r>
    </w:p>
    <w:p w14:paraId="4CB5579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1.2.2 货物数量：  </w:t>
      </w:r>
    </w:p>
    <w:p w14:paraId="570A948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1.2.3 货物质量： </w:t>
      </w:r>
    </w:p>
    <w:p w14:paraId="145C29A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1.3 价款 </w:t>
      </w:r>
    </w:p>
    <w:p w14:paraId="7155B822">
      <w:pPr>
        <w:widowControl/>
        <w:spacing w:line="360" w:lineRule="auto"/>
        <w:jc w:val="left"/>
      </w:pPr>
      <w:r>
        <w:rPr>
          <w:rFonts w:hint="eastAsia" w:ascii="仿宋" w:hAnsi="仿宋" w:eastAsia="仿宋" w:cs="仿宋"/>
          <w:color w:val="000000"/>
          <w:kern w:val="0"/>
          <w:sz w:val="24"/>
          <w:szCs w:val="24"/>
          <w:lang w:bidi="ar"/>
        </w:rPr>
        <w:t>本合同总价为：￥ 元（大写：元人民币）。 分项价格: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05"/>
        <w:gridCol w:w="3360"/>
      </w:tblGrid>
      <w:tr w14:paraId="6008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4A5A776F">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i/>
                <w:iCs/>
                <w:color w:val="000000"/>
                <w:kern w:val="0"/>
                <w:sz w:val="24"/>
                <w:szCs w:val="24"/>
                <w:lang w:bidi="ar"/>
              </w:rPr>
              <w:t>序号</w:t>
            </w:r>
          </w:p>
        </w:tc>
        <w:tc>
          <w:tcPr>
            <w:tcW w:w="4605" w:type="dxa"/>
            <w:noWrap w:val="0"/>
            <w:vAlign w:val="top"/>
          </w:tcPr>
          <w:p w14:paraId="182E8041">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分项名称</w:t>
            </w:r>
          </w:p>
        </w:tc>
        <w:tc>
          <w:tcPr>
            <w:tcW w:w="3360" w:type="dxa"/>
            <w:noWrap w:val="0"/>
            <w:vAlign w:val="top"/>
          </w:tcPr>
          <w:p w14:paraId="5CE6D6AD">
            <w:pPr>
              <w:widowControl/>
              <w:spacing w:line="360" w:lineRule="auto"/>
              <w:jc w:val="left"/>
              <w:rPr>
                <w:rFonts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分项价格(元)</w:t>
            </w:r>
          </w:p>
        </w:tc>
      </w:tr>
      <w:tr w14:paraId="1E86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46A15014">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63AD320F">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01983687">
            <w:pPr>
              <w:widowControl/>
              <w:spacing w:line="360" w:lineRule="auto"/>
              <w:jc w:val="left"/>
              <w:rPr>
                <w:rFonts w:hint="eastAsia" w:ascii="仿宋" w:hAnsi="仿宋" w:eastAsia="仿宋" w:cs="仿宋"/>
                <w:i/>
                <w:iCs/>
                <w:color w:val="000000"/>
                <w:kern w:val="0"/>
                <w:sz w:val="24"/>
                <w:szCs w:val="24"/>
                <w:lang w:bidi="ar"/>
              </w:rPr>
            </w:pPr>
          </w:p>
        </w:tc>
      </w:tr>
      <w:tr w14:paraId="226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0B38A611">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23F83ADF">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2FE3C932">
            <w:pPr>
              <w:widowControl/>
              <w:spacing w:line="360" w:lineRule="auto"/>
              <w:jc w:val="left"/>
              <w:rPr>
                <w:rFonts w:hint="eastAsia" w:ascii="仿宋" w:hAnsi="仿宋" w:eastAsia="仿宋" w:cs="仿宋"/>
                <w:i/>
                <w:iCs/>
                <w:color w:val="000000"/>
                <w:kern w:val="0"/>
                <w:sz w:val="24"/>
                <w:szCs w:val="24"/>
                <w:lang w:bidi="ar"/>
              </w:rPr>
            </w:pPr>
          </w:p>
        </w:tc>
      </w:tr>
      <w:tr w14:paraId="4FD9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6EAD20AF">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339B4617">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67A75FDA">
            <w:pPr>
              <w:widowControl/>
              <w:spacing w:line="360" w:lineRule="auto"/>
              <w:jc w:val="left"/>
              <w:rPr>
                <w:rFonts w:hint="eastAsia" w:ascii="仿宋" w:hAnsi="仿宋" w:eastAsia="仿宋" w:cs="仿宋"/>
                <w:i/>
                <w:iCs/>
                <w:color w:val="000000"/>
                <w:kern w:val="0"/>
                <w:sz w:val="24"/>
                <w:szCs w:val="24"/>
                <w:lang w:bidi="ar"/>
              </w:rPr>
            </w:pPr>
          </w:p>
        </w:tc>
      </w:tr>
    </w:tbl>
    <w:p w14:paraId="1148A17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1.4 付款方式和发票开具方式 </w:t>
      </w:r>
    </w:p>
    <w:p w14:paraId="35E4D81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1.4.1 付款方式：</w:t>
      </w:r>
    </w:p>
    <w:p w14:paraId="1693506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1.4.2 发票开具方式：</w:t>
      </w:r>
    </w:p>
    <w:p w14:paraId="4CEC651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1.5 货物交付期限、地点和方式 </w:t>
      </w:r>
    </w:p>
    <w:p w14:paraId="34739619">
      <w:pPr>
        <w:widowControl/>
        <w:spacing w:line="360" w:lineRule="auto"/>
        <w:jc w:val="left"/>
        <w:rPr>
          <w:rFonts w:hint="eastAsia" w:ascii="仿宋" w:hAnsi="仿宋" w:eastAsia="仿宋" w:cs="仿宋"/>
          <w:color w:val="000000"/>
          <w:kern w:val="0"/>
          <w:sz w:val="24"/>
          <w:szCs w:val="24"/>
          <w:u w:val="single"/>
          <w:lang w:bidi="ar"/>
        </w:rPr>
      </w:pPr>
      <w:r>
        <w:rPr>
          <w:rFonts w:hint="eastAsia" w:ascii="仿宋" w:hAnsi="仿宋" w:eastAsia="仿宋" w:cs="仿宋"/>
          <w:color w:val="000000"/>
          <w:kern w:val="0"/>
          <w:sz w:val="24"/>
          <w:szCs w:val="24"/>
          <w:lang w:bidi="ar"/>
        </w:rPr>
        <w:t>1.5.1 交付期限：</w:t>
      </w:r>
    </w:p>
    <w:p w14:paraId="05B06446">
      <w:pPr>
        <w:widowControl/>
        <w:spacing w:line="360" w:lineRule="auto"/>
        <w:jc w:val="left"/>
        <w:rPr>
          <w:rFonts w:ascii="仿宋" w:hAnsi="仿宋" w:eastAsia="仿宋" w:cs="仿宋"/>
          <w:sz w:val="24"/>
          <w:szCs w:val="24"/>
          <w:u w:val="single"/>
        </w:rPr>
      </w:pPr>
      <w:r>
        <w:rPr>
          <w:rFonts w:hint="eastAsia" w:ascii="仿宋" w:hAnsi="仿宋" w:eastAsia="仿宋" w:cs="仿宋"/>
          <w:color w:val="000000"/>
          <w:kern w:val="0"/>
          <w:sz w:val="24"/>
          <w:szCs w:val="24"/>
          <w:lang w:bidi="ar"/>
        </w:rPr>
        <w:t>1.5.2 交付地点：</w:t>
      </w:r>
    </w:p>
    <w:p w14:paraId="5651EEE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1.5.3 交付方式：</w:t>
      </w:r>
    </w:p>
    <w:p w14:paraId="100D2E3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1.6 违约责任 </w:t>
      </w:r>
    </w:p>
    <w:p w14:paraId="6B9FB7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 </w:t>
      </w:r>
    </w:p>
    <w:p w14:paraId="029C894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1.6.2 除不可抗力外，如果甲方没有按照本合同约定的付款方式付款，那么乙方可要求甲方支付违约金，违约金按每迟延付款一日的应付而未付款的%计算，最高限额为本合同总价的 %；迟延付款的违约金计算数额达到前述最高限额之日起，乙方有权在要求甲方支付违约金的同时，书面通知甲方解除本合同； </w:t>
      </w:r>
    </w:p>
    <w:p w14:paraId="0EADD88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349B1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39292EB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0A715DB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44313CB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 合同争议的解决 </w:t>
      </w:r>
    </w:p>
    <w:p w14:paraId="58C617E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本合同履行过程中发生的任何争议，双方当事人均可通过和解或者调解解决；不愿和解、调解或者和解、调解不成的，可以选择下列第种方式解决： </w:t>
      </w:r>
    </w:p>
    <w:p w14:paraId="48DE735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1.7.1 将争议提交 </w:t>
      </w:r>
    </w:p>
    <w:p w14:paraId="74A4AFE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仲裁委员会依申请仲裁时其现行有效的仲裁规则裁决； </w:t>
      </w:r>
    </w:p>
    <w:p w14:paraId="6C384F6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1.7.2 向（被告住所地、合同履行地、合同签订地、原告住所地、标的物所在地等与争议有实际联系的地点中选出的人民法院名称）人民法院起诉。 </w:t>
      </w:r>
    </w:p>
    <w:p w14:paraId="7C1D153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1.8 合同生效</w:t>
      </w:r>
      <w:r>
        <w:rPr>
          <w:rFonts w:hint="eastAsia" w:ascii="仿宋" w:hAnsi="仿宋" w:eastAsia="仿宋" w:cs="仿宋"/>
          <w:color w:val="000000"/>
          <w:kern w:val="0"/>
          <w:sz w:val="24"/>
          <w:szCs w:val="24"/>
          <w:lang w:bidi="ar"/>
        </w:rPr>
        <w:t xml:space="preserve">本合同自双方当事人盖章或者签字时生效。 </w:t>
      </w:r>
    </w:p>
    <w:p w14:paraId="2A5F8E2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甲方</w:t>
      </w:r>
      <w:r>
        <w:rPr>
          <w:rFonts w:hint="eastAsia"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eastAsia="zh-CN" w:bidi="ar"/>
        </w:rPr>
        <w:t>南阳市第十三完全学校</w:t>
      </w:r>
      <w:r>
        <w:rPr>
          <w:rFonts w:hint="eastAsia" w:ascii="仿宋" w:hAnsi="仿宋" w:eastAsia="仿宋" w:cs="仿宋"/>
          <w:color w:val="000000"/>
          <w:kern w:val="0"/>
          <w:sz w:val="24"/>
          <w:szCs w:val="24"/>
          <w:lang w:bidi="ar"/>
        </w:rPr>
        <w:t xml:space="preserve">                     </w:t>
      </w:r>
      <w:r>
        <w:rPr>
          <w:rFonts w:hint="eastAsia" w:ascii="仿宋" w:hAnsi="仿宋" w:eastAsia="仿宋" w:cs="仿宋"/>
          <w:b/>
          <w:bCs/>
          <w:color w:val="000000"/>
          <w:kern w:val="0"/>
          <w:sz w:val="24"/>
          <w:szCs w:val="24"/>
          <w:lang w:bidi="ar"/>
        </w:rPr>
        <w:t>乙方</w:t>
      </w:r>
      <w:r>
        <w:rPr>
          <w:rFonts w:hint="eastAsia" w:ascii="仿宋" w:hAnsi="仿宋" w:eastAsia="仿宋" w:cs="仿宋"/>
          <w:color w:val="000000"/>
          <w:kern w:val="0"/>
          <w:sz w:val="24"/>
          <w:szCs w:val="24"/>
          <w:lang w:bidi="ar"/>
        </w:rPr>
        <w:t xml:space="preserve">： </w:t>
      </w:r>
    </w:p>
    <w:p w14:paraId="7A51A19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统一社会信用代码：                      统一社会信用代码:                          住所：                                  住所： </w:t>
      </w:r>
    </w:p>
    <w:p w14:paraId="51BE55A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法定代表人或授权代表（签字）：          法定代表人或授权代表（签字）： </w:t>
      </w:r>
    </w:p>
    <w:p w14:paraId="206E62F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身份证号码：                            身份证号码： </w:t>
      </w:r>
    </w:p>
    <w:p w14:paraId="64F87AD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联系人：                                联系人： </w:t>
      </w:r>
    </w:p>
    <w:p w14:paraId="04EADF7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约定送达地址：                          约定送达地址：</w:t>
      </w:r>
    </w:p>
    <w:p w14:paraId="0123929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邮政编码：                              邮政编码： </w:t>
      </w:r>
    </w:p>
    <w:p w14:paraId="15DF9CD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电话:                                   电话: </w:t>
      </w:r>
    </w:p>
    <w:p w14:paraId="7937260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传真:                                   传真: </w:t>
      </w:r>
    </w:p>
    <w:p w14:paraId="495B680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电子邮箱：                              电子邮箱： </w:t>
      </w:r>
    </w:p>
    <w:p w14:paraId="6881FF7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开户银行：                               开户银行： </w:t>
      </w:r>
    </w:p>
    <w:p w14:paraId="0230518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开户名称：                               开户名称： </w:t>
      </w:r>
    </w:p>
    <w:p w14:paraId="738CF33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开户账号：                               开户账号：</w:t>
      </w:r>
    </w:p>
    <w:p w14:paraId="3DED2FC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第二部分 合同一般条款 </w:t>
      </w:r>
    </w:p>
    <w:p w14:paraId="57DD176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 定义 </w:t>
      </w:r>
    </w:p>
    <w:p w14:paraId="12CDD6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本合同中的下列词语应按以下内容进行解释： </w:t>
      </w:r>
    </w:p>
    <w:p w14:paraId="5F33045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 “合同”系指采购人和中标供应商签订的载明双方当事人所达成的协议，并包括所有的附件、附录和构成合同的其他文件。 </w:t>
      </w:r>
    </w:p>
    <w:p w14:paraId="4BF35CD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2.1.2 </w:t>
      </w:r>
    </w:p>
    <w:p w14:paraId="77210C3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“合同价”系指根据合同约定，中标供应商在完全履行合同义务后，采购人应支付给中标供应商的价格。 </w:t>
      </w:r>
    </w:p>
    <w:p w14:paraId="39A99D8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 “货物”系指中标供应商根据合同约定应向采购人交付的一切各种形态和种类的物品，包括原材料、燃料、设备、机械、仪表、备件、计算机软件、产品等，并包括工具、手册等其他相关资料。 </w:t>
      </w:r>
    </w:p>
    <w:p w14:paraId="4B8D95E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2.1.4 </w:t>
      </w:r>
    </w:p>
    <w:p w14:paraId="257E84D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“甲方”系指与中标供应商签署合同的采购人；采购人委托采购代理机构代表其与乙方签订合同的，采购人的授权委托书作为合同附件。 </w:t>
      </w:r>
    </w:p>
    <w:p w14:paraId="12F6272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48B0FD2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 </w:t>
      </w:r>
    </w:p>
    <w:p w14:paraId="0368172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“现场”系指合同约定货物将要运至或者安装的地点。 </w:t>
      </w:r>
    </w:p>
    <w:p w14:paraId="50BE67F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 技术规范 </w:t>
      </w:r>
    </w:p>
    <w:p w14:paraId="51D56608">
      <w:pPr>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94197F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2.3 知识产权 </w:t>
      </w:r>
    </w:p>
    <w:p w14:paraId="149AC2F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 </w:t>
      </w:r>
    </w:p>
    <w:p w14:paraId="0510932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2.3.2 具有知识产权的计算机软件等货物的知识产权归属，详见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2EBE488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2.4 包装和装运 </w:t>
      </w:r>
    </w:p>
    <w:p w14:paraId="500FB3E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2.4.1 除</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 </w:t>
      </w:r>
    </w:p>
    <w:p w14:paraId="312B736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2.4.2 装运货物的要求和通知，详见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6C37234F">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 履约检查和问题反馈 </w:t>
      </w:r>
    </w:p>
    <w:p w14:paraId="3F9431F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5D7AA67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2.5.2 合同履行期间，甲方有权将履行过程中出现的问题反馈给乙方，双方当事人应以书面形式约定需要完善和改进的内容。 </w:t>
      </w:r>
    </w:p>
    <w:p w14:paraId="66FF9F5F">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2.6 结算方式和付款条件</w:t>
      </w:r>
      <w:r>
        <w:rPr>
          <w:rFonts w:hint="eastAsia" w:ascii="仿宋" w:hAnsi="仿宋" w:eastAsia="仿宋" w:cs="仿宋"/>
          <w:color w:val="000000"/>
          <w:kern w:val="0"/>
          <w:sz w:val="24"/>
          <w:szCs w:val="24"/>
          <w:lang w:bidi="ar"/>
        </w:rPr>
        <w:t>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37DDCBCF">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2.7 技术资料和保密义务 </w:t>
      </w:r>
    </w:p>
    <w:p w14:paraId="3AB412B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2.7.1 乙方有权依据合同约定和项目需要，向甲方了解有关情况，调阅有关资料等，甲方应予积极配合； </w:t>
      </w:r>
    </w:p>
    <w:p w14:paraId="516910C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2.7.2 乙方有义务妥善保管和保护由甲方提供的前款信息和资料等；</w:t>
      </w:r>
    </w:p>
    <w:p w14:paraId="7D86583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05552CD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2.8 质量保证 </w:t>
      </w:r>
    </w:p>
    <w:p w14:paraId="6CA1E2E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2.8.1 乙方应建立和完善履行合同的内部质量保证体系，并提供相关内部规章制度给甲方，以便甲方进行监督检查； </w:t>
      </w:r>
    </w:p>
    <w:p w14:paraId="71030E7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2.8.2 乙方应保证履行合同的人员数量和素质、软件和硬件设备 </w:t>
      </w:r>
    </w:p>
    <w:p w14:paraId="48D40EE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的配置、场地、环境和设施等满足全面履行合同的要求，并应接受甲 </w:t>
      </w:r>
    </w:p>
    <w:p w14:paraId="6B0175B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方的监督检查。 </w:t>
      </w:r>
    </w:p>
    <w:p w14:paraId="267A96B5">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2.9 货物的风险负担 </w:t>
      </w:r>
    </w:p>
    <w:p w14:paraId="179DB2D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货物或者在途货物或者交付给第一承运人后的货物毁损、灭失的风险负担详见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549A118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2.10 延迟交货 </w:t>
      </w:r>
    </w:p>
    <w:p w14:paraId="3481062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 </w:t>
      </w:r>
    </w:p>
    <w:p w14:paraId="014A672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2.11 合同变更 </w:t>
      </w:r>
    </w:p>
    <w:p w14:paraId="451D7BF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2.11.1 双方当事人协商一致，可以签订书面补充合同的形式变更合同，但不得违背采购文件确定的事项，且如果系追加与合同标的相同的货物的，那么所有补充合同的采购金额不得超过原合同价的 10%； </w:t>
      </w:r>
    </w:p>
    <w:p w14:paraId="1B78F2B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2.11.2 合同继续履行将损害国家利益和社会公共利益的，双方当事人应当以书面形式变更合同。有过错的一方应当承担赔偿责任，双方当事人都有过错的，各自承担相应的责任。 </w:t>
      </w:r>
    </w:p>
    <w:p w14:paraId="65144D38">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2.12 合同转让和转包 </w:t>
      </w:r>
    </w:p>
    <w:p w14:paraId="19E4B2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4EC449C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2.13 不可抗力 </w:t>
      </w:r>
    </w:p>
    <w:p w14:paraId="5D592F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2.13.1 如果任何一方遭遇法律规定的不可抗力，致使合同履行受阻时，履行合同的期限应予延长，延长的期限应相当于不可抗力所影响的时间； </w:t>
      </w:r>
    </w:p>
    <w:p w14:paraId="02E1ED9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2.13.2 因不可抗力致使不能实现合同目的的，当事人可以解除合同；</w:t>
      </w:r>
    </w:p>
    <w:p w14:paraId="50C8720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 因不可抗力致使合同有变更必要的，双方当事人应在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约定时间内以书面形式变更合同；</w:t>
      </w:r>
    </w:p>
    <w:p w14:paraId="3213787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2.13.4 受不可抗力影响的一方在不可抗力发生后，应在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约定时间内以书面形式通知对方当事人，并在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约定时间内，将有关部门出具的证明文件送达对方当事人。 </w:t>
      </w:r>
    </w:p>
    <w:p w14:paraId="76E5495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2.14 税费 </w:t>
      </w:r>
    </w:p>
    <w:p w14:paraId="4D0D72C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与合同有关的一切税费，均按照中华人民共和国法律的相关规定。 </w:t>
      </w:r>
    </w:p>
    <w:p w14:paraId="2404D9C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2.15 乙方破产 </w:t>
      </w:r>
    </w:p>
    <w:p w14:paraId="1B5D111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7F7A310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2.16 合同中止、终止 </w:t>
      </w:r>
    </w:p>
    <w:p w14:paraId="4DB4249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2.16.1 双方当事人不得擅自中止或者终止合同； </w:t>
      </w:r>
    </w:p>
    <w:p w14:paraId="69A7951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2.16.2 合同继续履行将损害国家利益和社会公共利益的，双方当事人应当中止或者终止合同。有过错的一方应当承担赔偿责任，双方当事人都有过错的，各自承担相应的责任。 </w:t>
      </w:r>
    </w:p>
    <w:p w14:paraId="00E8F81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2.17 检验和验收 </w:t>
      </w:r>
    </w:p>
    <w:p w14:paraId="48E0F0F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2.17.1 货物交付前，乙方应对货物的质量、数量等方面进行详细、全面的检验，并向甲方出具证明货物符合合同约定的文件；货物交付时，乙方在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约定时间内组织验收，并可依法邀请相关方参加，验收应出具验收书。 </w:t>
      </w:r>
    </w:p>
    <w:p w14:paraId="504DDAD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2.17.2 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2FFE47F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2.17.3 检验和验收标准、程序等具体内容以及前述验收书的效力详见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i/>
          <w:iCs/>
          <w:color w:val="000000"/>
          <w:kern w:val="0"/>
          <w:sz w:val="24"/>
          <w:szCs w:val="24"/>
          <w:lang w:bidi="ar"/>
        </w:rPr>
        <w:t xml:space="preserve">。 </w:t>
      </w:r>
    </w:p>
    <w:p w14:paraId="0365E9C8">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2.18 通知和送达 </w:t>
      </w:r>
    </w:p>
    <w:p w14:paraId="6D4A11C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 </w:t>
      </w:r>
    </w:p>
    <w:p w14:paraId="601B253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2.18.2 以当面交付方式送达的，交付之时视为送达；以电子邮件方式送达的，发出电子邮件之时视为送达；以传真方式送达的，发出传真之时视为送达；以邮寄方式送达的，邮件挂号寄出或者交邮之日之次日视为送达。 </w:t>
      </w:r>
    </w:p>
    <w:p w14:paraId="6404C495">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2.19 计量单位 </w:t>
      </w:r>
    </w:p>
    <w:p w14:paraId="09034B3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除技术规范中另有规定外,合同的计量单位均使用国家法定计量单位。</w:t>
      </w:r>
    </w:p>
    <w:p w14:paraId="753E5CA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2.20 合同使用的文字和适用的法律 </w:t>
      </w:r>
    </w:p>
    <w:p w14:paraId="579E67B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2.20.1 合同使用汉语书就、变更和解释； </w:t>
      </w:r>
    </w:p>
    <w:p w14:paraId="28C39CC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2.20.2 合同适用中华人民共和国法律。 </w:t>
      </w:r>
    </w:p>
    <w:p w14:paraId="015ED8B5">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2.21 履约保证金 </w:t>
      </w:r>
    </w:p>
    <w:p w14:paraId="1C4F51A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依据河南省财政厅豫财购（2019）4 号文要求，鼓励采购人免收履约保证金或降低缴纳比例。 </w:t>
      </w:r>
    </w:p>
    <w:p w14:paraId="7DFC3011">
      <w:pPr>
        <w:widowControl/>
        <w:spacing w:line="360" w:lineRule="auto"/>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2.21 合同份数</w:t>
      </w:r>
    </w:p>
    <w:p w14:paraId="0D52F45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合同份数按</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规定，每份均具有同等法律效力。 </w:t>
      </w:r>
    </w:p>
    <w:p w14:paraId="37E9439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第三部分 合同专用条款 </w:t>
      </w:r>
    </w:p>
    <w:p w14:paraId="45ECEB8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本部分是对前两部分的补充和修改，如果前两部分和本部分的约定不一致，应以本部分的约定为准。本部分的条款号应与前两部分的条款号保持对应；与前两部分无对应关系的内容可另行编制条款号。 </w:t>
      </w:r>
    </w:p>
    <w:tbl>
      <w:tblPr>
        <w:tblStyle w:val="18"/>
        <w:tblW w:w="897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10"/>
      </w:tblGrid>
      <w:tr w14:paraId="0072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2B4546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条款号</w:t>
            </w:r>
          </w:p>
        </w:tc>
        <w:tc>
          <w:tcPr>
            <w:tcW w:w="8010" w:type="dxa"/>
            <w:noWrap w:val="0"/>
            <w:vAlign w:val="center"/>
          </w:tcPr>
          <w:p w14:paraId="4DE92F5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约定内容</w:t>
            </w:r>
          </w:p>
        </w:tc>
      </w:tr>
      <w:tr w14:paraId="3D4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B2A1EE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2.3.2</w:t>
            </w:r>
          </w:p>
        </w:tc>
        <w:tc>
          <w:tcPr>
            <w:tcW w:w="8010" w:type="dxa"/>
            <w:noWrap w:val="0"/>
            <w:vAlign w:val="center"/>
          </w:tcPr>
          <w:p w14:paraId="03E8FD06">
            <w:pPr>
              <w:widowControl/>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具有知识产权的计算机软件等货物的知识产权归属依照双方关于知识产权方面的约定,甲方不承担因知识产权起诉而由此发生的一切责任、费用和赔偿。</w:t>
            </w:r>
          </w:p>
        </w:tc>
      </w:tr>
      <w:tr w14:paraId="4024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E3FC8B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2.4.2</w:t>
            </w:r>
          </w:p>
        </w:tc>
        <w:tc>
          <w:tcPr>
            <w:tcW w:w="8010" w:type="dxa"/>
            <w:noWrap w:val="0"/>
            <w:vAlign w:val="center"/>
          </w:tcPr>
          <w:p w14:paraId="3F456E88">
            <w:pPr>
              <w:widowControl/>
              <w:jc w:val="center"/>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装运货物的要求和通知，依照国家和行业标准。</w:t>
            </w:r>
          </w:p>
        </w:tc>
      </w:tr>
      <w:tr w14:paraId="1251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5D8E8C4">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8010" w:type="dxa"/>
            <w:noWrap w:val="0"/>
            <w:vAlign w:val="center"/>
          </w:tcPr>
          <w:p w14:paraId="64C6772A">
            <w:pPr>
              <w:widowControl/>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结算方式和付款条件:结算方式为支付结算,付款条件为验收合格</w:t>
            </w:r>
          </w:p>
        </w:tc>
      </w:tr>
      <w:tr w14:paraId="439F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DA9837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2.9</w:t>
            </w:r>
          </w:p>
        </w:tc>
        <w:tc>
          <w:tcPr>
            <w:tcW w:w="8010" w:type="dxa"/>
            <w:noWrap w:val="0"/>
            <w:vAlign w:val="center"/>
          </w:tcPr>
          <w:p w14:paraId="44DE71C2">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货物的风险负担:货物或者在途货物或者交付给第一承运人后的货物毁损、灭失的风险负担由乙方承担。</w:t>
            </w:r>
          </w:p>
        </w:tc>
      </w:tr>
      <w:tr w14:paraId="5620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F9B61A1">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w:t>
            </w:r>
          </w:p>
        </w:tc>
        <w:tc>
          <w:tcPr>
            <w:tcW w:w="8010" w:type="dxa"/>
            <w:noWrap w:val="0"/>
            <w:vAlign w:val="center"/>
          </w:tcPr>
          <w:p w14:paraId="287E9433">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因不可抗力致使合同有变更必要的，双方当事人应在不可抗力因素消除后以书面形式变更合同</w:t>
            </w:r>
          </w:p>
        </w:tc>
      </w:tr>
      <w:tr w14:paraId="7A98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828F4C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2.13.4</w:t>
            </w:r>
          </w:p>
        </w:tc>
        <w:tc>
          <w:tcPr>
            <w:tcW w:w="8010" w:type="dxa"/>
            <w:noWrap w:val="0"/>
            <w:vAlign w:val="center"/>
          </w:tcPr>
          <w:p w14:paraId="41147176">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受不可抗力影响的一方在不可抗力发生后，应在不可抗力因素消除后以书面形式通知对方当事人，并在双方约定时间内，将有关部门出具的证明文件送达对方当事人。</w:t>
            </w:r>
          </w:p>
        </w:tc>
      </w:tr>
      <w:tr w14:paraId="77ED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A68C262">
            <w:pPr>
              <w:widowControl/>
              <w:jc w:val="center"/>
              <w:rPr>
                <w:rFonts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2.17.1</w:t>
            </w:r>
          </w:p>
        </w:tc>
        <w:tc>
          <w:tcPr>
            <w:tcW w:w="8010" w:type="dxa"/>
            <w:noWrap w:val="0"/>
            <w:vAlign w:val="center"/>
          </w:tcPr>
          <w:p w14:paraId="2F47BADD">
            <w:pPr>
              <w:widowControl/>
              <w:jc w:val="center"/>
              <w:rPr>
                <w:rFonts w:hint="eastAsia"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货物交付时，乙方在双方约定时间内组织验收，并可依法邀请相关方参加，验收应出具验收书。</w:t>
            </w:r>
          </w:p>
        </w:tc>
      </w:tr>
      <w:tr w14:paraId="052F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9B7C384">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2.17.3</w:t>
            </w:r>
          </w:p>
        </w:tc>
        <w:tc>
          <w:tcPr>
            <w:tcW w:w="8010" w:type="dxa"/>
            <w:noWrap w:val="0"/>
            <w:vAlign w:val="center"/>
          </w:tcPr>
          <w:p w14:paraId="3F8D7846">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检验和验收标准、程序等具体内容以及前述验收书的效力按照国家和行业标准执行</w:t>
            </w:r>
            <w:r>
              <w:rPr>
                <w:rFonts w:hint="eastAsia" w:ascii="仿宋" w:hAnsi="仿宋" w:eastAsia="仿宋" w:cs="仿宋"/>
                <w:i/>
                <w:iCs/>
                <w:color w:val="000000"/>
                <w:kern w:val="0"/>
                <w:sz w:val="24"/>
                <w:szCs w:val="24"/>
                <w:lang w:bidi="ar"/>
              </w:rPr>
              <w:t>。</w:t>
            </w:r>
          </w:p>
        </w:tc>
      </w:tr>
      <w:tr w14:paraId="6CC3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CF96C28">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2.21</w:t>
            </w:r>
          </w:p>
        </w:tc>
        <w:tc>
          <w:tcPr>
            <w:tcW w:w="8010" w:type="dxa"/>
            <w:noWrap w:val="0"/>
            <w:vAlign w:val="center"/>
          </w:tcPr>
          <w:p w14:paraId="530522F7">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合同份数共6份，每份均具有同等法律效力。</w:t>
            </w:r>
          </w:p>
        </w:tc>
      </w:tr>
    </w:tbl>
    <w:p w14:paraId="317C4937">
      <w:pPr>
        <w:pStyle w:val="17"/>
        <w:ind w:firstLine="0" w:firstLineChars="0"/>
        <w:rPr>
          <w:rFonts w:ascii="宋体" w:hAnsi="宋体" w:cs="宋体"/>
        </w:rPr>
      </w:pPr>
      <w:r>
        <w:rPr>
          <w:rFonts w:hint="eastAsia" w:ascii="宋体" w:hAnsi="宋体" w:cs="宋体"/>
          <w:b/>
        </w:rPr>
        <w:t>注：以上合同格式供采购人和中标单位参考，采购人和中标单位可自行增加或递减合同的相应条款和约束内容。</w:t>
      </w:r>
    </w:p>
    <w:p w14:paraId="3B55AB12">
      <w:pPr>
        <w:pStyle w:val="17"/>
        <w:ind w:firstLine="0" w:firstLineChars="0"/>
        <w:rPr>
          <w:rFonts w:ascii="宋体" w:hAnsi="宋体" w:cs="宋体"/>
        </w:rPr>
      </w:pPr>
    </w:p>
    <w:p w14:paraId="3FE86900">
      <w:pPr>
        <w:widowControl/>
        <w:autoSpaceDE w:val="0"/>
        <w:adjustRightInd w:val="0"/>
        <w:ind w:firstLine="480"/>
        <w:jc w:val="left"/>
        <w:rPr>
          <w:rFonts w:ascii="宋体" w:hAnsi="宋体" w:cs="宋体"/>
        </w:rPr>
      </w:pPr>
      <w:r>
        <w:rPr>
          <w:rFonts w:hint="eastAsia"/>
        </w:rPr>
        <w:br w:type="page"/>
      </w:r>
    </w:p>
    <w:p w14:paraId="46C700E6">
      <w:pPr>
        <w:autoSpaceDE w:val="0"/>
        <w:autoSpaceDN w:val="0"/>
        <w:adjustRightInd w:val="0"/>
        <w:ind w:firstLine="480"/>
        <w:jc w:val="left"/>
        <w:rPr>
          <w:rFonts w:ascii="宋体" w:hAnsi="宋体" w:cs="宋体"/>
        </w:rPr>
      </w:pPr>
    </w:p>
    <w:p w14:paraId="404D8B61">
      <w:pPr>
        <w:pStyle w:val="2"/>
      </w:pPr>
      <w:bookmarkStart w:id="150" w:name="_Toc1455"/>
      <w:bookmarkEnd w:id="150"/>
      <w:bookmarkStart w:id="151" w:name="_Toc23506_WPSOffice_Level1"/>
      <w:bookmarkStart w:id="152" w:name="_Toc2712"/>
      <w:bookmarkStart w:id="153" w:name="_Toc23474"/>
      <w:bookmarkStart w:id="154" w:name="_Toc22979"/>
      <w:r>
        <w:t>第六章投标文件部分格式</w:t>
      </w:r>
      <w:bookmarkEnd w:id="151"/>
      <w:bookmarkEnd w:id="152"/>
      <w:bookmarkEnd w:id="153"/>
      <w:bookmarkEnd w:id="154"/>
    </w:p>
    <w:p w14:paraId="685C23BB">
      <w:pPr>
        <w:autoSpaceDE w:val="0"/>
        <w:autoSpaceDN w:val="0"/>
        <w:adjustRightInd w:val="0"/>
        <w:spacing w:line="480" w:lineRule="exact"/>
        <w:ind w:firstLine="480"/>
        <w:jc w:val="center"/>
        <w:rPr>
          <w:rFonts w:ascii="宋体" w:hAnsi="宋体" w:cs="宋体"/>
        </w:rPr>
      </w:pPr>
    </w:p>
    <w:p w14:paraId="34B10CC4">
      <w:pPr>
        <w:autoSpaceDE w:val="0"/>
        <w:autoSpaceDN w:val="0"/>
        <w:adjustRightInd w:val="0"/>
        <w:spacing w:line="480" w:lineRule="exact"/>
        <w:ind w:left="914" w:right="-20" w:firstLine="720"/>
        <w:jc w:val="left"/>
        <w:rPr>
          <w:rFonts w:ascii="宋体" w:hAnsi="宋体" w:cs="宋体"/>
          <w:sz w:val="36"/>
          <w:szCs w:val="36"/>
          <w:u w:val="single"/>
        </w:rPr>
      </w:pPr>
    </w:p>
    <w:p w14:paraId="4DB9CB42">
      <w:pPr>
        <w:ind w:firstLine="1400" w:firstLineChars="500"/>
        <w:rPr>
          <w:sz w:val="36"/>
          <w:szCs w:val="36"/>
        </w:rPr>
      </w:pPr>
      <w:r>
        <w:rPr>
          <w:rFonts w:hint="eastAsia"/>
          <w:sz w:val="28"/>
          <w:szCs w:val="28"/>
        </w:rPr>
        <w:tab/>
      </w:r>
      <w:bookmarkStart w:id="155" w:name="_Toc13625"/>
      <w:bookmarkStart w:id="156" w:name="_Toc15697_WPSOffice_Level1"/>
      <w:r>
        <w:rPr>
          <w:rFonts w:hint="eastAsia"/>
          <w:sz w:val="36"/>
          <w:szCs w:val="36"/>
          <w:u w:val="single"/>
        </w:rPr>
        <w:t xml:space="preserve">（项目名称）                </w:t>
      </w:r>
      <w:r>
        <w:rPr>
          <w:rFonts w:hint="eastAsia"/>
          <w:sz w:val="36"/>
          <w:szCs w:val="36"/>
        </w:rPr>
        <w:t>项目</w:t>
      </w:r>
      <w:bookmarkEnd w:id="155"/>
      <w:bookmarkEnd w:id="156"/>
      <w:r>
        <w:rPr>
          <w:rFonts w:hint="eastAsia"/>
          <w:sz w:val="36"/>
          <w:szCs w:val="36"/>
        </w:rPr>
        <w:t>（标段）</w:t>
      </w:r>
    </w:p>
    <w:p w14:paraId="26F20E6A">
      <w:pPr>
        <w:autoSpaceDE w:val="0"/>
        <w:autoSpaceDN w:val="0"/>
        <w:adjustRightInd w:val="0"/>
        <w:spacing w:line="480" w:lineRule="exact"/>
        <w:ind w:firstLine="480"/>
        <w:jc w:val="center"/>
        <w:rPr>
          <w:rFonts w:ascii="宋体" w:hAnsi="宋体" w:cs="宋体"/>
        </w:rPr>
      </w:pPr>
    </w:p>
    <w:p w14:paraId="3EB9FDE8">
      <w:pPr>
        <w:ind w:firstLine="1800" w:firstLineChars="500"/>
        <w:rPr>
          <w:sz w:val="32"/>
          <w:szCs w:val="32"/>
        </w:rPr>
      </w:pPr>
      <w:bookmarkStart w:id="157" w:name="_Toc1469_WPSOffice_Level1"/>
      <w:bookmarkStart w:id="158" w:name="_Toc20892"/>
      <w:r>
        <w:rPr>
          <w:rFonts w:hint="eastAsia"/>
          <w:sz w:val="36"/>
          <w:szCs w:val="36"/>
        </w:rPr>
        <w:t>项目编号：</w:t>
      </w:r>
      <w:bookmarkEnd w:id="157"/>
      <w:bookmarkEnd w:id="158"/>
    </w:p>
    <w:p w14:paraId="769F89DA">
      <w:pPr>
        <w:autoSpaceDE w:val="0"/>
        <w:autoSpaceDN w:val="0"/>
        <w:adjustRightInd w:val="0"/>
        <w:spacing w:before="15" w:line="480" w:lineRule="exact"/>
        <w:ind w:firstLine="480"/>
        <w:jc w:val="center"/>
        <w:rPr>
          <w:rFonts w:ascii="宋体" w:hAnsi="宋体" w:cs="宋体"/>
        </w:rPr>
      </w:pPr>
    </w:p>
    <w:p w14:paraId="66782AE2">
      <w:pPr>
        <w:autoSpaceDE w:val="0"/>
        <w:autoSpaceDN w:val="0"/>
        <w:adjustRightInd w:val="0"/>
        <w:spacing w:before="15" w:line="480" w:lineRule="exact"/>
        <w:ind w:firstLine="480"/>
        <w:jc w:val="center"/>
        <w:rPr>
          <w:rFonts w:ascii="宋体" w:hAnsi="宋体" w:cs="宋体"/>
        </w:rPr>
      </w:pPr>
    </w:p>
    <w:p w14:paraId="0D67B63E">
      <w:pPr>
        <w:jc w:val="center"/>
        <w:rPr>
          <w:b/>
          <w:bCs/>
          <w:sz w:val="48"/>
          <w:szCs w:val="48"/>
        </w:rPr>
      </w:pPr>
      <w:bookmarkStart w:id="159" w:name="_Toc32596_WPSOffice_Level1"/>
      <w:bookmarkStart w:id="160" w:name="_Toc30951"/>
      <w:r>
        <w:rPr>
          <w:rFonts w:hint="eastAsia"/>
          <w:b/>
          <w:bCs/>
          <w:sz w:val="48"/>
          <w:szCs w:val="48"/>
        </w:rPr>
        <w:t>投标文件</w:t>
      </w:r>
      <w:bookmarkEnd w:id="159"/>
      <w:bookmarkEnd w:id="160"/>
    </w:p>
    <w:p w14:paraId="7F3B5054">
      <w:pPr>
        <w:autoSpaceDE w:val="0"/>
        <w:autoSpaceDN w:val="0"/>
        <w:adjustRightInd w:val="0"/>
        <w:spacing w:line="480" w:lineRule="exact"/>
        <w:ind w:firstLine="640"/>
        <w:jc w:val="center"/>
        <w:rPr>
          <w:rFonts w:ascii="宋体" w:hAnsi="宋体" w:cs="宋体"/>
          <w:sz w:val="32"/>
          <w:szCs w:val="32"/>
        </w:rPr>
      </w:pPr>
    </w:p>
    <w:p w14:paraId="59307C0A">
      <w:pPr>
        <w:autoSpaceDE w:val="0"/>
        <w:autoSpaceDN w:val="0"/>
        <w:adjustRightInd w:val="0"/>
        <w:spacing w:line="480" w:lineRule="exact"/>
        <w:ind w:firstLine="480"/>
        <w:jc w:val="center"/>
        <w:rPr>
          <w:rFonts w:ascii="宋体" w:hAnsi="宋体" w:cs="宋体"/>
        </w:rPr>
      </w:pPr>
    </w:p>
    <w:p w14:paraId="7D80F406">
      <w:pPr>
        <w:autoSpaceDE w:val="0"/>
        <w:autoSpaceDN w:val="0"/>
        <w:adjustRightInd w:val="0"/>
        <w:spacing w:line="480" w:lineRule="exact"/>
        <w:ind w:firstLine="480"/>
        <w:jc w:val="center"/>
        <w:rPr>
          <w:rFonts w:ascii="宋体" w:hAnsi="宋体" w:cs="宋体"/>
        </w:rPr>
      </w:pPr>
    </w:p>
    <w:p w14:paraId="51C92558">
      <w:pPr>
        <w:autoSpaceDE w:val="0"/>
        <w:autoSpaceDN w:val="0"/>
        <w:adjustRightInd w:val="0"/>
        <w:spacing w:line="480" w:lineRule="exact"/>
        <w:ind w:firstLine="480"/>
        <w:jc w:val="center"/>
        <w:rPr>
          <w:rFonts w:ascii="宋体" w:hAnsi="宋体" w:cs="宋体"/>
        </w:rPr>
      </w:pPr>
    </w:p>
    <w:p w14:paraId="3815DE3E">
      <w:pPr>
        <w:autoSpaceDE w:val="0"/>
        <w:autoSpaceDN w:val="0"/>
        <w:adjustRightInd w:val="0"/>
        <w:spacing w:line="480" w:lineRule="exact"/>
        <w:ind w:firstLine="480"/>
        <w:jc w:val="center"/>
        <w:rPr>
          <w:rFonts w:ascii="宋体" w:hAnsi="宋体" w:cs="宋体"/>
        </w:rPr>
      </w:pPr>
    </w:p>
    <w:p w14:paraId="21F25218">
      <w:pPr>
        <w:pStyle w:val="17"/>
        <w:widowControl/>
        <w:rPr>
          <w:rFonts w:cs="宋体"/>
        </w:rPr>
      </w:pPr>
    </w:p>
    <w:p w14:paraId="594E9BFD">
      <w:pPr>
        <w:autoSpaceDE w:val="0"/>
        <w:autoSpaceDN w:val="0"/>
        <w:adjustRightInd w:val="0"/>
        <w:ind w:firstLine="480"/>
        <w:jc w:val="left"/>
        <w:rPr>
          <w:rFonts w:ascii="宋体" w:hAnsi="宋体" w:cs="宋体"/>
        </w:rPr>
      </w:pPr>
    </w:p>
    <w:p w14:paraId="6F07F9FC">
      <w:pPr>
        <w:pStyle w:val="17"/>
        <w:widowControl/>
        <w:rPr>
          <w:rFonts w:cs="宋体"/>
        </w:rPr>
      </w:pPr>
    </w:p>
    <w:p w14:paraId="2C4C7522">
      <w:pPr>
        <w:ind w:firstLine="560"/>
        <w:rPr>
          <w:rFonts w:ascii="宋体" w:hAnsi="宋体" w:cs="宋体"/>
          <w:szCs w:val="28"/>
        </w:rPr>
      </w:pPr>
      <w:bookmarkStart w:id="161" w:name="_Toc10866"/>
      <w:bookmarkStart w:id="162" w:name="_Toc19802_WPSOffice_Level1"/>
      <w:r>
        <w:rPr>
          <w:rFonts w:hint="eastAsia"/>
          <w:sz w:val="28"/>
          <w:szCs w:val="28"/>
        </w:rPr>
        <w:t>投标人：（盖单位电子章）</w:t>
      </w:r>
      <w:bookmarkEnd w:id="161"/>
      <w:bookmarkEnd w:id="162"/>
    </w:p>
    <w:p w14:paraId="4552C0E6">
      <w:pPr>
        <w:autoSpaceDE w:val="0"/>
        <w:autoSpaceDN w:val="0"/>
        <w:adjustRightInd w:val="0"/>
        <w:spacing w:line="480" w:lineRule="exact"/>
        <w:ind w:left="774" w:right="403" w:firstLine="560"/>
        <w:jc w:val="left"/>
        <w:rPr>
          <w:rFonts w:ascii="宋体" w:hAnsi="宋体" w:cs="宋体"/>
          <w:sz w:val="28"/>
          <w:szCs w:val="28"/>
        </w:rPr>
      </w:pPr>
    </w:p>
    <w:p w14:paraId="56428469">
      <w:pPr>
        <w:ind w:firstLine="560"/>
        <w:rPr>
          <w:sz w:val="28"/>
          <w:szCs w:val="28"/>
        </w:rPr>
      </w:pPr>
      <w:bookmarkStart w:id="163" w:name="_Toc25959_WPSOffice_Level1"/>
      <w:bookmarkStart w:id="164" w:name="_Toc19582"/>
      <w:r>
        <w:rPr>
          <w:rFonts w:hint="eastAsia"/>
          <w:sz w:val="28"/>
          <w:szCs w:val="28"/>
        </w:rPr>
        <w:t>法定代表人或其委托代理人：______________（签字或盖电子章）</w:t>
      </w:r>
      <w:bookmarkEnd w:id="163"/>
      <w:bookmarkEnd w:id="164"/>
    </w:p>
    <w:p w14:paraId="5A4FF979">
      <w:pPr>
        <w:autoSpaceDE w:val="0"/>
        <w:autoSpaceDN w:val="0"/>
        <w:adjustRightInd w:val="0"/>
        <w:spacing w:line="480" w:lineRule="exact"/>
        <w:ind w:left="774" w:right="403" w:firstLine="560"/>
        <w:jc w:val="left"/>
        <w:rPr>
          <w:rFonts w:ascii="宋体" w:hAnsi="宋体" w:cs="宋体"/>
          <w:sz w:val="28"/>
          <w:szCs w:val="28"/>
        </w:rPr>
      </w:pPr>
    </w:p>
    <w:p w14:paraId="0325B97F">
      <w:pPr>
        <w:ind w:firstLine="560"/>
        <w:rPr>
          <w:sz w:val="28"/>
          <w:szCs w:val="28"/>
        </w:rPr>
      </w:pPr>
      <w:bookmarkStart w:id="165" w:name="_Toc8294"/>
      <w:bookmarkStart w:id="166" w:name="_Toc4674_WPSOffice_Level1"/>
      <w:r>
        <w:rPr>
          <w:rFonts w:hint="eastAsia"/>
          <w:sz w:val="28"/>
          <w:szCs w:val="28"/>
        </w:rPr>
        <w:t>日期：年月日</w:t>
      </w:r>
      <w:bookmarkEnd w:id="165"/>
      <w:bookmarkEnd w:id="166"/>
    </w:p>
    <w:p w14:paraId="366AE4ED">
      <w:pPr>
        <w:autoSpaceDE w:val="0"/>
        <w:autoSpaceDN w:val="0"/>
        <w:adjustRightInd w:val="0"/>
        <w:spacing w:line="480" w:lineRule="exact"/>
        <w:ind w:left="774" w:right="403" w:firstLine="560"/>
        <w:jc w:val="left"/>
        <w:rPr>
          <w:rFonts w:ascii="宋体" w:hAnsi="宋体" w:cs="宋体"/>
          <w:sz w:val="28"/>
          <w:szCs w:val="28"/>
        </w:rPr>
      </w:pPr>
    </w:p>
    <w:p w14:paraId="448D6344">
      <w:pPr>
        <w:ind w:firstLine="480"/>
        <w:jc w:val="center"/>
        <w:rPr>
          <w:sz w:val="44"/>
          <w:szCs w:val="44"/>
        </w:rPr>
      </w:pPr>
      <w:r>
        <w:rPr>
          <w:rFonts w:hint="eastAsia" w:ascii="宋体" w:hAnsi="宋体" w:cs="宋体"/>
          <w:szCs w:val="28"/>
        </w:rPr>
        <w:br w:type="page"/>
      </w:r>
      <w:bookmarkStart w:id="167" w:name="_Toc10139_WPSOffice_Level1"/>
      <w:bookmarkStart w:id="168" w:name="_Toc30586"/>
      <w:r>
        <w:rPr>
          <w:rFonts w:hint="eastAsia"/>
          <w:sz w:val="44"/>
          <w:szCs w:val="44"/>
        </w:rPr>
        <w:t>目录</w:t>
      </w:r>
      <w:bookmarkEnd w:id="167"/>
      <w:bookmarkEnd w:id="168"/>
    </w:p>
    <w:p w14:paraId="5B4BB744">
      <w:pPr>
        <w:ind w:firstLine="480"/>
      </w:pPr>
      <w:bookmarkStart w:id="169" w:name="_Toc332961927"/>
      <w:bookmarkEnd w:id="169"/>
      <w:bookmarkStart w:id="170" w:name="_Toc340910910"/>
      <w:bookmarkEnd w:id="170"/>
      <w:bookmarkStart w:id="171" w:name="_Toc252830643"/>
      <w:bookmarkEnd w:id="171"/>
      <w:bookmarkStart w:id="172" w:name="_Toc262483518"/>
      <w:bookmarkEnd w:id="172"/>
    </w:p>
    <w:p w14:paraId="4A0755E1">
      <w:pPr>
        <w:ind w:firstLine="480"/>
      </w:pPr>
      <w:r>
        <w:rPr>
          <w:rFonts w:hint="eastAsia"/>
        </w:rPr>
        <w:t>格式自拟</w:t>
      </w:r>
    </w:p>
    <w:p w14:paraId="79C59CED">
      <w:pPr>
        <w:autoSpaceDE w:val="0"/>
        <w:autoSpaceDN w:val="0"/>
        <w:adjustRightInd w:val="0"/>
        <w:spacing w:line="440" w:lineRule="exact"/>
        <w:ind w:firstLine="630" w:firstLineChars="300"/>
        <w:jc w:val="left"/>
        <w:rPr>
          <w:rFonts w:ascii="宋体" w:hAnsi="宋体" w:cs="宋体"/>
        </w:rPr>
      </w:pPr>
    </w:p>
    <w:p w14:paraId="6D2745FC">
      <w:pPr>
        <w:autoSpaceDE w:val="0"/>
        <w:autoSpaceDN w:val="0"/>
        <w:adjustRightInd w:val="0"/>
        <w:spacing w:line="440" w:lineRule="exact"/>
        <w:ind w:firstLine="630" w:firstLineChars="300"/>
        <w:jc w:val="left"/>
        <w:rPr>
          <w:rFonts w:ascii="宋体" w:hAnsi="宋体" w:cs="宋体"/>
        </w:rPr>
      </w:pPr>
    </w:p>
    <w:p w14:paraId="71311C38">
      <w:pPr>
        <w:autoSpaceDE w:val="0"/>
        <w:autoSpaceDN w:val="0"/>
        <w:adjustRightInd w:val="0"/>
        <w:spacing w:line="440" w:lineRule="exact"/>
        <w:ind w:firstLine="630" w:firstLineChars="300"/>
        <w:jc w:val="left"/>
        <w:rPr>
          <w:rFonts w:ascii="宋体" w:hAnsi="宋体" w:cs="宋体"/>
        </w:rPr>
      </w:pPr>
    </w:p>
    <w:p w14:paraId="31C4A813">
      <w:pPr>
        <w:autoSpaceDE w:val="0"/>
        <w:autoSpaceDN w:val="0"/>
        <w:adjustRightInd w:val="0"/>
        <w:spacing w:line="440" w:lineRule="exact"/>
        <w:ind w:firstLine="630" w:firstLineChars="300"/>
        <w:jc w:val="left"/>
        <w:rPr>
          <w:rFonts w:ascii="宋体" w:hAnsi="宋体" w:cs="宋体"/>
        </w:rPr>
      </w:pPr>
    </w:p>
    <w:p w14:paraId="2C2DAB25">
      <w:pPr>
        <w:autoSpaceDE w:val="0"/>
        <w:autoSpaceDN w:val="0"/>
        <w:adjustRightInd w:val="0"/>
        <w:spacing w:line="440" w:lineRule="exact"/>
        <w:ind w:firstLine="630" w:firstLineChars="300"/>
        <w:jc w:val="left"/>
        <w:rPr>
          <w:rFonts w:ascii="宋体" w:hAnsi="宋体" w:cs="宋体"/>
        </w:rPr>
      </w:pPr>
    </w:p>
    <w:p w14:paraId="32D75E1C">
      <w:pPr>
        <w:autoSpaceDE w:val="0"/>
        <w:autoSpaceDN w:val="0"/>
        <w:adjustRightInd w:val="0"/>
        <w:spacing w:line="440" w:lineRule="exact"/>
        <w:ind w:firstLine="630" w:firstLineChars="300"/>
        <w:jc w:val="left"/>
        <w:rPr>
          <w:rFonts w:ascii="宋体" w:hAnsi="宋体" w:cs="宋体"/>
        </w:rPr>
      </w:pPr>
    </w:p>
    <w:p w14:paraId="0A60FE0F">
      <w:pPr>
        <w:autoSpaceDE w:val="0"/>
        <w:autoSpaceDN w:val="0"/>
        <w:adjustRightInd w:val="0"/>
        <w:spacing w:line="440" w:lineRule="exact"/>
        <w:ind w:firstLine="630" w:firstLineChars="300"/>
        <w:jc w:val="left"/>
        <w:rPr>
          <w:rFonts w:ascii="宋体" w:hAnsi="宋体" w:cs="宋体"/>
        </w:rPr>
      </w:pPr>
    </w:p>
    <w:p w14:paraId="7AE85484">
      <w:pPr>
        <w:autoSpaceDE w:val="0"/>
        <w:autoSpaceDN w:val="0"/>
        <w:adjustRightInd w:val="0"/>
        <w:spacing w:line="440" w:lineRule="exact"/>
        <w:ind w:firstLine="630" w:firstLineChars="300"/>
        <w:jc w:val="left"/>
        <w:rPr>
          <w:rFonts w:ascii="宋体" w:hAnsi="宋体" w:cs="宋体"/>
        </w:rPr>
      </w:pPr>
    </w:p>
    <w:p w14:paraId="6BA94AD7">
      <w:pPr>
        <w:ind w:firstLine="482"/>
        <w:rPr>
          <w:rFonts w:ascii="宋体" w:hAnsi="宋体" w:cs="宋体"/>
          <w:b/>
        </w:rPr>
        <w:sectPr>
          <w:footerReference r:id="rId9" w:type="default"/>
          <w:pgSz w:w="11906" w:h="16838"/>
          <w:pgMar w:top="1080" w:right="1440" w:bottom="1080" w:left="1440" w:header="720" w:footer="720" w:gutter="0"/>
          <w:cols w:space="720" w:num="1"/>
          <w:docGrid w:type="lines" w:linePitch="312" w:charSpace="0"/>
        </w:sectPr>
      </w:pPr>
    </w:p>
    <w:p w14:paraId="5EA05C4B">
      <w:pPr>
        <w:pStyle w:val="3"/>
        <w:jc w:val="center"/>
      </w:pPr>
      <w:bookmarkStart w:id="173" w:name="_Toc214173926"/>
      <w:bookmarkEnd w:id="173"/>
      <w:bookmarkStart w:id="174" w:name="_Toc14084"/>
      <w:r>
        <w:rPr>
          <w:rFonts w:hint="eastAsia"/>
        </w:rPr>
        <w:t>一、投标函</w:t>
      </w:r>
      <w:bookmarkEnd w:id="174"/>
    </w:p>
    <w:p w14:paraId="64F7D48F">
      <w:pPr>
        <w:autoSpaceDE w:val="0"/>
        <w:autoSpaceDN w:val="0"/>
        <w:adjustRightInd w:val="0"/>
        <w:spacing w:line="500" w:lineRule="exact"/>
        <w:ind w:firstLine="480"/>
        <w:jc w:val="left"/>
        <w:rPr>
          <w:rFonts w:ascii="宋体" w:hAnsi="宋体" w:cs="宋体"/>
        </w:rPr>
      </w:pPr>
      <w:r>
        <w:rPr>
          <w:rFonts w:hint="eastAsia" w:ascii="宋体" w:hAnsi="宋体" w:cs="宋体"/>
          <w:kern w:val="0"/>
        </w:rPr>
        <w:t>致：</w:t>
      </w:r>
      <w:r>
        <w:rPr>
          <w:rFonts w:hint="eastAsia" w:ascii="宋体" w:hAnsi="宋体" w:cs="宋体"/>
          <w:kern w:val="0"/>
          <w:u w:val="single"/>
        </w:rPr>
        <w:t xml:space="preserve">     （采购人）</w:t>
      </w:r>
    </w:p>
    <w:p w14:paraId="3B0A8991">
      <w:pPr>
        <w:autoSpaceDE w:val="0"/>
        <w:autoSpaceDN w:val="0"/>
        <w:adjustRightInd w:val="0"/>
        <w:ind w:firstLine="480"/>
        <w:jc w:val="left"/>
        <w:rPr>
          <w:rFonts w:ascii="宋体" w:hAnsi="宋体" w:cs="宋体"/>
        </w:rPr>
      </w:pPr>
      <w:r>
        <w:rPr>
          <w:rFonts w:hint="eastAsia" w:ascii="宋体" w:hAnsi="宋体" w:cs="宋体"/>
          <w:kern w:val="0"/>
        </w:rPr>
        <w:t>经详细研究项目的招标文件，我们决定参加该项目招标活动，我们郑重声明以下诸点并负法律责任：</w:t>
      </w:r>
    </w:p>
    <w:p w14:paraId="36497169">
      <w:pPr>
        <w:autoSpaceDE w:val="0"/>
        <w:autoSpaceDN w:val="0"/>
        <w:adjustRightInd w:val="0"/>
        <w:ind w:firstLine="480"/>
        <w:jc w:val="left"/>
        <w:rPr>
          <w:rFonts w:ascii="宋体" w:hAnsi="宋体" w:cs="宋体"/>
        </w:rPr>
      </w:pPr>
      <w:r>
        <w:rPr>
          <w:rFonts w:hint="eastAsia" w:ascii="宋体" w:hAnsi="宋体" w:cs="宋体"/>
          <w:kern w:val="0"/>
        </w:rPr>
        <w:t>1、我方授权作为全权代表负责解释投标文件及处理有关事宜。</w:t>
      </w:r>
    </w:p>
    <w:p w14:paraId="0A14442F">
      <w:pPr>
        <w:autoSpaceDE w:val="0"/>
        <w:autoSpaceDN w:val="0"/>
        <w:adjustRightInd w:val="0"/>
        <w:ind w:firstLine="480"/>
        <w:jc w:val="left"/>
        <w:rPr>
          <w:rFonts w:ascii="宋体" w:hAnsi="宋体" w:cs="宋体"/>
        </w:rPr>
      </w:pPr>
      <w:r>
        <w:rPr>
          <w:rFonts w:hint="eastAsia" w:ascii="宋体" w:hAnsi="宋体" w:cs="宋体"/>
          <w:kern w:val="0"/>
        </w:rPr>
        <w:t>2、我方愿按照招标文件中的条款和要求，总报价为人民币大写</w:t>
      </w:r>
      <w:r>
        <w:rPr>
          <w:rFonts w:hint="eastAsia" w:ascii="宋体" w:hAnsi="宋体" w:cs="宋体"/>
          <w:kern w:val="0"/>
          <w:u w:val="single"/>
        </w:rPr>
        <w:t xml:space="preserve">：     </w:t>
      </w:r>
      <w:r>
        <w:rPr>
          <w:rFonts w:hint="eastAsia" w:ascii="宋体" w:hAnsi="宋体" w:cs="宋体"/>
          <w:kern w:val="0"/>
        </w:rPr>
        <w:t>，小写：</w:t>
      </w:r>
      <w:r>
        <w:rPr>
          <w:rFonts w:hint="eastAsia" w:ascii="宋体" w:hAnsi="宋体" w:cs="宋体"/>
          <w:kern w:val="0"/>
          <w:u w:val="single"/>
        </w:rPr>
        <w:t xml:space="preserve">    ，</w:t>
      </w:r>
      <w:r>
        <w:rPr>
          <w:rFonts w:hint="eastAsia" w:ascii="宋体" w:hAnsi="宋体" w:cs="宋体"/>
          <w:kern w:val="0"/>
        </w:rPr>
        <w:t>质量</w:t>
      </w:r>
      <w:r>
        <w:rPr>
          <w:rFonts w:hint="eastAsia" w:ascii="宋体" w:hAnsi="宋体" w:cs="宋体"/>
          <w:kern w:val="0"/>
          <w:u w:val="single"/>
        </w:rPr>
        <w:t xml:space="preserve">：    </w:t>
      </w:r>
      <w:r>
        <w:rPr>
          <w:rFonts w:hint="eastAsia" w:ascii="宋体" w:hAnsi="宋体" w:cs="宋体"/>
          <w:kern w:val="0"/>
        </w:rPr>
        <w:t>，交货期</w:t>
      </w:r>
      <w:r>
        <w:rPr>
          <w:rFonts w:hint="eastAsia" w:ascii="宋体" w:hAnsi="宋体" w:cs="宋体"/>
          <w:kern w:val="0"/>
          <w:u w:val="single"/>
        </w:rPr>
        <w:t xml:space="preserve">：     </w:t>
      </w:r>
      <w:r>
        <w:rPr>
          <w:rFonts w:hint="eastAsia" w:ascii="宋体" w:hAnsi="宋体" w:cs="宋体"/>
          <w:kern w:val="0"/>
        </w:rPr>
        <w:t>。质保期</w:t>
      </w:r>
      <w:r>
        <w:rPr>
          <w:rFonts w:hint="eastAsia" w:ascii="宋体" w:hAnsi="宋体" w:cs="宋体"/>
          <w:kern w:val="0"/>
          <w:u w:val="single"/>
        </w:rPr>
        <w:t>：    。</w:t>
      </w:r>
    </w:p>
    <w:p w14:paraId="711A7F38">
      <w:pPr>
        <w:autoSpaceDE w:val="0"/>
        <w:autoSpaceDN w:val="0"/>
        <w:adjustRightInd w:val="0"/>
        <w:ind w:firstLine="480"/>
        <w:jc w:val="left"/>
        <w:rPr>
          <w:rFonts w:ascii="宋体" w:hAnsi="宋体" w:cs="宋体"/>
        </w:rPr>
      </w:pPr>
      <w:r>
        <w:rPr>
          <w:rFonts w:hint="eastAsia" w:ascii="宋体" w:hAnsi="宋体" w:cs="宋体"/>
          <w:kern w:val="0"/>
        </w:rPr>
        <w:t>3、如果我们的投标文件被接受，我们将履行投标文件中规定的各项要求，按期、按质、按量完成项目，交货时间。</w:t>
      </w:r>
    </w:p>
    <w:p w14:paraId="33A29878">
      <w:pPr>
        <w:autoSpaceDE w:val="0"/>
        <w:autoSpaceDN w:val="0"/>
        <w:adjustRightInd w:val="0"/>
        <w:ind w:firstLine="480"/>
        <w:jc w:val="left"/>
        <w:rPr>
          <w:rFonts w:ascii="宋体" w:hAnsi="宋体" w:cs="宋体"/>
        </w:rPr>
      </w:pPr>
      <w:r>
        <w:rPr>
          <w:rFonts w:hint="eastAsia" w:ascii="宋体" w:hAnsi="宋体" w:cs="宋体"/>
          <w:kern w:val="0"/>
        </w:rPr>
        <w:t>4、我们同意按招标文件中的规定，本投标文件的有效期为开标之日起60日历天。如果中标，有效期延长至合同终止日止。</w:t>
      </w:r>
    </w:p>
    <w:p w14:paraId="526A237B">
      <w:pPr>
        <w:autoSpaceDE w:val="0"/>
        <w:autoSpaceDN w:val="0"/>
        <w:adjustRightInd w:val="0"/>
        <w:ind w:firstLine="480"/>
        <w:jc w:val="left"/>
        <w:rPr>
          <w:rFonts w:ascii="宋体" w:hAnsi="宋体" w:cs="宋体"/>
        </w:rPr>
      </w:pPr>
      <w:r>
        <w:rPr>
          <w:rFonts w:hint="eastAsia" w:ascii="宋体" w:hAnsi="宋体" w:cs="宋体"/>
          <w:kern w:val="0"/>
        </w:rPr>
        <w:t>5、我们已经详细审核了全部招标文件，包括修改、补充的文件（如果有的话）和参考资料及有关附件，我们完全理解并同意放弃对这方面有不明及误解的权利。</w:t>
      </w:r>
    </w:p>
    <w:p w14:paraId="2956F9B0">
      <w:pPr>
        <w:autoSpaceDE w:val="0"/>
        <w:autoSpaceDN w:val="0"/>
        <w:adjustRightInd w:val="0"/>
        <w:ind w:firstLine="480"/>
        <w:jc w:val="left"/>
        <w:rPr>
          <w:rFonts w:ascii="宋体" w:hAnsi="宋体" w:cs="宋体"/>
        </w:rPr>
      </w:pPr>
      <w:r>
        <w:rPr>
          <w:rFonts w:hint="eastAsia" w:ascii="宋体" w:hAnsi="宋体" w:cs="宋体"/>
          <w:kern w:val="0"/>
        </w:rPr>
        <w:t xml:space="preserve"> 6、本项目采用综合评分法，不以最低价中标。</w:t>
      </w:r>
    </w:p>
    <w:p w14:paraId="655A6B12">
      <w:pPr>
        <w:autoSpaceDE w:val="0"/>
        <w:autoSpaceDN w:val="0"/>
        <w:adjustRightInd w:val="0"/>
        <w:spacing w:line="500" w:lineRule="exact"/>
        <w:ind w:firstLine="1050" w:firstLineChars="500"/>
        <w:jc w:val="left"/>
        <w:rPr>
          <w:rFonts w:ascii="宋体" w:hAnsi="宋体" w:cs="宋体"/>
        </w:rPr>
      </w:pPr>
      <w:r>
        <w:rPr>
          <w:rFonts w:hint="eastAsia" w:ascii="宋体" w:hAnsi="宋体" w:cs="宋体"/>
          <w:kern w:val="0"/>
        </w:rPr>
        <w:t>投标人：（盖单位电子章）</w:t>
      </w:r>
    </w:p>
    <w:p w14:paraId="33938A76">
      <w:pPr>
        <w:autoSpaceDE w:val="0"/>
        <w:autoSpaceDN w:val="0"/>
        <w:adjustRightInd w:val="0"/>
        <w:spacing w:line="500" w:lineRule="exact"/>
        <w:ind w:left="716" w:firstLine="480"/>
        <w:jc w:val="left"/>
        <w:rPr>
          <w:rFonts w:ascii="宋体" w:hAnsi="宋体" w:cs="宋体"/>
          <w:kern w:val="0"/>
        </w:rPr>
      </w:pPr>
      <w:r>
        <w:rPr>
          <w:rFonts w:hint="eastAsia" w:ascii="宋体" w:hAnsi="宋体" w:cs="宋体"/>
          <w:kern w:val="0"/>
        </w:rPr>
        <w:t>法定代表人：（签字或盖电子章）</w:t>
      </w:r>
    </w:p>
    <w:p w14:paraId="46C4F166">
      <w:pPr>
        <w:autoSpaceDE w:val="0"/>
        <w:autoSpaceDN w:val="0"/>
        <w:adjustRightInd w:val="0"/>
        <w:spacing w:line="500" w:lineRule="exact"/>
        <w:ind w:firstLine="1050" w:firstLineChars="500"/>
        <w:jc w:val="left"/>
        <w:rPr>
          <w:rFonts w:ascii="宋体" w:hAnsi="宋体" w:cs="宋体"/>
          <w:kern w:val="0"/>
          <w:u w:val="single"/>
        </w:rPr>
      </w:pPr>
      <w:r>
        <w:rPr>
          <w:rFonts w:hint="eastAsia" w:ascii="宋体" w:hAnsi="宋体" w:cs="宋体"/>
          <w:kern w:val="0"/>
        </w:rPr>
        <w:t>日期：   年  月  日</w:t>
      </w:r>
    </w:p>
    <w:p w14:paraId="6C7F4647">
      <w:pPr>
        <w:widowControl/>
        <w:autoSpaceDE w:val="0"/>
        <w:adjustRightInd w:val="0"/>
        <w:ind w:firstLine="482"/>
        <w:jc w:val="center"/>
        <w:rPr>
          <w:rFonts w:ascii="宋体" w:hAnsi="宋体" w:cs="宋体"/>
          <w:b/>
        </w:rPr>
      </w:pPr>
      <w:r>
        <w:rPr>
          <w:rFonts w:hint="eastAsia" w:ascii="宋体" w:hAnsi="宋体" w:cs="宋体"/>
          <w:b/>
        </w:rPr>
        <w:br w:type="page"/>
      </w:r>
    </w:p>
    <w:p w14:paraId="2FBCE0FA">
      <w:pPr>
        <w:pStyle w:val="3"/>
        <w:jc w:val="center"/>
      </w:pPr>
      <w:bookmarkStart w:id="175" w:name="_Toc12928"/>
      <w:r>
        <w:rPr>
          <w:rFonts w:hint="eastAsia"/>
        </w:rPr>
        <w:t>二、投标函附录</w:t>
      </w:r>
      <w:bookmarkEnd w:id="175"/>
    </w:p>
    <w:p w14:paraId="6AFCA9B5">
      <w:pPr>
        <w:autoSpaceDE w:val="0"/>
        <w:autoSpaceDN w:val="0"/>
        <w:adjustRightInd w:val="0"/>
        <w:ind w:firstLine="480"/>
        <w:jc w:val="left"/>
        <w:textAlignment w:val="baseline"/>
        <w:rPr>
          <w:rFonts w:ascii="宋体" w:hAnsi="宋体" w:cs="宋体"/>
        </w:rPr>
      </w:pPr>
      <w:r>
        <w:rPr>
          <w:rFonts w:hint="eastAsia" w:ascii="宋体" w:hAnsi="宋体" w:cs="宋体"/>
          <w:kern w:val="0"/>
        </w:rPr>
        <w:t>投标人名称：_________________（此处填名称并盖单位电子章）</w:t>
      </w:r>
    </w:p>
    <w:p w14:paraId="23EC7E78">
      <w:pPr>
        <w:autoSpaceDE w:val="0"/>
        <w:autoSpaceDN w:val="0"/>
        <w:adjustRightInd w:val="0"/>
        <w:ind w:firstLine="480"/>
        <w:jc w:val="left"/>
        <w:textAlignment w:val="baseline"/>
        <w:rPr>
          <w:rFonts w:ascii="宋体" w:hAnsi="宋体" w:cs="宋体"/>
        </w:rPr>
      </w:pPr>
      <w:r>
        <w:rPr>
          <w:rFonts w:hint="eastAsia" w:ascii="宋体" w:hAnsi="宋体" w:cs="宋体"/>
          <w:kern w:val="0"/>
        </w:rPr>
        <w:t>项目名称      （项目编号：      ）           金额单位：元</w:t>
      </w:r>
    </w:p>
    <w:tbl>
      <w:tblPr>
        <w:tblStyle w:val="1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801"/>
      </w:tblGrid>
      <w:tr w14:paraId="33C7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454" w:type="dxa"/>
            <w:vMerge w:val="restart"/>
            <w:tcBorders>
              <w:top w:val="single" w:color="auto" w:sz="4" w:space="0"/>
              <w:left w:val="single" w:color="auto" w:sz="4" w:space="0"/>
              <w:bottom w:val="single" w:color="auto" w:sz="4" w:space="0"/>
              <w:right w:val="single" w:color="auto" w:sz="4" w:space="0"/>
            </w:tcBorders>
            <w:noWrap/>
            <w:vAlign w:val="center"/>
          </w:tcPr>
          <w:p w14:paraId="515BFD48">
            <w:pPr>
              <w:autoSpaceDE w:val="0"/>
              <w:autoSpaceDN w:val="0"/>
              <w:adjustRightInd w:val="0"/>
              <w:ind w:firstLine="480"/>
              <w:jc w:val="center"/>
              <w:rPr>
                <w:rFonts w:ascii="宋体" w:hAnsi="宋体" w:cs="宋体"/>
              </w:rPr>
            </w:pPr>
            <w:r>
              <w:rPr>
                <w:rFonts w:hint="eastAsia" w:ascii="宋体" w:hAnsi="宋体" w:cs="宋体"/>
                <w:kern w:val="0"/>
              </w:rPr>
              <w:t>投标报价人民币（元）</w:t>
            </w:r>
          </w:p>
        </w:tc>
        <w:tc>
          <w:tcPr>
            <w:tcW w:w="6801" w:type="dxa"/>
            <w:tcBorders>
              <w:top w:val="single" w:color="auto" w:sz="4" w:space="0"/>
              <w:left w:val="nil"/>
              <w:bottom w:val="single" w:color="auto" w:sz="4" w:space="0"/>
              <w:right w:val="single" w:color="auto" w:sz="4" w:space="0"/>
            </w:tcBorders>
            <w:noWrap/>
            <w:vAlign w:val="center"/>
          </w:tcPr>
          <w:p w14:paraId="6457358C">
            <w:pPr>
              <w:autoSpaceDE w:val="0"/>
              <w:autoSpaceDN w:val="0"/>
              <w:adjustRightInd w:val="0"/>
              <w:ind w:firstLine="480"/>
              <w:jc w:val="left"/>
              <w:rPr>
                <w:rFonts w:ascii="宋体" w:hAnsi="宋体" w:cs="宋体"/>
              </w:rPr>
            </w:pPr>
            <w:r>
              <w:rPr>
                <w:rFonts w:hint="eastAsia" w:ascii="宋体" w:hAnsi="宋体" w:cs="宋体"/>
                <w:kern w:val="0"/>
              </w:rPr>
              <w:t>小写：</w:t>
            </w:r>
          </w:p>
        </w:tc>
      </w:tr>
      <w:tr w14:paraId="7E7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454" w:type="dxa"/>
            <w:vMerge w:val="continue"/>
            <w:tcBorders>
              <w:top w:val="single" w:color="auto" w:sz="4" w:space="0"/>
              <w:left w:val="single" w:color="auto" w:sz="4" w:space="0"/>
              <w:bottom w:val="single" w:color="auto" w:sz="4" w:space="0"/>
              <w:right w:val="single" w:color="auto" w:sz="4" w:space="0"/>
            </w:tcBorders>
            <w:noWrap/>
            <w:vAlign w:val="center"/>
          </w:tcPr>
          <w:p w14:paraId="5ABDC248">
            <w:pPr>
              <w:ind w:firstLine="400"/>
              <w:rPr>
                <w:rFonts w:ascii="宋体" w:hAnsi="宋体" w:cs="宋体"/>
                <w:sz w:val="20"/>
                <w:szCs w:val="20"/>
              </w:rPr>
            </w:pPr>
          </w:p>
        </w:tc>
        <w:tc>
          <w:tcPr>
            <w:tcW w:w="6801" w:type="dxa"/>
            <w:tcBorders>
              <w:top w:val="single" w:color="auto" w:sz="4" w:space="0"/>
              <w:left w:val="nil"/>
              <w:bottom w:val="single" w:color="auto" w:sz="4" w:space="0"/>
              <w:right w:val="single" w:color="auto" w:sz="4" w:space="0"/>
            </w:tcBorders>
            <w:noWrap/>
            <w:vAlign w:val="center"/>
          </w:tcPr>
          <w:p w14:paraId="605407A7">
            <w:pPr>
              <w:autoSpaceDE w:val="0"/>
              <w:autoSpaceDN w:val="0"/>
              <w:adjustRightInd w:val="0"/>
              <w:ind w:firstLine="480"/>
              <w:jc w:val="left"/>
              <w:rPr>
                <w:rFonts w:ascii="宋体" w:hAnsi="宋体" w:cs="宋体"/>
              </w:rPr>
            </w:pPr>
            <w:r>
              <w:rPr>
                <w:rFonts w:hint="eastAsia" w:ascii="宋体" w:hAnsi="宋体" w:cs="宋体"/>
                <w:kern w:val="0"/>
              </w:rPr>
              <w:t>大写：</w:t>
            </w:r>
          </w:p>
        </w:tc>
      </w:tr>
      <w:tr w14:paraId="4D6A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5A791DBF">
            <w:pPr>
              <w:autoSpaceDE w:val="0"/>
              <w:autoSpaceDN w:val="0"/>
              <w:adjustRightInd w:val="0"/>
              <w:ind w:firstLine="480"/>
              <w:jc w:val="center"/>
              <w:rPr>
                <w:rFonts w:ascii="宋体" w:hAnsi="宋体" w:cs="宋体"/>
              </w:rPr>
            </w:pPr>
            <w:r>
              <w:rPr>
                <w:rFonts w:hint="eastAsia" w:ascii="宋体" w:hAnsi="宋体" w:cs="宋体"/>
              </w:rPr>
              <w:t>供货期</w:t>
            </w:r>
          </w:p>
        </w:tc>
        <w:tc>
          <w:tcPr>
            <w:tcW w:w="6801" w:type="dxa"/>
            <w:tcBorders>
              <w:top w:val="single" w:color="auto" w:sz="4" w:space="0"/>
              <w:left w:val="nil"/>
              <w:bottom w:val="single" w:color="auto" w:sz="4" w:space="0"/>
              <w:right w:val="single" w:color="auto" w:sz="4" w:space="0"/>
            </w:tcBorders>
            <w:noWrap/>
            <w:vAlign w:val="center"/>
          </w:tcPr>
          <w:p w14:paraId="3F6B029E">
            <w:pPr>
              <w:autoSpaceDE w:val="0"/>
              <w:autoSpaceDN w:val="0"/>
              <w:adjustRightInd w:val="0"/>
              <w:ind w:firstLine="480"/>
              <w:jc w:val="left"/>
              <w:rPr>
                <w:rFonts w:ascii="宋体" w:hAnsi="宋体" w:cs="宋体"/>
              </w:rPr>
            </w:pPr>
          </w:p>
        </w:tc>
      </w:tr>
      <w:tr w14:paraId="2B8A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0E6919C6">
            <w:pPr>
              <w:autoSpaceDE w:val="0"/>
              <w:autoSpaceDN w:val="0"/>
              <w:adjustRightInd w:val="0"/>
              <w:ind w:firstLine="480"/>
              <w:jc w:val="center"/>
              <w:rPr>
                <w:rFonts w:ascii="宋体" w:hAnsi="宋体" w:cs="宋体"/>
              </w:rPr>
            </w:pPr>
            <w:r>
              <w:rPr>
                <w:rFonts w:hint="eastAsia" w:ascii="宋体" w:hAnsi="宋体" w:cs="宋体"/>
                <w:kern w:val="0"/>
              </w:rPr>
              <w:t>质量</w:t>
            </w:r>
          </w:p>
        </w:tc>
        <w:tc>
          <w:tcPr>
            <w:tcW w:w="6801" w:type="dxa"/>
            <w:tcBorders>
              <w:top w:val="single" w:color="auto" w:sz="4" w:space="0"/>
              <w:left w:val="nil"/>
              <w:bottom w:val="single" w:color="auto" w:sz="4" w:space="0"/>
              <w:right w:val="single" w:color="auto" w:sz="4" w:space="0"/>
            </w:tcBorders>
            <w:noWrap/>
            <w:vAlign w:val="center"/>
          </w:tcPr>
          <w:p w14:paraId="649D3F28">
            <w:pPr>
              <w:autoSpaceDE w:val="0"/>
              <w:autoSpaceDN w:val="0"/>
              <w:adjustRightInd w:val="0"/>
              <w:ind w:firstLine="480"/>
              <w:jc w:val="left"/>
              <w:rPr>
                <w:rFonts w:ascii="宋体" w:hAnsi="宋体" w:cs="宋体"/>
              </w:rPr>
            </w:pPr>
          </w:p>
        </w:tc>
      </w:tr>
      <w:tr w14:paraId="0BF6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3FAA8A53">
            <w:pPr>
              <w:autoSpaceDE w:val="0"/>
              <w:autoSpaceDN w:val="0"/>
              <w:adjustRightInd w:val="0"/>
              <w:ind w:firstLine="480"/>
              <w:jc w:val="center"/>
              <w:rPr>
                <w:rFonts w:ascii="宋体" w:hAnsi="宋体" w:cs="宋体"/>
                <w:kern w:val="0"/>
              </w:rPr>
            </w:pPr>
            <w:r>
              <w:rPr>
                <w:rFonts w:hint="eastAsia" w:ascii="宋体" w:hAnsi="宋体" w:cs="宋体"/>
                <w:kern w:val="0"/>
              </w:rPr>
              <w:t>质保期</w:t>
            </w:r>
          </w:p>
        </w:tc>
        <w:tc>
          <w:tcPr>
            <w:tcW w:w="6801" w:type="dxa"/>
            <w:tcBorders>
              <w:top w:val="single" w:color="auto" w:sz="4" w:space="0"/>
              <w:left w:val="nil"/>
              <w:bottom w:val="single" w:color="auto" w:sz="4" w:space="0"/>
              <w:right w:val="single" w:color="auto" w:sz="4" w:space="0"/>
            </w:tcBorders>
            <w:noWrap/>
            <w:vAlign w:val="center"/>
          </w:tcPr>
          <w:p w14:paraId="311D6CF2">
            <w:pPr>
              <w:autoSpaceDE w:val="0"/>
              <w:autoSpaceDN w:val="0"/>
              <w:adjustRightInd w:val="0"/>
              <w:ind w:firstLine="480"/>
              <w:jc w:val="left"/>
              <w:rPr>
                <w:rFonts w:ascii="宋体" w:hAnsi="宋体" w:cs="宋体"/>
              </w:rPr>
            </w:pPr>
          </w:p>
        </w:tc>
      </w:tr>
      <w:tr w14:paraId="025A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1DED7A24">
            <w:pPr>
              <w:autoSpaceDE w:val="0"/>
              <w:autoSpaceDN w:val="0"/>
              <w:adjustRightInd w:val="0"/>
              <w:ind w:firstLine="480"/>
              <w:jc w:val="center"/>
              <w:rPr>
                <w:rFonts w:ascii="宋体" w:hAnsi="宋体" w:cs="宋体"/>
              </w:rPr>
            </w:pPr>
            <w:r>
              <w:rPr>
                <w:rFonts w:hint="eastAsia" w:ascii="宋体" w:hAnsi="宋体" w:cs="宋体"/>
                <w:kern w:val="0"/>
              </w:rPr>
              <w:t>投标有效期</w:t>
            </w:r>
          </w:p>
        </w:tc>
        <w:tc>
          <w:tcPr>
            <w:tcW w:w="6801" w:type="dxa"/>
            <w:tcBorders>
              <w:top w:val="single" w:color="auto" w:sz="4" w:space="0"/>
              <w:left w:val="nil"/>
              <w:bottom w:val="single" w:color="auto" w:sz="4" w:space="0"/>
              <w:right w:val="single" w:color="auto" w:sz="4" w:space="0"/>
            </w:tcBorders>
            <w:noWrap/>
            <w:vAlign w:val="center"/>
          </w:tcPr>
          <w:p w14:paraId="59488CCC">
            <w:pPr>
              <w:autoSpaceDE w:val="0"/>
              <w:autoSpaceDN w:val="0"/>
              <w:adjustRightInd w:val="0"/>
              <w:ind w:firstLine="480"/>
              <w:jc w:val="left"/>
              <w:rPr>
                <w:rFonts w:ascii="宋体" w:hAnsi="宋体" w:cs="宋体"/>
              </w:rPr>
            </w:pPr>
            <w:r>
              <w:rPr>
                <w:rFonts w:hint="eastAsia" w:ascii="宋体" w:hAnsi="宋体" w:cs="宋体"/>
                <w:kern w:val="0"/>
              </w:rPr>
              <w:t>开标之日起60日历天</w:t>
            </w:r>
          </w:p>
        </w:tc>
      </w:tr>
      <w:tr w14:paraId="046D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454" w:type="dxa"/>
            <w:tcBorders>
              <w:top w:val="single" w:color="auto" w:sz="4" w:space="0"/>
              <w:left w:val="single" w:color="auto" w:sz="4" w:space="0"/>
              <w:bottom w:val="single" w:color="auto" w:sz="4" w:space="0"/>
              <w:right w:val="single" w:color="auto" w:sz="4" w:space="0"/>
            </w:tcBorders>
            <w:noWrap/>
            <w:vAlign w:val="center"/>
          </w:tcPr>
          <w:p w14:paraId="6FCC7275">
            <w:pPr>
              <w:autoSpaceDE w:val="0"/>
              <w:autoSpaceDN w:val="0"/>
              <w:adjustRightInd w:val="0"/>
              <w:ind w:firstLine="480"/>
              <w:jc w:val="center"/>
              <w:rPr>
                <w:rFonts w:ascii="宋体" w:hAnsi="宋体" w:cs="宋体"/>
              </w:rPr>
            </w:pPr>
            <w:r>
              <w:rPr>
                <w:rFonts w:hint="eastAsia" w:ascii="宋体" w:hAnsi="宋体" w:cs="宋体"/>
                <w:kern w:val="0"/>
              </w:rPr>
              <w:t>备注</w:t>
            </w:r>
          </w:p>
        </w:tc>
        <w:tc>
          <w:tcPr>
            <w:tcW w:w="6801" w:type="dxa"/>
            <w:tcBorders>
              <w:top w:val="single" w:color="auto" w:sz="4" w:space="0"/>
              <w:left w:val="nil"/>
              <w:bottom w:val="single" w:color="auto" w:sz="4" w:space="0"/>
              <w:right w:val="single" w:color="auto" w:sz="4" w:space="0"/>
            </w:tcBorders>
            <w:noWrap/>
            <w:vAlign w:val="center"/>
          </w:tcPr>
          <w:p w14:paraId="7356DFBC">
            <w:pPr>
              <w:autoSpaceDE w:val="0"/>
              <w:autoSpaceDN w:val="0"/>
              <w:adjustRightInd w:val="0"/>
              <w:ind w:firstLine="480"/>
              <w:jc w:val="left"/>
              <w:rPr>
                <w:rFonts w:ascii="宋体" w:hAnsi="宋体" w:cs="宋体"/>
              </w:rPr>
            </w:pPr>
          </w:p>
        </w:tc>
      </w:tr>
    </w:tbl>
    <w:p w14:paraId="02AB1DD0">
      <w:pPr>
        <w:pStyle w:val="5"/>
        <w:widowControl/>
        <w:ind w:firstLine="480"/>
        <w:rPr>
          <w:rFonts w:ascii="宋体" w:hAnsi="宋体" w:cs="宋体"/>
          <w:sz w:val="24"/>
          <w:szCs w:val="24"/>
        </w:rPr>
      </w:pPr>
    </w:p>
    <w:p w14:paraId="01FC6785">
      <w:pPr>
        <w:pStyle w:val="5"/>
        <w:widowControl/>
        <w:ind w:firstLine="480"/>
        <w:jc w:val="right"/>
        <w:rPr>
          <w:rFonts w:ascii="宋体" w:hAnsi="宋体" w:cs="宋体"/>
          <w:sz w:val="24"/>
          <w:szCs w:val="24"/>
        </w:rPr>
      </w:pPr>
    </w:p>
    <w:p w14:paraId="46D70BF3">
      <w:pPr>
        <w:pStyle w:val="5"/>
        <w:widowControl/>
        <w:ind w:firstLine="480"/>
        <w:jc w:val="right"/>
        <w:rPr>
          <w:rFonts w:ascii="宋体" w:hAnsi="宋体" w:cs="宋体"/>
          <w:sz w:val="24"/>
          <w:szCs w:val="24"/>
        </w:rPr>
      </w:pPr>
    </w:p>
    <w:p w14:paraId="10D23BEF">
      <w:pPr>
        <w:pStyle w:val="5"/>
        <w:widowControl/>
        <w:ind w:firstLine="480"/>
        <w:jc w:val="right"/>
        <w:rPr>
          <w:rFonts w:ascii="宋体" w:hAnsi="宋体" w:cs="宋体"/>
          <w:sz w:val="24"/>
          <w:szCs w:val="24"/>
        </w:rPr>
      </w:pPr>
    </w:p>
    <w:p w14:paraId="3E1F78C6">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5CFEE2C3">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245104B8">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04436E8D">
      <w:pPr>
        <w:autoSpaceDE w:val="0"/>
        <w:autoSpaceDN w:val="0"/>
        <w:adjustRightInd w:val="0"/>
        <w:ind w:firstLine="482"/>
        <w:jc w:val="center"/>
        <w:rPr>
          <w:rFonts w:ascii="宋体" w:hAnsi="宋体" w:cs="宋体"/>
          <w:b/>
        </w:rPr>
      </w:pPr>
    </w:p>
    <w:p w14:paraId="3532B1B4">
      <w:pPr>
        <w:autoSpaceDE w:val="0"/>
        <w:autoSpaceDN w:val="0"/>
        <w:adjustRightInd w:val="0"/>
        <w:ind w:firstLine="482"/>
        <w:jc w:val="center"/>
        <w:rPr>
          <w:rFonts w:ascii="宋体" w:hAnsi="宋体" w:cs="宋体"/>
          <w:b/>
        </w:rPr>
      </w:pPr>
    </w:p>
    <w:p w14:paraId="30EA5352">
      <w:pPr>
        <w:pStyle w:val="32"/>
        <w:rPr>
          <w:rFonts w:hAnsi="宋体"/>
          <w:b/>
          <w:color w:val="auto"/>
        </w:rPr>
      </w:pPr>
    </w:p>
    <w:p w14:paraId="5597D07C">
      <w:pPr>
        <w:rPr>
          <w:rFonts w:ascii="宋体" w:hAnsi="宋体" w:cs="宋体"/>
          <w:b/>
        </w:rPr>
      </w:pPr>
    </w:p>
    <w:p w14:paraId="11D019BB">
      <w:pPr>
        <w:pStyle w:val="32"/>
        <w:rPr>
          <w:rFonts w:hAnsi="宋体"/>
          <w:b/>
          <w:color w:val="auto"/>
        </w:rPr>
      </w:pPr>
    </w:p>
    <w:p w14:paraId="0F9A3754">
      <w:pPr>
        <w:rPr>
          <w:rFonts w:ascii="宋体" w:hAnsi="宋体" w:cs="宋体"/>
          <w:b/>
        </w:rPr>
      </w:pPr>
    </w:p>
    <w:p w14:paraId="7B8776DB">
      <w:pPr>
        <w:pStyle w:val="32"/>
        <w:rPr>
          <w:rFonts w:hAnsi="宋体"/>
          <w:b/>
          <w:color w:val="auto"/>
        </w:rPr>
      </w:pPr>
    </w:p>
    <w:p w14:paraId="4A312C83">
      <w:pPr>
        <w:rPr>
          <w:rFonts w:ascii="宋体" w:hAnsi="宋体" w:cs="宋体"/>
          <w:b/>
        </w:rPr>
      </w:pPr>
    </w:p>
    <w:p w14:paraId="2634C2A7">
      <w:pPr>
        <w:pStyle w:val="32"/>
      </w:pPr>
    </w:p>
    <w:p w14:paraId="159B5EF7">
      <w:pPr>
        <w:pStyle w:val="17"/>
        <w:widowControl/>
        <w:rPr>
          <w:rFonts w:cs="宋体"/>
        </w:rPr>
      </w:pPr>
    </w:p>
    <w:p w14:paraId="543AD4D4">
      <w:pPr>
        <w:autoSpaceDE w:val="0"/>
        <w:autoSpaceDN w:val="0"/>
        <w:adjustRightInd w:val="0"/>
        <w:ind w:firstLine="480"/>
        <w:jc w:val="left"/>
        <w:rPr>
          <w:rFonts w:ascii="宋体" w:hAnsi="宋体" w:cs="宋体"/>
        </w:rPr>
      </w:pPr>
    </w:p>
    <w:p w14:paraId="129A80A7">
      <w:pPr>
        <w:spacing w:line="360" w:lineRule="auto"/>
        <w:jc w:val="center"/>
        <w:rPr>
          <w:rFonts w:ascii="宋体" w:hAnsi="宋体" w:cs="宋体"/>
          <w:b/>
          <w:bCs/>
          <w:sz w:val="24"/>
        </w:rPr>
      </w:pPr>
      <w:r>
        <w:rPr>
          <w:rFonts w:hint="eastAsia" w:ascii="宋体" w:hAnsi="宋体" w:cs="宋体"/>
          <w:b/>
          <w:bCs/>
          <w:sz w:val="24"/>
        </w:rPr>
        <w:t>投标报价明细表</w:t>
      </w:r>
    </w:p>
    <w:p w14:paraId="6D969DB4">
      <w:pPr>
        <w:spacing w:line="360" w:lineRule="auto"/>
        <w:jc w:val="center"/>
        <w:rPr>
          <w:rFonts w:ascii="宋体" w:hAnsi="宋体" w:cs="宋体"/>
          <w:b/>
          <w:bCs/>
          <w:sz w:val="24"/>
        </w:rPr>
      </w:pPr>
    </w:p>
    <w:p w14:paraId="0B54096C">
      <w:pPr>
        <w:spacing w:line="360" w:lineRule="auto"/>
        <w:rPr>
          <w:rFonts w:ascii="宋体" w:hAnsi="宋体" w:cs="宋体"/>
          <w:b/>
          <w:bCs/>
          <w:sz w:val="24"/>
          <w:u w:val="single"/>
        </w:rPr>
      </w:pPr>
      <w:r>
        <w:rPr>
          <w:rFonts w:hint="eastAsia" w:ascii="宋体" w:hAnsi="宋体" w:cs="宋体"/>
          <w:sz w:val="24"/>
        </w:rPr>
        <w:t>投标人名称（公章）：项目编号：</w:t>
      </w:r>
    </w:p>
    <w:tbl>
      <w:tblPr>
        <w:tblStyle w:val="18"/>
        <w:tblW w:w="8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1276"/>
        <w:gridCol w:w="567"/>
        <w:gridCol w:w="567"/>
        <w:gridCol w:w="1282"/>
        <w:gridCol w:w="1430"/>
        <w:gridCol w:w="1085"/>
      </w:tblGrid>
      <w:tr w14:paraId="388A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26B1D13E">
            <w:pPr>
              <w:jc w:val="center"/>
              <w:rPr>
                <w:rFonts w:ascii="宋体" w:hAnsi="宋体" w:cs="宋体"/>
                <w:b/>
                <w:sz w:val="24"/>
              </w:rPr>
            </w:pPr>
            <w:r>
              <w:rPr>
                <w:rFonts w:hint="eastAsia" w:ascii="宋体" w:hAnsi="宋体" w:cs="宋体"/>
                <w:b/>
                <w:sz w:val="24"/>
              </w:rPr>
              <w:t>序号</w:t>
            </w:r>
          </w:p>
        </w:tc>
        <w:tc>
          <w:tcPr>
            <w:tcW w:w="1306" w:type="dxa"/>
            <w:noWrap/>
            <w:vAlign w:val="center"/>
          </w:tcPr>
          <w:p w14:paraId="6050A097">
            <w:pPr>
              <w:jc w:val="center"/>
              <w:rPr>
                <w:rFonts w:ascii="宋体" w:hAnsi="宋体" w:cs="宋体"/>
                <w:b/>
                <w:sz w:val="24"/>
              </w:rPr>
            </w:pPr>
            <w:r>
              <w:rPr>
                <w:rFonts w:hint="eastAsia" w:ascii="宋体" w:hAnsi="宋体" w:cs="宋体"/>
                <w:b/>
                <w:sz w:val="24"/>
              </w:rPr>
              <w:t>产品、品牌型号</w:t>
            </w:r>
          </w:p>
        </w:tc>
        <w:tc>
          <w:tcPr>
            <w:tcW w:w="1276" w:type="dxa"/>
            <w:noWrap/>
            <w:vAlign w:val="center"/>
          </w:tcPr>
          <w:p w14:paraId="4B98F7B7">
            <w:pPr>
              <w:jc w:val="center"/>
              <w:rPr>
                <w:rFonts w:ascii="宋体" w:hAnsi="宋体" w:cs="宋体"/>
                <w:b/>
                <w:sz w:val="24"/>
              </w:rPr>
            </w:pPr>
            <w:r>
              <w:rPr>
                <w:rFonts w:hint="eastAsia" w:ascii="宋体" w:hAnsi="宋体" w:cs="宋体"/>
                <w:b/>
                <w:sz w:val="24"/>
              </w:rPr>
              <w:t>生产厂家</w:t>
            </w:r>
          </w:p>
        </w:tc>
        <w:tc>
          <w:tcPr>
            <w:tcW w:w="567" w:type="dxa"/>
            <w:noWrap/>
            <w:vAlign w:val="center"/>
          </w:tcPr>
          <w:p w14:paraId="6E015699">
            <w:pPr>
              <w:jc w:val="center"/>
              <w:rPr>
                <w:rFonts w:ascii="宋体" w:hAnsi="宋体" w:cs="宋体"/>
                <w:b/>
                <w:sz w:val="24"/>
              </w:rPr>
            </w:pPr>
            <w:r>
              <w:rPr>
                <w:rFonts w:hint="eastAsia" w:ascii="宋体" w:hAnsi="宋体" w:cs="宋体"/>
                <w:b/>
                <w:sz w:val="24"/>
              </w:rPr>
              <w:t>单位</w:t>
            </w:r>
          </w:p>
        </w:tc>
        <w:tc>
          <w:tcPr>
            <w:tcW w:w="567" w:type="dxa"/>
            <w:noWrap/>
            <w:vAlign w:val="center"/>
          </w:tcPr>
          <w:p w14:paraId="1959792E">
            <w:pPr>
              <w:jc w:val="center"/>
              <w:rPr>
                <w:rFonts w:ascii="宋体" w:hAnsi="宋体" w:cs="宋体"/>
                <w:b/>
                <w:sz w:val="24"/>
              </w:rPr>
            </w:pPr>
            <w:r>
              <w:rPr>
                <w:rFonts w:hint="eastAsia" w:ascii="宋体" w:hAnsi="宋体" w:cs="宋体"/>
                <w:b/>
                <w:sz w:val="24"/>
              </w:rPr>
              <w:t>数量</w:t>
            </w:r>
          </w:p>
        </w:tc>
        <w:tc>
          <w:tcPr>
            <w:tcW w:w="1282" w:type="dxa"/>
            <w:noWrap/>
            <w:vAlign w:val="center"/>
          </w:tcPr>
          <w:p w14:paraId="59292E0A">
            <w:pPr>
              <w:jc w:val="center"/>
              <w:rPr>
                <w:rFonts w:ascii="宋体" w:hAnsi="宋体" w:cs="宋体"/>
                <w:b/>
                <w:sz w:val="24"/>
              </w:rPr>
            </w:pPr>
            <w:r>
              <w:rPr>
                <w:rFonts w:hint="eastAsia" w:ascii="宋体" w:hAnsi="宋体" w:cs="宋体"/>
                <w:b/>
                <w:sz w:val="24"/>
              </w:rPr>
              <w:t>单价</w:t>
            </w:r>
          </w:p>
        </w:tc>
        <w:tc>
          <w:tcPr>
            <w:tcW w:w="1430" w:type="dxa"/>
            <w:noWrap/>
            <w:vAlign w:val="center"/>
          </w:tcPr>
          <w:p w14:paraId="29AACE44">
            <w:pPr>
              <w:jc w:val="center"/>
              <w:rPr>
                <w:rFonts w:ascii="宋体" w:hAnsi="宋体" w:cs="宋体"/>
                <w:b/>
                <w:sz w:val="24"/>
              </w:rPr>
            </w:pPr>
            <w:r>
              <w:rPr>
                <w:rFonts w:hint="eastAsia" w:ascii="宋体" w:hAnsi="宋体" w:cs="宋体"/>
                <w:b/>
                <w:sz w:val="24"/>
              </w:rPr>
              <w:t>合计（元）</w:t>
            </w:r>
          </w:p>
        </w:tc>
        <w:tc>
          <w:tcPr>
            <w:tcW w:w="1085" w:type="dxa"/>
            <w:noWrap/>
            <w:vAlign w:val="center"/>
          </w:tcPr>
          <w:p w14:paraId="27308EA5">
            <w:pPr>
              <w:jc w:val="center"/>
              <w:rPr>
                <w:rFonts w:ascii="宋体" w:hAnsi="宋体" w:cs="宋体"/>
                <w:b/>
                <w:sz w:val="24"/>
              </w:rPr>
            </w:pPr>
            <w:r>
              <w:rPr>
                <w:rFonts w:hint="eastAsia" w:ascii="宋体" w:hAnsi="宋体" w:cs="宋体"/>
                <w:b/>
                <w:sz w:val="24"/>
              </w:rPr>
              <w:t>备注</w:t>
            </w:r>
          </w:p>
        </w:tc>
      </w:tr>
      <w:tr w14:paraId="1E5B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62775673">
            <w:pPr>
              <w:jc w:val="center"/>
              <w:rPr>
                <w:rFonts w:ascii="宋体" w:hAnsi="宋体" w:cs="宋体"/>
                <w:b/>
                <w:sz w:val="24"/>
              </w:rPr>
            </w:pPr>
            <w:r>
              <w:rPr>
                <w:rFonts w:ascii="宋体" w:hAnsi="宋体" w:cs="宋体"/>
                <w:b/>
                <w:sz w:val="24"/>
              </w:rPr>
              <w:t>1</w:t>
            </w:r>
          </w:p>
        </w:tc>
        <w:tc>
          <w:tcPr>
            <w:tcW w:w="1306" w:type="dxa"/>
            <w:noWrap/>
            <w:vAlign w:val="center"/>
          </w:tcPr>
          <w:p w14:paraId="6DBCACAD">
            <w:pPr>
              <w:jc w:val="center"/>
              <w:rPr>
                <w:rFonts w:ascii="宋体" w:hAnsi="宋体" w:cs="宋体"/>
                <w:b/>
                <w:sz w:val="24"/>
              </w:rPr>
            </w:pPr>
          </w:p>
        </w:tc>
        <w:tc>
          <w:tcPr>
            <w:tcW w:w="1276" w:type="dxa"/>
            <w:noWrap/>
          </w:tcPr>
          <w:p w14:paraId="63A20CB3">
            <w:pPr>
              <w:jc w:val="center"/>
              <w:rPr>
                <w:rFonts w:ascii="宋体" w:hAnsi="宋体" w:cs="宋体"/>
                <w:b/>
                <w:sz w:val="24"/>
              </w:rPr>
            </w:pPr>
          </w:p>
        </w:tc>
        <w:tc>
          <w:tcPr>
            <w:tcW w:w="567" w:type="dxa"/>
            <w:noWrap/>
            <w:vAlign w:val="center"/>
          </w:tcPr>
          <w:p w14:paraId="0B9220FE">
            <w:pPr>
              <w:jc w:val="center"/>
              <w:rPr>
                <w:rFonts w:ascii="宋体" w:hAnsi="宋体" w:cs="宋体"/>
                <w:b/>
                <w:sz w:val="24"/>
              </w:rPr>
            </w:pPr>
          </w:p>
        </w:tc>
        <w:tc>
          <w:tcPr>
            <w:tcW w:w="567" w:type="dxa"/>
            <w:noWrap/>
            <w:vAlign w:val="center"/>
          </w:tcPr>
          <w:p w14:paraId="6036224B">
            <w:pPr>
              <w:jc w:val="center"/>
              <w:rPr>
                <w:rFonts w:ascii="宋体" w:hAnsi="宋体" w:cs="宋体"/>
                <w:b/>
                <w:sz w:val="24"/>
              </w:rPr>
            </w:pPr>
          </w:p>
        </w:tc>
        <w:tc>
          <w:tcPr>
            <w:tcW w:w="1282" w:type="dxa"/>
            <w:noWrap/>
            <w:vAlign w:val="center"/>
          </w:tcPr>
          <w:p w14:paraId="5D8DDC1C">
            <w:pPr>
              <w:jc w:val="center"/>
              <w:rPr>
                <w:rFonts w:ascii="宋体" w:hAnsi="宋体" w:cs="宋体"/>
                <w:b/>
                <w:sz w:val="24"/>
              </w:rPr>
            </w:pPr>
          </w:p>
        </w:tc>
        <w:tc>
          <w:tcPr>
            <w:tcW w:w="1430" w:type="dxa"/>
            <w:noWrap/>
            <w:vAlign w:val="center"/>
          </w:tcPr>
          <w:p w14:paraId="356EC126">
            <w:pPr>
              <w:jc w:val="center"/>
              <w:rPr>
                <w:rFonts w:ascii="宋体" w:hAnsi="宋体" w:cs="宋体"/>
                <w:b/>
                <w:sz w:val="24"/>
              </w:rPr>
            </w:pPr>
          </w:p>
        </w:tc>
        <w:tc>
          <w:tcPr>
            <w:tcW w:w="1085" w:type="dxa"/>
            <w:noWrap/>
            <w:vAlign w:val="center"/>
          </w:tcPr>
          <w:p w14:paraId="31DC765F">
            <w:pPr>
              <w:jc w:val="center"/>
              <w:rPr>
                <w:rFonts w:ascii="宋体" w:hAnsi="宋体" w:cs="宋体"/>
                <w:b/>
                <w:sz w:val="24"/>
              </w:rPr>
            </w:pPr>
          </w:p>
        </w:tc>
      </w:tr>
      <w:tr w14:paraId="6766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2F993050">
            <w:pPr>
              <w:jc w:val="center"/>
              <w:rPr>
                <w:rFonts w:ascii="宋体" w:hAnsi="宋体" w:cs="宋体"/>
                <w:b/>
                <w:sz w:val="24"/>
              </w:rPr>
            </w:pPr>
            <w:r>
              <w:rPr>
                <w:rFonts w:ascii="宋体" w:hAnsi="宋体" w:cs="宋体"/>
                <w:b/>
                <w:sz w:val="24"/>
              </w:rPr>
              <w:t>2</w:t>
            </w:r>
          </w:p>
        </w:tc>
        <w:tc>
          <w:tcPr>
            <w:tcW w:w="1306" w:type="dxa"/>
            <w:noWrap/>
            <w:vAlign w:val="center"/>
          </w:tcPr>
          <w:p w14:paraId="0FC0BB6F">
            <w:pPr>
              <w:jc w:val="center"/>
              <w:rPr>
                <w:rFonts w:ascii="宋体" w:hAnsi="宋体" w:cs="宋体"/>
                <w:b/>
                <w:sz w:val="24"/>
              </w:rPr>
            </w:pPr>
          </w:p>
        </w:tc>
        <w:tc>
          <w:tcPr>
            <w:tcW w:w="1276" w:type="dxa"/>
            <w:noWrap/>
          </w:tcPr>
          <w:p w14:paraId="5CA8841C">
            <w:pPr>
              <w:jc w:val="center"/>
              <w:rPr>
                <w:rFonts w:ascii="宋体" w:hAnsi="宋体" w:cs="宋体"/>
                <w:b/>
                <w:sz w:val="24"/>
              </w:rPr>
            </w:pPr>
          </w:p>
        </w:tc>
        <w:tc>
          <w:tcPr>
            <w:tcW w:w="567" w:type="dxa"/>
            <w:noWrap/>
            <w:vAlign w:val="center"/>
          </w:tcPr>
          <w:p w14:paraId="363F73CD">
            <w:pPr>
              <w:jc w:val="center"/>
              <w:rPr>
                <w:rFonts w:ascii="宋体" w:hAnsi="宋体" w:cs="宋体"/>
                <w:b/>
                <w:sz w:val="24"/>
              </w:rPr>
            </w:pPr>
          </w:p>
        </w:tc>
        <w:tc>
          <w:tcPr>
            <w:tcW w:w="567" w:type="dxa"/>
            <w:noWrap/>
            <w:vAlign w:val="center"/>
          </w:tcPr>
          <w:p w14:paraId="611FB0CA">
            <w:pPr>
              <w:jc w:val="center"/>
              <w:rPr>
                <w:rFonts w:ascii="宋体" w:hAnsi="宋体" w:cs="宋体"/>
                <w:b/>
                <w:sz w:val="24"/>
              </w:rPr>
            </w:pPr>
          </w:p>
        </w:tc>
        <w:tc>
          <w:tcPr>
            <w:tcW w:w="1282" w:type="dxa"/>
            <w:noWrap/>
            <w:vAlign w:val="center"/>
          </w:tcPr>
          <w:p w14:paraId="3D9543FD">
            <w:pPr>
              <w:jc w:val="center"/>
              <w:rPr>
                <w:rFonts w:ascii="宋体" w:hAnsi="宋体" w:cs="宋体"/>
                <w:b/>
                <w:sz w:val="24"/>
              </w:rPr>
            </w:pPr>
          </w:p>
        </w:tc>
        <w:tc>
          <w:tcPr>
            <w:tcW w:w="1430" w:type="dxa"/>
            <w:noWrap/>
            <w:vAlign w:val="center"/>
          </w:tcPr>
          <w:p w14:paraId="2FAE55C6">
            <w:pPr>
              <w:jc w:val="center"/>
              <w:rPr>
                <w:rFonts w:ascii="宋体" w:hAnsi="宋体" w:cs="宋体"/>
                <w:b/>
                <w:sz w:val="24"/>
              </w:rPr>
            </w:pPr>
          </w:p>
        </w:tc>
        <w:tc>
          <w:tcPr>
            <w:tcW w:w="1085" w:type="dxa"/>
            <w:noWrap/>
            <w:vAlign w:val="center"/>
          </w:tcPr>
          <w:p w14:paraId="0265AB1D">
            <w:pPr>
              <w:jc w:val="center"/>
              <w:rPr>
                <w:rFonts w:ascii="宋体" w:hAnsi="宋体" w:cs="宋体"/>
                <w:b/>
                <w:sz w:val="24"/>
              </w:rPr>
            </w:pPr>
          </w:p>
        </w:tc>
      </w:tr>
      <w:tr w14:paraId="4842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36F90890">
            <w:pPr>
              <w:jc w:val="center"/>
              <w:rPr>
                <w:rFonts w:ascii="宋体" w:hAnsi="宋体" w:cs="宋体"/>
                <w:b/>
                <w:sz w:val="24"/>
              </w:rPr>
            </w:pPr>
            <w:r>
              <w:rPr>
                <w:rFonts w:ascii="宋体" w:hAnsi="宋体" w:cs="宋体"/>
                <w:b/>
                <w:sz w:val="24"/>
              </w:rPr>
              <w:t>3</w:t>
            </w:r>
          </w:p>
        </w:tc>
        <w:tc>
          <w:tcPr>
            <w:tcW w:w="1306" w:type="dxa"/>
            <w:noWrap/>
            <w:vAlign w:val="center"/>
          </w:tcPr>
          <w:p w14:paraId="6DDE3E60">
            <w:pPr>
              <w:jc w:val="center"/>
              <w:rPr>
                <w:rFonts w:ascii="宋体" w:hAnsi="宋体" w:cs="宋体"/>
                <w:b/>
                <w:sz w:val="24"/>
              </w:rPr>
            </w:pPr>
          </w:p>
        </w:tc>
        <w:tc>
          <w:tcPr>
            <w:tcW w:w="1276" w:type="dxa"/>
            <w:noWrap/>
          </w:tcPr>
          <w:p w14:paraId="771F9ED6">
            <w:pPr>
              <w:jc w:val="center"/>
              <w:rPr>
                <w:rFonts w:ascii="宋体" w:hAnsi="宋体" w:cs="宋体"/>
                <w:b/>
                <w:sz w:val="24"/>
              </w:rPr>
            </w:pPr>
          </w:p>
        </w:tc>
        <w:tc>
          <w:tcPr>
            <w:tcW w:w="567" w:type="dxa"/>
            <w:noWrap/>
            <w:vAlign w:val="center"/>
          </w:tcPr>
          <w:p w14:paraId="636D43DF">
            <w:pPr>
              <w:jc w:val="center"/>
              <w:rPr>
                <w:rFonts w:ascii="宋体" w:hAnsi="宋体" w:cs="宋体"/>
                <w:b/>
                <w:sz w:val="24"/>
              </w:rPr>
            </w:pPr>
          </w:p>
        </w:tc>
        <w:tc>
          <w:tcPr>
            <w:tcW w:w="567" w:type="dxa"/>
            <w:noWrap/>
            <w:vAlign w:val="center"/>
          </w:tcPr>
          <w:p w14:paraId="7162928A">
            <w:pPr>
              <w:jc w:val="center"/>
              <w:rPr>
                <w:rFonts w:ascii="宋体" w:hAnsi="宋体" w:cs="宋体"/>
                <w:b/>
                <w:sz w:val="24"/>
              </w:rPr>
            </w:pPr>
          </w:p>
        </w:tc>
        <w:tc>
          <w:tcPr>
            <w:tcW w:w="1282" w:type="dxa"/>
            <w:noWrap/>
            <w:vAlign w:val="center"/>
          </w:tcPr>
          <w:p w14:paraId="2DB395C6">
            <w:pPr>
              <w:jc w:val="center"/>
              <w:rPr>
                <w:rFonts w:ascii="宋体" w:hAnsi="宋体" w:cs="宋体"/>
                <w:b/>
                <w:sz w:val="24"/>
              </w:rPr>
            </w:pPr>
          </w:p>
        </w:tc>
        <w:tc>
          <w:tcPr>
            <w:tcW w:w="1430" w:type="dxa"/>
            <w:noWrap/>
            <w:vAlign w:val="center"/>
          </w:tcPr>
          <w:p w14:paraId="4E17E3CB">
            <w:pPr>
              <w:jc w:val="center"/>
              <w:rPr>
                <w:rFonts w:ascii="宋体" w:hAnsi="宋体" w:cs="宋体"/>
                <w:b/>
                <w:sz w:val="24"/>
              </w:rPr>
            </w:pPr>
          </w:p>
        </w:tc>
        <w:tc>
          <w:tcPr>
            <w:tcW w:w="1085" w:type="dxa"/>
            <w:noWrap/>
            <w:vAlign w:val="center"/>
          </w:tcPr>
          <w:p w14:paraId="65521C34">
            <w:pPr>
              <w:jc w:val="center"/>
              <w:rPr>
                <w:rFonts w:ascii="宋体" w:hAnsi="宋体" w:cs="宋体"/>
                <w:b/>
                <w:sz w:val="24"/>
              </w:rPr>
            </w:pPr>
          </w:p>
        </w:tc>
      </w:tr>
      <w:tr w14:paraId="7210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27E51F5D">
            <w:pPr>
              <w:jc w:val="center"/>
              <w:rPr>
                <w:rFonts w:ascii="宋体" w:hAnsi="宋体" w:cs="宋体"/>
                <w:b/>
                <w:sz w:val="24"/>
              </w:rPr>
            </w:pPr>
            <w:r>
              <w:rPr>
                <w:rFonts w:ascii="宋体" w:hAnsi="宋体" w:cs="宋体"/>
                <w:b/>
                <w:sz w:val="24"/>
              </w:rPr>
              <w:t>4</w:t>
            </w:r>
          </w:p>
        </w:tc>
        <w:tc>
          <w:tcPr>
            <w:tcW w:w="1306" w:type="dxa"/>
            <w:noWrap/>
            <w:vAlign w:val="center"/>
          </w:tcPr>
          <w:p w14:paraId="59A2D539">
            <w:pPr>
              <w:jc w:val="center"/>
              <w:rPr>
                <w:rFonts w:ascii="宋体" w:hAnsi="宋体" w:cs="宋体"/>
                <w:b/>
                <w:sz w:val="24"/>
              </w:rPr>
            </w:pPr>
          </w:p>
        </w:tc>
        <w:tc>
          <w:tcPr>
            <w:tcW w:w="1276" w:type="dxa"/>
            <w:noWrap/>
          </w:tcPr>
          <w:p w14:paraId="15D3D9FE">
            <w:pPr>
              <w:jc w:val="center"/>
              <w:rPr>
                <w:rFonts w:ascii="宋体" w:hAnsi="宋体" w:cs="宋体"/>
                <w:b/>
                <w:sz w:val="24"/>
              </w:rPr>
            </w:pPr>
          </w:p>
        </w:tc>
        <w:tc>
          <w:tcPr>
            <w:tcW w:w="567" w:type="dxa"/>
            <w:noWrap/>
            <w:vAlign w:val="center"/>
          </w:tcPr>
          <w:p w14:paraId="5D1589A1">
            <w:pPr>
              <w:jc w:val="center"/>
              <w:rPr>
                <w:rFonts w:ascii="宋体" w:hAnsi="宋体" w:cs="宋体"/>
                <w:b/>
                <w:sz w:val="24"/>
              </w:rPr>
            </w:pPr>
          </w:p>
        </w:tc>
        <w:tc>
          <w:tcPr>
            <w:tcW w:w="567" w:type="dxa"/>
            <w:noWrap/>
            <w:vAlign w:val="center"/>
          </w:tcPr>
          <w:p w14:paraId="732D37F0">
            <w:pPr>
              <w:jc w:val="center"/>
              <w:rPr>
                <w:rFonts w:ascii="宋体" w:hAnsi="宋体" w:cs="宋体"/>
                <w:b/>
                <w:sz w:val="24"/>
              </w:rPr>
            </w:pPr>
          </w:p>
        </w:tc>
        <w:tc>
          <w:tcPr>
            <w:tcW w:w="1282" w:type="dxa"/>
            <w:noWrap/>
            <w:vAlign w:val="center"/>
          </w:tcPr>
          <w:p w14:paraId="77ADE280">
            <w:pPr>
              <w:jc w:val="center"/>
              <w:rPr>
                <w:rFonts w:ascii="宋体" w:hAnsi="宋体" w:cs="宋体"/>
                <w:b/>
                <w:sz w:val="24"/>
              </w:rPr>
            </w:pPr>
          </w:p>
        </w:tc>
        <w:tc>
          <w:tcPr>
            <w:tcW w:w="1430" w:type="dxa"/>
            <w:noWrap/>
            <w:vAlign w:val="center"/>
          </w:tcPr>
          <w:p w14:paraId="30835B88">
            <w:pPr>
              <w:jc w:val="center"/>
              <w:rPr>
                <w:rFonts w:ascii="宋体" w:hAnsi="宋体" w:cs="宋体"/>
                <w:b/>
                <w:sz w:val="24"/>
              </w:rPr>
            </w:pPr>
          </w:p>
        </w:tc>
        <w:tc>
          <w:tcPr>
            <w:tcW w:w="1085" w:type="dxa"/>
            <w:noWrap/>
            <w:vAlign w:val="center"/>
          </w:tcPr>
          <w:p w14:paraId="155C7145">
            <w:pPr>
              <w:jc w:val="center"/>
              <w:rPr>
                <w:rFonts w:ascii="宋体" w:hAnsi="宋体" w:cs="宋体"/>
                <w:b/>
                <w:sz w:val="24"/>
              </w:rPr>
            </w:pPr>
          </w:p>
        </w:tc>
      </w:tr>
      <w:tr w14:paraId="0345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0594E74D">
            <w:pPr>
              <w:jc w:val="center"/>
              <w:rPr>
                <w:rFonts w:ascii="宋体" w:hAnsi="宋体" w:cs="宋体"/>
                <w:b/>
                <w:sz w:val="24"/>
              </w:rPr>
            </w:pPr>
            <w:r>
              <w:rPr>
                <w:rFonts w:hint="eastAsia" w:ascii="宋体" w:hAnsi="宋体" w:cs="宋体"/>
                <w:b/>
                <w:sz w:val="24"/>
              </w:rPr>
              <w:t>…</w:t>
            </w:r>
          </w:p>
        </w:tc>
        <w:tc>
          <w:tcPr>
            <w:tcW w:w="1306" w:type="dxa"/>
            <w:noWrap/>
            <w:vAlign w:val="center"/>
          </w:tcPr>
          <w:p w14:paraId="3981E7A2">
            <w:pPr>
              <w:jc w:val="center"/>
              <w:rPr>
                <w:rFonts w:ascii="宋体" w:hAnsi="宋体" w:cs="宋体"/>
                <w:b/>
                <w:sz w:val="24"/>
              </w:rPr>
            </w:pPr>
          </w:p>
        </w:tc>
        <w:tc>
          <w:tcPr>
            <w:tcW w:w="1276" w:type="dxa"/>
            <w:noWrap/>
          </w:tcPr>
          <w:p w14:paraId="081E4200">
            <w:pPr>
              <w:jc w:val="center"/>
              <w:rPr>
                <w:rFonts w:ascii="宋体" w:hAnsi="宋体" w:cs="宋体"/>
                <w:b/>
                <w:sz w:val="24"/>
              </w:rPr>
            </w:pPr>
          </w:p>
        </w:tc>
        <w:tc>
          <w:tcPr>
            <w:tcW w:w="567" w:type="dxa"/>
            <w:noWrap/>
            <w:vAlign w:val="center"/>
          </w:tcPr>
          <w:p w14:paraId="23CA6854">
            <w:pPr>
              <w:jc w:val="center"/>
              <w:rPr>
                <w:rFonts w:ascii="宋体" w:hAnsi="宋体" w:cs="宋体"/>
                <w:b/>
                <w:sz w:val="24"/>
              </w:rPr>
            </w:pPr>
          </w:p>
        </w:tc>
        <w:tc>
          <w:tcPr>
            <w:tcW w:w="567" w:type="dxa"/>
            <w:noWrap/>
            <w:vAlign w:val="center"/>
          </w:tcPr>
          <w:p w14:paraId="260E75AF">
            <w:pPr>
              <w:jc w:val="center"/>
              <w:rPr>
                <w:rFonts w:ascii="宋体" w:hAnsi="宋体" w:cs="宋体"/>
                <w:b/>
                <w:sz w:val="24"/>
              </w:rPr>
            </w:pPr>
          </w:p>
        </w:tc>
        <w:tc>
          <w:tcPr>
            <w:tcW w:w="1282" w:type="dxa"/>
            <w:noWrap/>
            <w:vAlign w:val="center"/>
          </w:tcPr>
          <w:p w14:paraId="36B073F9">
            <w:pPr>
              <w:jc w:val="center"/>
              <w:rPr>
                <w:rFonts w:ascii="宋体" w:hAnsi="宋体" w:cs="宋体"/>
                <w:b/>
                <w:sz w:val="24"/>
              </w:rPr>
            </w:pPr>
          </w:p>
        </w:tc>
        <w:tc>
          <w:tcPr>
            <w:tcW w:w="1430" w:type="dxa"/>
            <w:noWrap/>
            <w:vAlign w:val="center"/>
          </w:tcPr>
          <w:p w14:paraId="022336E7">
            <w:pPr>
              <w:jc w:val="center"/>
              <w:rPr>
                <w:rFonts w:ascii="宋体" w:hAnsi="宋体" w:cs="宋体"/>
                <w:b/>
                <w:sz w:val="24"/>
              </w:rPr>
            </w:pPr>
          </w:p>
        </w:tc>
        <w:tc>
          <w:tcPr>
            <w:tcW w:w="1085" w:type="dxa"/>
            <w:noWrap/>
            <w:vAlign w:val="center"/>
          </w:tcPr>
          <w:p w14:paraId="5A480275">
            <w:pPr>
              <w:jc w:val="center"/>
              <w:rPr>
                <w:rFonts w:ascii="宋体" w:hAnsi="宋体" w:cs="宋体"/>
                <w:b/>
                <w:sz w:val="24"/>
              </w:rPr>
            </w:pPr>
          </w:p>
        </w:tc>
      </w:tr>
    </w:tbl>
    <w:p w14:paraId="41A724AC">
      <w:pPr>
        <w:spacing w:line="360" w:lineRule="auto"/>
        <w:rPr>
          <w:rFonts w:ascii="宋体" w:hAnsi="宋体" w:cs="宋体"/>
          <w:b/>
          <w:sz w:val="24"/>
        </w:rPr>
      </w:pPr>
    </w:p>
    <w:p w14:paraId="0DDD257B">
      <w:pPr>
        <w:adjustRightInd w:val="0"/>
        <w:snapToGrid w:val="0"/>
        <w:spacing w:line="360" w:lineRule="auto"/>
        <w:rPr>
          <w:rFonts w:ascii="宋体" w:hAnsi="宋体" w:cs="宋体"/>
          <w:color w:val="000000"/>
          <w:sz w:val="24"/>
          <w:u w:val="single"/>
        </w:rPr>
      </w:pPr>
      <w:r>
        <w:rPr>
          <w:rFonts w:hint="eastAsia" w:ascii="宋体" w:hAnsi="宋体" w:cs="宋体"/>
          <w:b/>
          <w:bCs/>
          <w:color w:val="000000"/>
          <w:sz w:val="24"/>
        </w:rPr>
        <w:t>投标人</w:t>
      </w:r>
      <w:r>
        <w:rPr>
          <w:rFonts w:hint="eastAsia" w:ascii="宋体" w:hAnsi="宋体" w:cs="宋体"/>
          <w:b/>
          <w:color w:val="000000"/>
          <w:sz w:val="24"/>
        </w:rPr>
        <w:t>（电子签章）</w:t>
      </w:r>
      <w:r>
        <w:rPr>
          <w:rFonts w:hint="eastAsia" w:ascii="宋体" w:hAnsi="宋体" w:cs="宋体"/>
          <w:b/>
          <w:bCs/>
          <w:color w:val="000000"/>
          <w:sz w:val="24"/>
        </w:rPr>
        <w:t>：</w:t>
      </w:r>
    </w:p>
    <w:p w14:paraId="4E06F12A">
      <w:pPr>
        <w:spacing w:line="360" w:lineRule="auto"/>
        <w:jc w:val="left"/>
        <w:rPr>
          <w:rFonts w:ascii="宋体" w:hAnsi="宋体"/>
          <w:b/>
          <w:sz w:val="24"/>
        </w:rPr>
      </w:pPr>
      <w:r>
        <w:rPr>
          <w:rFonts w:hint="eastAsia" w:ascii="宋体" w:hAnsi="宋体" w:cs="宋体"/>
          <w:b/>
          <w:color w:val="000000"/>
          <w:sz w:val="24"/>
        </w:rPr>
        <w:t>法定代表人或授权代表（电子签章/签名）</w:t>
      </w:r>
      <w:r>
        <w:rPr>
          <w:rFonts w:hint="eastAsia" w:ascii="宋体" w:hAnsi="宋体" w:cs="宋体"/>
          <w:b/>
          <w:bCs/>
          <w:sz w:val="24"/>
        </w:rPr>
        <w:t>：</w:t>
      </w:r>
    </w:p>
    <w:p w14:paraId="3F5ED7D9">
      <w:pPr>
        <w:tabs>
          <w:tab w:val="left" w:pos="360"/>
          <w:tab w:val="left" w:pos="540"/>
        </w:tabs>
        <w:spacing w:line="360" w:lineRule="auto"/>
        <w:rPr>
          <w:rFonts w:ascii="宋体" w:hAnsi="宋体" w:cs="宋体"/>
          <w:b/>
          <w:color w:val="000000"/>
          <w:sz w:val="24"/>
        </w:rPr>
      </w:pPr>
      <w:r>
        <w:rPr>
          <w:rFonts w:hint="eastAsia" w:ascii="宋体" w:hAnsi="宋体" w:cs="宋体"/>
          <w:b/>
          <w:color w:val="000000"/>
          <w:sz w:val="24"/>
        </w:rPr>
        <w:t>日期：年月日</w:t>
      </w:r>
    </w:p>
    <w:p w14:paraId="62F170B0">
      <w:pPr>
        <w:pStyle w:val="17"/>
        <w:widowControl/>
        <w:rPr>
          <w:rFonts w:cs="宋体"/>
        </w:rPr>
      </w:pPr>
    </w:p>
    <w:p w14:paraId="2DD08022">
      <w:pPr>
        <w:rPr>
          <w:rFonts w:cs="宋体"/>
        </w:rPr>
      </w:pPr>
    </w:p>
    <w:p w14:paraId="1DF22C51">
      <w:pPr>
        <w:pStyle w:val="16"/>
        <w:rPr>
          <w:rFonts w:cs="宋体"/>
        </w:rPr>
      </w:pPr>
    </w:p>
    <w:p w14:paraId="13AA51E6">
      <w:pPr>
        <w:pStyle w:val="17"/>
        <w:rPr>
          <w:rFonts w:cs="宋体"/>
        </w:rPr>
      </w:pPr>
    </w:p>
    <w:p w14:paraId="5057CC90">
      <w:pPr>
        <w:rPr>
          <w:rFonts w:cs="宋体"/>
        </w:rPr>
      </w:pPr>
    </w:p>
    <w:p w14:paraId="318ED60D">
      <w:pPr>
        <w:pStyle w:val="16"/>
        <w:rPr>
          <w:rFonts w:cs="宋体"/>
        </w:rPr>
      </w:pPr>
    </w:p>
    <w:p w14:paraId="35CD0401">
      <w:pPr>
        <w:sectPr>
          <w:pgSz w:w="11906" w:h="16838"/>
          <w:pgMar w:top="1440" w:right="1800" w:bottom="1440" w:left="1800" w:header="851" w:footer="992" w:gutter="0"/>
          <w:cols w:space="720" w:num="1"/>
          <w:docGrid w:type="lines" w:linePitch="312" w:charSpace="0"/>
        </w:sectPr>
      </w:pPr>
    </w:p>
    <w:p w14:paraId="5B660004">
      <w:pPr>
        <w:pStyle w:val="3"/>
        <w:jc w:val="center"/>
      </w:pPr>
      <w:r>
        <w:rPr>
          <w:rFonts w:hint="eastAsia"/>
        </w:rPr>
        <w:t>三、法定代表人身份证明及法定代表人授权委托书</w:t>
      </w:r>
    </w:p>
    <w:p w14:paraId="1B22394F">
      <w:pPr>
        <w:ind w:firstLine="562"/>
        <w:jc w:val="center"/>
        <w:rPr>
          <w:b/>
          <w:bCs/>
          <w:sz w:val="28"/>
          <w:szCs w:val="28"/>
        </w:rPr>
      </w:pPr>
      <w:r>
        <w:rPr>
          <w:rFonts w:hint="eastAsia"/>
          <w:b/>
          <w:bCs/>
          <w:sz w:val="28"/>
          <w:szCs w:val="28"/>
        </w:rPr>
        <w:t>法定代表人身份证明</w:t>
      </w:r>
    </w:p>
    <w:p w14:paraId="49C52580">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投标人名称：</w:t>
      </w:r>
    </w:p>
    <w:p w14:paraId="210ABE77">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单位性质：</w:t>
      </w:r>
      <w:r>
        <w:rPr>
          <w:rFonts w:hint="eastAsia" w:ascii="宋体" w:hAnsi="宋体" w:cs="宋体"/>
          <w:kern w:val="0"/>
          <w:u w:val="single"/>
        </w:rPr>
        <w:tab/>
      </w:r>
    </w:p>
    <w:p w14:paraId="75294D98">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地址：</w:t>
      </w:r>
      <w:r>
        <w:rPr>
          <w:rFonts w:hint="eastAsia" w:ascii="宋体" w:hAnsi="宋体" w:cs="宋体"/>
          <w:kern w:val="0"/>
          <w:u w:val="single"/>
        </w:rPr>
        <w:tab/>
      </w:r>
    </w:p>
    <w:p w14:paraId="1F1AFE52">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成立时间：</w:t>
      </w:r>
      <w:r>
        <w:rPr>
          <w:rFonts w:hint="eastAsia" w:ascii="宋体" w:hAnsi="宋体" w:cs="宋体"/>
          <w:kern w:val="0"/>
          <w:u w:val="single"/>
        </w:rPr>
        <w:tab/>
      </w:r>
      <w:r>
        <w:rPr>
          <w:rFonts w:hint="eastAsia" w:ascii="宋体" w:hAnsi="宋体" w:cs="宋体"/>
          <w:kern w:val="0"/>
        </w:rPr>
        <w:t>年</w:t>
      </w:r>
      <w:r>
        <w:rPr>
          <w:rFonts w:hint="eastAsia" w:ascii="宋体" w:hAnsi="宋体" w:cs="宋体"/>
          <w:kern w:val="0"/>
          <w:u w:val="single"/>
        </w:rPr>
        <w:tab/>
      </w:r>
      <w:r>
        <w:rPr>
          <w:rFonts w:hint="eastAsia" w:ascii="宋体" w:hAnsi="宋体" w:cs="宋体"/>
          <w:kern w:val="0"/>
        </w:rPr>
        <w:t>月</w:t>
      </w:r>
      <w:r>
        <w:rPr>
          <w:rFonts w:hint="eastAsia" w:ascii="宋体" w:hAnsi="宋体" w:cs="宋体"/>
          <w:kern w:val="0"/>
          <w:u w:val="single"/>
        </w:rPr>
        <w:tab/>
      </w:r>
      <w:r>
        <w:rPr>
          <w:rFonts w:hint="eastAsia" w:ascii="宋体" w:hAnsi="宋体" w:cs="宋体"/>
          <w:kern w:val="0"/>
        </w:rPr>
        <w:t>日</w:t>
      </w:r>
    </w:p>
    <w:p w14:paraId="49BCA4D6">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经营期限：</w:t>
      </w:r>
      <w:r>
        <w:rPr>
          <w:rFonts w:hint="eastAsia" w:ascii="宋体" w:hAnsi="宋体" w:cs="宋体"/>
          <w:kern w:val="0"/>
          <w:u w:val="single"/>
        </w:rPr>
        <w:tab/>
      </w:r>
    </w:p>
    <w:p w14:paraId="7A740641">
      <w:pPr>
        <w:autoSpaceDE w:val="0"/>
        <w:autoSpaceDN w:val="0"/>
        <w:adjustRightInd w:val="0"/>
        <w:spacing w:line="600" w:lineRule="exact"/>
        <w:ind w:left="120" w:right="-20" w:firstLine="480"/>
        <w:jc w:val="left"/>
        <w:rPr>
          <w:rFonts w:ascii="宋体" w:hAnsi="宋体" w:cs="宋体"/>
          <w:u w:val="single"/>
        </w:rPr>
      </w:pPr>
      <w:r>
        <w:rPr>
          <w:rFonts w:hint="eastAsia" w:ascii="宋体" w:hAnsi="宋体" w:cs="宋体"/>
          <w:kern w:val="0"/>
        </w:rPr>
        <w:t>姓名：性别：年龄：职务：</w:t>
      </w:r>
    </w:p>
    <w:p w14:paraId="3D69A07A">
      <w:pPr>
        <w:autoSpaceDE w:val="0"/>
        <w:autoSpaceDN w:val="0"/>
        <w:adjustRightInd w:val="0"/>
        <w:spacing w:line="600" w:lineRule="exact"/>
        <w:ind w:left="120" w:right="-20" w:firstLine="480"/>
        <w:jc w:val="left"/>
        <w:rPr>
          <w:rFonts w:ascii="宋体" w:hAnsi="宋体" w:cs="宋体"/>
        </w:rPr>
      </w:pPr>
      <w:r>
        <w:rPr>
          <w:rFonts w:hint="eastAsia" w:ascii="宋体" w:hAnsi="宋体" w:cs="宋体"/>
          <w:kern w:val="0"/>
        </w:rPr>
        <w:t>系</w:t>
      </w:r>
      <w:r>
        <w:rPr>
          <w:rFonts w:hint="eastAsia" w:ascii="宋体" w:hAnsi="宋体" w:cs="宋体"/>
          <w:kern w:val="0"/>
          <w:u w:val="single"/>
        </w:rPr>
        <w:tab/>
      </w:r>
      <w:r>
        <w:rPr>
          <w:rFonts w:hint="eastAsia" w:ascii="宋体" w:hAnsi="宋体" w:cs="宋体"/>
          <w:kern w:val="0"/>
          <w:u w:val="single"/>
        </w:rPr>
        <w:t>（投标人名称）</w:t>
      </w:r>
      <w:r>
        <w:rPr>
          <w:rFonts w:hint="eastAsia" w:ascii="宋体" w:hAnsi="宋体" w:cs="宋体"/>
          <w:kern w:val="0"/>
        </w:rPr>
        <w:t>的法定代表人。</w:t>
      </w:r>
    </w:p>
    <w:p w14:paraId="4A7A197A">
      <w:pPr>
        <w:autoSpaceDE w:val="0"/>
        <w:autoSpaceDN w:val="0"/>
        <w:adjustRightInd w:val="0"/>
        <w:spacing w:line="600" w:lineRule="exact"/>
        <w:ind w:left="540" w:right="-20" w:firstLine="480"/>
        <w:jc w:val="left"/>
        <w:rPr>
          <w:rFonts w:ascii="宋体" w:hAnsi="宋体" w:cs="宋体"/>
        </w:rPr>
      </w:pPr>
    </w:p>
    <w:p w14:paraId="3D68CA95">
      <w:pPr>
        <w:autoSpaceDE w:val="0"/>
        <w:autoSpaceDN w:val="0"/>
        <w:adjustRightInd w:val="0"/>
        <w:spacing w:line="600" w:lineRule="exact"/>
        <w:ind w:left="540" w:right="-20" w:firstLine="480"/>
        <w:jc w:val="left"/>
        <w:rPr>
          <w:rFonts w:ascii="宋体" w:hAnsi="宋体" w:cs="宋体"/>
        </w:rPr>
      </w:pPr>
      <w:r>
        <w:rPr>
          <w:rFonts w:hint="eastAsia" w:ascii="宋体" w:hAnsi="宋体" w:cs="宋体"/>
          <w:kern w:val="0"/>
        </w:rPr>
        <w:t>特此证明。</w:t>
      </w:r>
    </w:p>
    <w:p w14:paraId="3E858688">
      <w:pPr>
        <w:autoSpaceDE w:val="0"/>
        <w:autoSpaceDN w:val="0"/>
        <w:adjustRightInd w:val="0"/>
        <w:spacing w:line="600" w:lineRule="exact"/>
        <w:ind w:firstLine="480"/>
        <w:jc w:val="left"/>
        <w:rPr>
          <w:rFonts w:ascii="宋体" w:hAnsi="宋体" w:cs="宋体"/>
        </w:rPr>
      </w:pPr>
    </w:p>
    <w:p w14:paraId="79759AA2">
      <w:pPr>
        <w:autoSpaceDE w:val="0"/>
        <w:autoSpaceDN w:val="0"/>
        <w:adjustRightInd w:val="0"/>
        <w:spacing w:line="600" w:lineRule="exact"/>
        <w:ind w:firstLine="480"/>
        <w:jc w:val="left"/>
        <w:rPr>
          <w:rFonts w:ascii="宋体" w:hAnsi="宋体" w:cs="宋体"/>
        </w:rPr>
      </w:pPr>
    </w:p>
    <w:p w14:paraId="383AB86B">
      <w:pPr>
        <w:pStyle w:val="5"/>
        <w:widowControl/>
        <w:spacing w:line="360" w:lineRule="auto"/>
        <w:ind w:firstLine="3600" w:firstLineChars="1500"/>
        <w:rPr>
          <w:rFonts w:ascii="宋体" w:hAnsi="宋体" w:cs="宋体"/>
          <w:sz w:val="24"/>
          <w:szCs w:val="24"/>
          <w:u w:val="single"/>
        </w:rPr>
      </w:pPr>
      <w:r>
        <w:rPr>
          <w:rFonts w:hint="eastAsia" w:ascii="宋体" w:hAnsi="宋体" w:cs="宋体"/>
          <w:sz w:val="24"/>
          <w:szCs w:val="24"/>
        </w:rPr>
        <w:t>投标人(盖单位电子章)：</w:t>
      </w:r>
    </w:p>
    <w:p w14:paraId="4C6A4C63">
      <w:pPr>
        <w:pStyle w:val="5"/>
        <w:widowControl/>
        <w:spacing w:line="360" w:lineRule="auto"/>
        <w:ind w:firstLine="3600" w:firstLineChars="1500"/>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49C36B5C">
      <w:pPr>
        <w:autoSpaceDE w:val="0"/>
        <w:autoSpaceDN w:val="0"/>
        <w:adjustRightInd w:val="0"/>
        <w:spacing w:line="360" w:lineRule="auto"/>
        <w:ind w:firstLine="4410" w:firstLineChars="2100"/>
        <w:jc w:val="left"/>
        <w:rPr>
          <w:rFonts w:ascii="宋体" w:hAnsi="宋体" w:cs="宋体"/>
        </w:rPr>
      </w:pPr>
      <w:r>
        <w:rPr>
          <w:rFonts w:hint="eastAsia" w:ascii="宋体" w:hAnsi="宋体" w:cs="宋体"/>
          <w:kern w:val="0"/>
        </w:rPr>
        <w:t>日期：  年  月  日</w:t>
      </w:r>
    </w:p>
    <w:p w14:paraId="55F4F417">
      <w:pPr>
        <w:autoSpaceDE w:val="0"/>
        <w:autoSpaceDN w:val="0"/>
        <w:adjustRightInd w:val="0"/>
        <w:ind w:firstLine="2835" w:firstLineChars="1350"/>
        <w:jc w:val="left"/>
        <w:rPr>
          <w:rFonts w:ascii="宋体" w:hAnsi="宋体" w:cs="宋体"/>
          <w:kern w:val="0"/>
          <w:u w:val="single"/>
        </w:rPr>
      </w:pPr>
    </w:p>
    <w:p w14:paraId="0B0DF2EB">
      <w:pPr>
        <w:pStyle w:val="17"/>
        <w:widowControl/>
        <w:rPr>
          <w:rFonts w:cs="宋体"/>
        </w:rPr>
      </w:pPr>
    </w:p>
    <w:p w14:paraId="7BD20264">
      <w:pPr>
        <w:autoSpaceDE w:val="0"/>
        <w:autoSpaceDN w:val="0"/>
        <w:adjustRightInd w:val="0"/>
        <w:spacing w:before="14" w:line="600" w:lineRule="exact"/>
        <w:ind w:firstLine="480"/>
        <w:jc w:val="left"/>
        <w:rPr>
          <w:rFonts w:ascii="宋体" w:hAnsi="宋体" w:cs="宋体"/>
        </w:rPr>
      </w:pPr>
    </w:p>
    <w:p w14:paraId="307A6F8F">
      <w:pPr>
        <w:ind w:firstLine="482"/>
        <w:jc w:val="center"/>
        <w:rPr>
          <w:b/>
          <w:bCs/>
          <w:sz w:val="28"/>
          <w:szCs w:val="28"/>
        </w:rPr>
      </w:pPr>
      <w:r>
        <w:rPr>
          <w:rFonts w:hint="eastAsia" w:ascii="宋体" w:hAnsi="宋体" w:cs="宋体"/>
          <w:b/>
        </w:rPr>
        <w:br w:type="page"/>
      </w:r>
      <w:r>
        <w:rPr>
          <w:rFonts w:hint="eastAsia"/>
          <w:b/>
          <w:bCs/>
          <w:sz w:val="28"/>
          <w:szCs w:val="28"/>
        </w:rPr>
        <w:t>法定代表人授权委托书</w:t>
      </w:r>
    </w:p>
    <w:p w14:paraId="6B5E8115">
      <w:pPr>
        <w:autoSpaceDE w:val="0"/>
        <w:autoSpaceDN w:val="0"/>
        <w:adjustRightInd w:val="0"/>
        <w:spacing w:line="520" w:lineRule="exact"/>
        <w:ind w:firstLine="428" w:firstLineChars="204"/>
        <w:jc w:val="left"/>
        <w:rPr>
          <w:rFonts w:ascii="宋体" w:hAnsi="宋体" w:cs="宋体"/>
        </w:rPr>
      </w:pPr>
      <w:r>
        <w:rPr>
          <w:rFonts w:hint="eastAsia" w:ascii="宋体" w:hAnsi="宋体" w:cs="宋体"/>
          <w:kern w:val="0"/>
        </w:rPr>
        <w:t>本人（姓名）系（投标人名称）的法定代表人，现委托（姓名）为我方代理人。代理人根据授权，以我方名义签署、澄清、说明、补正、递交、撤回、修改（项目、标段名称）投标文件、签订合同和处理有关事宜，其法律后果由我方承担。</w:t>
      </w:r>
    </w:p>
    <w:p w14:paraId="094CE4C5">
      <w:pPr>
        <w:autoSpaceDE w:val="0"/>
        <w:autoSpaceDN w:val="0"/>
        <w:adjustRightInd w:val="0"/>
        <w:spacing w:line="520" w:lineRule="exact"/>
        <w:ind w:firstLine="428" w:firstLineChars="204"/>
        <w:jc w:val="left"/>
        <w:rPr>
          <w:rFonts w:ascii="宋体" w:hAnsi="宋体" w:cs="宋体"/>
          <w:kern w:val="0"/>
        </w:rPr>
      </w:pPr>
      <w:r>
        <w:rPr>
          <w:rFonts w:hint="eastAsia" w:ascii="宋体" w:hAnsi="宋体" w:cs="宋体"/>
          <w:kern w:val="0"/>
        </w:rPr>
        <w:t>代理人无转委托权，特此委托。</w:t>
      </w:r>
    </w:p>
    <w:p w14:paraId="133BCEF2">
      <w:pPr>
        <w:autoSpaceDE w:val="0"/>
        <w:autoSpaceDN w:val="0"/>
        <w:adjustRightInd w:val="0"/>
        <w:spacing w:line="400" w:lineRule="exact"/>
        <w:ind w:firstLine="482"/>
        <w:jc w:val="left"/>
        <w:rPr>
          <w:rFonts w:ascii="宋体" w:hAnsi="宋体" w:cs="宋体"/>
          <w:b/>
          <w:kern w:val="0"/>
          <w:u w:val="single"/>
        </w:rPr>
      </w:pPr>
    </w:p>
    <w:p w14:paraId="42E04918">
      <w:pPr>
        <w:autoSpaceDE w:val="0"/>
        <w:autoSpaceDN w:val="0"/>
        <w:adjustRightInd w:val="0"/>
        <w:spacing w:line="400" w:lineRule="exact"/>
        <w:ind w:firstLine="482"/>
        <w:jc w:val="left"/>
        <w:rPr>
          <w:rFonts w:ascii="宋体" w:hAnsi="宋体" w:cs="宋体"/>
          <w:b/>
        </w:rPr>
      </w:pPr>
      <w:r>
        <w:rPr>
          <w:rFonts w:hint="eastAsia" w:ascii="宋体" w:hAnsi="宋体" w:cs="宋体"/>
          <w:b/>
          <w:kern w:val="0"/>
          <w:u w:val="single"/>
        </w:rPr>
        <w:t>此处附：法定代表人和授权委托人身份证复印件</w:t>
      </w:r>
    </w:p>
    <w:p w14:paraId="5D883866">
      <w:pPr>
        <w:autoSpaceDE w:val="0"/>
        <w:autoSpaceDN w:val="0"/>
        <w:adjustRightInd w:val="0"/>
        <w:spacing w:line="400" w:lineRule="exact"/>
        <w:ind w:firstLine="480"/>
        <w:jc w:val="left"/>
        <w:rPr>
          <w:rFonts w:ascii="宋体" w:hAnsi="宋体" w:cs="宋体"/>
        </w:rPr>
      </w:pPr>
    </w:p>
    <w:p w14:paraId="519A8E9C">
      <w:pPr>
        <w:pStyle w:val="5"/>
        <w:widowControl/>
        <w:ind w:firstLine="480"/>
        <w:jc w:val="center"/>
        <w:rPr>
          <w:rFonts w:ascii="宋体" w:hAnsi="宋体" w:cs="宋体"/>
          <w:sz w:val="24"/>
          <w:szCs w:val="24"/>
          <w:u w:val="single"/>
        </w:rPr>
      </w:pPr>
      <w:r>
        <w:rPr>
          <w:rFonts w:hint="eastAsia" w:ascii="宋体" w:hAnsi="宋体" w:cs="宋体"/>
          <w:sz w:val="24"/>
          <w:szCs w:val="24"/>
        </w:rPr>
        <w:t>投标人(盖单位电子章)：</w:t>
      </w:r>
    </w:p>
    <w:p w14:paraId="53C0CE0D">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54A76387">
      <w:pPr>
        <w:autoSpaceDE w:val="0"/>
        <w:autoSpaceDN w:val="0"/>
        <w:adjustRightInd w:val="0"/>
        <w:spacing w:line="500" w:lineRule="exact"/>
        <w:ind w:firstLine="480"/>
        <w:jc w:val="center"/>
        <w:rPr>
          <w:rFonts w:ascii="宋体" w:hAnsi="宋体" w:cs="宋体"/>
          <w:u w:val="single"/>
        </w:rPr>
      </w:pPr>
      <w:r>
        <w:rPr>
          <w:rFonts w:hint="eastAsia" w:ascii="宋体" w:hAnsi="宋体" w:cs="宋体"/>
          <w:kern w:val="0"/>
        </w:rPr>
        <w:t>日期：年月日</w:t>
      </w:r>
    </w:p>
    <w:p w14:paraId="284374B6">
      <w:pPr>
        <w:autoSpaceDE w:val="0"/>
        <w:autoSpaceDN w:val="0"/>
        <w:adjustRightInd w:val="0"/>
        <w:spacing w:line="400" w:lineRule="exact"/>
        <w:ind w:firstLine="480"/>
        <w:jc w:val="left"/>
        <w:rPr>
          <w:rFonts w:ascii="宋体" w:hAnsi="宋体" w:cs="宋体"/>
        </w:rPr>
      </w:pPr>
    </w:p>
    <w:p w14:paraId="383AA77A">
      <w:pPr>
        <w:autoSpaceDE w:val="0"/>
        <w:autoSpaceDN w:val="0"/>
        <w:adjustRightInd w:val="0"/>
        <w:spacing w:line="500" w:lineRule="exact"/>
        <w:ind w:firstLine="539" w:firstLineChars="257"/>
        <w:jc w:val="left"/>
        <w:rPr>
          <w:rFonts w:ascii="宋体" w:hAnsi="宋体" w:cs="宋体"/>
        </w:rPr>
      </w:pPr>
    </w:p>
    <w:tbl>
      <w:tblPr>
        <w:tblStyle w:val="18"/>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2"/>
        <w:gridCol w:w="4162"/>
      </w:tblGrid>
      <w:tr w14:paraId="1ABA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7" w:hRule="atLeast"/>
          <w:jc w:val="center"/>
        </w:trPr>
        <w:tc>
          <w:tcPr>
            <w:tcW w:w="4162" w:type="dxa"/>
            <w:tcBorders>
              <w:top w:val="single" w:color="auto" w:sz="4" w:space="0"/>
              <w:left w:val="single" w:color="auto" w:sz="4" w:space="0"/>
              <w:bottom w:val="single" w:color="auto" w:sz="4" w:space="0"/>
              <w:right w:val="single" w:color="auto" w:sz="4" w:space="0"/>
            </w:tcBorders>
            <w:noWrap/>
          </w:tcPr>
          <w:p w14:paraId="7CB1AAA9">
            <w:pPr>
              <w:autoSpaceDE w:val="0"/>
              <w:autoSpaceDN w:val="0"/>
              <w:adjustRightInd w:val="0"/>
              <w:spacing w:line="500" w:lineRule="exact"/>
              <w:ind w:firstLine="480"/>
              <w:jc w:val="left"/>
            </w:pPr>
          </w:p>
          <w:p w14:paraId="2EF48723">
            <w:pPr>
              <w:pStyle w:val="6"/>
              <w:ind w:firstLine="400"/>
            </w:pPr>
          </w:p>
        </w:tc>
        <w:tc>
          <w:tcPr>
            <w:tcW w:w="4162" w:type="dxa"/>
            <w:tcBorders>
              <w:top w:val="single" w:color="auto" w:sz="4" w:space="0"/>
              <w:left w:val="nil"/>
              <w:bottom w:val="single" w:color="auto" w:sz="4" w:space="0"/>
              <w:right w:val="single" w:color="auto" w:sz="4" w:space="0"/>
            </w:tcBorders>
            <w:noWrap/>
          </w:tcPr>
          <w:p w14:paraId="1E321E92">
            <w:pPr>
              <w:autoSpaceDE w:val="0"/>
              <w:autoSpaceDN w:val="0"/>
              <w:adjustRightInd w:val="0"/>
              <w:spacing w:line="500" w:lineRule="exact"/>
              <w:ind w:firstLine="480"/>
              <w:jc w:val="left"/>
              <w:rPr>
                <w:rFonts w:ascii="宋体" w:hAnsi="宋体" w:cs="宋体"/>
              </w:rPr>
            </w:pPr>
            <w:r>
              <w:rPr>
                <w:rFonts w:hint="eastAsia" w:ascii="宋体" w:hAnsi="宋体" w:cs="宋体"/>
                <w:kern w:val="0"/>
              </w:rPr>
              <w:t>被授权人身份证复印件</w:t>
            </w:r>
          </w:p>
        </w:tc>
      </w:tr>
    </w:tbl>
    <w:p w14:paraId="763D9F59">
      <w:pPr>
        <w:autoSpaceDE w:val="0"/>
        <w:autoSpaceDN w:val="0"/>
        <w:adjustRightInd w:val="0"/>
        <w:spacing w:line="500" w:lineRule="exact"/>
        <w:ind w:firstLine="504" w:firstLineChars="240"/>
        <w:jc w:val="left"/>
        <w:rPr>
          <w:rFonts w:ascii="宋体" w:hAnsi="宋体" w:cs="宋体"/>
        </w:rPr>
      </w:pPr>
    </w:p>
    <w:p w14:paraId="0451A66E">
      <w:pPr>
        <w:autoSpaceDE w:val="0"/>
        <w:autoSpaceDN w:val="0"/>
        <w:adjustRightInd w:val="0"/>
        <w:ind w:firstLine="480"/>
        <w:jc w:val="center"/>
        <w:rPr>
          <w:rFonts w:ascii="宋体" w:hAnsi="宋体" w:cs="宋体"/>
        </w:rPr>
      </w:pPr>
    </w:p>
    <w:p w14:paraId="0BD98C15">
      <w:pPr>
        <w:ind w:left="420" w:leftChars="200"/>
        <w:jc w:val="center"/>
        <w:rPr>
          <w:rFonts w:ascii="Arial" w:hAnsi="Arial"/>
          <w:b/>
          <w:bCs/>
          <w:sz w:val="28"/>
          <w:szCs w:val="32"/>
        </w:rPr>
      </w:pPr>
    </w:p>
    <w:p w14:paraId="1728E21B">
      <w:pPr>
        <w:ind w:left="420" w:leftChars="200"/>
        <w:jc w:val="center"/>
        <w:rPr>
          <w:rFonts w:ascii="Arial" w:hAnsi="Arial"/>
          <w:b/>
          <w:bCs/>
          <w:sz w:val="28"/>
          <w:szCs w:val="32"/>
        </w:rPr>
      </w:pPr>
    </w:p>
    <w:p w14:paraId="6DFE873B">
      <w:pPr>
        <w:pStyle w:val="3"/>
        <w:jc w:val="center"/>
        <w:rPr>
          <w:szCs w:val="28"/>
        </w:rPr>
      </w:pPr>
      <w:r>
        <w:rPr>
          <w:rFonts w:hint="eastAsia"/>
          <w:szCs w:val="28"/>
        </w:rPr>
        <w:t>四、投标人基本情况</w:t>
      </w:r>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1037"/>
        <w:gridCol w:w="1533"/>
        <w:gridCol w:w="1214"/>
        <w:gridCol w:w="1098"/>
        <w:gridCol w:w="225"/>
        <w:gridCol w:w="2080"/>
      </w:tblGrid>
      <w:tr w14:paraId="160A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2A674099">
            <w:pPr>
              <w:autoSpaceDE w:val="0"/>
              <w:autoSpaceDN w:val="0"/>
              <w:adjustRightInd w:val="0"/>
              <w:rPr>
                <w:rFonts w:ascii="宋体" w:hAnsi="宋体" w:cs="宋体"/>
              </w:rPr>
            </w:pPr>
            <w:r>
              <w:rPr>
                <w:rFonts w:hint="eastAsia" w:ascii="宋体" w:hAnsi="宋体" w:cs="宋体"/>
                <w:kern w:val="0"/>
              </w:rPr>
              <w:t>投标单位名称</w:t>
            </w:r>
          </w:p>
        </w:tc>
        <w:tc>
          <w:tcPr>
            <w:tcW w:w="7187" w:type="dxa"/>
            <w:gridSpan w:val="6"/>
            <w:tcBorders>
              <w:top w:val="single" w:color="auto" w:sz="4" w:space="0"/>
              <w:left w:val="nil"/>
              <w:bottom w:val="single" w:color="auto" w:sz="4" w:space="0"/>
              <w:right w:val="single" w:color="auto" w:sz="4" w:space="0"/>
            </w:tcBorders>
            <w:noWrap/>
            <w:vAlign w:val="center"/>
          </w:tcPr>
          <w:p w14:paraId="468CC637">
            <w:pPr>
              <w:autoSpaceDE w:val="0"/>
              <w:autoSpaceDN w:val="0"/>
              <w:adjustRightInd w:val="0"/>
              <w:ind w:firstLine="480"/>
              <w:jc w:val="center"/>
              <w:rPr>
                <w:rFonts w:ascii="宋体" w:hAnsi="宋体" w:cs="宋体"/>
              </w:rPr>
            </w:pPr>
          </w:p>
        </w:tc>
      </w:tr>
      <w:tr w14:paraId="2E1F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4D648A23">
            <w:pPr>
              <w:autoSpaceDE w:val="0"/>
              <w:autoSpaceDN w:val="0"/>
              <w:adjustRightInd w:val="0"/>
              <w:rPr>
                <w:rFonts w:ascii="宋体" w:hAnsi="宋体" w:cs="宋体"/>
              </w:rPr>
            </w:pPr>
            <w:r>
              <w:rPr>
                <w:rFonts w:hint="eastAsia" w:ascii="宋体" w:hAnsi="宋体" w:cs="宋体"/>
                <w:kern w:val="0"/>
              </w:rPr>
              <w:t>注册地址</w:t>
            </w:r>
          </w:p>
        </w:tc>
        <w:tc>
          <w:tcPr>
            <w:tcW w:w="3784" w:type="dxa"/>
            <w:gridSpan w:val="3"/>
            <w:tcBorders>
              <w:top w:val="single" w:color="auto" w:sz="4" w:space="0"/>
              <w:left w:val="nil"/>
              <w:bottom w:val="single" w:color="auto" w:sz="4" w:space="0"/>
              <w:right w:val="single" w:color="auto" w:sz="4" w:space="0"/>
            </w:tcBorders>
            <w:noWrap/>
            <w:vAlign w:val="center"/>
          </w:tcPr>
          <w:p w14:paraId="6B57F7F4">
            <w:pPr>
              <w:autoSpaceDE w:val="0"/>
              <w:autoSpaceDN w:val="0"/>
              <w:adjustRightInd w:val="0"/>
              <w:ind w:firstLine="480"/>
              <w:jc w:val="center"/>
              <w:rPr>
                <w:rFonts w:ascii="宋体" w:hAnsi="宋体" w:cs="宋体"/>
              </w:rPr>
            </w:pPr>
          </w:p>
        </w:tc>
        <w:tc>
          <w:tcPr>
            <w:tcW w:w="1323" w:type="dxa"/>
            <w:gridSpan w:val="2"/>
            <w:tcBorders>
              <w:top w:val="single" w:color="auto" w:sz="4" w:space="0"/>
              <w:left w:val="nil"/>
              <w:bottom w:val="single" w:color="auto" w:sz="4" w:space="0"/>
              <w:right w:val="single" w:color="auto" w:sz="4" w:space="0"/>
            </w:tcBorders>
            <w:noWrap/>
            <w:vAlign w:val="center"/>
          </w:tcPr>
          <w:p w14:paraId="6FFE3DB3">
            <w:pPr>
              <w:autoSpaceDE w:val="0"/>
              <w:autoSpaceDN w:val="0"/>
              <w:adjustRightInd w:val="0"/>
              <w:rPr>
                <w:rFonts w:ascii="宋体" w:hAnsi="宋体" w:cs="宋体"/>
              </w:rPr>
            </w:pPr>
            <w:r>
              <w:rPr>
                <w:rFonts w:hint="eastAsia" w:ascii="宋体" w:hAnsi="宋体" w:cs="宋体"/>
                <w:kern w:val="0"/>
              </w:rPr>
              <w:t>邮政编码</w:t>
            </w:r>
          </w:p>
        </w:tc>
        <w:tc>
          <w:tcPr>
            <w:tcW w:w="2080" w:type="dxa"/>
            <w:tcBorders>
              <w:top w:val="single" w:color="auto" w:sz="4" w:space="0"/>
              <w:left w:val="nil"/>
              <w:bottom w:val="single" w:color="auto" w:sz="4" w:space="0"/>
              <w:right w:val="single" w:color="auto" w:sz="4" w:space="0"/>
            </w:tcBorders>
            <w:noWrap/>
            <w:vAlign w:val="center"/>
          </w:tcPr>
          <w:p w14:paraId="6A05F57B">
            <w:pPr>
              <w:autoSpaceDE w:val="0"/>
              <w:autoSpaceDN w:val="0"/>
              <w:adjustRightInd w:val="0"/>
              <w:ind w:firstLine="480"/>
              <w:jc w:val="center"/>
              <w:rPr>
                <w:rFonts w:ascii="宋体" w:hAnsi="宋体" w:cs="宋体"/>
              </w:rPr>
            </w:pPr>
          </w:p>
        </w:tc>
      </w:tr>
      <w:tr w14:paraId="7782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885" w:type="dxa"/>
            <w:vMerge w:val="restart"/>
            <w:tcBorders>
              <w:top w:val="nil"/>
              <w:left w:val="single" w:color="auto" w:sz="4" w:space="0"/>
              <w:bottom w:val="single" w:color="auto" w:sz="4" w:space="0"/>
              <w:right w:val="single" w:color="auto" w:sz="4" w:space="0"/>
            </w:tcBorders>
            <w:noWrap/>
            <w:vAlign w:val="center"/>
          </w:tcPr>
          <w:p w14:paraId="5AAB2B61">
            <w:pPr>
              <w:autoSpaceDE w:val="0"/>
              <w:autoSpaceDN w:val="0"/>
              <w:adjustRightInd w:val="0"/>
              <w:rPr>
                <w:rFonts w:ascii="宋体" w:hAnsi="宋体" w:cs="宋体"/>
              </w:rPr>
            </w:pPr>
            <w:r>
              <w:rPr>
                <w:rFonts w:hint="eastAsia" w:ascii="宋体" w:hAnsi="宋体" w:cs="宋体"/>
                <w:kern w:val="0"/>
              </w:rPr>
              <w:t>联系方式</w:t>
            </w:r>
          </w:p>
        </w:tc>
        <w:tc>
          <w:tcPr>
            <w:tcW w:w="1037" w:type="dxa"/>
            <w:tcBorders>
              <w:top w:val="single" w:color="auto" w:sz="4" w:space="0"/>
              <w:left w:val="nil"/>
              <w:bottom w:val="single" w:color="auto" w:sz="4" w:space="0"/>
              <w:right w:val="single" w:color="auto" w:sz="4" w:space="0"/>
            </w:tcBorders>
            <w:noWrap/>
            <w:vAlign w:val="center"/>
          </w:tcPr>
          <w:p w14:paraId="111B4A06">
            <w:pPr>
              <w:autoSpaceDE w:val="0"/>
              <w:autoSpaceDN w:val="0"/>
              <w:adjustRightInd w:val="0"/>
              <w:rPr>
                <w:rFonts w:ascii="宋体" w:hAnsi="宋体" w:cs="宋体"/>
              </w:rPr>
            </w:pPr>
            <w:r>
              <w:rPr>
                <w:rFonts w:hint="eastAsia" w:ascii="宋体" w:hAnsi="宋体" w:cs="宋体"/>
                <w:kern w:val="0"/>
              </w:rPr>
              <w:t>联系人</w:t>
            </w:r>
          </w:p>
        </w:tc>
        <w:tc>
          <w:tcPr>
            <w:tcW w:w="2747" w:type="dxa"/>
            <w:gridSpan w:val="2"/>
            <w:tcBorders>
              <w:top w:val="single" w:color="auto" w:sz="4" w:space="0"/>
              <w:left w:val="nil"/>
              <w:bottom w:val="single" w:color="auto" w:sz="4" w:space="0"/>
              <w:right w:val="single" w:color="auto" w:sz="4" w:space="0"/>
            </w:tcBorders>
            <w:noWrap/>
            <w:vAlign w:val="center"/>
          </w:tcPr>
          <w:p w14:paraId="4D422A27">
            <w:pPr>
              <w:autoSpaceDE w:val="0"/>
              <w:autoSpaceDN w:val="0"/>
              <w:adjustRightInd w:val="0"/>
              <w:ind w:firstLine="480"/>
              <w:jc w:val="center"/>
              <w:rPr>
                <w:rFonts w:ascii="宋体" w:hAnsi="宋体" w:cs="宋体"/>
              </w:rPr>
            </w:pPr>
          </w:p>
        </w:tc>
        <w:tc>
          <w:tcPr>
            <w:tcW w:w="1323" w:type="dxa"/>
            <w:gridSpan w:val="2"/>
            <w:tcBorders>
              <w:top w:val="single" w:color="auto" w:sz="4" w:space="0"/>
              <w:left w:val="nil"/>
              <w:bottom w:val="single" w:color="auto" w:sz="4" w:space="0"/>
              <w:right w:val="single" w:color="auto" w:sz="4" w:space="0"/>
            </w:tcBorders>
            <w:noWrap/>
            <w:vAlign w:val="center"/>
          </w:tcPr>
          <w:p w14:paraId="0D2800F1">
            <w:pPr>
              <w:autoSpaceDE w:val="0"/>
              <w:autoSpaceDN w:val="0"/>
              <w:adjustRightInd w:val="0"/>
              <w:rPr>
                <w:rFonts w:ascii="宋体" w:hAnsi="宋体" w:cs="宋体"/>
              </w:rPr>
            </w:pPr>
            <w:r>
              <w:rPr>
                <w:rFonts w:hint="eastAsia" w:ascii="宋体" w:hAnsi="宋体" w:cs="宋体"/>
                <w:kern w:val="0"/>
              </w:rPr>
              <w:t>电话</w:t>
            </w:r>
          </w:p>
        </w:tc>
        <w:tc>
          <w:tcPr>
            <w:tcW w:w="2080" w:type="dxa"/>
            <w:tcBorders>
              <w:top w:val="single" w:color="auto" w:sz="4" w:space="0"/>
              <w:left w:val="nil"/>
              <w:bottom w:val="single" w:color="auto" w:sz="4" w:space="0"/>
              <w:right w:val="single" w:color="auto" w:sz="4" w:space="0"/>
            </w:tcBorders>
            <w:noWrap/>
            <w:vAlign w:val="center"/>
          </w:tcPr>
          <w:p w14:paraId="387F68A4">
            <w:pPr>
              <w:autoSpaceDE w:val="0"/>
              <w:autoSpaceDN w:val="0"/>
              <w:adjustRightInd w:val="0"/>
              <w:ind w:firstLine="480"/>
              <w:jc w:val="center"/>
              <w:rPr>
                <w:rFonts w:ascii="宋体" w:hAnsi="宋体" w:cs="宋体"/>
              </w:rPr>
            </w:pPr>
          </w:p>
        </w:tc>
      </w:tr>
      <w:tr w14:paraId="7F8A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885" w:type="dxa"/>
            <w:vMerge w:val="continue"/>
            <w:tcBorders>
              <w:top w:val="nil"/>
              <w:left w:val="single" w:color="auto" w:sz="4" w:space="0"/>
              <w:bottom w:val="single" w:color="auto" w:sz="4" w:space="0"/>
              <w:right w:val="single" w:color="auto" w:sz="4" w:space="0"/>
            </w:tcBorders>
            <w:noWrap/>
            <w:vAlign w:val="center"/>
          </w:tcPr>
          <w:p w14:paraId="60E3B53E">
            <w:pPr>
              <w:ind w:firstLine="400"/>
              <w:rPr>
                <w:rFonts w:ascii="宋体" w:hAnsi="宋体" w:cs="宋体"/>
                <w:sz w:val="20"/>
                <w:szCs w:val="20"/>
              </w:rPr>
            </w:pPr>
          </w:p>
        </w:tc>
        <w:tc>
          <w:tcPr>
            <w:tcW w:w="1037" w:type="dxa"/>
            <w:tcBorders>
              <w:top w:val="single" w:color="auto" w:sz="4" w:space="0"/>
              <w:left w:val="nil"/>
              <w:bottom w:val="single" w:color="auto" w:sz="4" w:space="0"/>
              <w:right w:val="single" w:color="auto" w:sz="4" w:space="0"/>
            </w:tcBorders>
            <w:noWrap/>
            <w:vAlign w:val="center"/>
          </w:tcPr>
          <w:p w14:paraId="25E0BE23">
            <w:pPr>
              <w:autoSpaceDE w:val="0"/>
              <w:autoSpaceDN w:val="0"/>
              <w:adjustRightInd w:val="0"/>
              <w:rPr>
                <w:rFonts w:ascii="宋体" w:hAnsi="宋体" w:cs="宋体"/>
              </w:rPr>
            </w:pPr>
            <w:r>
              <w:rPr>
                <w:rFonts w:hint="eastAsia" w:ascii="宋体" w:hAnsi="宋体" w:cs="宋体"/>
                <w:kern w:val="0"/>
              </w:rPr>
              <w:t>传真</w:t>
            </w:r>
          </w:p>
        </w:tc>
        <w:tc>
          <w:tcPr>
            <w:tcW w:w="2747" w:type="dxa"/>
            <w:gridSpan w:val="2"/>
            <w:tcBorders>
              <w:top w:val="single" w:color="auto" w:sz="4" w:space="0"/>
              <w:left w:val="nil"/>
              <w:bottom w:val="single" w:color="auto" w:sz="4" w:space="0"/>
              <w:right w:val="single" w:color="auto" w:sz="4" w:space="0"/>
            </w:tcBorders>
            <w:noWrap/>
            <w:vAlign w:val="center"/>
          </w:tcPr>
          <w:p w14:paraId="24EB523E">
            <w:pPr>
              <w:autoSpaceDE w:val="0"/>
              <w:autoSpaceDN w:val="0"/>
              <w:adjustRightInd w:val="0"/>
              <w:ind w:firstLine="480"/>
              <w:jc w:val="center"/>
              <w:rPr>
                <w:rFonts w:ascii="宋体" w:hAnsi="宋体" w:cs="宋体"/>
              </w:rPr>
            </w:pPr>
          </w:p>
        </w:tc>
        <w:tc>
          <w:tcPr>
            <w:tcW w:w="1323" w:type="dxa"/>
            <w:gridSpan w:val="2"/>
            <w:tcBorders>
              <w:top w:val="single" w:color="auto" w:sz="4" w:space="0"/>
              <w:left w:val="nil"/>
              <w:bottom w:val="single" w:color="auto" w:sz="4" w:space="0"/>
              <w:right w:val="single" w:color="auto" w:sz="4" w:space="0"/>
            </w:tcBorders>
            <w:noWrap/>
            <w:vAlign w:val="center"/>
          </w:tcPr>
          <w:p w14:paraId="43180CFF">
            <w:pPr>
              <w:autoSpaceDE w:val="0"/>
              <w:autoSpaceDN w:val="0"/>
              <w:adjustRightInd w:val="0"/>
              <w:rPr>
                <w:rFonts w:ascii="宋体" w:hAnsi="宋体" w:cs="宋体"/>
              </w:rPr>
            </w:pPr>
            <w:r>
              <w:rPr>
                <w:rFonts w:hint="eastAsia" w:ascii="宋体" w:hAnsi="宋体" w:cs="宋体"/>
                <w:kern w:val="0"/>
              </w:rPr>
              <w:t>网址</w:t>
            </w:r>
          </w:p>
        </w:tc>
        <w:tc>
          <w:tcPr>
            <w:tcW w:w="2080" w:type="dxa"/>
            <w:tcBorders>
              <w:top w:val="single" w:color="auto" w:sz="4" w:space="0"/>
              <w:left w:val="nil"/>
              <w:bottom w:val="single" w:color="auto" w:sz="4" w:space="0"/>
              <w:right w:val="single" w:color="auto" w:sz="4" w:space="0"/>
            </w:tcBorders>
            <w:noWrap/>
            <w:vAlign w:val="center"/>
          </w:tcPr>
          <w:p w14:paraId="2AD5D2D2">
            <w:pPr>
              <w:autoSpaceDE w:val="0"/>
              <w:autoSpaceDN w:val="0"/>
              <w:adjustRightInd w:val="0"/>
              <w:ind w:firstLine="480"/>
              <w:jc w:val="center"/>
              <w:rPr>
                <w:rFonts w:ascii="宋体" w:hAnsi="宋体" w:cs="宋体"/>
              </w:rPr>
            </w:pPr>
          </w:p>
        </w:tc>
      </w:tr>
      <w:tr w14:paraId="6A3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6D197310">
            <w:pPr>
              <w:autoSpaceDE w:val="0"/>
              <w:autoSpaceDN w:val="0"/>
              <w:adjustRightInd w:val="0"/>
              <w:rPr>
                <w:rFonts w:ascii="宋体" w:hAnsi="宋体" w:cs="宋体"/>
              </w:rPr>
            </w:pPr>
            <w:r>
              <w:rPr>
                <w:rFonts w:hint="eastAsia" w:ascii="宋体" w:hAnsi="宋体" w:cs="宋体"/>
                <w:kern w:val="0"/>
              </w:rPr>
              <w:t>法定代表人</w:t>
            </w:r>
          </w:p>
        </w:tc>
        <w:tc>
          <w:tcPr>
            <w:tcW w:w="1037" w:type="dxa"/>
            <w:tcBorders>
              <w:top w:val="single" w:color="auto" w:sz="4" w:space="0"/>
              <w:left w:val="nil"/>
              <w:bottom w:val="single" w:color="auto" w:sz="4" w:space="0"/>
              <w:right w:val="single" w:color="auto" w:sz="4" w:space="0"/>
            </w:tcBorders>
            <w:noWrap/>
            <w:vAlign w:val="center"/>
          </w:tcPr>
          <w:p w14:paraId="040A1C95">
            <w:pPr>
              <w:autoSpaceDE w:val="0"/>
              <w:autoSpaceDN w:val="0"/>
              <w:adjustRightInd w:val="0"/>
              <w:rPr>
                <w:rFonts w:ascii="宋体" w:hAnsi="宋体" w:cs="宋体"/>
              </w:rPr>
            </w:pPr>
            <w:r>
              <w:rPr>
                <w:rFonts w:hint="eastAsia" w:ascii="宋体" w:hAnsi="宋体" w:cs="宋体"/>
                <w:kern w:val="0"/>
              </w:rPr>
              <w:t>姓名</w:t>
            </w:r>
          </w:p>
        </w:tc>
        <w:tc>
          <w:tcPr>
            <w:tcW w:w="1533" w:type="dxa"/>
            <w:tcBorders>
              <w:top w:val="single" w:color="auto" w:sz="4" w:space="0"/>
              <w:left w:val="nil"/>
              <w:bottom w:val="single" w:color="auto" w:sz="4" w:space="0"/>
              <w:right w:val="single" w:color="auto" w:sz="4" w:space="0"/>
            </w:tcBorders>
            <w:noWrap/>
            <w:vAlign w:val="center"/>
          </w:tcPr>
          <w:p w14:paraId="6A14CED2">
            <w:pPr>
              <w:autoSpaceDE w:val="0"/>
              <w:autoSpaceDN w:val="0"/>
              <w:adjustRightInd w:val="0"/>
              <w:ind w:firstLine="480"/>
              <w:jc w:val="center"/>
              <w:rPr>
                <w:rFonts w:ascii="宋体" w:hAnsi="宋体" w:cs="宋体"/>
              </w:rPr>
            </w:pPr>
          </w:p>
        </w:tc>
        <w:tc>
          <w:tcPr>
            <w:tcW w:w="1214" w:type="dxa"/>
            <w:tcBorders>
              <w:top w:val="single" w:color="auto" w:sz="4" w:space="0"/>
              <w:left w:val="nil"/>
              <w:bottom w:val="single" w:color="auto" w:sz="4" w:space="0"/>
              <w:right w:val="single" w:color="auto" w:sz="4" w:space="0"/>
            </w:tcBorders>
            <w:noWrap/>
            <w:vAlign w:val="center"/>
          </w:tcPr>
          <w:p w14:paraId="40DD2E08">
            <w:pPr>
              <w:autoSpaceDE w:val="0"/>
              <w:autoSpaceDN w:val="0"/>
              <w:adjustRightInd w:val="0"/>
              <w:rPr>
                <w:rFonts w:ascii="宋体" w:hAnsi="宋体" w:cs="宋体"/>
              </w:rPr>
            </w:pPr>
            <w:r>
              <w:rPr>
                <w:rFonts w:hint="eastAsia" w:ascii="宋体" w:hAnsi="宋体" w:cs="宋体"/>
                <w:kern w:val="0"/>
              </w:rPr>
              <w:t>身份证号</w:t>
            </w:r>
          </w:p>
        </w:tc>
        <w:tc>
          <w:tcPr>
            <w:tcW w:w="3403" w:type="dxa"/>
            <w:gridSpan w:val="3"/>
            <w:tcBorders>
              <w:top w:val="single" w:color="auto" w:sz="4" w:space="0"/>
              <w:left w:val="nil"/>
              <w:bottom w:val="single" w:color="auto" w:sz="4" w:space="0"/>
              <w:right w:val="single" w:color="auto" w:sz="4" w:space="0"/>
            </w:tcBorders>
            <w:noWrap/>
            <w:vAlign w:val="center"/>
          </w:tcPr>
          <w:p w14:paraId="22864043">
            <w:pPr>
              <w:autoSpaceDE w:val="0"/>
              <w:autoSpaceDN w:val="0"/>
              <w:adjustRightInd w:val="0"/>
              <w:ind w:firstLine="480"/>
              <w:jc w:val="center"/>
              <w:rPr>
                <w:rFonts w:ascii="宋体" w:hAnsi="宋体" w:cs="宋体"/>
              </w:rPr>
            </w:pPr>
          </w:p>
        </w:tc>
      </w:tr>
      <w:tr w14:paraId="45B8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1CA3A3B2">
            <w:pPr>
              <w:autoSpaceDE w:val="0"/>
              <w:autoSpaceDN w:val="0"/>
              <w:adjustRightInd w:val="0"/>
              <w:rPr>
                <w:rFonts w:ascii="宋体" w:hAnsi="宋体" w:cs="宋体"/>
              </w:rPr>
            </w:pPr>
            <w:r>
              <w:rPr>
                <w:rFonts w:hint="eastAsia" w:ascii="宋体" w:hAnsi="宋体" w:cs="宋体"/>
                <w:kern w:val="0"/>
              </w:rPr>
              <w:t>成立时间</w:t>
            </w:r>
          </w:p>
        </w:tc>
        <w:tc>
          <w:tcPr>
            <w:tcW w:w="2570" w:type="dxa"/>
            <w:gridSpan w:val="2"/>
            <w:tcBorders>
              <w:top w:val="single" w:color="auto" w:sz="4" w:space="0"/>
              <w:left w:val="nil"/>
              <w:bottom w:val="single" w:color="auto" w:sz="4" w:space="0"/>
              <w:right w:val="single" w:color="auto" w:sz="4" w:space="0"/>
            </w:tcBorders>
            <w:noWrap/>
            <w:vAlign w:val="center"/>
          </w:tcPr>
          <w:p w14:paraId="143F02F9">
            <w:pPr>
              <w:autoSpaceDE w:val="0"/>
              <w:autoSpaceDN w:val="0"/>
              <w:adjustRightInd w:val="0"/>
              <w:ind w:firstLine="480"/>
              <w:jc w:val="center"/>
              <w:rPr>
                <w:rFonts w:ascii="宋体" w:hAnsi="宋体" w:cs="宋体"/>
              </w:rPr>
            </w:pPr>
          </w:p>
        </w:tc>
        <w:tc>
          <w:tcPr>
            <w:tcW w:w="2312" w:type="dxa"/>
            <w:gridSpan w:val="2"/>
            <w:tcBorders>
              <w:top w:val="single" w:color="auto" w:sz="4" w:space="0"/>
              <w:left w:val="nil"/>
              <w:bottom w:val="single" w:color="auto" w:sz="4" w:space="0"/>
              <w:right w:val="single" w:color="auto" w:sz="4" w:space="0"/>
            </w:tcBorders>
            <w:noWrap/>
            <w:vAlign w:val="center"/>
          </w:tcPr>
          <w:p w14:paraId="33C22661">
            <w:pPr>
              <w:autoSpaceDE w:val="0"/>
              <w:autoSpaceDN w:val="0"/>
              <w:adjustRightInd w:val="0"/>
              <w:rPr>
                <w:rFonts w:ascii="宋体" w:hAnsi="宋体" w:cs="宋体"/>
              </w:rPr>
            </w:pPr>
            <w:r>
              <w:rPr>
                <w:rFonts w:hint="eastAsia" w:ascii="宋体" w:hAnsi="宋体" w:cs="宋体"/>
                <w:kern w:val="0"/>
              </w:rPr>
              <w:t>企业资质等级</w:t>
            </w:r>
          </w:p>
        </w:tc>
        <w:tc>
          <w:tcPr>
            <w:tcW w:w="2305" w:type="dxa"/>
            <w:gridSpan w:val="2"/>
            <w:tcBorders>
              <w:top w:val="single" w:color="auto" w:sz="4" w:space="0"/>
              <w:left w:val="nil"/>
              <w:bottom w:val="single" w:color="auto" w:sz="4" w:space="0"/>
              <w:right w:val="single" w:color="auto" w:sz="4" w:space="0"/>
            </w:tcBorders>
            <w:noWrap/>
            <w:vAlign w:val="center"/>
          </w:tcPr>
          <w:p w14:paraId="7C46AD56">
            <w:pPr>
              <w:autoSpaceDE w:val="0"/>
              <w:autoSpaceDN w:val="0"/>
              <w:adjustRightInd w:val="0"/>
              <w:ind w:firstLine="480"/>
              <w:jc w:val="center"/>
              <w:rPr>
                <w:rFonts w:ascii="宋体" w:hAnsi="宋体" w:cs="宋体"/>
              </w:rPr>
            </w:pPr>
          </w:p>
        </w:tc>
      </w:tr>
      <w:tr w14:paraId="52E0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11600C00">
            <w:pPr>
              <w:autoSpaceDE w:val="0"/>
              <w:autoSpaceDN w:val="0"/>
              <w:adjustRightInd w:val="0"/>
              <w:rPr>
                <w:rFonts w:ascii="宋体" w:hAnsi="宋体" w:cs="宋体"/>
              </w:rPr>
            </w:pPr>
            <w:r>
              <w:rPr>
                <w:rFonts w:hint="eastAsia" w:ascii="宋体" w:hAnsi="宋体" w:cs="宋体"/>
                <w:kern w:val="0"/>
              </w:rPr>
              <w:t>营业执照号</w:t>
            </w:r>
          </w:p>
        </w:tc>
        <w:tc>
          <w:tcPr>
            <w:tcW w:w="2570" w:type="dxa"/>
            <w:gridSpan w:val="2"/>
            <w:tcBorders>
              <w:top w:val="single" w:color="auto" w:sz="4" w:space="0"/>
              <w:left w:val="nil"/>
              <w:bottom w:val="single" w:color="auto" w:sz="4" w:space="0"/>
              <w:right w:val="single" w:color="auto" w:sz="4" w:space="0"/>
            </w:tcBorders>
            <w:noWrap/>
            <w:vAlign w:val="center"/>
          </w:tcPr>
          <w:p w14:paraId="4831A29B">
            <w:pPr>
              <w:autoSpaceDE w:val="0"/>
              <w:autoSpaceDN w:val="0"/>
              <w:adjustRightInd w:val="0"/>
              <w:ind w:firstLine="480"/>
              <w:jc w:val="center"/>
              <w:rPr>
                <w:rFonts w:ascii="宋体" w:hAnsi="宋体" w:cs="宋体"/>
              </w:rPr>
            </w:pPr>
          </w:p>
        </w:tc>
        <w:tc>
          <w:tcPr>
            <w:tcW w:w="2312" w:type="dxa"/>
            <w:gridSpan w:val="2"/>
            <w:tcBorders>
              <w:top w:val="single" w:color="auto" w:sz="4" w:space="0"/>
              <w:left w:val="nil"/>
              <w:bottom w:val="single" w:color="auto" w:sz="4" w:space="0"/>
              <w:right w:val="single" w:color="auto" w:sz="4" w:space="0"/>
            </w:tcBorders>
            <w:noWrap/>
            <w:vAlign w:val="center"/>
          </w:tcPr>
          <w:p w14:paraId="2CEAFC93">
            <w:pPr>
              <w:autoSpaceDE w:val="0"/>
              <w:autoSpaceDN w:val="0"/>
              <w:adjustRightInd w:val="0"/>
              <w:rPr>
                <w:rFonts w:ascii="宋体" w:hAnsi="宋体" w:cs="宋体"/>
              </w:rPr>
            </w:pPr>
            <w:r>
              <w:rPr>
                <w:rFonts w:hint="eastAsia" w:ascii="宋体" w:hAnsi="宋体" w:cs="宋体"/>
                <w:kern w:val="0"/>
              </w:rPr>
              <w:t>注册资金</w:t>
            </w:r>
          </w:p>
        </w:tc>
        <w:tc>
          <w:tcPr>
            <w:tcW w:w="2305" w:type="dxa"/>
            <w:gridSpan w:val="2"/>
            <w:tcBorders>
              <w:top w:val="single" w:color="auto" w:sz="4" w:space="0"/>
              <w:left w:val="nil"/>
              <w:bottom w:val="single" w:color="auto" w:sz="4" w:space="0"/>
              <w:right w:val="single" w:color="auto" w:sz="4" w:space="0"/>
            </w:tcBorders>
            <w:noWrap/>
            <w:vAlign w:val="center"/>
          </w:tcPr>
          <w:p w14:paraId="69DFB0DC">
            <w:pPr>
              <w:autoSpaceDE w:val="0"/>
              <w:autoSpaceDN w:val="0"/>
              <w:adjustRightInd w:val="0"/>
              <w:ind w:firstLine="480"/>
              <w:jc w:val="center"/>
              <w:rPr>
                <w:rFonts w:ascii="宋体" w:hAnsi="宋体" w:cs="宋体"/>
              </w:rPr>
            </w:pPr>
          </w:p>
        </w:tc>
      </w:tr>
      <w:tr w14:paraId="3FA9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7143DC10">
            <w:pPr>
              <w:autoSpaceDE w:val="0"/>
              <w:autoSpaceDN w:val="0"/>
              <w:adjustRightInd w:val="0"/>
              <w:rPr>
                <w:rFonts w:ascii="宋体" w:hAnsi="宋体" w:cs="宋体"/>
              </w:rPr>
            </w:pPr>
            <w:r>
              <w:rPr>
                <w:rFonts w:hint="eastAsia" w:ascii="宋体" w:hAnsi="宋体" w:cs="宋体"/>
                <w:kern w:val="0"/>
              </w:rPr>
              <w:t>开户银行</w:t>
            </w:r>
          </w:p>
        </w:tc>
        <w:tc>
          <w:tcPr>
            <w:tcW w:w="2570" w:type="dxa"/>
            <w:gridSpan w:val="2"/>
            <w:tcBorders>
              <w:top w:val="single" w:color="auto" w:sz="4" w:space="0"/>
              <w:left w:val="nil"/>
              <w:bottom w:val="single" w:color="auto" w:sz="4" w:space="0"/>
              <w:right w:val="single" w:color="auto" w:sz="4" w:space="0"/>
            </w:tcBorders>
            <w:noWrap/>
            <w:vAlign w:val="center"/>
          </w:tcPr>
          <w:p w14:paraId="112ECEA2">
            <w:pPr>
              <w:autoSpaceDE w:val="0"/>
              <w:autoSpaceDN w:val="0"/>
              <w:adjustRightInd w:val="0"/>
              <w:ind w:firstLine="480"/>
              <w:jc w:val="center"/>
              <w:rPr>
                <w:rFonts w:ascii="宋体" w:hAnsi="宋体" w:cs="宋体"/>
              </w:rPr>
            </w:pPr>
          </w:p>
        </w:tc>
        <w:tc>
          <w:tcPr>
            <w:tcW w:w="2312" w:type="dxa"/>
            <w:gridSpan w:val="2"/>
            <w:tcBorders>
              <w:top w:val="single" w:color="auto" w:sz="4" w:space="0"/>
              <w:left w:val="nil"/>
              <w:bottom w:val="single" w:color="auto" w:sz="4" w:space="0"/>
              <w:right w:val="single" w:color="auto" w:sz="4" w:space="0"/>
            </w:tcBorders>
            <w:noWrap/>
            <w:vAlign w:val="center"/>
          </w:tcPr>
          <w:p w14:paraId="63C2E169">
            <w:pPr>
              <w:autoSpaceDE w:val="0"/>
              <w:autoSpaceDN w:val="0"/>
              <w:adjustRightInd w:val="0"/>
              <w:rPr>
                <w:rFonts w:ascii="宋体" w:hAnsi="宋体" w:cs="宋体"/>
              </w:rPr>
            </w:pPr>
            <w:r>
              <w:rPr>
                <w:rFonts w:hint="eastAsia" w:ascii="宋体" w:hAnsi="宋体" w:cs="宋体"/>
                <w:kern w:val="0"/>
              </w:rPr>
              <w:t>账号</w:t>
            </w:r>
          </w:p>
        </w:tc>
        <w:tc>
          <w:tcPr>
            <w:tcW w:w="2305" w:type="dxa"/>
            <w:gridSpan w:val="2"/>
            <w:tcBorders>
              <w:top w:val="single" w:color="auto" w:sz="4" w:space="0"/>
              <w:left w:val="nil"/>
              <w:bottom w:val="single" w:color="auto" w:sz="4" w:space="0"/>
              <w:right w:val="single" w:color="auto" w:sz="4" w:space="0"/>
            </w:tcBorders>
            <w:noWrap/>
            <w:vAlign w:val="center"/>
          </w:tcPr>
          <w:p w14:paraId="727C90AE">
            <w:pPr>
              <w:autoSpaceDE w:val="0"/>
              <w:autoSpaceDN w:val="0"/>
              <w:adjustRightInd w:val="0"/>
              <w:ind w:firstLine="480"/>
              <w:jc w:val="center"/>
              <w:rPr>
                <w:rFonts w:ascii="宋体" w:hAnsi="宋体" w:cs="宋体"/>
              </w:rPr>
            </w:pPr>
          </w:p>
        </w:tc>
      </w:tr>
      <w:tr w14:paraId="65A9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1885" w:type="dxa"/>
            <w:tcBorders>
              <w:top w:val="single" w:color="auto" w:sz="4" w:space="0"/>
              <w:left w:val="single" w:color="auto" w:sz="4" w:space="0"/>
              <w:bottom w:val="single" w:color="auto" w:sz="4" w:space="0"/>
              <w:right w:val="single" w:color="auto" w:sz="4" w:space="0"/>
            </w:tcBorders>
            <w:noWrap/>
            <w:vAlign w:val="center"/>
          </w:tcPr>
          <w:p w14:paraId="6768378E">
            <w:pPr>
              <w:autoSpaceDE w:val="0"/>
              <w:autoSpaceDN w:val="0"/>
              <w:adjustRightInd w:val="0"/>
              <w:rPr>
                <w:rFonts w:ascii="宋体" w:hAnsi="宋体" w:cs="宋体"/>
              </w:rPr>
            </w:pPr>
            <w:r>
              <w:rPr>
                <w:rFonts w:hint="eastAsia" w:ascii="宋体" w:hAnsi="宋体" w:cs="宋体"/>
                <w:kern w:val="0"/>
              </w:rPr>
              <w:t>经营范围备注</w:t>
            </w:r>
          </w:p>
        </w:tc>
        <w:tc>
          <w:tcPr>
            <w:tcW w:w="7187" w:type="dxa"/>
            <w:gridSpan w:val="6"/>
            <w:tcBorders>
              <w:top w:val="single" w:color="auto" w:sz="4" w:space="0"/>
              <w:left w:val="nil"/>
              <w:bottom w:val="single" w:color="auto" w:sz="4" w:space="0"/>
              <w:right w:val="single" w:color="auto" w:sz="4" w:space="0"/>
            </w:tcBorders>
            <w:noWrap/>
            <w:vAlign w:val="center"/>
          </w:tcPr>
          <w:p w14:paraId="2118CF28">
            <w:pPr>
              <w:autoSpaceDE w:val="0"/>
              <w:autoSpaceDN w:val="0"/>
              <w:adjustRightInd w:val="0"/>
              <w:ind w:firstLine="480"/>
              <w:jc w:val="center"/>
              <w:rPr>
                <w:rFonts w:ascii="宋体" w:hAnsi="宋体" w:cs="宋体"/>
              </w:rPr>
            </w:pPr>
          </w:p>
        </w:tc>
      </w:tr>
    </w:tbl>
    <w:p w14:paraId="1F2BC4CD">
      <w:pPr>
        <w:ind w:firstLine="480"/>
      </w:pPr>
    </w:p>
    <w:p w14:paraId="510ECF29">
      <w:pPr>
        <w:autoSpaceDE w:val="0"/>
        <w:autoSpaceDN w:val="0"/>
        <w:adjustRightInd w:val="0"/>
        <w:ind w:firstLine="480"/>
        <w:jc w:val="left"/>
        <w:rPr>
          <w:rFonts w:ascii="宋体" w:hAnsi="宋体" w:cs="宋体"/>
        </w:rPr>
      </w:pPr>
    </w:p>
    <w:p w14:paraId="0C1703DD">
      <w:pPr>
        <w:autoSpaceDE w:val="0"/>
        <w:autoSpaceDN w:val="0"/>
        <w:adjustRightInd w:val="0"/>
        <w:ind w:firstLine="482"/>
        <w:jc w:val="left"/>
        <w:rPr>
          <w:rFonts w:ascii="宋体" w:hAnsi="宋体" w:cs="宋体"/>
          <w:b/>
        </w:rPr>
      </w:pPr>
    </w:p>
    <w:p w14:paraId="3752A68F">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0EA12624">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492BE9A8">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70BF11CF">
      <w:pPr>
        <w:ind w:left="420" w:leftChars="200"/>
        <w:jc w:val="center"/>
        <w:rPr>
          <w:rFonts w:ascii="Arial" w:hAnsi="Arial"/>
          <w:b/>
          <w:bCs/>
          <w:sz w:val="28"/>
          <w:szCs w:val="32"/>
        </w:rPr>
      </w:pPr>
    </w:p>
    <w:p w14:paraId="2EB573CB">
      <w:pPr>
        <w:ind w:left="420" w:leftChars="200"/>
        <w:jc w:val="center"/>
        <w:rPr>
          <w:rFonts w:ascii="Arial" w:hAnsi="Arial"/>
          <w:b/>
          <w:bCs/>
          <w:sz w:val="28"/>
          <w:szCs w:val="32"/>
        </w:rPr>
      </w:pPr>
    </w:p>
    <w:p w14:paraId="1826EDBD">
      <w:pPr>
        <w:pStyle w:val="32"/>
        <w:rPr>
          <w:rFonts w:ascii="Arial" w:hAnsi="Arial"/>
          <w:b/>
          <w:bCs/>
          <w:sz w:val="28"/>
          <w:szCs w:val="32"/>
        </w:rPr>
      </w:pPr>
    </w:p>
    <w:p w14:paraId="0366B3FF">
      <w:pPr>
        <w:rPr>
          <w:rFonts w:ascii="Arial" w:hAnsi="Arial"/>
          <w:b/>
          <w:bCs/>
          <w:sz w:val="28"/>
          <w:szCs w:val="32"/>
        </w:rPr>
      </w:pPr>
    </w:p>
    <w:p w14:paraId="391C04B6">
      <w:pPr>
        <w:pStyle w:val="32"/>
        <w:rPr>
          <w:rFonts w:ascii="Arial" w:hAnsi="Arial"/>
          <w:b/>
          <w:bCs/>
          <w:sz w:val="28"/>
          <w:szCs w:val="32"/>
        </w:rPr>
      </w:pPr>
    </w:p>
    <w:p w14:paraId="7139271B"/>
    <w:p w14:paraId="2898555A">
      <w:pPr>
        <w:pStyle w:val="3"/>
        <w:jc w:val="center"/>
      </w:pPr>
      <w:r>
        <w:rPr>
          <w:rFonts w:hint="eastAsia"/>
        </w:rPr>
        <w:t>五、资格证明文件</w:t>
      </w:r>
    </w:p>
    <w:p w14:paraId="37777813">
      <w:pPr>
        <w:spacing w:line="360" w:lineRule="auto"/>
        <w:jc w:val="center"/>
        <w:rPr>
          <w:sz w:val="24"/>
          <w:szCs w:val="24"/>
        </w:rPr>
      </w:pPr>
      <w:r>
        <w:rPr>
          <w:rFonts w:hint="eastAsia"/>
          <w:sz w:val="24"/>
          <w:szCs w:val="24"/>
        </w:rPr>
        <w:t>（一）南阳市政府采购供应商信用承诺函</w:t>
      </w:r>
    </w:p>
    <w:p w14:paraId="7379E6E2">
      <w:pPr>
        <w:spacing w:line="360" w:lineRule="auto"/>
        <w:rPr>
          <w:sz w:val="24"/>
          <w:szCs w:val="24"/>
        </w:rPr>
      </w:pPr>
      <w:r>
        <w:rPr>
          <w:rFonts w:hint="eastAsia"/>
          <w:sz w:val="24"/>
          <w:szCs w:val="24"/>
        </w:rPr>
        <w:t>致（采购人或采购代理机构）：</w:t>
      </w:r>
    </w:p>
    <w:p w14:paraId="552C3B5F">
      <w:pPr>
        <w:spacing w:line="360" w:lineRule="auto"/>
        <w:rPr>
          <w:sz w:val="24"/>
          <w:szCs w:val="24"/>
        </w:rPr>
      </w:pPr>
      <w:r>
        <w:rPr>
          <w:rFonts w:hint="eastAsia"/>
          <w:sz w:val="24"/>
          <w:szCs w:val="24"/>
        </w:rPr>
        <w:t>单位名称：</w:t>
      </w:r>
    </w:p>
    <w:p w14:paraId="612BE69B">
      <w:pPr>
        <w:spacing w:line="360" w:lineRule="auto"/>
        <w:rPr>
          <w:sz w:val="24"/>
          <w:szCs w:val="24"/>
        </w:rPr>
      </w:pPr>
      <w:r>
        <w:rPr>
          <w:rFonts w:hint="eastAsia"/>
          <w:sz w:val="24"/>
          <w:szCs w:val="24"/>
        </w:rPr>
        <w:t>统一社会信用代码：</w:t>
      </w:r>
    </w:p>
    <w:p w14:paraId="5CCAFFE5">
      <w:pPr>
        <w:spacing w:line="360" w:lineRule="auto"/>
        <w:rPr>
          <w:sz w:val="24"/>
          <w:szCs w:val="24"/>
        </w:rPr>
      </w:pPr>
      <w:r>
        <w:rPr>
          <w:rFonts w:hint="eastAsia"/>
          <w:sz w:val="24"/>
          <w:szCs w:val="24"/>
        </w:rPr>
        <w:t>法定代表人：</w:t>
      </w:r>
    </w:p>
    <w:p w14:paraId="7D818DA4">
      <w:pPr>
        <w:spacing w:line="360" w:lineRule="auto"/>
        <w:rPr>
          <w:sz w:val="24"/>
          <w:szCs w:val="24"/>
        </w:rPr>
      </w:pPr>
      <w:r>
        <w:rPr>
          <w:rFonts w:hint="eastAsia"/>
          <w:sz w:val="24"/>
          <w:szCs w:val="24"/>
        </w:rPr>
        <w:t>联系地址和电话：</w:t>
      </w:r>
    </w:p>
    <w:p w14:paraId="5090D2DE">
      <w:pPr>
        <w:spacing w:line="360" w:lineRule="auto"/>
        <w:ind w:firstLine="480" w:firstLineChars="200"/>
        <w:rPr>
          <w:sz w:val="24"/>
          <w:szCs w:val="24"/>
        </w:rPr>
      </w:pPr>
      <w:r>
        <w:rPr>
          <w:rFonts w:hint="eastAsia"/>
          <w:sz w:val="24"/>
          <w:szCs w:val="24"/>
        </w:rPr>
        <w:t>我单位自愿参加本次政府采购活动。严格遵守《中华人民共和国政府采购法》及相关法律法规，坚守公开、公平、公正和诚实信用的原则，依法诚信经营，无条件滩守本次政府采购活动的各项规定，并且重承诺，本单位符合《中华人民共和国政府采购法》第二十二条规定的条件：</w:t>
      </w:r>
    </w:p>
    <w:p w14:paraId="6FF45EF4">
      <w:pPr>
        <w:spacing w:line="360" w:lineRule="auto"/>
        <w:ind w:firstLine="240" w:firstLineChars="100"/>
        <w:rPr>
          <w:sz w:val="24"/>
          <w:szCs w:val="24"/>
        </w:rPr>
      </w:pPr>
      <w:r>
        <w:rPr>
          <w:rFonts w:hint="eastAsia"/>
          <w:sz w:val="24"/>
          <w:szCs w:val="24"/>
        </w:rPr>
        <w:t>（一）具有独立承担民事责任的能力；</w:t>
      </w:r>
    </w:p>
    <w:p w14:paraId="48C3A313">
      <w:pPr>
        <w:spacing w:line="360" w:lineRule="auto"/>
        <w:ind w:firstLine="240" w:firstLineChars="100"/>
        <w:rPr>
          <w:sz w:val="24"/>
          <w:szCs w:val="24"/>
        </w:rPr>
      </w:pPr>
      <w:r>
        <w:rPr>
          <w:rFonts w:hint="eastAsia"/>
          <w:sz w:val="24"/>
          <w:szCs w:val="24"/>
        </w:rPr>
        <w:t>（二）具有良好的商业信誉和健全的财务会计制度：</w:t>
      </w:r>
    </w:p>
    <w:p w14:paraId="1C5775C8">
      <w:pPr>
        <w:spacing w:line="360" w:lineRule="auto"/>
        <w:ind w:firstLine="240" w:firstLineChars="100"/>
        <w:rPr>
          <w:sz w:val="24"/>
          <w:szCs w:val="24"/>
        </w:rPr>
      </w:pPr>
      <w:r>
        <w:rPr>
          <w:rFonts w:hint="eastAsia"/>
          <w:sz w:val="24"/>
          <w:szCs w:val="24"/>
        </w:rPr>
        <w:t>（三）具有履行合同所必需的设备和专业技术能力；</w:t>
      </w:r>
    </w:p>
    <w:p w14:paraId="67516A92">
      <w:pPr>
        <w:spacing w:line="360" w:lineRule="auto"/>
        <w:ind w:firstLine="240" w:firstLineChars="100"/>
        <w:rPr>
          <w:sz w:val="24"/>
          <w:szCs w:val="24"/>
        </w:rPr>
      </w:pPr>
      <w:r>
        <w:rPr>
          <w:rFonts w:hint="eastAsia"/>
          <w:sz w:val="24"/>
          <w:szCs w:val="24"/>
        </w:rPr>
        <w:t>（四）有依法缴纳税收和社会保障资金的良好记录；</w:t>
      </w:r>
    </w:p>
    <w:p w14:paraId="50F3D703">
      <w:pPr>
        <w:spacing w:line="360" w:lineRule="auto"/>
        <w:ind w:firstLine="240" w:firstLineChars="100"/>
        <w:rPr>
          <w:sz w:val="24"/>
          <w:szCs w:val="24"/>
        </w:rPr>
      </w:pPr>
      <w:r>
        <w:rPr>
          <w:rFonts w:hint="eastAsia"/>
          <w:sz w:val="24"/>
          <w:szCs w:val="24"/>
        </w:rPr>
        <w:t>（五)参加政府采购活动前三年内，在经营活动中没有重大违法记录；</w:t>
      </w:r>
    </w:p>
    <w:p w14:paraId="19ED6543">
      <w:pPr>
        <w:spacing w:line="360" w:lineRule="auto"/>
        <w:ind w:firstLine="240" w:firstLineChars="100"/>
        <w:rPr>
          <w:sz w:val="24"/>
          <w:szCs w:val="24"/>
        </w:rPr>
      </w:pPr>
      <w:r>
        <w:rPr>
          <w:rFonts w:hint="eastAsia"/>
          <w:sz w:val="24"/>
          <w:szCs w:val="24"/>
        </w:rPr>
        <w:t>（六）法律、行政法规规定的其他条件。</w:t>
      </w:r>
    </w:p>
    <w:p w14:paraId="1B3AF6B7">
      <w:pPr>
        <w:spacing w:line="360" w:lineRule="auto"/>
        <w:ind w:firstLine="480" w:firstLineChars="200"/>
        <w:rPr>
          <w:sz w:val="24"/>
          <w:szCs w:val="24"/>
        </w:rPr>
      </w:pPr>
      <w:r>
        <w:rPr>
          <w:rFonts w:hint="eastAsia"/>
          <w:sz w:val="24"/>
          <w:szCs w:val="24"/>
        </w:rPr>
        <w:t>我单位保证上述承诺事项的真实性，如有弄虚作假或其他违法违规行为，愿意承担一切法律责任，并承担因此所造成的一切损失。</w:t>
      </w:r>
    </w:p>
    <w:p w14:paraId="1539AF5F">
      <w:pPr>
        <w:spacing w:line="360" w:lineRule="auto"/>
        <w:jc w:val="right"/>
        <w:rPr>
          <w:sz w:val="24"/>
          <w:szCs w:val="24"/>
        </w:rPr>
      </w:pPr>
      <w:r>
        <w:rPr>
          <w:rFonts w:hint="eastAsia"/>
          <w:sz w:val="24"/>
          <w:szCs w:val="24"/>
        </w:rPr>
        <w:t>投标人（企业电子章）：</w:t>
      </w:r>
    </w:p>
    <w:p w14:paraId="2458AF00">
      <w:pPr>
        <w:spacing w:line="360" w:lineRule="auto"/>
        <w:jc w:val="right"/>
        <w:rPr>
          <w:sz w:val="24"/>
          <w:szCs w:val="24"/>
        </w:rPr>
      </w:pPr>
      <w:r>
        <w:rPr>
          <w:rFonts w:hint="eastAsia"/>
          <w:sz w:val="24"/>
          <w:szCs w:val="24"/>
        </w:rPr>
        <w:t>法定代表人或授权代表（签字或电子印章）：</w:t>
      </w:r>
    </w:p>
    <w:p w14:paraId="52CC45D1">
      <w:pPr>
        <w:spacing w:line="360" w:lineRule="auto"/>
        <w:jc w:val="right"/>
        <w:rPr>
          <w:sz w:val="24"/>
          <w:szCs w:val="24"/>
        </w:rPr>
      </w:pPr>
      <w:r>
        <w:rPr>
          <w:rFonts w:hint="eastAsia"/>
          <w:sz w:val="24"/>
          <w:szCs w:val="24"/>
        </w:rPr>
        <w:t>日期：   年  月 日</w:t>
      </w:r>
    </w:p>
    <w:p w14:paraId="4B3149EA">
      <w:pPr>
        <w:spacing w:line="360" w:lineRule="auto"/>
        <w:rPr>
          <w:sz w:val="24"/>
          <w:szCs w:val="24"/>
        </w:rPr>
      </w:pPr>
      <w:r>
        <w:rPr>
          <w:rFonts w:hint="eastAsia"/>
          <w:sz w:val="24"/>
          <w:szCs w:val="24"/>
        </w:rPr>
        <w:t>注：</w:t>
      </w:r>
    </w:p>
    <w:p w14:paraId="7EAEEFD1">
      <w:pPr>
        <w:spacing w:line="360" w:lineRule="auto"/>
        <w:rPr>
          <w:sz w:val="24"/>
          <w:szCs w:val="24"/>
        </w:rPr>
      </w:pPr>
      <w:r>
        <w:rPr>
          <w:rFonts w:hint="eastAsia"/>
          <w:sz w:val="24"/>
          <w:szCs w:val="24"/>
        </w:rPr>
        <w:t>1.投标人须在投标文件中按此模板提供承诺书，未提供视为未实质性响应招标文件要求，按无做投标处理</w:t>
      </w:r>
    </w:p>
    <w:p w14:paraId="13FEC9A4">
      <w:pPr>
        <w:spacing w:line="360" w:lineRule="auto"/>
        <w:rPr>
          <w:sz w:val="24"/>
          <w:szCs w:val="24"/>
        </w:rPr>
      </w:pPr>
      <w:r>
        <w:rPr>
          <w:rFonts w:hint="eastAsia"/>
          <w:sz w:val="24"/>
          <w:szCs w:val="24"/>
        </w:rPr>
        <w:t>2.投标人的法定代表人或者授权代表的签字成盖也应真实、有效，如由授权代表签字或盖章的，应提供“法定代表人授权书”。</w:t>
      </w:r>
    </w:p>
    <w:p w14:paraId="222130BB">
      <w:pPr>
        <w:autoSpaceDE w:val="0"/>
        <w:autoSpaceDN w:val="0"/>
        <w:adjustRightInd w:val="0"/>
        <w:spacing w:after="120" w:line="440" w:lineRule="exact"/>
        <w:ind w:firstLine="480"/>
        <w:jc w:val="left"/>
        <w:rPr>
          <w:rFonts w:ascii="宋体" w:hAnsi="宋体" w:cs="宋体"/>
        </w:rPr>
      </w:pPr>
    </w:p>
    <w:p w14:paraId="6A553E79">
      <w:pPr>
        <w:pStyle w:val="32"/>
        <w:rPr>
          <w:rFonts w:hAnsi="宋体"/>
        </w:rPr>
      </w:pPr>
    </w:p>
    <w:p w14:paraId="1CFC00C8">
      <w:pPr>
        <w:pStyle w:val="32"/>
      </w:pPr>
    </w:p>
    <w:p w14:paraId="6C28FEBC">
      <w:pPr>
        <w:pStyle w:val="17"/>
        <w:widowControl/>
        <w:ind w:firstLine="480"/>
        <w:rPr>
          <w:rFonts w:cs="宋体"/>
          <w:sz w:val="24"/>
          <w:szCs w:val="28"/>
        </w:rPr>
      </w:pPr>
      <w:r>
        <w:rPr>
          <w:rFonts w:hint="eastAsia" w:ascii="宋体" w:hAnsi="宋体" w:cs="宋体"/>
          <w:sz w:val="24"/>
          <w:szCs w:val="28"/>
        </w:rPr>
        <w:t>（二）按照采购文件的要求提供资格证明资料</w:t>
      </w:r>
    </w:p>
    <w:p w14:paraId="6648AB00">
      <w:pPr>
        <w:pStyle w:val="17"/>
        <w:widowControl/>
        <w:ind w:firstLine="422"/>
        <w:rPr>
          <w:rFonts w:cs="宋体"/>
          <w:b/>
        </w:rPr>
      </w:pPr>
      <w:r>
        <w:rPr>
          <w:rFonts w:hint="eastAsia" w:cs="宋体"/>
          <w:b/>
        </w:rPr>
        <w:t>1、</w:t>
      </w:r>
    </w:p>
    <w:p w14:paraId="0B2655AF">
      <w:pPr>
        <w:pStyle w:val="7"/>
        <w:ind w:left="0" w:leftChars="0" w:firstLine="422" w:firstLineChars="200"/>
        <w:rPr>
          <w:rFonts w:cs="宋体"/>
          <w:b/>
        </w:rPr>
      </w:pPr>
      <w:r>
        <w:rPr>
          <w:rFonts w:hint="eastAsia" w:cs="宋体"/>
          <w:b/>
        </w:rPr>
        <w:t>2、</w:t>
      </w:r>
    </w:p>
    <w:p w14:paraId="4736A636">
      <w:pPr>
        <w:ind w:firstLine="422" w:firstLineChars="200"/>
      </w:pPr>
      <w:r>
        <w:rPr>
          <w:rFonts w:hint="eastAsia" w:cs="宋体"/>
          <w:b/>
        </w:rPr>
        <w:t>3、</w:t>
      </w:r>
    </w:p>
    <w:p w14:paraId="2F5DD282">
      <w:pPr>
        <w:pStyle w:val="17"/>
        <w:widowControl/>
        <w:ind w:firstLine="422"/>
        <w:rPr>
          <w:rFonts w:cs="宋体"/>
          <w:b/>
        </w:rPr>
      </w:pPr>
      <w:r>
        <w:rPr>
          <w:rFonts w:hint="eastAsia" w:cs="宋体"/>
          <w:b/>
        </w:rPr>
        <w:t>....</w:t>
      </w:r>
    </w:p>
    <w:p w14:paraId="10343D05">
      <w:pPr>
        <w:pStyle w:val="7"/>
        <w:ind w:left="0" w:leftChars="0"/>
      </w:pPr>
      <w:r>
        <w:rPr>
          <w:rFonts w:hint="eastAsia"/>
        </w:rPr>
        <w:t xml:space="preserve">    .....</w:t>
      </w:r>
    </w:p>
    <w:p w14:paraId="52EDFBED">
      <w:pPr>
        <w:pStyle w:val="17"/>
        <w:widowControl/>
        <w:ind w:firstLine="422"/>
        <w:rPr>
          <w:rFonts w:cs="宋体"/>
          <w:b/>
        </w:rPr>
      </w:pPr>
    </w:p>
    <w:p w14:paraId="6E857BD6">
      <w:pPr>
        <w:pStyle w:val="17"/>
        <w:widowControl/>
        <w:ind w:firstLine="422"/>
        <w:rPr>
          <w:rFonts w:cs="宋体"/>
          <w:b/>
        </w:rPr>
      </w:pPr>
    </w:p>
    <w:p w14:paraId="1A2EC60C">
      <w:pPr>
        <w:pStyle w:val="7"/>
        <w:ind w:left="5250"/>
        <w:rPr>
          <w:rFonts w:cs="宋体"/>
          <w:b/>
        </w:rPr>
      </w:pPr>
    </w:p>
    <w:p w14:paraId="721F05B5">
      <w:pPr>
        <w:rPr>
          <w:rFonts w:cs="宋体"/>
          <w:b/>
        </w:rPr>
      </w:pPr>
    </w:p>
    <w:p w14:paraId="725A18AF">
      <w:pPr>
        <w:pStyle w:val="32"/>
        <w:rPr>
          <w:b/>
        </w:rPr>
      </w:pPr>
    </w:p>
    <w:p w14:paraId="1EB64812"/>
    <w:p w14:paraId="2BE8408A">
      <w:pPr>
        <w:pStyle w:val="17"/>
        <w:widowControl/>
        <w:ind w:firstLine="422"/>
        <w:rPr>
          <w:rFonts w:cs="宋体"/>
          <w:b/>
        </w:rPr>
      </w:pPr>
    </w:p>
    <w:p w14:paraId="2718CB64">
      <w:pPr>
        <w:pStyle w:val="17"/>
        <w:widowControl/>
        <w:ind w:firstLine="422"/>
        <w:rPr>
          <w:rFonts w:cs="宋体"/>
          <w:b/>
        </w:rPr>
      </w:pPr>
      <w:r>
        <w:rPr>
          <w:rFonts w:cs="宋体"/>
          <w:b/>
        </w:rPr>
        <w:t>审查内容以投标截止时间前填报上传企业诚信库信息为准，过期更改的诚信库信息不作为本项目评审依据。</w:t>
      </w:r>
    </w:p>
    <w:p w14:paraId="423E91D8">
      <w:pPr>
        <w:pStyle w:val="32"/>
        <w:rPr>
          <w:rFonts w:ascii="Arial" w:hAnsi="Arial"/>
          <w:b/>
          <w:bCs/>
          <w:sz w:val="28"/>
          <w:szCs w:val="32"/>
        </w:rPr>
      </w:pPr>
    </w:p>
    <w:p w14:paraId="6E60FD4A">
      <w:pPr>
        <w:rPr>
          <w:rFonts w:ascii="Arial" w:hAnsi="Arial"/>
          <w:b/>
          <w:bCs/>
          <w:sz w:val="28"/>
          <w:szCs w:val="32"/>
        </w:rPr>
      </w:pPr>
    </w:p>
    <w:p w14:paraId="5641D941">
      <w:pPr>
        <w:pStyle w:val="32"/>
        <w:rPr>
          <w:rFonts w:ascii="Arial" w:hAnsi="Arial"/>
          <w:b/>
          <w:bCs/>
          <w:sz w:val="28"/>
          <w:szCs w:val="32"/>
        </w:rPr>
      </w:pPr>
    </w:p>
    <w:p w14:paraId="205FF719">
      <w:pPr>
        <w:rPr>
          <w:rFonts w:ascii="Arial" w:hAnsi="Arial"/>
          <w:b/>
          <w:bCs/>
          <w:sz w:val="28"/>
          <w:szCs w:val="32"/>
        </w:rPr>
      </w:pPr>
    </w:p>
    <w:p w14:paraId="7E6B72F4">
      <w:pPr>
        <w:pStyle w:val="32"/>
        <w:rPr>
          <w:rFonts w:ascii="Arial" w:hAnsi="Arial"/>
          <w:b/>
          <w:bCs/>
          <w:sz w:val="28"/>
          <w:szCs w:val="32"/>
        </w:rPr>
      </w:pPr>
    </w:p>
    <w:p w14:paraId="7F960D8F">
      <w:pPr>
        <w:rPr>
          <w:rFonts w:ascii="Arial" w:hAnsi="Arial"/>
          <w:b/>
          <w:bCs/>
          <w:sz w:val="28"/>
          <w:szCs w:val="32"/>
        </w:rPr>
      </w:pPr>
    </w:p>
    <w:p w14:paraId="08757145">
      <w:pPr>
        <w:pStyle w:val="32"/>
        <w:rPr>
          <w:rFonts w:ascii="Arial" w:hAnsi="Arial"/>
          <w:b/>
          <w:bCs/>
          <w:sz w:val="28"/>
          <w:szCs w:val="32"/>
        </w:rPr>
      </w:pPr>
    </w:p>
    <w:p w14:paraId="3E33875D">
      <w:pPr>
        <w:rPr>
          <w:rFonts w:ascii="Arial" w:hAnsi="Arial"/>
          <w:b/>
          <w:bCs/>
          <w:sz w:val="28"/>
          <w:szCs w:val="32"/>
        </w:rPr>
      </w:pPr>
    </w:p>
    <w:p w14:paraId="3A131E73">
      <w:pPr>
        <w:pStyle w:val="32"/>
        <w:rPr>
          <w:rFonts w:ascii="Arial" w:hAnsi="Arial"/>
          <w:b/>
          <w:bCs/>
          <w:sz w:val="28"/>
          <w:szCs w:val="32"/>
        </w:rPr>
      </w:pPr>
    </w:p>
    <w:p w14:paraId="5F7B00AA">
      <w:pPr>
        <w:rPr>
          <w:rFonts w:ascii="Arial" w:hAnsi="Arial"/>
          <w:b/>
          <w:bCs/>
          <w:sz w:val="28"/>
          <w:szCs w:val="32"/>
        </w:rPr>
      </w:pPr>
    </w:p>
    <w:p w14:paraId="6E6FF718">
      <w:pPr>
        <w:pStyle w:val="32"/>
        <w:rPr>
          <w:rFonts w:ascii="Arial" w:hAnsi="Arial"/>
          <w:b/>
          <w:bCs/>
          <w:sz w:val="28"/>
          <w:szCs w:val="32"/>
        </w:rPr>
      </w:pPr>
    </w:p>
    <w:p w14:paraId="16CEA25A">
      <w:pPr>
        <w:rPr>
          <w:rFonts w:ascii="Arial" w:hAnsi="Arial"/>
          <w:b/>
          <w:bCs/>
          <w:sz w:val="28"/>
          <w:szCs w:val="32"/>
        </w:rPr>
      </w:pPr>
    </w:p>
    <w:p w14:paraId="19D8A497">
      <w:pPr>
        <w:pStyle w:val="32"/>
        <w:rPr>
          <w:rFonts w:ascii="Arial" w:hAnsi="Arial"/>
          <w:b/>
          <w:bCs/>
          <w:sz w:val="28"/>
          <w:szCs w:val="32"/>
        </w:rPr>
      </w:pPr>
    </w:p>
    <w:p w14:paraId="1996DF39"/>
    <w:p w14:paraId="43941FF2">
      <w:pPr>
        <w:pStyle w:val="32"/>
      </w:pPr>
    </w:p>
    <w:p w14:paraId="2ABA318B">
      <w:pPr>
        <w:ind w:left="420" w:leftChars="200"/>
        <w:jc w:val="center"/>
        <w:rPr>
          <w:rFonts w:ascii="Arial" w:hAnsi="Arial"/>
          <w:b/>
          <w:bCs/>
          <w:sz w:val="36"/>
          <w:szCs w:val="40"/>
        </w:rPr>
      </w:pPr>
      <w:r>
        <w:rPr>
          <w:rFonts w:hint="eastAsia" w:ascii="Arial" w:hAnsi="Arial"/>
          <w:b/>
          <w:bCs/>
          <w:sz w:val="36"/>
          <w:szCs w:val="40"/>
        </w:rPr>
        <w:t>六、技术部分</w:t>
      </w:r>
    </w:p>
    <w:p w14:paraId="350CD866">
      <w:pPr>
        <w:pStyle w:val="6"/>
        <w:jc w:val="center"/>
        <w:rPr>
          <w:sz w:val="32"/>
          <w:szCs w:val="40"/>
        </w:rPr>
      </w:pPr>
      <w:r>
        <w:rPr>
          <w:rFonts w:hint="eastAsia"/>
          <w:sz w:val="32"/>
          <w:szCs w:val="40"/>
        </w:rPr>
        <w:t>（一）技术响应一览表</w:t>
      </w:r>
    </w:p>
    <w:p w14:paraId="2B523020">
      <w:pPr>
        <w:pStyle w:val="32"/>
        <w:rPr>
          <w:color w:val="auto"/>
        </w:rPr>
      </w:pPr>
    </w:p>
    <w:tbl>
      <w:tblPr>
        <w:tblStyle w:val="1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1726"/>
        <w:gridCol w:w="2052"/>
        <w:gridCol w:w="1200"/>
        <w:gridCol w:w="1621"/>
      </w:tblGrid>
      <w:tr w14:paraId="6674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1F87A7DF">
            <w:pPr>
              <w:jc w:val="center"/>
              <w:rPr>
                <w:rFonts w:ascii="宋体" w:hAnsi="宋体" w:cs="宋体"/>
                <w:b/>
                <w:sz w:val="24"/>
              </w:rPr>
            </w:pPr>
            <w:r>
              <w:rPr>
                <w:rFonts w:hint="eastAsia" w:ascii="宋体" w:hAnsi="宋体" w:cs="宋体"/>
                <w:b/>
                <w:sz w:val="24"/>
              </w:rPr>
              <w:t>序号</w:t>
            </w:r>
          </w:p>
        </w:tc>
        <w:tc>
          <w:tcPr>
            <w:tcW w:w="1306" w:type="dxa"/>
            <w:noWrap/>
            <w:vAlign w:val="center"/>
          </w:tcPr>
          <w:p w14:paraId="47551244">
            <w:pPr>
              <w:jc w:val="center"/>
              <w:rPr>
                <w:rFonts w:ascii="宋体" w:hAnsi="宋体" w:cs="宋体"/>
                <w:b/>
                <w:sz w:val="24"/>
              </w:rPr>
            </w:pPr>
            <w:r>
              <w:rPr>
                <w:rFonts w:hint="eastAsia" w:ascii="宋体" w:hAnsi="宋体" w:cs="宋体"/>
                <w:b/>
                <w:sz w:val="24"/>
              </w:rPr>
              <w:t>产品名称</w:t>
            </w:r>
          </w:p>
        </w:tc>
        <w:tc>
          <w:tcPr>
            <w:tcW w:w="1726" w:type="dxa"/>
            <w:noWrap/>
            <w:vAlign w:val="center"/>
          </w:tcPr>
          <w:p w14:paraId="55A6D2FA">
            <w:pPr>
              <w:jc w:val="center"/>
              <w:rPr>
                <w:rFonts w:ascii="宋体" w:hAnsi="宋体" w:cs="宋体"/>
                <w:b/>
                <w:sz w:val="24"/>
              </w:rPr>
            </w:pPr>
            <w:r>
              <w:rPr>
                <w:rFonts w:hint="eastAsia" w:ascii="宋体" w:hAnsi="宋体" w:cs="宋体"/>
                <w:b/>
                <w:sz w:val="24"/>
              </w:rPr>
              <w:t>采购文件技术参数要求</w:t>
            </w:r>
          </w:p>
        </w:tc>
        <w:tc>
          <w:tcPr>
            <w:tcW w:w="2052" w:type="dxa"/>
            <w:noWrap/>
            <w:vAlign w:val="center"/>
          </w:tcPr>
          <w:p w14:paraId="6AD21669">
            <w:pPr>
              <w:jc w:val="center"/>
              <w:rPr>
                <w:rFonts w:ascii="宋体" w:hAnsi="宋体" w:cs="宋体"/>
                <w:b/>
                <w:sz w:val="24"/>
              </w:rPr>
            </w:pPr>
            <w:r>
              <w:rPr>
                <w:rFonts w:hint="eastAsia" w:ascii="宋体" w:hAnsi="宋体" w:cs="宋体"/>
                <w:b/>
                <w:sz w:val="24"/>
              </w:rPr>
              <w:t>响应文件技术参数</w:t>
            </w:r>
          </w:p>
        </w:tc>
        <w:tc>
          <w:tcPr>
            <w:tcW w:w="1200" w:type="dxa"/>
            <w:noWrap/>
            <w:vAlign w:val="center"/>
          </w:tcPr>
          <w:p w14:paraId="56FA1603">
            <w:pPr>
              <w:jc w:val="center"/>
              <w:rPr>
                <w:rFonts w:ascii="宋体" w:hAnsi="宋体" w:cs="宋体"/>
                <w:b/>
                <w:sz w:val="24"/>
              </w:rPr>
            </w:pPr>
            <w:r>
              <w:rPr>
                <w:rFonts w:hint="eastAsia" w:ascii="宋体" w:hAnsi="宋体" w:cs="宋体"/>
                <w:b/>
                <w:sz w:val="24"/>
              </w:rPr>
              <w:t>正/负偏差</w:t>
            </w:r>
          </w:p>
        </w:tc>
        <w:tc>
          <w:tcPr>
            <w:tcW w:w="1621" w:type="dxa"/>
            <w:noWrap/>
            <w:vAlign w:val="center"/>
          </w:tcPr>
          <w:p w14:paraId="2540A3B2">
            <w:pPr>
              <w:jc w:val="center"/>
              <w:rPr>
                <w:rFonts w:ascii="宋体" w:hAnsi="宋体" w:cs="宋体"/>
                <w:b/>
                <w:sz w:val="24"/>
              </w:rPr>
            </w:pPr>
            <w:r>
              <w:rPr>
                <w:rFonts w:hint="eastAsia" w:ascii="宋体" w:hAnsi="宋体" w:cs="宋体"/>
                <w:b/>
                <w:sz w:val="24"/>
              </w:rPr>
              <w:t>备注</w:t>
            </w:r>
          </w:p>
        </w:tc>
      </w:tr>
      <w:tr w14:paraId="05AC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25E50923">
            <w:pPr>
              <w:jc w:val="center"/>
              <w:rPr>
                <w:rFonts w:ascii="宋体" w:hAnsi="宋体" w:cs="宋体"/>
                <w:b/>
                <w:sz w:val="24"/>
              </w:rPr>
            </w:pPr>
            <w:r>
              <w:rPr>
                <w:rFonts w:ascii="宋体" w:hAnsi="宋体" w:cs="宋体"/>
                <w:b/>
                <w:sz w:val="24"/>
              </w:rPr>
              <w:t>1</w:t>
            </w:r>
          </w:p>
        </w:tc>
        <w:tc>
          <w:tcPr>
            <w:tcW w:w="1306" w:type="dxa"/>
            <w:noWrap/>
            <w:vAlign w:val="center"/>
          </w:tcPr>
          <w:p w14:paraId="59D11195">
            <w:pPr>
              <w:jc w:val="center"/>
              <w:rPr>
                <w:rFonts w:ascii="宋体" w:hAnsi="宋体" w:cs="宋体"/>
                <w:b/>
                <w:sz w:val="24"/>
              </w:rPr>
            </w:pPr>
          </w:p>
        </w:tc>
        <w:tc>
          <w:tcPr>
            <w:tcW w:w="1726" w:type="dxa"/>
            <w:noWrap/>
          </w:tcPr>
          <w:p w14:paraId="2BB643C9">
            <w:pPr>
              <w:jc w:val="center"/>
              <w:rPr>
                <w:rFonts w:ascii="宋体" w:hAnsi="宋体" w:cs="宋体"/>
                <w:b/>
                <w:sz w:val="24"/>
              </w:rPr>
            </w:pPr>
          </w:p>
        </w:tc>
        <w:tc>
          <w:tcPr>
            <w:tcW w:w="2052" w:type="dxa"/>
            <w:noWrap/>
            <w:vAlign w:val="center"/>
          </w:tcPr>
          <w:p w14:paraId="153D7989">
            <w:pPr>
              <w:jc w:val="center"/>
              <w:rPr>
                <w:rFonts w:ascii="宋体" w:hAnsi="宋体" w:cs="宋体"/>
                <w:b/>
                <w:sz w:val="24"/>
              </w:rPr>
            </w:pPr>
          </w:p>
        </w:tc>
        <w:tc>
          <w:tcPr>
            <w:tcW w:w="1200" w:type="dxa"/>
            <w:noWrap/>
            <w:vAlign w:val="center"/>
          </w:tcPr>
          <w:p w14:paraId="38C69488">
            <w:pPr>
              <w:jc w:val="center"/>
              <w:rPr>
                <w:rFonts w:ascii="宋体" w:hAnsi="宋体" w:cs="宋体"/>
                <w:b/>
                <w:sz w:val="24"/>
              </w:rPr>
            </w:pPr>
          </w:p>
        </w:tc>
        <w:tc>
          <w:tcPr>
            <w:tcW w:w="1621" w:type="dxa"/>
            <w:noWrap/>
            <w:vAlign w:val="center"/>
          </w:tcPr>
          <w:p w14:paraId="6FF81573">
            <w:pPr>
              <w:jc w:val="center"/>
              <w:rPr>
                <w:rFonts w:ascii="宋体" w:hAnsi="宋体" w:cs="宋体"/>
                <w:b/>
                <w:sz w:val="24"/>
              </w:rPr>
            </w:pPr>
          </w:p>
        </w:tc>
      </w:tr>
      <w:tr w14:paraId="002A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3098C3D8">
            <w:pPr>
              <w:jc w:val="center"/>
              <w:rPr>
                <w:rFonts w:ascii="宋体" w:hAnsi="宋体" w:cs="宋体"/>
                <w:b/>
                <w:sz w:val="24"/>
              </w:rPr>
            </w:pPr>
            <w:r>
              <w:rPr>
                <w:rFonts w:ascii="宋体" w:hAnsi="宋体" w:cs="宋体"/>
                <w:b/>
                <w:sz w:val="24"/>
              </w:rPr>
              <w:t>2</w:t>
            </w:r>
          </w:p>
        </w:tc>
        <w:tc>
          <w:tcPr>
            <w:tcW w:w="1306" w:type="dxa"/>
            <w:noWrap/>
            <w:vAlign w:val="center"/>
          </w:tcPr>
          <w:p w14:paraId="0B742D20">
            <w:pPr>
              <w:jc w:val="center"/>
              <w:rPr>
                <w:rFonts w:ascii="宋体" w:hAnsi="宋体" w:cs="宋体"/>
                <w:b/>
                <w:sz w:val="24"/>
              </w:rPr>
            </w:pPr>
          </w:p>
        </w:tc>
        <w:tc>
          <w:tcPr>
            <w:tcW w:w="1726" w:type="dxa"/>
            <w:noWrap/>
          </w:tcPr>
          <w:p w14:paraId="1CCBB29D">
            <w:pPr>
              <w:jc w:val="center"/>
              <w:rPr>
                <w:rFonts w:ascii="宋体" w:hAnsi="宋体" w:cs="宋体"/>
                <w:b/>
                <w:sz w:val="24"/>
              </w:rPr>
            </w:pPr>
          </w:p>
        </w:tc>
        <w:tc>
          <w:tcPr>
            <w:tcW w:w="2052" w:type="dxa"/>
            <w:noWrap/>
            <w:vAlign w:val="center"/>
          </w:tcPr>
          <w:p w14:paraId="09A51A5C">
            <w:pPr>
              <w:jc w:val="center"/>
              <w:rPr>
                <w:rFonts w:ascii="宋体" w:hAnsi="宋体" w:cs="宋体"/>
                <w:b/>
                <w:sz w:val="24"/>
              </w:rPr>
            </w:pPr>
          </w:p>
        </w:tc>
        <w:tc>
          <w:tcPr>
            <w:tcW w:w="1200" w:type="dxa"/>
            <w:noWrap/>
            <w:vAlign w:val="center"/>
          </w:tcPr>
          <w:p w14:paraId="7BCA53A8">
            <w:pPr>
              <w:jc w:val="center"/>
              <w:rPr>
                <w:rFonts w:ascii="宋体" w:hAnsi="宋体" w:cs="宋体"/>
                <w:b/>
                <w:sz w:val="24"/>
              </w:rPr>
            </w:pPr>
          </w:p>
        </w:tc>
        <w:tc>
          <w:tcPr>
            <w:tcW w:w="1621" w:type="dxa"/>
            <w:noWrap/>
            <w:vAlign w:val="center"/>
          </w:tcPr>
          <w:p w14:paraId="7BEF30E4">
            <w:pPr>
              <w:jc w:val="center"/>
              <w:rPr>
                <w:rFonts w:ascii="宋体" w:hAnsi="宋体" w:cs="宋体"/>
                <w:b/>
                <w:sz w:val="24"/>
              </w:rPr>
            </w:pPr>
          </w:p>
        </w:tc>
      </w:tr>
      <w:tr w14:paraId="04DD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108F6ACC">
            <w:pPr>
              <w:jc w:val="center"/>
              <w:rPr>
                <w:rFonts w:ascii="宋体" w:hAnsi="宋体" w:cs="宋体"/>
                <w:b/>
                <w:sz w:val="24"/>
              </w:rPr>
            </w:pPr>
            <w:r>
              <w:rPr>
                <w:rFonts w:ascii="宋体" w:hAnsi="宋体" w:cs="宋体"/>
                <w:b/>
                <w:sz w:val="24"/>
              </w:rPr>
              <w:t>3</w:t>
            </w:r>
          </w:p>
        </w:tc>
        <w:tc>
          <w:tcPr>
            <w:tcW w:w="1306" w:type="dxa"/>
            <w:noWrap/>
            <w:vAlign w:val="center"/>
          </w:tcPr>
          <w:p w14:paraId="22FCBB77">
            <w:pPr>
              <w:jc w:val="center"/>
              <w:rPr>
                <w:rFonts w:ascii="宋体" w:hAnsi="宋体" w:cs="宋体"/>
                <w:b/>
                <w:sz w:val="24"/>
              </w:rPr>
            </w:pPr>
          </w:p>
        </w:tc>
        <w:tc>
          <w:tcPr>
            <w:tcW w:w="1726" w:type="dxa"/>
            <w:noWrap/>
          </w:tcPr>
          <w:p w14:paraId="540B8C7D">
            <w:pPr>
              <w:jc w:val="center"/>
              <w:rPr>
                <w:rFonts w:ascii="宋体" w:hAnsi="宋体" w:cs="宋体"/>
                <w:b/>
                <w:sz w:val="24"/>
              </w:rPr>
            </w:pPr>
          </w:p>
        </w:tc>
        <w:tc>
          <w:tcPr>
            <w:tcW w:w="2052" w:type="dxa"/>
            <w:noWrap/>
            <w:vAlign w:val="center"/>
          </w:tcPr>
          <w:p w14:paraId="1383A8D6">
            <w:pPr>
              <w:jc w:val="center"/>
              <w:rPr>
                <w:rFonts w:ascii="宋体" w:hAnsi="宋体" w:cs="宋体"/>
                <w:b/>
                <w:sz w:val="24"/>
              </w:rPr>
            </w:pPr>
          </w:p>
        </w:tc>
        <w:tc>
          <w:tcPr>
            <w:tcW w:w="1200" w:type="dxa"/>
            <w:noWrap/>
            <w:vAlign w:val="center"/>
          </w:tcPr>
          <w:p w14:paraId="08FC8C8C">
            <w:pPr>
              <w:jc w:val="center"/>
              <w:rPr>
                <w:rFonts w:ascii="宋体" w:hAnsi="宋体" w:cs="宋体"/>
                <w:b/>
                <w:sz w:val="24"/>
              </w:rPr>
            </w:pPr>
          </w:p>
        </w:tc>
        <w:tc>
          <w:tcPr>
            <w:tcW w:w="1621" w:type="dxa"/>
            <w:noWrap/>
            <w:vAlign w:val="center"/>
          </w:tcPr>
          <w:p w14:paraId="5CB43020">
            <w:pPr>
              <w:jc w:val="center"/>
              <w:rPr>
                <w:rFonts w:ascii="宋体" w:hAnsi="宋体" w:cs="宋体"/>
                <w:b/>
                <w:sz w:val="24"/>
              </w:rPr>
            </w:pPr>
          </w:p>
        </w:tc>
      </w:tr>
      <w:tr w14:paraId="04D1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noWrap/>
            <w:vAlign w:val="center"/>
          </w:tcPr>
          <w:p w14:paraId="79866D54">
            <w:pPr>
              <w:jc w:val="center"/>
              <w:rPr>
                <w:rFonts w:ascii="宋体" w:hAnsi="宋体" w:cs="宋体"/>
                <w:b/>
                <w:sz w:val="24"/>
              </w:rPr>
            </w:pPr>
            <w:r>
              <w:rPr>
                <w:rFonts w:ascii="宋体" w:hAnsi="宋体" w:cs="宋体"/>
                <w:b/>
                <w:sz w:val="24"/>
              </w:rPr>
              <w:t>4</w:t>
            </w:r>
          </w:p>
        </w:tc>
        <w:tc>
          <w:tcPr>
            <w:tcW w:w="1306" w:type="dxa"/>
            <w:noWrap/>
            <w:vAlign w:val="center"/>
          </w:tcPr>
          <w:p w14:paraId="0A0885AD">
            <w:pPr>
              <w:jc w:val="center"/>
              <w:rPr>
                <w:rFonts w:ascii="宋体" w:hAnsi="宋体" w:cs="宋体"/>
                <w:b/>
                <w:sz w:val="24"/>
              </w:rPr>
            </w:pPr>
          </w:p>
        </w:tc>
        <w:tc>
          <w:tcPr>
            <w:tcW w:w="1726" w:type="dxa"/>
            <w:noWrap/>
          </w:tcPr>
          <w:p w14:paraId="001EB7CE">
            <w:pPr>
              <w:jc w:val="center"/>
              <w:rPr>
                <w:rFonts w:ascii="宋体" w:hAnsi="宋体" w:cs="宋体"/>
                <w:b/>
                <w:sz w:val="24"/>
              </w:rPr>
            </w:pPr>
          </w:p>
        </w:tc>
        <w:tc>
          <w:tcPr>
            <w:tcW w:w="2052" w:type="dxa"/>
            <w:noWrap/>
            <w:vAlign w:val="center"/>
          </w:tcPr>
          <w:p w14:paraId="1BF9407A">
            <w:pPr>
              <w:jc w:val="center"/>
              <w:rPr>
                <w:rFonts w:ascii="宋体" w:hAnsi="宋体" w:cs="宋体"/>
                <w:b/>
                <w:sz w:val="24"/>
              </w:rPr>
            </w:pPr>
          </w:p>
        </w:tc>
        <w:tc>
          <w:tcPr>
            <w:tcW w:w="1200" w:type="dxa"/>
            <w:noWrap/>
            <w:vAlign w:val="center"/>
          </w:tcPr>
          <w:p w14:paraId="7251A924">
            <w:pPr>
              <w:jc w:val="center"/>
              <w:rPr>
                <w:rFonts w:ascii="宋体" w:hAnsi="宋体" w:cs="宋体"/>
                <w:b/>
                <w:sz w:val="24"/>
              </w:rPr>
            </w:pPr>
          </w:p>
        </w:tc>
        <w:tc>
          <w:tcPr>
            <w:tcW w:w="1621" w:type="dxa"/>
            <w:noWrap/>
            <w:vAlign w:val="center"/>
          </w:tcPr>
          <w:p w14:paraId="31017DB2">
            <w:pPr>
              <w:jc w:val="center"/>
              <w:rPr>
                <w:rFonts w:ascii="宋体" w:hAnsi="宋体" w:cs="宋体"/>
                <w:b/>
                <w:sz w:val="24"/>
              </w:rPr>
            </w:pPr>
          </w:p>
        </w:tc>
      </w:tr>
      <w:tr w14:paraId="7297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ign w:val="center"/>
          </w:tcPr>
          <w:p w14:paraId="0C05D0B8">
            <w:pPr>
              <w:jc w:val="center"/>
              <w:rPr>
                <w:rFonts w:ascii="宋体" w:hAnsi="宋体" w:cs="宋体"/>
                <w:b/>
                <w:sz w:val="24"/>
              </w:rPr>
            </w:pPr>
            <w:r>
              <w:rPr>
                <w:rFonts w:hint="eastAsia" w:ascii="宋体" w:hAnsi="宋体" w:cs="宋体"/>
                <w:b/>
                <w:sz w:val="24"/>
              </w:rPr>
              <w:t>…</w:t>
            </w:r>
          </w:p>
        </w:tc>
        <w:tc>
          <w:tcPr>
            <w:tcW w:w="1306" w:type="dxa"/>
            <w:noWrap/>
            <w:vAlign w:val="center"/>
          </w:tcPr>
          <w:p w14:paraId="6C7615A8">
            <w:pPr>
              <w:jc w:val="center"/>
              <w:rPr>
                <w:rFonts w:ascii="宋体" w:hAnsi="宋体" w:cs="宋体"/>
                <w:b/>
                <w:sz w:val="24"/>
              </w:rPr>
            </w:pPr>
          </w:p>
        </w:tc>
        <w:tc>
          <w:tcPr>
            <w:tcW w:w="1726" w:type="dxa"/>
            <w:noWrap/>
          </w:tcPr>
          <w:p w14:paraId="3F272026">
            <w:pPr>
              <w:jc w:val="center"/>
              <w:rPr>
                <w:rFonts w:ascii="宋体" w:hAnsi="宋体" w:cs="宋体"/>
                <w:b/>
                <w:sz w:val="24"/>
              </w:rPr>
            </w:pPr>
          </w:p>
        </w:tc>
        <w:tc>
          <w:tcPr>
            <w:tcW w:w="2052" w:type="dxa"/>
            <w:noWrap/>
            <w:vAlign w:val="center"/>
          </w:tcPr>
          <w:p w14:paraId="78B483AC">
            <w:pPr>
              <w:jc w:val="center"/>
              <w:rPr>
                <w:rFonts w:ascii="宋体" w:hAnsi="宋体" w:cs="宋体"/>
                <w:b/>
                <w:sz w:val="24"/>
              </w:rPr>
            </w:pPr>
          </w:p>
        </w:tc>
        <w:tc>
          <w:tcPr>
            <w:tcW w:w="1200" w:type="dxa"/>
            <w:noWrap/>
            <w:vAlign w:val="center"/>
          </w:tcPr>
          <w:p w14:paraId="5B2E5B48">
            <w:pPr>
              <w:jc w:val="center"/>
              <w:rPr>
                <w:rFonts w:ascii="宋体" w:hAnsi="宋体" w:cs="宋体"/>
                <w:b/>
                <w:sz w:val="24"/>
              </w:rPr>
            </w:pPr>
          </w:p>
        </w:tc>
        <w:tc>
          <w:tcPr>
            <w:tcW w:w="1621" w:type="dxa"/>
            <w:noWrap/>
            <w:vAlign w:val="center"/>
          </w:tcPr>
          <w:p w14:paraId="27FFEF8D">
            <w:pPr>
              <w:jc w:val="center"/>
              <w:rPr>
                <w:rFonts w:ascii="宋体" w:hAnsi="宋体" w:cs="宋体"/>
                <w:b/>
                <w:sz w:val="24"/>
              </w:rPr>
            </w:pPr>
          </w:p>
        </w:tc>
      </w:tr>
    </w:tbl>
    <w:p w14:paraId="4E28B7BE">
      <w:pPr>
        <w:adjustRightInd w:val="0"/>
        <w:snapToGrid w:val="0"/>
        <w:spacing w:line="360" w:lineRule="auto"/>
        <w:rPr>
          <w:rFonts w:ascii="宋体" w:hAnsi="宋体" w:cs="宋体"/>
          <w:b/>
          <w:bCs/>
          <w:color w:val="000000"/>
          <w:sz w:val="24"/>
        </w:rPr>
      </w:pPr>
    </w:p>
    <w:p w14:paraId="6835B581">
      <w:pPr>
        <w:adjustRightInd w:val="0"/>
        <w:snapToGrid w:val="0"/>
        <w:spacing w:line="360" w:lineRule="auto"/>
        <w:rPr>
          <w:rFonts w:ascii="宋体" w:hAnsi="宋体" w:cs="宋体"/>
          <w:b/>
          <w:bCs/>
          <w:color w:val="000000"/>
          <w:sz w:val="24"/>
        </w:rPr>
      </w:pPr>
    </w:p>
    <w:p w14:paraId="5ED18B98">
      <w:pPr>
        <w:adjustRightInd w:val="0"/>
        <w:snapToGrid w:val="0"/>
        <w:spacing w:line="360" w:lineRule="auto"/>
        <w:rPr>
          <w:rFonts w:ascii="宋体" w:hAnsi="宋体" w:cs="宋体"/>
          <w:color w:val="000000"/>
          <w:sz w:val="24"/>
          <w:u w:val="single"/>
        </w:rPr>
      </w:pPr>
      <w:r>
        <w:rPr>
          <w:rFonts w:hint="eastAsia" w:ascii="宋体" w:hAnsi="宋体" w:cs="宋体"/>
          <w:b/>
          <w:bCs/>
          <w:color w:val="000000"/>
          <w:sz w:val="24"/>
        </w:rPr>
        <w:t>投标人</w:t>
      </w:r>
      <w:r>
        <w:rPr>
          <w:rFonts w:hint="eastAsia" w:ascii="宋体" w:hAnsi="宋体" w:cs="宋体"/>
          <w:b/>
          <w:color w:val="000000"/>
          <w:sz w:val="24"/>
        </w:rPr>
        <w:t>（电子签章）</w:t>
      </w:r>
      <w:r>
        <w:rPr>
          <w:rFonts w:hint="eastAsia" w:ascii="宋体" w:hAnsi="宋体" w:cs="宋体"/>
          <w:b/>
          <w:bCs/>
          <w:color w:val="000000"/>
          <w:sz w:val="24"/>
        </w:rPr>
        <w:t>：</w:t>
      </w:r>
    </w:p>
    <w:p w14:paraId="0B666C1F">
      <w:pPr>
        <w:spacing w:line="360" w:lineRule="auto"/>
        <w:jc w:val="left"/>
        <w:rPr>
          <w:rFonts w:ascii="宋体" w:hAnsi="宋体"/>
          <w:b/>
          <w:sz w:val="24"/>
        </w:rPr>
      </w:pPr>
      <w:r>
        <w:rPr>
          <w:rFonts w:hint="eastAsia" w:ascii="宋体" w:hAnsi="宋体" w:cs="宋体"/>
          <w:b/>
          <w:color w:val="000000"/>
          <w:sz w:val="24"/>
        </w:rPr>
        <w:t>法定代表人或授权代表（电子签章/签名）</w:t>
      </w:r>
      <w:r>
        <w:rPr>
          <w:rFonts w:hint="eastAsia" w:ascii="宋体" w:hAnsi="宋体" w:cs="宋体"/>
          <w:b/>
          <w:bCs/>
          <w:sz w:val="24"/>
        </w:rPr>
        <w:t>：</w:t>
      </w:r>
    </w:p>
    <w:p w14:paraId="54FEFE64">
      <w:pPr>
        <w:tabs>
          <w:tab w:val="left" w:pos="360"/>
          <w:tab w:val="left" w:pos="540"/>
        </w:tabs>
        <w:spacing w:line="360" w:lineRule="auto"/>
        <w:rPr>
          <w:rFonts w:ascii="宋体" w:hAnsi="宋体" w:cs="宋体"/>
          <w:b/>
          <w:color w:val="000000"/>
          <w:sz w:val="24"/>
        </w:rPr>
      </w:pPr>
      <w:r>
        <w:rPr>
          <w:rFonts w:hint="eastAsia" w:ascii="宋体" w:hAnsi="宋体" w:cs="宋体"/>
          <w:b/>
          <w:color w:val="000000"/>
          <w:sz w:val="24"/>
        </w:rPr>
        <w:t>日期：年月日</w:t>
      </w:r>
    </w:p>
    <w:p w14:paraId="0712910C"/>
    <w:p w14:paraId="488B1ABA">
      <w:pPr>
        <w:pStyle w:val="32"/>
      </w:pPr>
    </w:p>
    <w:p w14:paraId="089D3FE8">
      <w:r>
        <w:rPr>
          <w:rFonts w:hint="eastAsia"/>
        </w:rPr>
        <w:t>注：</w:t>
      </w:r>
    </w:p>
    <w:p w14:paraId="7CD86585">
      <w:pPr>
        <w:numPr>
          <w:ilvl w:val="0"/>
          <w:numId w:val="5"/>
        </w:numPr>
        <w:rPr>
          <w:b/>
          <w:bCs/>
        </w:rPr>
      </w:pPr>
      <w:r>
        <w:rPr>
          <w:rFonts w:hint="eastAsia"/>
          <w:b/>
          <w:bCs/>
        </w:rPr>
        <w:t>“</w:t>
      </w:r>
      <w:r>
        <w:rPr>
          <w:rFonts w:hint="eastAsia" w:ascii="宋体" w:hAnsi="宋体" w:cs="宋体"/>
          <w:b/>
          <w:bCs/>
          <w:sz w:val="24"/>
        </w:rPr>
        <w:t>正/负偏差</w:t>
      </w:r>
      <w:r>
        <w:rPr>
          <w:rFonts w:hint="eastAsia"/>
          <w:b/>
          <w:bCs/>
        </w:rPr>
        <w:t>”</w:t>
      </w:r>
      <w:r>
        <w:rPr>
          <w:rFonts w:hint="eastAsia"/>
        </w:rPr>
        <w:t>项，对偏差进行描述。无偏差本项无需填写，本表后附</w:t>
      </w:r>
      <w:r>
        <w:rPr>
          <w:rFonts w:hint="eastAsia"/>
          <w:lang w:val="en-US" w:eastAsia="zh-CN"/>
        </w:rPr>
        <w:t>产品技术说明</w:t>
      </w:r>
      <w:r>
        <w:rPr>
          <w:rFonts w:hint="eastAsia"/>
        </w:rPr>
        <w:t>材料。</w:t>
      </w:r>
    </w:p>
    <w:p w14:paraId="4323F258">
      <w:pPr>
        <w:pStyle w:val="32"/>
      </w:pPr>
    </w:p>
    <w:p w14:paraId="7AA697E3">
      <w:pPr>
        <w:numPr>
          <w:ilvl w:val="0"/>
          <w:numId w:val="5"/>
        </w:numPr>
        <w:autoSpaceDE w:val="0"/>
        <w:autoSpaceDN w:val="0"/>
        <w:adjustRightInd w:val="0"/>
        <w:ind w:left="0" w:leftChars="0" w:firstLine="0" w:firstLineChars="0"/>
        <w:rPr>
          <w:rFonts w:hint="eastAsia" w:ascii="宋体" w:hAnsi="宋体" w:cs="宋体"/>
        </w:rPr>
      </w:pPr>
      <w:r>
        <w:rPr>
          <w:rFonts w:hint="eastAsia" w:ascii="宋体" w:hAnsi="宋体" w:cs="宋体"/>
        </w:rPr>
        <w:t>投标技术规格或商务条款存在偏差的必须如实填写本表；表格不足时投标人可根据需要另行添加；</w:t>
      </w:r>
    </w:p>
    <w:p w14:paraId="2FC323E2">
      <w:pPr>
        <w:pageBreakBefore/>
        <w:spacing w:line="360" w:lineRule="auto"/>
        <w:jc w:val="center"/>
        <w:rPr>
          <w:rFonts w:hint="eastAsia" w:ascii="宋体" w:hAnsi="宋体" w:cs="宋体"/>
          <w:b/>
          <w:bCs/>
        </w:rPr>
      </w:pPr>
      <w:r>
        <w:rPr>
          <w:rFonts w:hint="eastAsia" w:ascii="宋体" w:hAnsi="宋体" w:cs="宋体"/>
          <w:b/>
          <w:bCs/>
          <w:lang w:eastAsia="zh-CN"/>
        </w:rPr>
        <w:t>（</w:t>
      </w:r>
      <w:r>
        <w:rPr>
          <w:rFonts w:hint="eastAsia" w:ascii="宋体" w:hAnsi="宋体" w:cs="宋体"/>
          <w:b/>
          <w:bCs/>
          <w:lang w:val="en-US" w:eastAsia="zh-CN"/>
        </w:rPr>
        <w:t>二</w:t>
      </w:r>
      <w:r>
        <w:rPr>
          <w:rFonts w:hint="eastAsia" w:ascii="宋体" w:hAnsi="宋体" w:cs="宋体"/>
          <w:b/>
          <w:bCs/>
          <w:lang w:eastAsia="zh-CN"/>
        </w:rPr>
        <w:t>）</w:t>
      </w:r>
      <w:r>
        <w:rPr>
          <w:rFonts w:hint="eastAsia" w:ascii="宋体" w:hAnsi="宋体" w:cs="宋体"/>
          <w:b/>
          <w:bCs/>
        </w:rPr>
        <w:t>节能产品、环境标志产品明细表</w:t>
      </w:r>
    </w:p>
    <w:p w14:paraId="388C00E8">
      <w:pPr>
        <w:spacing w:line="360" w:lineRule="auto"/>
        <w:jc w:val="center"/>
        <w:rPr>
          <w:rFonts w:hint="eastAsia" w:ascii="宋体" w:hAnsi="宋体" w:cs="宋体"/>
          <w:b/>
          <w:bCs/>
        </w:rPr>
      </w:pPr>
      <w:r>
        <w:rPr>
          <w:rFonts w:hint="eastAsia" w:ascii="宋体" w:hAnsi="宋体" w:cs="宋体"/>
          <w:b/>
          <w:bCs/>
        </w:rPr>
        <w:t>节能产品明细表</w:t>
      </w:r>
    </w:p>
    <w:p w14:paraId="3438E9CE">
      <w:pPr>
        <w:spacing w:line="360" w:lineRule="auto"/>
        <w:jc w:val="center"/>
        <w:rPr>
          <w:rFonts w:hint="eastAsia" w:ascii="宋体" w:hAnsi="宋体" w:cs="宋体"/>
          <w:b/>
          <w:bCs/>
        </w:rPr>
      </w:pPr>
    </w:p>
    <w:tbl>
      <w:tblPr>
        <w:tblStyle w:val="1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789"/>
        <w:gridCol w:w="771"/>
        <w:gridCol w:w="814"/>
        <w:gridCol w:w="1012"/>
        <w:gridCol w:w="1723"/>
        <w:gridCol w:w="600"/>
        <w:gridCol w:w="600"/>
        <w:gridCol w:w="643"/>
      </w:tblGrid>
      <w:tr w14:paraId="50CF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74" w:type="dxa"/>
            <w:noWrap w:val="0"/>
            <w:vAlign w:val="top"/>
          </w:tcPr>
          <w:p w14:paraId="25CE763C">
            <w:pPr>
              <w:widowControl w:val="0"/>
              <w:spacing w:line="360" w:lineRule="auto"/>
              <w:jc w:val="center"/>
              <w:rPr>
                <w:rFonts w:hint="eastAsia" w:ascii="宋体" w:hAnsi="宋体" w:cs="宋体"/>
              </w:rPr>
            </w:pPr>
            <w:r>
              <w:rPr>
                <w:rFonts w:hint="eastAsia" w:ascii="宋体" w:hAnsi="宋体" w:cs="宋体"/>
              </w:rPr>
              <w:t>序号</w:t>
            </w:r>
          </w:p>
        </w:tc>
        <w:tc>
          <w:tcPr>
            <w:tcW w:w="789" w:type="dxa"/>
            <w:noWrap w:val="0"/>
            <w:vAlign w:val="top"/>
          </w:tcPr>
          <w:p w14:paraId="18A0732D">
            <w:pPr>
              <w:widowControl w:val="0"/>
              <w:spacing w:line="360" w:lineRule="auto"/>
              <w:jc w:val="center"/>
              <w:rPr>
                <w:rFonts w:hint="eastAsia" w:ascii="宋体" w:hAnsi="宋体" w:cs="宋体"/>
              </w:rPr>
            </w:pPr>
            <w:r>
              <w:rPr>
                <w:rFonts w:hint="eastAsia" w:ascii="宋体" w:hAnsi="宋体" w:cs="宋体"/>
              </w:rPr>
              <w:t>设备名称</w:t>
            </w:r>
          </w:p>
        </w:tc>
        <w:tc>
          <w:tcPr>
            <w:tcW w:w="771" w:type="dxa"/>
            <w:noWrap w:val="0"/>
            <w:vAlign w:val="top"/>
          </w:tcPr>
          <w:p w14:paraId="02EB8FE8">
            <w:pPr>
              <w:widowControl w:val="0"/>
              <w:spacing w:line="360" w:lineRule="auto"/>
              <w:jc w:val="center"/>
              <w:rPr>
                <w:rFonts w:hint="eastAsia" w:ascii="宋体" w:hAnsi="宋体" w:cs="宋体"/>
              </w:rPr>
            </w:pPr>
            <w:r>
              <w:rPr>
                <w:rFonts w:hint="eastAsia" w:ascii="宋体" w:hAnsi="宋体" w:cs="宋体"/>
              </w:rPr>
              <w:t xml:space="preserve">品牌 </w:t>
            </w:r>
          </w:p>
          <w:p w14:paraId="6886D4CE">
            <w:pPr>
              <w:widowControl w:val="0"/>
              <w:spacing w:line="360" w:lineRule="auto"/>
              <w:jc w:val="center"/>
              <w:rPr>
                <w:rFonts w:hint="eastAsia" w:ascii="宋体" w:hAnsi="宋体" w:cs="宋体"/>
              </w:rPr>
            </w:pPr>
            <w:r>
              <w:rPr>
                <w:rFonts w:hint="eastAsia" w:ascii="宋体" w:hAnsi="宋体" w:cs="宋体"/>
              </w:rPr>
              <w:t>型号</w:t>
            </w:r>
          </w:p>
        </w:tc>
        <w:tc>
          <w:tcPr>
            <w:tcW w:w="814" w:type="dxa"/>
            <w:noWrap w:val="0"/>
            <w:vAlign w:val="top"/>
          </w:tcPr>
          <w:p w14:paraId="0DB06602">
            <w:pPr>
              <w:widowControl w:val="0"/>
              <w:spacing w:line="360" w:lineRule="auto"/>
              <w:jc w:val="center"/>
              <w:rPr>
                <w:rFonts w:hint="eastAsia" w:ascii="宋体" w:hAnsi="宋体" w:cs="宋体"/>
              </w:rPr>
            </w:pPr>
            <w:r>
              <w:rPr>
                <w:rFonts w:hint="eastAsia" w:ascii="宋体" w:hAnsi="宋体" w:cs="宋体"/>
              </w:rPr>
              <w:t>制造商</w:t>
            </w:r>
          </w:p>
          <w:p w14:paraId="3DBCAF26">
            <w:pPr>
              <w:widowControl w:val="0"/>
              <w:spacing w:line="360" w:lineRule="auto"/>
              <w:jc w:val="center"/>
              <w:rPr>
                <w:rFonts w:hint="eastAsia" w:ascii="宋体" w:hAnsi="宋体" w:cs="宋体"/>
              </w:rPr>
            </w:pPr>
            <w:r>
              <w:rPr>
                <w:rFonts w:hint="eastAsia" w:ascii="宋体" w:hAnsi="宋体" w:cs="宋体"/>
              </w:rPr>
              <w:t>名称</w:t>
            </w:r>
          </w:p>
        </w:tc>
        <w:tc>
          <w:tcPr>
            <w:tcW w:w="1012" w:type="dxa"/>
            <w:noWrap w:val="0"/>
            <w:vAlign w:val="top"/>
          </w:tcPr>
          <w:p w14:paraId="4E530012">
            <w:pPr>
              <w:widowControl w:val="0"/>
              <w:spacing w:line="360" w:lineRule="auto"/>
              <w:jc w:val="center"/>
              <w:rPr>
                <w:rFonts w:hint="eastAsia" w:ascii="宋体" w:hAnsi="宋体" w:cs="宋体"/>
              </w:rPr>
            </w:pPr>
            <w:r>
              <w:rPr>
                <w:rFonts w:hint="eastAsia" w:ascii="宋体" w:hAnsi="宋体" w:cs="宋体"/>
              </w:rPr>
              <w:t>节字标</w:t>
            </w:r>
          </w:p>
          <w:p w14:paraId="27D46AFE">
            <w:pPr>
              <w:widowControl w:val="0"/>
              <w:spacing w:line="360" w:lineRule="auto"/>
              <w:jc w:val="center"/>
              <w:rPr>
                <w:rFonts w:hint="eastAsia" w:ascii="宋体" w:hAnsi="宋体" w:cs="宋体"/>
              </w:rPr>
            </w:pPr>
            <w:r>
              <w:rPr>
                <w:rFonts w:hint="eastAsia" w:ascii="宋体" w:hAnsi="宋体" w:cs="宋体"/>
              </w:rPr>
              <w:t>志认证</w:t>
            </w:r>
          </w:p>
          <w:p w14:paraId="426C8593">
            <w:pPr>
              <w:widowControl w:val="0"/>
              <w:spacing w:line="360" w:lineRule="auto"/>
              <w:jc w:val="center"/>
              <w:rPr>
                <w:rFonts w:hint="eastAsia" w:ascii="宋体" w:hAnsi="宋体" w:cs="宋体"/>
              </w:rPr>
            </w:pPr>
            <w:r>
              <w:rPr>
                <w:rFonts w:hint="eastAsia" w:ascii="宋体" w:hAnsi="宋体" w:cs="宋体"/>
              </w:rPr>
              <w:t>证书号</w:t>
            </w:r>
          </w:p>
        </w:tc>
        <w:tc>
          <w:tcPr>
            <w:tcW w:w="1723" w:type="dxa"/>
            <w:noWrap w:val="0"/>
            <w:vAlign w:val="top"/>
          </w:tcPr>
          <w:p w14:paraId="4967CA9C">
            <w:pPr>
              <w:widowControl w:val="0"/>
              <w:spacing w:line="360" w:lineRule="auto"/>
              <w:rPr>
                <w:rFonts w:hint="eastAsia" w:ascii="宋体" w:hAnsi="宋体" w:cs="宋体"/>
              </w:rPr>
            </w:pPr>
            <w:r>
              <w:rPr>
                <w:rFonts w:hint="eastAsia" w:ascii="宋体" w:hAnsi="宋体" w:cs="宋体"/>
              </w:rPr>
              <w:t xml:space="preserve">国家节能产品认证证书有效截止日期 </w:t>
            </w:r>
          </w:p>
        </w:tc>
        <w:tc>
          <w:tcPr>
            <w:tcW w:w="600" w:type="dxa"/>
            <w:noWrap w:val="0"/>
            <w:vAlign w:val="top"/>
          </w:tcPr>
          <w:p w14:paraId="367C67AE">
            <w:pPr>
              <w:widowControl w:val="0"/>
              <w:spacing w:line="360" w:lineRule="auto"/>
              <w:jc w:val="center"/>
              <w:rPr>
                <w:rFonts w:hint="eastAsia" w:ascii="宋体" w:hAnsi="宋体" w:cs="宋体"/>
              </w:rPr>
            </w:pPr>
            <w:r>
              <w:rPr>
                <w:rFonts w:hint="eastAsia" w:ascii="宋体" w:hAnsi="宋体" w:cs="宋体"/>
              </w:rPr>
              <w:t>数量</w:t>
            </w:r>
          </w:p>
        </w:tc>
        <w:tc>
          <w:tcPr>
            <w:tcW w:w="600" w:type="dxa"/>
            <w:noWrap w:val="0"/>
            <w:vAlign w:val="top"/>
          </w:tcPr>
          <w:p w14:paraId="2FCC5172">
            <w:pPr>
              <w:widowControl w:val="0"/>
              <w:spacing w:line="360" w:lineRule="auto"/>
              <w:jc w:val="center"/>
              <w:rPr>
                <w:rFonts w:hint="eastAsia" w:ascii="宋体" w:hAnsi="宋体" w:cs="宋体"/>
              </w:rPr>
            </w:pPr>
            <w:r>
              <w:rPr>
                <w:rFonts w:hint="eastAsia" w:ascii="宋体" w:hAnsi="宋体" w:cs="宋体"/>
              </w:rPr>
              <w:t>单价</w:t>
            </w:r>
          </w:p>
        </w:tc>
        <w:tc>
          <w:tcPr>
            <w:tcW w:w="643" w:type="dxa"/>
            <w:noWrap w:val="0"/>
            <w:vAlign w:val="top"/>
          </w:tcPr>
          <w:p w14:paraId="509A0BEA">
            <w:pPr>
              <w:widowControl w:val="0"/>
              <w:spacing w:line="360" w:lineRule="auto"/>
              <w:jc w:val="center"/>
              <w:rPr>
                <w:rFonts w:hint="eastAsia" w:ascii="宋体" w:hAnsi="宋体" w:cs="宋体"/>
              </w:rPr>
            </w:pPr>
            <w:r>
              <w:rPr>
                <w:rFonts w:hint="eastAsia" w:ascii="宋体" w:hAnsi="宋体" w:cs="宋体"/>
              </w:rPr>
              <w:t>总价</w:t>
            </w:r>
          </w:p>
        </w:tc>
      </w:tr>
      <w:tr w14:paraId="3E4A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3C7AF57A">
            <w:pPr>
              <w:widowControl w:val="0"/>
              <w:spacing w:line="360" w:lineRule="auto"/>
              <w:jc w:val="center"/>
              <w:rPr>
                <w:rFonts w:hint="eastAsia" w:ascii="宋体" w:hAnsi="宋体" w:cs="宋体"/>
              </w:rPr>
            </w:pPr>
          </w:p>
        </w:tc>
        <w:tc>
          <w:tcPr>
            <w:tcW w:w="789" w:type="dxa"/>
            <w:noWrap w:val="0"/>
            <w:vAlign w:val="top"/>
          </w:tcPr>
          <w:p w14:paraId="28E23E71">
            <w:pPr>
              <w:widowControl w:val="0"/>
              <w:spacing w:line="360" w:lineRule="auto"/>
              <w:jc w:val="center"/>
              <w:rPr>
                <w:rFonts w:hint="eastAsia" w:ascii="宋体" w:hAnsi="宋体" w:cs="宋体"/>
              </w:rPr>
            </w:pPr>
          </w:p>
        </w:tc>
        <w:tc>
          <w:tcPr>
            <w:tcW w:w="771" w:type="dxa"/>
            <w:noWrap w:val="0"/>
            <w:vAlign w:val="top"/>
          </w:tcPr>
          <w:p w14:paraId="3BD84C6C">
            <w:pPr>
              <w:widowControl w:val="0"/>
              <w:spacing w:line="360" w:lineRule="auto"/>
              <w:jc w:val="center"/>
              <w:rPr>
                <w:rFonts w:hint="eastAsia" w:ascii="宋体" w:hAnsi="宋体" w:cs="宋体"/>
              </w:rPr>
            </w:pPr>
          </w:p>
        </w:tc>
        <w:tc>
          <w:tcPr>
            <w:tcW w:w="814" w:type="dxa"/>
            <w:noWrap w:val="0"/>
            <w:vAlign w:val="top"/>
          </w:tcPr>
          <w:p w14:paraId="7A958132">
            <w:pPr>
              <w:widowControl w:val="0"/>
              <w:spacing w:line="360" w:lineRule="auto"/>
              <w:jc w:val="center"/>
              <w:rPr>
                <w:rFonts w:hint="eastAsia" w:ascii="宋体" w:hAnsi="宋体" w:cs="宋体"/>
              </w:rPr>
            </w:pPr>
          </w:p>
        </w:tc>
        <w:tc>
          <w:tcPr>
            <w:tcW w:w="1012" w:type="dxa"/>
            <w:noWrap w:val="0"/>
            <w:vAlign w:val="top"/>
          </w:tcPr>
          <w:p w14:paraId="308A7A3F">
            <w:pPr>
              <w:widowControl w:val="0"/>
              <w:spacing w:line="360" w:lineRule="auto"/>
              <w:jc w:val="center"/>
              <w:rPr>
                <w:rFonts w:hint="eastAsia" w:ascii="宋体" w:hAnsi="宋体" w:cs="宋体"/>
              </w:rPr>
            </w:pPr>
          </w:p>
        </w:tc>
        <w:tc>
          <w:tcPr>
            <w:tcW w:w="1723" w:type="dxa"/>
            <w:noWrap w:val="0"/>
            <w:vAlign w:val="top"/>
          </w:tcPr>
          <w:p w14:paraId="3C8533C7">
            <w:pPr>
              <w:widowControl w:val="0"/>
              <w:spacing w:line="360" w:lineRule="auto"/>
              <w:jc w:val="center"/>
              <w:rPr>
                <w:rFonts w:hint="eastAsia" w:ascii="宋体" w:hAnsi="宋体" w:cs="宋体"/>
              </w:rPr>
            </w:pPr>
          </w:p>
        </w:tc>
        <w:tc>
          <w:tcPr>
            <w:tcW w:w="600" w:type="dxa"/>
            <w:noWrap w:val="0"/>
            <w:vAlign w:val="top"/>
          </w:tcPr>
          <w:p w14:paraId="3040492A">
            <w:pPr>
              <w:widowControl w:val="0"/>
              <w:spacing w:line="360" w:lineRule="auto"/>
              <w:jc w:val="center"/>
              <w:rPr>
                <w:rFonts w:hint="eastAsia" w:ascii="宋体" w:hAnsi="宋体" w:cs="宋体"/>
              </w:rPr>
            </w:pPr>
          </w:p>
        </w:tc>
        <w:tc>
          <w:tcPr>
            <w:tcW w:w="600" w:type="dxa"/>
            <w:noWrap w:val="0"/>
            <w:vAlign w:val="top"/>
          </w:tcPr>
          <w:p w14:paraId="3B7803C9">
            <w:pPr>
              <w:widowControl w:val="0"/>
              <w:spacing w:line="360" w:lineRule="auto"/>
              <w:jc w:val="center"/>
              <w:rPr>
                <w:rFonts w:hint="eastAsia" w:ascii="宋体" w:hAnsi="宋体" w:cs="宋体"/>
              </w:rPr>
            </w:pPr>
          </w:p>
        </w:tc>
        <w:tc>
          <w:tcPr>
            <w:tcW w:w="643" w:type="dxa"/>
            <w:noWrap w:val="0"/>
            <w:vAlign w:val="top"/>
          </w:tcPr>
          <w:p w14:paraId="5A2A09FE">
            <w:pPr>
              <w:widowControl w:val="0"/>
              <w:spacing w:line="360" w:lineRule="auto"/>
              <w:jc w:val="center"/>
              <w:rPr>
                <w:rFonts w:hint="eastAsia" w:ascii="宋体" w:hAnsi="宋体" w:cs="宋体"/>
              </w:rPr>
            </w:pPr>
          </w:p>
        </w:tc>
      </w:tr>
      <w:tr w14:paraId="25B5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4D5A3274">
            <w:pPr>
              <w:widowControl w:val="0"/>
              <w:spacing w:line="360" w:lineRule="auto"/>
              <w:jc w:val="center"/>
              <w:rPr>
                <w:rFonts w:hint="eastAsia" w:ascii="宋体" w:hAnsi="宋体" w:cs="宋体"/>
              </w:rPr>
            </w:pPr>
          </w:p>
        </w:tc>
        <w:tc>
          <w:tcPr>
            <w:tcW w:w="789" w:type="dxa"/>
            <w:noWrap w:val="0"/>
            <w:vAlign w:val="top"/>
          </w:tcPr>
          <w:p w14:paraId="592FCE56">
            <w:pPr>
              <w:widowControl w:val="0"/>
              <w:spacing w:line="360" w:lineRule="auto"/>
              <w:jc w:val="center"/>
              <w:rPr>
                <w:rFonts w:hint="eastAsia" w:ascii="宋体" w:hAnsi="宋体" w:cs="宋体"/>
              </w:rPr>
            </w:pPr>
          </w:p>
        </w:tc>
        <w:tc>
          <w:tcPr>
            <w:tcW w:w="771" w:type="dxa"/>
            <w:noWrap w:val="0"/>
            <w:vAlign w:val="top"/>
          </w:tcPr>
          <w:p w14:paraId="074DC6CE">
            <w:pPr>
              <w:widowControl w:val="0"/>
              <w:spacing w:line="360" w:lineRule="auto"/>
              <w:jc w:val="center"/>
              <w:rPr>
                <w:rFonts w:hint="eastAsia" w:ascii="宋体" w:hAnsi="宋体" w:cs="宋体"/>
              </w:rPr>
            </w:pPr>
          </w:p>
        </w:tc>
        <w:tc>
          <w:tcPr>
            <w:tcW w:w="814" w:type="dxa"/>
            <w:noWrap w:val="0"/>
            <w:vAlign w:val="top"/>
          </w:tcPr>
          <w:p w14:paraId="45E8B251">
            <w:pPr>
              <w:widowControl w:val="0"/>
              <w:spacing w:line="360" w:lineRule="auto"/>
              <w:jc w:val="center"/>
              <w:rPr>
                <w:rFonts w:hint="eastAsia" w:ascii="宋体" w:hAnsi="宋体" w:cs="宋体"/>
              </w:rPr>
            </w:pPr>
          </w:p>
        </w:tc>
        <w:tc>
          <w:tcPr>
            <w:tcW w:w="1012" w:type="dxa"/>
            <w:noWrap w:val="0"/>
            <w:vAlign w:val="top"/>
          </w:tcPr>
          <w:p w14:paraId="4F6E58BE">
            <w:pPr>
              <w:widowControl w:val="0"/>
              <w:spacing w:line="360" w:lineRule="auto"/>
              <w:jc w:val="center"/>
              <w:rPr>
                <w:rFonts w:hint="eastAsia" w:ascii="宋体" w:hAnsi="宋体" w:cs="宋体"/>
              </w:rPr>
            </w:pPr>
          </w:p>
        </w:tc>
        <w:tc>
          <w:tcPr>
            <w:tcW w:w="1723" w:type="dxa"/>
            <w:noWrap w:val="0"/>
            <w:vAlign w:val="top"/>
          </w:tcPr>
          <w:p w14:paraId="6454F5F9">
            <w:pPr>
              <w:widowControl w:val="0"/>
              <w:spacing w:line="360" w:lineRule="auto"/>
              <w:jc w:val="center"/>
              <w:rPr>
                <w:rFonts w:hint="eastAsia" w:ascii="宋体" w:hAnsi="宋体" w:cs="宋体"/>
              </w:rPr>
            </w:pPr>
          </w:p>
        </w:tc>
        <w:tc>
          <w:tcPr>
            <w:tcW w:w="600" w:type="dxa"/>
            <w:noWrap w:val="0"/>
            <w:vAlign w:val="top"/>
          </w:tcPr>
          <w:p w14:paraId="18FDC894">
            <w:pPr>
              <w:widowControl w:val="0"/>
              <w:spacing w:line="360" w:lineRule="auto"/>
              <w:jc w:val="center"/>
              <w:rPr>
                <w:rFonts w:hint="eastAsia" w:ascii="宋体" w:hAnsi="宋体" w:cs="宋体"/>
              </w:rPr>
            </w:pPr>
          </w:p>
        </w:tc>
        <w:tc>
          <w:tcPr>
            <w:tcW w:w="600" w:type="dxa"/>
            <w:noWrap w:val="0"/>
            <w:vAlign w:val="top"/>
          </w:tcPr>
          <w:p w14:paraId="01CDF8B7">
            <w:pPr>
              <w:widowControl w:val="0"/>
              <w:spacing w:line="360" w:lineRule="auto"/>
              <w:jc w:val="center"/>
              <w:rPr>
                <w:rFonts w:hint="eastAsia" w:ascii="宋体" w:hAnsi="宋体" w:cs="宋体"/>
              </w:rPr>
            </w:pPr>
          </w:p>
        </w:tc>
        <w:tc>
          <w:tcPr>
            <w:tcW w:w="643" w:type="dxa"/>
            <w:noWrap w:val="0"/>
            <w:vAlign w:val="top"/>
          </w:tcPr>
          <w:p w14:paraId="00133993">
            <w:pPr>
              <w:widowControl w:val="0"/>
              <w:spacing w:line="360" w:lineRule="auto"/>
              <w:jc w:val="center"/>
              <w:rPr>
                <w:rFonts w:hint="eastAsia" w:ascii="宋体" w:hAnsi="宋体" w:cs="宋体"/>
              </w:rPr>
            </w:pPr>
          </w:p>
        </w:tc>
      </w:tr>
      <w:tr w14:paraId="69A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1B9D50F7">
            <w:pPr>
              <w:widowControl w:val="0"/>
              <w:spacing w:line="360" w:lineRule="auto"/>
              <w:jc w:val="center"/>
              <w:rPr>
                <w:rFonts w:hint="eastAsia" w:ascii="宋体" w:hAnsi="宋体" w:cs="宋体"/>
              </w:rPr>
            </w:pPr>
          </w:p>
        </w:tc>
        <w:tc>
          <w:tcPr>
            <w:tcW w:w="789" w:type="dxa"/>
            <w:noWrap w:val="0"/>
            <w:vAlign w:val="top"/>
          </w:tcPr>
          <w:p w14:paraId="29AE1F83">
            <w:pPr>
              <w:widowControl w:val="0"/>
              <w:spacing w:line="360" w:lineRule="auto"/>
              <w:jc w:val="center"/>
              <w:rPr>
                <w:rFonts w:hint="eastAsia" w:ascii="宋体" w:hAnsi="宋体" w:cs="宋体"/>
              </w:rPr>
            </w:pPr>
          </w:p>
        </w:tc>
        <w:tc>
          <w:tcPr>
            <w:tcW w:w="771" w:type="dxa"/>
            <w:noWrap w:val="0"/>
            <w:vAlign w:val="top"/>
          </w:tcPr>
          <w:p w14:paraId="05CD154C">
            <w:pPr>
              <w:widowControl w:val="0"/>
              <w:spacing w:line="360" w:lineRule="auto"/>
              <w:jc w:val="center"/>
              <w:rPr>
                <w:rFonts w:hint="eastAsia" w:ascii="宋体" w:hAnsi="宋体" w:cs="宋体"/>
              </w:rPr>
            </w:pPr>
          </w:p>
        </w:tc>
        <w:tc>
          <w:tcPr>
            <w:tcW w:w="814" w:type="dxa"/>
            <w:noWrap w:val="0"/>
            <w:vAlign w:val="top"/>
          </w:tcPr>
          <w:p w14:paraId="048874A5">
            <w:pPr>
              <w:widowControl w:val="0"/>
              <w:spacing w:line="360" w:lineRule="auto"/>
              <w:jc w:val="center"/>
              <w:rPr>
                <w:rFonts w:hint="eastAsia" w:ascii="宋体" w:hAnsi="宋体" w:cs="宋体"/>
              </w:rPr>
            </w:pPr>
          </w:p>
        </w:tc>
        <w:tc>
          <w:tcPr>
            <w:tcW w:w="1012" w:type="dxa"/>
            <w:noWrap w:val="0"/>
            <w:vAlign w:val="top"/>
          </w:tcPr>
          <w:p w14:paraId="38EFB6D3">
            <w:pPr>
              <w:widowControl w:val="0"/>
              <w:spacing w:line="360" w:lineRule="auto"/>
              <w:jc w:val="center"/>
              <w:rPr>
                <w:rFonts w:hint="eastAsia" w:ascii="宋体" w:hAnsi="宋体" w:cs="宋体"/>
              </w:rPr>
            </w:pPr>
          </w:p>
        </w:tc>
        <w:tc>
          <w:tcPr>
            <w:tcW w:w="1723" w:type="dxa"/>
            <w:noWrap w:val="0"/>
            <w:vAlign w:val="top"/>
          </w:tcPr>
          <w:p w14:paraId="32A861B9">
            <w:pPr>
              <w:widowControl w:val="0"/>
              <w:spacing w:line="360" w:lineRule="auto"/>
              <w:jc w:val="center"/>
              <w:rPr>
                <w:rFonts w:hint="eastAsia" w:ascii="宋体" w:hAnsi="宋体" w:cs="宋体"/>
              </w:rPr>
            </w:pPr>
          </w:p>
        </w:tc>
        <w:tc>
          <w:tcPr>
            <w:tcW w:w="600" w:type="dxa"/>
            <w:noWrap w:val="0"/>
            <w:vAlign w:val="top"/>
          </w:tcPr>
          <w:p w14:paraId="09C2FE4F">
            <w:pPr>
              <w:widowControl w:val="0"/>
              <w:spacing w:line="360" w:lineRule="auto"/>
              <w:jc w:val="center"/>
              <w:rPr>
                <w:rFonts w:hint="eastAsia" w:ascii="宋体" w:hAnsi="宋体" w:cs="宋体"/>
              </w:rPr>
            </w:pPr>
          </w:p>
        </w:tc>
        <w:tc>
          <w:tcPr>
            <w:tcW w:w="600" w:type="dxa"/>
            <w:noWrap w:val="0"/>
            <w:vAlign w:val="top"/>
          </w:tcPr>
          <w:p w14:paraId="4D761845">
            <w:pPr>
              <w:widowControl w:val="0"/>
              <w:spacing w:line="360" w:lineRule="auto"/>
              <w:jc w:val="center"/>
              <w:rPr>
                <w:rFonts w:hint="eastAsia" w:ascii="宋体" w:hAnsi="宋体" w:cs="宋体"/>
              </w:rPr>
            </w:pPr>
          </w:p>
        </w:tc>
        <w:tc>
          <w:tcPr>
            <w:tcW w:w="643" w:type="dxa"/>
            <w:noWrap w:val="0"/>
            <w:vAlign w:val="top"/>
          </w:tcPr>
          <w:p w14:paraId="7EF84267">
            <w:pPr>
              <w:widowControl w:val="0"/>
              <w:spacing w:line="360" w:lineRule="auto"/>
              <w:jc w:val="center"/>
              <w:rPr>
                <w:rFonts w:hint="eastAsia" w:ascii="宋体" w:hAnsi="宋体" w:cs="宋体"/>
              </w:rPr>
            </w:pPr>
          </w:p>
        </w:tc>
      </w:tr>
    </w:tbl>
    <w:p w14:paraId="1D5C0B56">
      <w:pPr>
        <w:spacing w:line="360" w:lineRule="auto"/>
        <w:rPr>
          <w:rFonts w:hint="eastAsia" w:ascii="宋体" w:hAnsi="宋体" w:cs="宋体"/>
        </w:rPr>
      </w:pPr>
      <w:r>
        <w:rPr>
          <w:rFonts w:hint="eastAsia" w:ascii="宋体" w:hAnsi="宋体" w:cs="宋体"/>
        </w:rPr>
        <w:t xml:space="preserve">法定代表人或被授权人（签字或盖章）： </w:t>
      </w:r>
    </w:p>
    <w:p w14:paraId="1D37AD6E">
      <w:pPr>
        <w:spacing w:line="360" w:lineRule="auto"/>
        <w:rPr>
          <w:rFonts w:hint="eastAsia" w:ascii="宋体" w:hAnsi="宋体" w:cs="宋体"/>
        </w:rPr>
      </w:pPr>
      <w:r>
        <w:rPr>
          <w:rFonts w:hint="eastAsia" w:ascii="宋体" w:hAnsi="宋体" w:cs="宋体"/>
        </w:rPr>
        <w:t xml:space="preserve">供应商（盖章）： </w:t>
      </w:r>
    </w:p>
    <w:p w14:paraId="0F34DAB4">
      <w:pPr>
        <w:spacing w:line="360" w:lineRule="auto"/>
        <w:rPr>
          <w:rFonts w:hint="eastAsia" w:ascii="宋体" w:hAnsi="宋体" w:cs="宋体"/>
        </w:rPr>
      </w:pPr>
      <w:r>
        <w:rPr>
          <w:rFonts w:hint="eastAsia" w:ascii="宋体" w:hAnsi="宋体" w:cs="宋体"/>
        </w:rPr>
        <w:t>日期：</w:t>
      </w:r>
    </w:p>
    <w:p w14:paraId="74F83BBB">
      <w:pPr>
        <w:spacing w:line="360" w:lineRule="auto"/>
        <w:jc w:val="center"/>
        <w:rPr>
          <w:rFonts w:hint="eastAsia" w:ascii="宋体" w:hAnsi="宋体" w:cs="宋体"/>
          <w:b/>
          <w:bCs/>
        </w:rPr>
      </w:pPr>
    </w:p>
    <w:p w14:paraId="65E010E4">
      <w:pPr>
        <w:spacing w:line="360" w:lineRule="auto"/>
        <w:jc w:val="center"/>
        <w:rPr>
          <w:rFonts w:hint="eastAsia" w:ascii="宋体" w:hAnsi="宋体" w:cs="宋体"/>
          <w:b/>
          <w:bCs/>
        </w:rPr>
      </w:pPr>
      <w:r>
        <w:rPr>
          <w:rFonts w:hint="eastAsia" w:ascii="宋体" w:hAnsi="宋体" w:cs="宋体"/>
          <w:b/>
          <w:bCs/>
        </w:rPr>
        <w:t>环境标志产品明细表</w:t>
      </w:r>
    </w:p>
    <w:p w14:paraId="1881B0A3">
      <w:pPr>
        <w:spacing w:line="360" w:lineRule="auto"/>
        <w:jc w:val="center"/>
        <w:rPr>
          <w:rFonts w:hint="eastAsia" w:ascii="宋体" w:hAnsi="宋体" w:cs="宋体"/>
          <w:b/>
          <w:bCs/>
        </w:rPr>
      </w:pPr>
    </w:p>
    <w:tbl>
      <w:tblPr>
        <w:tblStyle w:val="1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789"/>
        <w:gridCol w:w="771"/>
        <w:gridCol w:w="926"/>
        <w:gridCol w:w="1243"/>
        <w:gridCol w:w="1329"/>
        <w:gridCol w:w="600"/>
        <w:gridCol w:w="600"/>
        <w:gridCol w:w="643"/>
      </w:tblGrid>
      <w:tr w14:paraId="1C10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74" w:type="dxa"/>
            <w:noWrap w:val="0"/>
            <w:vAlign w:val="top"/>
          </w:tcPr>
          <w:p w14:paraId="1613AFEC">
            <w:pPr>
              <w:widowControl w:val="0"/>
              <w:spacing w:line="360" w:lineRule="auto"/>
              <w:jc w:val="center"/>
              <w:rPr>
                <w:rFonts w:hint="eastAsia" w:ascii="宋体" w:hAnsi="宋体" w:cs="宋体"/>
              </w:rPr>
            </w:pPr>
            <w:r>
              <w:rPr>
                <w:rFonts w:hint="eastAsia" w:ascii="宋体" w:hAnsi="宋体" w:cs="宋体"/>
              </w:rPr>
              <w:t>序号</w:t>
            </w:r>
          </w:p>
        </w:tc>
        <w:tc>
          <w:tcPr>
            <w:tcW w:w="789" w:type="dxa"/>
            <w:noWrap w:val="0"/>
            <w:vAlign w:val="top"/>
          </w:tcPr>
          <w:p w14:paraId="32AE4959">
            <w:pPr>
              <w:widowControl w:val="0"/>
              <w:spacing w:line="360" w:lineRule="auto"/>
              <w:jc w:val="center"/>
              <w:rPr>
                <w:rFonts w:hint="eastAsia" w:ascii="宋体" w:hAnsi="宋体" w:cs="宋体"/>
              </w:rPr>
            </w:pPr>
            <w:r>
              <w:rPr>
                <w:rFonts w:hint="eastAsia" w:ascii="宋体" w:hAnsi="宋体" w:cs="宋体"/>
              </w:rPr>
              <w:t>设备名称</w:t>
            </w:r>
          </w:p>
        </w:tc>
        <w:tc>
          <w:tcPr>
            <w:tcW w:w="771" w:type="dxa"/>
            <w:noWrap w:val="0"/>
            <w:vAlign w:val="top"/>
          </w:tcPr>
          <w:p w14:paraId="26F8967B">
            <w:pPr>
              <w:widowControl w:val="0"/>
              <w:spacing w:line="360" w:lineRule="auto"/>
              <w:jc w:val="center"/>
              <w:rPr>
                <w:rFonts w:hint="eastAsia" w:ascii="宋体" w:hAnsi="宋体" w:cs="宋体"/>
              </w:rPr>
            </w:pPr>
            <w:r>
              <w:rPr>
                <w:rFonts w:hint="eastAsia" w:ascii="宋体" w:hAnsi="宋体" w:cs="宋体"/>
              </w:rPr>
              <w:t xml:space="preserve">品牌 </w:t>
            </w:r>
          </w:p>
          <w:p w14:paraId="76F8A643">
            <w:pPr>
              <w:widowControl w:val="0"/>
              <w:spacing w:line="360" w:lineRule="auto"/>
              <w:jc w:val="center"/>
              <w:rPr>
                <w:rFonts w:hint="eastAsia" w:ascii="宋体" w:hAnsi="宋体" w:cs="宋体"/>
              </w:rPr>
            </w:pPr>
            <w:r>
              <w:rPr>
                <w:rFonts w:hint="eastAsia" w:ascii="宋体" w:hAnsi="宋体" w:cs="宋体"/>
              </w:rPr>
              <w:t>型号</w:t>
            </w:r>
          </w:p>
        </w:tc>
        <w:tc>
          <w:tcPr>
            <w:tcW w:w="926" w:type="dxa"/>
            <w:noWrap w:val="0"/>
            <w:vAlign w:val="top"/>
          </w:tcPr>
          <w:p w14:paraId="0C8793D6">
            <w:pPr>
              <w:widowControl w:val="0"/>
              <w:spacing w:line="360" w:lineRule="auto"/>
              <w:jc w:val="center"/>
              <w:rPr>
                <w:rFonts w:hint="eastAsia" w:ascii="宋体" w:hAnsi="宋体" w:cs="宋体"/>
              </w:rPr>
            </w:pPr>
            <w:r>
              <w:rPr>
                <w:rFonts w:hint="eastAsia" w:ascii="宋体" w:hAnsi="宋体" w:cs="宋体"/>
              </w:rPr>
              <w:t>制造商</w:t>
            </w:r>
          </w:p>
          <w:p w14:paraId="6343CB46">
            <w:pPr>
              <w:widowControl w:val="0"/>
              <w:spacing w:line="360" w:lineRule="auto"/>
              <w:jc w:val="center"/>
              <w:rPr>
                <w:rFonts w:hint="eastAsia" w:ascii="宋体" w:hAnsi="宋体" w:cs="宋体"/>
              </w:rPr>
            </w:pPr>
            <w:r>
              <w:rPr>
                <w:rFonts w:hint="eastAsia" w:ascii="宋体" w:hAnsi="宋体" w:cs="宋体"/>
              </w:rPr>
              <w:t>名称</w:t>
            </w:r>
          </w:p>
        </w:tc>
        <w:tc>
          <w:tcPr>
            <w:tcW w:w="1243" w:type="dxa"/>
            <w:noWrap w:val="0"/>
            <w:vAlign w:val="top"/>
          </w:tcPr>
          <w:p w14:paraId="302E3FA4">
            <w:pPr>
              <w:widowControl w:val="0"/>
              <w:spacing w:line="360" w:lineRule="auto"/>
              <w:jc w:val="center"/>
              <w:rPr>
                <w:rFonts w:hint="eastAsia" w:ascii="宋体" w:hAnsi="宋体" w:cs="宋体"/>
              </w:rPr>
            </w:pPr>
            <w:r>
              <w:rPr>
                <w:rFonts w:hint="eastAsia" w:ascii="宋体" w:hAnsi="宋体" w:cs="宋体"/>
              </w:rPr>
              <w:t>中国环境标志认证证书编号</w:t>
            </w:r>
          </w:p>
        </w:tc>
        <w:tc>
          <w:tcPr>
            <w:tcW w:w="1329" w:type="dxa"/>
            <w:noWrap w:val="0"/>
            <w:vAlign w:val="top"/>
          </w:tcPr>
          <w:p w14:paraId="08599C36">
            <w:pPr>
              <w:widowControl w:val="0"/>
              <w:spacing w:line="360" w:lineRule="auto"/>
              <w:jc w:val="both"/>
              <w:rPr>
                <w:rFonts w:hint="eastAsia" w:ascii="宋体" w:hAnsi="宋体" w:cs="宋体"/>
              </w:rPr>
            </w:pPr>
            <w:r>
              <w:rPr>
                <w:rFonts w:hint="eastAsia" w:ascii="宋体" w:hAnsi="宋体" w:cs="宋体"/>
              </w:rPr>
              <w:t xml:space="preserve">认证证书有效截止日期  </w:t>
            </w:r>
          </w:p>
        </w:tc>
        <w:tc>
          <w:tcPr>
            <w:tcW w:w="600" w:type="dxa"/>
            <w:noWrap w:val="0"/>
            <w:vAlign w:val="top"/>
          </w:tcPr>
          <w:p w14:paraId="6D3EC747">
            <w:pPr>
              <w:widowControl w:val="0"/>
              <w:spacing w:line="360" w:lineRule="auto"/>
              <w:jc w:val="center"/>
              <w:rPr>
                <w:rFonts w:hint="eastAsia" w:ascii="宋体" w:hAnsi="宋体" w:cs="宋体"/>
              </w:rPr>
            </w:pPr>
            <w:r>
              <w:rPr>
                <w:rFonts w:hint="eastAsia" w:ascii="宋体" w:hAnsi="宋体" w:cs="宋体"/>
              </w:rPr>
              <w:t>数量</w:t>
            </w:r>
          </w:p>
        </w:tc>
        <w:tc>
          <w:tcPr>
            <w:tcW w:w="600" w:type="dxa"/>
            <w:noWrap w:val="0"/>
            <w:vAlign w:val="top"/>
          </w:tcPr>
          <w:p w14:paraId="0C1472D7">
            <w:pPr>
              <w:widowControl w:val="0"/>
              <w:spacing w:line="360" w:lineRule="auto"/>
              <w:jc w:val="center"/>
              <w:rPr>
                <w:rFonts w:hint="eastAsia" w:ascii="宋体" w:hAnsi="宋体" w:cs="宋体"/>
              </w:rPr>
            </w:pPr>
            <w:r>
              <w:rPr>
                <w:rFonts w:hint="eastAsia" w:ascii="宋体" w:hAnsi="宋体" w:cs="宋体"/>
              </w:rPr>
              <w:t>单价</w:t>
            </w:r>
          </w:p>
        </w:tc>
        <w:tc>
          <w:tcPr>
            <w:tcW w:w="643" w:type="dxa"/>
            <w:noWrap w:val="0"/>
            <w:vAlign w:val="top"/>
          </w:tcPr>
          <w:p w14:paraId="729EDA50">
            <w:pPr>
              <w:widowControl w:val="0"/>
              <w:spacing w:line="360" w:lineRule="auto"/>
              <w:jc w:val="center"/>
              <w:rPr>
                <w:rFonts w:hint="eastAsia" w:ascii="宋体" w:hAnsi="宋体" w:cs="宋体"/>
              </w:rPr>
            </w:pPr>
            <w:r>
              <w:rPr>
                <w:rFonts w:hint="eastAsia" w:ascii="宋体" w:hAnsi="宋体" w:cs="宋体"/>
              </w:rPr>
              <w:t>总价</w:t>
            </w:r>
          </w:p>
        </w:tc>
      </w:tr>
      <w:tr w14:paraId="6BB8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0E3B2E78">
            <w:pPr>
              <w:widowControl w:val="0"/>
              <w:spacing w:line="360" w:lineRule="auto"/>
              <w:jc w:val="center"/>
              <w:rPr>
                <w:rFonts w:hint="eastAsia" w:ascii="宋体" w:hAnsi="宋体" w:cs="宋体"/>
              </w:rPr>
            </w:pPr>
          </w:p>
        </w:tc>
        <w:tc>
          <w:tcPr>
            <w:tcW w:w="789" w:type="dxa"/>
            <w:noWrap w:val="0"/>
            <w:vAlign w:val="top"/>
          </w:tcPr>
          <w:p w14:paraId="5DD32449">
            <w:pPr>
              <w:widowControl w:val="0"/>
              <w:spacing w:line="360" w:lineRule="auto"/>
              <w:jc w:val="center"/>
              <w:rPr>
                <w:rFonts w:hint="eastAsia" w:ascii="宋体" w:hAnsi="宋体" w:cs="宋体"/>
              </w:rPr>
            </w:pPr>
          </w:p>
        </w:tc>
        <w:tc>
          <w:tcPr>
            <w:tcW w:w="771" w:type="dxa"/>
            <w:noWrap w:val="0"/>
            <w:vAlign w:val="top"/>
          </w:tcPr>
          <w:p w14:paraId="5411F6C0">
            <w:pPr>
              <w:widowControl w:val="0"/>
              <w:spacing w:line="360" w:lineRule="auto"/>
              <w:jc w:val="center"/>
              <w:rPr>
                <w:rFonts w:hint="eastAsia" w:ascii="宋体" w:hAnsi="宋体" w:cs="宋体"/>
              </w:rPr>
            </w:pPr>
          </w:p>
        </w:tc>
        <w:tc>
          <w:tcPr>
            <w:tcW w:w="926" w:type="dxa"/>
            <w:noWrap w:val="0"/>
            <w:vAlign w:val="top"/>
          </w:tcPr>
          <w:p w14:paraId="188246F9">
            <w:pPr>
              <w:widowControl w:val="0"/>
              <w:spacing w:line="360" w:lineRule="auto"/>
              <w:jc w:val="center"/>
              <w:rPr>
                <w:rFonts w:hint="eastAsia" w:ascii="宋体" w:hAnsi="宋体" w:cs="宋体"/>
              </w:rPr>
            </w:pPr>
          </w:p>
        </w:tc>
        <w:tc>
          <w:tcPr>
            <w:tcW w:w="1243" w:type="dxa"/>
            <w:noWrap w:val="0"/>
            <w:vAlign w:val="top"/>
          </w:tcPr>
          <w:p w14:paraId="63FE5399">
            <w:pPr>
              <w:widowControl w:val="0"/>
              <w:spacing w:line="360" w:lineRule="auto"/>
              <w:jc w:val="center"/>
              <w:rPr>
                <w:rFonts w:hint="eastAsia" w:ascii="宋体" w:hAnsi="宋体" w:cs="宋体"/>
              </w:rPr>
            </w:pPr>
          </w:p>
        </w:tc>
        <w:tc>
          <w:tcPr>
            <w:tcW w:w="1329" w:type="dxa"/>
            <w:noWrap w:val="0"/>
            <w:vAlign w:val="top"/>
          </w:tcPr>
          <w:p w14:paraId="5526E148">
            <w:pPr>
              <w:widowControl w:val="0"/>
              <w:spacing w:line="360" w:lineRule="auto"/>
              <w:jc w:val="center"/>
              <w:rPr>
                <w:rFonts w:hint="eastAsia" w:ascii="宋体" w:hAnsi="宋体" w:cs="宋体"/>
              </w:rPr>
            </w:pPr>
          </w:p>
        </w:tc>
        <w:tc>
          <w:tcPr>
            <w:tcW w:w="600" w:type="dxa"/>
            <w:noWrap w:val="0"/>
            <w:vAlign w:val="top"/>
          </w:tcPr>
          <w:p w14:paraId="7B0674D0">
            <w:pPr>
              <w:widowControl w:val="0"/>
              <w:spacing w:line="360" w:lineRule="auto"/>
              <w:jc w:val="center"/>
              <w:rPr>
                <w:rFonts w:hint="eastAsia" w:ascii="宋体" w:hAnsi="宋体" w:cs="宋体"/>
              </w:rPr>
            </w:pPr>
          </w:p>
        </w:tc>
        <w:tc>
          <w:tcPr>
            <w:tcW w:w="600" w:type="dxa"/>
            <w:noWrap w:val="0"/>
            <w:vAlign w:val="top"/>
          </w:tcPr>
          <w:p w14:paraId="4F1DC296">
            <w:pPr>
              <w:widowControl w:val="0"/>
              <w:spacing w:line="360" w:lineRule="auto"/>
              <w:jc w:val="center"/>
              <w:rPr>
                <w:rFonts w:hint="eastAsia" w:ascii="宋体" w:hAnsi="宋体" w:cs="宋体"/>
              </w:rPr>
            </w:pPr>
          </w:p>
        </w:tc>
        <w:tc>
          <w:tcPr>
            <w:tcW w:w="643" w:type="dxa"/>
            <w:noWrap w:val="0"/>
            <w:vAlign w:val="top"/>
          </w:tcPr>
          <w:p w14:paraId="1DA0F2A3">
            <w:pPr>
              <w:widowControl w:val="0"/>
              <w:spacing w:line="360" w:lineRule="auto"/>
              <w:jc w:val="center"/>
              <w:rPr>
                <w:rFonts w:hint="eastAsia" w:ascii="宋体" w:hAnsi="宋体" w:cs="宋体"/>
              </w:rPr>
            </w:pPr>
          </w:p>
        </w:tc>
      </w:tr>
      <w:tr w14:paraId="33E7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140BF33E">
            <w:pPr>
              <w:widowControl w:val="0"/>
              <w:spacing w:line="360" w:lineRule="auto"/>
              <w:jc w:val="center"/>
              <w:rPr>
                <w:rFonts w:hint="eastAsia" w:ascii="宋体" w:hAnsi="宋体" w:cs="宋体"/>
              </w:rPr>
            </w:pPr>
          </w:p>
        </w:tc>
        <w:tc>
          <w:tcPr>
            <w:tcW w:w="789" w:type="dxa"/>
            <w:noWrap w:val="0"/>
            <w:vAlign w:val="top"/>
          </w:tcPr>
          <w:p w14:paraId="602B757A">
            <w:pPr>
              <w:widowControl w:val="0"/>
              <w:spacing w:line="360" w:lineRule="auto"/>
              <w:jc w:val="center"/>
              <w:rPr>
                <w:rFonts w:hint="eastAsia" w:ascii="宋体" w:hAnsi="宋体" w:cs="宋体"/>
              </w:rPr>
            </w:pPr>
          </w:p>
        </w:tc>
        <w:tc>
          <w:tcPr>
            <w:tcW w:w="771" w:type="dxa"/>
            <w:noWrap w:val="0"/>
            <w:vAlign w:val="top"/>
          </w:tcPr>
          <w:p w14:paraId="35FD570F">
            <w:pPr>
              <w:widowControl w:val="0"/>
              <w:spacing w:line="360" w:lineRule="auto"/>
              <w:jc w:val="center"/>
              <w:rPr>
                <w:rFonts w:hint="eastAsia" w:ascii="宋体" w:hAnsi="宋体" w:cs="宋体"/>
              </w:rPr>
            </w:pPr>
          </w:p>
        </w:tc>
        <w:tc>
          <w:tcPr>
            <w:tcW w:w="926" w:type="dxa"/>
            <w:noWrap w:val="0"/>
            <w:vAlign w:val="top"/>
          </w:tcPr>
          <w:p w14:paraId="4C5B663F">
            <w:pPr>
              <w:widowControl w:val="0"/>
              <w:spacing w:line="360" w:lineRule="auto"/>
              <w:jc w:val="center"/>
              <w:rPr>
                <w:rFonts w:hint="eastAsia" w:ascii="宋体" w:hAnsi="宋体" w:cs="宋体"/>
              </w:rPr>
            </w:pPr>
          </w:p>
        </w:tc>
        <w:tc>
          <w:tcPr>
            <w:tcW w:w="1243" w:type="dxa"/>
            <w:noWrap w:val="0"/>
            <w:vAlign w:val="top"/>
          </w:tcPr>
          <w:p w14:paraId="0BBABE97">
            <w:pPr>
              <w:widowControl w:val="0"/>
              <w:spacing w:line="360" w:lineRule="auto"/>
              <w:jc w:val="center"/>
              <w:rPr>
                <w:rFonts w:hint="eastAsia" w:ascii="宋体" w:hAnsi="宋体" w:cs="宋体"/>
              </w:rPr>
            </w:pPr>
          </w:p>
        </w:tc>
        <w:tc>
          <w:tcPr>
            <w:tcW w:w="1329" w:type="dxa"/>
            <w:noWrap w:val="0"/>
            <w:vAlign w:val="top"/>
          </w:tcPr>
          <w:p w14:paraId="156BF093">
            <w:pPr>
              <w:widowControl w:val="0"/>
              <w:spacing w:line="360" w:lineRule="auto"/>
              <w:jc w:val="center"/>
              <w:rPr>
                <w:rFonts w:hint="eastAsia" w:ascii="宋体" w:hAnsi="宋体" w:cs="宋体"/>
              </w:rPr>
            </w:pPr>
          </w:p>
        </w:tc>
        <w:tc>
          <w:tcPr>
            <w:tcW w:w="600" w:type="dxa"/>
            <w:noWrap w:val="0"/>
            <w:vAlign w:val="top"/>
          </w:tcPr>
          <w:p w14:paraId="384C85AA">
            <w:pPr>
              <w:widowControl w:val="0"/>
              <w:spacing w:line="360" w:lineRule="auto"/>
              <w:jc w:val="center"/>
              <w:rPr>
                <w:rFonts w:hint="eastAsia" w:ascii="宋体" w:hAnsi="宋体" w:cs="宋体"/>
              </w:rPr>
            </w:pPr>
          </w:p>
        </w:tc>
        <w:tc>
          <w:tcPr>
            <w:tcW w:w="600" w:type="dxa"/>
            <w:noWrap w:val="0"/>
            <w:vAlign w:val="top"/>
          </w:tcPr>
          <w:p w14:paraId="7C6A35C2">
            <w:pPr>
              <w:widowControl w:val="0"/>
              <w:spacing w:line="360" w:lineRule="auto"/>
              <w:jc w:val="center"/>
              <w:rPr>
                <w:rFonts w:hint="eastAsia" w:ascii="宋体" w:hAnsi="宋体" w:cs="宋体"/>
              </w:rPr>
            </w:pPr>
          </w:p>
        </w:tc>
        <w:tc>
          <w:tcPr>
            <w:tcW w:w="643" w:type="dxa"/>
            <w:noWrap w:val="0"/>
            <w:vAlign w:val="top"/>
          </w:tcPr>
          <w:p w14:paraId="51A6037A">
            <w:pPr>
              <w:widowControl w:val="0"/>
              <w:spacing w:line="360" w:lineRule="auto"/>
              <w:jc w:val="center"/>
              <w:rPr>
                <w:rFonts w:hint="eastAsia" w:ascii="宋体" w:hAnsi="宋体" w:cs="宋体"/>
              </w:rPr>
            </w:pPr>
          </w:p>
        </w:tc>
      </w:tr>
      <w:tr w14:paraId="60D8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noWrap w:val="0"/>
            <w:vAlign w:val="top"/>
          </w:tcPr>
          <w:p w14:paraId="5D6D0679">
            <w:pPr>
              <w:widowControl w:val="0"/>
              <w:spacing w:line="360" w:lineRule="auto"/>
              <w:jc w:val="center"/>
              <w:rPr>
                <w:rFonts w:hint="eastAsia" w:ascii="宋体" w:hAnsi="宋体" w:cs="宋体"/>
              </w:rPr>
            </w:pPr>
          </w:p>
        </w:tc>
        <w:tc>
          <w:tcPr>
            <w:tcW w:w="789" w:type="dxa"/>
            <w:noWrap w:val="0"/>
            <w:vAlign w:val="top"/>
          </w:tcPr>
          <w:p w14:paraId="78F449B7">
            <w:pPr>
              <w:widowControl w:val="0"/>
              <w:spacing w:line="360" w:lineRule="auto"/>
              <w:jc w:val="center"/>
              <w:rPr>
                <w:rFonts w:hint="eastAsia" w:ascii="宋体" w:hAnsi="宋体" w:cs="宋体"/>
              </w:rPr>
            </w:pPr>
          </w:p>
        </w:tc>
        <w:tc>
          <w:tcPr>
            <w:tcW w:w="771" w:type="dxa"/>
            <w:noWrap w:val="0"/>
            <w:vAlign w:val="top"/>
          </w:tcPr>
          <w:p w14:paraId="1987C649">
            <w:pPr>
              <w:widowControl w:val="0"/>
              <w:spacing w:line="360" w:lineRule="auto"/>
              <w:jc w:val="center"/>
              <w:rPr>
                <w:rFonts w:hint="eastAsia" w:ascii="宋体" w:hAnsi="宋体" w:cs="宋体"/>
              </w:rPr>
            </w:pPr>
          </w:p>
        </w:tc>
        <w:tc>
          <w:tcPr>
            <w:tcW w:w="926" w:type="dxa"/>
            <w:noWrap w:val="0"/>
            <w:vAlign w:val="top"/>
          </w:tcPr>
          <w:p w14:paraId="1CDC28DB">
            <w:pPr>
              <w:widowControl w:val="0"/>
              <w:spacing w:line="360" w:lineRule="auto"/>
              <w:jc w:val="center"/>
              <w:rPr>
                <w:rFonts w:hint="eastAsia" w:ascii="宋体" w:hAnsi="宋体" w:cs="宋体"/>
              </w:rPr>
            </w:pPr>
          </w:p>
        </w:tc>
        <w:tc>
          <w:tcPr>
            <w:tcW w:w="1243" w:type="dxa"/>
            <w:noWrap w:val="0"/>
            <w:vAlign w:val="top"/>
          </w:tcPr>
          <w:p w14:paraId="5CEC6566">
            <w:pPr>
              <w:widowControl w:val="0"/>
              <w:spacing w:line="360" w:lineRule="auto"/>
              <w:jc w:val="center"/>
              <w:rPr>
                <w:rFonts w:hint="eastAsia" w:ascii="宋体" w:hAnsi="宋体" w:cs="宋体"/>
              </w:rPr>
            </w:pPr>
          </w:p>
        </w:tc>
        <w:tc>
          <w:tcPr>
            <w:tcW w:w="1329" w:type="dxa"/>
            <w:noWrap w:val="0"/>
            <w:vAlign w:val="top"/>
          </w:tcPr>
          <w:p w14:paraId="500D6D3F">
            <w:pPr>
              <w:widowControl w:val="0"/>
              <w:spacing w:line="360" w:lineRule="auto"/>
              <w:jc w:val="center"/>
              <w:rPr>
                <w:rFonts w:hint="eastAsia" w:ascii="宋体" w:hAnsi="宋体" w:cs="宋体"/>
              </w:rPr>
            </w:pPr>
          </w:p>
        </w:tc>
        <w:tc>
          <w:tcPr>
            <w:tcW w:w="600" w:type="dxa"/>
            <w:noWrap w:val="0"/>
            <w:vAlign w:val="top"/>
          </w:tcPr>
          <w:p w14:paraId="08B6F2C5">
            <w:pPr>
              <w:widowControl w:val="0"/>
              <w:spacing w:line="360" w:lineRule="auto"/>
              <w:jc w:val="center"/>
              <w:rPr>
                <w:rFonts w:hint="eastAsia" w:ascii="宋体" w:hAnsi="宋体" w:cs="宋体"/>
              </w:rPr>
            </w:pPr>
          </w:p>
        </w:tc>
        <w:tc>
          <w:tcPr>
            <w:tcW w:w="600" w:type="dxa"/>
            <w:noWrap w:val="0"/>
            <w:vAlign w:val="top"/>
          </w:tcPr>
          <w:p w14:paraId="0B27EB92">
            <w:pPr>
              <w:widowControl w:val="0"/>
              <w:spacing w:line="360" w:lineRule="auto"/>
              <w:jc w:val="center"/>
              <w:rPr>
                <w:rFonts w:hint="eastAsia" w:ascii="宋体" w:hAnsi="宋体" w:cs="宋体"/>
              </w:rPr>
            </w:pPr>
          </w:p>
        </w:tc>
        <w:tc>
          <w:tcPr>
            <w:tcW w:w="643" w:type="dxa"/>
            <w:noWrap w:val="0"/>
            <w:vAlign w:val="top"/>
          </w:tcPr>
          <w:p w14:paraId="621945AF">
            <w:pPr>
              <w:widowControl w:val="0"/>
              <w:spacing w:line="360" w:lineRule="auto"/>
              <w:jc w:val="center"/>
              <w:rPr>
                <w:rFonts w:hint="eastAsia" w:ascii="宋体" w:hAnsi="宋体" w:cs="宋体"/>
              </w:rPr>
            </w:pPr>
          </w:p>
        </w:tc>
      </w:tr>
    </w:tbl>
    <w:p w14:paraId="4D2D7CEA">
      <w:pPr>
        <w:spacing w:line="360" w:lineRule="auto"/>
        <w:rPr>
          <w:rFonts w:hint="eastAsia" w:ascii="宋体" w:hAnsi="宋体" w:cs="宋体"/>
        </w:rPr>
      </w:pPr>
      <w:r>
        <w:rPr>
          <w:rFonts w:hint="eastAsia" w:ascii="宋体" w:hAnsi="宋体" w:cs="宋体"/>
        </w:rPr>
        <w:t xml:space="preserve">法定代表人或授权代表（签字）： </w:t>
      </w:r>
    </w:p>
    <w:p w14:paraId="30E8AB55">
      <w:pPr>
        <w:spacing w:line="360" w:lineRule="auto"/>
        <w:rPr>
          <w:rFonts w:hint="eastAsia" w:ascii="宋体" w:hAnsi="宋体" w:cs="宋体"/>
        </w:rPr>
      </w:pPr>
      <w:r>
        <w:rPr>
          <w:rFonts w:hint="eastAsia" w:ascii="宋体" w:hAnsi="宋体" w:cs="宋体"/>
        </w:rPr>
        <w:t xml:space="preserve">供应商（盖章）： </w:t>
      </w:r>
    </w:p>
    <w:p w14:paraId="5ED48C9A">
      <w:pPr>
        <w:spacing w:line="360" w:lineRule="auto"/>
        <w:rPr>
          <w:rFonts w:hint="eastAsia" w:ascii="宋体" w:hAnsi="宋体" w:cs="宋体"/>
        </w:rPr>
      </w:pPr>
      <w:r>
        <w:rPr>
          <w:rFonts w:hint="eastAsia" w:ascii="宋体" w:hAnsi="宋体" w:cs="宋体"/>
        </w:rPr>
        <w:t>日期：</w:t>
      </w:r>
    </w:p>
    <w:p w14:paraId="2949A945">
      <w:pPr>
        <w:spacing w:line="360" w:lineRule="auto"/>
        <w:rPr>
          <w:rFonts w:hint="eastAsia" w:ascii="宋体" w:hAnsi="宋体" w:cs="宋体"/>
        </w:rPr>
      </w:pPr>
      <w:r>
        <w:rPr>
          <w:rFonts w:hint="eastAsia" w:ascii="宋体" w:hAnsi="宋体" w:cs="宋体"/>
        </w:rPr>
        <w:t xml:space="preserve">填报要求： </w:t>
      </w:r>
    </w:p>
    <w:p w14:paraId="4CD631A8">
      <w:pPr>
        <w:spacing w:line="360" w:lineRule="auto"/>
        <w:ind w:firstLine="420" w:firstLineChars="200"/>
        <w:rPr>
          <w:rFonts w:hint="eastAsia" w:ascii="宋体" w:hAnsi="宋体" w:cs="宋体"/>
        </w:rPr>
      </w:pPr>
      <w:r>
        <w:rPr>
          <w:rFonts w:hint="eastAsia" w:ascii="宋体" w:hAnsi="宋体" w:cs="宋体"/>
        </w:rPr>
        <w:t xml:space="preserve">1. 本表的设备名称、品牌型号、金额应与货物分项报价一览表一致。 </w:t>
      </w:r>
    </w:p>
    <w:p w14:paraId="409BCCA5">
      <w:pPr>
        <w:spacing w:line="360" w:lineRule="auto"/>
        <w:ind w:firstLine="420" w:firstLineChars="200"/>
        <w:rPr>
          <w:rFonts w:hint="eastAsia" w:ascii="宋体" w:hAnsi="宋体" w:cs="宋体"/>
        </w:rPr>
      </w:pPr>
      <w:r>
        <w:rPr>
          <w:rFonts w:hint="eastAsia" w:ascii="宋体" w:hAnsi="宋体" w:cs="宋体"/>
        </w:rPr>
        <w:t>2. 国家相关部委针对节能产品、环境标志产品出台了相关调整优化政府采购执行机制，相继颁布《财政部发展改革委 生态环境部 市场监管总局 关于调整优化节能产品、环境标志产品政府采购执行机制的通知》（财库〔2019〕9号）、《市场监管总局关于发布参与实施政府采购节能产品、环境标志产品认证机构名录的公告》（以下简称“机构名录”）、《关于印发节能产品政府采购品目清单的通知》（财库〔2019〕19号）（以下简称“节能清单”）、 《关于印发环境标志产品政府采购品目清单的通知》（财库〔2019〕18号）（以下简称“环保清单”）。</w:t>
      </w:r>
    </w:p>
    <w:p w14:paraId="6797D7C9">
      <w:pPr>
        <w:spacing w:line="360" w:lineRule="auto"/>
        <w:ind w:firstLine="420" w:firstLineChars="200"/>
        <w:rPr>
          <w:rFonts w:hint="eastAsia" w:ascii="宋体" w:hAnsi="宋体" w:cs="宋体"/>
        </w:rPr>
      </w:pPr>
      <w:r>
        <w:rPr>
          <w:rFonts w:hint="eastAsia" w:ascii="宋体" w:hAnsi="宋体" w:cs="宋体"/>
        </w:rPr>
        <w:t>采购人采购产品属于“节能清单”或“环保清单”范围内的，且供应商（投标人）所投产品具有经过“机构名录”中的认证机构出具的产品认证证书，在评标时予以优先采购。</w:t>
      </w:r>
    </w:p>
    <w:p w14:paraId="74F10766">
      <w:pPr>
        <w:spacing w:line="360" w:lineRule="auto"/>
        <w:ind w:firstLine="420" w:firstLineChars="200"/>
        <w:rPr>
          <w:rFonts w:hint="eastAsia" w:ascii="宋体" w:hAnsi="宋体" w:cs="宋体"/>
        </w:rPr>
      </w:pPr>
      <w:r>
        <w:rPr>
          <w:rFonts w:hint="eastAsia" w:ascii="宋体" w:hAnsi="宋体" w:cs="宋体"/>
        </w:rPr>
        <w:t>3. 请供应商正确填写本表，所填内容将作为评审的依据。其内容或数据应与对应的证明资料相符。</w:t>
      </w:r>
    </w:p>
    <w:p w14:paraId="2DA9895E">
      <w:pPr>
        <w:spacing w:line="360" w:lineRule="auto"/>
        <w:ind w:firstLine="420" w:firstLineChars="200"/>
        <w:rPr>
          <w:rFonts w:hint="eastAsia" w:ascii="宋体" w:hAnsi="宋体" w:cs="宋体"/>
        </w:rPr>
      </w:pPr>
      <w:r>
        <w:rPr>
          <w:rFonts w:hint="eastAsia" w:ascii="宋体" w:hAnsi="宋体" w:cs="宋体"/>
        </w:rPr>
        <w:t>4. 没有相关产品可不提供本表。</w:t>
      </w:r>
    </w:p>
    <w:p w14:paraId="4079088C">
      <w:pPr>
        <w:pStyle w:val="6"/>
        <w:numPr>
          <w:ilvl w:val="0"/>
          <w:numId w:val="0"/>
        </w:numPr>
        <w:ind w:leftChars="0"/>
      </w:pPr>
    </w:p>
    <w:p w14:paraId="1BE9D378">
      <w:pPr>
        <w:pStyle w:val="32"/>
      </w:pPr>
    </w:p>
    <w:p w14:paraId="28409A2A">
      <w:pPr>
        <w:numPr>
          <w:ilvl w:val="0"/>
          <w:numId w:val="0"/>
        </w:numPr>
        <w:rPr>
          <w:b/>
          <w:bCs/>
          <w:sz w:val="24"/>
          <w:szCs w:val="28"/>
        </w:rPr>
      </w:pPr>
      <w:r>
        <w:rPr>
          <w:rFonts w:hint="eastAsia"/>
          <w:b/>
          <w:bCs/>
          <w:sz w:val="24"/>
          <w:szCs w:val="28"/>
          <w:lang w:eastAsia="zh-CN"/>
        </w:rPr>
        <w:t>（</w:t>
      </w:r>
      <w:r>
        <w:rPr>
          <w:rFonts w:hint="eastAsia"/>
          <w:b/>
          <w:bCs/>
          <w:sz w:val="24"/>
          <w:szCs w:val="28"/>
          <w:lang w:val="en-US" w:eastAsia="zh-CN"/>
        </w:rPr>
        <w:t>三</w:t>
      </w:r>
      <w:r>
        <w:rPr>
          <w:rFonts w:hint="eastAsia"/>
          <w:b/>
          <w:bCs/>
          <w:sz w:val="24"/>
          <w:szCs w:val="28"/>
          <w:lang w:eastAsia="zh-CN"/>
        </w:rPr>
        <w:t>）</w:t>
      </w:r>
      <w:r>
        <w:rPr>
          <w:rFonts w:hint="eastAsia"/>
          <w:b/>
          <w:bCs/>
          <w:sz w:val="24"/>
          <w:szCs w:val="28"/>
        </w:rPr>
        <w:t>技术部分其他要求</w:t>
      </w:r>
    </w:p>
    <w:p w14:paraId="20BCA2B8">
      <w:pPr>
        <w:pStyle w:val="32"/>
      </w:pPr>
    </w:p>
    <w:p w14:paraId="26338D45">
      <w:pPr>
        <w:sectPr>
          <w:pgSz w:w="11906" w:h="16838"/>
          <w:pgMar w:top="1440" w:right="1800" w:bottom="1440" w:left="1800" w:header="851" w:footer="992" w:gutter="0"/>
          <w:cols w:space="720" w:num="1"/>
          <w:docGrid w:type="lines" w:linePitch="312" w:charSpace="0"/>
        </w:sectPr>
      </w:pPr>
      <w:r>
        <w:rPr>
          <w:rFonts w:hint="eastAsia"/>
        </w:rPr>
        <w:t>格式自拟</w:t>
      </w:r>
    </w:p>
    <w:p w14:paraId="1D4B86D6">
      <w:pPr>
        <w:pStyle w:val="3"/>
        <w:jc w:val="center"/>
      </w:pPr>
      <w:bookmarkStart w:id="176" w:name="_Toc14447"/>
      <w:r>
        <w:rPr>
          <w:rFonts w:hint="eastAsia"/>
        </w:rPr>
        <w:t>七、商务部分</w:t>
      </w:r>
    </w:p>
    <w:p w14:paraId="7EFD73A0">
      <w:pPr>
        <w:pStyle w:val="41"/>
        <w:spacing w:before="0" w:after="0" w:line="360" w:lineRule="auto"/>
        <w:ind w:left="0" w:firstLine="2891" w:firstLineChars="1200"/>
        <w:outlineLvl w:val="9"/>
        <w:rPr>
          <w:rFonts w:ascii="宋体" w:hAnsi="宋体" w:eastAsia="宋体"/>
          <w:b/>
          <w:bCs/>
          <w:sz w:val="24"/>
          <w:szCs w:val="24"/>
        </w:rPr>
      </w:pPr>
      <w:r>
        <w:rPr>
          <w:rFonts w:hint="eastAsia" w:ascii="宋体" w:hAnsi="宋体" w:eastAsia="宋体"/>
          <w:b/>
          <w:bCs/>
          <w:sz w:val="24"/>
          <w:szCs w:val="24"/>
        </w:rPr>
        <w:t>商务条款偏差一览表</w:t>
      </w:r>
    </w:p>
    <w:tbl>
      <w:tblPr>
        <w:tblStyle w:val="18"/>
        <w:tblW w:w="8858" w:type="dxa"/>
        <w:jc w:val="center"/>
        <w:tblLayout w:type="fixed"/>
        <w:tblCellMar>
          <w:top w:w="0" w:type="dxa"/>
          <w:left w:w="0" w:type="dxa"/>
          <w:bottom w:w="0" w:type="dxa"/>
          <w:right w:w="0" w:type="dxa"/>
        </w:tblCellMar>
      </w:tblPr>
      <w:tblGrid>
        <w:gridCol w:w="1033"/>
        <w:gridCol w:w="1932"/>
        <w:gridCol w:w="1471"/>
        <w:gridCol w:w="1471"/>
        <w:gridCol w:w="1471"/>
        <w:gridCol w:w="1480"/>
      </w:tblGrid>
      <w:tr w14:paraId="76AD5A43">
        <w:tblPrEx>
          <w:tblCellMar>
            <w:top w:w="0" w:type="dxa"/>
            <w:left w:w="0" w:type="dxa"/>
            <w:bottom w:w="0" w:type="dxa"/>
            <w:right w:w="0" w:type="dxa"/>
          </w:tblCellMar>
        </w:tblPrEx>
        <w:trPr>
          <w:trHeight w:val="814" w:hRule="exact"/>
          <w:jc w:val="center"/>
        </w:trPr>
        <w:tc>
          <w:tcPr>
            <w:tcW w:w="1033" w:type="dxa"/>
            <w:tcBorders>
              <w:top w:val="single" w:color="auto" w:sz="12" w:space="0"/>
              <w:left w:val="single" w:color="auto" w:sz="12" w:space="0"/>
              <w:bottom w:val="single" w:color="auto" w:sz="8" w:space="0"/>
              <w:right w:val="single" w:color="auto" w:sz="8" w:space="0"/>
            </w:tcBorders>
          </w:tcPr>
          <w:p w14:paraId="424352ED">
            <w:pPr>
              <w:autoSpaceDE w:val="0"/>
              <w:autoSpaceDN w:val="0"/>
              <w:ind w:right="9"/>
              <w:jc w:val="center"/>
              <w:rPr>
                <w:rFonts w:ascii="宋体" w:hAnsi="宋体" w:cs="宋体"/>
              </w:rPr>
            </w:pPr>
            <w:r>
              <w:rPr>
                <w:rFonts w:hint="eastAsia" w:ascii="宋体" w:hAnsi="宋体" w:cs="宋体"/>
              </w:rPr>
              <w:t>序号</w:t>
            </w:r>
          </w:p>
        </w:tc>
        <w:tc>
          <w:tcPr>
            <w:tcW w:w="1932" w:type="dxa"/>
            <w:tcBorders>
              <w:top w:val="single" w:color="auto" w:sz="12" w:space="0"/>
              <w:left w:val="single" w:color="auto" w:sz="8" w:space="0"/>
              <w:bottom w:val="single" w:color="auto" w:sz="8" w:space="0"/>
              <w:right w:val="single" w:color="auto" w:sz="8" w:space="0"/>
            </w:tcBorders>
          </w:tcPr>
          <w:p w14:paraId="430E971F">
            <w:pPr>
              <w:autoSpaceDE w:val="0"/>
              <w:autoSpaceDN w:val="0"/>
              <w:ind w:right="9"/>
              <w:jc w:val="center"/>
              <w:rPr>
                <w:rFonts w:ascii="宋体" w:hAnsi="宋体" w:cs="宋体"/>
              </w:rPr>
            </w:pPr>
            <w:r>
              <w:rPr>
                <w:rFonts w:hint="eastAsia" w:ascii="宋体" w:hAnsi="宋体" w:cs="宋体"/>
              </w:rPr>
              <w:t>项目</w:t>
            </w:r>
          </w:p>
        </w:tc>
        <w:tc>
          <w:tcPr>
            <w:tcW w:w="1471" w:type="dxa"/>
            <w:tcBorders>
              <w:top w:val="single" w:color="auto" w:sz="12" w:space="0"/>
              <w:left w:val="single" w:color="auto" w:sz="8" w:space="0"/>
              <w:bottom w:val="single" w:color="auto" w:sz="8" w:space="0"/>
              <w:right w:val="single" w:color="auto" w:sz="8" w:space="0"/>
            </w:tcBorders>
          </w:tcPr>
          <w:p w14:paraId="51261406">
            <w:pPr>
              <w:autoSpaceDE w:val="0"/>
              <w:autoSpaceDN w:val="0"/>
              <w:ind w:right="9" w:firstLine="480"/>
              <w:rPr>
                <w:rFonts w:ascii="宋体" w:hAnsi="宋体" w:cs="宋体"/>
              </w:rPr>
            </w:pPr>
            <w:r>
              <w:rPr>
                <w:rFonts w:hint="eastAsia" w:ascii="宋体" w:hAnsi="宋体" w:cs="宋体"/>
              </w:rPr>
              <w:t>标书要求</w:t>
            </w:r>
          </w:p>
        </w:tc>
        <w:tc>
          <w:tcPr>
            <w:tcW w:w="1471" w:type="dxa"/>
            <w:tcBorders>
              <w:top w:val="single" w:color="auto" w:sz="12" w:space="0"/>
              <w:left w:val="single" w:color="auto" w:sz="8" w:space="0"/>
              <w:bottom w:val="single" w:color="auto" w:sz="8" w:space="0"/>
              <w:right w:val="single" w:color="auto" w:sz="8" w:space="0"/>
            </w:tcBorders>
          </w:tcPr>
          <w:p w14:paraId="31FEC053">
            <w:pPr>
              <w:autoSpaceDE w:val="0"/>
              <w:autoSpaceDN w:val="0"/>
              <w:ind w:right="9" w:firstLine="480"/>
              <w:rPr>
                <w:rFonts w:ascii="宋体" w:hAnsi="宋体" w:cs="宋体"/>
              </w:rPr>
            </w:pPr>
            <w:r>
              <w:rPr>
                <w:rFonts w:hint="eastAsia" w:ascii="宋体" w:hAnsi="宋体" w:cs="宋体"/>
              </w:rPr>
              <w:t>投标响应</w:t>
            </w:r>
          </w:p>
        </w:tc>
        <w:tc>
          <w:tcPr>
            <w:tcW w:w="1471" w:type="dxa"/>
            <w:tcBorders>
              <w:top w:val="single" w:color="auto" w:sz="12" w:space="0"/>
              <w:left w:val="single" w:color="auto" w:sz="8" w:space="0"/>
              <w:bottom w:val="single" w:color="auto" w:sz="8" w:space="0"/>
              <w:right w:val="single" w:color="auto" w:sz="8" w:space="0"/>
            </w:tcBorders>
          </w:tcPr>
          <w:p w14:paraId="7F115CD7">
            <w:pPr>
              <w:autoSpaceDE w:val="0"/>
              <w:autoSpaceDN w:val="0"/>
              <w:ind w:right="9" w:firstLine="480"/>
              <w:rPr>
                <w:rFonts w:ascii="宋体" w:hAnsi="宋体" w:cs="宋体"/>
              </w:rPr>
            </w:pPr>
            <w:r>
              <w:rPr>
                <w:rFonts w:hint="eastAsia" w:ascii="宋体" w:hAnsi="宋体" w:cs="宋体"/>
              </w:rPr>
              <w:t>是否偏离</w:t>
            </w:r>
          </w:p>
        </w:tc>
        <w:tc>
          <w:tcPr>
            <w:tcW w:w="1480" w:type="dxa"/>
            <w:tcBorders>
              <w:top w:val="single" w:color="auto" w:sz="12" w:space="0"/>
              <w:left w:val="single" w:color="auto" w:sz="8" w:space="0"/>
              <w:bottom w:val="single" w:color="auto" w:sz="8" w:space="0"/>
              <w:right w:val="single" w:color="auto" w:sz="12" w:space="0"/>
            </w:tcBorders>
          </w:tcPr>
          <w:p w14:paraId="3193D421">
            <w:pPr>
              <w:autoSpaceDE w:val="0"/>
              <w:autoSpaceDN w:val="0"/>
              <w:ind w:left="9" w:right="9" w:firstLine="480"/>
              <w:jc w:val="center"/>
              <w:rPr>
                <w:rFonts w:ascii="宋体" w:hAnsi="宋体" w:cs="宋体"/>
              </w:rPr>
            </w:pPr>
            <w:r>
              <w:rPr>
                <w:rFonts w:hint="eastAsia" w:ascii="宋体" w:hAnsi="宋体" w:cs="宋体"/>
              </w:rPr>
              <w:t>备注</w:t>
            </w:r>
          </w:p>
        </w:tc>
      </w:tr>
      <w:tr w14:paraId="73FB86E1">
        <w:tblPrEx>
          <w:tblCellMar>
            <w:top w:w="0" w:type="dxa"/>
            <w:left w:w="0" w:type="dxa"/>
            <w:bottom w:w="0" w:type="dxa"/>
            <w:right w:w="0" w:type="dxa"/>
          </w:tblCellMar>
        </w:tblPrEx>
        <w:trPr>
          <w:trHeight w:val="872"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132A9F8A">
            <w:pPr>
              <w:autoSpaceDE w:val="0"/>
              <w:autoSpaceDN w:val="0"/>
              <w:ind w:left="9" w:right="9" w:firstLine="480"/>
              <w:jc w:val="left"/>
              <w:rPr>
                <w:rFonts w:ascii="宋体" w:hAnsi="宋体" w:cs="宋体"/>
              </w:rPr>
            </w:pPr>
            <w:r>
              <w:rPr>
                <w:rFonts w:hint="eastAsia" w:ascii="宋体" w:hAnsi="宋体" w:cs="宋体"/>
              </w:rPr>
              <w:t>l</w:t>
            </w:r>
          </w:p>
        </w:tc>
        <w:tc>
          <w:tcPr>
            <w:tcW w:w="1932" w:type="dxa"/>
            <w:tcBorders>
              <w:top w:val="single" w:color="auto" w:sz="8" w:space="0"/>
              <w:left w:val="single" w:color="auto" w:sz="8" w:space="0"/>
              <w:bottom w:val="single" w:color="auto" w:sz="8" w:space="0"/>
              <w:right w:val="single" w:color="auto" w:sz="8" w:space="0"/>
            </w:tcBorders>
            <w:vAlign w:val="center"/>
          </w:tcPr>
          <w:p w14:paraId="38A26C23">
            <w:pPr>
              <w:autoSpaceDE w:val="0"/>
              <w:autoSpaceDN w:val="0"/>
              <w:ind w:left="9" w:right="9" w:firstLine="480"/>
              <w:rPr>
                <w:rFonts w:ascii="宋体" w:hAnsi="宋体" w:cs="宋体"/>
              </w:rPr>
            </w:pPr>
            <w:r>
              <w:rPr>
                <w:rFonts w:hint="eastAsia" w:ascii="宋体" w:hAnsi="宋体" w:cs="宋体"/>
              </w:rPr>
              <w:t>质量</w:t>
            </w:r>
          </w:p>
        </w:tc>
        <w:tc>
          <w:tcPr>
            <w:tcW w:w="1471" w:type="dxa"/>
            <w:tcBorders>
              <w:top w:val="single" w:color="auto" w:sz="8" w:space="0"/>
              <w:left w:val="single" w:color="auto" w:sz="8" w:space="0"/>
              <w:bottom w:val="single" w:color="auto" w:sz="8" w:space="0"/>
              <w:right w:val="single" w:color="auto" w:sz="8" w:space="0"/>
            </w:tcBorders>
            <w:vAlign w:val="center"/>
          </w:tcPr>
          <w:p w14:paraId="1F5EBDD5">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7CFDF1A">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0B5DA7C1">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31AD9DCD">
            <w:pPr>
              <w:autoSpaceDE w:val="0"/>
              <w:autoSpaceDN w:val="0"/>
              <w:ind w:left="2" w:right="2" w:firstLine="480"/>
              <w:jc w:val="center"/>
              <w:rPr>
                <w:rFonts w:ascii="宋体" w:hAnsi="宋体" w:cs="宋体"/>
              </w:rPr>
            </w:pPr>
          </w:p>
        </w:tc>
      </w:tr>
      <w:tr w14:paraId="51EE6881">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6E7465BF">
            <w:pPr>
              <w:autoSpaceDE w:val="0"/>
              <w:autoSpaceDN w:val="0"/>
              <w:ind w:left="9" w:right="9" w:firstLine="480"/>
              <w:jc w:val="left"/>
              <w:rPr>
                <w:rFonts w:ascii="宋体" w:hAnsi="宋体" w:cs="宋体"/>
              </w:rPr>
            </w:pPr>
            <w:r>
              <w:rPr>
                <w:rFonts w:hint="eastAsia" w:ascii="宋体" w:hAnsi="宋体" w:cs="宋体"/>
              </w:rPr>
              <w:t>2</w:t>
            </w:r>
          </w:p>
        </w:tc>
        <w:tc>
          <w:tcPr>
            <w:tcW w:w="1932" w:type="dxa"/>
            <w:tcBorders>
              <w:top w:val="single" w:color="auto" w:sz="8" w:space="0"/>
              <w:left w:val="single" w:color="auto" w:sz="8" w:space="0"/>
              <w:bottom w:val="single" w:color="auto" w:sz="8" w:space="0"/>
              <w:right w:val="single" w:color="auto" w:sz="8" w:space="0"/>
            </w:tcBorders>
            <w:vAlign w:val="center"/>
          </w:tcPr>
          <w:p w14:paraId="78C70275">
            <w:pPr>
              <w:autoSpaceDE w:val="0"/>
              <w:autoSpaceDN w:val="0"/>
              <w:ind w:left="9" w:right="9" w:firstLine="480"/>
              <w:rPr>
                <w:rFonts w:ascii="宋体" w:hAnsi="宋体" w:cs="宋体"/>
              </w:rPr>
            </w:pPr>
            <w:r>
              <w:rPr>
                <w:rFonts w:hint="eastAsia" w:ascii="宋体" w:hAnsi="宋体" w:cs="宋体"/>
              </w:rPr>
              <w:t>交货时间</w:t>
            </w:r>
          </w:p>
        </w:tc>
        <w:tc>
          <w:tcPr>
            <w:tcW w:w="1471" w:type="dxa"/>
            <w:tcBorders>
              <w:top w:val="single" w:color="auto" w:sz="8" w:space="0"/>
              <w:left w:val="single" w:color="auto" w:sz="8" w:space="0"/>
              <w:bottom w:val="single" w:color="auto" w:sz="8" w:space="0"/>
              <w:right w:val="single" w:color="auto" w:sz="8" w:space="0"/>
            </w:tcBorders>
            <w:vAlign w:val="center"/>
          </w:tcPr>
          <w:p w14:paraId="48E3368E">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6A8D2330">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2904B95F">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1E3DF201">
            <w:pPr>
              <w:autoSpaceDE w:val="0"/>
              <w:autoSpaceDN w:val="0"/>
              <w:ind w:left="2" w:right="2" w:firstLine="480"/>
              <w:jc w:val="center"/>
              <w:rPr>
                <w:rFonts w:ascii="宋体" w:hAnsi="宋体" w:cs="宋体"/>
              </w:rPr>
            </w:pPr>
          </w:p>
        </w:tc>
      </w:tr>
      <w:tr w14:paraId="68787F4D">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20AB5B00">
            <w:pPr>
              <w:autoSpaceDE w:val="0"/>
              <w:autoSpaceDN w:val="0"/>
              <w:ind w:left="9" w:right="9" w:firstLine="480"/>
              <w:jc w:val="left"/>
              <w:rPr>
                <w:rFonts w:ascii="宋体" w:hAnsi="宋体" w:cs="宋体"/>
              </w:rPr>
            </w:pPr>
            <w:r>
              <w:rPr>
                <w:rFonts w:hint="eastAsia" w:ascii="宋体" w:hAnsi="宋体" w:cs="宋体"/>
              </w:rPr>
              <w:t>3</w:t>
            </w:r>
          </w:p>
        </w:tc>
        <w:tc>
          <w:tcPr>
            <w:tcW w:w="1932" w:type="dxa"/>
            <w:tcBorders>
              <w:top w:val="single" w:color="auto" w:sz="8" w:space="0"/>
              <w:left w:val="single" w:color="auto" w:sz="8" w:space="0"/>
              <w:bottom w:val="single" w:color="auto" w:sz="8" w:space="0"/>
              <w:right w:val="single" w:color="auto" w:sz="8" w:space="0"/>
            </w:tcBorders>
            <w:vAlign w:val="center"/>
          </w:tcPr>
          <w:p w14:paraId="55EE2F56">
            <w:pPr>
              <w:autoSpaceDE w:val="0"/>
              <w:autoSpaceDN w:val="0"/>
              <w:ind w:left="9" w:right="9" w:firstLine="480"/>
              <w:rPr>
                <w:rFonts w:ascii="宋体" w:hAnsi="宋体" w:cs="宋体"/>
              </w:rPr>
            </w:pPr>
            <w:r>
              <w:rPr>
                <w:rFonts w:hint="eastAsia" w:ascii="宋体" w:hAnsi="宋体" w:cs="宋体"/>
              </w:rPr>
              <w:t>投标有效期</w:t>
            </w:r>
          </w:p>
        </w:tc>
        <w:tc>
          <w:tcPr>
            <w:tcW w:w="1471" w:type="dxa"/>
            <w:tcBorders>
              <w:top w:val="single" w:color="auto" w:sz="8" w:space="0"/>
              <w:left w:val="single" w:color="auto" w:sz="8" w:space="0"/>
              <w:bottom w:val="single" w:color="auto" w:sz="8" w:space="0"/>
              <w:right w:val="single" w:color="auto" w:sz="8" w:space="0"/>
            </w:tcBorders>
            <w:vAlign w:val="center"/>
          </w:tcPr>
          <w:p w14:paraId="6DFB81B5">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1DF1C67C">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01AB08DF">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226E2BCE">
            <w:pPr>
              <w:autoSpaceDE w:val="0"/>
              <w:autoSpaceDN w:val="0"/>
              <w:ind w:left="2" w:right="2" w:firstLine="480"/>
              <w:jc w:val="center"/>
              <w:rPr>
                <w:rFonts w:ascii="宋体" w:hAnsi="宋体" w:cs="宋体"/>
              </w:rPr>
            </w:pPr>
          </w:p>
        </w:tc>
      </w:tr>
      <w:tr w14:paraId="33F57463">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0AB89656">
            <w:pPr>
              <w:autoSpaceDE w:val="0"/>
              <w:autoSpaceDN w:val="0"/>
              <w:ind w:left="9" w:right="9" w:firstLine="480"/>
              <w:jc w:val="left"/>
              <w:rPr>
                <w:rFonts w:ascii="宋体" w:hAnsi="宋体" w:cs="宋体"/>
              </w:rPr>
            </w:pPr>
            <w:r>
              <w:rPr>
                <w:rFonts w:hint="eastAsia" w:ascii="宋体" w:hAnsi="宋体" w:cs="宋体"/>
              </w:rPr>
              <w:t>4</w:t>
            </w:r>
          </w:p>
        </w:tc>
        <w:tc>
          <w:tcPr>
            <w:tcW w:w="1932" w:type="dxa"/>
            <w:tcBorders>
              <w:top w:val="single" w:color="auto" w:sz="8" w:space="0"/>
              <w:left w:val="single" w:color="auto" w:sz="8" w:space="0"/>
              <w:bottom w:val="single" w:color="auto" w:sz="8" w:space="0"/>
              <w:right w:val="single" w:color="auto" w:sz="8" w:space="0"/>
            </w:tcBorders>
            <w:vAlign w:val="center"/>
          </w:tcPr>
          <w:p w14:paraId="476E0527">
            <w:pPr>
              <w:autoSpaceDE w:val="0"/>
              <w:autoSpaceDN w:val="0"/>
              <w:ind w:left="9" w:right="9" w:firstLine="480"/>
              <w:rPr>
                <w:rFonts w:ascii="宋体" w:hAnsi="宋体" w:cs="宋体"/>
              </w:rPr>
            </w:pPr>
            <w:r>
              <w:rPr>
                <w:rFonts w:hint="eastAsia" w:ascii="宋体" w:hAnsi="宋体" w:cs="宋体"/>
              </w:rPr>
              <w:t>......</w:t>
            </w:r>
          </w:p>
        </w:tc>
        <w:tc>
          <w:tcPr>
            <w:tcW w:w="1471" w:type="dxa"/>
            <w:tcBorders>
              <w:top w:val="single" w:color="auto" w:sz="8" w:space="0"/>
              <w:left w:val="single" w:color="auto" w:sz="8" w:space="0"/>
              <w:bottom w:val="single" w:color="auto" w:sz="8" w:space="0"/>
              <w:right w:val="single" w:color="auto" w:sz="8" w:space="0"/>
            </w:tcBorders>
            <w:vAlign w:val="center"/>
          </w:tcPr>
          <w:p w14:paraId="01CE6F52">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62E19CF1">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419F0127">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52BB4831">
            <w:pPr>
              <w:autoSpaceDE w:val="0"/>
              <w:autoSpaceDN w:val="0"/>
              <w:ind w:left="2" w:right="2" w:firstLine="480"/>
              <w:jc w:val="center"/>
              <w:rPr>
                <w:rFonts w:ascii="宋体" w:hAnsi="宋体" w:cs="宋体"/>
              </w:rPr>
            </w:pPr>
          </w:p>
        </w:tc>
      </w:tr>
      <w:tr w14:paraId="38A2726E">
        <w:tblPrEx>
          <w:tblCellMar>
            <w:top w:w="0" w:type="dxa"/>
            <w:left w:w="0" w:type="dxa"/>
            <w:bottom w:w="0" w:type="dxa"/>
            <w:right w:w="0" w:type="dxa"/>
          </w:tblCellMar>
        </w:tblPrEx>
        <w:trPr>
          <w:trHeight w:val="84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240A283D">
            <w:pPr>
              <w:autoSpaceDE w:val="0"/>
              <w:autoSpaceDN w:val="0"/>
              <w:ind w:right="9"/>
              <w:jc w:val="center"/>
              <w:rPr>
                <w:rFonts w:ascii="宋体" w:hAnsi="宋体" w:cs="宋体"/>
              </w:rPr>
            </w:pPr>
            <w:r>
              <w:rPr>
                <w:rFonts w:hint="eastAsia" w:ascii="宋体" w:hAnsi="宋体" w:cs="宋体"/>
              </w:rPr>
              <w:t>...</w:t>
            </w:r>
          </w:p>
        </w:tc>
        <w:tc>
          <w:tcPr>
            <w:tcW w:w="1932" w:type="dxa"/>
            <w:tcBorders>
              <w:top w:val="single" w:color="auto" w:sz="8" w:space="0"/>
              <w:left w:val="single" w:color="auto" w:sz="8" w:space="0"/>
              <w:bottom w:val="single" w:color="auto" w:sz="8" w:space="0"/>
              <w:right w:val="single" w:color="auto" w:sz="8" w:space="0"/>
            </w:tcBorders>
            <w:vAlign w:val="center"/>
          </w:tcPr>
          <w:p w14:paraId="6F52C69E">
            <w:pPr>
              <w:autoSpaceDE w:val="0"/>
              <w:autoSpaceDN w:val="0"/>
              <w:ind w:left="9" w:right="9" w:firstLine="480"/>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6929106">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6DA93A5C">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28DFA94">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0FB9E196">
            <w:pPr>
              <w:autoSpaceDE w:val="0"/>
              <w:autoSpaceDN w:val="0"/>
              <w:ind w:left="2" w:right="2" w:firstLine="480"/>
              <w:jc w:val="center"/>
              <w:rPr>
                <w:rFonts w:ascii="宋体" w:hAnsi="宋体" w:cs="宋体"/>
              </w:rPr>
            </w:pPr>
          </w:p>
        </w:tc>
      </w:tr>
      <w:tr w14:paraId="75DA1ABF">
        <w:tblPrEx>
          <w:tblCellMar>
            <w:top w:w="0" w:type="dxa"/>
            <w:left w:w="0" w:type="dxa"/>
            <w:bottom w:w="0" w:type="dxa"/>
            <w:right w:w="0" w:type="dxa"/>
          </w:tblCellMar>
        </w:tblPrEx>
        <w:trPr>
          <w:trHeight w:val="878" w:hRule="atLeast"/>
          <w:jc w:val="center"/>
        </w:trPr>
        <w:tc>
          <w:tcPr>
            <w:tcW w:w="1033" w:type="dxa"/>
            <w:tcBorders>
              <w:top w:val="single" w:color="auto" w:sz="8" w:space="0"/>
              <w:left w:val="single" w:color="auto" w:sz="12" w:space="0"/>
              <w:bottom w:val="single" w:color="auto" w:sz="8" w:space="0"/>
              <w:right w:val="single" w:color="auto" w:sz="8" w:space="0"/>
            </w:tcBorders>
            <w:vAlign w:val="center"/>
          </w:tcPr>
          <w:p w14:paraId="14E778CC">
            <w:pPr>
              <w:autoSpaceDE w:val="0"/>
              <w:autoSpaceDN w:val="0"/>
              <w:ind w:right="9"/>
              <w:jc w:val="center"/>
              <w:rPr>
                <w:rFonts w:ascii="宋体" w:hAnsi="宋体" w:cs="宋体"/>
              </w:rPr>
            </w:pPr>
            <w:r>
              <w:rPr>
                <w:rFonts w:hint="eastAsia" w:ascii="宋体" w:hAnsi="宋体" w:cs="宋体"/>
              </w:rPr>
              <w:t>...</w:t>
            </w:r>
          </w:p>
        </w:tc>
        <w:tc>
          <w:tcPr>
            <w:tcW w:w="1932" w:type="dxa"/>
            <w:tcBorders>
              <w:top w:val="single" w:color="auto" w:sz="8" w:space="0"/>
              <w:left w:val="single" w:color="auto" w:sz="8" w:space="0"/>
              <w:bottom w:val="single" w:color="auto" w:sz="8" w:space="0"/>
              <w:right w:val="single" w:color="auto" w:sz="8" w:space="0"/>
            </w:tcBorders>
            <w:vAlign w:val="center"/>
          </w:tcPr>
          <w:p w14:paraId="0441A4E2">
            <w:pPr>
              <w:autoSpaceDE w:val="0"/>
              <w:autoSpaceDN w:val="0"/>
              <w:ind w:left="9" w:right="9" w:firstLine="480"/>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30E7F237">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27B4EA14">
            <w:pPr>
              <w:autoSpaceDE w:val="0"/>
              <w:autoSpaceDN w:val="0"/>
              <w:ind w:left="2" w:right="2" w:firstLine="480"/>
              <w:jc w:val="center"/>
              <w:rPr>
                <w:rFonts w:ascii="宋体" w:hAnsi="宋体" w:cs="宋体"/>
              </w:rPr>
            </w:pPr>
          </w:p>
        </w:tc>
        <w:tc>
          <w:tcPr>
            <w:tcW w:w="1471" w:type="dxa"/>
            <w:tcBorders>
              <w:top w:val="single" w:color="auto" w:sz="8" w:space="0"/>
              <w:left w:val="single" w:color="auto" w:sz="8" w:space="0"/>
              <w:bottom w:val="single" w:color="auto" w:sz="8" w:space="0"/>
              <w:right w:val="single" w:color="auto" w:sz="8" w:space="0"/>
            </w:tcBorders>
            <w:vAlign w:val="center"/>
          </w:tcPr>
          <w:p w14:paraId="7DF9D993">
            <w:pPr>
              <w:autoSpaceDE w:val="0"/>
              <w:autoSpaceDN w:val="0"/>
              <w:ind w:left="2" w:right="2" w:firstLine="480"/>
              <w:jc w:val="center"/>
              <w:rPr>
                <w:rFonts w:ascii="宋体" w:hAnsi="宋体" w:cs="宋体"/>
              </w:rPr>
            </w:pPr>
          </w:p>
        </w:tc>
        <w:tc>
          <w:tcPr>
            <w:tcW w:w="1480" w:type="dxa"/>
            <w:tcBorders>
              <w:top w:val="single" w:color="auto" w:sz="8" w:space="0"/>
              <w:left w:val="single" w:color="auto" w:sz="8" w:space="0"/>
              <w:bottom w:val="single" w:color="auto" w:sz="8" w:space="0"/>
              <w:right w:val="single" w:color="auto" w:sz="12" w:space="0"/>
            </w:tcBorders>
            <w:vAlign w:val="center"/>
          </w:tcPr>
          <w:p w14:paraId="01B728FF">
            <w:pPr>
              <w:autoSpaceDE w:val="0"/>
              <w:autoSpaceDN w:val="0"/>
              <w:ind w:left="2" w:right="2" w:firstLine="480"/>
              <w:jc w:val="center"/>
              <w:rPr>
                <w:rFonts w:ascii="宋体" w:hAnsi="宋体" w:cs="宋体"/>
              </w:rPr>
            </w:pPr>
          </w:p>
        </w:tc>
      </w:tr>
    </w:tbl>
    <w:p w14:paraId="50326845">
      <w:pPr>
        <w:spacing w:line="620" w:lineRule="exact"/>
        <w:ind w:firstLine="3045" w:firstLineChars="1450"/>
        <w:rPr>
          <w:rFonts w:ascii="宋体" w:hAnsi="宋体" w:cs="宋体"/>
        </w:rPr>
      </w:pPr>
    </w:p>
    <w:p w14:paraId="50DD8AD7">
      <w:pPr>
        <w:autoSpaceDE w:val="0"/>
        <w:autoSpaceDN w:val="0"/>
        <w:adjustRightInd w:val="0"/>
        <w:spacing w:before="156" w:beforeLines="50" w:after="156" w:afterLines="50"/>
        <w:ind w:firstLine="3570" w:firstLineChars="1700"/>
        <w:rPr>
          <w:rFonts w:ascii="宋体" w:hAnsi="宋体" w:cs="宋体"/>
        </w:rPr>
      </w:pPr>
      <w:r>
        <w:rPr>
          <w:rFonts w:hint="eastAsia" w:ascii="宋体" w:hAnsi="宋体" w:cs="宋体"/>
        </w:rPr>
        <w:t>投标人(盖单位电子章)：</w:t>
      </w:r>
    </w:p>
    <w:p w14:paraId="4AE41244">
      <w:pPr>
        <w:autoSpaceDE w:val="0"/>
        <w:autoSpaceDN w:val="0"/>
        <w:adjustRightInd w:val="0"/>
        <w:spacing w:before="156" w:beforeLines="50" w:after="156" w:afterLines="50"/>
        <w:ind w:firstLine="3570" w:firstLineChars="1700"/>
        <w:rPr>
          <w:rFonts w:ascii="宋体" w:hAnsi="宋体" w:cs="宋体"/>
        </w:rPr>
      </w:pPr>
      <w:r>
        <w:rPr>
          <w:rFonts w:hint="eastAsia" w:ascii="宋体" w:hAnsi="宋体" w:cs="宋体"/>
        </w:rPr>
        <w:t>法定代表人（签字或盖电子章）：</w:t>
      </w:r>
    </w:p>
    <w:p w14:paraId="7FC5CCC9">
      <w:pPr>
        <w:autoSpaceDE w:val="0"/>
        <w:autoSpaceDN w:val="0"/>
        <w:adjustRightInd w:val="0"/>
        <w:spacing w:before="156" w:beforeLines="50" w:after="156" w:afterLines="50"/>
        <w:ind w:firstLine="3570" w:firstLineChars="1700"/>
        <w:rPr>
          <w:rFonts w:ascii="宋体" w:hAnsi="宋体" w:cs="宋体"/>
        </w:rPr>
      </w:pPr>
      <w:r>
        <w:rPr>
          <w:rFonts w:hint="eastAsia" w:ascii="宋体" w:hAnsi="宋体" w:cs="宋体"/>
        </w:rPr>
        <w:t>日期：年月日</w:t>
      </w:r>
    </w:p>
    <w:p w14:paraId="2C3A2EF9">
      <w:pPr>
        <w:autoSpaceDE w:val="0"/>
        <w:autoSpaceDN w:val="0"/>
        <w:adjustRightInd w:val="0"/>
        <w:spacing w:before="156" w:beforeLines="50" w:after="156" w:afterLines="50"/>
        <w:ind w:firstLine="480"/>
        <w:rPr>
          <w:rFonts w:ascii="宋体" w:hAnsi="宋体" w:cs="宋体"/>
        </w:rPr>
      </w:pPr>
      <w:r>
        <w:rPr>
          <w:rFonts w:hint="eastAsia" w:ascii="宋体" w:hAnsi="宋体" w:cs="宋体"/>
        </w:rPr>
        <w:t xml:space="preserve">说明：                                                            </w:t>
      </w:r>
    </w:p>
    <w:p w14:paraId="14DA2C3C">
      <w:pPr>
        <w:autoSpaceDE w:val="0"/>
        <w:autoSpaceDN w:val="0"/>
        <w:adjustRightInd w:val="0"/>
        <w:ind w:firstLine="480"/>
        <w:rPr>
          <w:rFonts w:ascii="宋体" w:hAnsi="宋体" w:cs="宋体"/>
        </w:rPr>
      </w:pPr>
      <w:r>
        <w:rPr>
          <w:rFonts w:hint="eastAsia" w:ascii="宋体" w:hAnsi="宋体" w:cs="宋体"/>
        </w:rPr>
        <w:t>l、投标技术规格或商务条款存在偏差的必须如实填写本表；</w:t>
      </w:r>
    </w:p>
    <w:p w14:paraId="6E1A4412">
      <w:pPr>
        <w:autoSpaceDE w:val="0"/>
        <w:autoSpaceDN w:val="0"/>
        <w:adjustRightInd w:val="0"/>
        <w:ind w:firstLine="480"/>
        <w:rPr>
          <w:rFonts w:ascii="宋体" w:hAnsi="宋体" w:cs="宋体"/>
        </w:rPr>
      </w:pPr>
      <w:r>
        <w:rPr>
          <w:rFonts w:hint="eastAsia" w:ascii="宋体" w:hAnsi="宋体" w:cs="宋体"/>
        </w:rPr>
        <w:t>2、表格不足时投标人可根据需要另行添加。</w:t>
      </w:r>
    </w:p>
    <w:p w14:paraId="34A5A55C">
      <w:pPr>
        <w:pStyle w:val="3"/>
        <w:rPr>
          <w:sz w:val="28"/>
          <w:szCs w:val="28"/>
        </w:rPr>
      </w:pPr>
      <w:r>
        <w:rPr>
          <w:rFonts w:hint="eastAsia"/>
          <w:sz w:val="28"/>
          <w:szCs w:val="28"/>
        </w:rPr>
        <w:t>商务部分要求的相关资料附在本表后边</w:t>
      </w:r>
    </w:p>
    <w:p w14:paraId="39E0C782">
      <w:pPr>
        <w:ind w:firstLine="480"/>
      </w:pPr>
    </w:p>
    <w:p w14:paraId="3E4B0873">
      <w:pPr>
        <w:pStyle w:val="40"/>
        <w:ind w:firstLine="480"/>
      </w:pPr>
    </w:p>
    <w:bookmarkEnd w:id="176"/>
    <w:p w14:paraId="7F5AA05B">
      <w:pPr>
        <w:pStyle w:val="3"/>
        <w:jc w:val="center"/>
      </w:pPr>
      <w:bookmarkStart w:id="177" w:name="_Toc6055"/>
      <w:r>
        <w:rPr>
          <w:rFonts w:hint="eastAsia"/>
        </w:rPr>
        <w:t>八、反商业贿赂承诺书</w:t>
      </w:r>
    </w:p>
    <w:p w14:paraId="043B940D">
      <w:pPr>
        <w:ind w:firstLine="480"/>
      </w:pPr>
    </w:p>
    <w:p w14:paraId="7A5588CC">
      <w:pPr>
        <w:ind w:firstLine="482"/>
        <w:jc w:val="center"/>
        <w:rPr>
          <w:b/>
          <w:bCs/>
        </w:rPr>
      </w:pPr>
      <w:r>
        <w:rPr>
          <w:rFonts w:hint="eastAsia"/>
          <w:b/>
          <w:bCs/>
        </w:rPr>
        <w:t>反商业贿赂承诺书</w:t>
      </w:r>
    </w:p>
    <w:p w14:paraId="6E592888">
      <w:pPr>
        <w:autoSpaceDE w:val="0"/>
        <w:autoSpaceDN w:val="0"/>
        <w:adjustRightInd w:val="0"/>
        <w:spacing w:line="500" w:lineRule="exact"/>
        <w:ind w:firstLine="480"/>
        <w:rPr>
          <w:rFonts w:ascii="宋体" w:hAnsi="宋体" w:cs="宋体"/>
        </w:rPr>
      </w:pPr>
      <w:r>
        <w:rPr>
          <w:rFonts w:hint="eastAsia" w:ascii="宋体" w:hAnsi="宋体" w:cs="宋体"/>
          <w:kern w:val="0"/>
        </w:rPr>
        <w:t>我公司承诺：</w:t>
      </w:r>
    </w:p>
    <w:p w14:paraId="5655E8E9">
      <w:pPr>
        <w:autoSpaceDE w:val="0"/>
        <w:autoSpaceDN w:val="0"/>
        <w:adjustRightInd w:val="0"/>
        <w:spacing w:line="500" w:lineRule="exact"/>
        <w:ind w:firstLine="480"/>
        <w:rPr>
          <w:rFonts w:ascii="宋体" w:hAnsi="宋体" w:cs="宋体"/>
        </w:rPr>
      </w:pPr>
      <w:r>
        <w:rPr>
          <w:rFonts w:hint="eastAsia" w:ascii="宋体" w:hAnsi="宋体" w:cs="宋体"/>
          <w:kern w:val="0"/>
        </w:rPr>
        <w:t>在项目标段；项目编号：招标活动中，我公司保证做到：</w:t>
      </w:r>
    </w:p>
    <w:p w14:paraId="25A7B15A">
      <w:pPr>
        <w:autoSpaceDE w:val="0"/>
        <w:autoSpaceDN w:val="0"/>
        <w:adjustRightInd w:val="0"/>
        <w:spacing w:line="500" w:lineRule="exact"/>
        <w:ind w:firstLine="480"/>
        <w:rPr>
          <w:rFonts w:ascii="宋体" w:hAnsi="宋体" w:cs="宋体"/>
        </w:rPr>
      </w:pPr>
      <w:r>
        <w:rPr>
          <w:rFonts w:hint="eastAsia" w:ascii="宋体" w:hAnsi="宋体" w:cs="宋体"/>
          <w:kern w:val="0"/>
        </w:rPr>
        <w:t>一、公平竞争参加本次招标活动。</w:t>
      </w:r>
    </w:p>
    <w:p w14:paraId="6EEBE0A2">
      <w:pPr>
        <w:autoSpaceDE w:val="0"/>
        <w:autoSpaceDN w:val="0"/>
        <w:adjustRightInd w:val="0"/>
        <w:spacing w:line="500" w:lineRule="exact"/>
        <w:ind w:firstLine="480"/>
        <w:rPr>
          <w:rFonts w:ascii="宋体" w:hAnsi="宋体" w:cs="宋体"/>
        </w:rPr>
      </w:pPr>
      <w:r>
        <w:rPr>
          <w:rFonts w:hint="eastAsia" w:ascii="宋体" w:hAnsi="宋体" w:cs="宋体"/>
          <w:kern w:val="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62AE087">
      <w:pPr>
        <w:autoSpaceDE w:val="0"/>
        <w:autoSpaceDN w:val="0"/>
        <w:adjustRightInd w:val="0"/>
        <w:spacing w:line="500" w:lineRule="exact"/>
        <w:ind w:firstLine="480"/>
        <w:rPr>
          <w:rFonts w:ascii="宋体" w:hAnsi="宋体" w:cs="宋体"/>
        </w:rPr>
      </w:pPr>
      <w:r>
        <w:rPr>
          <w:rFonts w:hint="eastAsia" w:ascii="宋体" w:hAnsi="宋体" w:cs="宋体"/>
          <w:kern w:val="0"/>
        </w:rPr>
        <w:t>三、若出现上述行为，我公司及参与投标的工作人员愿意接受按照国家法律法规等有关规定给予的处罚。</w:t>
      </w:r>
    </w:p>
    <w:p w14:paraId="697AC585">
      <w:pPr>
        <w:autoSpaceDE w:val="0"/>
        <w:autoSpaceDN w:val="0"/>
        <w:adjustRightInd w:val="0"/>
        <w:spacing w:line="500" w:lineRule="exact"/>
        <w:ind w:firstLine="480"/>
        <w:rPr>
          <w:rFonts w:ascii="宋体" w:hAnsi="宋体" w:cs="宋体"/>
        </w:rPr>
      </w:pPr>
    </w:p>
    <w:p w14:paraId="79498A35">
      <w:pPr>
        <w:pStyle w:val="5"/>
        <w:widowControl/>
        <w:ind w:firstLine="480"/>
        <w:jc w:val="center"/>
        <w:rPr>
          <w:rFonts w:ascii="宋体" w:hAnsi="宋体" w:cs="宋体"/>
          <w:sz w:val="24"/>
          <w:szCs w:val="24"/>
        </w:rPr>
      </w:pPr>
    </w:p>
    <w:p w14:paraId="001512BE">
      <w:pPr>
        <w:pStyle w:val="5"/>
        <w:widowControl/>
        <w:ind w:firstLine="480"/>
        <w:jc w:val="center"/>
        <w:rPr>
          <w:rFonts w:ascii="宋体" w:hAnsi="宋体" w:cs="宋体"/>
          <w:sz w:val="24"/>
          <w:szCs w:val="24"/>
        </w:rPr>
      </w:pPr>
    </w:p>
    <w:p w14:paraId="690B0ECA">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271A9910">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6C559003">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2848294B">
      <w:pPr>
        <w:autoSpaceDE w:val="0"/>
        <w:autoSpaceDN w:val="0"/>
        <w:adjustRightInd w:val="0"/>
        <w:snapToGrid w:val="0"/>
        <w:ind w:right="312" w:firstLine="482"/>
        <w:jc w:val="left"/>
        <w:rPr>
          <w:rFonts w:ascii="宋体" w:hAnsi="宋体" w:cs="宋体"/>
          <w:b/>
        </w:rPr>
      </w:pPr>
    </w:p>
    <w:p w14:paraId="109C8D9C">
      <w:pPr>
        <w:autoSpaceDE w:val="0"/>
        <w:autoSpaceDN w:val="0"/>
        <w:adjustRightInd w:val="0"/>
        <w:snapToGrid w:val="0"/>
        <w:ind w:right="312" w:firstLine="482"/>
        <w:jc w:val="left"/>
        <w:rPr>
          <w:rFonts w:ascii="宋体" w:hAnsi="宋体" w:cs="宋体"/>
          <w:b/>
        </w:rPr>
      </w:pPr>
    </w:p>
    <w:p w14:paraId="55921CA7">
      <w:pPr>
        <w:autoSpaceDE w:val="0"/>
        <w:autoSpaceDN w:val="0"/>
        <w:adjustRightInd w:val="0"/>
        <w:snapToGrid w:val="0"/>
        <w:ind w:right="312" w:firstLine="482"/>
        <w:jc w:val="left"/>
        <w:rPr>
          <w:rFonts w:ascii="宋体" w:hAnsi="宋体" w:cs="宋体"/>
          <w:b/>
        </w:rPr>
      </w:pPr>
    </w:p>
    <w:p w14:paraId="7F8EF72A">
      <w:pPr>
        <w:autoSpaceDE w:val="0"/>
        <w:autoSpaceDN w:val="0"/>
        <w:adjustRightInd w:val="0"/>
        <w:snapToGrid w:val="0"/>
        <w:ind w:right="312" w:firstLine="482"/>
        <w:jc w:val="left"/>
        <w:rPr>
          <w:rFonts w:ascii="宋体" w:hAnsi="宋体" w:cs="宋体"/>
          <w:b/>
        </w:rPr>
      </w:pPr>
    </w:p>
    <w:p w14:paraId="4196E44B">
      <w:pPr>
        <w:autoSpaceDE w:val="0"/>
        <w:autoSpaceDN w:val="0"/>
        <w:adjustRightInd w:val="0"/>
        <w:snapToGrid w:val="0"/>
        <w:ind w:right="312" w:firstLine="482"/>
        <w:jc w:val="left"/>
        <w:rPr>
          <w:rFonts w:ascii="宋体" w:hAnsi="宋体" w:cs="宋体"/>
          <w:b/>
        </w:rPr>
      </w:pPr>
    </w:p>
    <w:p w14:paraId="0393AC31">
      <w:pPr>
        <w:ind w:firstLine="480"/>
      </w:pPr>
      <w:r>
        <w:br w:type="page"/>
      </w:r>
    </w:p>
    <w:bookmarkEnd w:id="177"/>
    <w:p w14:paraId="13FE6C28">
      <w:pPr>
        <w:pStyle w:val="3"/>
        <w:jc w:val="center"/>
        <w:rPr>
          <w:szCs w:val="28"/>
        </w:rPr>
      </w:pPr>
      <w:bookmarkStart w:id="178" w:name="_Toc4997"/>
      <w:r>
        <w:rPr>
          <w:rFonts w:hint="eastAsia"/>
          <w:szCs w:val="28"/>
        </w:rPr>
        <w:t>九、</w:t>
      </w:r>
      <w:bookmarkEnd w:id="178"/>
      <w:r>
        <w:rPr>
          <w:rFonts w:hint="eastAsia"/>
          <w:szCs w:val="28"/>
        </w:rPr>
        <w:t>投标承诺函及中标服务费承诺书</w:t>
      </w:r>
    </w:p>
    <w:p w14:paraId="3CF125CC">
      <w:pPr>
        <w:ind w:firstLine="482"/>
        <w:jc w:val="center"/>
        <w:rPr>
          <w:b/>
          <w:bCs/>
        </w:rPr>
      </w:pPr>
      <w:r>
        <w:rPr>
          <w:b/>
          <w:bCs/>
        </w:rPr>
        <w:t>投标承诺函</w:t>
      </w:r>
    </w:p>
    <w:p w14:paraId="52D3932C">
      <w:pPr>
        <w:ind w:firstLine="480"/>
      </w:pPr>
      <w:r>
        <w:t>致（采购人及采购代理机构）：</w:t>
      </w:r>
    </w:p>
    <w:p w14:paraId="4C554EFC">
      <w:pPr>
        <w:ind w:firstLine="480"/>
      </w:pPr>
      <w:r>
        <w:t>我公司作为本次采购项目的</w:t>
      </w:r>
      <w:r>
        <w:rPr>
          <w:rFonts w:hint="eastAsia"/>
        </w:rPr>
        <w:t>投标人</w:t>
      </w:r>
      <w:r>
        <w:t>，根据招标文件要求，现郑重承诺如下：</w:t>
      </w:r>
    </w:p>
    <w:p w14:paraId="4C49A4CD">
      <w:pPr>
        <w:ind w:firstLine="480"/>
      </w:pPr>
      <w:r>
        <w:t>一、具备《中华人民共和国政府采购法》第二十二条第一款和本项目规定的条件：</w:t>
      </w:r>
    </w:p>
    <w:p w14:paraId="4FC49359">
      <w:pPr>
        <w:ind w:firstLine="480"/>
      </w:pPr>
      <w:r>
        <w:t>二、完全接受和满足本项目招标文件中规定的实质性要求，如对招标文件有异议，已经在投标截止时间届满前依法进行维权，不存在对招标文件有异议同时又参加投标以求侥幸中标或者为实现其他非法目的的行为。</w:t>
      </w:r>
    </w:p>
    <w:p w14:paraId="60BA064E">
      <w:pPr>
        <w:ind w:firstLine="480"/>
      </w:pPr>
      <w:r>
        <w:t>三、参加本次招标采购活动，不存在与单位负责人为同一人或者存在直接控股、管理关系的其他</w:t>
      </w:r>
      <w:r>
        <w:rPr>
          <w:rFonts w:hint="eastAsia"/>
        </w:rPr>
        <w:t>投标人</w:t>
      </w:r>
      <w:r>
        <w:t>参与同一合同项下的政府采购活动的行为。</w:t>
      </w:r>
    </w:p>
    <w:p w14:paraId="35BF2346">
      <w:pPr>
        <w:ind w:firstLine="480"/>
      </w:pPr>
      <w:r>
        <w:t>四、参加本次招标采购活动，不存在为采购项目提供整体设计、规范编制或者项目管理、监理、检测等服务的行为。</w:t>
      </w:r>
    </w:p>
    <w:p w14:paraId="5C14AB09">
      <w:pPr>
        <w:ind w:firstLine="480"/>
      </w:pPr>
      <w:r>
        <w:t>五、参加本次招标采购活动，不存在和其他</w:t>
      </w:r>
      <w:r>
        <w:rPr>
          <w:rFonts w:hint="eastAsia"/>
        </w:rPr>
        <w:t>投标人</w:t>
      </w:r>
      <w:r>
        <w:t>在同一合同项下的采购项目中，同时委托同一个自然人、同一家庭的人员、同一单位的人员作为代理人的行为。</w:t>
      </w:r>
    </w:p>
    <w:p w14:paraId="7E7884C4">
      <w:pPr>
        <w:ind w:firstLine="480"/>
      </w:pPr>
      <w:r>
        <w:t>六、</w:t>
      </w:r>
      <w:r>
        <w:rPr>
          <w:rFonts w:hint="eastAsia"/>
        </w:rPr>
        <w:t>投标人</w:t>
      </w:r>
      <w:r>
        <w:t>参加本次政府采购活动要求在近三年内</w:t>
      </w:r>
      <w:r>
        <w:rPr>
          <w:rFonts w:hint="eastAsia"/>
        </w:rPr>
        <w:t>投标人</w:t>
      </w:r>
      <w:r>
        <w:t>和其法定代表人没有行贿犯罪行为。</w:t>
      </w:r>
    </w:p>
    <w:p w14:paraId="24C788CD">
      <w:pPr>
        <w:ind w:firstLine="480"/>
      </w:pPr>
      <w:r>
        <w:t>七、投标文件中提供的能够给予我公司带来优惠、好处的任何材料资料和技术、服务、商务等响应承诺情况都是真实的、有效的、合法的。</w:t>
      </w:r>
    </w:p>
    <w:p w14:paraId="5C21A83D">
      <w:pPr>
        <w:ind w:firstLine="480"/>
      </w:pPr>
      <w: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066950DE">
      <w:pPr>
        <w:ind w:firstLine="480"/>
      </w:pPr>
      <w:r>
        <w:t>九、存在以下行为之一的愿意接受相关部门的处理：</w:t>
      </w:r>
    </w:p>
    <w:p w14:paraId="273350A6">
      <w:pPr>
        <w:ind w:firstLine="480"/>
      </w:pPr>
      <w:r>
        <w:t>（一）投标有效期内撤销投标文件的；</w:t>
      </w:r>
    </w:p>
    <w:p w14:paraId="044680AB">
      <w:pPr>
        <w:ind w:firstLine="480"/>
      </w:pPr>
      <w:r>
        <w:t>（二）在采购人确定中标人以前放弃中标候选资格的；</w:t>
      </w:r>
    </w:p>
    <w:p w14:paraId="2452CD70">
      <w:pPr>
        <w:ind w:firstLine="480"/>
      </w:pPr>
      <w:r>
        <w:t>（三）由于中标人的原因未能按照招标文件的规定与采购人签订合同；</w:t>
      </w:r>
    </w:p>
    <w:p w14:paraId="2150BAA3">
      <w:pPr>
        <w:ind w:firstLine="480"/>
      </w:pPr>
      <w:r>
        <w:t>（四）由于中标人的原因未能按照招标文件的规定交纳履约保证金</w:t>
      </w:r>
      <w:r>
        <w:rPr>
          <w:rFonts w:hint="eastAsia"/>
        </w:rPr>
        <w:t>（如有）</w:t>
      </w:r>
      <w:r>
        <w:t>；</w:t>
      </w:r>
    </w:p>
    <w:p w14:paraId="1C08EC30">
      <w:pPr>
        <w:ind w:firstLine="480"/>
      </w:pPr>
      <w:r>
        <w:t>（五）在投标文件中提供虚假材料谋取中标；</w:t>
      </w:r>
    </w:p>
    <w:p w14:paraId="15E9DE1A">
      <w:pPr>
        <w:ind w:firstLine="480"/>
      </w:pPr>
      <w:r>
        <w:t>（六）与采购人、其他</w:t>
      </w:r>
      <w:r>
        <w:rPr>
          <w:rFonts w:hint="eastAsia"/>
        </w:rPr>
        <w:t>投标人</w:t>
      </w:r>
      <w:r>
        <w:t>或者采购代理机构恶意串通的；</w:t>
      </w:r>
    </w:p>
    <w:p w14:paraId="0EC40285">
      <w:pPr>
        <w:ind w:firstLine="480"/>
      </w:pPr>
      <w:r>
        <w:t>（七）投标有效期内，</w:t>
      </w:r>
      <w:r>
        <w:rPr>
          <w:rFonts w:hint="eastAsia"/>
        </w:rPr>
        <w:t>投标人</w:t>
      </w:r>
      <w:r>
        <w:t>在政府采购活动中有违法、违规、违纪行为。</w:t>
      </w:r>
    </w:p>
    <w:p w14:paraId="30060B2F">
      <w:pPr>
        <w:ind w:firstLine="480"/>
      </w:pPr>
      <w:r>
        <w:t>由此产生的一切法律后果和责任由我公司承担。我公司声明放弃对此提出任何异议和追索的权利。</w:t>
      </w:r>
    </w:p>
    <w:p w14:paraId="132791E7">
      <w:pPr>
        <w:ind w:firstLine="480"/>
        <w:rPr>
          <w:rFonts w:ascii="宋体" w:hAnsi="宋体" w:cs="宋体"/>
          <w:sz w:val="24"/>
          <w:szCs w:val="24"/>
        </w:rPr>
      </w:pPr>
      <w:r>
        <w:t>本公司对上述承诺的内容事项真实性负责。如经查实上述承诺的内容事项存在虚假，我公司愿意接受以提供虚假材料谋取中标追究法律责任。</w:t>
      </w:r>
      <w:bookmarkStart w:id="179" w:name="_Toc13075"/>
    </w:p>
    <w:p w14:paraId="0EAF026C">
      <w:pPr>
        <w:pStyle w:val="5"/>
        <w:widowControl/>
        <w:ind w:firstLine="480"/>
        <w:jc w:val="right"/>
        <w:rPr>
          <w:rFonts w:ascii="宋体" w:hAnsi="宋体" w:cs="宋体"/>
          <w:sz w:val="24"/>
          <w:szCs w:val="24"/>
        </w:rPr>
      </w:pPr>
    </w:p>
    <w:p w14:paraId="3CBBD1AD">
      <w:pPr>
        <w:pStyle w:val="5"/>
        <w:widowControl/>
        <w:ind w:firstLine="480"/>
        <w:jc w:val="right"/>
        <w:rPr>
          <w:rFonts w:ascii="宋体" w:hAnsi="宋体" w:cs="宋体"/>
          <w:sz w:val="24"/>
          <w:szCs w:val="24"/>
        </w:rPr>
      </w:pPr>
    </w:p>
    <w:p w14:paraId="60430FA8">
      <w:pPr>
        <w:pStyle w:val="5"/>
        <w:widowControl/>
        <w:ind w:firstLine="480"/>
        <w:jc w:val="right"/>
        <w:rPr>
          <w:rFonts w:ascii="宋体" w:hAnsi="宋体" w:cs="宋体"/>
          <w:sz w:val="24"/>
          <w:szCs w:val="24"/>
        </w:rPr>
      </w:pPr>
    </w:p>
    <w:p w14:paraId="55AF74C9">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5064A039">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49DAEA23">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5872C086">
      <w:pPr>
        <w:pStyle w:val="15"/>
        <w:ind w:firstLine="482"/>
        <w:jc w:val="center"/>
      </w:pPr>
      <w:r>
        <w:rPr>
          <w:rFonts w:hint="eastAsia"/>
          <w:b/>
        </w:rPr>
        <w:br w:type="page"/>
      </w:r>
      <w:r>
        <w:rPr>
          <w:b/>
        </w:rPr>
        <w:t>中标服务费承诺函</w:t>
      </w:r>
    </w:p>
    <w:p w14:paraId="5F8CA438">
      <w:pPr>
        <w:pStyle w:val="15"/>
        <w:ind w:firstLine="480"/>
      </w:pPr>
      <w:r>
        <w:t>致</w:t>
      </w:r>
      <w:r>
        <w:rPr>
          <w:u w:val="single"/>
        </w:rPr>
        <w:t>（采购人及采购代理机构）</w:t>
      </w:r>
      <w:r>
        <w:t>：</w:t>
      </w:r>
    </w:p>
    <w:p w14:paraId="398F3CC2">
      <w:pPr>
        <w:pStyle w:val="15"/>
        <w:spacing w:line="500" w:lineRule="exact"/>
        <w:ind w:firstLine="480"/>
      </w:pPr>
      <w:r>
        <w:t>我们在贵公司组织的（项目标段（项目编号：）招标中若获中标，我们保证在中标公告发布后5个工作日内，按招标文件的规定，以现金方式，向贵公司一次性支付招标代理服务费用。否则，由此产生的一切法律后果和责任由我公司承担。我公司声明放弃对此提出任何异议和追索的权利。</w:t>
      </w:r>
    </w:p>
    <w:p w14:paraId="316F77E0">
      <w:pPr>
        <w:pStyle w:val="15"/>
        <w:spacing w:line="500" w:lineRule="exact"/>
        <w:ind w:firstLine="480"/>
      </w:pPr>
      <w:r>
        <w:t>特此承诺。</w:t>
      </w:r>
    </w:p>
    <w:p w14:paraId="141DE087">
      <w:pPr>
        <w:pStyle w:val="15"/>
        <w:ind w:firstLine="480"/>
      </w:pPr>
    </w:p>
    <w:p w14:paraId="5F559958">
      <w:pPr>
        <w:pStyle w:val="15"/>
        <w:ind w:firstLine="480"/>
        <w:jc w:val="right"/>
      </w:pPr>
    </w:p>
    <w:p w14:paraId="3CD57980">
      <w:pPr>
        <w:pStyle w:val="5"/>
        <w:widowControl/>
        <w:ind w:firstLine="480"/>
        <w:jc w:val="center"/>
        <w:rPr>
          <w:rFonts w:ascii="宋体" w:hAnsi="宋体" w:cs="宋体"/>
          <w:sz w:val="24"/>
          <w:szCs w:val="24"/>
          <w:u w:val="single"/>
        </w:rPr>
      </w:pPr>
      <w:r>
        <w:rPr>
          <w:rFonts w:hint="eastAsia" w:ascii="宋体" w:hAnsi="宋体" w:cs="宋体"/>
          <w:sz w:val="24"/>
          <w:szCs w:val="24"/>
        </w:rPr>
        <w:t>投标人(盖单位电子章)：</w:t>
      </w:r>
    </w:p>
    <w:p w14:paraId="0EE3ACC7">
      <w:pPr>
        <w:pStyle w:val="5"/>
        <w:widowControl/>
        <w:ind w:firstLine="480"/>
        <w:jc w:val="center"/>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6C1EEE39">
      <w:pPr>
        <w:autoSpaceDE w:val="0"/>
        <w:autoSpaceDN w:val="0"/>
        <w:adjustRightInd w:val="0"/>
        <w:spacing w:line="500" w:lineRule="exact"/>
        <w:ind w:firstLine="480"/>
        <w:jc w:val="center"/>
        <w:rPr>
          <w:rFonts w:ascii="宋体" w:hAnsi="宋体" w:cs="宋体"/>
        </w:rPr>
      </w:pPr>
      <w:r>
        <w:rPr>
          <w:rFonts w:hint="eastAsia" w:ascii="宋体" w:hAnsi="宋体" w:cs="宋体"/>
          <w:kern w:val="0"/>
        </w:rPr>
        <w:t>日期：年月日</w:t>
      </w:r>
    </w:p>
    <w:p w14:paraId="33B9520E">
      <w:pPr>
        <w:pStyle w:val="3"/>
        <w:numPr>
          <w:ilvl w:val="0"/>
          <w:numId w:val="6"/>
        </w:numPr>
        <w:jc w:val="center"/>
        <w:rPr>
          <w:rFonts w:hint="eastAsia" w:ascii="宋体" w:hAnsi="宋体"/>
          <w:kern w:val="0"/>
        </w:rPr>
      </w:pPr>
      <w:r>
        <w:rPr>
          <w:rFonts w:hint="eastAsia" w:ascii="宋体" w:hAnsi="宋体"/>
          <w:kern w:val="0"/>
        </w:rPr>
        <w:br w:type="page"/>
      </w:r>
      <w:bookmarkEnd w:id="179"/>
      <w:r>
        <w:rPr>
          <w:rFonts w:hint="eastAsia" w:ascii="宋体" w:hAnsi="宋体"/>
          <w:kern w:val="0"/>
        </w:rPr>
        <w:t>中小企业声明函（货物）</w:t>
      </w:r>
    </w:p>
    <w:p w14:paraId="45A64917">
      <w:pPr>
        <w:numPr>
          <w:numId w:val="0"/>
        </w:numPr>
        <w:jc w:val="center"/>
        <w:rPr>
          <w:rFonts w:hint="default" w:eastAsia="宋体"/>
          <w:lang w:val="en-US" w:eastAsia="zh-CN"/>
        </w:rPr>
      </w:pPr>
      <w:r>
        <w:rPr>
          <w:rFonts w:hint="eastAsia"/>
          <w:lang w:val="en-US" w:eastAsia="zh-CN"/>
        </w:rPr>
        <w:t>（非中小企业无需填写本表）</w:t>
      </w:r>
    </w:p>
    <w:p w14:paraId="152CDE9F">
      <w:pPr>
        <w:spacing w:line="360" w:lineRule="auto"/>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号）的规定，本公司（联合体）参加（单位名称）的（项目名称、标段）采购活动，提供的货物全部由符合政策要求的中小企业制造。相关企业（含联合体中的中小企业、签订分包意向协议的中小企业） 的具体情况如下：</w:t>
      </w:r>
      <w:bookmarkStart w:id="181" w:name="_GoBack"/>
      <w:bookmarkEnd w:id="181"/>
    </w:p>
    <w:p w14:paraId="08F1F072">
      <w:pPr>
        <w:spacing w:line="360" w:lineRule="auto"/>
        <w:rPr>
          <w:rFonts w:ascii="宋体" w:hAnsi="宋体" w:cs="宋体"/>
          <w:szCs w:val="21"/>
        </w:rPr>
      </w:pPr>
      <w:r>
        <w:rPr>
          <w:rFonts w:hint="eastAsia" w:ascii="宋体" w:hAnsi="宋体" w:cs="宋体"/>
          <w:szCs w:val="21"/>
        </w:rPr>
        <w:t> （标的名称） ，属于（采购文件中明确的所属行业）行业；制造商为（企业名称），从业人员 人，营业收入为 万元，资产总额为 万元，属于（中型企业、小型企业、微型企业）；</w:t>
      </w:r>
    </w:p>
    <w:p w14:paraId="1A24712C">
      <w:pPr>
        <w:spacing w:line="360" w:lineRule="auto"/>
        <w:rPr>
          <w:rFonts w:ascii="宋体" w:hAnsi="宋体" w:cs="宋体"/>
          <w:szCs w:val="21"/>
        </w:rPr>
      </w:pPr>
      <w:r>
        <w:rPr>
          <w:rFonts w:hint="eastAsia" w:ascii="宋体" w:hAnsi="宋体" w:cs="宋体"/>
          <w:szCs w:val="21"/>
        </w:rPr>
        <w:t> （标的名称） ，属于（采购文件中明确的所属行业）行业；制造商为（企业名称），从业人员 人，营业收入为 万元，资产总额为 万元，属于（中型企业、小型企业、微型企业）；</w:t>
      </w:r>
    </w:p>
    <w:p w14:paraId="3AA64DDC">
      <w:pPr>
        <w:spacing w:line="360" w:lineRule="auto"/>
        <w:rPr>
          <w:rFonts w:ascii="宋体" w:hAnsi="宋体" w:cs="宋体"/>
          <w:szCs w:val="21"/>
        </w:rPr>
      </w:pPr>
      <w:r>
        <w:rPr>
          <w:rFonts w:hint="eastAsia" w:ascii="宋体" w:hAnsi="宋体" w:cs="宋体"/>
          <w:szCs w:val="21"/>
        </w:rPr>
        <w:t>……</w:t>
      </w:r>
    </w:p>
    <w:p w14:paraId="504BCF49">
      <w:pPr>
        <w:spacing w:line="360" w:lineRule="auto"/>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4EA56F96">
      <w:pPr>
        <w:spacing w:line="360" w:lineRule="auto"/>
        <w:rPr>
          <w:rFonts w:ascii="宋体" w:hAnsi="宋体" w:cs="宋体"/>
          <w:szCs w:val="21"/>
        </w:rPr>
      </w:pPr>
      <w:r>
        <w:rPr>
          <w:rFonts w:hint="eastAsia" w:ascii="宋体" w:hAnsi="宋体" w:cs="宋体"/>
          <w:szCs w:val="21"/>
        </w:rPr>
        <w:t>本企业对上述声明内容的真实性负责。如有虚假，将依法承担相应责任。</w:t>
      </w:r>
    </w:p>
    <w:p w14:paraId="7F1F924C">
      <w:pPr>
        <w:spacing w:line="360" w:lineRule="auto"/>
        <w:rPr>
          <w:rFonts w:ascii="宋体" w:hAnsi="宋体" w:cs="宋体"/>
          <w:szCs w:val="21"/>
        </w:rPr>
      </w:pPr>
      <w:r>
        <w:rPr>
          <w:rFonts w:hint="eastAsia" w:ascii="宋体" w:hAnsi="宋体" w:cs="宋体"/>
          <w:szCs w:val="21"/>
        </w:rPr>
        <w:t>企业名称（盖章）</w:t>
      </w:r>
    </w:p>
    <w:p w14:paraId="1561D972">
      <w:pPr>
        <w:spacing w:line="360" w:lineRule="auto"/>
        <w:rPr>
          <w:rFonts w:ascii="宋体" w:hAnsi="宋体" w:cs="宋体"/>
          <w:szCs w:val="21"/>
        </w:rPr>
      </w:pPr>
      <w:r>
        <w:rPr>
          <w:rFonts w:hint="eastAsia" w:ascii="宋体" w:hAnsi="宋体" w:cs="宋体"/>
          <w:szCs w:val="21"/>
        </w:rPr>
        <w:t>日期：</w:t>
      </w:r>
    </w:p>
    <w:p w14:paraId="6474891A">
      <w:pPr>
        <w:spacing w:line="360" w:lineRule="auto"/>
        <w:rPr>
          <w:rFonts w:ascii="宋体" w:hAnsi="宋体" w:cs="宋体"/>
          <w:b/>
          <w:bCs/>
          <w:szCs w:val="21"/>
        </w:rPr>
      </w:pPr>
      <w:r>
        <w:rPr>
          <w:rFonts w:hint="eastAsia" w:ascii="宋体" w:hAnsi="宋体" w:cs="宋体"/>
          <w:szCs w:val="21"/>
        </w:rPr>
        <w:t>注：</w:t>
      </w:r>
      <w:r>
        <w:rPr>
          <w:rFonts w:hint="eastAsia" w:ascii="宋体" w:hAnsi="宋体" w:cs="宋体"/>
          <w:b/>
          <w:bCs/>
          <w:szCs w:val="21"/>
        </w:rPr>
        <w:t>1.从业人员、营业收入、资产总额填报上一年度数据，无上一年度数据的新成立企业可不填报。</w:t>
      </w:r>
    </w:p>
    <w:p w14:paraId="61087777">
      <w:pPr>
        <w:pStyle w:val="6"/>
        <w:ind w:firstLine="422" w:firstLineChars="200"/>
        <w:rPr>
          <w:rFonts w:ascii="宋体" w:hAnsi="宋体" w:cs="宋体"/>
          <w:b/>
          <w:bCs/>
          <w:sz w:val="21"/>
          <w:szCs w:val="21"/>
        </w:rPr>
      </w:pPr>
      <w:r>
        <w:rPr>
          <w:rFonts w:hint="eastAsia" w:ascii="宋体" w:hAnsi="宋体" w:cs="宋体"/>
          <w:b/>
          <w:bCs/>
          <w:sz w:val="21"/>
          <w:szCs w:val="21"/>
        </w:rPr>
        <w:t>2.参加本次采购活动的投标人若非中小企业可不填报。</w:t>
      </w:r>
    </w:p>
    <w:p w14:paraId="4AE930BB">
      <w:pPr>
        <w:spacing w:line="360" w:lineRule="auto"/>
        <w:ind w:firstLine="422" w:firstLineChars="200"/>
        <w:rPr>
          <w:rFonts w:ascii="宋体" w:hAnsi="宋体" w:cs="宋体"/>
          <w:b/>
          <w:bCs/>
          <w:szCs w:val="21"/>
        </w:rPr>
      </w:pPr>
      <w:r>
        <w:rPr>
          <w:rFonts w:hint="eastAsia" w:ascii="宋体" w:hAnsi="宋体" w:cs="宋体"/>
          <w:b/>
          <w:bCs/>
          <w:szCs w:val="21"/>
        </w:rPr>
        <w:t>3.中标供应商享受规定的中小企业扶持政策的，中标结果公告发布时将公开中标供应商的《中小企业声明函》，若供应商提供声明函内容不实的，属于提供虚假材料谋取中标，依照《中华人民共和国政府采购法》等国家有关规定追求相应责任。</w:t>
      </w:r>
    </w:p>
    <w:p w14:paraId="6792B749">
      <w:pPr>
        <w:pStyle w:val="16"/>
      </w:pPr>
      <w:r>
        <w:rPr>
          <w:rFonts w:hint="eastAsia" w:ascii="宋体" w:hAnsi="宋体" w:cs="宋体"/>
          <w:b/>
          <w:bCs/>
          <w:sz w:val="21"/>
          <w:szCs w:val="21"/>
        </w:rPr>
        <w:t>4.供应商如果不是中小企业，无需提供本表。</w:t>
      </w:r>
    </w:p>
    <w:p w14:paraId="40310CF7">
      <w:pPr>
        <w:ind w:firstLine="480"/>
      </w:pPr>
    </w:p>
    <w:p w14:paraId="01E5185F">
      <w:pPr>
        <w:pageBreakBefore/>
        <w:ind w:firstLine="482"/>
        <w:jc w:val="center"/>
        <w:rPr>
          <w:b/>
          <w:bCs/>
        </w:rPr>
      </w:pPr>
      <w:r>
        <w:rPr>
          <w:rFonts w:hint="eastAsia"/>
          <w:b/>
          <w:bCs/>
        </w:rPr>
        <w:t>残疾人福利性单位声明函</w:t>
      </w:r>
    </w:p>
    <w:p w14:paraId="3216D1B1">
      <w:pPr>
        <w:ind w:firstLine="480"/>
      </w:pPr>
      <w:r>
        <w:rPr>
          <w:rFonts w:hint="eastAsia"/>
        </w:rPr>
        <w:t>【不属于残疾人福利性单位的无需填写、递交】</w:t>
      </w:r>
    </w:p>
    <w:p w14:paraId="29237D1D">
      <w:pPr>
        <w:ind w:firstLine="480"/>
      </w:pPr>
      <w:r>
        <w:rPr>
          <w:rFonts w:hint="eastAsia"/>
        </w:rPr>
        <w:t>本单位郑重声明，根据《财政部 民政部 中国残疾人联合会关于促进残疾人就业政府采购政策的通知》(财库(2017)141 号)的规定，本单位为符合条件的残疾人福利性单位，且本单位参加 单位的 项目采购活动提供本单位制造的货物(由本单位承担工程/提供服务)，或者提供其他残疾人福利性单位制造的货物(不</w:t>
      </w:r>
    </w:p>
    <w:p w14:paraId="1BD31E79">
      <w:r>
        <w:rPr>
          <w:rFonts w:hint="eastAsia"/>
        </w:rPr>
        <w:t>包括使用非残疾人福利性单位注册商标的货物)。</w:t>
      </w:r>
    </w:p>
    <w:p w14:paraId="3064D135">
      <w:pPr>
        <w:ind w:firstLine="480"/>
      </w:pPr>
      <w:r>
        <w:rPr>
          <w:rFonts w:hint="eastAsia"/>
        </w:rPr>
        <w:t>本单位对上述声明的真实性负责。如有虚假，将依法承担相应责任。</w:t>
      </w:r>
    </w:p>
    <w:p w14:paraId="775645D6">
      <w:pPr>
        <w:ind w:firstLine="480"/>
      </w:pPr>
    </w:p>
    <w:p w14:paraId="2BDD618A">
      <w:pPr>
        <w:ind w:firstLine="480"/>
      </w:pPr>
    </w:p>
    <w:p w14:paraId="63C7AC43">
      <w:pPr>
        <w:ind w:firstLine="480"/>
      </w:pPr>
    </w:p>
    <w:p w14:paraId="096B3B6C">
      <w:pPr>
        <w:ind w:firstLine="480"/>
      </w:pPr>
    </w:p>
    <w:p w14:paraId="25ABFF17">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2775AEA1">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1B04CF45">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5319B436">
      <w:pPr>
        <w:ind w:firstLine="480"/>
        <w:jc w:val="right"/>
      </w:pPr>
    </w:p>
    <w:p w14:paraId="4C47D4E6">
      <w:pPr>
        <w:ind w:firstLine="480"/>
        <w:jc w:val="right"/>
      </w:pPr>
    </w:p>
    <w:p w14:paraId="59F87815">
      <w:pPr>
        <w:pStyle w:val="6"/>
        <w:ind w:firstLine="400"/>
      </w:pPr>
    </w:p>
    <w:p w14:paraId="00A1C9C4">
      <w:pPr>
        <w:ind w:firstLine="480"/>
      </w:pPr>
    </w:p>
    <w:p w14:paraId="6F59D5D8">
      <w:pPr>
        <w:ind w:firstLine="480"/>
      </w:pPr>
      <w:bookmarkStart w:id="180" w:name="_Toc11502"/>
    </w:p>
    <w:p w14:paraId="289E0D18">
      <w:pPr>
        <w:rPr>
          <w:b/>
          <w:bCs/>
        </w:rPr>
      </w:pPr>
    </w:p>
    <w:p w14:paraId="6C099FF6">
      <w:pPr>
        <w:rPr>
          <w:b/>
          <w:bCs/>
        </w:rPr>
      </w:pPr>
    </w:p>
    <w:p w14:paraId="64361147">
      <w:pPr>
        <w:rPr>
          <w:b/>
          <w:bCs/>
        </w:rPr>
      </w:pPr>
    </w:p>
    <w:p w14:paraId="17B29271">
      <w:pPr>
        <w:ind w:firstLine="2741" w:firstLineChars="1300"/>
        <w:rPr>
          <w:b/>
          <w:bCs/>
        </w:rPr>
      </w:pPr>
      <w:r>
        <w:rPr>
          <w:rFonts w:hint="eastAsia"/>
          <w:b/>
          <w:bCs/>
        </w:rPr>
        <w:t>监狱企业声明函</w:t>
      </w:r>
    </w:p>
    <w:p w14:paraId="31EBF43D">
      <w:pPr>
        <w:ind w:firstLine="480"/>
        <w:jc w:val="center"/>
      </w:pPr>
      <w:r>
        <w:rPr>
          <w:rFonts w:hint="eastAsia"/>
        </w:rPr>
        <w:t>【不属于监狱企业的无需填写，递交】</w:t>
      </w:r>
    </w:p>
    <w:p w14:paraId="11B97A69">
      <w:pPr>
        <w:ind w:firstLine="480"/>
        <w:rPr>
          <w:rFonts w:ascii="宋体" w:hAnsi="宋体" w:cs="宋体"/>
          <w:kern w:val="0"/>
        </w:rPr>
      </w:pPr>
      <w:r>
        <w:rPr>
          <w:rFonts w:hint="eastAsia"/>
        </w:rPr>
        <w:t>本公司郑重声明，根据《关于政府采购支持监狱企业发展有关问题的通知》(财库【2014】68 号)的规定，本公司为监狱企业。</w:t>
      </w:r>
    </w:p>
    <w:p w14:paraId="1F330279">
      <w:pPr>
        <w:ind w:firstLine="480"/>
        <w:rPr>
          <w:u w:val="single"/>
        </w:rPr>
      </w:pPr>
      <w:r>
        <w:rPr>
          <w:rFonts w:hint="eastAsia"/>
        </w:rPr>
        <w:t>根据上述描述，我公司属于监狱企业的理由为：</w:t>
      </w:r>
    </w:p>
    <w:p w14:paraId="79C25FB2">
      <w:pPr>
        <w:ind w:firstLine="630" w:firstLineChars="300"/>
      </w:pPr>
      <w:r>
        <w:rPr>
          <w:rFonts w:hint="eastAsia"/>
        </w:rPr>
        <w:t>本公司为参加  (项目名称) (项目编号： )采购活动提供本企业（填写制造的货物，由本企业承担工程、提供服务）。</w:t>
      </w:r>
    </w:p>
    <w:p w14:paraId="48ED1BAB">
      <w:pPr>
        <w:ind w:firstLine="480"/>
      </w:pPr>
      <w:r>
        <w:rPr>
          <w:rFonts w:hint="eastAsia"/>
        </w:rPr>
        <w:t>本条所称货物不包括使用大型企业注册商标的货物和服务。</w:t>
      </w:r>
    </w:p>
    <w:p w14:paraId="12BCB99C">
      <w:pPr>
        <w:ind w:firstLine="480"/>
      </w:pPr>
      <w:r>
        <w:rPr>
          <w:rFonts w:hint="eastAsia"/>
        </w:rPr>
        <w:t>本公司对上述声明的真实性负责。如有虚假，将依法承担相应责任。</w:t>
      </w:r>
    </w:p>
    <w:p w14:paraId="26F57C1A">
      <w:pPr>
        <w:ind w:firstLine="480"/>
      </w:pPr>
    </w:p>
    <w:p w14:paraId="7071AEA3">
      <w:pPr>
        <w:ind w:firstLine="480"/>
      </w:pPr>
    </w:p>
    <w:p w14:paraId="09CB409A">
      <w:pPr>
        <w:ind w:firstLine="480"/>
      </w:pPr>
    </w:p>
    <w:p w14:paraId="3023C70A">
      <w:pPr>
        <w:ind w:firstLine="480"/>
      </w:pPr>
    </w:p>
    <w:p w14:paraId="7ADA722C">
      <w:pPr>
        <w:ind w:firstLine="480"/>
      </w:pPr>
    </w:p>
    <w:p w14:paraId="78E1935A">
      <w:pPr>
        <w:pStyle w:val="5"/>
        <w:widowControl/>
        <w:ind w:firstLine="480"/>
        <w:jc w:val="center"/>
        <w:rPr>
          <w:rFonts w:ascii="宋体" w:hAnsi="宋体" w:cs="宋体"/>
          <w:sz w:val="24"/>
          <w:szCs w:val="24"/>
          <w:u w:val="single"/>
        </w:rPr>
      </w:pPr>
      <w:r>
        <w:rPr>
          <w:rFonts w:hint="eastAsia" w:ascii="宋体" w:hAnsi="宋体" w:cs="宋体"/>
          <w:sz w:val="24"/>
          <w:szCs w:val="24"/>
        </w:rPr>
        <w:t xml:space="preserve">                            投标人(盖单位电子章)：</w:t>
      </w:r>
    </w:p>
    <w:p w14:paraId="40662FA0">
      <w:pPr>
        <w:pStyle w:val="5"/>
        <w:widowControl/>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rPr>
        <w:t>签字或盖电子章</w:t>
      </w:r>
      <w:r>
        <w:rPr>
          <w:rFonts w:hint="eastAsia" w:ascii="宋体" w:hAnsi="宋体" w:cs="宋体"/>
          <w:sz w:val="24"/>
          <w:szCs w:val="24"/>
        </w:rPr>
        <w:t>）：</w:t>
      </w:r>
    </w:p>
    <w:p w14:paraId="5E14C96A">
      <w:pPr>
        <w:autoSpaceDE w:val="0"/>
        <w:autoSpaceDN w:val="0"/>
        <w:adjustRightInd w:val="0"/>
        <w:spacing w:line="500" w:lineRule="exact"/>
        <w:ind w:firstLine="480"/>
        <w:jc w:val="center"/>
        <w:rPr>
          <w:rFonts w:ascii="宋体" w:hAnsi="宋体" w:cs="宋体"/>
        </w:rPr>
      </w:pPr>
      <w:r>
        <w:rPr>
          <w:rFonts w:hint="eastAsia" w:ascii="宋体" w:hAnsi="宋体" w:cs="宋体"/>
          <w:kern w:val="0"/>
        </w:rPr>
        <w:t xml:space="preserve">                  日期：年月日</w:t>
      </w:r>
    </w:p>
    <w:p w14:paraId="0283750A">
      <w:pPr>
        <w:ind w:firstLine="480"/>
        <w:jc w:val="right"/>
      </w:pPr>
    </w:p>
    <w:p w14:paraId="4E399F15">
      <w:pPr>
        <w:ind w:firstLine="480"/>
      </w:pPr>
    </w:p>
    <w:p w14:paraId="66A8734B">
      <w:pPr>
        <w:ind w:firstLine="480"/>
      </w:pPr>
    </w:p>
    <w:p w14:paraId="1BA443DD">
      <w:pPr>
        <w:ind w:firstLine="480"/>
      </w:pPr>
    </w:p>
    <w:p w14:paraId="69EE84F5">
      <w:pPr>
        <w:pStyle w:val="3"/>
        <w:jc w:val="center"/>
      </w:pPr>
      <w:r>
        <w:rPr>
          <w:rFonts w:hint="eastAsia"/>
        </w:rPr>
        <w:t>十一、招标文件要求的其它材料及投标人认为有必要提供的材料</w:t>
      </w:r>
      <w:bookmarkEnd w:id="180"/>
    </w:p>
    <w:p w14:paraId="08B6A1C6">
      <w:pPr>
        <w:ind w:firstLine="480"/>
      </w:pPr>
      <w:r>
        <w:rPr>
          <w:rFonts w:hint="eastAsia"/>
        </w:rPr>
        <w:t>1、采购项目及服务所需要提供的其他材料、投标须知所需要提供的其他材料。</w:t>
      </w:r>
    </w:p>
    <w:p w14:paraId="3A05AD41">
      <w:pPr>
        <w:ind w:firstLine="480"/>
      </w:pPr>
      <w:r>
        <w:rPr>
          <w:rFonts w:hint="eastAsia"/>
        </w:rPr>
        <w:t>2、投标人认为应该提交的其他资料。</w:t>
      </w:r>
    </w:p>
    <w:p w14:paraId="5197CCBC"/>
    <w:sectPr>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93F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B9F5">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CE63">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2CDB">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C54A9B">
                          <w:pPr>
                            <w:pStyle w:val="11"/>
                            <w:ind w:firstLine="360"/>
                            <w:jc w:val="center"/>
                          </w:pPr>
                          <w:r>
                            <w:fldChar w:fldCharType="begin"/>
                          </w:r>
                          <w:r>
                            <w:instrText xml:space="preserve">PAGE   \* MERGEFORMAT</w:instrText>
                          </w:r>
                          <w:r>
                            <w:fldChar w:fldCharType="separate"/>
                          </w:r>
                          <w:r>
                            <w:rPr>
                              <w:lang w:val="zh-CN"/>
                            </w:rPr>
                            <w:t>45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6C54A9B">
                    <w:pPr>
                      <w:pStyle w:val="11"/>
                      <w:ind w:firstLine="360"/>
                      <w:jc w:val="center"/>
                    </w:pPr>
                    <w:r>
                      <w:fldChar w:fldCharType="begin"/>
                    </w:r>
                    <w:r>
                      <w:instrText xml:space="preserve">PAGE   \* MERGEFORMAT</w:instrText>
                    </w:r>
                    <w:r>
                      <w:fldChar w:fldCharType="separate"/>
                    </w:r>
                    <w:r>
                      <w:rPr>
                        <w:lang w:val="zh-CN"/>
                      </w:rPr>
                      <w:t>45</w:t>
                    </w:r>
                    <w:r>
                      <w:rPr>
                        <w:lang w:val="zh-CN"/>
                      </w:rPr>
                      <w:fldChar w:fldCharType="end"/>
                    </w:r>
                  </w:p>
                </w:txbxContent>
              </v:textbox>
            </v:shape>
          </w:pict>
        </mc:Fallback>
      </mc:AlternateContent>
    </w:r>
  </w:p>
  <w:p w14:paraId="3FA30158">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6E13">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90D7D8">
                          <w:pPr>
                            <w:pStyle w:val="11"/>
                            <w:ind w:firstLine="360"/>
                            <w:jc w:val="center"/>
                          </w:pPr>
                          <w:r>
                            <w:fldChar w:fldCharType="begin"/>
                          </w:r>
                          <w:r>
                            <w:instrText xml:space="preserve">PAGE   \* MERGEFORMAT</w:instrText>
                          </w:r>
                          <w:r>
                            <w:fldChar w:fldCharType="separate"/>
                          </w:r>
                          <w:r>
                            <w:rPr>
                              <w:lang w:val="zh-CN"/>
                            </w:rPr>
                            <w:t>59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490D7D8">
                    <w:pPr>
                      <w:pStyle w:val="11"/>
                      <w:ind w:firstLine="360"/>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14:paraId="26B0F81D">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C0EA">
    <w:pPr>
      <w:spacing w:line="14" w:lineRule="auto"/>
      <w:ind w:firstLine="480"/>
      <w:rPr>
        <w:sz w:val="20"/>
        <w:szCs w:val="20"/>
      </w:rPr>
    </w:pPr>
    <w:r>
      <mc:AlternateContent>
        <mc:Choice Requires="wps">
          <w:drawing>
            <wp:anchor distT="0" distB="0" distL="114300" distR="114300" simplePos="0" relativeHeight="251659264" behindDoc="1" locked="0" layoutInCell="1" allowOverlap="1">
              <wp:simplePos x="0" y="0"/>
              <wp:positionH relativeFrom="page">
                <wp:posOffset>864870</wp:posOffset>
              </wp:positionH>
              <wp:positionV relativeFrom="page">
                <wp:posOffset>533400</wp:posOffset>
              </wp:positionV>
              <wp:extent cx="34925" cy="4445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4925" cy="44450"/>
                      </a:xfrm>
                      <a:prstGeom prst="rect">
                        <a:avLst/>
                      </a:prstGeom>
                      <a:noFill/>
                      <a:ln>
                        <a:noFill/>
                      </a:ln>
                      <a:effectLst/>
                    </wps:spPr>
                    <wps:txbx>
                      <w:txbxContent>
                        <w:p w14:paraId="2FDD502D">
                          <w:pPr>
                            <w:spacing w:before="10"/>
                            <w:ind w:firstLine="60"/>
                            <w:jc w:val="center"/>
                            <w:rPr>
                              <w:rFonts w:ascii="宋体" w:hAnsi="宋体" w:cs="宋体"/>
                              <w:sz w:val="3"/>
                              <w:szCs w:val="3"/>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1pt;margin-top:42pt;height:3.5pt;width:2.75pt;mso-position-horizontal-relative:page;mso-position-vertical-relative:page;z-index:-251657216;mso-width-relative:page;mso-height-relative:page;" filled="f" stroked="f" coordsize="21600,21600" o:gfxdata="UEsDBAoAAAAAAIdO4kAAAAAAAAAAAAAAAAAEAAAAZHJzL1BLAwQUAAAACACHTuJADruBLNgAAAAJ&#10;AQAADwAAAGRycy9kb3ducmV2LnhtbE2Py07DMBBF90j8gzWV2FE7pQptGqdCCFZIiDQsWDrxNIka&#10;j0PsPvh7pitYXs3RnXPz7cUN4oRT6D1pSOYKBFLjbU+ths/q9X4FIkRD1gyeUMMPBtgWtze5yaw/&#10;U4mnXWwFl1DIjIYuxjGTMjQdOhPmfkTi295PzkSOUyvtZM5c7ga5UCqVzvTEHzoz4nOHzWF3dBqe&#10;vqh86b/f649yX/ZVtVb0lh60vpslagMi4iX+wXDVZ3Uo2Kn2R7JBDJwf0gWjGlZL3nQFlskjiFrD&#10;OlEgi1z+X1D8AlBLAwQUAAAACACHTuJA9RGZkxECAAASBAAADgAAAGRycy9lMm9Eb2MueG1srVPN&#10;bhMxEL4j8Q6W72STkCK6yqYqjYqQyo9UeADH681arD1m7GQ3PAC8AScu3HmuPEfHdhJKufTAZTUe&#10;z3ye75tv5xeD6dhWoddgKz4ZjTlTVkKt7brinz5eP3vJmQ/C1qIDqyq+U55fLJ4+mfeuVFNooasV&#10;MgKxvuxdxdsQXFkUXrbKCD8CpyxdNoBGBDriuqhR9IRuumI6Hr8oesDaIUjlPWWX+ZIfEPExgNA0&#10;WqolyI1RNmRUVJ0IRMm32nm+SNM2jZLhfdN4FVhXcWIa0pceoXgVv8ViLso1CtdqeRhBPGaEB5yM&#10;0JYePUEtRRBsg/ofKKMlgocmjCSYIhNJihCLyfiBNretcCpxIam9O4nu/x+sfLf9gEzX5IQJZ1YY&#10;2vj+x/f9z9/7X98Y5Uig3vmS6m4dVYbhFQxUnMh6dwPys2cWrlph1+oSEfpWiZoGTJ3FvdaM4yPI&#10;qn8LNT0kNgES0NCgieqRHozQaTm703LUEJik5PPZ+fSMM0k3s9nsLK2uEOWx1aEPrxUYFoOKI20+&#10;QYvtjQ9EgkqPJfElC9e669L2O/tXggpzRiX7HLojkTh7ZhGG1XAQZgX1jighZGvRj0VBC/iVs55s&#10;VXH/ZSNQcda9sSRL9OAxwGOwOgbCSmqteOAsh1che3XjUK9bQs7CW7gk6RqdiMXR8hTEMh7IKonv&#10;wdbRi/fPqerPr7y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67gSzYAAAACQEAAA8AAAAAAAAA&#10;AQAgAAAAIgAAAGRycy9kb3ducmV2LnhtbFBLAQIUABQAAAAIAIdO4kD1EZmTEQIAABIEAAAOAAAA&#10;AAAAAAEAIAAAACcBAABkcnMvZTJvRG9jLnhtbFBLBQYAAAAABgAGAFkBAACqBQAAAAA=&#10;">
              <v:fill on="f" focussize="0,0"/>
              <v:stroke on="f"/>
              <v:imagedata o:title=""/>
              <o:lock v:ext="edit" aspectratio="f"/>
              <v:textbox inset="0mm,0mm,0mm,0mm">
                <w:txbxContent>
                  <w:p w14:paraId="2FDD502D">
                    <w:pPr>
                      <w:spacing w:before="10"/>
                      <w:ind w:firstLine="60"/>
                      <w:jc w:val="center"/>
                      <w:rPr>
                        <w:rFonts w:ascii="宋体" w:hAnsi="宋体" w:cs="宋体"/>
                        <w:sz w:val="3"/>
                        <w:szCs w:val="3"/>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632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011D">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8D340"/>
    <w:multiLevelType w:val="singleLevel"/>
    <w:tmpl w:val="0BF8D340"/>
    <w:lvl w:ilvl="0" w:tentative="0">
      <w:start w:val="1"/>
      <w:numFmt w:val="chineseCounting"/>
      <w:suff w:val="nothing"/>
      <w:lvlText w:val="%1、"/>
      <w:lvlJc w:val="left"/>
      <w:rPr>
        <w:rFonts w:hint="eastAsia"/>
      </w:rPr>
    </w:lvl>
  </w:abstractNum>
  <w:abstractNum w:abstractNumId="1">
    <w:nsid w:val="15E9B01A"/>
    <w:multiLevelType w:val="singleLevel"/>
    <w:tmpl w:val="15E9B01A"/>
    <w:lvl w:ilvl="0" w:tentative="0">
      <w:start w:val="1"/>
      <w:numFmt w:val="chineseCounting"/>
      <w:suff w:val="nothing"/>
      <w:lvlText w:val="（%1）"/>
      <w:lvlJc w:val="left"/>
      <w:rPr>
        <w:rFonts w:hint="eastAsia"/>
      </w:rPr>
    </w:lvl>
  </w:abstractNum>
  <w:abstractNum w:abstractNumId="2">
    <w:nsid w:val="2E62A7B0"/>
    <w:multiLevelType w:val="singleLevel"/>
    <w:tmpl w:val="2E62A7B0"/>
    <w:lvl w:ilvl="0" w:tentative="0">
      <w:start w:val="1"/>
      <w:numFmt w:val="decimal"/>
      <w:suff w:val="nothing"/>
      <w:lvlText w:val="%1、"/>
      <w:lvlJc w:val="left"/>
    </w:lvl>
  </w:abstractNum>
  <w:abstractNum w:abstractNumId="3">
    <w:nsid w:val="348A4D32"/>
    <w:multiLevelType w:val="singleLevel"/>
    <w:tmpl w:val="348A4D32"/>
    <w:lvl w:ilvl="0" w:tentative="0">
      <w:start w:val="10"/>
      <w:numFmt w:val="chineseCounting"/>
      <w:suff w:val="nothing"/>
      <w:lvlText w:val="%1、"/>
      <w:lvlJc w:val="left"/>
      <w:rPr>
        <w:rFonts w:hint="eastAsia"/>
      </w:rPr>
    </w:lvl>
  </w:abstractNum>
  <w:abstractNum w:abstractNumId="4">
    <w:nsid w:val="6B8C7F78"/>
    <w:multiLevelType w:val="multilevel"/>
    <w:tmpl w:val="6B8C7F78"/>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BEB662E"/>
    <w:multiLevelType w:val="singleLevel"/>
    <w:tmpl w:val="6BEB662E"/>
    <w:lvl w:ilvl="0" w:tentative="0">
      <w:start w:val="1"/>
      <w:numFmt w:val="decimal"/>
      <w:suff w:val="nothing"/>
      <w:lvlText w:val="%1、"/>
      <w:lvlJc w:val="left"/>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66605bab-fa2a-4643-90bd-1f8ff18093a7"/>
  </w:docVars>
  <w:rsids>
    <w:rsidRoot w:val="00CE6930"/>
    <w:rsid w:val="000A5747"/>
    <w:rsid w:val="00366E60"/>
    <w:rsid w:val="00375EA3"/>
    <w:rsid w:val="00683693"/>
    <w:rsid w:val="00990E7D"/>
    <w:rsid w:val="00A6244D"/>
    <w:rsid w:val="00B96560"/>
    <w:rsid w:val="00C01581"/>
    <w:rsid w:val="00CE6930"/>
    <w:rsid w:val="00D9637F"/>
    <w:rsid w:val="00FC25B7"/>
    <w:rsid w:val="016D6AC7"/>
    <w:rsid w:val="01E4322D"/>
    <w:rsid w:val="037164F2"/>
    <w:rsid w:val="039C2B2B"/>
    <w:rsid w:val="03C71844"/>
    <w:rsid w:val="04F973C6"/>
    <w:rsid w:val="05BB6053"/>
    <w:rsid w:val="060B0484"/>
    <w:rsid w:val="06A87534"/>
    <w:rsid w:val="06AD2361"/>
    <w:rsid w:val="0878022B"/>
    <w:rsid w:val="08EB4EA1"/>
    <w:rsid w:val="091B170F"/>
    <w:rsid w:val="09684744"/>
    <w:rsid w:val="0A334D52"/>
    <w:rsid w:val="0A894972"/>
    <w:rsid w:val="0AA169BC"/>
    <w:rsid w:val="0AAE2CB3"/>
    <w:rsid w:val="0AB94B2B"/>
    <w:rsid w:val="0C1F1F65"/>
    <w:rsid w:val="0C6A1390"/>
    <w:rsid w:val="0D716752"/>
    <w:rsid w:val="0EB5287F"/>
    <w:rsid w:val="0EC619EF"/>
    <w:rsid w:val="0F9F69E6"/>
    <w:rsid w:val="0FC95811"/>
    <w:rsid w:val="0FEB2196"/>
    <w:rsid w:val="10BB784F"/>
    <w:rsid w:val="10EF12A7"/>
    <w:rsid w:val="111D4066"/>
    <w:rsid w:val="1145536B"/>
    <w:rsid w:val="1281055E"/>
    <w:rsid w:val="12CD7ED2"/>
    <w:rsid w:val="149503B7"/>
    <w:rsid w:val="163065E9"/>
    <w:rsid w:val="171A6385"/>
    <w:rsid w:val="17D17958"/>
    <w:rsid w:val="17F8156D"/>
    <w:rsid w:val="189270E7"/>
    <w:rsid w:val="198729C4"/>
    <w:rsid w:val="199926F8"/>
    <w:rsid w:val="1AFB38F5"/>
    <w:rsid w:val="1C810DC4"/>
    <w:rsid w:val="1CCB2BC8"/>
    <w:rsid w:val="1D345E59"/>
    <w:rsid w:val="1D65301C"/>
    <w:rsid w:val="1E5411DB"/>
    <w:rsid w:val="1E5B0DF5"/>
    <w:rsid w:val="1E5E6309"/>
    <w:rsid w:val="1FF93EF0"/>
    <w:rsid w:val="20BD609A"/>
    <w:rsid w:val="20DF487F"/>
    <w:rsid w:val="211A33BC"/>
    <w:rsid w:val="21E0250F"/>
    <w:rsid w:val="223C6316"/>
    <w:rsid w:val="22C00CF5"/>
    <w:rsid w:val="23104D3E"/>
    <w:rsid w:val="2431017D"/>
    <w:rsid w:val="25D074A1"/>
    <w:rsid w:val="26797B39"/>
    <w:rsid w:val="26D66D39"/>
    <w:rsid w:val="26D74A84"/>
    <w:rsid w:val="2725381D"/>
    <w:rsid w:val="27C40D34"/>
    <w:rsid w:val="27E014F2"/>
    <w:rsid w:val="2916264F"/>
    <w:rsid w:val="295B4F1E"/>
    <w:rsid w:val="2A4C4DF3"/>
    <w:rsid w:val="2B7810DC"/>
    <w:rsid w:val="2BB1742D"/>
    <w:rsid w:val="2C9A5592"/>
    <w:rsid w:val="2D393B7E"/>
    <w:rsid w:val="2DA74F8B"/>
    <w:rsid w:val="2DED6716"/>
    <w:rsid w:val="2EFE6E2D"/>
    <w:rsid w:val="304271ED"/>
    <w:rsid w:val="30F8084C"/>
    <w:rsid w:val="31A16195"/>
    <w:rsid w:val="31AA6DF8"/>
    <w:rsid w:val="3260395B"/>
    <w:rsid w:val="32BF709E"/>
    <w:rsid w:val="33664FA1"/>
    <w:rsid w:val="336E3E55"/>
    <w:rsid w:val="340C7F73"/>
    <w:rsid w:val="34480B4A"/>
    <w:rsid w:val="34B64295"/>
    <w:rsid w:val="34C4325A"/>
    <w:rsid w:val="350902DA"/>
    <w:rsid w:val="357240D1"/>
    <w:rsid w:val="36251143"/>
    <w:rsid w:val="37254647"/>
    <w:rsid w:val="37C41FF5"/>
    <w:rsid w:val="387A3159"/>
    <w:rsid w:val="38DE382B"/>
    <w:rsid w:val="39D63BC2"/>
    <w:rsid w:val="3A287454"/>
    <w:rsid w:val="3A9B336A"/>
    <w:rsid w:val="3AA1331F"/>
    <w:rsid w:val="3AB3717D"/>
    <w:rsid w:val="3AC0143A"/>
    <w:rsid w:val="3B9311F5"/>
    <w:rsid w:val="3BA703AE"/>
    <w:rsid w:val="3C7D6BF2"/>
    <w:rsid w:val="3CBD0327"/>
    <w:rsid w:val="3D6C7658"/>
    <w:rsid w:val="3E9924C6"/>
    <w:rsid w:val="3F033FEC"/>
    <w:rsid w:val="3F0D09C6"/>
    <w:rsid w:val="3F1F4257"/>
    <w:rsid w:val="3F634463"/>
    <w:rsid w:val="3FE54796"/>
    <w:rsid w:val="400C12EA"/>
    <w:rsid w:val="403B7942"/>
    <w:rsid w:val="41200E85"/>
    <w:rsid w:val="422449A5"/>
    <w:rsid w:val="42597CE0"/>
    <w:rsid w:val="428A2A07"/>
    <w:rsid w:val="42C66A7D"/>
    <w:rsid w:val="42E96B9B"/>
    <w:rsid w:val="432A3CA1"/>
    <w:rsid w:val="43C51E84"/>
    <w:rsid w:val="452007FA"/>
    <w:rsid w:val="46396545"/>
    <w:rsid w:val="4674138D"/>
    <w:rsid w:val="48F7294B"/>
    <w:rsid w:val="48F86243"/>
    <w:rsid w:val="497D499A"/>
    <w:rsid w:val="4AAA6C4F"/>
    <w:rsid w:val="4ACE1952"/>
    <w:rsid w:val="4BDF648E"/>
    <w:rsid w:val="4C4A0897"/>
    <w:rsid w:val="4CBA1477"/>
    <w:rsid w:val="4CEA3DB4"/>
    <w:rsid w:val="4D926C66"/>
    <w:rsid w:val="4DF90FBA"/>
    <w:rsid w:val="4E9B1B4B"/>
    <w:rsid w:val="4ECB2D04"/>
    <w:rsid w:val="4F8B7E11"/>
    <w:rsid w:val="5099030C"/>
    <w:rsid w:val="52095598"/>
    <w:rsid w:val="521031F2"/>
    <w:rsid w:val="52867775"/>
    <w:rsid w:val="53BC2C8F"/>
    <w:rsid w:val="53CA406A"/>
    <w:rsid w:val="53CE051D"/>
    <w:rsid w:val="549239F0"/>
    <w:rsid w:val="550276D2"/>
    <w:rsid w:val="553B1543"/>
    <w:rsid w:val="55681E6C"/>
    <w:rsid w:val="56343BB7"/>
    <w:rsid w:val="563475F6"/>
    <w:rsid w:val="567A0CA1"/>
    <w:rsid w:val="572052E3"/>
    <w:rsid w:val="57E36310"/>
    <w:rsid w:val="58F622E3"/>
    <w:rsid w:val="594A3716"/>
    <w:rsid w:val="5A2A6479"/>
    <w:rsid w:val="5BA65FD3"/>
    <w:rsid w:val="5BB10BFF"/>
    <w:rsid w:val="5BBB22A1"/>
    <w:rsid w:val="5BD57887"/>
    <w:rsid w:val="5D79399F"/>
    <w:rsid w:val="5DA64068"/>
    <w:rsid w:val="5DF846C7"/>
    <w:rsid w:val="5EEA1C11"/>
    <w:rsid w:val="60206354"/>
    <w:rsid w:val="60601951"/>
    <w:rsid w:val="60D94755"/>
    <w:rsid w:val="60E23609"/>
    <w:rsid w:val="612E2CF2"/>
    <w:rsid w:val="61363955"/>
    <w:rsid w:val="618D0051"/>
    <w:rsid w:val="61B35DEF"/>
    <w:rsid w:val="61D5316E"/>
    <w:rsid w:val="62A274F4"/>
    <w:rsid w:val="632717A7"/>
    <w:rsid w:val="64DB4CF3"/>
    <w:rsid w:val="65366619"/>
    <w:rsid w:val="65710388"/>
    <w:rsid w:val="65735178"/>
    <w:rsid w:val="65A73073"/>
    <w:rsid w:val="65D11E9E"/>
    <w:rsid w:val="66E86EAD"/>
    <w:rsid w:val="67C27879"/>
    <w:rsid w:val="696D1EDE"/>
    <w:rsid w:val="6A097E59"/>
    <w:rsid w:val="6AC4112D"/>
    <w:rsid w:val="6B7F05D8"/>
    <w:rsid w:val="6B8444E3"/>
    <w:rsid w:val="6CAA3643"/>
    <w:rsid w:val="6CB30550"/>
    <w:rsid w:val="6CE30E35"/>
    <w:rsid w:val="6CEF6604"/>
    <w:rsid w:val="6D0D4104"/>
    <w:rsid w:val="6D870701"/>
    <w:rsid w:val="6DB4457F"/>
    <w:rsid w:val="6E363B46"/>
    <w:rsid w:val="6ED36C87"/>
    <w:rsid w:val="6F12155D"/>
    <w:rsid w:val="6F4835E0"/>
    <w:rsid w:val="6FB40867"/>
    <w:rsid w:val="70286A83"/>
    <w:rsid w:val="712F423E"/>
    <w:rsid w:val="71545113"/>
    <w:rsid w:val="716A6607"/>
    <w:rsid w:val="7215015A"/>
    <w:rsid w:val="7341582F"/>
    <w:rsid w:val="74F267EA"/>
    <w:rsid w:val="74F57957"/>
    <w:rsid w:val="761756AB"/>
    <w:rsid w:val="7678122F"/>
    <w:rsid w:val="76783176"/>
    <w:rsid w:val="76930B91"/>
    <w:rsid w:val="76BD26F7"/>
    <w:rsid w:val="775752A4"/>
    <w:rsid w:val="77B15F64"/>
    <w:rsid w:val="7826172C"/>
    <w:rsid w:val="785E3A65"/>
    <w:rsid w:val="787E5EB6"/>
    <w:rsid w:val="798224A9"/>
    <w:rsid w:val="79FF063F"/>
    <w:rsid w:val="7A0B495C"/>
    <w:rsid w:val="7AD82EE6"/>
    <w:rsid w:val="7AFF5CF1"/>
    <w:rsid w:val="7B0E6C4F"/>
    <w:rsid w:val="7BB0282A"/>
    <w:rsid w:val="7D2D3A06"/>
    <w:rsid w:val="7E4D5D05"/>
    <w:rsid w:val="7F82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0"/>
    <w:pPr>
      <w:keepNext/>
      <w:keepLines/>
      <w:jc w:val="center"/>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Cambria" w:hAnsi="Cambria" w:cs="宋体"/>
      <w:b/>
      <w:bCs/>
      <w:sz w:val="32"/>
      <w:szCs w:val="32"/>
    </w:rPr>
  </w:style>
  <w:style w:type="paragraph" w:styleId="4">
    <w:name w:val="heading 3"/>
    <w:basedOn w:val="1"/>
    <w:next w:val="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kern w:val="0"/>
      <w:sz w:val="20"/>
      <w:szCs w:val="20"/>
    </w:rPr>
  </w:style>
  <w:style w:type="paragraph" w:styleId="6">
    <w:name w:val="Body Text"/>
    <w:basedOn w:val="1"/>
    <w:next w:val="7"/>
    <w:qFormat/>
    <w:uiPriority w:val="0"/>
    <w:pPr>
      <w:spacing w:after="120"/>
    </w:pPr>
    <w:rPr>
      <w:kern w:val="0"/>
      <w:sz w:val="20"/>
    </w:rPr>
  </w:style>
  <w:style w:type="paragraph" w:styleId="7">
    <w:name w:val="Date"/>
    <w:basedOn w:val="1"/>
    <w:next w:val="1"/>
    <w:qFormat/>
    <w:uiPriority w:val="0"/>
    <w:pPr>
      <w:ind w:left="100" w:leftChars="2500"/>
    </w:pPr>
    <w:rPr>
      <w:szCs w:val="20"/>
    </w:rPr>
  </w:style>
  <w:style w:type="paragraph" w:styleId="8">
    <w:name w:val="Body Text Indent"/>
    <w:basedOn w:val="1"/>
    <w:next w:val="9"/>
    <w:qFormat/>
    <w:uiPriority w:val="0"/>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pPr>
      <w:autoSpaceDE w:val="0"/>
      <w:autoSpaceDN w:val="0"/>
    </w:pPr>
    <w:rPr>
      <w:rFonts w:ascii="宋体" w:hAnsi="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utoSpaceDE w:val="0"/>
      <w:autoSpaceDN w:val="0"/>
      <w:adjustRightInd w:val="0"/>
      <w:ind w:firstLine="1404" w:firstLineChars="585"/>
      <w:jc w:val="left"/>
    </w:pPr>
    <w:rPr>
      <w:rFonts w:hint="eastAsia" w:ascii="宋体"/>
      <w:kern w:val="0"/>
    </w:rPr>
  </w:style>
  <w:style w:type="paragraph" w:styleId="14">
    <w:name w:val="Body Text 2"/>
    <w:basedOn w:val="1"/>
    <w:next w:val="6"/>
    <w:qFormat/>
    <w:uiPriority w:val="0"/>
    <w:pPr>
      <w:spacing w:line="480" w:lineRule="auto"/>
    </w:pPr>
  </w:style>
  <w:style w:type="paragraph" w:styleId="15">
    <w:name w:val="Normal (Web)"/>
    <w:basedOn w:val="1"/>
    <w:qFormat/>
    <w:uiPriority w:val="99"/>
    <w:pPr>
      <w:widowControl/>
      <w:spacing w:before="100" w:beforeAutospacing="1" w:after="100" w:afterAutospacing="1"/>
      <w:jc w:val="left"/>
    </w:pPr>
    <w:rPr>
      <w:rFonts w:ascii="宋体" w:hAnsi="宋体" w:cs="宋体"/>
      <w:kern w:val="0"/>
    </w:rPr>
  </w:style>
  <w:style w:type="paragraph" w:styleId="16">
    <w:name w:val="Body Text First Indent"/>
    <w:basedOn w:val="6"/>
    <w:next w:val="17"/>
    <w:qFormat/>
    <w:uiPriority w:val="0"/>
    <w:pPr>
      <w:ind w:firstLine="420"/>
    </w:pPr>
  </w:style>
  <w:style w:type="paragraph" w:styleId="17">
    <w:name w:val="Body Text First Indent 2"/>
    <w:basedOn w:val="1"/>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color w:val="444444"/>
      <w:sz w:val="16"/>
      <w:szCs w:val="16"/>
      <w:u w:val="none"/>
    </w:rPr>
  </w:style>
  <w:style w:type="character" w:styleId="22">
    <w:name w:val="Emphasis"/>
    <w:qFormat/>
    <w:uiPriority w:val="0"/>
    <w:rPr>
      <w:rFonts w:ascii="宋体" w:cs="宋体"/>
      <w:sz w:val="24"/>
      <w:lang w:bidi="ar-SA"/>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qFormat/>
    <w:uiPriority w:val="0"/>
    <w:rPr>
      <w:color w:val="333333"/>
      <w:u w:val="none"/>
    </w:rPr>
  </w:style>
  <w:style w:type="character" w:styleId="28">
    <w:name w:val="HTML Code"/>
    <w:basedOn w:val="20"/>
    <w:qFormat/>
    <w:uiPriority w:val="0"/>
    <w:rPr>
      <w:rFonts w:hint="default"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Char Char10 Char Char Char Char"/>
    <w:basedOn w:val="1"/>
    <w:next w:val="34"/>
    <w:qFormat/>
    <w:uiPriority w:val="99"/>
  </w:style>
  <w:style w:type="paragraph" w:customStyle="1" w:styleId="34">
    <w:name w:val="xl87"/>
    <w:basedOn w:val="1"/>
    <w:next w:val="35"/>
    <w:qFormat/>
    <w:uiPriority w:val="0"/>
    <w:pPr>
      <w:shd w:val="clear" w:color="FFFFFF" w:fill="FFFFFF"/>
      <w:spacing w:before="100" w:beforeAutospacing="1" w:after="100" w:afterAutospacing="1"/>
      <w:jc w:val="right"/>
      <w:textAlignment w:val="top"/>
    </w:pPr>
    <w:rPr>
      <w:rFonts w:ascii="宋体" w:hAnsi="宋体" w:cs="宋体"/>
      <w:sz w:val="24"/>
    </w:rPr>
  </w:style>
  <w:style w:type="paragraph" w:customStyle="1" w:styleId="35">
    <w:name w:val="xl72"/>
    <w:basedOn w:val="1"/>
    <w:next w:val="7"/>
    <w:qFormat/>
    <w:uiPriority w:val="0"/>
    <w:pPr>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sz w:val="24"/>
    </w:rPr>
  </w:style>
  <w:style w:type="paragraph" w:customStyle="1" w:styleId="36">
    <w:name w:val="首行缩进"/>
    <w:basedOn w:val="1"/>
    <w:qFormat/>
    <w:uiPriority w:val="99"/>
    <w:pPr>
      <w:ind w:firstLine="480" w:firstLineChars="200"/>
    </w:pPr>
    <w:rPr>
      <w:szCs w:val="24"/>
      <w:lang w:val="zh-CN"/>
    </w:rPr>
  </w:style>
  <w:style w:type="character" w:customStyle="1" w:styleId="37">
    <w:name w:val="标题 1 Char"/>
    <w:basedOn w:val="20"/>
    <w:link w:val="2"/>
    <w:qFormat/>
    <w:uiPriority w:val="0"/>
    <w:rPr>
      <w:b/>
      <w:bCs/>
      <w:kern w:val="44"/>
      <w:sz w:val="44"/>
      <w:szCs w:val="44"/>
    </w:rPr>
  </w:style>
  <w:style w:type="paragraph" w:customStyle="1" w:styleId="38">
    <w:name w:val="新正文"/>
    <w:basedOn w:val="1"/>
    <w:qFormat/>
    <w:uiPriority w:val="0"/>
    <w:pPr>
      <w:autoSpaceDE w:val="0"/>
      <w:autoSpaceDN w:val="0"/>
      <w:adjustRightInd w:val="0"/>
      <w:ind w:firstLine="461" w:firstLineChars="192"/>
      <w:jc w:val="left"/>
    </w:pPr>
    <w:rPr>
      <w:rFonts w:hAnsi="宋体"/>
      <w:kern w:val="0"/>
      <w:sz w:val="28"/>
      <w:szCs w:val="28"/>
    </w:rPr>
  </w:style>
  <w:style w:type="paragraph" w:customStyle="1" w:styleId="39">
    <w:name w:val="Table Paragraph"/>
    <w:basedOn w:val="1"/>
    <w:qFormat/>
    <w:uiPriority w:val="1"/>
    <w:pPr>
      <w:autoSpaceDE w:val="0"/>
      <w:autoSpaceDN w:val="0"/>
      <w:jc w:val="left"/>
    </w:pPr>
    <w:rPr>
      <w:kern w:val="0"/>
      <w:sz w:val="22"/>
      <w:lang w:val="zh-CN" w:bidi="zh-CN"/>
    </w:rPr>
  </w:style>
  <w:style w:type="paragraph" w:customStyle="1" w:styleId="40">
    <w:name w:val="表格文字"/>
    <w:basedOn w:val="1"/>
    <w:next w:val="6"/>
    <w:qFormat/>
    <w:uiPriority w:val="0"/>
    <w:pPr>
      <w:adjustRightInd w:val="0"/>
      <w:spacing w:line="420" w:lineRule="atLeast"/>
      <w:jc w:val="left"/>
      <w:textAlignment w:val="baseline"/>
    </w:pPr>
    <w:rPr>
      <w:kern w:val="0"/>
      <w:szCs w:val="20"/>
    </w:rPr>
  </w:style>
  <w:style w:type="paragraph" w:customStyle="1" w:styleId="41">
    <w:name w:val="标题 21"/>
    <w:basedOn w:val="1"/>
    <w:next w:val="42"/>
    <w:qFormat/>
    <w:uiPriority w:val="0"/>
    <w:pPr>
      <w:keepNext/>
      <w:keepLines/>
      <w:spacing w:before="160" w:after="160" w:line="240" w:lineRule="atLeast"/>
      <w:ind w:left="851" w:hanging="425"/>
      <w:outlineLvl w:val="1"/>
    </w:pPr>
    <w:rPr>
      <w:rFonts w:ascii="黑体" w:hAnsi="Arial" w:eastAsia="黑体" w:cs="宋体"/>
      <w:sz w:val="28"/>
      <w:szCs w:val="28"/>
    </w:rPr>
  </w:style>
  <w:style w:type="paragraph" w:customStyle="1" w:styleId="42">
    <w:name w:val="文档正文"/>
    <w:basedOn w:val="1"/>
    <w:qFormat/>
    <w:uiPriority w:val="0"/>
    <w:pPr>
      <w:spacing w:line="480" w:lineRule="atLeast"/>
      <w:ind w:firstLine="567"/>
    </w:pPr>
    <w:rPr>
      <w:rFonts w:ascii="仿宋_GB2312" w:hAnsi="仿宋_GB2312" w:cs="宋体"/>
      <w:sz w:val="28"/>
      <w:szCs w:val="28"/>
    </w:rPr>
  </w:style>
  <w:style w:type="character" w:customStyle="1" w:styleId="43">
    <w:name w:val="hover18"/>
    <w:basedOn w:val="20"/>
    <w:qFormat/>
    <w:uiPriority w:val="0"/>
  </w:style>
  <w:style w:type="character" w:customStyle="1" w:styleId="44">
    <w:name w:val="down"/>
    <w:basedOn w:val="20"/>
    <w:qFormat/>
    <w:uiPriority w:val="0"/>
  </w:style>
  <w:style w:type="character" w:customStyle="1" w:styleId="45">
    <w:name w:val="down1"/>
    <w:basedOn w:val="20"/>
    <w:qFormat/>
    <w:uiPriority w:val="0"/>
  </w:style>
  <w:style w:type="character" w:customStyle="1" w:styleId="46">
    <w:name w:val="font31"/>
    <w:basedOn w:val="20"/>
    <w:qFormat/>
    <w:uiPriority w:val="0"/>
    <w:rPr>
      <w:rFonts w:hint="eastAsia" w:ascii="宋体" w:hAnsi="宋体" w:eastAsia="宋体" w:cs="宋体"/>
      <w:color w:val="000000"/>
      <w:sz w:val="20"/>
      <w:szCs w:val="20"/>
      <w:u w:val="none"/>
    </w:rPr>
  </w:style>
  <w:style w:type="paragraph" w:styleId="4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51665</Words>
  <Characters>58931</Characters>
  <Lines>40</Lines>
  <Paragraphs>74</Paragraphs>
  <TotalTime>2</TotalTime>
  <ScaleCrop>false</ScaleCrop>
  <LinksUpToDate>false</LinksUpToDate>
  <CharactersWithSpaces>61021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殷文柯</dc:creator>
  <cp:lastModifiedBy>河南合旺工程管理咨询有限公司:0219879d_河南合旺工程管理咨询有限公司</cp:lastModifiedBy>
  <cp:lastPrinted>2024-07-30T04:44:00Z</cp:lastPrinted>
  <dcterms:modified xsi:type="dcterms:W3CDTF">2024-07-31T02:30:48Z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D3BFC02C9484491F9EFCDB7358588404</vt:lpwstr>
  </property>
</Properties>
</file>