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rPr>
          <w:rFonts w:hint="eastAsia"/>
          <w:sz w:val="36"/>
          <w:szCs w:val="48"/>
          <w:highlight w:val="none"/>
        </w:rPr>
      </w:pPr>
      <w:bookmarkStart w:id="0" w:name="_Toc25486"/>
      <w:r>
        <w:rPr>
          <w:rFonts w:hint="eastAsia"/>
          <w:sz w:val="36"/>
          <w:szCs w:val="48"/>
          <w:highlight w:val="none"/>
        </w:rPr>
        <w:t>安阳市殷都区环境卫生事务中心车辆保险购买服务项目</w:t>
      </w:r>
    </w:p>
    <w:p>
      <w:pPr>
        <w:pStyle w:val="5"/>
        <w:bidi w:val="0"/>
        <w:rPr>
          <w:rFonts w:hint="eastAsia"/>
          <w:sz w:val="36"/>
          <w:szCs w:val="48"/>
          <w:highlight w:val="none"/>
        </w:rPr>
      </w:pPr>
      <w:r>
        <w:rPr>
          <w:rFonts w:hint="eastAsia"/>
          <w:sz w:val="36"/>
          <w:szCs w:val="48"/>
          <w:highlight w:val="none"/>
        </w:rPr>
        <w:t>竞争性磋商公告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1、采购项目编号：殷磋商-2023-14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2、采购项目名称：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安阳市殷都区环境卫生事务中心车辆保险购买服务项目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3、采购方式：竞争性磋商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4、预算金额：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00000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最高限价：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00000元</w:t>
      </w:r>
    </w:p>
    <w:tbl>
      <w:tblPr>
        <w:tblStyle w:val="23"/>
        <w:tblpPr w:leftFromText="180" w:rightFromText="180" w:vertAnchor="text" w:horzAnchor="page" w:tblpXSpec="center" w:tblpY="46"/>
        <w:tblOverlap w:val="never"/>
        <w:tblW w:w="939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2510"/>
        <w:gridCol w:w="3360"/>
        <w:gridCol w:w="1305"/>
        <w:gridCol w:w="138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5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包号</w:t>
            </w:r>
          </w:p>
        </w:tc>
        <w:tc>
          <w:tcPr>
            <w:tcW w:w="33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包名称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包预算（元）</w:t>
            </w:r>
          </w:p>
        </w:tc>
        <w:tc>
          <w:tcPr>
            <w:tcW w:w="13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包最高限价（元）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5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w w:val="9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殷磋商-2023-14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001001</w:t>
            </w:r>
          </w:p>
        </w:tc>
        <w:tc>
          <w:tcPr>
            <w:tcW w:w="33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安阳市殷都区环境卫生事务中心车辆保险购买服务项目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00000</w:t>
            </w:r>
          </w:p>
        </w:tc>
        <w:tc>
          <w:tcPr>
            <w:tcW w:w="13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00000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5、采购需求（包括但不限于标的的名称、数量、简要技术需求或服务要求等）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（1）项目内容：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安阳市殷都区环境卫生事务中心车辆保险购买服务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（2）数量：1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（3）基本服务要求：详见项目磋商文件第二章；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（4）服务地点：采购人指定地点。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6、合同履行期限：合同签订日起一年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7、本项目是否接受联合体投标：否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8、是否接受进口产品：否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9、是否专门面向中小企业：否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bookmarkStart w:id="1" w:name="_Toc28359080"/>
      <w:bookmarkStart w:id="2" w:name="_Toc35393622"/>
      <w:bookmarkStart w:id="3" w:name="_Toc35393791"/>
      <w:bookmarkStart w:id="4" w:name="_Toc28359003"/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二、申请人的资格要求</w:t>
      </w:r>
      <w:bookmarkEnd w:id="1"/>
      <w:bookmarkEnd w:id="2"/>
      <w:bookmarkEnd w:id="3"/>
      <w:bookmarkEnd w:id="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1、满足《中华人民共和国政府采购法》第二十二条规定；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2、落实政府采购政策满足的资格要求：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本项目非专门面向中小企业采购。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3、本项目的特定资格要求：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3.1 满足《中华人民共和国政府采购法》第二十二条规定的供应商基础性资格要求；供应商自行承诺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格式自拟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并承担后果，承诺书不实的，按《政府采购法》有关提供虚假材料的有关规定给予处罚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3.2项目（标段）资格要求，并提供相关资格证明材料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（1）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无不良信用记录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。（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未列入“信用中国”网站的“失信被执行人”和“重大税收违法失信主体”及“中国政府采购网”网站的“政府采购严重违法失信行为记录名单”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递交《响应文件》后，采购人或者采购代理机构将按以上信用信息查询渠道在解密《响应文件》之前对参加本项目的供应商信用记录进行查询，供应商有上述任一不良信用记录的，其投标将被拒绝、为无效投标。查询的网页内容将以截图或者拍照作为证据留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供应商可不提供相关证明材料。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2）单位负责人为同一人或者存在直接控股、管理关系的不同供应商，不得参加本合同项下的政府采购活动。供应商自行承诺并提供《国家企业信用信息公示系统》中本公司企业信用信息公示报告。承诺书不实的，按《政府采购法》有关提供虚假材料的有关规定给予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为本采购项目提供整体设计、规范编制或者项目管理、监理、检测等服务的供应商，不得再参加本采购项目。供应商自行承诺并承担后果，承诺书不实的，按《政府采购法》有关提供虚假材料的有关规定给予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具有中国银行保险监督管理委员会颁发的《中华人民共和国保险许可证》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同一保险公司的不同支（子）公司，不得同时参加本项目投标。分支公司直接参加投标需提供上一级公司项目授权书。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注：（1）所有证照均应在有效期内，证照如需年检的、应为经年检有效的证照；文中“近”、“前”指距投标截止时间。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资格证明材料（文件）应附于响应文件中并经供应商电子签章。供应商对资格证明文件真实性有效合规承担责任，提供虚假材料的为无效投标并将进一步追究其责任。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）本项目采取资格后审，开标后，将由磋商小组对供应商的资格证明材料（文件）等进行资格审核，未按要求逐一提供、或资格审查不合格的为无效投标，供应商应自负其风险费用。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三、获取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时间：2023年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日至202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日，每天上午00：00至12：00，下午12：00至23：59（</w:t>
      </w:r>
      <w:bookmarkStart w:id="13" w:name="_GoBack"/>
      <w:bookmarkEnd w:id="13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北京时间，法定节假日除外）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地点：登陆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殷都区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公共资源交易中心网站（http://ggzy.anyang.gov.cn/），完成用户注册后、凭企业数字证书点击“投标用户入口”登录“政府采购”系统，获取电子版《磋商文件》及其它资料。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方式：网上下载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售价：0元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四、响应文件提交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截止时间：202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日9时00分（北京时间）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地点：于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殷都区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公共资源交易平台网上上传递交、并由供应商在规定时间远程解密。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五、响应文件开启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时间：202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日9时00分（北京时间）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地点（管理员网上操作地点）：</w:t>
      </w:r>
      <w:r>
        <w:rPr>
          <w:rFonts w:hint="eastAsia" w:ascii="宋体" w:hAnsi="宋体" w:eastAsia="宋体" w:cs="宋体"/>
          <w:sz w:val="24"/>
          <w:highlight w:val="none"/>
        </w:rPr>
        <w:t>殷都区公共资源交易中心二楼开标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highlight w:val="none"/>
        </w:rPr>
        <w:t>厅（安阳市高新区文昌大道与东风路交叉口向南300米路西东风路342号）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六、发布公告的媒介及公告期限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本次招标公告在《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河南省政府采购网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》、《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安阳市政府采购网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》、《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全国公共资源交易平台（河南省·安阳市·殷都区）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》上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发布。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公告期限为三个工作日。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七、其他补充事宜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</w:rPr>
      </w:pPr>
      <w:bookmarkStart w:id="5" w:name="_Toc35393627"/>
      <w:bookmarkStart w:id="6" w:name="_Toc35393796"/>
      <w:bookmarkStart w:id="7" w:name="_Toc28359008"/>
      <w:bookmarkStart w:id="8" w:name="_Toc28359085"/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1、本项目执行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强制节能产品强制采购、节能产品、环境标志产品及贫困地区产品优先采购、促进中小企业发展扶持政策、进口产品政策、信息安全产品、社会信用体系建设、促进残疾人就业、支持监狱企业发展等。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政府采购合同融资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根据豫财购〔2017〕10号和安财购〔2017〕7号文要求，参加政府采购项目的中小微企业供应商，持中标（成交）通知书可向金融机构申请合同融资，详情请登录安阳市政府采购网（http://anyang.hngp.gov.cn/anyang），进入网站飘窗或业务指南窗口了解金融机构提供的融资服务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八、凡对本次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提出询问，请按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照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以下方式联系</w:t>
      </w:r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名称：安阳市殷都区环境卫生事务中心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殷都区清风街西段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温新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联系方式:</w:t>
      </w:r>
      <w:bookmarkStart w:id="9" w:name="_Toc28359086"/>
      <w:bookmarkStart w:id="10" w:name="_Toc28359009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17630550010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采购代理机构信息</w:t>
      </w:r>
      <w:bookmarkEnd w:id="9"/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名称：</w:t>
      </w:r>
      <w:bookmarkStart w:id="11" w:name="_Toc28359010"/>
      <w:bookmarkStart w:id="12" w:name="_Toc28359087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中科天一工程管理有限公司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地址：</w:t>
      </w:r>
      <w:r>
        <w:rPr>
          <w:rFonts w:hint="eastAsia" w:ascii="宋体" w:hAnsi="宋体" w:cs="宋体"/>
          <w:b w:val="0"/>
          <w:bCs/>
          <w:kern w:val="2"/>
          <w:sz w:val="24"/>
          <w:szCs w:val="24"/>
          <w:highlight w:val="none"/>
          <w:lang w:val="en-US" w:eastAsia="zh-CN" w:bidi="ar-SA"/>
        </w:rPr>
        <w:t>河南省郑州高新区西三环路289号国家大学科技园（东区）13号楼13层1301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highlight w:val="none"/>
          <w:lang w:val="en-US" w:eastAsia="zh-CN" w:bidi="ar-SA"/>
        </w:rPr>
        <w:t>宋改方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18837267069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项目联系方式</w:t>
      </w:r>
      <w:bookmarkEnd w:id="11"/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项目联系人：宋改方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18837267069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华文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904492"/>
    <w:multiLevelType w:val="multilevel"/>
    <w:tmpl w:val="37904492"/>
    <w:lvl w:ilvl="0" w:tentative="0">
      <w:start w:val="1"/>
      <w:numFmt w:val="chineseCounting"/>
      <w:suff w:val="nothing"/>
      <w:lvlText w:val="%1、"/>
      <w:lvlJc w:val="left"/>
      <w:pPr>
        <w:ind w:left="462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441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4620" w:firstLine="400"/>
      </w:pPr>
      <w:rPr>
        <w:rFonts w:hint="eastAsia"/>
      </w:rPr>
    </w:lvl>
    <w:lvl w:ilvl="3" w:tentative="0">
      <w:start w:val="1"/>
      <w:numFmt w:val="decimal"/>
      <w:pStyle w:val="9"/>
      <w:suff w:val="nothing"/>
      <w:lvlText w:val="（%4）"/>
      <w:lvlJc w:val="left"/>
      <w:pPr>
        <w:ind w:left="4620" w:firstLine="402"/>
      </w:pPr>
      <w:rPr>
        <w:rFonts w:hint="eastAsia"/>
      </w:rPr>
    </w:lvl>
    <w:lvl w:ilvl="4" w:tentative="0">
      <w:start w:val="1"/>
      <w:numFmt w:val="decimalEnclosedCircleChinese"/>
      <w:pStyle w:val="10"/>
      <w:suff w:val="nothing"/>
      <w:lvlText w:val="%5"/>
      <w:lvlJc w:val="left"/>
      <w:pPr>
        <w:ind w:left="4620" w:firstLine="402"/>
      </w:pPr>
      <w:rPr>
        <w:rFonts w:hint="eastAsia"/>
      </w:rPr>
    </w:lvl>
    <w:lvl w:ilvl="5" w:tentative="0">
      <w:start w:val="1"/>
      <w:numFmt w:val="decimal"/>
      <w:pStyle w:val="11"/>
      <w:suff w:val="nothing"/>
      <w:lvlText w:val="%6）"/>
      <w:lvlJc w:val="left"/>
      <w:pPr>
        <w:ind w:left="4620" w:firstLine="402"/>
      </w:pPr>
      <w:rPr>
        <w:rFonts w:hint="eastAsia"/>
      </w:rPr>
    </w:lvl>
    <w:lvl w:ilvl="6" w:tentative="0">
      <w:start w:val="1"/>
      <w:numFmt w:val="lowerLetter"/>
      <w:pStyle w:val="12"/>
      <w:suff w:val="nothing"/>
      <w:lvlText w:val="%7．"/>
      <w:lvlJc w:val="left"/>
      <w:pPr>
        <w:ind w:left="4620" w:firstLine="402"/>
      </w:pPr>
      <w:rPr>
        <w:rFonts w:hint="eastAsia"/>
      </w:rPr>
    </w:lvl>
    <w:lvl w:ilvl="7" w:tentative="0">
      <w:start w:val="1"/>
      <w:numFmt w:val="lowerLetter"/>
      <w:pStyle w:val="13"/>
      <w:suff w:val="nothing"/>
      <w:lvlText w:val="%8）"/>
      <w:lvlJc w:val="left"/>
      <w:pPr>
        <w:ind w:left="4620" w:firstLine="402"/>
      </w:pPr>
      <w:rPr>
        <w:rFonts w:hint="eastAsia"/>
      </w:rPr>
    </w:lvl>
    <w:lvl w:ilvl="8" w:tentative="0">
      <w:start w:val="1"/>
      <w:numFmt w:val="lowerRoman"/>
      <w:pStyle w:val="14"/>
      <w:suff w:val="nothing"/>
      <w:lvlText w:val="%9 "/>
      <w:lvlJc w:val="left"/>
      <w:pPr>
        <w:ind w:left="462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YzdmNjMwMzM5OTdiYzE0MjU1YWYxZTc4NmVkNmIifQ=="/>
  </w:docVars>
  <w:rsids>
    <w:rsidRoot w:val="3D314C38"/>
    <w:rsid w:val="004F2DC0"/>
    <w:rsid w:val="01E21147"/>
    <w:rsid w:val="028B64A2"/>
    <w:rsid w:val="04156176"/>
    <w:rsid w:val="04AC02DC"/>
    <w:rsid w:val="04BD1688"/>
    <w:rsid w:val="05545FD4"/>
    <w:rsid w:val="06B56F46"/>
    <w:rsid w:val="06DB411F"/>
    <w:rsid w:val="06F93259"/>
    <w:rsid w:val="07025DE9"/>
    <w:rsid w:val="0858367F"/>
    <w:rsid w:val="08E30762"/>
    <w:rsid w:val="08F719D2"/>
    <w:rsid w:val="09102B5A"/>
    <w:rsid w:val="09184D77"/>
    <w:rsid w:val="09C90142"/>
    <w:rsid w:val="0A927FD8"/>
    <w:rsid w:val="0B8C1448"/>
    <w:rsid w:val="0CD918EA"/>
    <w:rsid w:val="0E450F6F"/>
    <w:rsid w:val="0E59465B"/>
    <w:rsid w:val="0E98272A"/>
    <w:rsid w:val="0F953D3A"/>
    <w:rsid w:val="0FC33F6C"/>
    <w:rsid w:val="1030329B"/>
    <w:rsid w:val="13460C44"/>
    <w:rsid w:val="147B0050"/>
    <w:rsid w:val="14D11006"/>
    <w:rsid w:val="15425343"/>
    <w:rsid w:val="15BA57CF"/>
    <w:rsid w:val="15CC5FA9"/>
    <w:rsid w:val="1A250AC2"/>
    <w:rsid w:val="1B533B78"/>
    <w:rsid w:val="1B9E0A10"/>
    <w:rsid w:val="1C30054F"/>
    <w:rsid w:val="1C9504D1"/>
    <w:rsid w:val="1CA23671"/>
    <w:rsid w:val="1D627769"/>
    <w:rsid w:val="1DC57AE4"/>
    <w:rsid w:val="1DFA2099"/>
    <w:rsid w:val="1E246582"/>
    <w:rsid w:val="1ED1193A"/>
    <w:rsid w:val="1F737D30"/>
    <w:rsid w:val="207E78A4"/>
    <w:rsid w:val="20DF2F80"/>
    <w:rsid w:val="22073D48"/>
    <w:rsid w:val="23225EAF"/>
    <w:rsid w:val="23272B22"/>
    <w:rsid w:val="239E788C"/>
    <w:rsid w:val="23B047A6"/>
    <w:rsid w:val="24212D64"/>
    <w:rsid w:val="243C70F2"/>
    <w:rsid w:val="256D355B"/>
    <w:rsid w:val="25C048C7"/>
    <w:rsid w:val="26310EB8"/>
    <w:rsid w:val="263D33B4"/>
    <w:rsid w:val="26445A35"/>
    <w:rsid w:val="26C50997"/>
    <w:rsid w:val="26DA178E"/>
    <w:rsid w:val="270360EE"/>
    <w:rsid w:val="27AD60AA"/>
    <w:rsid w:val="27E53D82"/>
    <w:rsid w:val="28683BCA"/>
    <w:rsid w:val="28D66B8D"/>
    <w:rsid w:val="292A33C0"/>
    <w:rsid w:val="299A4DDE"/>
    <w:rsid w:val="2AEE177B"/>
    <w:rsid w:val="2B5071C6"/>
    <w:rsid w:val="2B9F5555"/>
    <w:rsid w:val="2C01651C"/>
    <w:rsid w:val="2C5A031D"/>
    <w:rsid w:val="2CF13032"/>
    <w:rsid w:val="2D214A86"/>
    <w:rsid w:val="2D8B1CE6"/>
    <w:rsid w:val="2DB81892"/>
    <w:rsid w:val="2DBE6B93"/>
    <w:rsid w:val="2E380BC0"/>
    <w:rsid w:val="2E3F255C"/>
    <w:rsid w:val="30E5004A"/>
    <w:rsid w:val="312E12C1"/>
    <w:rsid w:val="317E3D47"/>
    <w:rsid w:val="31D94AC8"/>
    <w:rsid w:val="32017127"/>
    <w:rsid w:val="326351F9"/>
    <w:rsid w:val="3282714F"/>
    <w:rsid w:val="329511B2"/>
    <w:rsid w:val="32990513"/>
    <w:rsid w:val="3473361C"/>
    <w:rsid w:val="34964AD5"/>
    <w:rsid w:val="35350F5A"/>
    <w:rsid w:val="35734F88"/>
    <w:rsid w:val="35D914E3"/>
    <w:rsid w:val="36331F78"/>
    <w:rsid w:val="376161AB"/>
    <w:rsid w:val="37621F23"/>
    <w:rsid w:val="379D15D1"/>
    <w:rsid w:val="37A81C29"/>
    <w:rsid w:val="388E2B79"/>
    <w:rsid w:val="38DE382B"/>
    <w:rsid w:val="390473EF"/>
    <w:rsid w:val="39254541"/>
    <w:rsid w:val="39290860"/>
    <w:rsid w:val="3A4A561C"/>
    <w:rsid w:val="3B0E5349"/>
    <w:rsid w:val="3B4115CE"/>
    <w:rsid w:val="3BD91901"/>
    <w:rsid w:val="3C1361C1"/>
    <w:rsid w:val="3C9B215F"/>
    <w:rsid w:val="3CB05792"/>
    <w:rsid w:val="3D314C38"/>
    <w:rsid w:val="3D523989"/>
    <w:rsid w:val="3D6E7632"/>
    <w:rsid w:val="3E006D8D"/>
    <w:rsid w:val="3E75326D"/>
    <w:rsid w:val="3F1E2E92"/>
    <w:rsid w:val="3F32613E"/>
    <w:rsid w:val="3F666F87"/>
    <w:rsid w:val="3FAF3E70"/>
    <w:rsid w:val="3FB83028"/>
    <w:rsid w:val="414351DA"/>
    <w:rsid w:val="42B84786"/>
    <w:rsid w:val="438D71BC"/>
    <w:rsid w:val="43F00F3A"/>
    <w:rsid w:val="43FC72F2"/>
    <w:rsid w:val="443E1A4F"/>
    <w:rsid w:val="44891637"/>
    <w:rsid w:val="450A0C5F"/>
    <w:rsid w:val="454D2265"/>
    <w:rsid w:val="45983DE6"/>
    <w:rsid w:val="460157B2"/>
    <w:rsid w:val="46030112"/>
    <w:rsid w:val="46880F7E"/>
    <w:rsid w:val="46C22643"/>
    <w:rsid w:val="471104BE"/>
    <w:rsid w:val="472707CD"/>
    <w:rsid w:val="477140C4"/>
    <w:rsid w:val="47EE7322"/>
    <w:rsid w:val="48435459"/>
    <w:rsid w:val="48740DE9"/>
    <w:rsid w:val="4A536461"/>
    <w:rsid w:val="4C4F0D15"/>
    <w:rsid w:val="4CBD1C7E"/>
    <w:rsid w:val="4CEC75AB"/>
    <w:rsid w:val="4D2E3A9D"/>
    <w:rsid w:val="4DF73079"/>
    <w:rsid w:val="4E5A5BFC"/>
    <w:rsid w:val="4E6B5D2F"/>
    <w:rsid w:val="4F021286"/>
    <w:rsid w:val="4F71072F"/>
    <w:rsid w:val="4FDF7423"/>
    <w:rsid w:val="505E45FE"/>
    <w:rsid w:val="50C86E43"/>
    <w:rsid w:val="51FC42B5"/>
    <w:rsid w:val="521D5DB5"/>
    <w:rsid w:val="52300940"/>
    <w:rsid w:val="526C1487"/>
    <w:rsid w:val="52A23404"/>
    <w:rsid w:val="52AD50FC"/>
    <w:rsid w:val="533252E0"/>
    <w:rsid w:val="534D1F69"/>
    <w:rsid w:val="53D31D87"/>
    <w:rsid w:val="5411462A"/>
    <w:rsid w:val="545952F2"/>
    <w:rsid w:val="54DF20D1"/>
    <w:rsid w:val="55553A75"/>
    <w:rsid w:val="55F25012"/>
    <w:rsid w:val="56194AE6"/>
    <w:rsid w:val="56733154"/>
    <w:rsid w:val="568D446F"/>
    <w:rsid w:val="56FB7E00"/>
    <w:rsid w:val="5738710C"/>
    <w:rsid w:val="57CD685E"/>
    <w:rsid w:val="57CE7467"/>
    <w:rsid w:val="5880787C"/>
    <w:rsid w:val="59036C6A"/>
    <w:rsid w:val="59601708"/>
    <w:rsid w:val="59A308B7"/>
    <w:rsid w:val="59DC44F8"/>
    <w:rsid w:val="59F21272"/>
    <w:rsid w:val="5A110306"/>
    <w:rsid w:val="5A700DA8"/>
    <w:rsid w:val="5AE66844"/>
    <w:rsid w:val="5B0538E4"/>
    <w:rsid w:val="5B061086"/>
    <w:rsid w:val="5B8878FB"/>
    <w:rsid w:val="5C73774F"/>
    <w:rsid w:val="5CF92527"/>
    <w:rsid w:val="5D3C371F"/>
    <w:rsid w:val="5DFE1871"/>
    <w:rsid w:val="5F0D463A"/>
    <w:rsid w:val="5F17110D"/>
    <w:rsid w:val="5FF7504F"/>
    <w:rsid w:val="604B6F0C"/>
    <w:rsid w:val="60BE791B"/>
    <w:rsid w:val="623C2126"/>
    <w:rsid w:val="62B92AF5"/>
    <w:rsid w:val="637A2786"/>
    <w:rsid w:val="63932AFB"/>
    <w:rsid w:val="646C1604"/>
    <w:rsid w:val="65124F54"/>
    <w:rsid w:val="65136487"/>
    <w:rsid w:val="654F790E"/>
    <w:rsid w:val="67873289"/>
    <w:rsid w:val="67E0129F"/>
    <w:rsid w:val="67FC2803"/>
    <w:rsid w:val="6ABD248A"/>
    <w:rsid w:val="6AEE33C9"/>
    <w:rsid w:val="6AFA4020"/>
    <w:rsid w:val="6BEB5A96"/>
    <w:rsid w:val="6D3770B0"/>
    <w:rsid w:val="6E866461"/>
    <w:rsid w:val="6EB907C8"/>
    <w:rsid w:val="6ECA21AE"/>
    <w:rsid w:val="70302DFF"/>
    <w:rsid w:val="70486E70"/>
    <w:rsid w:val="70CD5E86"/>
    <w:rsid w:val="71526589"/>
    <w:rsid w:val="71594F21"/>
    <w:rsid w:val="71E66C33"/>
    <w:rsid w:val="71EB41FA"/>
    <w:rsid w:val="725D1951"/>
    <w:rsid w:val="727026C1"/>
    <w:rsid w:val="727D2CEA"/>
    <w:rsid w:val="72892BE2"/>
    <w:rsid w:val="72AE6D96"/>
    <w:rsid w:val="73555D45"/>
    <w:rsid w:val="73A816D7"/>
    <w:rsid w:val="744C0277"/>
    <w:rsid w:val="746B23D4"/>
    <w:rsid w:val="74AC7FFA"/>
    <w:rsid w:val="74DA4697"/>
    <w:rsid w:val="74FA6E4B"/>
    <w:rsid w:val="75B91DA6"/>
    <w:rsid w:val="75D44E39"/>
    <w:rsid w:val="770505F4"/>
    <w:rsid w:val="771C2248"/>
    <w:rsid w:val="78F279E8"/>
    <w:rsid w:val="79B75063"/>
    <w:rsid w:val="79C26980"/>
    <w:rsid w:val="7B906530"/>
    <w:rsid w:val="7B9207C8"/>
    <w:rsid w:val="7BC36A67"/>
    <w:rsid w:val="7BEA219B"/>
    <w:rsid w:val="7C4172D1"/>
    <w:rsid w:val="7C56760C"/>
    <w:rsid w:val="7C594F25"/>
    <w:rsid w:val="7C633D33"/>
    <w:rsid w:val="7C6E0182"/>
    <w:rsid w:val="7C7026AE"/>
    <w:rsid w:val="7C73714D"/>
    <w:rsid w:val="7DEF60A9"/>
    <w:rsid w:val="7E05604E"/>
    <w:rsid w:val="7F15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paragraph" w:styleId="5">
    <w:name w:val="heading 1"/>
    <w:basedOn w:val="1"/>
    <w:next w:val="1"/>
    <w:link w:val="27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Times New Roman" w:hAnsi="Times New Roman" w:eastAsia="宋体" w:cs="Times New Roman"/>
      <w:b/>
      <w:color w:val="000000"/>
      <w:kern w:val="44"/>
      <w:sz w:val="28"/>
      <w:szCs w:val="21"/>
      <w:u w:color="000000"/>
    </w:rPr>
  </w:style>
  <w:style w:type="paragraph" w:styleId="6">
    <w:name w:val="heading 2"/>
    <w:basedOn w:val="7"/>
    <w:next w:val="7"/>
    <w:link w:val="26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1"/>
    </w:pPr>
    <w:rPr>
      <w:rFonts w:ascii="Arial" w:hAnsi="Arial" w:eastAsia="宋体" w:cs="Times New Roman"/>
      <w:sz w:val="28"/>
    </w:rPr>
  </w:style>
  <w:style w:type="paragraph" w:styleId="8">
    <w:name w:val="heading 3"/>
    <w:basedOn w:val="1"/>
    <w:next w:val="1"/>
    <w:link w:val="25"/>
    <w:semiHidden/>
    <w:unhideWhenUsed/>
    <w:qFormat/>
    <w:uiPriority w:val="0"/>
    <w:pPr>
      <w:keepNext/>
      <w:keepLines/>
      <w:spacing w:before="260" w:after="260" w:line="480" w:lineRule="auto"/>
      <w:jc w:val="center"/>
      <w:outlineLvl w:val="2"/>
    </w:pPr>
    <w:rPr>
      <w:rFonts w:ascii="Times New Roman" w:hAnsi="Times New Roman" w:eastAsia="宋体" w:cs="Times New Roman"/>
      <w:b/>
      <w:bCs/>
      <w:sz w:val="30"/>
      <w:szCs w:val="32"/>
    </w:rPr>
  </w:style>
  <w:style w:type="paragraph" w:styleId="9">
    <w:name w:val="heading 4"/>
    <w:basedOn w:val="1"/>
    <w:next w:val="1"/>
    <w:link w:val="28"/>
    <w:semiHidden/>
    <w:unhideWhenUsed/>
    <w:qFormat/>
    <w:uiPriority w:val="0"/>
    <w:pPr>
      <w:keepNext/>
      <w:keepLines/>
      <w:numPr>
        <w:ilvl w:val="3"/>
        <w:numId w:val="1"/>
      </w:numPr>
      <w:spacing w:before="40" w:beforeLines="0" w:beforeAutospacing="0" w:after="50" w:afterLines="0" w:afterAutospacing="0" w:line="372" w:lineRule="auto"/>
      <w:ind w:left="4620" w:firstLine="402"/>
      <w:jc w:val="left"/>
      <w:outlineLvl w:val="3"/>
    </w:pPr>
    <w:rPr>
      <w:rFonts w:ascii="Arial" w:hAnsi="Arial" w:eastAsia="宋体" w:cs="Tahoma"/>
      <w:b/>
      <w:snapToGrid w:val="0"/>
      <w:kern w:val="2"/>
      <w:sz w:val="21"/>
      <w:szCs w:val="22"/>
    </w:rPr>
  </w:style>
  <w:style w:type="paragraph" w:styleId="10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4620" w:firstLine="402"/>
      <w:outlineLvl w:val="4"/>
    </w:pPr>
    <w:rPr>
      <w:b/>
      <w:sz w:val="28"/>
    </w:rPr>
  </w:style>
  <w:style w:type="paragraph" w:styleId="11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4620" w:firstLine="402"/>
      <w:outlineLvl w:val="5"/>
    </w:pPr>
    <w:rPr>
      <w:rFonts w:ascii="Arial" w:hAnsi="Arial" w:eastAsia="黑体"/>
      <w:b/>
      <w:sz w:val="24"/>
    </w:rPr>
  </w:style>
  <w:style w:type="paragraph" w:styleId="12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4620" w:firstLine="402"/>
      <w:outlineLvl w:val="6"/>
    </w:pPr>
    <w:rPr>
      <w:b/>
      <w:sz w:val="24"/>
    </w:rPr>
  </w:style>
  <w:style w:type="paragraph" w:styleId="13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4620" w:firstLine="402"/>
      <w:outlineLvl w:val="7"/>
    </w:pPr>
    <w:rPr>
      <w:rFonts w:ascii="Arial" w:hAnsi="Arial" w:eastAsia="黑体"/>
      <w:sz w:val="24"/>
    </w:rPr>
  </w:style>
  <w:style w:type="paragraph" w:styleId="14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4620" w:firstLine="402"/>
      <w:outlineLvl w:val="8"/>
    </w:pPr>
    <w:rPr>
      <w:rFonts w:ascii="Arial" w:hAnsi="Arial" w:eastAsia="黑体"/>
      <w:sz w:val="21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480" w:lineRule="auto"/>
      <w:ind w:firstLine="480" w:firstLineChars="200"/>
    </w:pPr>
    <w:rPr>
      <w:rFonts w:ascii="仿宋_GB2312" w:hAnsi="宋体" w:eastAsia="仿宋_GB2312"/>
      <w:sz w:val="24"/>
      <w:szCs w:val="24"/>
    </w:rPr>
  </w:style>
  <w:style w:type="paragraph" w:customStyle="1" w:styleId="3">
    <w:name w:val="z正文"/>
    <w:basedOn w:val="4"/>
    <w:qFormat/>
    <w:uiPriority w:val="0"/>
    <w:pPr>
      <w:tabs>
        <w:tab w:val="left" w:pos="525"/>
      </w:tabs>
      <w:snapToGrid w:val="0"/>
      <w:spacing w:line="360" w:lineRule="auto"/>
    </w:pPr>
    <w:rPr>
      <w:rFonts w:ascii="Times New Roman" w:hAnsi="宋体"/>
      <w:sz w:val="24"/>
      <w:szCs w:val="24"/>
    </w:rPr>
  </w:style>
  <w:style w:type="paragraph" w:styleId="4">
    <w:name w:val="Plain Text"/>
    <w:basedOn w:val="1"/>
    <w:next w:val="2"/>
    <w:qFormat/>
    <w:uiPriority w:val="99"/>
    <w:pPr>
      <w:widowControl w:val="0"/>
      <w:spacing w:line="240" w:lineRule="auto"/>
      <w:textAlignment w:val="auto"/>
    </w:pPr>
    <w:rPr>
      <w:rFonts w:ascii="宋体" w:hAnsi="Courier New"/>
      <w:color w:val="auto"/>
      <w:kern w:val="2"/>
    </w:rPr>
  </w:style>
  <w:style w:type="paragraph" w:styleId="7">
    <w:name w:val="Body Text"/>
    <w:basedOn w:val="1"/>
    <w:qFormat/>
    <w:uiPriority w:val="0"/>
    <w:pPr>
      <w:spacing w:after="120" w:afterLines="0" w:afterAutospacing="0"/>
    </w:pPr>
  </w:style>
  <w:style w:type="paragraph" w:styleId="15">
    <w:name w:val="Normal Indent"/>
    <w:basedOn w:val="1"/>
    <w:qFormat/>
    <w:uiPriority w:val="0"/>
    <w:pPr>
      <w:ind w:firstLine="420" w:firstLineChars="200"/>
    </w:pPr>
  </w:style>
  <w:style w:type="paragraph" w:styleId="16">
    <w:name w:val="Body Text Indent"/>
    <w:basedOn w:val="1"/>
    <w:next w:val="1"/>
    <w:qFormat/>
    <w:uiPriority w:val="0"/>
    <w:pPr>
      <w:ind w:firstLine="0" w:firstLineChars="0"/>
    </w:pPr>
    <w:rPr>
      <w:rFonts w:ascii="仿宋_GB2312" w:hAnsi="仿宋_GB2312" w:eastAsia="仿宋_GB2312" w:cs="Times New Roman"/>
      <w:kern w:val="2"/>
      <w:sz w:val="32"/>
      <w:szCs w:val="20"/>
    </w:rPr>
  </w:style>
  <w:style w:type="paragraph" w:styleId="17">
    <w:name w:val="toc 3"/>
    <w:basedOn w:val="1"/>
    <w:next w:val="1"/>
    <w:qFormat/>
    <w:uiPriority w:val="0"/>
    <w:pPr>
      <w:spacing w:line="360" w:lineRule="auto"/>
      <w:ind w:left="840" w:leftChars="400"/>
    </w:pPr>
    <w:rPr>
      <w:rFonts w:ascii="Times New Roman" w:hAnsi="Times New Roman" w:eastAsia="宋体" w:cs="Times New Roman"/>
      <w:sz w:val="21"/>
      <w:szCs w:val="21"/>
    </w:rPr>
  </w:style>
  <w:style w:type="paragraph" w:styleId="1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9">
    <w:name w:val="toc 1"/>
    <w:basedOn w:val="1"/>
    <w:next w:val="1"/>
    <w:qFormat/>
    <w:uiPriority w:val="0"/>
    <w:pPr>
      <w:spacing w:line="360" w:lineRule="auto"/>
      <w:jc w:val="center"/>
    </w:pPr>
    <w:rPr>
      <w:rFonts w:ascii="Times New Roman" w:hAnsi="Times New Roman" w:eastAsia="仿宋_GB2312" w:cs="Times New Roman"/>
      <w:sz w:val="24"/>
    </w:rPr>
  </w:style>
  <w:style w:type="paragraph" w:styleId="20">
    <w:name w:val="toc 4"/>
    <w:basedOn w:val="1"/>
    <w:next w:val="1"/>
    <w:qFormat/>
    <w:uiPriority w:val="0"/>
    <w:pPr>
      <w:ind w:left="1260" w:leftChars="600"/>
    </w:pPr>
    <w:rPr>
      <w:rFonts w:ascii="Times New Roman" w:hAnsi="Times New Roman" w:eastAsia="宋体" w:cs="Times New Roman"/>
      <w:kern w:val="2"/>
      <w:sz w:val="26"/>
    </w:rPr>
  </w:style>
  <w:style w:type="paragraph" w:styleId="21">
    <w:name w:val="toc 2"/>
    <w:basedOn w:val="1"/>
    <w:next w:val="1"/>
    <w:qFormat/>
    <w:uiPriority w:val="0"/>
    <w:pPr>
      <w:spacing w:line="360" w:lineRule="auto"/>
      <w:ind w:left="420" w:leftChars="200"/>
    </w:pPr>
    <w:rPr>
      <w:rFonts w:ascii="Times New Roman" w:hAnsi="Times New Roman" w:eastAsia="仿宋_GB2312" w:cs="Times New Roman"/>
      <w:sz w:val="24"/>
    </w:rPr>
  </w:style>
  <w:style w:type="paragraph" w:styleId="22">
    <w:name w:val="Body Text First Indent"/>
    <w:basedOn w:val="7"/>
    <w:qFormat/>
    <w:uiPriority w:val="0"/>
    <w:pPr>
      <w:ind w:firstLine="420" w:firstLineChars="100"/>
    </w:pPr>
  </w:style>
  <w:style w:type="character" w:customStyle="1" w:styleId="25">
    <w:name w:val="标题 3 Char"/>
    <w:link w:val="8"/>
    <w:qFormat/>
    <w:uiPriority w:val="0"/>
    <w:rPr>
      <w:rFonts w:ascii="Times New Roman" w:hAnsi="Times New Roman" w:eastAsia="宋体" w:cs="Times New Roman"/>
      <w:b/>
      <w:bCs/>
      <w:sz w:val="30"/>
      <w:szCs w:val="32"/>
    </w:rPr>
  </w:style>
  <w:style w:type="character" w:customStyle="1" w:styleId="26">
    <w:name w:val="标题 2 Char1"/>
    <w:link w:val="6"/>
    <w:qFormat/>
    <w:uiPriority w:val="0"/>
    <w:rPr>
      <w:rFonts w:ascii="Arial" w:hAnsi="Arial" w:eastAsia="宋体" w:cs="Times New Roman"/>
      <w:bCs/>
      <w:snapToGrid w:val="0"/>
      <w:color w:val="000000"/>
      <w:kern w:val="2"/>
      <w:sz w:val="28"/>
      <w:szCs w:val="21"/>
      <w:u w:val="none" w:color="000000"/>
      <w:lang w:eastAsia="en-US"/>
    </w:rPr>
  </w:style>
  <w:style w:type="character" w:customStyle="1" w:styleId="27">
    <w:name w:val="标题 1 Char"/>
    <w:link w:val="5"/>
    <w:qFormat/>
    <w:locked/>
    <w:uiPriority w:val="99"/>
    <w:rPr>
      <w:rFonts w:ascii="Times New Roman" w:hAnsi="Times New Roman" w:eastAsia="宋体" w:cs="Times New Roman"/>
      <w:b/>
      <w:kern w:val="44"/>
      <w:sz w:val="28"/>
      <w:szCs w:val="21"/>
    </w:rPr>
  </w:style>
  <w:style w:type="character" w:customStyle="1" w:styleId="28">
    <w:name w:val="标题 4 Char"/>
    <w:link w:val="9"/>
    <w:qFormat/>
    <w:uiPriority w:val="0"/>
    <w:rPr>
      <w:rFonts w:ascii="Arial" w:hAnsi="Arial" w:eastAsia="宋体" w:cs="Tahoma"/>
      <w:b/>
      <w:snapToGrid w:val="0"/>
      <w:kern w:val="2"/>
      <w:sz w:val="21"/>
      <w:szCs w:val="22"/>
    </w:rPr>
  </w:style>
  <w:style w:type="paragraph" w:customStyle="1" w:styleId="29">
    <w:name w:val="样式 标题 3 + (中文) 黑体 小四 非加粗 段前: 7.8 磅 段后: 0 磅 行距: 固定值 20 磅"/>
    <w:basedOn w:val="8"/>
    <w:qFormat/>
    <w:uiPriority w:val="0"/>
    <w:pPr>
      <w:spacing w:before="0" w:after="0" w:line="480" w:lineRule="auto"/>
    </w:pPr>
    <w:rPr>
      <w:rFonts w:ascii="Times New Roman" w:hAnsi="Times New Roman" w:eastAsia="仿宋_GB2312" w:cs="宋体"/>
      <w:b w:val="0"/>
      <w:bCs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2023-12-16T01:55:00Z</dcterms:created>
  <dc:creator>云燕</dc:creator>
  <cp:lastModifiedBy>锦觅</cp:lastModifiedBy>
  <dcterms:modified xsi:type="dcterms:W3CDTF">2023-12-27T03:13:49Z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FAB7A10B4DA44A3C809E659ED014DBB0_11</vt:lpwstr>
  </property>
</Properties>
</file>