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auto"/>
          <w:sz w:val="43"/>
          <w:szCs w:val="43"/>
          <w:highlight w:val="none"/>
          <w:lang w:eastAsia="zh-CN"/>
        </w:rPr>
      </w:pPr>
      <w:r>
        <w:rPr>
          <w:rFonts w:hint="eastAsia" w:ascii="宋体" w:hAnsi="宋体" w:eastAsia="宋体"/>
          <w:b/>
          <w:color w:val="auto"/>
          <w:sz w:val="43"/>
          <w:szCs w:val="43"/>
          <w:highlight w:val="none"/>
          <w:lang w:eastAsia="zh-CN"/>
        </w:rPr>
        <w:drawing>
          <wp:inline distT="0" distB="0" distL="114300" distR="114300">
            <wp:extent cx="6400800" cy="8327390"/>
            <wp:effectExtent l="0" t="0" r="0" b="16510"/>
            <wp:docPr id="3" name="图片 3" descr="171714028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7140283211"/>
                    <pic:cNvPicPr>
                      <a:picLocks noChangeAspect="1"/>
                    </pic:cNvPicPr>
                  </pic:nvPicPr>
                  <pic:blipFill>
                    <a:blip r:embed="rId10"/>
                    <a:stretch>
                      <a:fillRect/>
                    </a:stretch>
                  </pic:blipFill>
                  <pic:spPr>
                    <a:xfrm>
                      <a:off x="0" y="0"/>
                      <a:ext cx="6400800" cy="8327390"/>
                    </a:xfrm>
                    <a:prstGeom prst="rect">
                      <a:avLst/>
                    </a:prstGeom>
                  </pic:spPr>
                </pic:pic>
              </a:graphicData>
            </a:graphic>
          </wp:inline>
        </w:drawing>
      </w:r>
    </w:p>
    <w:p>
      <w:pPr>
        <w:pStyle w:val="57"/>
        <w:keepNext/>
        <w:keepLines/>
        <w:pageBreakBefore/>
        <w:widowControl/>
        <w:kinsoku/>
        <w:wordWrap/>
        <w:overflowPunct/>
        <w:topLinePunct w:val="0"/>
        <w:autoSpaceDE/>
        <w:autoSpaceDN/>
        <w:bidi w:val="0"/>
        <w:adjustRightInd/>
        <w:snapToGrid/>
        <w:jc w:val="center"/>
        <w:textAlignment w:val="auto"/>
        <w:rPr>
          <w:color w:val="auto"/>
          <w:highlight w:val="none"/>
        </w:rPr>
      </w:pPr>
      <w:r>
        <w:rPr>
          <w:rFonts w:hint="eastAsia" w:ascii="黑体" w:hAnsi="黑体" w:eastAsia="黑体"/>
          <w:color w:val="auto"/>
          <w:sz w:val="36"/>
          <w:szCs w:val="36"/>
          <w:highlight w:val="none"/>
          <w:lang w:val="zh-CN"/>
        </w:rPr>
        <w:t>目录</w:t>
      </w:r>
      <w:r>
        <w:rPr>
          <w:color w:val="auto"/>
          <w:highlight w:val="none"/>
        </w:rPr>
        <w:fldChar w:fldCharType="begin"/>
      </w:r>
      <w:r>
        <w:rPr>
          <w:color w:val="auto"/>
          <w:highlight w:val="none"/>
        </w:rPr>
        <w:instrText xml:space="preserve"> TOC \o "1-3" \h \z \u </w:instrText>
      </w:r>
      <w:r>
        <w:rPr>
          <w:color w:val="auto"/>
          <w:highlight w:val="none"/>
        </w:rPr>
        <w:fldChar w:fldCharType="separate"/>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"_Toc105581274" </w:instrText>
      </w:r>
      <w:r>
        <w:rPr>
          <w:color w:val="auto"/>
          <w:highlight w:val="none"/>
        </w:rPr>
        <w:fldChar w:fldCharType="separate"/>
      </w:r>
      <w:r>
        <w:rPr>
          <w:rStyle w:val="26"/>
          <w:rFonts w:hint="eastAsia" w:eastAsia="黑体"/>
          <w:b/>
          <w:color w:val="auto"/>
          <w:highlight w:val="none"/>
        </w:rPr>
        <w:t>第一章</w:t>
      </w:r>
      <w:r>
        <w:rPr>
          <w:rStyle w:val="26"/>
          <w:rFonts w:eastAsia="黑体"/>
          <w:b/>
          <w:color w:val="auto"/>
          <w:highlight w:val="none"/>
        </w:rPr>
        <w:t xml:space="preserve"> </w:t>
      </w:r>
      <w:r>
        <w:rPr>
          <w:rStyle w:val="26"/>
          <w:rFonts w:hint="eastAsia" w:eastAsia="黑体"/>
          <w:b/>
          <w:color w:val="auto"/>
          <w:highlight w:val="none"/>
          <w:lang w:eastAsia="zh-CN"/>
        </w:rPr>
        <w:t>磋商公告</w:t>
      </w:r>
      <w:r>
        <w:rPr>
          <w:color w:val="auto"/>
          <w:highlight w:val="none"/>
        </w:rPr>
        <w:tab/>
      </w:r>
      <w:r>
        <w:rPr>
          <w:color w:val="auto"/>
          <w:highlight w:val="none"/>
        </w:rPr>
        <w:fldChar w:fldCharType="begin"/>
      </w:r>
      <w:r>
        <w:rPr>
          <w:color w:val="auto"/>
          <w:highlight w:val="none"/>
        </w:rPr>
        <w:instrText xml:space="preserve"> PAGEREF _Toc105581274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"_Toc105581275" </w:instrText>
      </w:r>
      <w:r>
        <w:rPr>
          <w:color w:val="auto"/>
          <w:highlight w:val="none"/>
        </w:rPr>
        <w:fldChar w:fldCharType="separate"/>
      </w:r>
      <w:r>
        <w:rPr>
          <w:rStyle w:val="26"/>
          <w:rFonts w:hint="eastAsia" w:eastAsia="黑体"/>
          <w:b/>
          <w:color w:val="auto"/>
          <w:highlight w:val="none"/>
        </w:rPr>
        <w:t>第二章</w:t>
      </w:r>
      <w:r>
        <w:rPr>
          <w:rStyle w:val="26"/>
          <w:rFonts w:eastAsia="黑体"/>
          <w:b/>
          <w:color w:val="auto"/>
          <w:highlight w:val="none"/>
        </w:rPr>
        <w:t xml:space="preserve"> </w:t>
      </w:r>
      <w:r>
        <w:rPr>
          <w:rStyle w:val="26"/>
          <w:rFonts w:hint="eastAsia" w:eastAsia="黑体"/>
          <w:b/>
          <w:color w:val="auto"/>
          <w:highlight w:val="none"/>
        </w:rPr>
        <w:t>采购项目及服务要求</w:t>
      </w:r>
      <w:r>
        <w:rPr>
          <w:color w:val="auto"/>
          <w:highlight w:val="none"/>
        </w:rPr>
        <w:tab/>
      </w:r>
      <w:r>
        <w:rPr>
          <w:color w:val="auto"/>
          <w:highlight w:val="none"/>
        </w:rPr>
        <w:fldChar w:fldCharType="begin"/>
      </w:r>
      <w:r>
        <w:rPr>
          <w:color w:val="auto"/>
          <w:highlight w:val="none"/>
        </w:rPr>
        <w:instrText xml:space="preserve"> PAGEREF _Toc105581275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"_Toc105581276" </w:instrText>
      </w:r>
      <w:r>
        <w:rPr>
          <w:color w:val="auto"/>
          <w:highlight w:val="none"/>
        </w:rPr>
        <w:fldChar w:fldCharType="separate"/>
      </w:r>
      <w:r>
        <w:rPr>
          <w:rStyle w:val="26"/>
          <w:rFonts w:ascii="黑体" w:hAnsi="黑体" w:eastAsia="黑体"/>
          <w:b/>
          <w:color w:val="auto"/>
          <w:highlight w:val="none"/>
        </w:rPr>
        <w:t xml:space="preserve">1. </w:t>
      </w:r>
      <w:r>
        <w:rPr>
          <w:rStyle w:val="26"/>
          <w:rFonts w:hint="eastAsia" w:ascii="黑体" w:hAnsi="黑体" w:eastAsia="黑体"/>
          <w:b/>
          <w:color w:val="auto"/>
          <w:highlight w:val="none"/>
        </w:rPr>
        <w:t>采购项目、标段（包）划分、投标报价</w:t>
      </w:r>
      <w:r>
        <w:rPr>
          <w:color w:val="auto"/>
          <w:highlight w:val="none"/>
        </w:rPr>
        <w:tab/>
      </w:r>
      <w:r>
        <w:rPr>
          <w:color w:val="auto"/>
          <w:highlight w:val="none"/>
        </w:rPr>
        <w:fldChar w:fldCharType="begin"/>
      </w:r>
      <w:r>
        <w:rPr>
          <w:color w:val="auto"/>
          <w:highlight w:val="none"/>
        </w:rPr>
        <w:instrText xml:space="preserve"> PAGEREF _Toc105581276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"_Toc105581277" </w:instrText>
      </w:r>
      <w:r>
        <w:rPr>
          <w:color w:val="auto"/>
          <w:highlight w:val="none"/>
        </w:rPr>
        <w:fldChar w:fldCharType="separate"/>
      </w:r>
      <w:r>
        <w:rPr>
          <w:rStyle w:val="26"/>
          <w:rFonts w:ascii="黑体" w:hAnsi="黑体" w:eastAsia="黑体"/>
          <w:b/>
          <w:color w:val="auto"/>
          <w:highlight w:val="none"/>
        </w:rPr>
        <w:t xml:space="preserve">2. </w:t>
      </w:r>
      <w:r>
        <w:rPr>
          <w:rStyle w:val="26"/>
          <w:rFonts w:hint="eastAsia" w:ascii="黑体" w:hAnsi="黑体" w:eastAsia="黑体"/>
          <w:b/>
          <w:color w:val="auto"/>
          <w:highlight w:val="none"/>
        </w:rPr>
        <w:t>标段（包）内容（范围）及服务要求</w:t>
      </w:r>
      <w:r>
        <w:rPr>
          <w:color w:val="auto"/>
          <w:highlight w:val="none"/>
        </w:rPr>
        <w:tab/>
      </w:r>
      <w:r>
        <w:rPr>
          <w:color w:val="auto"/>
          <w:highlight w:val="none"/>
        </w:rPr>
        <w:fldChar w:fldCharType="begin"/>
      </w:r>
      <w:r>
        <w:rPr>
          <w:color w:val="auto"/>
          <w:highlight w:val="none"/>
        </w:rPr>
        <w:instrText xml:space="preserve"> PAGEREF _Toc105581277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"_Toc105581278" </w:instrText>
      </w:r>
      <w:r>
        <w:rPr>
          <w:color w:val="auto"/>
          <w:highlight w:val="none"/>
        </w:rPr>
        <w:fldChar w:fldCharType="separate"/>
      </w:r>
      <w:r>
        <w:rPr>
          <w:rStyle w:val="26"/>
          <w:rFonts w:ascii="黑体" w:hAnsi="黑体" w:eastAsia="黑体"/>
          <w:b/>
          <w:color w:val="auto"/>
          <w:highlight w:val="none"/>
        </w:rPr>
        <w:t xml:space="preserve">3. </w:t>
      </w:r>
      <w:r>
        <w:rPr>
          <w:rStyle w:val="26"/>
          <w:rFonts w:hint="eastAsia" w:ascii="黑体" w:hAnsi="黑体" w:eastAsia="黑体"/>
          <w:b/>
          <w:color w:val="auto"/>
          <w:highlight w:val="none"/>
        </w:rPr>
        <w:t>项目其他要求</w:t>
      </w:r>
      <w:r>
        <w:rPr>
          <w:color w:val="auto"/>
          <w:highlight w:val="none"/>
        </w:rPr>
        <w:tab/>
      </w:r>
      <w:r>
        <w:rPr>
          <w:color w:val="auto"/>
          <w:highlight w:val="none"/>
        </w:rPr>
        <w:fldChar w:fldCharType="begin"/>
      </w:r>
      <w:r>
        <w:rPr>
          <w:color w:val="auto"/>
          <w:highlight w:val="none"/>
        </w:rPr>
        <w:instrText xml:space="preserve"> PAGEREF _Toc105581278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"_Toc105581279" </w:instrText>
      </w:r>
      <w:r>
        <w:rPr>
          <w:color w:val="auto"/>
          <w:highlight w:val="none"/>
        </w:rPr>
        <w:fldChar w:fldCharType="separate"/>
      </w:r>
      <w:r>
        <w:rPr>
          <w:rStyle w:val="26"/>
          <w:rFonts w:hint="eastAsia" w:eastAsia="黑体"/>
          <w:b/>
          <w:color w:val="auto"/>
          <w:highlight w:val="none"/>
        </w:rPr>
        <w:t>第三章</w:t>
      </w:r>
      <w:r>
        <w:rPr>
          <w:rStyle w:val="26"/>
          <w:rFonts w:eastAsia="黑体"/>
          <w:b/>
          <w:color w:val="auto"/>
          <w:highlight w:val="none"/>
        </w:rPr>
        <w:t xml:space="preserve"> </w:t>
      </w:r>
      <w:r>
        <w:rPr>
          <w:rStyle w:val="26"/>
          <w:rFonts w:hint="eastAsia" w:eastAsia="黑体"/>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_Toc105581279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"_Toc105581280" </w:instrText>
      </w:r>
      <w:r>
        <w:rPr>
          <w:color w:val="auto"/>
          <w:highlight w:val="none"/>
        </w:rPr>
        <w:fldChar w:fldCharType="separate"/>
      </w:r>
      <w:r>
        <w:rPr>
          <w:rStyle w:val="26"/>
          <w:rFonts w:hint="eastAsia" w:eastAsia="黑体"/>
          <w:b/>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_Toc105581280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"_Toc105581281" </w:instrText>
      </w:r>
      <w:r>
        <w:rPr>
          <w:color w:val="auto"/>
          <w:highlight w:val="none"/>
        </w:rPr>
        <w:fldChar w:fldCharType="separate"/>
      </w:r>
      <w:r>
        <w:rPr>
          <w:rStyle w:val="26"/>
          <w:rFonts w:ascii="黑体" w:hAnsi="黑体" w:eastAsia="黑体" w:cs="楷体_GB2312"/>
          <w:b/>
          <w:bCs/>
          <w:color w:val="auto"/>
          <w:highlight w:val="none"/>
          <w:lang w:val="zh-CN"/>
        </w:rPr>
        <w:t xml:space="preserve">1. </w:t>
      </w:r>
      <w:r>
        <w:rPr>
          <w:rStyle w:val="26"/>
          <w:rFonts w:hint="eastAsia" w:ascii="黑体" w:hAnsi="黑体" w:eastAsia="黑体" w:cs="楷体_GB2312"/>
          <w:b/>
          <w:bCs/>
          <w:color w:val="auto"/>
          <w:highlight w:val="none"/>
          <w:lang w:val="zh-CN"/>
        </w:rPr>
        <w:t>总则</w:t>
      </w:r>
      <w:r>
        <w:rPr>
          <w:color w:val="auto"/>
          <w:highlight w:val="none"/>
        </w:rPr>
        <w:tab/>
      </w:r>
      <w:r>
        <w:rPr>
          <w:color w:val="auto"/>
          <w:highlight w:val="none"/>
        </w:rPr>
        <w:fldChar w:fldCharType="begin"/>
      </w:r>
      <w:r>
        <w:rPr>
          <w:color w:val="auto"/>
          <w:highlight w:val="none"/>
        </w:rPr>
        <w:instrText xml:space="preserve"> PAGEREF _Toc105581281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"_Toc105581282" </w:instrText>
      </w:r>
      <w:r>
        <w:rPr>
          <w:color w:val="auto"/>
          <w:highlight w:val="none"/>
        </w:rPr>
        <w:fldChar w:fldCharType="separate"/>
      </w:r>
      <w:r>
        <w:rPr>
          <w:rStyle w:val="26"/>
          <w:rFonts w:ascii="黑体" w:hAnsi="黑体" w:eastAsia="黑体" w:cs="楷体_GB2312"/>
          <w:b/>
          <w:bCs/>
          <w:color w:val="auto"/>
          <w:highlight w:val="none"/>
          <w:lang w:val="zh-CN"/>
        </w:rPr>
        <w:t xml:space="preserve">2. </w:t>
      </w:r>
      <w:r>
        <w:rPr>
          <w:rStyle w:val="26"/>
          <w:rFonts w:hint="eastAsia" w:ascii="黑体" w:hAnsi="黑体" w:eastAsia="黑体" w:cs="楷体_GB2312"/>
          <w:b/>
          <w:bCs/>
          <w:color w:val="auto"/>
          <w:highlight w:val="none"/>
          <w:lang w:val="zh-CN"/>
        </w:rPr>
        <w:t>磋商文件</w:t>
      </w:r>
      <w:r>
        <w:rPr>
          <w:color w:val="auto"/>
          <w:highlight w:val="none"/>
        </w:rPr>
        <w:tab/>
      </w:r>
      <w:r>
        <w:rPr>
          <w:color w:val="auto"/>
          <w:highlight w:val="none"/>
        </w:rPr>
        <w:fldChar w:fldCharType="begin"/>
      </w:r>
      <w:r>
        <w:rPr>
          <w:color w:val="auto"/>
          <w:highlight w:val="none"/>
        </w:rPr>
        <w:instrText xml:space="preserve"> PAGEREF _Toc105581282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"_Toc105581283" </w:instrText>
      </w:r>
      <w:r>
        <w:rPr>
          <w:color w:val="auto"/>
          <w:highlight w:val="none"/>
        </w:rPr>
        <w:fldChar w:fldCharType="separate"/>
      </w:r>
      <w:r>
        <w:rPr>
          <w:rStyle w:val="26"/>
          <w:rFonts w:ascii="黑体" w:hAnsi="黑体" w:eastAsia="黑体" w:cs="楷体_GB2312"/>
          <w:b/>
          <w:bCs/>
          <w:color w:val="auto"/>
          <w:highlight w:val="none"/>
          <w:lang w:val="zh-CN"/>
        </w:rPr>
        <w:t xml:space="preserve">3. </w:t>
      </w:r>
      <w:r>
        <w:rPr>
          <w:rStyle w:val="26"/>
          <w:rFonts w:hint="eastAsia" w:ascii="黑体" w:hAnsi="黑体" w:eastAsia="黑体" w:cs="楷体_GB2312"/>
          <w:b/>
          <w:bCs/>
          <w:color w:val="auto"/>
          <w:highlight w:val="none"/>
          <w:lang w:val="zh-CN"/>
        </w:rPr>
        <w:t>投标文件（响应文件）</w:t>
      </w:r>
      <w:r>
        <w:rPr>
          <w:color w:val="auto"/>
          <w:highlight w:val="none"/>
        </w:rPr>
        <w:tab/>
      </w:r>
      <w:r>
        <w:rPr>
          <w:color w:val="auto"/>
          <w:highlight w:val="none"/>
        </w:rPr>
        <w:fldChar w:fldCharType="begin"/>
      </w:r>
      <w:r>
        <w:rPr>
          <w:color w:val="auto"/>
          <w:highlight w:val="none"/>
        </w:rPr>
        <w:instrText xml:space="preserve"> PAGEREF _Toc105581283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"_Toc105581284" </w:instrText>
      </w:r>
      <w:r>
        <w:rPr>
          <w:color w:val="auto"/>
          <w:highlight w:val="none"/>
        </w:rPr>
        <w:fldChar w:fldCharType="separate"/>
      </w:r>
      <w:r>
        <w:rPr>
          <w:rStyle w:val="26"/>
          <w:rFonts w:ascii="黑体" w:hAnsi="黑体" w:eastAsia="黑体" w:cs="楷体_GB2312"/>
          <w:b/>
          <w:bCs/>
          <w:color w:val="auto"/>
          <w:highlight w:val="none"/>
          <w:lang w:val="zh-CN"/>
        </w:rPr>
        <w:t xml:space="preserve">4. </w:t>
      </w:r>
      <w:r>
        <w:rPr>
          <w:rStyle w:val="26"/>
          <w:rFonts w:hint="eastAsia" w:ascii="黑体" w:hAnsi="黑体" w:eastAsia="黑体" w:cs="楷体_GB2312"/>
          <w:b/>
          <w:bCs/>
          <w:color w:val="auto"/>
          <w:highlight w:val="none"/>
          <w:lang w:val="zh-CN"/>
        </w:rPr>
        <w:t>投标（响应文件的递交）</w:t>
      </w:r>
      <w:r>
        <w:rPr>
          <w:color w:val="auto"/>
          <w:highlight w:val="none"/>
        </w:rPr>
        <w:tab/>
      </w:r>
      <w:r>
        <w:rPr>
          <w:color w:val="auto"/>
          <w:highlight w:val="none"/>
        </w:rPr>
        <w:fldChar w:fldCharType="begin"/>
      </w:r>
      <w:r>
        <w:rPr>
          <w:color w:val="auto"/>
          <w:highlight w:val="none"/>
        </w:rPr>
        <w:instrText xml:space="preserve"> PAGEREF _Toc105581284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"_Toc105581285" </w:instrText>
      </w:r>
      <w:r>
        <w:rPr>
          <w:color w:val="auto"/>
          <w:highlight w:val="none"/>
        </w:rPr>
        <w:fldChar w:fldCharType="separate"/>
      </w:r>
      <w:r>
        <w:rPr>
          <w:rStyle w:val="26"/>
          <w:rFonts w:ascii="黑体" w:hAnsi="黑体" w:eastAsia="黑体" w:cs="楷体_GB2312"/>
          <w:b/>
          <w:bCs/>
          <w:color w:val="auto"/>
          <w:highlight w:val="none"/>
          <w:lang w:val="zh-CN"/>
        </w:rPr>
        <w:t xml:space="preserve">5. </w:t>
      </w:r>
      <w:r>
        <w:rPr>
          <w:rStyle w:val="26"/>
          <w:rFonts w:hint="eastAsia" w:ascii="黑体" w:hAnsi="黑体" w:eastAsia="黑体" w:cs="楷体_GB2312"/>
          <w:b/>
          <w:bCs/>
          <w:color w:val="auto"/>
          <w:highlight w:val="none"/>
          <w:lang w:val="zh-CN"/>
        </w:rPr>
        <w:t>开标（响应文件的开启）</w:t>
      </w:r>
      <w:r>
        <w:rPr>
          <w:color w:val="auto"/>
          <w:highlight w:val="none"/>
        </w:rPr>
        <w:tab/>
      </w:r>
      <w:r>
        <w:rPr>
          <w:color w:val="auto"/>
          <w:highlight w:val="none"/>
        </w:rPr>
        <w:fldChar w:fldCharType="begin"/>
      </w:r>
      <w:r>
        <w:rPr>
          <w:color w:val="auto"/>
          <w:highlight w:val="none"/>
        </w:rPr>
        <w:instrText xml:space="preserve"> PAGEREF _Toc105581285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"_Toc105581286" </w:instrText>
      </w:r>
      <w:r>
        <w:rPr>
          <w:color w:val="auto"/>
          <w:highlight w:val="none"/>
        </w:rPr>
        <w:fldChar w:fldCharType="separate"/>
      </w:r>
      <w:r>
        <w:rPr>
          <w:rStyle w:val="26"/>
          <w:rFonts w:ascii="黑体" w:hAnsi="黑体" w:eastAsia="黑体" w:cs="楷体_GB2312"/>
          <w:b/>
          <w:bCs/>
          <w:color w:val="auto"/>
          <w:highlight w:val="none"/>
          <w:lang w:val="zh-CN"/>
        </w:rPr>
        <w:t xml:space="preserve">6. </w:t>
      </w:r>
      <w:r>
        <w:rPr>
          <w:rStyle w:val="26"/>
          <w:rFonts w:hint="eastAsia" w:ascii="黑体" w:hAnsi="黑体" w:eastAsia="黑体" w:cs="楷体_GB2312"/>
          <w:b/>
          <w:bCs/>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_Toc105581286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"_Toc105581287" </w:instrText>
      </w:r>
      <w:r>
        <w:rPr>
          <w:color w:val="auto"/>
          <w:highlight w:val="none"/>
        </w:rPr>
        <w:fldChar w:fldCharType="separate"/>
      </w:r>
      <w:r>
        <w:rPr>
          <w:rStyle w:val="26"/>
          <w:rFonts w:ascii="黑体" w:hAnsi="黑体" w:eastAsia="黑体" w:cs="楷体_GB2312"/>
          <w:b/>
          <w:bCs/>
          <w:color w:val="auto"/>
          <w:highlight w:val="none"/>
          <w:lang w:val="zh-CN"/>
        </w:rPr>
        <w:t xml:space="preserve">7. </w:t>
      </w:r>
      <w:r>
        <w:rPr>
          <w:rStyle w:val="26"/>
          <w:rFonts w:hint="eastAsia" w:ascii="黑体" w:hAnsi="黑体" w:eastAsia="黑体" w:cs="楷体_GB2312"/>
          <w:b/>
          <w:bCs/>
          <w:color w:val="auto"/>
          <w:highlight w:val="none"/>
          <w:lang w:val="zh-CN"/>
        </w:rPr>
        <w:t>授予合同</w:t>
      </w:r>
      <w:r>
        <w:rPr>
          <w:color w:val="auto"/>
          <w:highlight w:val="none"/>
        </w:rPr>
        <w:tab/>
      </w:r>
      <w:r>
        <w:rPr>
          <w:color w:val="auto"/>
          <w:highlight w:val="none"/>
        </w:rPr>
        <w:fldChar w:fldCharType="begin"/>
      </w:r>
      <w:r>
        <w:rPr>
          <w:color w:val="auto"/>
          <w:highlight w:val="none"/>
        </w:rPr>
        <w:instrText xml:space="preserve"> PAGEREF _Toc105581287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"_Toc105581288" </w:instrText>
      </w:r>
      <w:r>
        <w:rPr>
          <w:color w:val="auto"/>
          <w:highlight w:val="none"/>
        </w:rPr>
        <w:fldChar w:fldCharType="separate"/>
      </w:r>
      <w:r>
        <w:rPr>
          <w:rStyle w:val="26"/>
          <w:rFonts w:ascii="黑体" w:hAnsi="黑体" w:eastAsia="黑体" w:cs="楷体_GB2312"/>
          <w:b/>
          <w:bCs/>
          <w:color w:val="auto"/>
          <w:highlight w:val="none"/>
          <w:lang w:val="zh-CN"/>
        </w:rPr>
        <w:t xml:space="preserve">8. </w:t>
      </w:r>
      <w:r>
        <w:rPr>
          <w:rStyle w:val="26"/>
          <w:rFonts w:hint="eastAsia" w:ascii="黑体" w:hAnsi="黑体" w:eastAsia="黑体" w:cs="楷体_GB2312"/>
          <w:b/>
          <w:bCs/>
          <w:color w:val="auto"/>
          <w:highlight w:val="none"/>
          <w:lang w:val="zh-CN"/>
        </w:rPr>
        <w:t>验收</w:t>
      </w:r>
      <w:r>
        <w:rPr>
          <w:color w:val="auto"/>
          <w:highlight w:val="none"/>
        </w:rPr>
        <w:tab/>
      </w:r>
      <w:r>
        <w:rPr>
          <w:color w:val="auto"/>
          <w:highlight w:val="none"/>
        </w:rPr>
        <w:fldChar w:fldCharType="begin"/>
      </w:r>
      <w:r>
        <w:rPr>
          <w:color w:val="auto"/>
          <w:highlight w:val="none"/>
        </w:rPr>
        <w:instrText xml:space="preserve"> PAGEREF _Toc105581288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"_Toc105581289" </w:instrText>
      </w:r>
      <w:r>
        <w:rPr>
          <w:color w:val="auto"/>
          <w:highlight w:val="none"/>
        </w:rPr>
        <w:fldChar w:fldCharType="separate"/>
      </w:r>
      <w:r>
        <w:rPr>
          <w:rStyle w:val="26"/>
          <w:rFonts w:ascii="黑体" w:hAnsi="黑体" w:eastAsia="黑体" w:cs="楷体_GB2312"/>
          <w:b/>
          <w:bCs/>
          <w:color w:val="auto"/>
          <w:highlight w:val="none"/>
          <w:lang w:val="zh-CN"/>
        </w:rPr>
        <w:t>9.</w:t>
      </w:r>
      <w:r>
        <w:rPr>
          <w:rStyle w:val="26"/>
          <w:rFonts w:hint="eastAsia" w:ascii="黑体" w:hAnsi="黑体" w:eastAsia="黑体" w:cs="楷体_GB2312"/>
          <w:b/>
          <w:bCs/>
          <w:color w:val="auto"/>
          <w:highlight w:val="none"/>
          <w:lang w:val="zh-CN"/>
        </w:rPr>
        <w:t>付款</w:t>
      </w:r>
      <w:r>
        <w:rPr>
          <w:color w:val="auto"/>
          <w:highlight w:val="none"/>
        </w:rPr>
        <w:tab/>
      </w:r>
      <w:r>
        <w:rPr>
          <w:color w:val="auto"/>
          <w:highlight w:val="none"/>
        </w:rPr>
        <w:fldChar w:fldCharType="begin"/>
      </w:r>
      <w:r>
        <w:rPr>
          <w:color w:val="auto"/>
          <w:highlight w:val="none"/>
        </w:rPr>
        <w:instrText xml:space="preserve"> PAGEREF _Toc105581289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"_Toc105581290" </w:instrText>
      </w:r>
      <w:r>
        <w:rPr>
          <w:color w:val="auto"/>
          <w:highlight w:val="none"/>
        </w:rPr>
        <w:fldChar w:fldCharType="separate"/>
      </w:r>
      <w:r>
        <w:rPr>
          <w:rStyle w:val="26"/>
          <w:rFonts w:ascii="黑体" w:hAnsi="黑体" w:eastAsia="黑体" w:cs="楷体_GB2312"/>
          <w:b/>
          <w:bCs/>
          <w:color w:val="auto"/>
          <w:highlight w:val="none"/>
          <w:lang w:val="zh-CN"/>
        </w:rPr>
        <w:t xml:space="preserve">10. </w:t>
      </w:r>
      <w:r>
        <w:rPr>
          <w:rStyle w:val="26"/>
          <w:rFonts w:hint="eastAsia" w:ascii="黑体" w:hAnsi="黑体" w:eastAsia="黑体" w:cs="楷体_GB2312"/>
          <w:b/>
          <w:bCs/>
          <w:color w:val="auto"/>
          <w:highlight w:val="none"/>
          <w:lang w:val="zh-CN"/>
        </w:rPr>
        <w:t>其他</w:t>
      </w:r>
      <w:r>
        <w:rPr>
          <w:color w:val="auto"/>
          <w:highlight w:val="none"/>
        </w:rPr>
        <w:tab/>
      </w:r>
      <w:r>
        <w:rPr>
          <w:color w:val="auto"/>
          <w:highlight w:val="none"/>
        </w:rPr>
        <w:fldChar w:fldCharType="begin"/>
      </w:r>
      <w:r>
        <w:rPr>
          <w:color w:val="auto"/>
          <w:highlight w:val="none"/>
        </w:rPr>
        <w:instrText xml:space="preserve"> PAGEREF _Toc105581290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"_Toc105581291" </w:instrText>
      </w:r>
      <w:r>
        <w:rPr>
          <w:color w:val="auto"/>
          <w:highlight w:val="none"/>
        </w:rPr>
        <w:fldChar w:fldCharType="separate"/>
      </w:r>
      <w:r>
        <w:rPr>
          <w:rStyle w:val="26"/>
          <w:rFonts w:ascii="黑体" w:hAnsi="黑体" w:eastAsia="黑体" w:cs="楷体_GB2312"/>
          <w:b/>
          <w:bCs/>
          <w:color w:val="auto"/>
          <w:highlight w:val="none"/>
          <w:lang w:val="zh-CN"/>
        </w:rPr>
        <w:t xml:space="preserve">11. </w:t>
      </w:r>
      <w:r>
        <w:rPr>
          <w:rStyle w:val="26"/>
          <w:rFonts w:hint="eastAsia" w:ascii="黑体" w:hAnsi="黑体" w:eastAsia="黑体" w:cs="楷体_GB2312"/>
          <w:b/>
          <w:bCs/>
          <w:color w:val="auto"/>
          <w:highlight w:val="none"/>
          <w:lang w:val="zh-CN"/>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_Toc105581291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"_Toc105581292" </w:instrText>
      </w:r>
      <w:r>
        <w:rPr>
          <w:color w:val="auto"/>
          <w:highlight w:val="none"/>
        </w:rPr>
        <w:fldChar w:fldCharType="separate"/>
      </w:r>
      <w:r>
        <w:rPr>
          <w:rStyle w:val="26"/>
          <w:rFonts w:hint="eastAsia" w:ascii="黑体" w:hAnsi="黑体" w:eastAsia="黑体"/>
          <w:b/>
          <w:color w:val="auto"/>
          <w:highlight w:val="none"/>
          <w:lang w:val="zh-CN"/>
        </w:rPr>
        <w:t>第四章</w:t>
      </w:r>
      <w:r>
        <w:rPr>
          <w:rStyle w:val="26"/>
          <w:rFonts w:ascii="黑体" w:hAnsi="黑体" w:eastAsia="黑体"/>
          <w:b/>
          <w:color w:val="auto"/>
          <w:highlight w:val="none"/>
          <w:lang w:val="zh-CN"/>
        </w:rPr>
        <w:t xml:space="preserve"> </w:t>
      </w:r>
      <w:r>
        <w:rPr>
          <w:rStyle w:val="26"/>
          <w:rFonts w:hint="eastAsia" w:ascii="黑体" w:hAnsi="黑体" w:eastAsia="黑体"/>
          <w:b/>
          <w:color w:val="auto"/>
          <w:highlight w:val="none"/>
          <w:lang w:val="zh-CN"/>
        </w:rPr>
        <w:t>评审办法</w:t>
      </w:r>
      <w:r>
        <w:rPr>
          <w:color w:val="auto"/>
          <w:highlight w:val="none"/>
        </w:rPr>
        <w:tab/>
      </w:r>
      <w:r>
        <w:rPr>
          <w:color w:val="auto"/>
          <w:highlight w:val="none"/>
        </w:rPr>
        <w:fldChar w:fldCharType="begin"/>
      </w:r>
      <w:r>
        <w:rPr>
          <w:color w:val="auto"/>
          <w:highlight w:val="none"/>
        </w:rPr>
        <w:instrText xml:space="preserve"> PAGEREF _Toc105581292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"_Toc105581293" </w:instrText>
      </w:r>
      <w:r>
        <w:rPr>
          <w:color w:val="auto"/>
          <w:highlight w:val="none"/>
        </w:rPr>
        <w:fldChar w:fldCharType="separate"/>
      </w:r>
      <w:r>
        <w:rPr>
          <w:rStyle w:val="26"/>
          <w:rFonts w:hint="eastAsia" w:ascii="黑体" w:hAnsi="黑体" w:eastAsia="黑体"/>
          <w:b/>
          <w:color w:val="auto"/>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_Toc105581293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"_Toc105581294" </w:instrText>
      </w:r>
      <w:r>
        <w:rPr>
          <w:color w:val="auto"/>
          <w:highlight w:val="none"/>
        </w:rPr>
        <w:fldChar w:fldCharType="separate"/>
      </w:r>
      <w:r>
        <w:rPr>
          <w:rStyle w:val="26"/>
          <w:rFonts w:ascii="黑体" w:hAnsi="黑体" w:eastAsia="黑体" w:cs="楷体_GB2312"/>
          <w:b/>
          <w:bCs/>
          <w:color w:val="auto"/>
          <w:highlight w:val="none"/>
          <w:lang w:val="zh-CN"/>
        </w:rPr>
        <w:t xml:space="preserve">1. </w:t>
      </w:r>
      <w:r>
        <w:rPr>
          <w:rStyle w:val="26"/>
          <w:rFonts w:hint="eastAsia" w:ascii="黑体" w:hAnsi="黑体" w:eastAsia="黑体" w:cs="楷体_GB2312"/>
          <w:b/>
          <w:bCs/>
          <w:color w:val="auto"/>
          <w:highlight w:val="none"/>
          <w:lang w:val="zh-CN"/>
        </w:rPr>
        <w:t>评审方法（评定成交的标准）</w:t>
      </w:r>
      <w:r>
        <w:rPr>
          <w:color w:val="auto"/>
          <w:highlight w:val="none"/>
        </w:rPr>
        <w:tab/>
      </w:r>
      <w:r>
        <w:rPr>
          <w:color w:val="auto"/>
          <w:highlight w:val="none"/>
        </w:rPr>
        <w:fldChar w:fldCharType="begin"/>
      </w:r>
      <w:r>
        <w:rPr>
          <w:color w:val="auto"/>
          <w:highlight w:val="none"/>
        </w:rPr>
        <w:instrText xml:space="preserve"> PAGEREF _Toc105581294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"_Toc105581295" </w:instrText>
      </w:r>
      <w:r>
        <w:rPr>
          <w:color w:val="auto"/>
          <w:highlight w:val="none"/>
        </w:rPr>
        <w:fldChar w:fldCharType="separate"/>
      </w:r>
      <w:r>
        <w:rPr>
          <w:rStyle w:val="26"/>
          <w:rFonts w:ascii="黑体" w:hAnsi="黑体" w:eastAsia="黑体" w:cs="楷体_GB2312"/>
          <w:b/>
          <w:bCs/>
          <w:color w:val="auto"/>
          <w:highlight w:val="none"/>
          <w:lang w:val="zh-CN"/>
        </w:rPr>
        <w:t xml:space="preserve">2. </w:t>
      </w:r>
      <w:r>
        <w:rPr>
          <w:rStyle w:val="26"/>
          <w:rFonts w:hint="eastAsia" w:ascii="黑体" w:hAnsi="黑体" w:eastAsia="黑体" w:cs="楷体_GB2312"/>
          <w:b/>
          <w:bCs/>
          <w:color w:val="auto"/>
          <w:highlight w:val="none"/>
          <w:lang w:val="zh-CN"/>
        </w:rPr>
        <w:t>评审标准</w:t>
      </w:r>
      <w:r>
        <w:rPr>
          <w:color w:val="auto"/>
          <w:highlight w:val="none"/>
        </w:rPr>
        <w:tab/>
      </w:r>
      <w:r>
        <w:rPr>
          <w:color w:val="auto"/>
          <w:highlight w:val="none"/>
        </w:rPr>
        <w:fldChar w:fldCharType="begin"/>
      </w:r>
      <w:r>
        <w:rPr>
          <w:color w:val="auto"/>
          <w:highlight w:val="none"/>
        </w:rPr>
        <w:instrText xml:space="preserve"> PAGEREF _Toc105581295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"_Toc105581296" </w:instrText>
      </w:r>
      <w:r>
        <w:rPr>
          <w:color w:val="auto"/>
          <w:highlight w:val="none"/>
        </w:rPr>
        <w:fldChar w:fldCharType="separate"/>
      </w:r>
      <w:r>
        <w:rPr>
          <w:rStyle w:val="26"/>
          <w:rFonts w:ascii="黑体" w:hAnsi="黑体" w:eastAsia="黑体" w:cs="楷体_GB2312"/>
          <w:b/>
          <w:bCs/>
          <w:color w:val="auto"/>
          <w:highlight w:val="none"/>
          <w:lang w:val="zh-CN"/>
        </w:rPr>
        <w:t xml:space="preserve">3. </w:t>
      </w:r>
      <w:r>
        <w:rPr>
          <w:rStyle w:val="26"/>
          <w:rFonts w:hint="eastAsia" w:ascii="黑体" w:hAnsi="黑体" w:eastAsia="黑体" w:cs="楷体_GB2312"/>
          <w:b/>
          <w:bCs/>
          <w:color w:val="auto"/>
          <w:highlight w:val="none"/>
          <w:lang w:val="zh-CN"/>
        </w:rPr>
        <w:t>评审程序</w:t>
      </w:r>
      <w:r>
        <w:rPr>
          <w:color w:val="auto"/>
          <w:highlight w:val="none"/>
        </w:rPr>
        <w:tab/>
      </w:r>
      <w:r>
        <w:rPr>
          <w:color w:val="auto"/>
          <w:highlight w:val="none"/>
        </w:rPr>
        <w:fldChar w:fldCharType="begin"/>
      </w:r>
      <w:r>
        <w:rPr>
          <w:color w:val="auto"/>
          <w:highlight w:val="none"/>
        </w:rPr>
        <w:instrText xml:space="preserve"> PAGEREF _Toc105581296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6"/>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"_Toc105581297" </w:instrText>
      </w:r>
      <w:r>
        <w:rPr>
          <w:color w:val="auto"/>
          <w:highlight w:val="none"/>
        </w:rPr>
        <w:fldChar w:fldCharType="separate"/>
      </w:r>
      <w:r>
        <w:rPr>
          <w:rStyle w:val="26"/>
          <w:rFonts w:ascii="黑体" w:hAnsi="黑体" w:eastAsia="黑体" w:cs="楷体_GB2312"/>
          <w:b/>
          <w:bCs/>
          <w:color w:val="auto"/>
          <w:highlight w:val="none"/>
          <w:lang w:val="zh-CN"/>
        </w:rPr>
        <w:t xml:space="preserve">4. </w:t>
      </w:r>
      <w:r>
        <w:rPr>
          <w:rStyle w:val="26"/>
          <w:rFonts w:hint="eastAsia" w:ascii="黑体" w:hAnsi="黑体" w:eastAsia="黑体" w:cs="楷体_GB2312"/>
          <w:b/>
          <w:bCs/>
          <w:color w:val="auto"/>
          <w:highlight w:val="none"/>
          <w:lang w:val="zh-CN"/>
        </w:rPr>
        <w:t>政府采购促进中小企业发展扶持政策</w:t>
      </w:r>
      <w:r>
        <w:rPr>
          <w:color w:val="auto"/>
          <w:highlight w:val="none"/>
        </w:rPr>
        <w:tab/>
      </w:r>
      <w:r>
        <w:rPr>
          <w:color w:val="auto"/>
          <w:highlight w:val="none"/>
        </w:rPr>
        <w:fldChar w:fldCharType="begin"/>
      </w:r>
      <w:r>
        <w:rPr>
          <w:color w:val="auto"/>
          <w:highlight w:val="none"/>
        </w:rPr>
        <w:instrText xml:space="preserve"> PAGEREF _Toc105581297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"_Toc105581298" </w:instrText>
      </w:r>
      <w:r>
        <w:rPr>
          <w:color w:val="auto"/>
          <w:highlight w:val="none"/>
        </w:rPr>
        <w:fldChar w:fldCharType="separate"/>
      </w:r>
      <w:r>
        <w:rPr>
          <w:rStyle w:val="26"/>
          <w:rFonts w:hint="eastAsia" w:ascii="黑体" w:eastAsia="黑体"/>
          <w:b/>
          <w:color w:val="auto"/>
          <w:highlight w:val="none"/>
        </w:rPr>
        <w:t>第五章</w:t>
      </w:r>
      <w:r>
        <w:rPr>
          <w:rStyle w:val="26"/>
          <w:rFonts w:ascii="黑体" w:eastAsia="黑体"/>
          <w:b/>
          <w:color w:val="auto"/>
          <w:highlight w:val="none"/>
        </w:rPr>
        <w:t xml:space="preserve"> </w:t>
      </w:r>
      <w:r>
        <w:rPr>
          <w:rStyle w:val="26"/>
          <w:rFonts w:hint="eastAsia" w:ascii="黑体" w:eastAsia="黑体"/>
          <w:b/>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_Toc105581298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"_Toc105581299" </w:instrText>
      </w:r>
      <w:r>
        <w:rPr>
          <w:color w:val="auto"/>
          <w:highlight w:val="none"/>
        </w:rPr>
        <w:fldChar w:fldCharType="separate"/>
      </w:r>
      <w:r>
        <w:rPr>
          <w:rStyle w:val="26"/>
          <w:rFonts w:hint="eastAsia" w:ascii="黑体" w:hAnsi="黑体" w:eastAsia="黑体"/>
          <w:b/>
          <w:color w:val="auto"/>
          <w:highlight w:val="none"/>
          <w:lang w:val="zh-CN"/>
        </w:rPr>
        <w:t>第六章</w:t>
      </w:r>
      <w:r>
        <w:rPr>
          <w:rStyle w:val="26"/>
          <w:rFonts w:ascii="黑体" w:hAnsi="黑体" w:eastAsia="黑体"/>
          <w:b/>
          <w:color w:val="auto"/>
          <w:highlight w:val="none"/>
          <w:lang w:val="zh-CN"/>
        </w:rPr>
        <w:t xml:space="preserve"> </w:t>
      </w:r>
      <w:r>
        <w:rPr>
          <w:rStyle w:val="26"/>
          <w:rFonts w:hint="eastAsia" w:ascii="黑体" w:hAnsi="黑体" w:eastAsia="黑体"/>
          <w:b/>
          <w:color w:val="auto"/>
          <w:highlight w:val="none"/>
          <w:lang w:val="zh-CN"/>
        </w:rPr>
        <w:t>投标文件格式</w:t>
      </w:r>
      <w:r>
        <w:rPr>
          <w:color w:val="auto"/>
          <w:highlight w:val="none"/>
        </w:rPr>
        <w:tab/>
      </w:r>
      <w:r>
        <w:rPr>
          <w:color w:val="auto"/>
          <w:highlight w:val="none"/>
        </w:rPr>
        <w:fldChar w:fldCharType="begin"/>
      </w:r>
      <w:r>
        <w:rPr>
          <w:color w:val="auto"/>
          <w:highlight w:val="none"/>
        </w:rPr>
        <w:instrText xml:space="preserve"> PAGEREF _Toc105581299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widowControl w:val="0"/>
        <w:snapToGrid w:val="0"/>
        <w:spacing w:line="660" w:lineRule="exact"/>
        <w:ind w:firstLine="607" w:firstLineChars="168"/>
        <w:rPr>
          <w:rFonts w:ascii="黑体" w:hAnsi="黑体" w:eastAsia="黑体"/>
          <w:b/>
          <w:color w:val="auto"/>
          <w:sz w:val="36"/>
          <w:szCs w:val="36"/>
          <w:highlight w:val="none"/>
        </w:rPr>
      </w:pPr>
    </w:p>
    <w:p>
      <w:pPr>
        <w:widowControl w:val="0"/>
        <w:snapToGrid w:val="0"/>
        <w:spacing w:line="560" w:lineRule="exact"/>
        <w:ind w:firstLine="181" w:firstLineChars="50"/>
        <w:rPr>
          <w:rFonts w:ascii="黑体" w:eastAsia="黑体"/>
          <w:b/>
          <w:color w:val="auto"/>
          <w:sz w:val="36"/>
          <w:szCs w:val="36"/>
          <w:highlight w:val="none"/>
        </w:rPr>
        <w:sectPr>
          <w:footerReference r:id="rId7" w:type="first"/>
          <w:headerReference r:id="rId5" w:type="default"/>
          <w:footerReference r:id="rId6" w:type="default"/>
          <w:pgSz w:w="11905" w:h="16837"/>
          <w:pgMar w:top="1418" w:right="1106" w:bottom="1418" w:left="1418" w:header="567" w:footer="567" w:gutter="0"/>
          <w:pgNumType w:fmt="numberInDash" w:start="0"/>
          <w:cols w:space="720" w:num="1"/>
          <w:titlePg/>
        </w:sectPr>
      </w:pPr>
    </w:p>
    <w:p>
      <w:pPr>
        <w:widowControl w:val="0"/>
        <w:snapToGrid w:val="0"/>
        <w:spacing w:line="560" w:lineRule="exact"/>
        <w:jc w:val="left"/>
        <w:rPr>
          <w:rFonts w:ascii="宋体"/>
          <w:b/>
          <w:color w:val="auto"/>
          <w:sz w:val="24"/>
          <w:szCs w:val="24"/>
          <w:highlight w:val="none"/>
        </w:rPr>
      </w:pPr>
    </w:p>
    <w:p>
      <w:pPr>
        <w:widowControl w:val="0"/>
        <w:snapToGrid w:val="0"/>
        <w:spacing w:line="560" w:lineRule="exact"/>
        <w:jc w:val="center"/>
        <w:outlineLvl w:val="0"/>
        <w:rPr>
          <w:rFonts w:hint="eastAsia" w:eastAsia="黑体"/>
          <w:color w:val="auto"/>
          <w:sz w:val="36"/>
          <w:szCs w:val="36"/>
          <w:highlight w:val="none"/>
          <w:lang w:eastAsia="zh-CN"/>
        </w:rPr>
      </w:pPr>
      <w:bookmarkStart w:id="0" w:name="_Toc105581274"/>
      <w:r>
        <w:rPr>
          <w:rFonts w:hint="eastAsia" w:eastAsia="黑体"/>
          <w:b/>
          <w:color w:val="auto"/>
          <w:sz w:val="36"/>
          <w:szCs w:val="36"/>
          <w:highlight w:val="none"/>
        </w:rPr>
        <w:t>第一章</w:t>
      </w:r>
      <w:r>
        <w:rPr>
          <w:rFonts w:eastAsia="黑体"/>
          <w:b/>
          <w:color w:val="auto"/>
          <w:sz w:val="36"/>
          <w:szCs w:val="36"/>
          <w:highlight w:val="none"/>
        </w:rPr>
        <w:t xml:space="preserve"> </w:t>
      </w:r>
      <w:bookmarkEnd w:id="0"/>
      <w:r>
        <w:rPr>
          <w:rFonts w:hint="eastAsia" w:eastAsia="黑体"/>
          <w:b/>
          <w:color w:val="auto"/>
          <w:sz w:val="36"/>
          <w:szCs w:val="36"/>
          <w:highlight w:val="none"/>
          <w:lang w:eastAsia="zh-CN"/>
        </w:rPr>
        <w:t>磋商公告</w:t>
      </w:r>
    </w:p>
    <w:p>
      <w:pPr>
        <w:widowControl w:val="0"/>
        <w:snapToGrid w:val="0"/>
        <w:spacing w:line="360" w:lineRule="auto"/>
        <w:ind w:firstLine="566"/>
        <w:rPr>
          <w:color w:val="auto"/>
          <w:sz w:val="28"/>
          <w:szCs w:val="28"/>
          <w:highlight w:val="none"/>
        </w:rPr>
      </w:pPr>
    </w:p>
    <w:p>
      <w:pPr>
        <w:pStyle w:val="18"/>
        <w:spacing w:before="0" w:beforeAutospacing="0" w:after="0" w:afterAutospacing="0" w:line="495" w:lineRule="atLeast"/>
        <w:rPr>
          <w:rFonts w:ascii="SimSun,Bold" w:hAnsi="SimSun,Bold" w:eastAsia="SimSun,Bold"/>
          <w:b/>
          <w:color w:val="auto"/>
          <w:highlight w:val="none"/>
        </w:rPr>
      </w:pPr>
      <w:r>
        <w:rPr>
          <w:rFonts w:hint="eastAsia" w:ascii="SimSun,Bold" w:hAnsi="SimSun,Bold" w:eastAsia="SimSun,Bold"/>
          <w:b/>
          <w:color w:val="auto"/>
          <w:highlight w:val="none"/>
        </w:rPr>
        <w:t>一、项目基本情况</w:t>
      </w:r>
    </w:p>
    <w:p>
      <w:pPr>
        <w:pStyle w:val="18"/>
        <w:spacing w:before="0" w:beforeAutospacing="0" w:after="0" w:afterAutospacing="0" w:line="495" w:lineRule="atLeast"/>
        <w:ind w:firstLine="482" w:firstLineChars="200"/>
        <w:rPr>
          <w:rFonts w:hint="default" w:eastAsia="宋体"/>
          <w:color w:val="auto"/>
          <w:highlight w:val="none"/>
          <w:lang w:val="en-US" w:eastAsia="zh-CN"/>
        </w:rPr>
      </w:pPr>
      <w:r>
        <w:rPr>
          <w:rFonts w:hint="eastAsia" w:ascii="SimSun,Bold" w:hAnsi="SimSun,Bold" w:eastAsia="SimSun,Bold"/>
          <w:b/>
          <w:color w:val="auto"/>
          <w:highlight w:val="none"/>
        </w:rPr>
        <w:t>1、项目编号：</w:t>
      </w:r>
      <w:r>
        <w:rPr>
          <w:rFonts w:hint="eastAsia"/>
          <w:color w:val="auto"/>
          <w:highlight w:val="none"/>
        </w:rPr>
        <w:t>安汤</w:t>
      </w:r>
      <w:r>
        <w:rPr>
          <w:rFonts w:hint="eastAsia"/>
          <w:color w:val="auto"/>
          <w:highlight w:val="none"/>
          <w:lang w:val="en-US" w:eastAsia="zh-CN"/>
        </w:rPr>
        <w:t>磋商</w:t>
      </w:r>
      <w:r>
        <w:rPr>
          <w:rFonts w:hint="eastAsia"/>
          <w:color w:val="auto"/>
          <w:highlight w:val="none"/>
        </w:rPr>
        <w:t>采购-202</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 xml:space="preserve"> </w:t>
      </w:r>
    </w:p>
    <w:p>
      <w:pPr>
        <w:pStyle w:val="18"/>
        <w:spacing w:before="0" w:beforeAutospacing="0" w:after="0" w:afterAutospacing="0" w:line="495" w:lineRule="atLeast"/>
        <w:ind w:firstLine="482" w:firstLineChars="200"/>
        <w:rPr>
          <w:color w:val="auto"/>
          <w:highlight w:val="none"/>
        </w:rPr>
      </w:pPr>
      <w:r>
        <w:rPr>
          <w:rFonts w:hint="eastAsia" w:ascii="SimSun,Bold" w:hAnsi="SimSun,Bold" w:eastAsia="SimSun,Bold"/>
          <w:b/>
          <w:color w:val="auto"/>
          <w:highlight w:val="none"/>
        </w:rPr>
        <w:t>2、项目名称：</w:t>
      </w:r>
      <w:r>
        <w:rPr>
          <w:rFonts w:hint="eastAsia" w:ascii="SimSun,Bold" w:hAnsi="SimSun,Bold" w:eastAsia="SimSun,Bold"/>
          <w:b w:val="0"/>
          <w:bCs/>
          <w:color w:val="auto"/>
          <w:highlight w:val="none"/>
          <w:lang w:eastAsia="zh-CN"/>
        </w:rPr>
        <w:t xml:space="preserve">汤阴县文化广电体育旅游局旅游资源普查项目   </w:t>
      </w:r>
    </w:p>
    <w:p>
      <w:pPr>
        <w:pStyle w:val="18"/>
        <w:spacing w:before="0" w:beforeAutospacing="0" w:after="0" w:afterAutospacing="0" w:line="495" w:lineRule="atLeast"/>
        <w:ind w:firstLine="482" w:firstLineChars="200"/>
        <w:rPr>
          <w:rFonts w:hint="eastAsia" w:eastAsia="SimSun,Bold"/>
          <w:color w:val="auto"/>
          <w:highlight w:val="none"/>
          <w:lang w:eastAsia="zh-CN"/>
        </w:rPr>
      </w:pPr>
      <w:r>
        <w:rPr>
          <w:rFonts w:hint="eastAsia" w:ascii="SimSun,Bold" w:hAnsi="SimSun,Bold" w:eastAsia="SimSun,Bold"/>
          <w:b/>
          <w:color w:val="auto"/>
          <w:highlight w:val="none"/>
        </w:rPr>
        <w:t>3、采购方式：</w:t>
      </w:r>
      <w:r>
        <w:rPr>
          <w:rFonts w:hint="eastAsia" w:eastAsia="SimSun,Bold"/>
          <w:color w:val="auto"/>
          <w:highlight w:val="none"/>
          <w:lang w:eastAsia="zh-CN"/>
        </w:rPr>
        <w:t>竞争性磋商</w:t>
      </w:r>
    </w:p>
    <w:p>
      <w:pPr>
        <w:pStyle w:val="18"/>
        <w:spacing w:before="0" w:beforeAutospacing="0" w:after="0" w:afterAutospacing="0" w:line="495" w:lineRule="atLeast"/>
        <w:ind w:firstLine="482" w:firstLineChars="200"/>
        <w:rPr>
          <w:color w:val="auto"/>
          <w:highlight w:val="none"/>
        </w:rPr>
      </w:pPr>
      <w:r>
        <w:rPr>
          <w:rFonts w:hint="eastAsia" w:ascii="SimSun,Bold" w:hAnsi="SimSun,Bold" w:eastAsia="SimSun,Bold"/>
          <w:b/>
          <w:color w:val="auto"/>
          <w:highlight w:val="none"/>
        </w:rPr>
        <w:t>4、预算金额：</w:t>
      </w:r>
      <w:r>
        <w:rPr>
          <w:rFonts w:hint="eastAsia" w:cs="宋体"/>
          <w:color w:val="auto"/>
          <w:highlight w:val="none"/>
          <w:lang w:val="en-US" w:eastAsia="zh-CN"/>
        </w:rPr>
        <w:t>600000</w:t>
      </w:r>
      <w:r>
        <w:rPr>
          <w:rFonts w:hint="eastAsia"/>
          <w:color w:val="auto"/>
          <w:highlight w:val="none"/>
        </w:rPr>
        <w:t>元</w:t>
      </w:r>
    </w:p>
    <w:p>
      <w:pPr>
        <w:pStyle w:val="18"/>
        <w:spacing w:before="0" w:beforeAutospacing="0" w:after="0" w:afterAutospacing="0" w:line="495" w:lineRule="atLeast"/>
        <w:ind w:firstLine="964" w:firstLineChars="400"/>
        <w:rPr>
          <w:color w:val="auto"/>
          <w:highlight w:val="none"/>
        </w:rPr>
      </w:pPr>
      <w:r>
        <w:rPr>
          <w:rFonts w:hint="eastAsia" w:ascii="SimSun,Bold" w:hAnsi="SimSun,Bold" w:eastAsia="SimSun,Bold"/>
          <w:b/>
          <w:color w:val="auto"/>
          <w:highlight w:val="none"/>
        </w:rPr>
        <w:t>最高限价：</w:t>
      </w:r>
      <w:r>
        <w:rPr>
          <w:rFonts w:hint="eastAsia" w:cs="宋体"/>
          <w:color w:val="auto"/>
          <w:highlight w:val="none"/>
          <w:lang w:val="en-US" w:eastAsia="zh-CN"/>
        </w:rPr>
        <w:t>600000</w:t>
      </w:r>
      <w:r>
        <w:rPr>
          <w:rFonts w:hint="eastAsia"/>
          <w:color w:val="auto"/>
          <w:highlight w:val="none"/>
        </w:rPr>
        <w:t>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25"/>
        <w:gridCol w:w="2860"/>
        <w:gridCol w:w="186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序号</w:t>
            </w:r>
          </w:p>
        </w:tc>
        <w:tc>
          <w:tcPr>
            <w:tcW w:w="825"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包号</w:t>
            </w:r>
          </w:p>
        </w:tc>
        <w:tc>
          <w:tcPr>
            <w:tcW w:w="2860"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包名称</w:t>
            </w:r>
          </w:p>
        </w:tc>
        <w:tc>
          <w:tcPr>
            <w:tcW w:w="1860"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包预算（元）</w:t>
            </w:r>
          </w:p>
        </w:tc>
        <w:tc>
          <w:tcPr>
            <w:tcW w:w="2224"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1</w:t>
            </w:r>
          </w:p>
        </w:tc>
        <w:tc>
          <w:tcPr>
            <w:tcW w:w="825" w:type="dxa"/>
            <w:vAlign w:val="center"/>
          </w:tcPr>
          <w:p>
            <w:pPr>
              <w:pStyle w:val="18"/>
              <w:spacing w:before="0" w:beforeAutospacing="0" w:after="0" w:afterAutospacing="0" w:line="495" w:lineRule="atLeast"/>
              <w:jc w:val="center"/>
              <w:rPr>
                <w:color w:val="auto"/>
                <w:highlight w:val="none"/>
              </w:rPr>
            </w:pPr>
            <w:r>
              <w:rPr>
                <w:rFonts w:hint="eastAsia"/>
                <w:color w:val="auto"/>
                <w:highlight w:val="none"/>
              </w:rPr>
              <w:t>1</w:t>
            </w:r>
          </w:p>
        </w:tc>
        <w:tc>
          <w:tcPr>
            <w:tcW w:w="2860" w:type="dxa"/>
            <w:vAlign w:val="center"/>
          </w:tcPr>
          <w:p>
            <w:pPr>
              <w:pStyle w:val="18"/>
              <w:spacing w:before="0" w:beforeAutospacing="0" w:after="0" w:afterAutospacing="0" w:line="495" w:lineRule="atLeast"/>
              <w:jc w:val="center"/>
              <w:rPr>
                <w:color w:val="auto"/>
                <w:highlight w:val="none"/>
              </w:rPr>
            </w:pPr>
            <w:r>
              <w:rPr>
                <w:rFonts w:hint="eastAsia" w:ascii="SimSun,Bold" w:hAnsi="SimSun,Bold" w:eastAsia="SimSun,Bold"/>
                <w:b w:val="0"/>
                <w:bCs/>
                <w:color w:val="auto"/>
                <w:highlight w:val="none"/>
                <w:lang w:eastAsia="zh-CN"/>
              </w:rPr>
              <w:t xml:space="preserve">汤阴县文化广电体育旅游局旅游资源普查项目   </w:t>
            </w:r>
          </w:p>
        </w:tc>
        <w:tc>
          <w:tcPr>
            <w:tcW w:w="1860" w:type="dxa"/>
            <w:vAlign w:val="center"/>
          </w:tcPr>
          <w:p>
            <w:pPr>
              <w:pStyle w:val="18"/>
              <w:spacing w:before="0" w:beforeAutospacing="0" w:after="0" w:afterAutospacing="0" w:line="495" w:lineRule="atLeast"/>
              <w:jc w:val="center"/>
              <w:rPr>
                <w:color w:val="auto"/>
                <w:highlight w:val="none"/>
              </w:rPr>
            </w:pPr>
            <w:r>
              <w:rPr>
                <w:rFonts w:hint="eastAsia" w:cs="宋体"/>
                <w:color w:val="auto"/>
                <w:highlight w:val="none"/>
                <w:lang w:val="en-US" w:eastAsia="zh-CN"/>
              </w:rPr>
              <w:t>600000</w:t>
            </w:r>
          </w:p>
        </w:tc>
        <w:tc>
          <w:tcPr>
            <w:tcW w:w="2224" w:type="dxa"/>
            <w:vAlign w:val="center"/>
          </w:tcPr>
          <w:p>
            <w:pPr>
              <w:pStyle w:val="18"/>
              <w:spacing w:before="0" w:beforeAutospacing="0" w:after="0" w:afterAutospacing="0" w:line="495" w:lineRule="atLeast"/>
              <w:jc w:val="center"/>
              <w:rPr>
                <w:color w:val="auto"/>
                <w:highlight w:val="none"/>
              </w:rPr>
            </w:pPr>
            <w:r>
              <w:rPr>
                <w:rFonts w:hint="eastAsia" w:cs="宋体"/>
                <w:color w:val="auto"/>
                <w:highlight w:val="none"/>
                <w:lang w:val="en-US" w:eastAsia="zh-CN"/>
              </w:rPr>
              <w:t>600000</w:t>
            </w:r>
          </w:p>
        </w:tc>
      </w:tr>
    </w:tbl>
    <w:p>
      <w:pPr>
        <w:pStyle w:val="18"/>
        <w:spacing w:before="0" w:beforeAutospacing="0" w:after="0" w:afterAutospacing="0" w:line="495" w:lineRule="atLeast"/>
        <w:ind w:firstLine="482" w:firstLineChars="200"/>
        <w:rPr>
          <w:color w:val="auto"/>
          <w:highlight w:val="none"/>
        </w:rPr>
      </w:pPr>
      <w:r>
        <w:rPr>
          <w:rFonts w:hint="eastAsia" w:ascii="SimSun,Bold" w:hAnsi="SimSun,Bold" w:eastAsia="SimSun,Bold"/>
          <w:b/>
          <w:color w:val="auto"/>
          <w:highlight w:val="none"/>
        </w:rPr>
        <w:t>5、采购需求</w:t>
      </w:r>
      <w:r>
        <w:rPr>
          <w:rFonts w:hint="eastAsia"/>
          <w:color w:val="auto"/>
          <w:highlight w:val="none"/>
        </w:rPr>
        <w:t>（包括但不限于标的的名称、数量、简要技术需求或服务要求等）</w:t>
      </w:r>
    </w:p>
    <w:p>
      <w:pPr>
        <w:pStyle w:val="18"/>
        <w:spacing w:before="0" w:beforeAutospacing="0" w:after="0" w:afterAutospacing="0" w:line="495" w:lineRule="atLeast"/>
        <w:ind w:firstLine="960" w:firstLineChars="400"/>
        <w:rPr>
          <w:rFonts w:hint="eastAsia"/>
          <w:color w:val="auto"/>
          <w:highlight w:val="none"/>
        </w:rPr>
      </w:pPr>
      <w:r>
        <w:rPr>
          <w:rFonts w:hint="eastAsia"/>
          <w:color w:val="auto"/>
          <w:highlight w:val="none"/>
        </w:rPr>
        <w:t xml:space="preserve">5.1采购需求：（1）资料收集分析，编制上报《旅游资源预目录》，摸透汤阴县旅游资源家底，主要对地文景观、水域景观、生物景观、天象与气候景观、建筑与设施、历史遗迹、旅游购品、人文活动八大类旅游资源开展全面普查。（2）开展野外调查、核查及补充调查工作，挖掘旅游资源景点，提升区域内旅游资源点的价值属性。（3）开展旅游资源评价工作，科学评定旅游资源单体、综合体等级，合理划分汤阴县旅游资源分区。（4）将采集的资源信息编制录入资源信息库平台。（5）编制汤阴县旅游资源调查评价报告等系列成果。      </w:t>
      </w:r>
    </w:p>
    <w:p>
      <w:pPr>
        <w:pStyle w:val="18"/>
        <w:spacing w:before="0" w:beforeAutospacing="0" w:after="0" w:afterAutospacing="0" w:line="495" w:lineRule="atLeast"/>
        <w:ind w:firstLine="960" w:firstLineChars="400"/>
        <w:rPr>
          <w:rFonts w:hint="eastAsia"/>
          <w:color w:val="auto"/>
          <w:highlight w:val="none"/>
        </w:rPr>
      </w:pPr>
      <w:r>
        <w:rPr>
          <w:rFonts w:hint="eastAsia"/>
          <w:color w:val="auto"/>
          <w:highlight w:val="none"/>
        </w:rPr>
        <w:t>5.</w:t>
      </w:r>
      <w:r>
        <w:rPr>
          <w:rFonts w:hint="eastAsia"/>
          <w:color w:val="auto"/>
          <w:highlight w:val="none"/>
          <w:lang w:val="en-US" w:eastAsia="zh-CN"/>
        </w:rPr>
        <w:t>2服务地点：采购人指定地点</w:t>
      </w:r>
    </w:p>
    <w:p>
      <w:pPr>
        <w:pStyle w:val="18"/>
        <w:spacing w:before="0" w:beforeAutospacing="0" w:after="0" w:afterAutospacing="0" w:line="495" w:lineRule="atLeast"/>
        <w:ind w:firstLine="960" w:firstLineChars="400"/>
        <w:rPr>
          <w:rFonts w:hint="eastAsia"/>
          <w:color w:val="auto"/>
          <w:highlight w:val="none"/>
          <w:lang w:val="en-US" w:eastAsia="zh-CN"/>
        </w:rPr>
      </w:pPr>
      <w:r>
        <w:rPr>
          <w:rFonts w:hint="eastAsia"/>
          <w:color w:val="auto"/>
          <w:highlight w:val="none"/>
          <w:lang w:val="en-US" w:eastAsia="zh-CN"/>
        </w:rPr>
        <w:t>5.3质量要求：符合国家及行业相关规范和标准，完成报告编制并取得政府主管部门或行业部门并评审审查。</w:t>
      </w:r>
    </w:p>
    <w:p>
      <w:pPr>
        <w:pStyle w:val="18"/>
        <w:spacing w:before="0" w:beforeAutospacing="0" w:after="0" w:afterAutospacing="0" w:line="495" w:lineRule="atLeast"/>
        <w:ind w:firstLine="482" w:firstLineChars="200"/>
        <w:rPr>
          <w:color w:val="auto"/>
          <w:highlight w:val="none"/>
        </w:rPr>
      </w:pPr>
      <w:r>
        <w:rPr>
          <w:rFonts w:hint="eastAsia" w:ascii="SimSun,Bold" w:hAnsi="SimSun,Bold" w:eastAsia="SimSun,Bold"/>
          <w:b/>
          <w:color w:val="auto"/>
          <w:highlight w:val="none"/>
        </w:rPr>
        <w:t>6、合同履行期限（交验期）：合同签订之日至2024年9月底之前完成</w:t>
      </w:r>
      <w:r>
        <w:rPr>
          <w:rFonts w:hint="eastAsia"/>
          <w:color w:val="auto"/>
          <w:highlight w:val="none"/>
        </w:rPr>
        <w:t>；</w:t>
      </w:r>
    </w:p>
    <w:p>
      <w:pPr>
        <w:pStyle w:val="18"/>
        <w:spacing w:before="0" w:beforeAutospacing="0" w:after="0" w:afterAutospacing="0" w:line="495" w:lineRule="atLeast"/>
        <w:ind w:firstLine="482" w:firstLineChars="200"/>
        <w:rPr>
          <w:color w:val="auto"/>
          <w:highlight w:val="none"/>
        </w:rPr>
      </w:pPr>
      <w:r>
        <w:rPr>
          <w:rFonts w:hint="eastAsia" w:ascii="SimSun,Bold" w:hAnsi="SimSun,Bold" w:eastAsia="SimSun,Bold"/>
          <w:b/>
          <w:color w:val="auto"/>
          <w:highlight w:val="none"/>
        </w:rPr>
        <w:t>7、本项目是否接受联合体投标：</w:t>
      </w:r>
      <w:r>
        <w:rPr>
          <w:rFonts w:hint="eastAsia"/>
          <w:color w:val="auto"/>
          <w:highlight w:val="none"/>
        </w:rPr>
        <w:t>否</w:t>
      </w:r>
    </w:p>
    <w:p>
      <w:pPr>
        <w:pStyle w:val="18"/>
        <w:spacing w:before="0" w:beforeAutospacing="0" w:after="0" w:afterAutospacing="0" w:line="495" w:lineRule="atLeast"/>
        <w:ind w:firstLine="482" w:firstLineChars="200"/>
        <w:rPr>
          <w:rFonts w:hint="eastAsia" w:eastAsia="SimSun,Bold"/>
          <w:color w:val="auto"/>
          <w:highlight w:val="none"/>
          <w:lang w:eastAsia="zh-CN"/>
        </w:rPr>
      </w:pPr>
      <w:r>
        <w:rPr>
          <w:rFonts w:hint="eastAsia" w:ascii="SimSun,Bold" w:hAnsi="SimSun,Bold" w:eastAsia="SimSun,Bold"/>
          <w:b/>
          <w:color w:val="auto"/>
          <w:highlight w:val="none"/>
        </w:rPr>
        <w:t>8、是否接受进口产品：</w:t>
      </w:r>
      <w:r>
        <w:rPr>
          <w:rFonts w:hint="eastAsia" w:eastAsia="SimSun,Bold"/>
          <w:color w:val="auto"/>
          <w:highlight w:val="none"/>
          <w:lang w:val="en-US" w:eastAsia="zh-CN"/>
        </w:rPr>
        <w:t>否</w:t>
      </w:r>
    </w:p>
    <w:p>
      <w:pPr>
        <w:pStyle w:val="18"/>
        <w:spacing w:before="0" w:beforeAutospacing="0" w:after="0" w:afterAutospacing="0" w:line="495" w:lineRule="atLeast"/>
        <w:ind w:firstLine="482" w:firstLineChars="200"/>
        <w:rPr>
          <w:rFonts w:hint="eastAsia" w:eastAsia="SimSun,Bold"/>
          <w:color w:val="auto"/>
          <w:highlight w:val="none"/>
          <w:lang w:val="en-US" w:eastAsia="zh-CN"/>
        </w:rPr>
      </w:pPr>
      <w:r>
        <w:rPr>
          <w:rFonts w:hint="eastAsia" w:ascii="SimSun,Bold" w:hAnsi="SimSun,Bold" w:eastAsia="SimSun,Bold"/>
          <w:b/>
          <w:color w:val="auto"/>
          <w:highlight w:val="none"/>
        </w:rPr>
        <w:t>9、是否专门面向中小企业：</w:t>
      </w:r>
      <w:r>
        <w:rPr>
          <w:rFonts w:hint="eastAsia" w:ascii="SimSun,Bold" w:hAnsi="SimSun,Bold" w:eastAsia="SimSun,Bold"/>
          <w:b/>
          <w:color w:val="auto"/>
          <w:highlight w:val="none"/>
          <w:lang w:val="en-US" w:eastAsia="zh-CN"/>
        </w:rPr>
        <w:t>是</w:t>
      </w:r>
    </w:p>
    <w:p>
      <w:pPr>
        <w:pStyle w:val="18"/>
        <w:spacing w:before="0" w:beforeAutospacing="0" w:after="0" w:afterAutospacing="0" w:line="495" w:lineRule="atLeast"/>
        <w:rPr>
          <w:b/>
          <w:bCs/>
          <w:color w:val="auto"/>
          <w:highlight w:val="none"/>
        </w:rPr>
      </w:pPr>
      <w:r>
        <w:rPr>
          <w:rFonts w:hint="eastAsia"/>
          <w:b/>
          <w:bCs/>
          <w:color w:val="auto"/>
          <w:highlight w:val="none"/>
        </w:rPr>
        <w:t>二、申请人资格要求：</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1、满足《中华人民共和国政府采购法》第二十二条规定；</w:t>
      </w:r>
    </w:p>
    <w:p>
      <w:pPr>
        <w:pStyle w:val="18"/>
        <w:spacing w:before="0" w:beforeAutospacing="0" w:after="0" w:afterAutospacing="0" w:line="495" w:lineRule="atLeast"/>
        <w:ind w:firstLine="480" w:firstLineChars="200"/>
        <w:rPr>
          <w:rFonts w:hint="eastAsia" w:eastAsia="宋体"/>
          <w:color w:val="auto"/>
          <w:highlight w:val="none"/>
          <w:lang w:eastAsia="zh-CN"/>
        </w:rPr>
      </w:pPr>
      <w:r>
        <w:rPr>
          <w:rFonts w:hint="eastAsia"/>
          <w:color w:val="auto"/>
          <w:highlight w:val="none"/>
        </w:rPr>
        <w:t>2、落实政府采购政策满足的资格要求：本项目专门面向中小企业采购，不再执行价格评审优惠的扶持政策，须提供《中小企业声明函》</w:t>
      </w:r>
      <w:r>
        <w:rPr>
          <w:rFonts w:hint="eastAsia"/>
          <w:color w:val="auto"/>
          <w:highlight w:val="none"/>
          <w:lang w:eastAsia="zh-CN"/>
        </w:rPr>
        <w:t>。</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3、本项目的特定资格要求</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3.1 满足《中华人民共和国政府采购法》第二十二条第一款规定的供应商基础性资格要求；供应商自行承诺并承担后果，承诺书不实的，按《政府采购法》有关提供虚假材料的有关规定给予处罚。</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3.2对供应商的限制性规定</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 xml:space="preserve"> （1）供应商无不良信用记录。(在“信用中国”&lt;www.creditchina.gov.cn&gt;网站的“失信被执行人”和“重大税收违法失信主体”及“中国政府采购网”&lt;www.ccgp.gov.cn&gt;网站的“政府采购严重违法失信行为记录名单”均未列入，查询时间为获取</w:t>
      </w:r>
      <w:r>
        <w:rPr>
          <w:rFonts w:hint="eastAsia"/>
          <w:color w:val="auto"/>
          <w:highlight w:val="none"/>
          <w:lang w:eastAsia="zh-CN"/>
        </w:rPr>
        <w:t>磋商文件</w:t>
      </w:r>
      <w:r>
        <w:rPr>
          <w:rFonts w:hint="eastAsia"/>
          <w:color w:val="auto"/>
          <w:highlight w:val="none"/>
        </w:rPr>
        <w:t xml:space="preserve">起至响应文件递交截止时间止）。   </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w:t>
      </w:r>
    </w:p>
    <w:p>
      <w:pPr>
        <w:pStyle w:val="18"/>
        <w:numPr>
          <w:ilvl w:val="0"/>
          <w:numId w:val="1"/>
        </w:numPr>
        <w:spacing w:before="0" w:beforeAutospacing="0" w:after="0" w:afterAutospacing="0" w:line="495" w:lineRule="atLeast"/>
        <w:ind w:firstLine="480" w:firstLineChars="200"/>
        <w:rPr>
          <w:color w:val="auto"/>
          <w:highlight w:val="none"/>
        </w:rPr>
      </w:pPr>
      <w:r>
        <w:rPr>
          <w:rFonts w:hint="eastAsia"/>
          <w:color w:val="auto"/>
          <w:highlight w:val="none"/>
        </w:rPr>
        <w:t>单位负责人为同一人或者存在直接控股、管理关系的不同供应商，不得参加本合同项下的政府采购活动。供应商自行承诺并承担后果，承诺书不实的，按《政府采购法》有关提供虚假材料的有关规定给予处罚。</w:t>
      </w:r>
    </w:p>
    <w:p>
      <w:pPr>
        <w:pStyle w:val="18"/>
        <w:numPr>
          <w:ilvl w:val="0"/>
          <w:numId w:val="1"/>
        </w:numPr>
        <w:spacing w:before="0" w:beforeAutospacing="0" w:after="0" w:afterAutospacing="0" w:line="495" w:lineRule="atLeast"/>
        <w:ind w:firstLine="480" w:firstLineChars="200"/>
        <w:rPr>
          <w:color w:val="auto"/>
          <w:highlight w:val="none"/>
        </w:rPr>
      </w:pPr>
      <w:r>
        <w:rPr>
          <w:rFonts w:hint="eastAsia"/>
          <w:color w:val="auto"/>
          <w:highlight w:val="none"/>
        </w:rPr>
        <w:t>为本采购项目提供整体设计、规范编制或者项目管理、监理、检测等服务的供应商，不得再参加本采购项目。供应商自行承诺并承担后果，承诺书不实的，按《政府采购法》有关提供虚假材料的有关规定给予处罚。</w:t>
      </w:r>
    </w:p>
    <w:p>
      <w:pPr>
        <w:pStyle w:val="18"/>
        <w:numPr>
          <w:ilvl w:val="0"/>
          <w:numId w:val="1"/>
        </w:numPr>
        <w:spacing w:before="0" w:beforeAutospacing="0" w:after="0" w:afterAutospacing="0" w:line="495" w:lineRule="atLeast"/>
        <w:ind w:firstLine="480" w:firstLineChars="200"/>
        <w:rPr>
          <w:color w:val="auto"/>
          <w:highlight w:val="none"/>
        </w:rPr>
      </w:pPr>
      <w:r>
        <w:rPr>
          <w:rFonts w:hint="eastAsia"/>
          <w:color w:val="auto"/>
          <w:highlight w:val="none"/>
        </w:rPr>
        <w:t>具备法律、行政法规规定的其他条件。</w:t>
      </w:r>
    </w:p>
    <w:p>
      <w:pPr>
        <w:pStyle w:val="18"/>
        <w:spacing w:before="0" w:beforeAutospacing="0" w:after="0" w:afterAutospacing="0" w:line="495" w:lineRule="atLeast"/>
        <w:rPr>
          <w:color w:val="auto"/>
          <w:highlight w:val="none"/>
        </w:rPr>
      </w:pPr>
      <w:r>
        <w:rPr>
          <w:rFonts w:hint="eastAsia"/>
          <w:b/>
          <w:bCs/>
          <w:color w:val="auto"/>
          <w:highlight w:val="none"/>
        </w:rPr>
        <w:t>注：</w:t>
      </w:r>
      <w:r>
        <w:rPr>
          <w:rFonts w:hint="eastAsia"/>
          <w:color w:val="auto"/>
          <w:highlight w:val="none"/>
        </w:rPr>
        <w:t>（1）所有证照均应为有效的证照；文中“近”、“前”指距投标截止时间。</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（2）资格证明材料（文件）应附于投标文件中并经投标人电子签章。投标人对资格证明文件真实性有效合规承担责任，提供虚假材料的为无效投标并将进一步追究其责任。</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（3）本项目采取资格后审，开标后，将由</w:t>
      </w:r>
      <w:r>
        <w:rPr>
          <w:rFonts w:hint="eastAsia"/>
          <w:color w:val="auto"/>
          <w:highlight w:val="none"/>
          <w:lang w:eastAsia="zh-CN"/>
        </w:rPr>
        <w:t>磋商小组</w:t>
      </w:r>
      <w:r>
        <w:rPr>
          <w:rFonts w:hint="eastAsia"/>
          <w:color w:val="auto"/>
          <w:highlight w:val="none"/>
        </w:rPr>
        <w:t>对投标人的资格证明材料（文件）</w:t>
      </w:r>
    </w:p>
    <w:p>
      <w:pPr>
        <w:pStyle w:val="18"/>
        <w:spacing w:before="0" w:beforeAutospacing="0" w:after="0" w:afterAutospacing="0" w:line="495" w:lineRule="atLeast"/>
        <w:rPr>
          <w:color w:val="auto"/>
          <w:highlight w:val="none"/>
        </w:rPr>
      </w:pPr>
      <w:r>
        <w:rPr>
          <w:rFonts w:hint="eastAsia"/>
          <w:color w:val="auto"/>
          <w:highlight w:val="none"/>
        </w:rPr>
        <w:t>进行资格审核，未按要求逐一提供、或资格审查不合格的为无效投标，投标人应自负其风</w:t>
      </w:r>
    </w:p>
    <w:p>
      <w:pPr>
        <w:pStyle w:val="18"/>
        <w:spacing w:before="0" w:beforeAutospacing="0" w:after="0" w:afterAutospacing="0" w:line="495" w:lineRule="atLeast"/>
        <w:rPr>
          <w:color w:val="auto"/>
          <w:highlight w:val="none"/>
        </w:rPr>
      </w:pPr>
      <w:r>
        <w:rPr>
          <w:rFonts w:hint="eastAsia"/>
          <w:color w:val="auto"/>
          <w:highlight w:val="none"/>
        </w:rPr>
        <w:t>险费用。</w:t>
      </w:r>
    </w:p>
    <w:p>
      <w:pPr>
        <w:pStyle w:val="18"/>
        <w:spacing w:before="0" w:beforeAutospacing="0" w:after="0" w:afterAutospacing="0" w:line="495" w:lineRule="atLeast"/>
        <w:rPr>
          <w:b/>
          <w:bCs/>
          <w:color w:val="auto"/>
          <w:highlight w:val="none"/>
        </w:rPr>
      </w:pPr>
      <w:r>
        <w:rPr>
          <w:rFonts w:hint="eastAsia"/>
          <w:b/>
          <w:bCs/>
          <w:color w:val="auto"/>
          <w:highlight w:val="none"/>
        </w:rPr>
        <w:t>三、获取采购文件</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1.时间：202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 xml:space="preserve">6  </w:t>
      </w:r>
      <w:r>
        <w:rPr>
          <w:rFonts w:hint="eastAsia"/>
          <w:color w:val="auto"/>
          <w:highlight w:val="none"/>
        </w:rPr>
        <w:t>月</w:t>
      </w:r>
      <w:r>
        <w:rPr>
          <w:rFonts w:hint="eastAsia"/>
          <w:color w:val="auto"/>
          <w:highlight w:val="none"/>
          <w:lang w:val="en-US" w:eastAsia="zh-CN"/>
        </w:rPr>
        <w:t xml:space="preserve"> 26</w:t>
      </w:r>
      <w:r>
        <w:rPr>
          <w:rFonts w:hint="eastAsia"/>
          <w:color w:val="auto"/>
          <w:highlight w:val="none"/>
        </w:rPr>
        <w:t>日 至 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 xml:space="preserve"> 2 </w:t>
      </w:r>
      <w:r>
        <w:rPr>
          <w:rFonts w:hint="eastAsia"/>
          <w:color w:val="auto"/>
          <w:highlight w:val="none"/>
        </w:rPr>
        <w:t>日，每天上午00:00至12:00，下午12:00至23:59（北京时间，法定节假日除外。）</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2.地点：汤阴县公共资源交易中心（http://ggzy.anyang.gov.cn/index_ty）</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3.方式：汤阴县公共资源交易中心（http://ggzy.anyang.gov.cn/index_ty），完成用户注册后、凭企业数字证书点击“投标用户入口”登录“政府采购”系统，获取电子版《</w:t>
      </w:r>
      <w:r>
        <w:rPr>
          <w:rFonts w:hint="eastAsia"/>
          <w:color w:val="auto"/>
          <w:highlight w:val="none"/>
          <w:lang w:eastAsia="zh-CN"/>
        </w:rPr>
        <w:t>磋商文件</w:t>
      </w:r>
      <w:r>
        <w:rPr>
          <w:rFonts w:hint="eastAsia"/>
          <w:color w:val="auto"/>
          <w:highlight w:val="none"/>
        </w:rPr>
        <w:t>》及其它资料（唯一法定途径）。</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4.售价：0元</w:t>
      </w:r>
    </w:p>
    <w:p>
      <w:pPr>
        <w:pStyle w:val="18"/>
        <w:spacing w:before="0" w:beforeAutospacing="0" w:after="0" w:afterAutospacing="0" w:line="495" w:lineRule="atLeast"/>
        <w:rPr>
          <w:b/>
          <w:bCs/>
          <w:color w:val="auto"/>
          <w:highlight w:val="none"/>
        </w:rPr>
      </w:pPr>
      <w:r>
        <w:rPr>
          <w:rFonts w:hint="eastAsia"/>
          <w:b/>
          <w:bCs/>
          <w:color w:val="auto"/>
          <w:highlight w:val="none"/>
        </w:rPr>
        <w:t>四、响应文件提交</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1.截止时间：202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 xml:space="preserve"> 8 </w:t>
      </w:r>
      <w:r>
        <w:rPr>
          <w:rFonts w:hint="eastAsia"/>
          <w:color w:val="auto"/>
          <w:highlight w:val="none"/>
        </w:rPr>
        <w:t>日 08时30分（北京时间）</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2.地点：汤阴县交易中心网站(http://ggzy.anyang.gov.cn/index_ty)网上上传递交，并由供应商在规定时间远程解密。</w:t>
      </w:r>
    </w:p>
    <w:p>
      <w:pPr>
        <w:pStyle w:val="18"/>
        <w:spacing w:before="0" w:beforeAutospacing="0" w:after="0" w:afterAutospacing="0" w:line="495" w:lineRule="atLeast"/>
        <w:rPr>
          <w:b/>
          <w:bCs/>
          <w:color w:val="auto"/>
          <w:highlight w:val="none"/>
        </w:rPr>
      </w:pPr>
      <w:r>
        <w:rPr>
          <w:rFonts w:hint="eastAsia"/>
          <w:b/>
          <w:bCs/>
          <w:color w:val="auto"/>
          <w:highlight w:val="none"/>
        </w:rPr>
        <w:t>五、响应文件开启</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1.时间：202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 xml:space="preserve"> 7 </w:t>
      </w:r>
      <w:r>
        <w:rPr>
          <w:rFonts w:hint="eastAsia"/>
          <w:color w:val="auto"/>
          <w:highlight w:val="none"/>
        </w:rPr>
        <w:t>月</w:t>
      </w:r>
      <w:r>
        <w:rPr>
          <w:rFonts w:hint="eastAsia"/>
          <w:color w:val="auto"/>
          <w:highlight w:val="none"/>
          <w:lang w:val="en-US" w:eastAsia="zh-CN"/>
        </w:rPr>
        <w:t xml:space="preserve"> 8</w:t>
      </w:r>
      <w:bookmarkStart w:id="80" w:name="_GoBack"/>
      <w:bookmarkEnd w:id="80"/>
      <w:r>
        <w:rPr>
          <w:rFonts w:hint="eastAsia"/>
          <w:color w:val="auto"/>
          <w:highlight w:val="none"/>
          <w:lang w:val="en-US" w:eastAsia="zh-CN"/>
        </w:rPr>
        <w:t xml:space="preserve"> </w:t>
      </w:r>
      <w:r>
        <w:rPr>
          <w:rFonts w:hint="eastAsia"/>
          <w:color w:val="auto"/>
          <w:highlight w:val="none"/>
        </w:rPr>
        <w:t>日 08时30分（北京时间）</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2.地点（管理员网上操作地点）：汤阴县公共资源交易中心开标</w:t>
      </w:r>
      <w:r>
        <w:rPr>
          <w:rFonts w:hint="eastAsia"/>
          <w:color w:val="auto"/>
          <w:highlight w:val="none"/>
          <w:lang w:val="en-US" w:eastAsia="zh-CN"/>
        </w:rPr>
        <w:t xml:space="preserve">  </w:t>
      </w:r>
      <w:r>
        <w:rPr>
          <w:rFonts w:hint="eastAsia"/>
          <w:color w:val="auto"/>
          <w:highlight w:val="none"/>
        </w:rPr>
        <w:t>厅（管理员网上操作地点）。 供应商需在开标前打开安阳市公共资源交易中心/县区交易中心/汤阴县交易中心（http://ggzy.anyang.gov.cn/index_ty）网站，登录安阳市公共资源交易中心/县区交易中心/汤阴县交易中心（http://ggzy.anyang.gov.cn/index_ty）【投标用户入口】并进入本项目相匹配的网上开标室，并由供应商在规定时间远程解密。</w:t>
      </w:r>
    </w:p>
    <w:p>
      <w:pPr>
        <w:pStyle w:val="18"/>
        <w:spacing w:before="0" w:beforeAutospacing="0" w:after="0" w:afterAutospacing="0" w:line="495" w:lineRule="atLeast"/>
        <w:rPr>
          <w:b/>
          <w:bCs/>
          <w:color w:val="auto"/>
          <w:highlight w:val="none"/>
        </w:rPr>
      </w:pPr>
      <w:r>
        <w:rPr>
          <w:rFonts w:hint="eastAsia"/>
          <w:b/>
          <w:bCs/>
          <w:color w:val="auto"/>
          <w:highlight w:val="none"/>
        </w:rPr>
        <w:t>六、发布公告的媒介及招标公告期限</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本次招标公告在《河南省政府采购网》、《安阳市政府采购网》、《全国公共资源交易平台(河南省·汤阴县）》上发布，招标公告期限为三个工作日。</w:t>
      </w:r>
    </w:p>
    <w:p>
      <w:pPr>
        <w:pStyle w:val="18"/>
        <w:spacing w:before="0" w:beforeAutospacing="0" w:after="0" w:afterAutospacing="0" w:line="495" w:lineRule="atLeast"/>
        <w:rPr>
          <w:b/>
          <w:bCs/>
          <w:color w:val="auto"/>
          <w:highlight w:val="none"/>
        </w:rPr>
      </w:pPr>
      <w:r>
        <w:rPr>
          <w:rFonts w:hint="eastAsia"/>
          <w:b/>
          <w:bCs/>
          <w:color w:val="auto"/>
          <w:highlight w:val="none"/>
        </w:rPr>
        <w:t>七、其他补充事宜</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7.1 项目落实的政府采购政策：强制节能产品强制采购、节能产品、环境标志产品优</w:t>
      </w:r>
    </w:p>
    <w:p>
      <w:pPr>
        <w:pStyle w:val="18"/>
        <w:spacing w:before="0" w:beforeAutospacing="0" w:after="0" w:afterAutospacing="0" w:line="495" w:lineRule="atLeast"/>
        <w:rPr>
          <w:color w:val="auto"/>
          <w:highlight w:val="none"/>
        </w:rPr>
      </w:pPr>
      <w:r>
        <w:rPr>
          <w:rFonts w:hint="eastAsia"/>
          <w:color w:val="auto"/>
          <w:highlight w:val="none"/>
        </w:rPr>
        <w:t>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7.2 政府采购合同融资</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根据豫财购〔2017〕10 号和安财购〔2017〕7 号文要求，参加政府采购项目的中小微</w:t>
      </w:r>
    </w:p>
    <w:p>
      <w:pPr>
        <w:pStyle w:val="18"/>
        <w:spacing w:before="0" w:beforeAutospacing="0" w:after="0" w:afterAutospacing="0" w:line="495" w:lineRule="atLeast"/>
        <w:rPr>
          <w:color w:val="auto"/>
          <w:highlight w:val="none"/>
        </w:rPr>
      </w:pPr>
      <w:r>
        <w:rPr>
          <w:rFonts w:hint="eastAsia"/>
          <w:color w:val="auto"/>
          <w:highlight w:val="none"/>
        </w:rPr>
        <w:t>企业供应商，持中标（成交）通知书可向金融机构申请合同融资，详情请登录安阳市政府采购网（http://anyang.hngp.gov.cn/anyang），进入网站飘窗或业务指南窗口了解金融</w:t>
      </w:r>
    </w:p>
    <w:p>
      <w:pPr>
        <w:pStyle w:val="18"/>
        <w:spacing w:before="0" w:beforeAutospacing="0" w:after="0" w:afterAutospacing="0" w:line="495" w:lineRule="atLeast"/>
        <w:rPr>
          <w:color w:val="auto"/>
          <w:highlight w:val="none"/>
        </w:rPr>
      </w:pPr>
      <w:r>
        <w:rPr>
          <w:rFonts w:hint="eastAsia"/>
          <w:color w:val="auto"/>
          <w:highlight w:val="none"/>
        </w:rPr>
        <w:t>机构提供的融资服务内容。</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7.3 本项目为远程解密开标项目，供应商无需到开标现场；</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7.4 供应商需在开标前打开安阳市公共资源交易中心/县区交易中心/汤阴县</w:t>
      </w:r>
    </w:p>
    <w:p>
      <w:pPr>
        <w:pStyle w:val="18"/>
        <w:spacing w:before="0" w:beforeAutospacing="0" w:after="0" w:afterAutospacing="0" w:line="495" w:lineRule="atLeast"/>
        <w:rPr>
          <w:color w:val="auto"/>
          <w:highlight w:val="none"/>
        </w:rPr>
      </w:pPr>
      <w:r>
        <w:rPr>
          <w:rFonts w:hint="eastAsia"/>
          <w:color w:val="auto"/>
          <w:highlight w:val="none"/>
        </w:rPr>
        <w:t>交易中心（http://ggzy.anyang.gov.cn/index_ty）网站网站，凭企业数字证书</w:t>
      </w:r>
    </w:p>
    <w:p>
      <w:pPr>
        <w:pStyle w:val="18"/>
        <w:spacing w:before="0" w:beforeAutospacing="0" w:after="0" w:afterAutospacing="0" w:line="495" w:lineRule="atLeast"/>
        <w:rPr>
          <w:color w:val="auto"/>
          <w:highlight w:val="none"/>
        </w:rPr>
      </w:pPr>
      <w:r>
        <w:rPr>
          <w:rFonts w:hint="eastAsia"/>
          <w:color w:val="auto"/>
          <w:highlight w:val="none"/>
        </w:rPr>
        <w:t>登录投标用户政府采购系统，并进入本项目相匹配的网上开标室；</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7.5当代理公司下达解密命令后，要求供应商在规定时间内完成对本单位的加密响应文件解密，由于供应商自身原因，在规定时间内解密不成功的，作为无效处理；</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7.6 解密过程：进入安阳市公共资源交易中心网站→点击投标用户入口→选择政府采购→插入 CA 机构认证锁（公司及法人锁）选择 CA 后进入→点击开标会→选择本项目名称点击进入→开标下达远程解密命令后系统提示可解密文件点击确定（投标单位须刷新界面确定指令下达）→点击网上解密→点击解密技术标→系统提示解密完成。</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lang w:val="en-US" w:eastAsia="zh-CN"/>
        </w:rPr>
        <w:t>7.7</w:t>
      </w:r>
      <w:r>
        <w:rPr>
          <w:rFonts w:hint="eastAsia"/>
          <w:color w:val="auto"/>
          <w:highlight w:val="none"/>
        </w:rPr>
        <w:t>.中标后除不可抗拒力或招标文件认可的情形外，供应商应及时领取中标通知书，在成交通知书规定时间、地点与采购人签订合同。</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lang w:val="en-US" w:eastAsia="zh-CN"/>
        </w:rPr>
        <w:t>7.3</w:t>
      </w:r>
      <w:r>
        <w:rPr>
          <w:rFonts w:hint="eastAsia"/>
          <w:color w:val="auto"/>
          <w:highlight w:val="none"/>
        </w:rPr>
        <w:t>.投标人在政府采购活动中应提供真实、准确、有效、合法的材料，不提供虚假材料；项目评标结束后代理公司对所有竞标供应商提供的资质证明材料的真实性进行核对，核查结果3个工作日报政府采购监督部门，发现造假失信行为的，依据政府采购法严肃从重处罚。</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供应商如违背上述条款事项，应无条件接受以下责任追究：</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1.法定责任：</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按照《政府采购货物和服务招标投标管理办法》（财政部第18号令）第七十五条、《政府采购法实施条例》第七十二条及其他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给采购人及他人造成损失的，应承担相应的赔偿责任。</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2.违约责任：</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（1）已中标的，中标（成交）无效；</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（2）支付采购人违约标的预算金额2%的违约金。</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其他事项：</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中标供应商应保证项目的质量要求达到招标文件中规定的标准，若项目质量验收不合格，采购人有权拒绝支付合同金额，已经支付预付款的，采购人有权追回相关款项，同时采购人可以要求中标人承担违约责任。</w:t>
      </w:r>
    </w:p>
    <w:p>
      <w:pPr>
        <w:pStyle w:val="18"/>
        <w:spacing w:before="0" w:beforeAutospacing="0" w:after="0" w:afterAutospacing="0" w:line="495" w:lineRule="atLeast"/>
        <w:rPr>
          <w:b/>
          <w:bCs/>
          <w:color w:val="auto"/>
          <w:highlight w:val="none"/>
        </w:rPr>
      </w:pPr>
      <w:r>
        <w:rPr>
          <w:rFonts w:hint="eastAsia"/>
          <w:b/>
          <w:bCs/>
          <w:color w:val="auto"/>
          <w:highlight w:val="none"/>
        </w:rPr>
        <w:t>八、凡对本次招标提出询问，请按照以下方式联系</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1. 采购人信息</w:t>
      </w:r>
    </w:p>
    <w:p>
      <w:pPr>
        <w:pStyle w:val="18"/>
        <w:spacing w:before="0" w:beforeAutospacing="0" w:after="0" w:afterAutospacing="0" w:line="495" w:lineRule="atLeast"/>
        <w:ind w:firstLine="480" w:firstLineChars="200"/>
        <w:rPr>
          <w:rFonts w:hint="eastAsia"/>
          <w:color w:val="auto"/>
          <w:highlight w:val="none"/>
          <w:lang w:eastAsia="zh-CN"/>
        </w:rPr>
      </w:pPr>
      <w:r>
        <w:rPr>
          <w:rFonts w:hint="eastAsia"/>
          <w:color w:val="auto"/>
          <w:highlight w:val="none"/>
        </w:rPr>
        <w:t>名称：</w:t>
      </w:r>
      <w:r>
        <w:rPr>
          <w:rFonts w:hint="eastAsia"/>
          <w:color w:val="auto"/>
          <w:highlight w:val="none"/>
          <w:lang w:eastAsia="zh-CN"/>
        </w:rPr>
        <w:t>汤阴县文化广电体育旅游局</w:t>
      </w:r>
    </w:p>
    <w:p>
      <w:pPr>
        <w:pStyle w:val="18"/>
        <w:spacing w:before="0" w:beforeAutospacing="0" w:after="0" w:afterAutospacing="0" w:line="495" w:lineRule="atLeast"/>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安阳市汤阴县大北街</w:t>
      </w:r>
    </w:p>
    <w:p>
      <w:pPr>
        <w:pStyle w:val="18"/>
        <w:spacing w:before="0" w:beforeAutospacing="0" w:after="0" w:afterAutospacing="0" w:line="495" w:lineRule="atLeast"/>
        <w:ind w:firstLine="480" w:firstLineChars="200"/>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吕小悦</w:t>
      </w:r>
    </w:p>
    <w:p>
      <w:pPr>
        <w:pStyle w:val="18"/>
        <w:spacing w:before="0" w:beforeAutospacing="0" w:after="0" w:afterAutospacing="0" w:line="495" w:lineRule="atLeast"/>
        <w:ind w:firstLine="480" w:firstLineChars="200"/>
        <w:rPr>
          <w:rFonts w:hint="default"/>
          <w:color w:val="auto"/>
          <w:highlight w:val="none"/>
          <w:lang w:val="en-US"/>
        </w:rPr>
      </w:pPr>
      <w:r>
        <w:rPr>
          <w:rFonts w:hint="eastAsia"/>
          <w:color w:val="auto"/>
          <w:highlight w:val="none"/>
        </w:rPr>
        <w:t>联系方式</w:t>
      </w:r>
      <w:r>
        <w:rPr>
          <w:rFonts w:hint="eastAsia"/>
          <w:color w:val="auto"/>
          <w:highlight w:val="none"/>
          <w:lang w:eastAsia="zh-CN"/>
        </w:rPr>
        <w:t>：</w:t>
      </w:r>
      <w:r>
        <w:rPr>
          <w:rFonts w:hint="eastAsia"/>
          <w:color w:val="auto"/>
          <w:highlight w:val="none"/>
          <w:lang w:val="en-US" w:eastAsia="zh-CN"/>
        </w:rPr>
        <w:t>15515190807</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2.采购代理机构信息（如有）</w:t>
      </w:r>
    </w:p>
    <w:p>
      <w:pPr>
        <w:pStyle w:val="18"/>
        <w:spacing w:before="0" w:beforeAutospacing="0" w:after="0" w:afterAutospacing="0" w:line="495" w:lineRule="atLeast"/>
        <w:ind w:firstLine="480" w:firstLineChars="200"/>
        <w:rPr>
          <w:rFonts w:hint="eastAsia"/>
          <w:color w:val="auto"/>
          <w:highlight w:val="none"/>
          <w:lang w:eastAsia="zh-CN"/>
        </w:rPr>
      </w:pPr>
      <w:r>
        <w:rPr>
          <w:rFonts w:hint="eastAsia"/>
          <w:color w:val="auto"/>
          <w:highlight w:val="none"/>
        </w:rPr>
        <w:t>名称：</w:t>
      </w:r>
      <w:r>
        <w:rPr>
          <w:rFonts w:hint="eastAsia"/>
          <w:color w:val="auto"/>
          <w:highlight w:val="none"/>
          <w:lang w:eastAsia="zh-CN"/>
        </w:rPr>
        <w:t>河南仁厚工程实业有限公司</w:t>
      </w:r>
    </w:p>
    <w:p>
      <w:pPr>
        <w:pStyle w:val="18"/>
        <w:spacing w:before="0" w:beforeAutospacing="0" w:after="0" w:afterAutospacing="0" w:line="495" w:lineRule="atLeast"/>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安阳市文峰区中华路与明福杰交汇处东南角碧桂园天汇写字楼9号楼1916室</w:t>
      </w:r>
    </w:p>
    <w:p>
      <w:pPr>
        <w:pStyle w:val="18"/>
        <w:spacing w:before="0" w:beforeAutospacing="0" w:after="0" w:afterAutospacing="0" w:line="495" w:lineRule="atLeast"/>
        <w:ind w:firstLine="480" w:firstLineChars="200"/>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张亚伟</w:t>
      </w:r>
    </w:p>
    <w:p>
      <w:pPr>
        <w:pStyle w:val="18"/>
        <w:spacing w:before="0" w:beforeAutospacing="0" w:after="0" w:afterAutospacing="0" w:line="495" w:lineRule="atLeast"/>
        <w:ind w:firstLine="480" w:firstLineChars="200"/>
        <w:rPr>
          <w:rFonts w:hint="default" w:eastAsia="宋体"/>
          <w:color w:val="auto"/>
          <w:highlight w:val="none"/>
          <w:lang w:val="en-US" w:eastAsia="zh-CN"/>
        </w:rPr>
      </w:pPr>
      <w:r>
        <w:rPr>
          <w:rFonts w:hint="eastAsia"/>
          <w:color w:val="auto"/>
          <w:highlight w:val="none"/>
        </w:rPr>
        <w:t>联系方式：</w:t>
      </w:r>
      <w:r>
        <w:rPr>
          <w:rFonts w:hint="eastAsia"/>
          <w:color w:val="auto"/>
          <w:highlight w:val="none"/>
          <w:lang w:val="en-US" w:eastAsia="zh-CN"/>
        </w:rPr>
        <w:t>18695959550</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 xml:space="preserve">3.项目联系方式 </w:t>
      </w:r>
    </w:p>
    <w:p>
      <w:pPr>
        <w:pStyle w:val="18"/>
        <w:spacing w:before="0" w:beforeAutospacing="0" w:after="0" w:afterAutospacing="0" w:line="495" w:lineRule="atLeast"/>
        <w:ind w:firstLine="480" w:firstLineChars="200"/>
        <w:rPr>
          <w:rFonts w:hint="eastAsia"/>
          <w:color w:val="auto"/>
          <w:highlight w:val="none"/>
        </w:rPr>
      </w:pPr>
      <w:r>
        <w:rPr>
          <w:rFonts w:hint="eastAsia"/>
          <w:color w:val="auto"/>
          <w:highlight w:val="none"/>
        </w:rPr>
        <w:t>联系人：</w:t>
      </w:r>
      <w:r>
        <w:rPr>
          <w:rFonts w:hint="eastAsia"/>
          <w:color w:val="auto"/>
          <w:highlight w:val="none"/>
          <w:lang w:val="en-US" w:eastAsia="zh-CN"/>
        </w:rPr>
        <w:t>张亚伟</w:t>
      </w:r>
    </w:p>
    <w:p>
      <w:pPr>
        <w:pStyle w:val="18"/>
        <w:spacing w:before="0" w:beforeAutospacing="0" w:after="0" w:afterAutospacing="0" w:line="495" w:lineRule="atLeast"/>
        <w:ind w:firstLine="480" w:firstLineChars="200"/>
        <w:rPr>
          <w:color w:val="auto"/>
          <w:highlight w:val="none"/>
        </w:rPr>
      </w:pPr>
      <w:r>
        <w:rPr>
          <w:rFonts w:hint="eastAsia"/>
          <w:color w:val="auto"/>
          <w:highlight w:val="none"/>
        </w:rPr>
        <w:t>联系方式：</w:t>
      </w:r>
      <w:r>
        <w:rPr>
          <w:rFonts w:hint="eastAsia"/>
          <w:color w:val="auto"/>
          <w:highlight w:val="none"/>
          <w:lang w:val="en-US" w:eastAsia="zh-CN"/>
        </w:rPr>
        <w:t>18695959550</w:t>
      </w:r>
    </w:p>
    <w:p>
      <w:pPr>
        <w:widowControl w:val="0"/>
        <w:tabs>
          <w:tab w:val="left" w:pos="39"/>
          <w:tab w:val="left" w:pos="96"/>
        </w:tabs>
        <w:snapToGrid w:val="0"/>
        <w:spacing w:line="360" w:lineRule="auto"/>
        <w:ind w:firstLine="540" w:firstLineChars="225"/>
        <w:rPr>
          <w:rFonts w:ascii="宋体"/>
          <w:color w:val="auto"/>
          <w:sz w:val="24"/>
          <w:szCs w:val="24"/>
          <w:highlight w:val="none"/>
        </w:rPr>
      </w:pPr>
    </w:p>
    <w:p>
      <w:pPr>
        <w:widowControl w:val="0"/>
        <w:tabs>
          <w:tab w:val="left" w:pos="39"/>
          <w:tab w:val="left" w:pos="96"/>
        </w:tabs>
        <w:snapToGrid w:val="0"/>
        <w:spacing w:line="360" w:lineRule="auto"/>
        <w:ind w:firstLine="630" w:firstLineChars="225"/>
        <w:rPr>
          <w:rFonts w:ascii="宋体" w:hAnsi="宋体"/>
          <w:color w:val="auto"/>
          <w:sz w:val="24"/>
          <w:szCs w:val="24"/>
          <w:highlight w:val="none"/>
        </w:rPr>
      </w:pPr>
      <w:r>
        <w:rPr>
          <w:rFonts w:eastAsia="方正黑体简体"/>
          <w:color w:val="auto"/>
          <w:sz w:val="28"/>
          <w:szCs w:val="28"/>
          <w:highlight w:val="none"/>
        </w:rPr>
        <w:br w:type="page"/>
      </w:r>
    </w:p>
    <w:p>
      <w:pPr>
        <w:widowControl w:val="0"/>
        <w:snapToGrid w:val="0"/>
        <w:spacing w:line="360" w:lineRule="auto"/>
        <w:jc w:val="center"/>
        <w:outlineLvl w:val="0"/>
        <w:rPr>
          <w:b/>
          <w:color w:val="auto"/>
          <w:sz w:val="28"/>
          <w:highlight w:val="none"/>
        </w:rPr>
      </w:pPr>
      <w:bookmarkStart w:id="1" w:name="_Toc105581275"/>
      <w:r>
        <w:rPr>
          <w:rFonts w:hint="eastAsia" w:eastAsia="黑体"/>
          <w:b/>
          <w:color w:val="auto"/>
          <w:sz w:val="36"/>
          <w:szCs w:val="36"/>
          <w:highlight w:val="none"/>
        </w:rPr>
        <w:t>第二章 采购项目及服务要求</w:t>
      </w:r>
      <w:bookmarkEnd w:id="1"/>
    </w:p>
    <w:p>
      <w:pPr>
        <w:widowControl w:val="0"/>
        <w:snapToGrid w:val="0"/>
        <w:spacing w:line="360" w:lineRule="auto"/>
        <w:ind w:firstLine="422" w:firstLineChars="150"/>
        <w:jc w:val="left"/>
        <w:outlineLvl w:val="1"/>
        <w:rPr>
          <w:rFonts w:ascii="黑体" w:hAnsi="黑体" w:eastAsia="黑体"/>
          <w:b/>
          <w:color w:val="auto"/>
          <w:sz w:val="28"/>
          <w:highlight w:val="none"/>
        </w:rPr>
      </w:pPr>
      <w:bookmarkStart w:id="2" w:name="_Toc105581276"/>
      <w:r>
        <w:rPr>
          <w:rFonts w:ascii="黑体" w:hAnsi="黑体" w:eastAsia="黑体"/>
          <w:b/>
          <w:color w:val="auto"/>
          <w:sz w:val="28"/>
          <w:highlight w:val="none"/>
        </w:rPr>
        <w:t xml:space="preserve">1. </w:t>
      </w:r>
      <w:r>
        <w:rPr>
          <w:rFonts w:hint="eastAsia" w:ascii="黑体" w:hAnsi="黑体" w:eastAsia="黑体"/>
          <w:b/>
          <w:color w:val="auto"/>
          <w:sz w:val="28"/>
          <w:highlight w:val="none"/>
        </w:rPr>
        <w:t>采购项目、标段（包）划分、投标报价</w:t>
      </w:r>
      <w:bookmarkEnd w:id="2"/>
    </w:p>
    <w:p>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1.1</w:t>
      </w:r>
      <w:r>
        <w:rPr>
          <w:rFonts w:hint="eastAsia" w:ascii="黑体" w:hAnsi="黑体" w:eastAsia="黑体"/>
          <w:b/>
          <w:color w:val="auto"/>
          <w:sz w:val="24"/>
          <w:szCs w:val="24"/>
          <w:highlight w:val="none"/>
        </w:rPr>
        <w:t>采购项目名称</w:t>
      </w:r>
      <w:r>
        <w:rPr>
          <w:rFonts w:hint="eastAsia"/>
          <w:color w:val="auto"/>
          <w:sz w:val="24"/>
          <w:szCs w:val="24"/>
          <w:highlight w:val="none"/>
        </w:rPr>
        <w:t>：</w:t>
      </w:r>
      <w:r>
        <w:rPr>
          <w:rFonts w:hint="eastAsia"/>
          <w:color w:val="auto"/>
          <w:sz w:val="24"/>
          <w:szCs w:val="24"/>
          <w:highlight w:val="none"/>
          <w:lang w:eastAsia="zh-CN"/>
        </w:rPr>
        <w:t xml:space="preserve">汤阴县文化广电体育旅游局旅游资源普查项目   </w:t>
      </w:r>
    </w:p>
    <w:p>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 xml:space="preserve">1.2 </w:t>
      </w:r>
      <w:r>
        <w:rPr>
          <w:rFonts w:hint="eastAsia" w:ascii="黑体" w:hAnsi="黑体" w:eastAsia="黑体"/>
          <w:b/>
          <w:color w:val="auto"/>
          <w:sz w:val="24"/>
          <w:szCs w:val="24"/>
          <w:highlight w:val="none"/>
        </w:rPr>
        <w:t>标段（包）划分及其服务期服务地点</w:t>
      </w:r>
      <w:r>
        <w:rPr>
          <w:rFonts w:hint="eastAsia"/>
          <w:color w:val="auto"/>
          <w:sz w:val="24"/>
          <w:szCs w:val="24"/>
          <w:highlight w:val="none"/>
        </w:rPr>
        <w:t>：本次采购项目划分为</w:t>
      </w:r>
      <w:r>
        <w:rPr>
          <w:color w:val="auto"/>
          <w:sz w:val="24"/>
          <w:szCs w:val="24"/>
          <w:highlight w:val="none"/>
        </w:rPr>
        <w:t>1</w:t>
      </w:r>
      <w:r>
        <w:rPr>
          <w:rFonts w:hint="eastAsia"/>
          <w:color w:val="auto"/>
          <w:sz w:val="24"/>
          <w:szCs w:val="24"/>
          <w:highlight w:val="none"/>
        </w:rPr>
        <w:t>个标段（包）。</w:t>
      </w:r>
    </w:p>
    <w:tbl>
      <w:tblPr>
        <w:tblStyle w:val="20"/>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790"/>
        <w:gridCol w:w="2510"/>
        <w:gridCol w:w="170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363" w:type="dxa"/>
            <w:gridSpan w:val="5"/>
            <w:vAlign w:val="center"/>
          </w:tcPr>
          <w:p>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04" w:type="dxa"/>
            <w:vAlign w:val="center"/>
          </w:tcPr>
          <w:p>
            <w:pPr>
              <w:widowControl w:val="0"/>
              <w:snapToGrid w:val="0"/>
              <w:spacing w:line="240" w:lineRule="auto"/>
              <w:jc w:val="center"/>
              <w:rPr>
                <w:b/>
                <w:color w:val="auto"/>
                <w:sz w:val="24"/>
                <w:szCs w:val="24"/>
                <w:highlight w:val="none"/>
              </w:rPr>
            </w:pPr>
            <w:r>
              <w:rPr>
                <w:rFonts w:hint="eastAsia"/>
                <w:b/>
                <w:color w:val="auto"/>
                <w:sz w:val="24"/>
                <w:szCs w:val="24"/>
                <w:highlight w:val="none"/>
              </w:rPr>
              <w:t>项目名称</w:t>
            </w:r>
          </w:p>
        </w:tc>
        <w:tc>
          <w:tcPr>
            <w:tcW w:w="1790" w:type="dxa"/>
            <w:vAlign w:val="center"/>
          </w:tcPr>
          <w:p>
            <w:pPr>
              <w:widowControl w:val="0"/>
              <w:snapToGrid w:val="0"/>
              <w:spacing w:line="240" w:lineRule="auto"/>
              <w:jc w:val="center"/>
              <w:rPr>
                <w:b/>
                <w:color w:val="auto"/>
                <w:sz w:val="24"/>
                <w:szCs w:val="24"/>
                <w:highlight w:val="none"/>
              </w:rPr>
            </w:pPr>
            <w:r>
              <w:rPr>
                <w:rFonts w:hint="eastAsia"/>
                <w:b/>
                <w:color w:val="auto"/>
                <w:sz w:val="24"/>
                <w:szCs w:val="24"/>
                <w:highlight w:val="none"/>
              </w:rPr>
              <w:t>标段（包）名称</w:t>
            </w:r>
          </w:p>
        </w:tc>
        <w:tc>
          <w:tcPr>
            <w:tcW w:w="2510" w:type="dxa"/>
            <w:vAlign w:val="center"/>
          </w:tcPr>
          <w:p>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标段（包）内容（范围）</w:t>
            </w:r>
          </w:p>
        </w:tc>
        <w:tc>
          <w:tcPr>
            <w:tcW w:w="1701" w:type="dxa"/>
            <w:vAlign w:val="center"/>
          </w:tcPr>
          <w:p>
            <w:pPr>
              <w:widowControl w:val="0"/>
              <w:snapToGrid w:val="0"/>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合同履行期限</w:t>
            </w:r>
          </w:p>
          <w:p>
            <w:pPr>
              <w:widowControl w:val="0"/>
              <w:snapToGrid w:val="0"/>
              <w:spacing w:line="240" w:lineRule="auto"/>
              <w:jc w:val="center"/>
              <w:rPr>
                <w:b/>
                <w:color w:val="auto"/>
                <w:sz w:val="24"/>
                <w:szCs w:val="24"/>
                <w:highlight w:val="none"/>
              </w:rPr>
            </w:pPr>
            <w:r>
              <w:rPr>
                <w:rFonts w:hint="eastAsia" w:ascii="SimSun,Bold" w:hAnsi="SimSun,Bold" w:eastAsia="SimSun,Bold"/>
                <w:b/>
                <w:color w:val="auto"/>
                <w:sz w:val="24"/>
                <w:szCs w:val="24"/>
                <w:highlight w:val="none"/>
              </w:rPr>
              <w:t>（交验期）</w:t>
            </w:r>
          </w:p>
        </w:tc>
        <w:tc>
          <w:tcPr>
            <w:tcW w:w="1458" w:type="dxa"/>
            <w:vAlign w:val="center"/>
          </w:tcPr>
          <w:p>
            <w:pPr>
              <w:widowControl w:val="0"/>
              <w:snapToGrid w:val="0"/>
              <w:spacing w:line="240" w:lineRule="auto"/>
              <w:jc w:val="center"/>
              <w:rPr>
                <w:b/>
                <w:color w:val="auto"/>
                <w:sz w:val="24"/>
                <w:szCs w:val="24"/>
                <w:highlight w:val="none"/>
              </w:rPr>
            </w:pPr>
            <w:r>
              <w:rPr>
                <w:rFonts w:hint="eastAsia"/>
                <w:b/>
                <w:color w:val="auto"/>
                <w:sz w:val="24"/>
                <w:szCs w:val="24"/>
                <w:highlight w:val="none"/>
              </w:rPr>
              <w:t>交验（实施）地点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04" w:type="dxa"/>
            <w:vAlign w:val="center"/>
          </w:tcPr>
          <w:p>
            <w:pPr>
              <w:widowControl w:val="0"/>
              <w:adjustRightInd w:val="0"/>
              <w:snapToGrid w:val="0"/>
              <w:spacing w:line="240" w:lineRule="auto"/>
              <w:rPr>
                <w:color w:val="auto"/>
                <w:sz w:val="24"/>
                <w:szCs w:val="24"/>
                <w:highlight w:val="none"/>
              </w:rPr>
            </w:pPr>
            <w:r>
              <w:rPr>
                <w:rFonts w:hint="eastAsia"/>
                <w:color w:val="auto"/>
                <w:sz w:val="24"/>
                <w:szCs w:val="24"/>
                <w:highlight w:val="none"/>
                <w:lang w:eastAsia="zh-CN"/>
              </w:rPr>
              <w:t xml:space="preserve">汤阴县文化广电体育旅游局旅游资源普查项目   </w:t>
            </w:r>
          </w:p>
        </w:tc>
        <w:tc>
          <w:tcPr>
            <w:tcW w:w="1790" w:type="dxa"/>
            <w:vAlign w:val="center"/>
          </w:tcPr>
          <w:p>
            <w:pPr>
              <w:widowControl w:val="0"/>
              <w:adjustRightInd w:val="0"/>
              <w:snapToGrid w:val="0"/>
              <w:spacing w:line="240" w:lineRule="auto"/>
              <w:rPr>
                <w:color w:val="auto"/>
                <w:sz w:val="24"/>
                <w:szCs w:val="24"/>
                <w:highlight w:val="none"/>
              </w:rPr>
            </w:pPr>
            <w:r>
              <w:rPr>
                <w:rFonts w:hint="eastAsia"/>
                <w:color w:val="auto"/>
                <w:sz w:val="24"/>
                <w:szCs w:val="24"/>
                <w:highlight w:val="none"/>
              </w:rPr>
              <w:t>同项目名称</w:t>
            </w:r>
          </w:p>
        </w:tc>
        <w:tc>
          <w:tcPr>
            <w:tcW w:w="2510" w:type="dxa"/>
            <w:vAlign w:val="center"/>
          </w:tcPr>
          <w:p>
            <w:pPr>
              <w:widowControl w:val="0"/>
              <w:adjustRightInd w:val="0"/>
              <w:snapToGrid w:val="0"/>
              <w:spacing w:line="240" w:lineRule="auto"/>
              <w:rPr>
                <w:color w:val="auto"/>
                <w:sz w:val="24"/>
                <w:szCs w:val="24"/>
                <w:highlight w:val="none"/>
              </w:rPr>
            </w:pPr>
            <w:r>
              <w:rPr>
                <w:rFonts w:hint="eastAsia"/>
                <w:color w:val="auto"/>
                <w:sz w:val="24"/>
                <w:szCs w:val="24"/>
                <w:highlight w:val="none"/>
              </w:rPr>
              <w:t>见“第二章第</w:t>
            </w:r>
            <w:r>
              <w:rPr>
                <w:color w:val="auto"/>
                <w:sz w:val="24"/>
                <w:szCs w:val="24"/>
                <w:highlight w:val="none"/>
              </w:rPr>
              <w:t>2</w:t>
            </w:r>
            <w:r>
              <w:rPr>
                <w:rFonts w:hint="eastAsia"/>
                <w:color w:val="auto"/>
                <w:sz w:val="24"/>
                <w:szCs w:val="24"/>
                <w:highlight w:val="none"/>
              </w:rPr>
              <w:t>条：标段（包）内容（范围）及服务要求”</w:t>
            </w:r>
          </w:p>
        </w:tc>
        <w:tc>
          <w:tcPr>
            <w:tcW w:w="1701" w:type="dxa"/>
            <w:vAlign w:val="center"/>
          </w:tcPr>
          <w:p>
            <w:pPr>
              <w:widowControl w:val="0"/>
              <w:adjustRightInd w:val="0"/>
              <w:snapToGrid w:val="0"/>
              <w:spacing w:line="240" w:lineRule="auto"/>
              <w:rPr>
                <w:color w:val="auto"/>
                <w:sz w:val="24"/>
                <w:szCs w:val="24"/>
                <w:highlight w:val="none"/>
              </w:rPr>
            </w:pPr>
            <w:r>
              <w:rPr>
                <w:rFonts w:hint="eastAsia"/>
                <w:color w:val="auto"/>
                <w:sz w:val="24"/>
                <w:szCs w:val="24"/>
                <w:highlight w:val="none"/>
              </w:rPr>
              <w:t>详见</w:t>
            </w:r>
            <w:r>
              <w:rPr>
                <w:rFonts w:hint="eastAsia"/>
                <w:color w:val="auto"/>
                <w:sz w:val="24"/>
                <w:szCs w:val="24"/>
                <w:highlight w:val="none"/>
                <w:lang w:val="en-US" w:eastAsia="zh-CN"/>
              </w:rPr>
              <w:t>磋商</w:t>
            </w:r>
            <w:r>
              <w:rPr>
                <w:rFonts w:hint="eastAsia"/>
                <w:color w:val="auto"/>
                <w:sz w:val="24"/>
                <w:szCs w:val="24"/>
                <w:highlight w:val="none"/>
              </w:rPr>
              <w:t>公告</w:t>
            </w:r>
            <w:r>
              <w:rPr>
                <w:color w:val="auto"/>
                <w:sz w:val="24"/>
                <w:szCs w:val="24"/>
                <w:highlight w:val="none"/>
              </w:rPr>
              <w:t xml:space="preserve"> </w:t>
            </w:r>
          </w:p>
        </w:tc>
        <w:tc>
          <w:tcPr>
            <w:tcW w:w="1458" w:type="dxa"/>
            <w:vAlign w:val="center"/>
          </w:tcPr>
          <w:p>
            <w:pPr>
              <w:widowControl w:val="0"/>
              <w:adjustRightInd w:val="0"/>
              <w:snapToGrid w:val="0"/>
              <w:spacing w:line="240" w:lineRule="auto"/>
              <w:rPr>
                <w:color w:val="auto"/>
                <w:sz w:val="24"/>
                <w:szCs w:val="24"/>
                <w:highlight w:val="none"/>
              </w:rPr>
            </w:pPr>
            <w:r>
              <w:rPr>
                <w:rFonts w:hint="eastAsia"/>
                <w:color w:val="auto"/>
                <w:sz w:val="24"/>
                <w:szCs w:val="24"/>
                <w:highlight w:val="none"/>
              </w:rPr>
              <w:t>采购人指定地点</w:t>
            </w:r>
          </w:p>
        </w:tc>
      </w:tr>
    </w:tbl>
    <w:p>
      <w:pPr>
        <w:spacing w:line="56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1.3 </w:t>
      </w:r>
      <w:r>
        <w:rPr>
          <w:rFonts w:hint="eastAsia" w:ascii="宋体" w:hAnsi="宋体"/>
          <w:b/>
          <w:color w:val="auto"/>
          <w:sz w:val="24"/>
          <w:szCs w:val="24"/>
          <w:highlight w:val="none"/>
        </w:rPr>
        <w:t>投标报价（价格构成）</w:t>
      </w:r>
    </w:p>
    <w:p>
      <w:pPr>
        <w:widowControl w:val="0"/>
        <w:snapToGrid w:val="0"/>
        <w:spacing w:line="360" w:lineRule="auto"/>
        <w:ind w:firstLine="480" w:firstLineChars="200"/>
        <w:jc w:val="left"/>
        <w:rPr>
          <w:rFonts w:hint="eastAsia"/>
          <w:color w:val="auto"/>
          <w:sz w:val="24"/>
          <w:szCs w:val="24"/>
          <w:highlight w:val="none"/>
        </w:rPr>
      </w:pPr>
      <w:r>
        <w:rPr>
          <w:rFonts w:ascii="宋体" w:hAnsi="宋体"/>
          <w:color w:val="auto"/>
          <w:sz w:val="24"/>
          <w:szCs w:val="24"/>
          <w:highlight w:val="none"/>
        </w:rPr>
        <w:t>1.3.1</w:t>
      </w:r>
      <w:r>
        <w:rPr>
          <w:rFonts w:hint="eastAsia"/>
          <w:color w:val="auto"/>
          <w:sz w:val="24"/>
          <w:szCs w:val="24"/>
          <w:highlight w:val="none"/>
        </w:rPr>
        <w:t>投投标人的投标报价应为施工地完工交验价，包括：人工费、设备费、材料费、交通食宿费、外业调查费、咨询劳务费、委托业务费、上级部门评审验收费、技术服务费、知识产权（如有）、保险（如需）、相关税款等与采购项目（标段（包））相关的、必须的款项及费用（包括未列明而完成交验所必须的所有费用、材料、工具、设施等）。成交价格在成交合同范围内固定不变。</w:t>
      </w:r>
    </w:p>
    <w:p>
      <w:pPr>
        <w:widowControl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1.3.2</w:t>
      </w:r>
      <w:r>
        <w:rPr>
          <w:rFonts w:hint="eastAsia" w:ascii="宋体" w:hAnsi="宋体"/>
          <w:color w:val="auto"/>
          <w:sz w:val="24"/>
          <w:szCs w:val="24"/>
          <w:highlight w:val="none"/>
        </w:rPr>
        <w:t>本次竞争性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共二次报价（含系统中开标一览表报价共二次价格谈判）。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小组未对</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作优化变更增加的，</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中的报价均不应超过前次报价，投标人擅自调高报价的，</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将按二次报价中的最低报价作为有效报价。投标人拒绝接受上述意</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见的，</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将视为变相在提交投标文件（响应文件）截止时间后撤回投标文件（响应</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文件），并评定其为无效投标。依据</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“第三章 3.5.5 违背承诺的责任追究措施”，</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投标人承担相应法律责任及违约责任。</w:t>
      </w:r>
    </w:p>
    <w:p>
      <w:pPr>
        <w:autoSpaceDE w:val="0"/>
        <w:autoSpaceDN w:val="0"/>
        <w:adjustRightInd w:val="0"/>
        <w:snapToGrid w:val="0"/>
        <w:spacing w:before="156" w:beforeLines="50" w:line="300" w:lineRule="auto"/>
        <w:ind w:firstLine="569" w:firstLineChars="236"/>
        <w:jc w:val="left"/>
        <w:rPr>
          <w:rFonts w:ascii="宋体" w:hAnsi="宋体"/>
          <w:b/>
          <w:color w:val="auto"/>
          <w:sz w:val="24"/>
          <w:szCs w:val="24"/>
          <w:highlight w:val="none"/>
        </w:rPr>
      </w:pPr>
      <w:r>
        <w:rPr>
          <w:rFonts w:hint="eastAsia" w:ascii="宋体" w:hAnsi="宋体"/>
          <w:b/>
          <w:color w:val="auto"/>
          <w:sz w:val="24"/>
          <w:szCs w:val="24"/>
          <w:highlight w:val="none"/>
        </w:rPr>
        <w:t>价</w:t>
      </w:r>
      <w:r>
        <w:rPr>
          <w:rFonts w:ascii="宋体" w:hAnsi="宋体"/>
          <w:b/>
          <w:color w:val="auto"/>
          <w:sz w:val="24"/>
          <w:szCs w:val="24"/>
          <w:highlight w:val="none"/>
        </w:rPr>
        <w:t>格谈</w:t>
      </w:r>
      <w:r>
        <w:rPr>
          <w:rFonts w:hint="eastAsia" w:ascii="宋体" w:hAnsi="宋体"/>
          <w:b/>
          <w:color w:val="auto"/>
          <w:sz w:val="24"/>
          <w:szCs w:val="24"/>
          <w:highlight w:val="none"/>
        </w:rPr>
        <w:t>判</w:t>
      </w:r>
      <w:r>
        <w:rPr>
          <w:rFonts w:ascii="宋体" w:hAnsi="宋体"/>
          <w:b/>
          <w:color w:val="auto"/>
          <w:sz w:val="24"/>
          <w:szCs w:val="24"/>
          <w:highlight w:val="none"/>
        </w:rPr>
        <w:t>规</w:t>
      </w:r>
      <w:r>
        <w:rPr>
          <w:rFonts w:hint="eastAsia" w:ascii="宋体" w:hAnsi="宋体"/>
          <w:b/>
          <w:color w:val="auto"/>
          <w:sz w:val="24"/>
          <w:szCs w:val="24"/>
          <w:highlight w:val="none"/>
        </w:rPr>
        <w:t>则</w:t>
      </w:r>
      <w:r>
        <w:rPr>
          <w:rFonts w:ascii="宋体" w:hAnsi="宋体"/>
          <w:b/>
          <w:color w:val="auto"/>
          <w:sz w:val="24"/>
          <w:szCs w:val="24"/>
          <w:highlight w:val="none"/>
        </w:rPr>
        <w:t>详见第四章</w:t>
      </w:r>
      <w:r>
        <w:rPr>
          <w:rFonts w:hint="eastAsia" w:ascii="宋体" w:hAnsi="宋体"/>
          <w:b/>
          <w:color w:val="auto"/>
          <w:sz w:val="24"/>
          <w:szCs w:val="24"/>
          <w:highlight w:val="none"/>
        </w:rPr>
        <w:t>“评审办法”</w:t>
      </w:r>
      <w:r>
        <w:rPr>
          <w:rFonts w:ascii="宋体" w:hAnsi="宋体"/>
          <w:b/>
          <w:color w:val="auto"/>
          <w:sz w:val="24"/>
          <w:szCs w:val="24"/>
          <w:highlight w:val="none"/>
        </w:rPr>
        <w:t>第</w:t>
      </w:r>
      <w:r>
        <w:rPr>
          <w:rFonts w:hint="eastAsia" w:ascii="宋体" w:hAnsi="宋体"/>
          <w:b/>
          <w:color w:val="auto"/>
          <w:sz w:val="24"/>
          <w:szCs w:val="24"/>
          <w:highlight w:val="none"/>
        </w:rPr>
        <w:t>“</w:t>
      </w:r>
      <w:r>
        <w:rPr>
          <w:rFonts w:ascii="宋体" w:hAnsi="宋体"/>
          <w:b/>
          <w:color w:val="auto"/>
          <w:sz w:val="24"/>
          <w:szCs w:val="24"/>
          <w:highlight w:val="none"/>
        </w:rPr>
        <w:t xml:space="preserve">3.5.7 </w:t>
      </w:r>
      <w:r>
        <w:rPr>
          <w:rFonts w:hint="eastAsia" w:ascii="宋体" w:hAnsi="宋体"/>
          <w:b/>
          <w:color w:val="auto"/>
          <w:sz w:val="24"/>
          <w:szCs w:val="24"/>
          <w:highlight w:val="none"/>
        </w:rPr>
        <w:t>价格谈判”</w:t>
      </w:r>
      <w:r>
        <w:rPr>
          <w:rFonts w:ascii="宋体" w:hAnsi="宋体"/>
          <w:b/>
          <w:color w:val="auto"/>
          <w:sz w:val="24"/>
          <w:szCs w:val="24"/>
          <w:highlight w:val="none"/>
        </w:rPr>
        <w:t>条款</w:t>
      </w:r>
      <w:r>
        <w:rPr>
          <w:rFonts w:hint="eastAsia" w:ascii="宋体" w:hAnsi="宋体"/>
          <w:b/>
          <w:color w:val="auto"/>
          <w:sz w:val="24"/>
          <w:szCs w:val="24"/>
          <w:highlight w:val="none"/>
        </w:rPr>
        <w:t>。</w:t>
      </w:r>
    </w:p>
    <w:p>
      <w:pPr>
        <w:widowControl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1.3.3 </w:t>
      </w:r>
      <w:r>
        <w:rPr>
          <w:rFonts w:hint="eastAsia" w:ascii="宋体" w:hAnsi="宋体"/>
          <w:color w:val="auto"/>
          <w:sz w:val="24"/>
          <w:szCs w:val="24"/>
          <w:highlight w:val="none"/>
        </w:rPr>
        <w:t>如投标人的投标报价未超过预算金额（见</w:t>
      </w:r>
      <w:r>
        <w:rPr>
          <w:rFonts w:hint="eastAsia" w:ascii="宋体" w:hAnsi="宋体"/>
          <w:color w:val="auto"/>
          <w:sz w:val="24"/>
          <w:szCs w:val="24"/>
          <w:highlight w:val="none"/>
          <w:lang w:eastAsia="zh-CN"/>
        </w:rPr>
        <w:t>磋商公告</w:t>
      </w:r>
      <w:r>
        <w:rPr>
          <w:rFonts w:ascii="宋体" w:hAnsi="宋体"/>
          <w:color w:val="auto"/>
          <w:sz w:val="24"/>
          <w:szCs w:val="24"/>
          <w:highlight w:val="none"/>
        </w:rPr>
        <w:t>1.</w:t>
      </w:r>
      <w:r>
        <w:rPr>
          <w:rFonts w:hint="eastAsia" w:ascii="宋体" w:hAnsi="宋体"/>
          <w:color w:val="auto"/>
          <w:sz w:val="24"/>
          <w:szCs w:val="24"/>
          <w:highlight w:val="none"/>
        </w:rPr>
        <w:t>4）的供应商不足三家的，该标段（包）做废标处理。</w:t>
      </w:r>
    </w:p>
    <w:p>
      <w:pPr>
        <w:widowControl w:val="0"/>
        <w:snapToGrid w:val="0"/>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遵循第三章投标人须知</w:t>
      </w:r>
      <w:r>
        <w:rPr>
          <w:rFonts w:ascii="宋体" w:hAnsi="宋体"/>
          <w:color w:val="auto"/>
          <w:sz w:val="24"/>
          <w:szCs w:val="24"/>
          <w:highlight w:val="none"/>
        </w:rPr>
        <w:t>3.7.</w:t>
      </w:r>
      <w:r>
        <w:rPr>
          <w:rFonts w:hint="eastAsia" w:ascii="宋体" w:hAnsi="宋体"/>
          <w:color w:val="auto"/>
          <w:sz w:val="24"/>
          <w:szCs w:val="24"/>
          <w:highlight w:val="none"/>
        </w:rPr>
        <w:t>5项规定。</w:t>
      </w:r>
    </w:p>
    <w:p>
      <w:pPr>
        <w:widowControl w:val="0"/>
        <w:snapToGrid w:val="0"/>
        <w:spacing w:line="360" w:lineRule="auto"/>
        <w:ind w:firstLine="482" w:firstLineChars="200"/>
        <w:jc w:val="left"/>
        <w:rPr>
          <w:rFonts w:ascii="宋体" w:hAnsi="宋体"/>
          <w:color w:val="auto"/>
          <w:sz w:val="24"/>
          <w:szCs w:val="24"/>
          <w:highlight w:val="none"/>
        </w:rPr>
      </w:pPr>
      <w:r>
        <w:rPr>
          <w:rFonts w:hint="eastAsia" w:ascii="宋体" w:hAnsi="宋体" w:eastAsia="宋体" w:cs="Times New Roman"/>
          <w:b/>
          <w:bCs/>
          <w:color w:val="auto"/>
          <w:sz w:val="24"/>
          <w:szCs w:val="24"/>
          <w:highlight w:val="none"/>
          <w:lang w:val="en-US" w:eastAsia="zh-CN"/>
        </w:rPr>
        <w:t>1.3.5备注：防范供应商恶意低价中标、成交。对于供应商中标、成交后不履约、且中标或成交供应商报价比预算价低 30%以上的，将视同恶意低价中标、成交，扰乱采购活动，财政部门将对其违规违法行为进行处理。</w:t>
      </w:r>
    </w:p>
    <w:p>
      <w:pPr>
        <w:widowControl w:val="0"/>
        <w:snapToGrid w:val="0"/>
        <w:spacing w:line="360" w:lineRule="auto"/>
        <w:ind w:firstLine="241" w:firstLineChars="100"/>
        <w:jc w:val="left"/>
        <w:rPr>
          <w:rFonts w:ascii="宋体" w:hAnsi="宋体"/>
          <w:b/>
          <w:bCs/>
          <w:color w:val="auto"/>
          <w:sz w:val="24"/>
          <w:szCs w:val="24"/>
          <w:highlight w:val="none"/>
        </w:rPr>
      </w:pPr>
      <w:bookmarkStart w:id="3" w:name="_Toc105581277"/>
      <w:r>
        <w:rPr>
          <w:rFonts w:hint="eastAsia" w:ascii="宋体" w:hAnsi="宋体"/>
          <w:b/>
          <w:bCs/>
          <w:color w:val="auto"/>
          <w:sz w:val="24"/>
          <w:szCs w:val="24"/>
          <w:highlight w:val="none"/>
        </w:rPr>
        <w:t>2.标段（包）内容（范围）及服务要求</w:t>
      </w:r>
      <w:bookmarkEnd w:id="3"/>
    </w:p>
    <w:p>
      <w:pPr>
        <w:widowControl w:val="0"/>
        <w:snapToGrid w:val="0"/>
        <w:spacing w:line="360" w:lineRule="auto"/>
        <w:ind w:firstLine="241" w:firstLineChars="100"/>
        <w:jc w:val="left"/>
        <w:rPr>
          <w:rFonts w:hint="eastAsia" w:ascii="宋体" w:hAnsi="宋体"/>
          <w:b/>
          <w:bCs/>
          <w:color w:val="auto"/>
          <w:sz w:val="24"/>
          <w:szCs w:val="24"/>
          <w:highlight w:val="none"/>
        </w:rPr>
      </w:pPr>
      <w:r>
        <w:rPr>
          <w:rFonts w:hint="eastAsia" w:ascii="宋体" w:hAnsi="宋体"/>
          <w:b/>
          <w:bCs/>
          <w:color w:val="auto"/>
          <w:sz w:val="24"/>
          <w:szCs w:val="24"/>
          <w:highlight w:val="none"/>
        </w:rPr>
        <w:t>2.1总体服务（方案）要求及标段（包）内容（范围）：</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一、服务目的</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为提升全县旅游资源普查工作实效，县文化广电体育旅游局采取政府采购，委托第三方提供技术服务支持。技术单位组建普查团队与专家团队赴各镇开展普查技术培训指导、资源信息采集与系统填报录入，数据审核与检查，编制系列普查成果，确保本次普查工作质量。</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二、服务范围</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安阳市汤阴县辖区全境。</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三、服务时间</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合同签订之日至2024年9月底之前完成。</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四、服务内容</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（一）统一技术培训，统一普查标准</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开展全县旅游资源普查动员会和技术培训工作，对《河南省旅游资源分类、调查与评价（试行）》《河南省旅游资源普查技术规程》《河南省旅游资源普查样表示例》《河南省旅游资源普查平台和数据库》标准解读及应用和数据填报录入工作进行全方位规范培训，以及《中华人民共和国网络安全法》和本地区网络安全相关要求、国土资源信息安全注意事项、工作纪律等内容进行技术培训。培训指导各镇填制旅游资源单体预目录表，汇集各相关单位资料及统计数据。</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（二）旅游资源外业信息采集</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普查技术单位制定汤阴县辖区内相关详细普查方案及技术工作方案，以各镇为单元全面开展调查工作；组建现场普查技术队伍，准备调查设备及工具，开展外业信息采集工作；全过程参与旅游资源信息采集工作，现场实时解决各种技术问题；填制《旅游资源单体调查表》，填报录入《旅游资源普查信息采集表》《河南省旅游资源普查平台和数据库》，确保数据完整性和准确性技术规范，生成《旅游资源单体名录表》；旅游资源富集区的信息填报和认定；按要求逐级审核报送相关旅游资源信息，并进行评价；及时总结全县旅游资源普查重大发现和典型经验做法。</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（三）调查数据信息线上审核与线下检查</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汤阴县普查办与技术单位共同组织专家团队，对已录入河南省旅游资源管理与应用平台的资源信息进行线上抽查审核，抽查率不低于100%，合格率不低于99%；抽查内容包括但不限于专业用语规范、数据信息完整、科学和准确；做好审核工作日志，及时总结问题反馈组织单位。对《旅游资源单体调查表》内容审查及系统填报的审定；旅游资源富集区的认定。5%全体旅游资源单体的现场随机抽查检查，品质旅游资源的现场核查，对一二级资源进行审核定级，三四五级旅游资源进行初定；确保各类旅游资源调查表、资源富集区调查表、旅游资源管理与采集平台等内容的填写与现场实际情况对应准确，为安阳市普查组评定审核优良级别旅游资源做好基础。指导做好数字化、信息化等新技术与传统方法在普查工作中的广泛应用。</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（四）形成系列旅游资源普查成果</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1.《安阳市汤阴县旅游资源普查报告》</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内容主要包括汤阴县旅游资源赋存环境和基本情况、旅游资源开发历史与利用现状、各主类及亚类旅游资源基本类型数量统计、各层次旅游资源数量统计、旅游资源类型特征分析、旅游资源等级评价分析、旅游资源空间特征分析、旅游资源普查突出成果及重大新发现，旅游资源富集区认定与评价，旅游资源保护与开发建议和图集，包括但不限于《旅游资源总图》《资源类型图》《旅游资源名录表》和《资源富集区分布图》等。</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2.《安阳市汤阴县旅游资源开发与保护专题报告》</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内容主要包括汤阴县旅游资源的基本情况、各主类及亚类旅游资源空间分布及特征、各主类及亚类旅游资源的保护现状、存在问题；并根据资源属性、吸引力本源构成和旅游市场影响力等，分别结合旅游休闲、旅游度假、乡村旅游、节庆旅游、都市旅游、工业旅游等资源提出保护工作建议和相应的资源组合利用方向，为汤阴县旅游资源的保护与利用指明方向，为政府未来决策提供依据。</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五、服务技术要求</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（一）组织架构</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普查技术单位组织普查工作组，承担全县旅游资源普查项目技术方案编制、资料收集整理，组建普查技术队伍实地开展旅游资源单体调查、资源评价、信息系统填报录入、普查成果报告编制，以及汇交归档等工作。与组织单位共同组建县级专家委员会，负责指导辖区内旅游资源普查工作和成果审核验收，以及一二级旅游资源单体的等级审定、三级以上旅游资源单体的初定，并由普查办上报安阳市旅游主管部门最终评定。</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（二）技术服务队伍建设及要求</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1.专家队伍</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根据全县普查工作方案要求和实际工作需要，应根据资源普查8大主类，配置业内专家，分8个专家组，每组5人，共40名，其中本地专家不多于1/3。专家须全程参与并推进完成数据采集质量把控和全县旅游资源普查系列成果审核工作。专家组成员年龄不超过65周岁，须具备与旅游资源普查相关专业的博士学位或高级职称，且业内专业声誉良好。</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2.普查技术团队</w:t>
      </w:r>
    </w:p>
    <w:p>
      <w:pPr>
        <w:widowControl w:val="0"/>
        <w:snapToGrid w:val="0"/>
        <w:spacing w:line="360" w:lineRule="auto"/>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技术单位的普查团队成员须具备与普查区旅游环境、旅游资源、旅游保护开发有关的专业知识，成员应包括旅游、环境保护、历史文化、文物、水利、地学、工学、气象、生物、建筑、园林、信息技术、农业、经济、管理等方面的专业人员。</w:t>
      </w:r>
    </w:p>
    <w:p>
      <w:pPr>
        <w:widowControl w:val="0"/>
        <w:snapToGrid w:val="0"/>
        <w:spacing w:line="360" w:lineRule="auto"/>
        <w:ind w:firstLine="241" w:firstLineChars="100"/>
        <w:jc w:val="left"/>
        <w:rPr>
          <w:rFonts w:ascii="宋体" w:hAnsi="宋体"/>
          <w:b/>
          <w:bCs/>
          <w:color w:val="auto"/>
          <w:sz w:val="24"/>
          <w:szCs w:val="24"/>
          <w:highlight w:val="none"/>
        </w:rPr>
      </w:pPr>
      <w:r>
        <w:rPr>
          <w:rFonts w:hint="eastAsia" w:ascii="宋体" w:hAnsi="宋体"/>
          <w:b/>
          <w:bCs/>
          <w:color w:val="auto"/>
          <w:sz w:val="24"/>
          <w:szCs w:val="24"/>
          <w:highlight w:val="none"/>
        </w:rPr>
        <w:t>2.2</w:t>
      </w:r>
      <w:r>
        <w:rPr>
          <w:rFonts w:ascii="宋体" w:hAnsi="宋体"/>
          <w:b/>
          <w:bCs/>
          <w:color w:val="auto"/>
          <w:sz w:val="24"/>
          <w:szCs w:val="24"/>
          <w:highlight w:val="none"/>
        </w:rPr>
        <w:t>项目落实的政府采购政策（法规标准条款）</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2.2.1 政府采购节能产品、环境标志产品实施品目清单管理后，对本次采购产品属于“节能产品政府采购品目清单”中强制采购品目的，投标产品应当具有相应的认证证书（认证证书应当为国家确定的认证机构出具、且应处于有效期之内），投标文件中应当提供相应的认证证书（认证证书应当为国家确定的认证机构出具、且应处于有效期之内）。</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属于政府强制采购品目、而未按要求提供相应资料的，</w:t>
      </w:r>
      <w:r>
        <w:rPr>
          <w:rFonts w:hint="eastAsia" w:ascii="宋体" w:hAnsi="宋体"/>
          <w:b/>
          <w:bCs/>
          <w:color w:val="auto"/>
          <w:sz w:val="24"/>
          <w:szCs w:val="24"/>
          <w:highlight w:val="none"/>
        </w:rPr>
        <w:t>为无效投标</w:t>
      </w:r>
      <w:r>
        <w:rPr>
          <w:rFonts w:hint="eastAsia" w:ascii="宋体" w:hAnsi="宋体"/>
          <w:color w:val="auto"/>
          <w:sz w:val="24"/>
          <w:szCs w:val="24"/>
          <w:highlight w:val="none"/>
        </w:rPr>
        <w:t>。</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2.2.2 同等条件下，获得节能产品认证证书或环境标志产品认证证书的产品优先采购。</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(认证证书应当为国家确定的认证机构出具、且应处于有效期之内。)</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2.2.3 本次采购不允许进口产品参加。</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2.2.4 信息安全产品须通过国家信息安全认证中心认证，计算机产品须预装正版操作</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系统软件。</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2.2.5 促进中小企业发展扶持政策：见第四章“评审办法”第 4 条。</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2.2.6 促进残疾人就业、支持监狱企业发展：见第四章“评标办法”第 4 条。</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2.2.7 所供产品有商品包装的应当使用绿色包装。所供产品有其他环保政策要求的，</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应符合相关环保法律政策要求。</w:t>
      </w:r>
    </w:p>
    <w:p>
      <w:pPr>
        <w:widowControl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2.2.8 支持绿色建筑、绿色建材，支持不发达、少数民族地区的企业，促进自主创新</w:t>
      </w:r>
    </w:p>
    <w:p>
      <w:pPr>
        <w:widowControl w:val="0"/>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产业发展，支持脱贫攻坚等；同等条件下，优先采购。</w:t>
      </w:r>
    </w:p>
    <w:p>
      <w:pPr>
        <w:widowControl w:val="0"/>
        <w:snapToGrid w:val="0"/>
        <w:spacing w:line="360" w:lineRule="auto"/>
        <w:ind w:firstLine="241" w:firstLineChars="100"/>
        <w:jc w:val="left"/>
        <w:rPr>
          <w:rFonts w:ascii="宋体" w:hAnsi="宋体"/>
          <w:b/>
          <w:bCs/>
          <w:color w:val="auto"/>
          <w:sz w:val="24"/>
          <w:szCs w:val="24"/>
          <w:highlight w:val="none"/>
        </w:rPr>
      </w:pPr>
      <w:r>
        <w:rPr>
          <w:rFonts w:hint="eastAsia" w:ascii="宋体" w:hAnsi="宋体"/>
          <w:b/>
          <w:bCs/>
          <w:color w:val="auto"/>
          <w:sz w:val="24"/>
          <w:szCs w:val="24"/>
          <w:highlight w:val="none"/>
        </w:rPr>
        <w:t>2.3 采购标的需执行的国家相关标准、行业标准、地方标准或者其他标准、规范；</w:t>
      </w:r>
    </w:p>
    <w:p>
      <w:pPr>
        <w:widowControl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投标人所投产品应为全新产品符合国家质量标准、部颁标准及行业规范的要求，符合国家各项强制性规范及安全标准，投标产品不应与第三方存在知识产权权属问题；投标人应本着服务客户、为客户着想的宗旨，来完善产品及技术要求未尽事宜，不得以《</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》未列明事项为由，来降低投标产品的质量。</w:t>
      </w:r>
    </w:p>
    <w:p>
      <w:pPr>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lang w:val="en-US" w:eastAsia="zh-CN"/>
        </w:rPr>
        <w:t>4</w:t>
      </w:r>
      <w:r>
        <w:rPr>
          <w:rFonts w:hint="eastAsia" w:ascii="黑体" w:hAnsi="黑体" w:eastAsia="黑体"/>
          <w:b/>
          <w:color w:val="auto"/>
          <w:sz w:val="24"/>
          <w:szCs w:val="24"/>
          <w:highlight w:val="none"/>
        </w:rPr>
        <w:t>保险、所涉货物包装</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rFonts w:hint="eastAsia"/>
          <w:color w:val="auto"/>
          <w:sz w:val="24"/>
          <w:szCs w:val="24"/>
          <w:highlight w:val="none"/>
        </w:rPr>
        <w:t>.1保险（如需）：</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投标人应遵循国家相关保险的规定，依照法规规定，根据项目属性需要，办理货物设施等的财产保险、危险作业人员的工伤和意外伤害保险、设计和工程保险、第三方责任险，相关保险费用及相应责任由成交人承担。</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rFonts w:hint="eastAsia"/>
          <w:color w:val="auto"/>
          <w:sz w:val="24"/>
          <w:szCs w:val="24"/>
          <w:highlight w:val="none"/>
        </w:rPr>
        <w:t>2所涉货物包装：</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成交人负责按国家相关标准进行货物包装，设备的包装均应有良好的防湿、防锈、防潮、防雨、防腐及防碰撞的措施，凡由于包装不良造成的损失和由此产生的费用均由成交人承担。</w:t>
      </w:r>
    </w:p>
    <w:p>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lang w:val="en-US" w:eastAsia="zh-CN"/>
        </w:rPr>
        <w:t>5</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采购标的的验收标准</w:t>
      </w:r>
    </w:p>
    <w:p>
      <w:pPr>
        <w:adjustRightInd w:val="0"/>
        <w:snapToGrid w:val="0"/>
        <w:spacing w:line="300" w:lineRule="auto"/>
        <w:ind w:firstLine="564" w:firstLineChars="235"/>
        <w:jc w:val="left"/>
        <w:rPr>
          <w:rFonts w:ascii="黑体" w:hAnsi="黑体" w:eastAsia="黑体"/>
          <w:b/>
          <w:color w:val="auto"/>
          <w:sz w:val="24"/>
          <w:szCs w:val="24"/>
          <w:highlight w:val="none"/>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第</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条“验收”条款。</w:t>
      </w:r>
    </w:p>
    <w:p>
      <w:pPr>
        <w:adjustRightInd w:val="0"/>
        <w:snapToGrid w:val="0"/>
        <w:spacing w:before="156" w:beforeLines="50" w:line="300" w:lineRule="auto"/>
        <w:ind w:firstLine="566" w:firstLineChars="235"/>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lang w:val="en-US" w:eastAsia="zh-CN"/>
        </w:rPr>
        <w:t>6</w:t>
      </w:r>
      <w:r>
        <w:rPr>
          <w:rFonts w:hint="eastAsia" w:ascii="黑体" w:hAnsi="黑体" w:eastAsia="黑体"/>
          <w:b/>
          <w:color w:val="auto"/>
          <w:sz w:val="24"/>
          <w:szCs w:val="24"/>
          <w:highlight w:val="none"/>
        </w:rPr>
        <w:t>采购标的的其他技术、服务等要求</w:t>
      </w:r>
    </w:p>
    <w:p>
      <w:pPr>
        <w:adjustRightInd w:val="0"/>
        <w:snapToGrid w:val="0"/>
        <w:spacing w:before="156" w:beforeLines="50" w:line="300" w:lineRule="auto"/>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  </w:t>
      </w:r>
      <w:r>
        <w:rPr>
          <w:rFonts w:hint="eastAsia" w:ascii="宋体" w:hAnsi="宋体"/>
          <w:color w:val="auto"/>
          <w:sz w:val="24"/>
          <w:szCs w:val="24"/>
          <w:highlight w:val="none"/>
        </w:rPr>
        <w:t xml:space="preserve"> 无</w:t>
      </w:r>
    </w:p>
    <w:p>
      <w:pPr>
        <w:adjustRightInd w:val="0"/>
        <w:snapToGrid w:val="0"/>
        <w:spacing w:before="156" w:beforeLines="50" w:line="300" w:lineRule="auto"/>
        <w:ind w:firstLine="562" w:firstLineChars="200"/>
        <w:outlineLvl w:val="1"/>
        <w:rPr>
          <w:rFonts w:ascii="黑体" w:hAnsi="黑体" w:eastAsia="黑体"/>
          <w:b/>
          <w:color w:val="auto"/>
          <w:sz w:val="28"/>
          <w:highlight w:val="none"/>
        </w:rPr>
      </w:pPr>
      <w:bookmarkStart w:id="4" w:name="_Toc65676676"/>
      <w:bookmarkStart w:id="5" w:name="_Toc105581278"/>
      <w:r>
        <w:rPr>
          <w:rFonts w:hint="eastAsia" w:ascii="黑体" w:hAnsi="黑体" w:eastAsia="黑体"/>
          <w:b/>
          <w:color w:val="auto"/>
          <w:sz w:val="28"/>
          <w:highlight w:val="none"/>
        </w:rPr>
        <w:t>3</w:t>
      </w:r>
      <w:r>
        <w:rPr>
          <w:rFonts w:ascii="黑体" w:hAnsi="黑体" w:eastAsia="黑体"/>
          <w:b/>
          <w:color w:val="auto"/>
          <w:sz w:val="28"/>
          <w:highlight w:val="none"/>
        </w:rPr>
        <w:t xml:space="preserve">. </w:t>
      </w:r>
      <w:r>
        <w:rPr>
          <w:rFonts w:hint="eastAsia" w:ascii="黑体" w:hAnsi="黑体" w:eastAsia="黑体"/>
          <w:b/>
          <w:color w:val="auto"/>
          <w:sz w:val="28"/>
          <w:highlight w:val="none"/>
        </w:rPr>
        <w:t>项目其他要求</w:t>
      </w:r>
      <w:bookmarkEnd w:id="4"/>
      <w:bookmarkEnd w:id="5"/>
    </w:p>
    <w:p>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无</w:t>
      </w:r>
    </w:p>
    <w:p>
      <w:pPr>
        <w:spacing w:line="240" w:lineRule="auto"/>
        <w:jc w:val="left"/>
        <w:textAlignment w:val="auto"/>
        <w:rPr>
          <w:rFonts w:eastAsia="黑体"/>
          <w:b/>
          <w:color w:val="auto"/>
          <w:sz w:val="36"/>
          <w:szCs w:val="36"/>
          <w:highlight w:val="none"/>
        </w:rPr>
      </w:pPr>
      <w:bookmarkStart w:id="6" w:name="_Toc105581279"/>
      <w:r>
        <w:rPr>
          <w:rFonts w:eastAsia="黑体"/>
          <w:b/>
          <w:color w:val="auto"/>
          <w:sz w:val="36"/>
          <w:szCs w:val="36"/>
          <w:highlight w:val="none"/>
        </w:rPr>
        <w:br w:type="page"/>
      </w:r>
    </w:p>
    <w:p>
      <w:pPr>
        <w:spacing w:line="360" w:lineRule="auto"/>
        <w:ind w:right="238"/>
        <w:jc w:val="center"/>
        <w:outlineLvl w:val="0"/>
        <w:rPr>
          <w:rFonts w:eastAsia="黑体"/>
          <w:b/>
          <w:color w:val="auto"/>
          <w:sz w:val="36"/>
          <w:szCs w:val="36"/>
          <w:highlight w:val="none"/>
        </w:rPr>
      </w:pPr>
      <w:r>
        <w:rPr>
          <w:rFonts w:hint="eastAsia" w:eastAsia="黑体"/>
          <w:b/>
          <w:color w:val="auto"/>
          <w:sz w:val="36"/>
          <w:szCs w:val="36"/>
          <w:highlight w:val="none"/>
        </w:rPr>
        <w:t>第三章 投标人须知</w:t>
      </w:r>
      <w:bookmarkEnd w:id="6"/>
    </w:p>
    <w:p>
      <w:pPr>
        <w:spacing w:line="360" w:lineRule="auto"/>
        <w:ind w:right="238"/>
        <w:jc w:val="center"/>
        <w:outlineLvl w:val="1"/>
        <w:rPr>
          <w:rFonts w:eastAsia="黑体"/>
          <w:b/>
          <w:color w:val="auto"/>
          <w:sz w:val="28"/>
          <w:szCs w:val="28"/>
          <w:highlight w:val="none"/>
        </w:rPr>
      </w:pPr>
      <w:bookmarkStart w:id="7" w:name="_Toc105581280"/>
      <w:r>
        <w:rPr>
          <w:rFonts w:hint="eastAsia" w:eastAsia="黑体"/>
          <w:b/>
          <w:color w:val="auto"/>
          <w:sz w:val="28"/>
          <w:szCs w:val="28"/>
          <w:highlight w:val="none"/>
        </w:rPr>
        <w:t>投标人须知前附表</w:t>
      </w:r>
      <w:bookmarkEnd w:id="7"/>
    </w:p>
    <w:tbl>
      <w:tblPr>
        <w:tblStyle w:val="20"/>
        <w:tblW w:w="9147" w:type="dxa"/>
        <w:jc w:val="center"/>
        <w:tblLayout w:type="fixed"/>
        <w:tblCellMar>
          <w:top w:w="0" w:type="dxa"/>
          <w:left w:w="108" w:type="dxa"/>
          <w:bottom w:w="0" w:type="dxa"/>
          <w:right w:w="108" w:type="dxa"/>
        </w:tblCellMar>
      </w:tblPr>
      <w:tblGrid>
        <w:gridCol w:w="694"/>
        <w:gridCol w:w="1972"/>
        <w:gridCol w:w="6481"/>
      </w:tblGrid>
      <w:tr>
        <w:tblPrEx>
          <w:tblCellMar>
            <w:top w:w="0" w:type="dxa"/>
            <w:left w:w="108" w:type="dxa"/>
            <w:bottom w:w="0" w:type="dxa"/>
            <w:right w:w="108" w:type="dxa"/>
          </w:tblCellMar>
        </w:tblPrEx>
        <w:trPr>
          <w:trHeight w:val="614" w:hRule="exact"/>
          <w:jc w:val="center"/>
        </w:trPr>
        <w:tc>
          <w:tcPr>
            <w:tcW w:w="694"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spacing w:line="240" w:lineRule="auto"/>
              <w:ind w:right="-126" w:rightChars="-60"/>
              <w:rPr>
                <w:rFonts w:hint="eastAsia" w:ascii="宋体" w:eastAsia="宋体" w:cs="楷体_GB2312"/>
                <w:b/>
                <w:bCs/>
                <w:color w:val="auto"/>
                <w:sz w:val="24"/>
                <w:highlight w:val="none"/>
                <w:lang w:val="zh-CN" w:eastAsia="zh-CN"/>
              </w:rPr>
            </w:pPr>
            <w:r>
              <w:rPr>
                <w:rFonts w:hint="eastAsia" w:ascii="宋体" w:hAnsi="宋体" w:cs="楷体_GB2312"/>
                <w:b/>
                <w:bCs/>
                <w:color w:val="auto"/>
                <w:sz w:val="24"/>
                <w:highlight w:val="none"/>
                <w:lang w:val="en-US" w:eastAsia="zh-CN"/>
              </w:rPr>
              <w:t>序号</w:t>
            </w:r>
          </w:p>
        </w:tc>
        <w:tc>
          <w:tcPr>
            <w:tcW w:w="8453"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内容</w:t>
            </w:r>
          </w:p>
        </w:tc>
      </w:tr>
      <w:tr>
        <w:tblPrEx>
          <w:tblCellMar>
            <w:top w:w="0" w:type="dxa"/>
            <w:left w:w="108" w:type="dxa"/>
            <w:bottom w:w="0" w:type="dxa"/>
            <w:right w:w="108" w:type="dxa"/>
          </w:tblCellMar>
        </w:tblPrEx>
        <w:trPr>
          <w:trHeight w:val="494" w:hRule="exact"/>
          <w:jc w:val="center"/>
        </w:trPr>
        <w:tc>
          <w:tcPr>
            <w:tcW w:w="69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en-US" w:eastAsia="zh-CN"/>
              </w:rPr>
            </w:pPr>
            <w:r>
              <w:rPr>
                <w:rFonts w:hint="eastAsia" w:ascii="宋体" w:cs="楷体_GB2312"/>
                <w:b/>
                <w:bCs/>
                <w:color w:val="auto"/>
                <w:szCs w:val="21"/>
                <w:highlight w:val="none"/>
                <w:lang w:val="en-US" w:eastAsia="zh-CN"/>
              </w:rPr>
              <w:t>1</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rPr>
              <w:t>采购项目名称</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cs="楷体_GB2312"/>
                <w:color w:val="auto"/>
                <w:sz w:val="24"/>
                <w:highlight w:val="none"/>
                <w:lang w:val="zh-CN"/>
              </w:rPr>
              <w:t xml:space="preserve">汤阴县文化广电体育旅游局旅游资源普查项目   </w:t>
            </w:r>
          </w:p>
        </w:tc>
      </w:tr>
      <w:tr>
        <w:tblPrEx>
          <w:tblCellMar>
            <w:top w:w="0" w:type="dxa"/>
            <w:left w:w="108" w:type="dxa"/>
            <w:bottom w:w="0" w:type="dxa"/>
            <w:right w:w="108" w:type="dxa"/>
          </w:tblCellMar>
        </w:tblPrEx>
        <w:trPr>
          <w:trHeight w:val="479" w:hRule="exact"/>
          <w:jc w:val="center"/>
        </w:trPr>
        <w:tc>
          <w:tcPr>
            <w:tcW w:w="69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eastAsia="zh-CN"/>
              </w:rPr>
            </w:pPr>
            <w:r>
              <w:rPr>
                <w:rFonts w:hint="eastAsia" w:ascii="宋体" w:hAnsi="宋体" w:cs="楷体_GB2312"/>
                <w:b/>
                <w:bCs/>
                <w:color w:val="auto"/>
                <w:szCs w:val="21"/>
                <w:highlight w:val="none"/>
                <w:lang w:val="en-US" w:eastAsia="zh-CN"/>
              </w:rPr>
              <w:t>2</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项目编号</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hint="eastAsia" w:eastAsia="宋体"/>
                <w:color w:val="auto"/>
                <w:sz w:val="24"/>
                <w:szCs w:val="24"/>
                <w:highlight w:val="none"/>
                <w:lang w:val="en-US" w:eastAsia="zh-CN"/>
              </w:rPr>
            </w:pPr>
            <w:r>
              <w:rPr>
                <w:rFonts w:hint="eastAsia"/>
                <w:color w:val="auto"/>
                <w:sz w:val="24"/>
                <w:szCs w:val="24"/>
                <w:highlight w:val="none"/>
              </w:rPr>
              <w:t>安汤磋商采购-2024</w:t>
            </w:r>
            <w:r>
              <w:rPr>
                <w:rFonts w:hint="eastAsia"/>
                <w:color w:val="auto"/>
                <w:sz w:val="24"/>
                <w:szCs w:val="24"/>
                <w:highlight w:val="none"/>
                <w:lang w:val="en-US" w:eastAsia="zh-CN"/>
              </w:rPr>
              <w:t>-</w:t>
            </w:r>
          </w:p>
        </w:tc>
      </w:tr>
      <w:tr>
        <w:tblPrEx>
          <w:tblCellMar>
            <w:top w:w="0" w:type="dxa"/>
            <w:left w:w="108" w:type="dxa"/>
            <w:bottom w:w="0" w:type="dxa"/>
            <w:right w:w="108" w:type="dxa"/>
          </w:tblCellMar>
        </w:tblPrEx>
        <w:trPr>
          <w:trHeight w:val="484" w:hRule="exact"/>
          <w:jc w:val="center"/>
        </w:trPr>
        <w:tc>
          <w:tcPr>
            <w:tcW w:w="69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eastAsia="zh-CN"/>
              </w:rPr>
            </w:pPr>
            <w:r>
              <w:rPr>
                <w:rFonts w:hint="eastAsia" w:ascii="宋体" w:hAnsi="宋体" w:cs="楷体_GB2312"/>
                <w:b/>
                <w:bCs/>
                <w:color w:val="auto"/>
                <w:szCs w:val="21"/>
                <w:highlight w:val="none"/>
                <w:lang w:val="en-US" w:eastAsia="zh-CN"/>
              </w:rPr>
              <w:t>3</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采购人</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hint="default" w:ascii="宋体" w:eastAsia="宋体" w:cs="楷体_GB2312"/>
                <w:color w:val="auto"/>
                <w:sz w:val="24"/>
                <w:highlight w:val="none"/>
                <w:lang w:val="en-US" w:eastAsia="zh-CN"/>
              </w:rPr>
            </w:pPr>
            <w:r>
              <w:rPr>
                <w:rFonts w:hint="default" w:ascii="宋体" w:eastAsia="宋体" w:cs="楷体_GB2312"/>
                <w:color w:val="auto"/>
                <w:sz w:val="24"/>
                <w:highlight w:val="none"/>
                <w:lang w:val="en-US" w:eastAsia="zh-CN"/>
              </w:rPr>
              <w:t>汤阴县文化广电体育旅游局</w:t>
            </w:r>
          </w:p>
        </w:tc>
      </w:tr>
      <w:tr>
        <w:tblPrEx>
          <w:tblCellMar>
            <w:top w:w="0" w:type="dxa"/>
            <w:left w:w="108" w:type="dxa"/>
            <w:bottom w:w="0" w:type="dxa"/>
            <w:right w:w="108" w:type="dxa"/>
          </w:tblCellMar>
        </w:tblPrEx>
        <w:trPr>
          <w:trHeight w:val="536" w:hRule="exact"/>
          <w:jc w:val="center"/>
        </w:trPr>
        <w:tc>
          <w:tcPr>
            <w:tcW w:w="69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zh-CN" w:eastAsia="zh-CN"/>
              </w:rPr>
            </w:pPr>
            <w:r>
              <w:rPr>
                <w:rFonts w:hint="eastAsia" w:ascii="宋体" w:hAnsi="宋体" w:cs="楷体_GB2312"/>
                <w:b/>
                <w:bCs/>
                <w:color w:val="auto"/>
                <w:szCs w:val="21"/>
                <w:highlight w:val="none"/>
                <w:lang w:val="en-US" w:eastAsia="zh-CN"/>
              </w:rPr>
              <w:t>4</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采购代理机构</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cs="楷体_GB2312"/>
                <w:color w:val="auto"/>
                <w:sz w:val="24"/>
                <w:highlight w:val="none"/>
                <w:lang w:val="zh-CN"/>
              </w:rPr>
              <w:t>河南仁厚工程实业有限公司</w:t>
            </w:r>
          </w:p>
        </w:tc>
      </w:tr>
      <w:tr>
        <w:tblPrEx>
          <w:tblCellMar>
            <w:top w:w="0" w:type="dxa"/>
            <w:left w:w="108" w:type="dxa"/>
            <w:bottom w:w="0" w:type="dxa"/>
            <w:right w:w="108" w:type="dxa"/>
          </w:tblCellMar>
        </w:tblPrEx>
        <w:trPr>
          <w:trHeight w:val="620" w:hRule="exact"/>
          <w:jc w:val="center"/>
        </w:trPr>
        <w:tc>
          <w:tcPr>
            <w:tcW w:w="69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zh-CN" w:eastAsia="zh-CN"/>
              </w:rPr>
            </w:pPr>
            <w:r>
              <w:rPr>
                <w:rFonts w:hint="eastAsia" w:ascii="宋体" w:hAnsi="宋体" w:cs="楷体_GB2312"/>
                <w:b/>
                <w:bCs/>
                <w:color w:val="auto"/>
                <w:szCs w:val="21"/>
                <w:highlight w:val="none"/>
                <w:lang w:val="en-US" w:eastAsia="zh-CN"/>
              </w:rPr>
              <w:t>5</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bCs/>
                <w:color w:val="auto"/>
                <w:sz w:val="24"/>
                <w:szCs w:val="24"/>
                <w:highlight w:val="none"/>
              </w:rPr>
            </w:pPr>
            <w:r>
              <w:rPr>
                <w:rFonts w:hint="eastAsia" w:ascii="宋体"/>
                <w:b/>
                <w:bCs/>
                <w:color w:val="auto"/>
                <w:sz w:val="24"/>
                <w:szCs w:val="24"/>
                <w:highlight w:val="none"/>
              </w:rPr>
              <w:t>采购方式</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lang w:val="en-US" w:eastAsia="zh-CN"/>
              </w:rPr>
              <w:t>竞争性磋商</w:t>
            </w:r>
          </w:p>
        </w:tc>
      </w:tr>
      <w:tr>
        <w:tblPrEx>
          <w:tblCellMar>
            <w:top w:w="0" w:type="dxa"/>
            <w:left w:w="108" w:type="dxa"/>
            <w:bottom w:w="0" w:type="dxa"/>
            <w:right w:w="108" w:type="dxa"/>
          </w:tblCellMar>
        </w:tblPrEx>
        <w:trPr>
          <w:trHeight w:val="495" w:hRule="exact"/>
          <w:jc w:val="center"/>
        </w:trPr>
        <w:tc>
          <w:tcPr>
            <w:tcW w:w="69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zh-CN" w:eastAsia="zh-CN"/>
              </w:rPr>
            </w:pPr>
            <w:r>
              <w:rPr>
                <w:rFonts w:hint="eastAsia" w:ascii="宋体" w:hAnsi="宋体" w:cs="楷体_GB2312"/>
                <w:b/>
                <w:bCs/>
                <w:color w:val="auto"/>
                <w:szCs w:val="21"/>
                <w:highlight w:val="none"/>
                <w:lang w:val="en-US" w:eastAsia="zh-CN"/>
              </w:rPr>
              <w:t>6</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bCs/>
                <w:color w:val="auto"/>
                <w:sz w:val="24"/>
                <w:szCs w:val="24"/>
                <w:highlight w:val="none"/>
              </w:rPr>
            </w:pPr>
            <w:r>
              <w:rPr>
                <w:rFonts w:hint="eastAsia" w:ascii="宋体"/>
                <w:b/>
                <w:bCs/>
                <w:color w:val="auto"/>
                <w:sz w:val="24"/>
                <w:szCs w:val="24"/>
                <w:highlight w:val="none"/>
              </w:rPr>
              <w:t>采购预算</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hint="default" w:eastAsia="宋体"/>
                <w:color w:val="auto"/>
                <w:sz w:val="24"/>
                <w:szCs w:val="24"/>
                <w:highlight w:val="none"/>
                <w:lang w:val="en-US" w:eastAsia="zh-CN"/>
              </w:rPr>
            </w:pPr>
            <w:r>
              <w:rPr>
                <w:rFonts w:hint="eastAsia"/>
                <w:color w:val="auto"/>
                <w:sz w:val="24"/>
                <w:szCs w:val="24"/>
                <w:highlight w:val="none"/>
                <w:lang w:val="en-US" w:eastAsia="zh-CN"/>
              </w:rPr>
              <w:t>600000元</w:t>
            </w:r>
          </w:p>
        </w:tc>
      </w:tr>
      <w:tr>
        <w:tblPrEx>
          <w:tblCellMar>
            <w:top w:w="0" w:type="dxa"/>
            <w:left w:w="108" w:type="dxa"/>
            <w:bottom w:w="0" w:type="dxa"/>
            <w:right w:w="108" w:type="dxa"/>
          </w:tblCellMar>
        </w:tblPrEx>
        <w:trPr>
          <w:trHeight w:val="524" w:hRule="exact"/>
          <w:jc w:val="center"/>
        </w:trPr>
        <w:tc>
          <w:tcPr>
            <w:tcW w:w="694"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zh-CN" w:eastAsia="zh-CN"/>
              </w:rPr>
            </w:pPr>
            <w:r>
              <w:rPr>
                <w:rFonts w:hint="eastAsia" w:ascii="宋体" w:hAnsi="宋体" w:cs="楷体_GB2312"/>
                <w:b/>
                <w:bCs/>
                <w:color w:val="auto"/>
                <w:szCs w:val="21"/>
                <w:highlight w:val="none"/>
                <w:lang w:val="en-US" w:eastAsia="zh-CN"/>
              </w:rPr>
              <w:t>7</w:t>
            </w:r>
          </w:p>
        </w:tc>
        <w:tc>
          <w:tcPr>
            <w:tcW w:w="19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uto"/>
              <w:ind w:right="-73" w:rightChars="-35"/>
              <w:jc w:val="center"/>
              <w:rPr>
                <w:rFonts w:ascii="宋体"/>
                <w:b/>
                <w:bCs/>
                <w:color w:val="auto"/>
                <w:sz w:val="24"/>
                <w:szCs w:val="24"/>
                <w:highlight w:val="none"/>
              </w:rPr>
            </w:pPr>
            <w:r>
              <w:rPr>
                <w:rFonts w:hint="eastAsia" w:ascii="宋体"/>
                <w:b/>
                <w:bCs/>
                <w:color w:val="auto"/>
                <w:sz w:val="24"/>
                <w:szCs w:val="24"/>
                <w:highlight w:val="none"/>
              </w:rPr>
              <w:t>资金来源</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财政资金</w:t>
            </w:r>
          </w:p>
        </w:tc>
      </w:tr>
      <w:tr>
        <w:tblPrEx>
          <w:tblCellMar>
            <w:top w:w="0" w:type="dxa"/>
            <w:left w:w="108" w:type="dxa"/>
            <w:bottom w:w="0" w:type="dxa"/>
            <w:right w:w="108" w:type="dxa"/>
          </w:tblCellMar>
        </w:tblPrEx>
        <w:trPr>
          <w:trHeight w:val="509"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zh-CN" w:eastAsia="zh-CN"/>
              </w:rPr>
            </w:pPr>
            <w:r>
              <w:rPr>
                <w:rFonts w:hint="eastAsia" w:ascii="宋体" w:hAnsi="宋体" w:cs="楷体_GB2312"/>
                <w:b/>
                <w:bCs/>
                <w:color w:val="auto"/>
                <w:szCs w:val="21"/>
                <w:highlight w:val="none"/>
                <w:lang w:val="en-US" w:eastAsia="zh-CN"/>
              </w:rPr>
              <w:t>8</w:t>
            </w:r>
          </w:p>
        </w:tc>
        <w:tc>
          <w:tcPr>
            <w:tcW w:w="197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采购需求</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hint="default" w:ascii="宋体" w:eastAsia="宋体" w:cs="楷体_GB2312"/>
                <w:color w:val="auto"/>
                <w:sz w:val="24"/>
                <w:highlight w:val="none"/>
                <w:lang w:val="en-US" w:eastAsia="zh-CN"/>
              </w:rPr>
            </w:pPr>
            <w:r>
              <w:rPr>
                <w:rFonts w:hint="eastAsia"/>
                <w:color w:val="auto"/>
                <w:sz w:val="24"/>
                <w:szCs w:val="24"/>
                <w:highlight w:val="none"/>
                <w:lang w:val="en-US" w:eastAsia="zh-CN"/>
              </w:rPr>
              <w:t>详见磋商公告</w:t>
            </w:r>
          </w:p>
        </w:tc>
      </w:tr>
      <w:tr>
        <w:tblPrEx>
          <w:tblCellMar>
            <w:top w:w="0" w:type="dxa"/>
            <w:left w:w="108" w:type="dxa"/>
            <w:bottom w:w="0" w:type="dxa"/>
            <w:right w:w="108" w:type="dxa"/>
          </w:tblCellMar>
        </w:tblPrEx>
        <w:trPr>
          <w:trHeight w:val="676"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eastAsia" w:ascii="宋体" w:eastAsia="宋体" w:cs="楷体_GB2312"/>
                <w:b/>
                <w:bCs/>
                <w:color w:val="auto"/>
                <w:szCs w:val="21"/>
                <w:highlight w:val="none"/>
                <w:lang w:val="zh-CN" w:eastAsia="zh-CN"/>
              </w:rPr>
            </w:pPr>
            <w:r>
              <w:rPr>
                <w:rFonts w:hint="eastAsia" w:ascii="宋体" w:hAnsi="宋体" w:cs="楷体_GB2312"/>
                <w:b/>
                <w:bCs/>
                <w:color w:val="auto"/>
                <w:szCs w:val="21"/>
                <w:highlight w:val="none"/>
                <w:lang w:val="en-US" w:eastAsia="zh-CN"/>
              </w:rPr>
              <w:t>9</w:t>
            </w:r>
          </w:p>
        </w:tc>
        <w:tc>
          <w:tcPr>
            <w:tcW w:w="197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240" w:lineRule="auto"/>
              <w:jc w:val="both"/>
              <w:rPr>
                <w:rFonts w:ascii="宋体" w:cs="楷体_GB2312"/>
                <w:b/>
                <w:bCs/>
                <w:color w:val="auto"/>
                <w:sz w:val="24"/>
                <w:highlight w:val="none"/>
                <w:lang w:val="zh-CN"/>
              </w:rPr>
            </w:pPr>
            <w:r>
              <w:rPr>
                <w:rFonts w:hint="eastAsia" w:ascii="宋体" w:cs="楷体_GB2312"/>
                <w:b/>
                <w:bCs/>
                <w:color w:val="auto"/>
                <w:sz w:val="24"/>
                <w:highlight w:val="none"/>
                <w:lang w:val="zh-CN"/>
              </w:rPr>
              <w:t>供应商资格条件</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bCs/>
                <w:color w:val="auto"/>
                <w:sz w:val="24"/>
                <w:highlight w:val="none"/>
                <w:lang w:val="zh-CN"/>
              </w:rPr>
            </w:pPr>
            <w:r>
              <w:rPr>
                <w:rFonts w:hint="eastAsia"/>
                <w:color w:val="auto"/>
                <w:sz w:val="24"/>
                <w:szCs w:val="24"/>
                <w:highlight w:val="none"/>
                <w:lang w:val="en-US" w:eastAsia="zh-CN"/>
              </w:rPr>
              <w:t>详见磋商公告</w:t>
            </w:r>
          </w:p>
        </w:tc>
      </w:tr>
      <w:tr>
        <w:tblPrEx>
          <w:tblCellMar>
            <w:top w:w="0" w:type="dxa"/>
            <w:left w:w="108" w:type="dxa"/>
            <w:bottom w:w="0" w:type="dxa"/>
            <w:right w:w="108" w:type="dxa"/>
          </w:tblCellMar>
        </w:tblPrEx>
        <w:trPr>
          <w:trHeight w:val="1737"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10</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 xml:space="preserve">服务期限、服务质量、 </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pStyle w:val="18"/>
              <w:spacing w:before="0" w:beforeAutospacing="0" w:after="0" w:afterAutospacing="0" w:line="495" w:lineRule="atLeast"/>
              <w:rPr>
                <w:rFonts w:hint="eastAsia"/>
                <w:color w:val="auto"/>
                <w:highlight w:val="none"/>
                <w:lang w:val="en-US" w:eastAsia="zh-CN"/>
              </w:rPr>
            </w:pPr>
            <w:r>
              <w:rPr>
                <w:rFonts w:hint="eastAsia"/>
                <w:color w:val="auto"/>
                <w:highlight w:val="none"/>
                <w:lang w:val="en-US" w:eastAsia="zh-CN"/>
              </w:rPr>
              <w:t>质量要求：符合国家及行业相关规范和标准，完成报告编制并取得政府主管部门或行业部门并评审审查。</w:t>
            </w:r>
          </w:p>
          <w:p>
            <w:pPr>
              <w:pStyle w:val="18"/>
              <w:spacing w:before="0" w:beforeAutospacing="0" w:after="0" w:afterAutospacing="0" w:line="495" w:lineRule="atLeast"/>
              <w:rPr>
                <w:rFonts w:hint="eastAsia"/>
                <w:color w:val="auto"/>
                <w:highlight w:val="none"/>
                <w:lang w:val="zh-CN" w:eastAsia="zh-CN"/>
              </w:rPr>
            </w:pPr>
            <w:r>
              <w:rPr>
                <w:rFonts w:hint="eastAsia"/>
                <w:color w:val="auto"/>
                <w:highlight w:val="none"/>
                <w:lang w:val="en-US" w:eastAsia="zh-CN"/>
              </w:rPr>
              <w:t>服务期限：合同签订之日至2024年9月底之前完成；</w:t>
            </w:r>
          </w:p>
        </w:tc>
      </w:tr>
      <w:tr>
        <w:tblPrEx>
          <w:tblCellMar>
            <w:top w:w="0" w:type="dxa"/>
            <w:left w:w="108" w:type="dxa"/>
            <w:bottom w:w="0" w:type="dxa"/>
            <w:right w:w="108" w:type="dxa"/>
          </w:tblCellMar>
        </w:tblPrEx>
        <w:trPr>
          <w:trHeight w:val="874"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11</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ind w:firstLine="241" w:firstLineChars="100"/>
              <w:jc w:val="left"/>
              <w:rPr>
                <w:b/>
                <w:bCs/>
              </w:rPr>
            </w:pPr>
            <w:r>
              <w:rPr>
                <w:rFonts w:hint="eastAsia" w:ascii="宋体" w:hAnsi="宋体" w:eastAsia="宋体" w:cs="宋体"/>
                <w:b/>
                <w:bCs/>
                <w:color w:val="000000"/>
                <w:kern w:val="0"/>
                <w:sz w:val="24"/>
                <w:szCs w:val="24"/>
                <w:u w:color="000000"/>
                <w:lang w:val="en-US" w:eastAsia="zh-CN" w:bidi="ar"/>
              </w:rPr>
              <w:t xml:space="preserve">磋商保证金 </w:t>
            </w:r>
          </w:p>
          <w:p>
            <w:pPr>
              <w:autoSpaceDE w:val="0"/>
              <w:autoSpaceDN w:val="0"/>
              <w:adjustRightInd w:val="0"/>
              <w:snapToGrid w:val="0"/>
              <w:spacing w:line="240" w:lineRule="auto"/>
              <w:jc w:val="center"/>
              <w:rPr>
                <w:rFonts w:ascii="宋体"/>
                <w:b/>
                <w:bCs/>
                <w:color w:val="auto"/>
                <w:sz w:val="24"/>
                <w:szCs w:val="24"/>
                <w:highlight w:val="none"/>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为履行河南省财政厅《豫财购〔2019〕4 号》文件，该项目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不再要求供应商缴纳磋商保证金。 </w:t>
            </w:r>
          </w:p>
          <w:p>
            <w:pPr>
              <w:autoSpaceDE w:val="0"/>
              <w:autoSpaceDN w:val="0"/>
              <w:adjustRightInd w:val="0"/>
              <w:snapToGrid w:val="0"/>
              <w:spacing w:before="156" w:beforeLines="50" w:line="240" w:lineRule="auto"/>
              <w:rPr>
                <w:color w:val="auto"/>
                <w:sz w:val="24"/>
                <w:szCs w:val="24"/>
                <w:highlight w:val="none"/>
              </w:rPr>
            </w:pPr>
          </w:p>
        </w:tc>
      </w:tr>
      <w:tr>
        <w:tblPrEx>
          <w:tblCellMar>
            <w:top w:w="0" w:type="dxa"/>
            <w:left w:w="108" w:type="dxa"/>
            <w:bottom w:w="0" w:type="dxa"/>
            <w:right w:w="108" w:type="dxa"/>
          </w:tblCellMar>
        </w:tblPrEx>
        <w:trPr>
          <w:trHeight w:val="669"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12</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ind w:firstLine="241" w:firstLineChars="100"/>
              <w:jc w:val="left"/>
              <w:rPr>
                <w:b/>
                <w:bCs/>
              </w:rPr>
            </w:pPr>
            <w:r>
              <w:rPr>
                <w:rFonts w:hint="eastAsia" w:ascii="宋体" w:hAnsi="宋体" w:eastAsia="宋体" w:cs="宋体"/>
                <w:b/>
                <w:bCs/>
                <w:color w:val="000000"/>
                <w:kern w:val="0"/>
                <w:sz w:val="24"/>
                <w:szCs w:val="24"/>
                <w:u w:color="000000"/>
                <w:lang w:val="en-US" w:eastAsia="zh-CN" w:bidi="ar"/>
              </w:rPr>
              <w:t>磋商有效期</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cs="楷体_GB2312"/>
                <w:color w:val="auto"/>
                <w:sz w:val="24"/>
                <w:highlight w:val="none"/>
                <w:lang w:val="zh-CN"/>
              </w:rPr>
              <w:t>自磋商截止之日起</w:t>
            </w:r>
            <w:r>
              <w:rPr>
                <w:rFonts w:hint="eastAsia" w:ascii="宋体" w:cs="楷体_GB2312"/>
                <w:color w:val="auto"/>
                <w:sz w:val="24"/>
                <w:highlight w:val="none"/>
                <w:lang w:val="en-US" w:eastAsia="zh-CN"/>
              </w:rPr>
              <w:t>90</w:t>
            </w:r>
            <w:r>
              <w:rPr>
                <w:rFonts w:hint="eastAsia" w:ascii="宋体" w:cs="楷体_GB2312"/>
                <w:color w:val="auto"/>
                <w:sz w:val="24"/>
                <w:highlight w:val="none"/>
                <w:lang w:val="zh-CN"/>
              </w:rPr>
              <w:t>日历天</w:t>
            </w:r>
          </w:p>
        </w:tc>
      </w:tr>
      <w:tr>
        <w:tblPrEx>
          <w:tblCellMar>
            <w:top w:w="0" w:type="dxa"/>
            <w:left w:w="108" w:type="dxa"/>
            <w:bottom w:w="0" w:type="dxa"/>
            <w:right w:w="108" w:type="dxa"/>
          </w:tblCellMar>
        </w:tblPrEx>
        <w:trPr>
          <w:trHeight w:val="1176"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13</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rFonts w:ascii="宋体" w:cs="楷体_GB2312"/>
                <w:b/>
                <w:bCs/>
                <w:color w:val="auto"/>
                <w:sz w:val="24"/>
                <w:highlight w:val="none"/>
                <w:lang w:val="zh-CN"/>
              </w:rPr>
            </w:pPr>
            <w:r>
              <w:rPr>
                <w:rFonts w:hint="eastAsia" w:ascii="宋体" w:hAnsi="宋体" w:eastAsia="宋体" w:cs="宋体"/>
                <w:b/>
                <w:bCs/>
                <w:color w:val="000000"/>
                <w:kern w:val="0"/>
                <w:sz w:val="24"/>
                <w:szCs w:val="24"/>
                <w:u w:color="000000"/>
                <w:lang w:val="en-US" w:eastAsia="zh-CN" w:bidi="ar"/>
              </w:rPr>
              <w:t xml:space="preserve">签字和盖章要求 </w:t>
            </w:r>
          </w:p>
        </w:tc>
        <w:tc>
          <w:tcPr>
            <w:tcW w:w="6481"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cs="楷体_GB2312"/>
                <w:color w:val="auto"/>
                <w:sz w:val="24"/>
                <w:highlight w:val="none"/>
                <w:lang w:val="zh-CN"/>
              </w:rPr>
              <w:t>根据磋商文件中第六部分响应文件格式中要求签章，并加密。</w:t>
            </w:r>
          </w:p>
        </w:tc>
      </w:tr>
      <w:tr>
        <w:tblPrEx>
          <w:tblCellMar>
            <w:top w:w="0" w:type="dxa"/>
            <w:left w:w="108" w:type="dxa"/>
            <w:bottom w:w="0" w:type="dxa"/>
            <w:right w:w="108" w:type="dxa"/>
          </w:tblCellMar>
        </w:tblPrEx>
        <w:trPr>
          <w:trHeight w:val="1022"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14</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磋商响应文件递交截止时间</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详见磋商公告 </w:t>
            </w:r>
          </w:p>
          <w:p>
            <w:pPr>
              <w:autoSpaceDE w:val="0"/>
              <w:autoSpaceDN w:val="0"/>
              <w:adjustRightInd w:val="0"/>
              <w:snapToGrid w:val="0"/>
              <w:spacing w:before="156" w:beforeLines="50" w:line="240" w:lineRule="auto"/>
              <w:rPr>
                <w:rFonts w:ascii="宋体" w:cs="楷体_GB2312"/>
                <w:color w:val="auto"/>
                <w:sz w:val="24"/>
                <w:highlight w:val="none"/>
                <w:lang w:val="zh-CN"/>
              </w:rPr>
            </w:pPr>
          </w:p>
        </w:tc>
      </w:tr>
      <w:tr>
        <w:tblPrEx>
          <w:tblCellMar>
            <w:top w:w="0" w:type="dxa"/>
            <w:left w:w="108" w:type="dxa"/>
            <w:bottom w:w="0" w:type="dxa"/>
            <w:right w:w="108" w:type="dxa"/>
          </w:tblCellMar>
        </w:tblPrEx>
        <w:trPr>
          <w:trHeight w:val="615"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15</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 xml:space="preserve">磋商时间 </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详见磋商公告 </w:t>
            </w:r>
          </w:p>
          <w:p>
            <w:pPr>
              <w:autoSpaceDE w:val="0"/>
              <w:autoSpaceDN w:val="0"/>
              <w:adjustRightInd w:val="0"/>
              <w:snapToGrid w:val="0"/>
              <w:spacing w:before="156" w:beforeLines="50" w:line="240" w:lineRule="auto"/>
              <w:rPr>
                <w:rFonts w:ascii="宋体" w:cs="楷体_GB2312"/>
                <w:color w:val="auto"/>
                <w:sz w:val="24"/>
                <w:highlight w:val="none"/>
                <w:lang w:val="zh-CN"/>
              </w:rPr>
            </w:pPr>
          </w:p>
        </w:tc>
      </w:tr>
      <w:tr>
        <w:tblPrEx>
          <w:tblCellMar>
            <w:top w:w="0" w:type="dxa"/>
            <w:left w:w="108" w:type="dxa"/>
            <w:bottom w:w="0" w:type="dxa"/>
            <w:right w:w="108" w:type="dxa"/>
          </w:tblCellMar>
        </w:tblPrEx>
        <w:trPr>
          <w:trHeight w:val="731"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16</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 xml:space="preserve">磋商地点 </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rPr>
                <w:rFonts w:ascii="宋体" w:cs="楷体_GB2312"/>
                <w:color w:val="auto"/>
                <w:sz w:val="24"/>
                <w:highlight w:val="none"/>
                <w:lang w:val="zh-CN"/>
              </w:rPr>
            </w:pPr>
            <w:r>
              <w:rPr>
                <w:rFonts w:hint="eastAsia" w:ascii="宋体" w:hAnsi="宋体" w:cs="楷体_GB2312"/>
                <w:color w:val="auto"/>
                <w:sz w:val="24"/>
                <w:highlight w:val="none"/>
                <w:lang w:val="zh-CN"/>
              </w:rPr>
              <w:t xml:space="preserve"> </w:t>
            </w:r>
            <w:r>
              <w:rPr>
                <w:rFonts w:hint="eastAsia" w:ascii="宋体" w:hAnsi="宋体" w:eastAsia="宋体" w:cs="宋体"/>
                <w:color w:val="000000"/>
                <w:kern w:val="0"/>
                <w:sz w:val="24"/>
                <w:szCs w:val="24"/>
                <w:u w:color="000000"/>
                <w:lang w:val="en-US" w:eastAsia="zh-CN" w:bidi="ar"/>
              </w:rPr>
              <w:t xml:space="preserve">详见磋商公告 </w:t>
            </w:r>
          </w:p>
        </w:tc>
      </w:tr>
      <w:tr>
        <w:tblPrEx>
          <w:tblCellMar>
            <w:top w:w="0" w:type="dxa"/>
            <w:left w:w="108" w:type="dxa"/>
            <w:bottom w:w="0" w:type="dxa"/>
            <w:right w:w="108" w:type="dxa"/>
          </w:tblCellMar>
        </w:tblPrEx>
        <w:trPr>
          <w:trHeight w:val="2336"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17</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磋商响应文件递交方式</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网上递交。供应商进入汤阴县公共资源交易中心网站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（http://ggzy.anyang.gov.cn），凭企业数字证书点击【投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标用户入口】登录系统，供应商必须在磋商截止时间前完成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所有响应文件的上传，并“确认并签名”，逾期上传视为网 </w:t>
            </w:r>
          </w:p>
          <w:p>
            <w:pPr>
              <w:keepNext w:val="0"/>
              <w:keepLines w:val="0"/>
              <w:widowControl/>
              <w:suppressLineNumbers w:val="0"/>
              <w:jc w:val="left"/>
              <w:rPr>
                <w:rFonts w:ascii="宋体" w:cs="楷体_GB2312"/>
                <w:color w:val="auto"/>
                <w:sz w:val="24"/>
                <w:highlight w:val="none"/>
                <w:lang w:val="zh-CN"/>
              </w:rPr>
            </w:pPr>
            <w:r>
              <w:rPr>
                <w:rFonts w:hint="eastAsia" w:ascii="宋体" w:hAnsi="宋体" w:eastAsia="宋体" w:cs="宋体"/>
                <w:color w:val="000000"/>
                <w:kern w:val="0"/>
                <w:sz w:val="24"/>
                <w:szCs w:val="24"/>
                <w:u w:color="000000"/>
                <w:lang w:val="en-US" w:eastAsia="zh-CN" w:bidi="ar"/>
              </w:rPr>
              <w:t>上投标无效；</w:t>
            </w:r>
          </w:p>
        </w:tc>
      </w:tr>
      <w:tr>
        <w:tblPrEx>
          <w:tblCellMar>
            <w:top w:w="0" w:type="dxa"/>
            <w:left w:w="108" w:type="dxa"/>
            <w:bottom w:w="0" w:type="dxa"/>
            <w:right w:w="108" w:type="dxa"/>
          </w:tblCellMar>
        </w:tblPrEx>
        <w:trPr>
          <w:trHeight w:val="1549"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left="-134" w:leftChars="-64" w:right="-88" w:rightChars="-42"/>
              <w:jc w:val="center"/>
              <w:rPr>
                <w:rFonts w:hint="default" w:ascii="宋体" w:hAns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18</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ind w:firstLine="241" w:firstLineChars="100"/>
              <w:jc w:val="left"/>
              <w:rPr>
                <w:b/>
                <w:bCs/>
              </w:rPr>
            </w:pPr>
            <w:r>
              <w:rPr>
                <w:rFonts w:hint="eastAsia" w:ascii="宋体" w:hAnsi="宋体" w:eastAsia="宋体" w:cs="宋体"/>
                <w:b/>
                <w:bCs/>
                <w:color w:val="000000"/>
                <w:kern w:val="0"/>
                <w:sz w:val="24"/>
                <w:szCs w:val="24"/>
                <w:u w:color="000000"/>
                <w:lang w:val="en-US" w:eastAsia="zh-CN" w:bidi="ar"/>
              </w:rPr>
              <w:t>代理服务费</w:t>
            </w:r>
          </w:p>
          <w:p>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采购代理服务费参考《招标代理服务收费管理暂行办法》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【计价格（2002）1980号】文及【发改办价格（2003）857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号】文件收取，由成交供应商在领取成交通知书前向代理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机构现金或转账支付共计 </w:t>
            </w:r>
            <w:r>
              <w:rPr>
                <w:rFonts w:hint="eastAsia" w:ascii="宋体" w:hAnsi="宋体" w:cs="宋体"/>
                <w:color w:val="000000"/>
                <w:kern w:val="0"/>
                <w:sz w:val="24"/>
                <w:szCs w:val="24"/>
                <w:u w:color="000000"/>
                <w:lang w:val="en-US" w:eastAsia="zh-CN" w:bidi="ar"/>
              </w:rPr>
              <w:t>9000</w:t>
            </w:r>
            <w:r>
              <w:rPr>
                <w:rFonts w:hint="eastAsia" w:ascii="宋体" w:hAnsi="宋体" w:eastAsia="宋体" w:cs="宋体"/>
                <w:color w:val="000000"/>
                <w:kern w:val="0"/>
                <w:sz w:val="24"/>
                <w:szCs w:val="24"/>
                <w:u w:color="000000"/>
                <w:lang w:val="en-US" w:eastAsia="zh-CN" w:bidi="ar"/>
              </w:rPr>
              <w:t>元</w:t>
            </w:r>
          </w:p>
          <w:p>
            <w:pPr>
              <w:autoSpaceDE w:val="0"/>
              <w:autoSpaceDN w:val="0"/>
              <w:adjustRightInd w:val="0"/>
              <w:snapToGrid w:val="0"/>
              <w:spacing w:before="156" w:beforeLines="50" w:line="240" w:lineRule="auto"/>
              <w:rPr>
                <w:rFonts w:ascii="宋体" w:cs="楷体_GB2312"/>
                <w:color w:val="auto"/>
                <w:sz w:val="24"/>
                <w:highlight w:val="none"/>
                <w:lang w:val="zh-CN"/>
              </w:rPr>
            </w:pPr>
          </w:p>
        </w:tc>
      </w:tr>
      <w:tr>
        <w:tblPrEx>
          <w:tblCellMar>
            <w:top w:w="0" w:type="dxa"/>
            <w:left w:w="108" w:type="dxa"/>
            <w:bottom w:w="0" w:type="dxa"/>
            <w:right w:w="108" w:type="dxa"/>
          </w:tblCellMar>
        </w:tblPrEx>
        <w:trPr>
          <w:trHeight w:val="1618"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19</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rFonts w:ascii="宋体" w:cs="楷体_GB2312"/>
                <w:b/>
                <w:bCs/>
                <w:color w:val="auto"/>
                <w:sz w:val="24"/>
                <w:highlight w:val="none"/>
                <w:lang w:val="zh-CN"/>
              </w:rPr>
            </w:pPr>
            <w:r>
              <w:rPr>
                <w:rFonts w:hint="eastAsia" w:ascii="宋体" w:hAnsi="宋体" w:eastAsia="宋体" w:cs="宋体"/>
                <w:b/>
                <w:bCs/>
                <w:color w:val="000000"/>
                <w:kern w:val="0"/>
                <w:sz w:val="24"/>
                <w:szCs w:val="24"/>
                <w:u w:color="000000"/>
                <w:lang w:val="en-US" w:eastAsia="zh-CN" w:bidi="ar"/>
              </w:rPr>
              <w:t>磋商小组的构成</w:t>
            </w: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磋商小组构成：由采购人代表1人及技术、经济专家2人共3 人组成。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评标专家确定方式：由采购单位在监督部门监督下从相关部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门组建的专家库中随机抽取。</w:t>
            </w:r>
          </w:p>
          <w:p>
            <w:pPr>
              <w:autoSpaceDE w:val="0"/>
              <w:autoSpaceDN w:val="0"/>
              <w:adjustRightInd w:val="0"/>
              <w:snapToGrid w:val="0"/>
              <w:spacing w:before="156" w:beforeLines="50" w:line="240" w:lineRule="auto"/>
              <w:rPr>
                <w:rFonts w:ascii="宋体" w:hAnsi="宋体" w:cs="楷体_GB2312"/>
                <w:color w:val="auto"/>
                <w:sz w:val="24"/>
                <w:highlight w:val="none"/>
                <w:lang w:val="zh-CN"/>
              </w:rPr>
            </w:pPr>
          </w:p>
        </w:tc>
      </w:tr>
      <w:tr>
        <w:tblPrEx>
          <w:tblCellMar>
            <w:top w:w="0" w:type="dxa"/>
            <w:left w:w="108" w:type="dxa"/>
            <w:bottom w:w="0" w:type="dxa"/>
            <w:right w:w="108" w:type="dxa"/>
          </w:tblCellMar>
        </w:tblPrEx>
        <w:trPr>
          <w:trHeight w:val="886"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left="-134" w:leftChars="-64" w:right="-88" w:rightChars="-42"/>
              <w:jc w:val="center"/>
              <w:rPr>
                <w:rFonts w:hint="default" w:ascii="宋体" w:hAns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20</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 xml:space="preserve">是否授权磋商 </w:t>
            </w:r>
          </w:p>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小组确定成交人</w:t>
            </w:r>
          </w:p>
          <w:p>
            <w:pPr>
              <w:autoSpaceDE w:val="0"/>
              <w:autoSpaceDN w:val="0"/>
              <w:adjustRightInd w:val="0"/>
              <w:snapToGrid w:val="0"/>
              <w:spacing w:line="240" w:lineRule="auto"/>
              <w:ind w:left="-126" w:leftChars="-60" w:right="-36" w:rightChars="-17"/>
              <w:jc w:val="center"/>
              <w:rPr>
                <w:rFonts w:ascii="宋体" w:cs="楷体_GB2312"/>
                <w:b/>
                <w:bCs/>
                <w:color w:val="auto"/>
                <w:szCs w:val="21"/>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rPr>
                <w:rFonts w:ascii="宋体" w:cs="楷体_GB2312"/>
                <w:color w:val="auto"/>
                <w:sz w:val="24"/>
                <w:highlight w:val="none"/>
                <w:lang w:val="zh-CN"/>
              </w:rPr>
            </w:pPr>
            <w:r>
              <w:rPr>
                <w:rFonts w:hint="eastAsia" w:ascii="宋体" w:hAnsi="宋体" w:eastAsia="宋体" w:cs="宋体"/>
                <w:color w:val="000000"/>
                <w:kern w:val="0"/>
                <w:sz w:val="24"/>
                <w:szCs w:val="24"/>
                <w:u w:color="000000"/>
                <w:lang w:val="en-US" w:eastAsia="zh-CN" w:bidi="ar"/>
              </w:rPr>
              <w:t xml:space="preserve">否，由磋商小组推荐3名成交候选人。 </w:t>
            </w:r>
          </w:p>
        </w:tc>
      </w:tr>
      <w:tr>
        <w:tblPrEx>
          <w:tblCellMar>
            <w:top w:w="0" w:type="dxa"/>
            <w:left w:w="108" w:type="dxa"/>
            <w:bottom w:w="0" w:type="dxa"/>
            <w:right w:w="108" w:type="dxa"/>
          </w:tblCellMar>
        </w:tblPrEx>
        <w:trPr>
          <w:trHeight w:val="923"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21</w:t>
            </w:r>
          </w:p>
        </w:tc>
        <w:tc>
          <w:tcPr>
            <w:tcW w:w="1972" w:type="dxa"/>
            <w:tcBorders>
              <w:top w:val="single" w:color="auto" w:sz="6" w:space="0"/>
              <w:left w:val="single" w:color="auto" w:sz="4" w:space="0"/>
              <w:bottom w:val="single" w:color="auto" w:sz="4" w:space="0"/>
              <w:right w:val="single" w:color="auto" w:sz="6" w:space="0"/>
            </w:tcBorders>
            <w:vAlign w:val="center"/>
          </w:tcPr>
          <w:p>
            <w:pPr>
              <w:keepNext w:val="0"/>
              <w:keepLines w:val="0"/>
              <w:widowControl/>
              <w:suppressLineNumbers w:val="0"/>
              <w:ind w:firstLine="241" w:firstLineChars="100"/>
              <w:jc w:val="left"/>
              <w:rPr>
                <w:rFonts w:ascii="宋体" w:cs="楷体_GB2312"/>
                <w:b/>
                <w:bCs/>
                <w:color w:val="auto"/>
                <w:sz w:val="24"/>
                <w:highlight w:val="none"/>
                <w:lang w:val="zh-CN"/>
              </w:rPr>
            </w:pPr>
            <w:r>
              <w:rPr>
                <w:rFonts w:hint="eastAsia" w:ascii="宋体" w:hAnsi="宋体" w:eastAsia="宋体" w:cs="宋体"/>
                <w:b/>
                <w:bCs/>
                <w:color w:val="000000"/>
                <w:kern w:val="0"/>
                <w:sz w:val="24"/>
                <w:szCs w:val="24"/>
                <w:u w:color="000000"/>
                <w:lang w:val="en-US" w:eastAsia="zh-CN" w:bidi="ar"/>
              </w:rPr>
              <w:t xml:space="preserve">成交通知书 </w:t>
            </w:r>
          </w:p>
        </w:tc>
        <w:tc>
          <w:tcPr>
            <w:tcW w:w="6481" w:type="dxa"/>
            <w:tcBorders>
              <w:top w:val="single" w:color="auto" w:sz="6" w:space="0"/>
              <w:left w:val="single" w:color="auto" w:sz="6" w:space="0"/>
              <w:bottom w:val="single" w:color="auto" w:sz="4"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本次竞争性磋商的成交结果将在成交供应商确定之日起1个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工作日内，在竞争性磋商公告所述媒介公告1个工作日。 </w:t>
            </w:r>
          </w:p>
          <w:p>
            <w:pPr>
              <w:autoSpaceDE w:val="0"/>
              <w:autoSpaceDN w:val="0"/>
              <w:adjustRightInd w:val="0"/>
              <w:snapToGrid w:val="0"/>
              <w:spacing w:before="156" w:beforeLines="50" w:line="240" w:lineRule="auto"/>
              <w:rPr>
                <w:rFonts w:ascii="宋体" w:cs="楷体_GB2312"/>
                <w:color w:val="auto"/>
                <w:sz w:val="24"/>
                <w:highlight w:val="none"/>
                <w:lang w:val="zh-CN"/>
              </w:rPr>
            </w:pPr>
          </w:p>
        </w:tc>
      </w:tr>
      <w:tr>
        <w:tblPrEx>
          <w:tblCellMar>
            <w:top w:w="0" w:type="dxa"/>
            <w:left w:w="108" w:type="dxa"/>
            <w:bottom w:w="0" w:type="dxa"/>
            <w:right w:w="108" w:type="dxa"/>
          </w:tblCellMar>
        </w:tblPrEx>
        <w:trPr>
          <w:trHeight w:val="713"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22</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本项目采用磋商办法</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rPr>
                <w:rFonts w:ascii="宋体" w:cs="楷体_GB2312"/>
                <w:color w:val="auto"/>
                <w:sz w:val="24"/>
                <w:highlight w:val="none"/>
                <w:lang w:val="zh-CN"/>
              </w:rPr>
            </w:pPr>
            <w:r>
              <w:rPr>
                <w:rFonts w:hint="eastAsia" w:ascii="宋体" w:hAnsi="宋体" w:eastAsia="宋体" w:cs="宋体"/>
                <w:color w:val="000000"/>
                <w:kern w:val="0"/>
                <w:sz w:val="24"/>
                <w:szCs w:val="24"/>
                <w:u w:color="000000"/>
                <w:lang w:val="en-US" w:eastAsia="zh-CN" w:bidi="ar"/>
              </w:rPr>
              <w:t xml:space="preserve">综合评分法 </w:t>
            </w:r>
          </w:p>
        </w:tc>
      </w:tr>
      <w:tr>
        <w:tblPrEx>
          <w:tblCellMar>
            <w:top w:w="0" w:type="dxa"/>
            <w:left w:w="108" w:type="dxa"/>
            <w:bottom w:w="0" w:type="dxa"/>
            <w:right w:w="108" w:type="dxa"/>
          </w:tblCellMar>
        </w:tblPrEx>
        <w:trPr>
          <w:trHeight w:val="515"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23</w:t>
            </w:r>
          </w:p>
        </w:tc>
        <w:tc>
          <w:tcPr>
            <w:tcW w:w="1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cs="楷体_GB2312"/>
                <w:b/>
                <w:bCs/>
                <w:color w:val="auto"/>
                <w:sz w:val="24"/>
                <w:highlight w:val="none"/>
                <w:lang w:val="zh-CN"/>
              </w:rPr>
            </w:pPr>
            <w:r>
              <w:rPr>
                <w:rFonts w:hint="eastAsia" w:ascii="宋体" w:hAnsi="宋体" w:eastAsia="宋体" w:cs="宋体"/>
                <w:b/>
                <w:bCs/>
                <w:color w:val="000000"/>
                <w:kern w:val="0"/>
                <w:sz w:val="24"/>
                <w:szCs w:val="24"/>
                <w:u w:color="000000"/>
                <w:lang w:val="en-US" w:eastAsia="zh-CN" w:bidi="ar"/>
              </w:rPr>
              <w:t>履约保证金</w:t>
            </w:r>
          </w:p>
        </w:tc>
        <w:tc>
          <w:tcPr>
            <w:tcW w:w="6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rPr>
                <w:color w:val="auto"/>
                <w:sz w:val="24"/>
                <w:szCs w:val="24"/>
                <w:highlight w:val="none"/>
              </w:rPr>
            </w:pPr>
            <w:r>
              <w:rPr>
                <w:rFonts w:hint="eastAsia" w:ascii="宋体" w:hAnsi="宋体" w:eastAsia="宋体" w:cs="宋体"/>
                <w:color w:val="000000"/>
                <w:kern w:val="0"/>
                <w:sz w:val="24"/>
                <w:szCs w:val="24"/>
                <w:u w:color="000000"/>
                <w:lang w:val="en-US" w:eastAsia="zh-CN" w:bidi="ar"/>
              </w:rPr>
              <w:t xml:space="preserve">不再收取 </w:t>
            </w:r>
          </w:p>
        </w:tc>
      </w:tr>
      <w:tr>
        <w:tblPrEx>
          <w:tblCellMar>
            <w:top w:w="0" w:type="dxa"/>
            <w:left w:w="108" w:type="dxa"/>
            <w:bottom w:w="0" w:type="dxa"/>
            <w:right w:w="108" w:type="dxa"/>
          </w:tblCellMar>
        </w:tblPrEx>
        <w:trPr>
          <w:trHeight w:val="1313"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24</w:t>
            </w:r>
          </w:p>
        </w:tc>
        <w:tc>
          <w:tcPr>
            <w:tcW w:w="1972" w:type="dxa"/>
            <w:tcBorders>
              <w:top w:val="single" w:color="auto" w:sz="4"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 xml:space="preserve">招标控制价 </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4"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本项目招标控制价为：600000元；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招标控制价为本项目最高限价，若供应商报价超过招标控制 </w:t>
            </w:r>
          </w:p>
          <w:p>
            <w:pPr>
              <w:keepNext w:val="0"/>
              <w:keepLines w:val="0"/>
              <w:widowControl/>
              <w:suppressLineNumbers w:val="0"/>
              <w:jc w:val="left"/>
              <w:rPr>
                <w:b/>
                <w:color w:val="auto"/>
                <w:sz w:val="24"/>
                <w:szCs w:val="24"/>
                <w:highlight w:val="none"/>
              </w:rPr>
            </w:pPr>
            <w:r>
              <w:rPr>
                <w:rFonts w:hint="eastAsia" w:ascii="宋体" w:hAnsi="宋体" w:eastAsia="宋体" w:cs="宋体"/>
                <w:color w:val="000000"/>
                <w:kern w:val="0"/>
                <w:sz w:val="24"/>
                <w:szCs w:val="24"/>
                <w:u w:color="000000"/>
                <w:lang w:val="en-US" w:eastAsia="zh-CN" w:bidi="ar"/>
              </w:rPr>
              <w:t xml:space="preserve">价的按废标处理。 </w:t>
            </w:r>
          </w:p>
        </w:tc>
      </w:tr>
      <w:tr>
        <w:tblPrEx>
          <w:tblCellMar>
            <w:top w:w="0" w:type="dxa"/>
            <w:left w:w="108" w:type="dxa"/>
            <w:bottom w:w="0" w:type="dxa"/>
            <w:right w:w="108" w:type="dxa"/>
          </w:tblCellMar>
        </w:tblPrEx>
        <w:trPr>
          <w:trHeight w:val="3325"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left="-134" w:leftChars="-64" w:right="-88" w:rightChars="-42"/>
              <w:jc w:val="center"/>
              <w:rPr>
                <w:rFonts w:hint="default" w:ascii="宋体" w:eastAsia="宋体" w:cs="楷体_GB2312"/>
                <w:b/>
                <w:bCs/>
                <w:color w:val="auto"/>
                <w:szCs w:val="21"/>
                <w:highlight w:val="none"/>
                <w:lang w:val="en-US" w:eastAsia="zh-CN"/>
              </w:rPr>
            </w:pPr>
            <w:r>
              <w:rPr>
                <w:rFonts w:hint="eastAsia" w:ascii="宋体" w:cs="楷体_GB2312"/>
                <w:b/>
                <w:bCs/>
                <w:color w:val="auto"/>
                <w:szCs w:val="21"/>
                <w:highlight w:val="none"/>
                <w:lang w:val="en-US" w:eastAsia="zh-CN"/>
              </w:rPr>
              <w:t>25</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rFonts w:hint="eastAsia" w:ascii="宋体" w:hAnsi="宋体" w:eastAsia="宋体" w:cs="宋体"/>
                <w:b/>
                <w:bCs/>
                <w:color w:val="000000"/>
                <w:kern w:val="0"/>
                <w:sz w:val="24"/>
                <w:szCs w:val="24"/>
                <w:u w:color="000000"/>
                <w:lang w:val="en-US" w:eastAsia="zh-CN" w:bidi="ar"/>
              </w:rPr>
            </w:pPr>
          </w:p>
          <w:p>
            <w:pPr>
              <w:keepNext w:val="0"/>
              <w:keepLines w:val="0"/>
              <w:widowControl/>
              <w:suppressLineNumbers w:val="0"/>
              <w:ind w:firstLine="241" w:firstLineChars="100"/>
              <w:jc w:val="left"/>
              <w:rPr>
                <w:b/>
                <w:bCs/>
              </w:rPr>
            </w:pPr>
            <w:r>
              <w:rPr>
                <w:rFonts w:hint="eastAsia" w:ascii="宋体" w:hAnsi="宋体" w:eastAsia="宋体" w:cs="宋体"/>
                <w:b/>
                <w:bCs/>
                <w:color w:val="000000"/>
                <w:kern w:val="0"/>
                <w:sz w:val="24"/>
                <w:szCs w:val="24"/>
                <w:u w:color="000000"/>
                <w:lang w:val="en-US" w:eastAsia="zh-CN" w:bidi="ar"/>
              </w:rPr>
              <w:t>付款方式</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为优化政府采购营商环境，根据汤财【2022】43号文件落实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政府采购预付款的规定，采购人可在政府采购合同履约前向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成交供应商预付50%的合同资金，成交供应商应向采购人提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交预付款保函，未提供保函的，视同其放弃项目预付款的支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付。成交供应商持采购人及专家等出具的《政府采购验收报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告》、中标人填写的《政府采购资金支付申请书》和发票等，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经采购人与中标人签字盖章后，作为付款依据，报相关部门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确认后由采购人一次无息付清剩余项目款。具体付款内容， </w:t>
            </w:r>
          </w:p>
          <w:p>
            <w:pPr>
              <w:keepNext w:val="0"/>
              <w:keepLines w:val="0"/>
              <w:widowControl/>
              <w:suppressLineNumbers w:val="0"/>
              <w:jc w:val="left"/>
            </w:pPr>
            <w:r>
              <w:rPr>
                <w:rFonts w:hint="eastAsia" w:ascii="宋体" w:hAnsi="宋体" w:eastAsia="宋体" w:cs="宋体"/>
                <w:color w:val="000000"/>
                <w:kern w:val="0"/>
                <w:sz w:val="24"/>
                <w:szCs w:val="24"/>
                <w:u w:color="000000"/>
                <w:lang w:val="en-US" w:eastAsia="zh-CN" w:bidi="ar"/>
              </w:rPr>
              <w:t xml:space="preserve">以双方签订合同为准。 </w:t>
            </w:r>
          </w:p>
          <w:p>
            <w:pPr>
              <w:autoSpaceDE w:val="0"/>
              <w:autoSpaceDN w:val="0"/>
              <w:adjustRightInd w:val="0"/>
              <w:snapToGrid w:val="0"/>
              <w:spacing w:before="156" w:beforeLines="50" w:line="240" w:lineRule="auto"/>
              <w:rPr>
                <w:rFonts w:ascii="宋体" w:cs="楷体_GB2312"/>
                <w:color w:val="auto"/>
                <w:sz w:val="24"/>
                <w:highlight w:val="none"/>
                <w:lang w:val="zh-CN"/>
              </w:rPr>
            </w:pPr>
          </w:p>
        </w:tc>
      </w:tr>
      <w:tr>
        <w:tblPrEx>
          <w:tblCellMar>
            <w:top w:w="0" w:type="dxa"/>
            <w:left w:w="108" w:type="dxa"/>
            <w:bottom w:w="0" w:type="dxa"/>
            <w:right w:w="108" w:type="dxa"/>
          </w:tblCellMar>
        </w:tblPrEx>
        <w:trPr>
          <w:trHeight w:val="664"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left="-134" w:leftChars="-64" w:right="-88" w:rightChars="-42"/>
              <w:jc w:val="center"/>
              <w:rPr>
                <w:rFonts w:hint="default" w:ascii="宋体" w:eastAsia="宋体" w:cs="楷体_GB2312"/>
                <w:b/>
                <w:bCs/>
                <w:color w:val="auto"/>
                <w:szCs w:val="21"/>
                <w:highlight w:val="none"/>
                <w:lang w:val="en-US" w:eastAsia="zh-CN"/>
              </w:rPr>
            </w:pPr>
            <w:r>
              <w:rPr>
                <w:rFonts w:hint="eastAsia" w:ascii="宋体" w:cs="楷体_GB2312"/>
                <w:b/>
                <w:bCs/>
                <w:color w:val="auto"/>
                <w:szCs w:val="21"/>
                <w:highlight w:val="none"/>
                <w:lang w:val="en-US" w:eastAsia="zh-CN"/>
              </w:rPr>
              <w:t>26</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最终解释权</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rPr>
                <w:rFonts w:ascii="宋体" w:cs="楷体_GB2312"/>
                <w:color w:val="auto"/>
                <w:sz w:val="24"/>
                <w:highlight w:val="none"/>
                <w:lang w:val="zh-CN"/>
              </w:rPr>
            </w:pPr>
            <w:r>
              <w:rPr>
                <w:rFonts w:hint="eastAsia" w:ascii="宋体" w:hAnsi="宋体" w:eastAsia="宋体" w:cs="宋体"/>
                <w:color w:val="000000"/>
                <w:kern w:val="0"/>
                <w:sz w:val="24"/>
                <w:szCs w:val="24"/>
                <w:u w:color="000000"/>
                <w:lang w:val="en-US" w:eastAsia="zh-CN" w:bidi="ar"/>
              </w:rPr>
              <w:t>本项目竞争性磋商文件最终解释权归采购人所有。</w:t>
            </w:r>
          </w:p>
        </w:tc>
      </w:tr>
      <w:tr>
        <w:tblPrEx>
          <w:tblCellMar>
            <w:top w:w="0" w:type="dxa"/>
            <w:left w:w="108" w:type="dxa"/>
            <w:bottom w:w="0" w:type="dxa"/>
            <w:right w:w="108" w:type="dxa"/>
          </w:tblCellMar>
        </w:tblPrEx>
        <w:trPr>
          <w:trHeight w:val="619" w:hRule="exact"/>
          <w:jc w:val="center"/>
        </w:trPr>
        <w:tc>
          <w:tcPr>
            <w:tcW w:w="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left="-134" w:leftChars="-64" w:right="-88" w:rightChars="-42"/>
              <w:jc w:val="center"/>
              <w:rPr>
                <w:rFonts w:hint="default" w:ascii="宋体" w:eastAsia="宋体" w:cs="楷体_GB2312"/>
                <w:b/>
                <w:bCs/>
                <w:color w:val="auto"/>
                <w:szCs w:val="21"/>
                <w:highlight w:val="none"/>
                <w:lang w:val="en-US" w:eastAsia="zh-CN"/>
              </w:rPr>
            </w:pPr>
            <w:r>
              <w:rPr>
                <w:rFonts w:hint="eastAsia" w:ascii="宋体" w:hAnsi="宋体" w:cs="楷体_GB2312"/>
                <w:b/>
                <w:bCs/>
                <w:color w:val="auto"/>
                <w:szCs w:val="21"/>
                <w:highlight w:val="none"/>
                <w:lang w:val="en-US" w:eastAsia="zh-CN"/>
              </w:rPr>
              <w:t>27</w:t>
            </w:r>
          </w:p>
        </w:tc>
        <w:tc>
          <w:tcPr>
            <w:tcW w:w="1972" w:type="dxa"/>
            <w:tcBorders>
              <w:top w:val="single" w:color="auto" w:sz="6" w:space="0"/>
              <w:left w:val="single" w:color="auto" w:sz="4" w:space="0"/>
              <w:bottom w:val="single" w:color="auto" w:sz="6" w:space="0"/>
              <w:right w:val="single" w:color="auto" w:sz="6" w:space="0"/>
            </w:tcBorders>
            <w:vAlign w:val="center"/>
          </w:tcPr>
          <w:p>
            <w:pPr>
              <w:keepNext w:val="0"/>
              <w:keepLines w:val="0"/>
              <w:widowControl/>
              <w:suppressLineNumbers w:val="0"/>
              <w:jc w:val="left"/>
              <w:rPr>
                <w:b/>
                <w:bCs/>
              </w:rPr>
            </w:pPr>
            <w:r>
              <w:rPr>
                <w:rFonts w:hint="eastAsia" w:ascii="宋体" w:hAnsi="宋体" w:eastAsia="宋体" w:cs="宋体"/>
                <w:b/>
                <w:bCs/>
                <w:color w:val="000000"/>
                <w:kern w:val="0"/>
                <w:sz w:val="24"/>
                <w:szCs w:val="24"/>
                <w:u w:color="000000"/>
                <w:lang w:val="en-US" w:eastAsia="zh-CN" w:bidi="ar"/>
              </w:rPr>
              <w:t>未尽事宜</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481" w:type="dxa"/>
            <w:tcBorders>
              <w:top w:val="single" w:color="auto" w:sz="6" w:space="0"/>
              <w:left w:val="single" w:color="auto" w:sz="6" w:space="0"/>
              <w:bottom w:val="single" w:color="auto" w:sz="6" w:space="0"/>
              <w:right w:val="single" w:color="auto" w:sz="12" w:space="0"/>
            </w:tcBorders>
            <w:vAlign w:val="center"/>
          </w:tcPr>
          <w:p>
            <w:pPr>
              <w:keepNext w:val="0"/>
              <w:keepLines w:val="0"/>
              <w:widowControl/>
              <w:suppressLineNumbers w:val="0"/>
              <w:jc w:val="left"/>
              <w:rPr>
                <w:rFonts w:ascii="宋体" w:cs="楷体_GB2312"/>
                <w:color w:val="auto"/>
                <w:sz w:val="24"/>
                <w:highlight w:val="none"/>
                <w:lang w:val="zh-CN"/>
              </w:rPr>
            </w:pPr>
            <w:r>
              <w:rPr>
                <w:rFonts w:hint="eastAsia" w:ascii="宋体" w:hAnsi="宋体" w:eastAsia="宋体" w:cs="宋体"/>
                <w:color w:val="000000"/>
                <w:kern w:val="0"/>
                <w:sz w:val="24"/>
                <w:szCs w:val="24"/>
                <w:u w:color="000000"/>
                <w:lang w:val="en-US" w:eastAsia="zh-CN" w:bidi="ar"/>
              </w:rPr>
              <w:t>其他未尽事宜按相关法律法规执行。</w:t>
            </w:r>
          </w:p>
        </w:tc>
      </w:tr>
    </w:tbl>
    <w:p>
      <w:pPr>
        <w:autoSpaceDE w:val="0"/>
        <w:autoSpaceDN w:val="0"/>
        <w:adjustRightInd w:val="0"/>
        <w:spacing w:line="360" w:lineRule="auto"/>
        <w:ind w:firstLine="539"/>
        <w:rPr>
          <w:color w:val="auto"/>
          <w:highlight w:val="none"/>
        </w:rPr>
      </w:pPr>
      <w:r>
        <w:rPr>
          <w:color w:val="auto"/>
          <w:highlight w:val="none"/>
        </w:rPr>
        <w:br w:type="page"/>
      </w:r>
    </w:p>
    <w:p>
      <w:pPr>
        <w:autoSpaceDE w:val="0"/>
        <w:autoSpaceDN w:val="0"/>
        <w:adjustRightInd w:val="0"/>
        <w:snapToGrid w:val="0"/>
        <w:spacing w:before="156" w:beforeLines="50" w:line="300" w:lineRule="auto"/>
        <w:ind w:firstLine="539"/>
        <w:outlineLvl w:val="1"/>
        <w:rPr>
          <w:rFonts w:ascii="黑体" w:hAnsi="黑体" w:eastAsia="黑体"/>
          <w:color w:val="auto"/>
          <w:sz w:val="28"/>
          <w:szCs w:val="28"/>
          <w:highlight w:val="none"/>
          <w:lang w:val="zh-CN"/>
        </w:rPr>
      </w:pPr>
      <w:bookmarkStart w:id="8" w:name="_Toc105581281"/>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总则</w:t>
      </w:r>
      <w:bookmarkEnd w:id="8"/>
    </w:p>
    <w:p>
      <w:pPr>
        <w:autoSpaceDE w:val="0"/>
        <w:autoSpaceDN w:val="0"/>
        <w:adjustRightInd w:val="0"/>
        <w:snapToGrid w:val="0"/>
        <w:spacing w:before="156" w:beforeLines="50" w:line="300" w:lineRule="auto"/>
        <w:ind w:firstLine="539"/>
        <w:rPr>
          <w:rFonts w:ascii="宋体"/>
          <w:color w:val="auto"/>
          <w:sz w:val="24"/>
          <w:szCs w:val="24"/>
          <w:highlight w:val="none"/>
        </w:rPr>
      </w:pPr>
      <w:r>
        <w:rPr>
          <w:rFonts w:ascii="黑体" w:hAnsi="黑体" w:eastAsia="黑体" w:cs="楷体_GB2312"/>
          <w:b/>
          <w:color w:val="auto"/>
          <w:sz w:val="24"/>
          <w:highlight w:val="none"/>
          <w:lang w:val="zh-CN"/>
        </w:rPr>
        <w:t xml:space="preserve">1.1 </w:t>
      </w:r>
      <w:r>
        <w:rPr>
          <w:rFonts w:hint="eastAsia" w:ascii="宋体" w:hAnsi="宋体"/>
          <w:color w:val="auto"/>
          <w:sz w:val="24"/>
          <w:szCs w:val="24"/>
          <w:highlight w:val="none"/>
        </w:rPr>
        <w:t>根据《中华人民共和国政府采购法》、《中华人民共和国政府采购法实施条例》、《政府采购非招标采购方式管理办法》及相关政府采购法律法规等制定本文件。</w:t>
      </w:r>
    </w:p>
    <w:p>
      <w:pPr>
        <w:adjustRightInd w:val="0"/>
        <w:snapToGrid w:val="0"/>
        <w:spacing w:before="156" w:beforeLines="50" w:line="300" w:lineRule="auto"/>
        <w:ind w:right="240" w:firstLine="482" w:firstLineChars="200"/>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1.2 </w:t>
      </w:r>
      <w:r>
        <w:rPr>
          <w:rFonts w:hint="eastAsia" w:ascii="黑体" w:hAnsi="黑体" w:eastAsia="黑体" w:cs="楷体_GB2312"/>
          <w:b/>
          <w:color w:val="auto"/>
          <w:sz w:val="24"/>
          <w:highlight w:val="none"/>
          <w:lang w:val="zh-CN"/>
        </w:rPr>
        <w:t>磋商文件的法律适用及法律效力</w:t>
      </w:r>
    </w:p>
    <w:p>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本</w:t>
      </w:r>
      <w:r>
        <w:rPr>
          <w:rFonts w:hint="eastAsia" w:ascii="宋体" w:hAnsi="宋体" w:cs="宋体"/>
          <w:color w:val="auto"/>
          <w:sz w:val="24"/>
          <w:szCs w:val="24"/>
          <w:highlight w:val="none"/>
          <w:lang w:eastAsia="zh-CN"/>
        </w:rPr>
        <w:t>磋商文件</w:t>
      </w:r>
      <w:r>
        <w:rPr>
          <w:rFonts w:hint="eastAsia" w:ascii="宋体" w:hAnsi="宋体"/>
          <w:color w:val="auto"/>
          <w:sz w:val="24"/>
          <w:szCs w:val="24"/>
          <w:highlight w:val="none"/>
        </w:rPr>
        <w:t>所述内容，仅适用于本次项目采购。</w:t>
      </w:r>
    </w:p>
    <w:p>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 xml:space="preserve">1.2.2 </w:t>
      </w:r>
      <w:r>
        <w:rPr>
          <w:rFonts w:hint="eastAsia" w:ascii="宋体" w:hAnsi="宋体" w:cs="宋体"/>
          <w:color w:val="auto"/>
          <w:sz w:val="24"/>
          <w:szCs w:val="24"/>
          <w:highlight w:val="none"/>
          <w:lang w:eastAsia="zh-CN"/>
        </w:rPr>
        <w:t>磋商文件</w:t>
      </w:r>
      <w:r>
        <w:rPr>
          <w:rFonts w:hint="eastAsia" w:ascii="宋体" w:hAnsi="宋体"/>
          <w:color w:val="auto"/>
          <w:sz w:val="24"/>
          <w:szCs w:val="24"/>
          <w:highlight w:val="none"/>
        </w:rPr>
        <w:t>的修改性文件、补充文件、澄清文件或说明具有同等法律效力。</w:t>
      </w:r>
    </w:p>
    <w:p>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 xml:space="preserve">1.2.3 </w:t>
      </w:r>
      <w:r>
        <w:rPr>
          <w:rFonts w:hint="eastAsia" w:ascii="宋体" w:hAnsi="宋体"/>
          <w:color w:val="auto"/>
          <w:sz w:val="24"/>
          <w:szCs w:val="24"/>
          <w:highlight w:val="none"/>
        </w:rPr>
        <w:t>本</w:t>
      </w:r>
      <w:r>
        <w:rPr>
          <w:rFonts w:hint="eastAsia" w:ascii="宋体" w:hAnsi="宋体" w:cs="宋体"/>
          <w:color w:val="auto"/>
          <w:sz w:val="24"/>
          <w:szCs w:val="24"/>
          <w:highlight w:val="none"/>
          <w:lang w:eastAsia="zh-CN"/>
        </w:rPr>
        <w:t>磋商文件</w:t>
      </w:r>
      <w:r>
        <w:rPr>
          <w:rFonts w:hint="eastAsia" w:ascii="宋体" w:hAnsi="宋体"/>
          <w:color w:val="auto"/>
          <w:sz w:val="24"/>
          <w:szCs w:val="24"/>
          <w:highlight w:val="none"/>
        </w:rPr>
        <w:t>适用于并执行《政府采购法》和其它相关的法律、法规。</w:t>
      </w:r>
    </w:p>
    <w:p>
      <w:pPr>
        <w:adjustRightInd w:val="0"/>
        <w:snapToGrid w:val="0"/>
        <w:spacing w:before="156" w:beforeLines="50" w:line="300" w:lineRule="auto"/>
        <w:ind w:right="240" w:firstLine="544" w:firstLineChars="227"/>
        <w:rPr>
          <w:rFonts w:ascii="宋体"/>
          <w:color w:val="auto"/>
          <w:sz w:val="24"/>
          <w:szCs w:val="24"/>
          <w:highlight w:val="none"/>
        </w:rPr>
      </w:pPr>
      <w:r>
        <w:rPr>
          <w:rFonts w:ascii="宋体" w:hAnsi="宋体"/>
          <w:color w:val="auto"/>
          <w:sz w:val="24"/>
          <w:szCs w:val="24"/>
          <w:highlight w:val="none"/>
        </w:rPr>
        <w:t xml:space="preserve">1.2.4 </w:t>
      </w:r>
      <w:r>
        <w:rPr>
          <w:rFonts w:hint="eastAsia" w:ascii="宋体" w:hAnsi="宋体"/>
          <w:color w:val="auto"/>
          <w:sz w:val="24"/>
          <w:szCs w:val="24"/>
          <w:highlight w:val="none"/>
        </w:rPr>
        <w:t>本</w:t>
      </w:r>
      <w:r>
        <w:rPr>
          <w:rFonts w:hint="eastAsia" w:ascii="宋体" w:hAnsi="宋体" w:cs="宋体"/>
          <w:color w:val="auto"/>
          <w:sz w:val="24"/>
          <w:szCs w:val="24"/>
          <w:highlight w:val="none"/>
          <w:lang w:eastAsia="zh-CN"/>
        </w:rPr>
        <w:t>磋商文件</w:t>
      </w:r>
      <w:r>
        <w:rPr>
          <w:rFonts w:hint="eastAsia" w:ascii="宋体" w:hAnsi="宋体"/>
          <w:color w:val="auto"/>
          <w:sz w:val="24"/>
          <w:szCs w:val="24"/>
          <w:highlight w:val="none"/>
        </w:rPr>
        <w:t>的解释权属采购人及代理机构。</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1.3 </w:t>
      </w:r>
      <w:r>
        <w:rPr>
          <w:rFonts w:hint="eastAsia" w:ascii="黑体" w:hAnsi="黑体" w:eastAsia="黑体" w:cs="楷体_GB2312"/>
          <w:b/>
          <w:color w:val="auto"/>
          <w:sz w:val="24"/>
          <w:highlight w:val="none"/>
          <w:lang w:val="zh-CN"/>
        </w:rPr>
        <w:t>合格的投标人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1.3.1 </w:t>
      </w:r>
      <w:r>
        <w:rPr>
          <w:rFonts w:hint="eastAsia" w:ascii="宋体" w:hAnsi="宋体" w:cs="楷体_GB2312"/>
          <w:color w:val="auto"/>
          <w:sz w:val="24"/>
          <w:highlight w:val="none"/>
          <w:lang w:val="zh-CN"/>
        </w:rPr>
        <w:t>凡符合磋商文件规定，承认本磋商文件所有内容的投标人为合格的投标人。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1.3.2 </w:t>
      </w:r>
      <w:r>
        <w:rPr>
          <w:rFonts w:hint="eastAsia" w:ascii="宋体" w:hAnsi="宋体" w:cs="楷体_GB2312"/>
          <w:color w:val="auto"/>
          <w:sz w:val="24"/>
          <w:highlight w:val="none"/>
          <w:lang w:val="zh-CN"/>
        </w:rPr>
        <w:t>单位负责人为同一人或者存在直接控股、管理关系的不同供应商，不得参加同一合同项下的政府采购活动。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1.3.3 </w:t>
      </w:r>
      <w:r>
        <w:rPr>
          <w:rFonts w:hint="eastAsia" w:ascii="宋体" w:hAnsi="宋体" w:cs="楷体_GB2312"/>
          <w:color w:val="auto"/>
          <w:sz w:val="24"/>
          <w:highlight w:val="none"/>
          <w:lang w:val="zh-CN"/>
        </w:rPr>
        <w:t>为采购项目提供整体设计、规范编制或者项目管理、监理、检测等服务的供应商，不得再参加该采购项目的其他采购活动。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1.3.4 </w:t>
      </w:r>
      <w:r>
        <w:rPr>
          <w:rFonts w:hint="eastAsia" w:ascii="宋体" w:hAnsi="宋体" w:cs="楷体_GB2312"/>
          <w:color w:val="auto"/>
          <w:sz w:val="24"/>
          <w:highlight w:val="none"/>
          <w:lang w:val="zh-CN"/>
        </w:rPr>
        <w:t>投标人应遵守国家法律、法规和磋商文件的规定。</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1.4</w:t>
      </w:r>
      <w:r>
        <w:rPr>
          <w:rFonts w:hint="eastAsia" w:ascii="黑体" w:hAnsi="黑体" w:eastAsia="黑体" w:cs="楷体_GB2312"/>
          <w:b/>
          <w:color w:val="auto"/>
          <w:sz w:val="24"/>
          <w:highlight w:val="none"/>
          <w:lang w:val="zh-CN"/>
        </w:rPr>
        <w:t>　联合体</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如投标人须知前附表规定接受联合体投标的，应遵守以下规定：</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1</w:t>
      </w:r>
      <w:r>
        <w:rPr>
          <w:rFonts w:hint="eastAsia" w:ascii="宋体" w:cs="楷体_GB2312"/>
          <w:color w:val="auto"/>
          <w:sz w:val="24"/>
          <w:highlight w:val="none"/>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以联合体形式参加投标的，应符投标人须知前附表的要求，联合体各方均应当符合政府采购法第二十二条第一款规定的条件，联合体各方均应当具备承担采购项目（标段&lt;包&gt;）的相应能力、具备规定的相应资格条件。</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）联合体中有同类资质的供应商按照联合体分工承担相同工作的，应当按照资质等级较低的供应商确定资质等级。</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）联合体各方签订联合投标协议后，不得再以自己名义单独在同一项目中投标，也不得组成新的联合体参加同一项目投标。</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）联合体中标（成交）的，联合体各方应当共同与采购人签订合同，就中标（成交）项目（标段&lt;包&gt;）向采购人承担连带责任。</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1.5  知识产权</w:t>
      </w:r>
    </w:p>
    <w:p>
      <w:pPr>
        <w:ind w:firstLine="480" w:firstLineChars="200"/>
        <w:rPr>
          <w:rFonts w:ascii="宋体" w:hAnsi="宋体"/>
          <w:color w:val="auto"/>
          <w:sz w:val="24"/>
          <w:highlight w:val="none"/>
        </w:rPr>
      </w:pPr>
      <w:r>
        <w:rPr>
          <w:rFonts w:hint="eastAsia" w:ascii="宋体" w:hAnsi="宋体" w:cs="楷体_GB2312"/>
          <w:color w:val="auto"/>
          <w:sz w:val="24"/>
          <w:highlight w:val="none"/>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highlight w:val="none"/>
        </w:rPr>
        <w:t>如因专利权、商标权或其它知识产权而引起法律和经济纠纷，由供应商承担所有相关责任。</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如供应商不拥有相应的知识产权，则在投标报价中必须包括合法获取该知识产权的一切相关费用。如因此导致采购人损失的，供应商须承担全部赔偿责任。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除非</w:t>
      </w:r>
      <w:r>
        <w:rPr>
          <w:rFonts w:hint="eastAsia" w:ascii="宋体" w:hAnsi="宋体"/>
          <w:color w:val="auto"/>
          <w:sz w:val="24"/>
          <w:highlight w:val="none"/>
          <w:lang w:eastAsia="zh-CN"/>
        </w:rPr>
        <w:t>磋商文件</w:t>
      </w:r>
      <w:r>
        <w:rPr>
          <w:rFonts w:hint="eastAsia" w:ascii="宋体" w:hAnsi="宋体"/>
          <w:color w:val="auto"/>
          <w:sz w:val="24"/>
          <w:highlight w:val="none"/>
        </w:rPr>
        <w:t>特别规定，采购人享有本项目实施过程中产生的知识成果及知识产权。</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6</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投标费用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无论投标过程中的做法和结果如何，无论何种原因的谈判失败废标或终止，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7</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保密</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参与竞争性磋商活动的各方应对磋商文件和投标文件中的商业和技术等秘密保密，投标人应在投标文件中对需保密事项予以书面声明，否则视为非保密事项。</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依据政府采购成交结果及合同公告规定，成交（合同）标的名称、规格型号、单价及成交（合同）金额等内容不得作为商业秘密。</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8</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语言文字</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专用术语外，与竞争性磋商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9</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计量单位</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所有计量均采用中华人民共和国法定计量单位。</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10</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踏勘现场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投标人踏勘现场发生的费用自理，投标人自行负责在踏勘现场中所发生的人员伤亡和财产损失。</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投标人须知前附表规定不组织踏勘现场的，磋商文件不单独提供交验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1</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投标预备会</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投标人须知前附表规定召开投标预备会的，采购人及代理机构按投标人须知前附表规定的时间和地点召开投标预备会，澄清投标人提出的问题。</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投标人应在投标人须知前附表规定的时间前，以书面形式将提出的问题送达采购人及代理机构，以便采购人及代理机构在会议期间澄清。</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投标预备会后，采购人及代理机构在投标人须知前附表规定的时间内，将对投标人所提问题的澄清，以本章</w:t>
      </w:r>
      <w:r>
        <w:rPr>
          <w:rFonts w:ascii="宋体" w:hAnsi="宋体" w:cs="楷体_GB2312"/>
          <w:color w:val="auto"/>
          <w:sz w:val="24"/>
          <w:highlight w:val="none"/>
          <w:lang w:val="zh-CN"/>
        </w:rPr>
        <w:t>2.3.2</w:t>
      </w:r>
      <w:r>
        <w:rPr>
          <w:rFonts w:hint="eastAsia" w:ascii="宋体" w:hAnsi="宋体" w:cs="楷体_GB2312"/>
          <w:color w:val="auto"/>
          <w:sz w:val="24"/>
          <w:highlight w:val="none"/>
          <w:lang w:val="zh-CN"/>
        </w:rPr>
        <w:t>项方式通告潜在投标人。该澄清内容为磋商文件的组成部分。</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2 分包</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投标人拟在成交后将成交项目</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标段&lt;包&gt;</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的部分非主体、非关键性工作进行分包的，应符合投标人须知前附表规定的分包内容、分包金额和接受分包的第三人资质要求等限制性条件。</w:t>
      </w:r>
    </w:p>
    <w:p>
      <w:pPr>
        <w:autoSpaceDE w:val="0"/>
        <w:autoSpaceDN w:val="0"/>
        <w:adjustRightInd w:val="0"/>
        <w:snapToGrid w:val="0"/>
        <w:spacing w:before="156" w:beforeLines="50" w:line="300" w:lineRule="auto"/>
        <w:ind w:firstLine="539"/>
        <w:rPr>
          <w:rFonts w:ascii="宋体" w:hAnsi="宋体"/>
          <w:color w:val="auto"/>
          <w:sz w:val="24"/>
          <w:szCs w:val="24"/>
          <w:highlight w:val="none"/>
        </w:rPr>
      </w:pPr>
      <w:r>
        <w:rPr>
          <w:rFonts w:hint="eastAsia" w:ascii="宋体" w:hAnsi="宋体" w:cs="楷体_GB2312"/>
          <w:color w:val="auto"/>
          <w:sz w:val="24"/>
          <w:highlight w:val="none"/>
          <w:lang w:val="zh-CN"/>
        </w:rPr>
        <w:t>预留中小企业份额项目中，</w:t>
      </w:r>
      <w:r>
        <w:rPr>
          <w:rFonts w:hint="eastAsia" w:ascii="宋体" w:hAnsi="宋体"/>
          <w:color w:val="auto"/>
          <w:sz w:val="24"/>
          <w:szCs w:val="24"/>
          <w:highlight w:val="none"/>
        </w:rPr>
        <w:t>接受分包合同的中小企业与分包企业之间不得存在直接控股、管理关系</w:t>
      </w:r>
    </w:p>
    <w:p>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cs="楷体_GB2312"/>
          <w:color w:val="auto"/>
          <w:sz w:val="24"/>
          <w:highlight w:val="none"/>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3 偏离</w:t>
      </w: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highlight w:val="none"/>
          <w:lang w:val="zh-CN"/>
        </w:rPr>
      </w:pPr>
      <w:r>
        <w:rPr>
          <w:rFonts w:hint="eastAsia" w:ascii="宋体" w:hAnsi="宋体" w:cs="楷体_GB2312"/>
          <w:color w:val="auto"/>
          <w:sz w:val="24"/>
          <w:highlight w:val="none"/>
          <w:lang w:val="zh-CN"/>
        </w:rPr>
        <w:t>磋商文件允许投标文件偏离磋商文件某些要求的，偏离应当符合磋商文件规定的偏离范围和幅度</w:t>
      </w: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9" w:name="_Toc105581282"/>
      <w:r>
        <w:rPr>
          <w:rFonts w:ascii="黑体" w:hAnsi="黑体" w:eastAsia="黑体" w:cs="楷体_GB2312"/>
          <w:b/>
          <w:bCs/>
          <w:color w:val="auto"/>
          <w:sz w:val="28"/>
          <w:szCs w:val="28"/>
          <w:highlight w:val="none"/>
          <w:lang w:val="zh-CN"/>
        </w:rPr>
        <w:t xml:space="preserve">2. </w:t>
      </w:r>
      <w:bookmarkEnd w:id="9"/>
      <w:r>
        <w:rPr>
          <w:rFonts w:hint="eastAsia" w:ascii="黑体" w:hAnsi="黑体" w:eastAsia="黑体" w:cs="楷体_GB2312"/>
          <w:b/>
          <w:bCs/>
          <w:color w:val="auto"/>
          <w:sz w:val="28"/>
          <w:szCs w:val="28"/>
          <w:highlight w:val="none"/>
          <w:lang w:val="zh-CN"/>
        </w:rPr>
        <w:t>磋商文件</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2.1</w:t>
      </w:r>
      <w:r>
        <w:rPr>
          <w:rFonts w:hint="eastAsia" w:ascii="黑体" w:hAnsi="黑体" w:eastAsia="黑体" w:cs="楷体_GB2312"/>
          <w:b/>
          <w:color w:val="auto"/>
          <w:sz w:val="24"/>
          <w:highlight w:val="none"/>
          <w:lang w:val="zh-CN"/>
        </w:rPr>
        <w:t>磋商文件的组成</w:t>
      </w:r>
      <w:r>
        <w:rPr>
          <w:rFonts w:hint="eastAsia" w:ascii="宋体" w:hAnsi="宋体" w:cs="楷体_GB2312"/>
          <w:color w:val="auto"/>
          <w:sz w:val="24"/>
          <w:highlight w:val="none"/>
          <w:lang w:val="zh-CN"/>
        </w:rPr>
        <w:t>：</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2.1.1 </w:t>
      </w:r>
      <w:r>
        <w:rPr>
          <w:rFonts w:hint="eastAsia" w:ascii="宋体" w:hAnsi="宋体" w:cs="楷体_GB2312"/>
          <w:color w:val="auto"/>
          <w:sz w:val="24"/>
          <w:highlight w:val="none"/>
          <w:lang w:val="zh-CN"/>
        </w:rPr>
        <w:t>磋商文件用以阐明采购项目的内容、程序和合同主要条款。磋商文件由下述部分组成：</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）磋商公告</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）采购项目及技术、服务要求</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）投标人须知</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）评审办法</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）合同主要条款</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）投标文件格式</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2.1.2 </w:t>
      </w:r>
      <w:r>
        <w:rPr>
          <w:rFonts w:hint="eastAsia" w:ascii="宋体" w:hAnsi="宋体" w:cs="楷体_GB2312"/>
          <w:color w:val="auto"/>
          <w:sz w:val="24"/>
          <w:highlight w:val="none"/>
          <w:lang w:val="zh-CN"/>
        </w:rPr>
        <w:t>根据本章第</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1款、第</w:t>
      </w:r>
      <w:r>
        <w:rPr>
          <w:rFonts w:ascii="宋体" w:hAnsi="宋体" w:cs="楷体_GB2312"/>
          <w:color w:val="auto"/>
          <w:sz w:val="24"/>
          <w:highlight w:val="none"/>
          <w:lang w:val="zh-CN"/>
        </w:rPr>
        <w:t>2.2</w:t>
      </w:r>
      <w:r>
        <w:rPr>
          <w:rFonts w:hint="eastAsia" w:ascii="宋体" w:hAnsi="宋体" w:cs="楷体_GB2312"/>
          <w:color w:val="auto"/>
          <w:sz w:val="24"/>
          <w:highlight w:val="none"/>
          <w:lang w:val="zh-CN"/>
        </w:rPr>
        <w:t>款和第</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款、对磋商文件的澄清、修改、补充书构成磋商文件的组成部分，并取代磋商文件中被澄清、修改处，对所有投标人均有约束力。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2.1.3 </w:t>
      </w:r>
      <w:r>
        <w:rPr>
          <w:rFonts w:hint="eastAsia" w:ascii="宋体" w:hAnsi="宋体" w:cs="楷体_GB2312"/>
          <w:color w:val="auto"/>
          <w:sz w:val="24"/>
          <w:highlight w:val="none"/>
          <w:lang w:val="zh-CN"/>
        </w:rPr>
        <w:t>当磋商文件、磋商文件的澄清、修改、补充等在同一内容的表述上不一致时，以最后发出（发布）的文件为准。</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2.1.4 </w:t>
      </w:r>
      <w:r>
        <w:rPr>
          <w:rFonts w:hint="eastAsia" w:ascii="宋体" w:hAnsi="宋体" w:cs="楷体_GB2312"/>
          <w:color w:val="auto"/>
          <w:sz w:val="24"/>
          <w:highlight w:val="none"/>
          <w:lang w:val="zh-CN"/>
        </w:rPr>
        <w:t>投标人与任何人的口头协议不影响《磋商文件》的任何条款和内容。</w:t>
      </w:r>
    </w:p>
    <w:p>
      <w:pPr>
        <w:autoSpaceDE w:val="0"/>
        <w:autoSpaceDN w:val="0"/>
        <w:adjustRightInd w:val="0"/>
        <w:snapToGrid w:val="0"/>
        <w:spacing w:before="156" w:beforeLines="50" w:line="300" w:lineRule="auto"/>
        <w:ind w:firstLine="539"/>
        <w:rPr>
          <w:rFonts w:ascii="宋体" w:cs="楷体_GB2312"/>
          <w:color w:val="auto"/>
          <w:sz w:val="24"/>
          <w:highlight w:val="none"/>
        </w:rPr>
      </w:pPr>
      <w:r>
        <w:rPr>
          <w:rFonts w:ascii="宋体" w:hAnsi="宋体" w:cs="楷体_GB2312"/>
          <w:color w:val="auto"/>
          <w:sz w:val="24"/>
          <w:highlight w:val="none"/>
        </w:rPr>
        <w:t xml:space="preserve">2.1.5 </w:t>
      </w:r>
      <w:r>
        <w:rPr>
          <w:rFonts w:hint="eastAsia" w:ascii="宋体" w:hAnsi="宋体" w:cs="楷体_GB2312"/>
          <w:color w:val="auto"/>
          <w:sz w:val="24"/>
          <w:highlight w:val="none"/>
        </w:rPr>
        <w:t>投标人应仔细阅读和检查</w:t>
      </w:r>
      <w:r>
        <w:rPr>
          <w:rFonts w:hint="eastAsia" w:ascii="宋体" w:hAnsi="宋体" w:cs="楷体_GB2312"/>
          <w:color w:val="auto"/>
          <w:sz w:val="24"/>
          <w:highlight w:val="none"/>
          <w:lang w:eastAsia="zh-CN"/>
        </w:rPr>
        <w:t>磋商文件</w:t>
      </w:r>
      <w:r>
        <w:rPr>
          <w:rFonts w:hint="eastAsia" w:ascii="宋体" w:hAnsi="宋体" w:cs="楷体_GB2312"/>
          <w:color w:val="auto"/>
          <w:sz w:val="24"/>
          <w:highlight w:val="none"/>
        </w:rPr>
        <w:t>的全部内容是否齐全，如发现缺页或附件不全等遗漏，应及时向采购代理机构提出并索取补齐，否则责任及风险自负。</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2.2 </w:t>
      </w:r>
      <w:r>
        <w:rPr>
          <w:rFonts w:hint="eastAsia" w:ascii="黑体" w:hAnsi="黑体" w:eastAsia="黑体" w:cs="楷体_GB2312"/>
          <w:b/>
          <w:color w:val="auto"/>
          <w:sz w:val="24"/>
          <w:highlight w:val="none"/>
          <w:lang w:val="zh-CN"/>
        </w:rPr>
        <w:t>磋商文件的澄清</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2.2.1 </w:t>
      </w:r>
      <w:r>
        <w:rPr>
          <w:rFonts w:hint="eastAsia" w:ascii="宋体" w:hAnsi="宋体" w:cs="楷体_GB2312"/>
          <w:color w:val="auto"/>
          <w:sz w:val="24"/>
          <w:highlight w:val="none"/>
          <w:lang w:val="zh-CN"/>
        </w:rPr>
        <w:t>合规获取磋商文件的所有潜在投标人对磋商文件如有需澄清的疑问，应在投标人须知前附表规定的时间内按磋商公告中载明的地址以纸质书面形式通知到采购代理机构。在规定的时间内未提出疑问的，将视为对磋商文件的完全认可。</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2.2.2 </w:t>
      </w:r>
      <w:r>
        <w:rPr>
          <w:rFonts w:hint="eastAsia" w:ascii="宋体" w:hAnsi="宋体" w:cs="楷体_GB2312"/>
          <w:color w:val="auto"/>
          <w:sz w:val="24"/>
          <w:highlight w:val="none"/>
          <w:lang w:val="zh-CN"/>
        </w:rPr>
        <w:t>采购代理机构对潜在投标人在规定的时间内提出的疑问，将视情况以书面形式予以答复，并在其认为必要时，将不标明查询来源的书面答复，在“磋商公告”所述媒体通告所有潜在投标人。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2.2.3 </w:t>
      </w:r>
      <w:r>
        <w:rPr>
          <w:rFonts w:hint="eastAsia" w:ascii="宋体" w:hAnsi="宋体" w:cs="楷体_GB2312"/>
          <w:color w:val="auto"/>
          <w:sz w:val="24"/>
          <w:highlight w:val="none"/>
          <w:lang w:val="zh-CN"/>
        </w:rPr>
        <w:t>磋商文件中如有不符合国家有关强制性规定、不符合国家标准及行业标准的，投标人应在投标阶段或成交实施阶段予以纠正或尽提醒义务。如作为有经验的投标人（成交供应商）应当知道而未尽提醒义务的，执行指令而造成的损失及风险由投标人（成交供应商）承担。</w:t>
      </w:r>
    </w:p>
    <w:p>
      <w:pPr>
        <w:adjustRightInd w:val="0"/>
        <w:snapToGrid w:val="0"/>
        <w:spacing w:before="156" w:beforeLines="50" w:line="300" w:lineRule="auto"/>
        <w:ind w:firstLine="480" w:firstLineChars="200"/>
        <w:jc w:val="left"/>
        <w:rPr>
          <w:rFonts w:ascii="宋体" w:hAnsi="宋体" w:cs="楷体_GB2312"/>
          <w:color w:val="auto"/>
          <w:sz w:val="24"/>
          <w:highlight w:val="none"/>
          <w:lang w:val="zh-CN"/>
        </w:rPr>
      </w:pPr>
      <w:r>
        <w:rPr>
          <w:rFonts w:ascii="宋体" w:hAnsi="宋体" w:cs="楷体_GB2312"/>
          <w:color w:val="auto"/>
          <w:sz w:val="24"/>
          <w:highlight w:val="none"/>
          <w:lang w:val="zh-CN"/>
        </w:rPr>
        <w:t>2.2.4</w:t>
      </w:r>
      <w:r>
        <w:rPr>
          <w:rFonts w:hint="eastAsia" w:ascii="宋体" w:hAnsi="宋体" w:cs="楷体_GB2312"/>
          <w:color w:val="auto"/>
          <w:sz w:val="24"/>
          <w:highlight w:val="none"/>
          <w:lang w:val="zh-CN"/>
        </w:rPr>
        <w:t>采购代理机构可视情况在投标截止前答疑。</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2.3 </w:t>
      </w:r>
      <w:r>
        <w:rPr>
          <w:rFonts w:hint="eastAsia" w:ascii="黑体" w:hAnsi="黑体" w:eastAsia="黑体" w:cs="楷体_GB2312"/>
          <w:b/>
          <w:color w:val="auto"/>
          <w:sz w:val="24"/>
          <w:highlight w:val="none"/>
          <w:lang w:val="zh-CN"/>
        </w:rPr>
        <w:t>磋商文件的澄清、修改、补充</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2.3.1 </w:t>
      </w:r>
      <w:r>
        <w:rPr>
          <w:rFonts w:hint="eastAsia" w:ascii="宋体" w:hAnsi="宋体" w:cs="楷体_GB2312"/>
          <w:color w:val="auto"/>
          <w:sz w:val="24"/>
          <w:highlight w:val="none"/>
          <w:lang w:val="zh-CN"/>
        </w:rPr>
        <w:t>采购人、代理机构在投标截止时间前有权澄清修改、补充已发售的磋商文件。</w:t>
      </w:r>
    </w:p>
    <w:p>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s="楷体_GB2312"/>
          <w:color w:val="auto"/>
          <w:sz w:val="24"/>
          <w:highlight w:val="none"/>
          <w:lang w:val="zh-CN"/>
        </w:rPr>
        <w:t>2.3.</w:t>
      </w:r>
      <w:r>
        <w:rPr>
          <w:rFonts w:ascii="宋体" w:hAnsi="宋体"/>
          <w:color w:val="auto"/>
          <w:sz w:val="24"/>
          <w:highlight w:val="none"/>
        </w:rPr>
        <w:t xml:space="preserve">2 </w:t>
      </w:r>
      <w:r>
        <w:rPr>
          <w:rFonts w:hint="eastAsia" w:ascii="宋体" w:hAnsi="宋体"/>
          <w:color w:val="auto"/>
          <w:sz w:val="24"/>
          <w:highlight w:val="none"/>
        </w:rPr>
        <w:t>谈判过程中对</w:t>
      </w:r>
      <w:r>
        <w:rPr>
          <w:rFonts w:hint="eastAsia" w:ascii="宋体" w:hAnsi="宋体"/>
          <w:color w:val="auto"/>
          <w:sz w:val="24"/>
          <w:highlight w:val="none"/>
          <w:lang w:eastAsia="zh-CN"/>
        </w:rPr>
        <w:t>磋商文件</w:t>
      </w:r>
      <w:r>
        <w:rPr>
          <w:rFonts w:hint="eastAsia" w:ascii="宋体" w:hAnsi="宋体"/>
          <w:color w:val="auto"/>
          <w:sz w:val="24"/>
          <w:highlight w:val="none"/>
        </w:rPr>
        <w:t>的变动见第四章评审办法</w:t>
      </w:r>
      <w:r>
        <w:rPr>
          <w:rFonts w:ascii="宋体" w:hAnsi="宋体"/>
          <w:color w:val="auto"/>
          <w:sz w:val="24"/>
          <w:highlight w:val="none"/>
        </w:rPr>
        <w:t>3.5</w:t>
      </w:r>
      <w:r>
        <w:rPr>
          <w:rFonts w:hint="eastAsia" w:ascii="宋体" w:hAnsi="宋体"/>
          <w:color w:val="auto"/>
          <w:sz w:val="24"/>
          <w:highlight w:val="none"/>
        </w:rPr>
        <w:t>款谈判规则。</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2.4 </w:t>
      </w:r>
      <w:r>
        <w:rPr>
          <w:rFonts w:hint="eastAsia" w:ascii="黑体" w:hAnsi="黑体" w:eastAsia="黑体" w:cs="楷体_GB2312"/>
          <w:b/>
          <w:color w:val="auto"/>
          <w:sz w:val="24"/>
          <w:highlight w:val="none"/>
          <w:lang w:val="zh-CN"/>
        </w:rPr>
        <w:t>磋商文件的澄清、修改、补充的</w:t>
      </w:r>
      <w:r>
        <w:rPr>
          <w:rFonts w:ascii="黑体" w:hAnsi="黑体" w:eastAsia="黑体" w:cs="楷体_GB2312"/>
          <w:b/>
          <w:color w:val="auto"/>
          <w:sz w:val="24"/>
          <w:highlight w:val="none"/>
          <w:lang w:val="zh-CN"/>
        </w:rPr>
        <w:t>通知</w:t>
      </w:r>
      <w:r>
        <w:rPr>
          <w:rFonts w:hint="eastAsia" w:ascii="黑体" w:hAnsi="黑体" w:eastAsia="黑体" w:cs="楷体_GB2312"/>
          <w:b/>
          <w:color w:val="auto"/>
          <w:sz w:val="24"/>
          <w:highlight w:val="none"/>
          <w:lang w:val="zh-CN"/>
        </w:rPr>
        <w:t>，及</w:t>
      </w:r>
      <w:r>
        <w:rPr>
          <w:rFonts w:ascii="黑体" w:hAnsi="黑体" w:eastAsia="黑体" w:cs="楷体_GB2312"/>
          <w:b/>
          <w:color w:val="auto"/>
          <w:sz w:val="24"/>
          <w:highlight w:val="none"/>
          <w:lang w:val="zh-CN"/>
        </w:rPr>
        <w:t>相应</w:t>
      </w:r>
      <w:r>
        <w:rPr>
          <w:rFonts w:hint="eastAsia" w:ascii="黑体" w:hAnsi="黑体" w:eastAsia="黑体" w:cs="楷体_GB2312"/>
          <w:b/>
          <w:color w:val="auto"/>
          <w:sz w:val="24"/>
          <w:highlight w:val="none"/>
          <w:lang w:val="zh-CN"/>
        </w:rPr>
        <w:t>时间变更</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color w:val="auto"/>
          <w:sz w:val="24"/>
          <w:highlight w:val="none"/>
          <w:lang w:val="zh-CN"/>
        </w:rPr>
        <w:t xml:space="preserve">2.4.1 </w:t>
      </w:r>
      <w:r>
        <w:rPr>
          <w:rFonts w:hint="eastAsia" w:ascii="宋体" w:hAnsi="宋体" w:cs="楷体_GB2312"/>
          <w:color w:val="auto"/>
          <w:sz w:val="24"/>
          <w:highlight w:val="none"/>
          <w:lang w:val="zh-CN"/>
        </w:rPr>
        <w:t>磋商文件在投标截止时间前的所有澄清、修改（包括时间变更等）、补充事项，均在“磋商公告”所述媒体予以公告。</w:t>
      </w:r>
      <w:r>
        <w:rPr>
          <w:rFonts w:hint="eastAsia" w:ascii="宋体" w:hAnsi="宋体" w:cs="楷体_GB2312"/>
          <w:b/>
          <w:color w:val="auto"/>
          <w:sz w:val="24"/>
          <w:highlight w:val="none"/>
          <w:lang w:val="zh-CN"/>
        </w:rPr>
        <w:t>澄清或修改公告一经在</w:t>
      </w:r>
      <w:r>
        <w:rPr>
          <w:rFonts w:ascii="宋体" w:hAnsi="宋体" w:cs="楷体_GB2312"/>
          <w:b/>
          <w:color w:val="auto"/>
          <w:sz w:val="24"/>
          <w:highlight w:val="none"/>
          <w:lang w:val="zh-CN"/>
        </w:rPr>
        <w:t>法定网</w:t>
      </w:r>
      <w:r>
        <w:rPr>
          <w:rFonts w:hint="eastAsia" w:ascii="宋体" w:hAnsi="宋体" w:cs="楷体_GB2312"/>
          <w:b/>
          <w:color w:val="auto"/>
          <w:sz w:val="24"/>
          <w:highlight w:val="none"/>
          <w:lang w:val="zh-CN"/>
        </w:rPr>
        <w:t>站以</w:t>
      </w:r>
      <w:r>
        <w:rPr>
          <w:rFonts w:ascii="宋体" w:hAnsi="宋体" w:cs="楷体_GB2312"/>
          <w:b/>
          <w:color w:val="auto"/>
          <w:sz w:val="24"/>
          <w:highlight w:val="none"/>
          <w:lang w:val="zh-CN"/>
        </w:rPr>
        <w:t>公</w:t>
      </w:r>
      <w:r>
        <w:rPr>
          <w:rFonts w:hint="eastAsia" w:ascii="宋体" w:hAnsi="宋体" w:cs="楷体_GB2312"/>
          <w:b/>
          <w:color w:val="auto"/>
          <w:sz w:val="24"/>
          <w:highlight w:val="none"/>
          <w:lang w:val="zh-CN"/>
        </w:rPr>
        <w:t>告</w:t>
      </w:r>
      <w:r>
        <w:rPr>
          <w:rFonts w:ascii="宋体" w:hAnsi="宋体" w:cs="楷体_GB2312"/>
          <w:b/>
          <w:color w:val="auto"/>
          <w:sz w:val="24"/>
          <w:highlight w:val="none"/>
          <w:lang w:val="zh-CN"/>
        </w:rPr>
        <w:t>形式</w:t>
      </w:r>
      <w:r>
        <w:rPr>
          <w:rFonts w:hint="eastAsia" w:ascii="宋体" w:hAnsi="宋体" w:cs="楷体_GB2312"/>
          <w:b/>
          <w:color w:val="auto"/>
          <w:sz w:val="24"/>
          <w:highlight w:val="none"/>
          <w:lang w:val="zh-CN"/>
        </w:rPr>
        <w:t>发布，依法视为书面通知，不再另行通知。</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基于网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w:t>
      </w:r>
      <w:r>
        <w:rPr>
          <w:rFonts w:ascii="宋体" w:hAnsi="宋体" w:cs="楷体_GB2312"/>
          <w:b/>
          <w:color w:val="auto"/>
          <w:sz w:val="24"/>
          <w:highlight w:val="none"/>
          <w:lang w:val="zh-CN"/>
        </w:rPr>
        <w:t>子</w:t>
      </w:r>
      <w:r>
        <w:rPr>
          <w:rFonts w:hint="eastAsia" w:ascii="宋体" w:hAnsi="宋体" w:cs="楷体_GB2312"/>
          <w:b/>
          <w:color w:val="auto"/>
          <w:sz w:val="24"/>
          <w:highlight w:val="none"/>
          <w:lang w:val="zh-CN"/>
        </w:rPr>
        <w:t>交易</w:t>
      </w:r>
      <w:r>
        <w:rPr>
          <w:rFonts w:ascii="宋体" w:hAnsi="宋体" w:cs="楷体_GB2312"/>
          <w:b/>
          <w:color w:val="auto"/>
          <w:sz w:val="24"/>
          <w:highlight w:val="none"/>
          <w:lang w:val="zh-CN"/>
        </w:rPr>
        <w:t>的特点—</w:t>
      </w:r>
      <w:r>
        <w:rPr>
          <w:rFonts w:ascii="宋体" w:cs="楷体_GB2312"/>
          <w:b/>
          <w:color w:val="auto"/>
          <w:sz w:val="24"/>
          <w:highlight w:val="none"/>
          <w:lang w:val="zh-CN"/>
        </w:rPr>
        <w:t>-</w:t>
      </w:r>
      <w:r>
        <w:rPr>
          <w:rFonts w:hint="eastAsia" w:ascii="宋体" w:hAnsi="宋体" w:cs="楷体_GB2312"/>
          <w:b/>
          <w:color w:val="auto"/>
          <w:sz w:val="24"/>
          <w:highlight w:val="none"/>
          <w:lang w:val="zh-CN"/>
        </w:rPr>
        <w:t>无权限获知或通知潜在投标人，潜在投标人应随时关注“磋商公告”所</w:t>
      </w:r>
      <w:r>
        <w:rPr>
          <w:rFonts w:ascii="宋体" w:hAnsi="宋体" w:cs="楷体_GB2312"/>
          <w:b/>
          <w:color w:val="auto"/>
          <w:sz w:val="24"/>
          <w:highlight w:val="none"/>
          <w:lang w:val="zh-CN"/>
        </w:rPr>
        <w:t>述媒体</w:t>
      </w:r>
      <w:r>
        <w:rPr>
          <w:rFonts w:hint="eastAsia" w:ascii="宋体" w:hAnsi="宋体" w:cs="楷体_GB2312"/>
          <w:b/>
          <w:color w:val="auto"/>
          <w:sz w:val="24"/>
          <w:highlight w:val="none"/>
          <w:lang w:val="zh-CN"/>
        </w:rPr>
        <w:t>相关项目信息（为免各部门网站出现维护等情况，潜在投标人应对“磋商公告”所述媒体逐一查阅），如有遗漏，后果自负。</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2.</w:t>
      </w:r>
      <w:r>
        <w:rPr>
          <w:rFonts w:ascii="宋体" w:cs="楷体_GB2312"/>
          <w:color w:val="auto"/>
          <w:sz w:val="24"/>
          <w:highlight w:val="none"/>
          <w:lang w:val="zh-CN"/>
        </w:rPr>
        <w:t>4</w:t>
      </w:r>
      <w:r>
        <w:rPr>
          <w:rFonts w:hint="eastAsia" w:ascii="宋体" w:cs="楷体_GB2312"/>
          <w:color w:val="auto"/>
          <w:sz w:val="24"/>
          <w:highlight w:val="none"/>
          <w:lang w:val="zh-CN"/>
        </w:rPr>
        <w:t>.2</w:t>
      </w:r>
      <w:r>
        <w:rPr>
          <w:rFonts w:ascii="宋体" w:cs="楷体_GB2312"/>
          <w:color w:val="auto"/>
          <w:sz w:val="24"/>
          <w:highlight w:val="none"/>
          <w:lang w:val="zh-CN"/>
        </w:rPr>
        <w:t xml:space="preserve"> </w:t>
      </w:r>
      <w:r>
        <w:rPr>
          <w:rFonts w:hint="eastAsia" w:ascii="宋体" w:cs="楷体_GB2312"/>
          <w:color w:val="auto"/>
          <w:sz w:val="24"/>
          <w:highlight w:val="none"/>
          <w:lang w:val="zh-CN"/>
        </w:rPr>
        <w:t>磋商文件的澄清、修改、补充书构成磋商文件的组成部分，并取代磋商文件中被澄清、修改处，对所有投标人均有约束力。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highlight w:val="none"/>
        </w:rPr>
      </w:pPr>
      <w:r>
        <w:rPr>
          <w:rFonts w:ascii="宋体" w:hAnsi="宋体" w:cs="楷体_GB2312"/>
          <w:color w:val="auto"/>
          <w:sz w:val="24"/>
          <w:highlight w:val="none"/>
          <w:lang w:val="zh-CN"/>
        </w:rPr>
        <w:t xml:space="preserve">2.4.3 </w:t>
      </w:r>
      <w:r>
        <w:rPr>
          <w:rFonts w:hint="eastAsia" w:ascii="宋体" w:hAnsi="宋体" w:cs="楷体_GB2312"/>
          <w:color w:val="auto"/>
          <w:sz w:val="24"/>
          <w:highlight w:val="none"/>
          <w:lang w:val="zh-CN"/>
        </w:rPr>
        <w:t>如果投标截止时间前的澄清修改补充发出的时间不满足投标人须知前附表规定时间，并且澄清修改补充内容影响投标文件编制的，代理机构可视采购具体情况延长投标截止时间和开标时间，并将在“磋商公告”所述媒体予以公告。</w:t>
      </w: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10" w:name="_Toc105581283"/>
      <w:r>
        <w:rPr>
          <w:rFonts w:ascii="黑体" w:hAnsi="黑体" w:eastAsia="黑体" w:cs="楷体_GB2312"/>
          <w:b/>
          <w:bCs/>
          <w:color w:val="auto"/>
          <w:sz w:val="28"/>
          <w:szCs w:val="28"/>
          <w:highlight w:val="none"/>
          <w:lang w:val="zh-CN"/>
        </w:rPr>
        <w:t xml:space="preserve">3. </w:t>
      </w:r>
      <w:r>
        <w:rPr>
          <w:rFonts w:hint="eastAsia" w:ascii="黑体" w:hAnsi="黑体" w:eastAsia="黑体" w:cs="楷体_GB2312"/>
          <w:b/>
          <w:bCs/>
          <w:color w:val="auto"/>
          <w:sz w:val="28"/>
          <w:szCs w:val="28"/>
          <w:highlight w:val="none"/>
          <w:lang w:val="zh-CN"/>
        </w:rPr>
        <w:t>投标文件（响应文件）</w:t>
      </w:r>
      <w:bookmarkEnd w:id="10"/>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3.1</w:t>
      </w:r>
      <w:r>
        <w:rPr>
          <w:rFonts w:hint="eastAsia" w:ascii="宋体" w:hAnsi="宋体" w:cs="楷体_GB2312"/>
          <w:color w:val="auto"/>
          <w:sz w:val="24"/>
          <w:highlight w:val="none"/>
          <w:lang w:val="zh-CN"/>
        </w:rPr>
        <w:t xml:space="preserve"> 投标人应仔细阅读磋商文件的所有内容，按磋商文件的要求提供投标文件（响应文件），并保证所提供全部资料的真实性。投标文件（响应文件）应对磋商文件实质性要求作出实质性响应。磋商小组对投标文件（响应文件）的有效性、完整性和响应程度进行审查，不满足实质性要求的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3.2 </w:t>
      </w:r>
      <w:r>
        <w:rPr>
          <w:rFonts w:hint="eastAsia" w:ascii="黑体" w:hAnsi="黑体" w:eastAsia="黑体" w:cs="楷体_GB2312"/>
          <w:b/>
          <w:color w:val="auto"/>
          <w:sz w:val="24"/>
          <w:highlight w:val="none"/>
          <w:lang w:val="zh-CN"/>
        </w:rPr>
        <w:t>投标文件（响应文件）的组成</w:t>
      </w:r>
    </w:p>
    <w:p>
      <w:pPr>
        <w:adjustRightInd w:val="0"/>
        <w:snapToGrid w:val="0"/>
        <w:spacing w:before="156" w:beforeLines="50" w:line="300" w:lineRule="auto"/>
        <w:ind w:firstLine="539"/>
        <w:textAlignment w:val="top"/>
        <w:rPr>
          <w:rFonts w:ascii="宋体" w:cs="楷体_GB2312"/>
          <w:color w:val="auto"/>
          <w:sz w:val="24"/>
          <w:highlight w:val="none"/>
          <w:lang w:val="zh-CN"/>
        </w:rPr>
      </w:pPr>
      <w:r>
        <w:rPr>
          <w:rFonts w:ascii="宋体" w:hAnsi="宋体" w:cs="楷体_GB2312"/>
          <w:color w:val="auto"/>
          <w:sz w:val="24"/>
          <w:highlight w:val="none"/>
          <w:lang w:val="zh-CN"/>
        </w:rPr>
        <w:t xml:space="preserve">3.2.1 </w:t>
      </w:r>
      <w:r>
        <w:rPr>
          <w:rFonts w:hint="eastAsia" w:ascii="宋体" w:hAnsi="宋体" w:cs="楷体_GB2312"/>
          <w:color w:val="auto"/>
          <w:sz w:val="24"/>
          <w:highlight w:val="none"/>
          <w:lang w:val="zh-CN"/>
        </w:rPr>
        <w:t>投标文件（响应文件）组成如有缺项，磋商小组按照实质性判断原则（实质性要求和实质性响应两因素）、有权视情况将其作无效投标处理，投标人自负此项风险；投标文件组成内容未对磋商文件实质性要求作出实质性响应，磋商小组按照实质性判断原则、视情况将其作无效投标处理，投标人自负此项风险</w:t>
      </w:r>
    </w:p>
    <w:p>
      <w:pPr>
        <w:adjustRightInd w:val="0"/>
        <w:snapToGrid w:val="0"/>
        <w:spacing w:before="156" w:beforeLines="50" w:line="300" w:lineRule="auto"/>
        <w:ind w:firstLine="539"/>
        <w:textAlignment w:val="top"/>
        <w:rPr>
          <w:color w:val="auto"/>
          <w:highlight w:val="none"/>
        </w:rPr>
      </w:pPr>
      <w:r>
        <w:rPr>
          <w:rFonts w:ascii="宋体" w:hAnsi="宋体" w:cs="楷体_GB2312"/>
          <w:color w:val="auto"/>
          <w:sz w:val="24"/>
          <w:highlight w:val="none"/>
          <w:lang w:val="zh-CN"/>
        </w:rPr>
        <w:t xml:space="preserve">3.2.2 </w:t>
      </w:r>
      <w:r>
        <w:rPr>
          <w:rFonts w:hint="eastAsia" w:ascii="宋体" w:hAnsi="宋体" w:cs="楷体_GB2312"/>
          <w:color w:val="auto"/>
          <w:sz w:val="24"/>
          <w:highlight w:val="none"/>
          <w:lang w:val="zh-CN"/>
        </w:rPr>
        <w:t>投标文件（响应文件）应包括下列内容：</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一、投标书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二、开标一览表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三、分项报价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四、服务方案及服务质量承诺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五、服务拟投入的人员情况表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六、偏差表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七、关于资格的声明函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八、反商业贿赂承诺书 </w:t>
      </w:r>
    </w:p>
    <w:p>
      <w:pPr>
        <w:keepNext w:val="0"/>
        <w:keepLines w:val="0"/>
        <w:pageBreakBefore w:val="0"/>
        <w:widowControl/>
        <w:kinsoku/>
        <w:wordWrap/>
        <w:overflowPunct/>
        <w:topLinePunct w:val="0"/>
        <w:autoSpaceDE/>
        <w:autoSpaceDN/>
        <w:bidi w:val="0"/>
        <w:adjustRightInd w:val="0"/>
        <w:snapToGrid w:val="0"/>
        <w:spacing w:before="156" w:beforeLines="50" w:line="280" w:lineRule="exact"/>
        <w:ind w:firstLine="539"/>
        <w:textAlignment w:val="top"/>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九、履约承诺书 </w:t>
      </w:r>
    </w:p>
    <w:p>
      <w:pPr>
        <w:keepNext w:val="0"/>
        <w:keepLines w:val="0"/>
        <w:pageBreakBefore w:val="0"/>
        <w:widowControl/>
        <w:kinsoku/>
        <w:wordWrap/>
        <w:overflowPunct/>
        <w:topLinePunct/>
        <w:autoSpaceDE/>
        <w:autoSpaceDN/>
        <w:bidi w:val="0"/>
        <w:adjustRightInd w:val="0"/>
        <w:snapToGrid w:val="0"/>
        <w:spacing w:before="156" w:beforeLines="50" w:line="280" w:lineRule="exact"/>
        <w:ind w:firstLine="564" w:firstLineChars="235"/>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十、资格要求相关证明材料（文件） </w:t>
      </w:r>
    </w:p>
    <w:p>
      <w:pPr>
        <w:keepNext w:val="0"/>
        <w:keepLines w:val="0"/>
        <w:pageBreakBefore w:val="0"/>
        <w:widowControl/>
        <w:kinsoku/>
        <w:wordWrap/>
        <w:overflowPunct/>
        <w:topLinePunct/>
        <w:autoSpaceDE/>
        <w:autoSpaceDN/>
        <w:bidi w:val="0"/>
        <w:adjustRightInd w:val="0"/>
        <w:snapToGrid w:val="0"/>
        <w:spacing w:before="156" w:beforeLines="50" w:line="280" w:lineRule="exact"/>
        <w:ind w:firstLine="564" w:firstLineChars="235"/>
        <w:rPr>
          <w:rFonts w:hint="eastAsia" w:ascii="宋体" w:hAnsi="宋体" w:cs="楷体_GB2312"/>
          <w:color w:val="auto"/>
          <w:sz w:val="24"/>
          <w:highlight w:val="none"/>
          <w:lang w:val="zh-CN"/>
        </w:rPr>
      </w:pPr>
      <w:r>
        <w:rPr>
          <w:rFonts w:hint="eastAsia" w:ascii="宋体" w:hAnsi="宋体" w:cs="楷体_GB2312"/>
          <w:color w:val="auto"/>
          <w:sz w:val="24"/>
          <w:highlight w:val="none"/>
          <w:lang w:val="zh-CN"/>
        </w:rPr>
        <w:t xml:space="preserve">十一、供应商认为有必要提交的其它材料 </w:t>
      </w:r>
    </w:p>
    <w:p>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3.2.3</w:t>
      </w:r>
      <w:r>
        <w:rPr>
          <w:rFonts w:hint="eastAsia" w:ascii="宋体" w:hAnsi="宋体" w:cs="楷体_GB2312"/>
          <w:color w:val="auto"/>
          <w:sz w:val="24"/>
          <w:highlight w:val="none"/>
          <w:lang w:val="zh-CN"/>
        </w:rPr>
        <w:t>按照本章第</w:t>
      </w:r>
      <w:r>
        <w:rPr>
          <w:rFonts w:ascii="宋体" w:hAnsi="宋体" w:cs="楷体_GB2312"/>
          <w:color w:val="auto"/>
          <w:sz w:val="24"/>
          <w:highlight w:val="none"/>
          <w:lang w:val="zh-CN"/>
        </w:rPr>
        <w:t>4.3</w:t>
      </w:r>
      <w:r>
        <w:rPr>
          <w:rFonts w:hint="eastAsia" w:ascii="宋体" w:hAnsi="宋体" w:cs="楷体_GB2312"/>
          <w:color w:val="auto"/>
          <w:sz w:val="24"/>
          <w:highlight w:val="none"/>
          <w:lang w:val="zh-CN"/>
        </w:rPr>
        <w:t>款、第四章第</w:t>
      </w:r>
      <w:r>
        <w:rPr>
          <w:rFonts w:ascii="宋体" w:hAnsi="宋体" w:cs="楷体_GB2312"/>
          <w:color w:val="auto"/>
          <w:sz w:val="24"/>
          <w:highlight w:val="none"/>
          <w:lang w:val="zh-CN"/>
        </w:rPr>
        <w:t>3.4</w:t>
      </w:r>
      <w:r>
        <w:rPr>
          <w:rFonts w:hint="eastAsia" w:ascii="宋体" w:hAnsi="宋体" w:cs="楷体_GB2312"/>
          <w:color w:val="auto"/>
          <w:sz w:val="24"/>
          <w:highlight w:val="none"/>
          <w:lang w:val="zh-CN"/>
        </w:rPr>
        <w:t>款规定，对投标文件（响应文件）的补充、修改、澄清、说明或者更正构成投标文件（响应文件）的组成部分，</w:t>
      </w:r>
    </w:p>
    <w:p>
      <w:pPr>
        <w:topLinePunct/>
        <w:adjustRightInd w:val="0"/>
        <w:snapToGrid w:val="0"/>
        <w:spacing w:before="156" w:beforeLines="50" w:line="300" w:lineRule="auto"/>
        <w:ind w:firstLine="566" w:firstLineChars="235"/>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3.3 </w:t>
      </w:r>
      <w:r>
        <w:rPr>
          <w:rFonts w:hint="eastAsia" w:ascii="黑体" w:hAnsi="黑体" w:eastAsia="黑体" w:cs="楷体_GB2312"/>
          <w:b/>
          <w:color w:val="auto"/>
          <w:sz w:val="24"/>
          <w:highlight w:val="none"/>
          <w:lang w:val="zh-CN"/>
        </w:rPr>
        <w:t>投标报价</w:t>
      </w:r>
      <w:r>
        <w:rPr>
          <w:rFonts w:hint="eastAsia" w:ascii="宋体" w:hAnsi="宋体" w:cs="楷体_GB2312"/>
          <w:color w:val="auto"/>
          <w:sz w:val="24"/>
          <w:highlight w:val="none"/>
          <w:lang w:val="zh-CN"/>
        </w:rPr>
        <w:t>（价格构成）：见第二章</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款。</w:t>
      </w:r>
    </w:p>
    <w:p>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3.4 </w:t>
      </w:r>
      <w:r>
        <w:rPr>
          <w:rFonts w:hint="eastAsia" w:ascii="黑体" w:hAnsi="黑体" w:eastAsia="黑体" w:cs="楷体_GB2312"/>
          <w:b/>
          <w:color w:val="auto"/>
          <w:sz w:val="24"/>
          <w:highlight w:val="none"/>
          <w:lang w:val="zh-CN"/>
        </w:rPr>
        <w:t>投标有效期</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3.4.1</w:t>
      </w:r>
      <w:r>
        <w:rPr>
          <w:rFonts w:hint="eastAsia" w:ascii="宋体" w:hAnsi="宋体" w:cs="楷体_GB2312"/>
          <w:color w:val="auto"/>
          <w:sz w:val="24"/>
          <w:highlight w:val="none"/>
          <w:lang w:val="zh-CN"/>
        </w:rPr>
        <w:t>投标有效期见投标人须知前附表。投标文件（响应文件）在投标有效期内保持不变（包括价格等投标文件各项条款）。</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3.4.2</w:t>
      </w:r>
      <w:r>
        <w:rPr>
          <w:rFonts w:hint="eastAsia" w:ascii="宋体" w:hAnsi="宋体" w:cs="楷体_GB2312"/>
          <w:color w:val="auto"/>
          <w:sz w:val="24"/>
          <w:highlight w:val="none"/>
          <w:lang w:val="zh-CN"/>
        </w:rPr>
        <w:t>在投标有效期内，投标人撤销或修改其投标文件（响应文件）的，应承担磋商文件和法律规定的责任。</w:t>
      </w:r>
    </w:p>
    <w:p>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3.5 </w:t>
      </w:r>
      <w:r>
        <w:rPr>
          <w:rFonts w:hint="eastAsia" w:ascii="黑体" w:hAnsi="黑体" w:eastAsia="黑体" w:cs="楷体_GB2312"/>
          <w:b/>
          <w:color w:val="auto"/>
          <w:sz w:val="24"/>
          <w:highlight w:val="none"/>
        </w:rPr>
        <w:t>投标承诺函</w:t>
      </w:r>
      <w:r>
        <w:rPr>
          <w:rFonts w:hint="eastAsia" w:ascii="黑体" w:hAnsi="黑体" w:eastAsia="黑体" w:cs="楷体_GB2312"/>
          <w:b/>
          <w:color w:val="auto"/>
          <w:sz w:val="24"/>
          <w:highlight w:val="none"/>
          <w:lang w:val="zh-CN"/>
        </w:rPr>
        <w:t>（</w:t>
      </w:r>
      <w:r>
        <w:rPr>
          <w:rFonts w:hint="eastAsia" w:ascii="黑体" w:hAnsi="黑体" w:eastAsia="黑体" w:cs="楷体_GB2312"/>
          <w:b/>
          <w:color w:val="auto"/>
          <w:sz w:val="24"/>
          <w:highlight w:val="none"/>
        </w:rPr>
        <w:t>替代</w:t>
      </w:r>
      <w:r>
        <w:rPr>
          <w:rFonts w:hint="eastAsia" w:ascii="黑体" w:hAnsi="黑体" w:eastAsia="黑体" w:cs="楷体_GB2312"/>
          <w:b/>
          <w:color w:val="auto"/>
          <w:sz w:val="24"/>
          <w:highlight w:val="none"/>
          <w:lang w:val="zh-CN"/>
        </w:rPr>
        <w:t>投标保证金）：</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 xml:space="preserve">3.5.1 </w:t>
      </w:r>
      <w:r>
        <w:rPr>
          <w:rFonts w:hint="eastAsia" w:ascii="宋体" w:hAnsi="宋体"/>
          <w:color w:val="auto"/>
          <w:sz w:val="24"/>
          <w:szCs w:val="24"/>
          <w:highlight w:val="none"/>
        </w:rPr>
        <w:t>按照豫财购〔2019〕4号文件规定，本项目以投标承诺函的形式替代投标保证金，供应商应按附件格式进行投标承诺，违背承诺的将承担相应的法律责任及违约责任。</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3.5.2 未提供投标承诺函的为</w:t>
      </w:r>
      <w:r>
        <w:rPr>
          <w:rFonts w:hint="eastAsia" w:ascii="宋体" w:hAnsi="宋体"/>
          <w:b/>
          <w:bCs/>
          <w:color w:val="auto"/>
          <w:sz w:val="24"/>
          <w:szCs w:val="24"/>
          <w:highlight w:val="none"/>
        </w:rPr>
        <w:t>无效投标</w:t>
      </w:r>
      <w:r>
        <w:rPr>
          <w:rFonts w:hint="eastAsia" w:ascii="宋体" w:hAnsi="宋体"/>
          <w:color w:val="auto"/>
          <w:sz w:val="24"/>
          <w:szCs w:val="24"/>
          <w:highlight w:val="none"/>
        </w:rPr>
        <w:t>。</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3.5.3 投标人的投标承诺函包含投标人承诺的事项及违背承诺的责任追究措施。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 承诺事项：</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3.5.4.1、投标人应遵循公开、公平、公正和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的原则自愿参加项目的投标；</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3.5.4.2、投标人在政府采购活动中应提供真实、准确、有效、合法的材料，不</w:t>
      </w:r>
      <w:r>
        <w:rPr>
          <w:rFonts w:hint="eastAsia" w:ascii="宋体" w:hAnsi="宋体"/>
          <w:color w:val="auto"/>
          <w:sz w:val="24"/>
          <w:szCs w:val="24"/>
          <w:highlight w:val="none"/>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3.5.4.3、投标人</w:t>
      </w:r>
      <w:r>
        <w:rPr>
          <w:rFonts w:hint="eastAsia" w:ascii="宋体" w:hAnsi="宋体"/>
          <w:color w:val="auto"/>
          <w:sz w:val="24"/>
          <w:szCs w:val="24"/>
          <w:highlight w:val="none"/>
          <w:lang w:val="zh-CN"/>
        </w:rPr>
        <w:t>按照</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lang w:val="zh-CN"/>
        </w:rPr>
        <w:t>规定，在提交投标文件截止时间后，在</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lang w:val="zh-CN"/>
        </w:rPr>
        <w:t>规定的投标有效期限内不</w:t>
      </w:r>
      <w:r>
        <w:rPr>
          <w:rFonts w:hint="eastAsia" w:ascii="宋体" w:hAnsi="宋体"/>
          <w:color w:val="auto"/>
          <w:sz w:val="24"/>
          <w:szCs w:val="24"/>
          <w:highlight w:val="none"/>
        </w:rPr>
        <w:t>应</w:t>
      </w:r>
      <w:r>
        <w:rPr>
          <w:rFonts w:hint="eastAsia" w:ascii="宋体" w:hAnsi="宋体"/>
          <w:color w:val="auto"/>
          <w:sz w:val="24"/>
          <w:szCs w:val="24"/>
          <w:highlight w:val="none"/>
          <w:lang w:val="zh-CN"/>
        </w:rPr>
        <w:t>撤回投标文件；</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3.5.4.4、不应</w:t>
      </w:r>
      <w:r>
        <w:rPr>
          <w:rFonts w:hint="eastAsia" w:ascii="宋体" w:hAnsi="宋体"/>
          <w:color w:val="auto"/>
          <w:sz w:val="24"/>
          <w:szCs w:val="24"/>
          <w:highlight w:val="none"/>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3.5.4.5、中标后</w:t>
      </w:r>
      <w:r>
        <w:rPr>
          <w:rFonts w:hint="eastAsia" w:ascii="宋体" w:hAnsi="宋体"/>
          <w:color w:val="auto"/>
          <w:sz w:val="24"/>
          <w:szCs w:val="24"/>
          <w:highlight w:val="none"/>
          <w:lang w:val="zh-CN"/>
        </w:rPr>
        <w:t>除不可抗拒力或磋商文件认可的情形外</w:t>
      </w:r>
      <w:r>
        <w:rPr>
          <w:rFonts w:hint="eastAsia" w:ascii="宋体" w:hAnsi="宋体"/>
          <w:color w:val="auto"/>
          <w:sz w:val="24"/>
          <w:szCs w:val="24"/>
          <w:highlight w:val="none"/>
        </w:rPr>
        <w:t>，投标人应及时领取中标通知书，</w:t>
      </w:r>
      <w:r>
        <w:rPr>
          <w:rFonts w:hint="eastAsia" w:ascii="宋体" w:hAnsi="宋体"/>
          <w:color w:val="auto"/>
          <w:sz w:val="24"/>
          <w:szCs w:val="24"/>
          <w:highlight w:val="none"/>
          <w:lang w:val="zh-CN"/>
        </w:rPr>
        <w:t>在成交通知书规定时间、地点与采购人签订合同；</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3.5.4.6、投标人应</w:t>
      </w:r>
      <w:r>
        <w:rPr>
          <w:rFonts w:hint="eastAsia" w:ascii="宋体" w:hAnsi="宋体"/>
          <w:color w:val="auto"/>
          <w:sz w:val="24"/>
          <w:szCs w:val="24"/>
          <w:highlight w:val="none"/>
          <w:lang w:val="zh-CN"/>
        </w:rPr>
        <w:t>遵守法律法规及</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lang w:val="zh-CN"/>
        </w:rPr>
        <w:t>规定的其他情况；</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3.5.4.7、投标人应按</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 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投标人如违背上述承诺事项，应无条件接受以下责任追究：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3.5.5.1</w:t>
      </w:r>
      <w:r>
        <w:rPr>
          <w:rFonts w:hint="eastAsia" w:ascii="宋体" w:hAnsi="宋体"/>
          <w:color w:val="auto"/>
          <w:sz w:val="24"/>
          <w:szCs w:val="24"/>
          <w:highlight w:val="none"/>
          <w:lang w:val="zh-CN"/>
        </w:rPr>
        <w:t>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给采购人及他人造成损失的，应承担相应的赔偿责任。</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w:t>
      </w:r>
      <w:r>
        <w:rPr>
          <w:rFonts w:hint="eastAsia" w:ascii="宋体" w:hAnsi="宋体"/>
          <w:color w:val="auto"/>
          <w:sz w:val="24"/>
          <w:szCs w:val="24"/>
          <w:highlight w:val="none"/>
          <w:lang w:val="zh-CN"/>
        </w:rPr>
        <w:t>违约责任：</w:t>
      </w:r>
      <w:r>
        <w:rPr>
          <w:rFonts w:hint="eastAsia" w:ascii="宋体" w:hAnsi="宋体"/>
          <w:color w:val="auto"/>
          <w:sz w:val="24"/>
          <w:szCs w:val="24"/>
          <w:highlight w:val="none"/>
        </w:rPr>
        <w:t xml:space="preserve"> </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3.5.5.2.1 已中标的，中标（成交）无效；</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3.5.5.2.2 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pPr>
        <w:widowControl w:val="0"/>
        <w:tabs>
          <w:tab w:val="left" w:pos="65"/>
        </w:tabs>
        <w:spacing w:line="460" w:lineRule="atLeast"/>
        <w:ind w:firstLine="480" w:firstLineChars="200"/>
        <w:textAlignment w:val="auto"/>
        <w:rPr>
          <w:rFonts w:ascii="宋体" w:cs="楷体_GB2312"/>
          <w:color w:val="auto"/>
          <w:sz w:val="24"/>
          <w:highlight w:val="none"/>
          <w:lang w:val="zh-CN"/>
        </w:rPr>
      </w:pPr>
      <w:r>
        <w:rPr>
          <w:rFonts w:hint="eastAsia" w:ascii="宋体" w:hAnsi="宋体"/>
          <w:color w:val="auto"/>
          <w:sz w:val="24"/>
          <w:szCs w:val="24"/>
          <w:highlight w:val="none"/>
        </w:rPr>
        <w:t>3.5.5.2.3中标后未缴中标服</w:t>
      </w:r>
      <w:r>
        <w:rPr>
          <w:rFonts w:hint="eastAsia"/>
          <w:color w:val="auto"/>
          <w:sz w:val="24"/>
          <w:highlight w:val="none"/>
        </w:rPr>
        <w:t>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原则，在履行承诺前，代理机构将视该单位为失信企业、不予办理其后相关业务。</w:t>
      </w:r>
    </w:p>
    <w:p>
      <w:pPr>
        <w:autoSpaceDE w:val="0"/>
        <w:autoSpaceDN w:val="0"/>
        <w:adjustRightInd w:val="0"/>
        <w:spacing w:before="156" w:beforeLines="50" w:line="360" w:lineRule="auto"/>
        <w:ind w:firstLine="539"/>
        <w:rPr>
          <w:rFonts w:ascii="黑体" w:hAnsi="黑体" w:eastAsia="黑体" w:cs="楷体_GB2312"/>
          <w:b/>
          <w:bCs/>
          <w:color w:val="auto"/>
          <w:sz w:val="28"/>
          <w:szCs w:val="28"/>
          <w:highlight w:val="none"/>
          <w:lang w:val="zh-CN"/>
        </w:rPr>
      </w:pPr>
      <w:r>
        <w:rPr>
          <w:rFonts w:ascii="黑体" w:hAnsi="黑体" w:eastAsia="黑体" w:cs="楷体_GB2312"/>
          <w:b/>
          <w:color w:val="auto"/>
          <w:sz w:val="24"/>
          <w:highlight w:val="none"/>
          <w:lang w:val="zh-CN"/>
        </w:rPr>
        <w:t xml:space="preserve">3.6 </w:t>
      </w:r>
      <w:r>
        <w:rPr>
          <w:rFonts w:hint="eastAsia" w:ascii="黑体" w:hAnsi="黑体" w:eastAsia="黑体" w:cs="楷体_GB2312"/>
          <w:b/>
          <w:color w:val="auto"/>
          <w:sz w:val="24"/>
          <w:highlight w:val="none"/>
          <w:lang w:val="zh-CN"/>
        </w:rPr>
        <w:t>投标资格文件：</w:t>
      </w:r>
      <w:r>
        <w:rPr>
          <w:rFonts w:hint="eastAsia" w:ascii="宋体" w:hAnsi="宋体" w:cs="楷体_GB2312"/>
          <w:color w:val="auto"/>
          <w:sz w:val="24"/>
          <w:highlight w:val="none"/>
          <w:lang w:val="zh-CN"/>
        </w:rPr>
        <w:t>要求见磋商公告</w:t>
      </w:r>
    </w:p>
    <w:p>
      <w:pPr>
        <w:topLinePunct/>
        <w:adjustRightInd w:val="0"/>
        <w:snapToGrid w:val="0"/>
        <w:spacing w:before="156" w:beforeLines="50" w:line="300" w:lineRule="auto"/>
        <w:ind w:left="561" w:leftChars="267" w:firstLine="5" w:firstLineChars="2"/>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3.7</w:t>
      </w:r>
      <w:r>
        <w:rPr>
          <w:rFonts w:hint="eastAsia" w:ascii="黑体" w:hAnsi="黑体" w:eastAsia="黑体" w:cs="楷体_GB2312"/>
          <w:b/>
          <w:color w:val="auto"/>
          <w:sz w:val="24"/>
          <w:highlight w:val="none"/>
          <w:lang w:val="zh-CN"/>
        </w:rPr>
        <w:t>投标文件的编制</w:t>
      </w:r>
    </w:p>
    <w:p>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3.7.1</w:t>
      </w:r>
      <w:r>
        <w:rPr>
          <w:rFonts w:hint="eastAsia" w:ascii="宋体" w:hAnsi="宋体" w:cs="楷体_GB2312"/>
          <w:color w:val="auto"/>
          <w:sz w:val="24"/>
          <w:highlight w:val="none"/>
          <w:lang w:val="zh-CN"/>
        </w:rPr>
        <w:t>投标文件（响应文件）应按第六章“投标文件格式”进行编写，如有必要，可以增加附页，作为投标文件（响应文件）的组成部分。磋商文件中未列明格式的，由投标人按一般通用格式自行设计编写。</w:t>
      </w:r>
    </w:p>
    <w:p>
      <w:pPr>
        <w:topLinePunct/>
        <w:adjustRightInd w:val="0"/>
        <w:snapToGrid w:val="0"/>
        <w:spacing w:before="156" w:beforeLines="50" w:line="300" w:lineRule="auto"/>
        <w:ind w:firstLine="566" w:firstLineChars="235"/>
        <w:rPr>
          <w:rFonts w:ascii="宋体" w:hAnsi="宋体" w:cs="楷体_GB2312"/>
          <w:b/>
          <w:color w:val="auto"/>
          <w:sz w:val="24"/>
          <w:highlight w:val="none"/>
          <w:lang w:val="zh-CN"/>
        </w:rPr>
      </w:pPr>
      <w:r>
        <w:rPr>
          <w:rFonts w:hint="eastAsia" w:ascii="宋体" w:hAnsi="宋体" w:cs="楷体_GB2312"/>
          <w:b/>
          <w:color w:val="auto"/>
          <w:sz w:val="24"/>
          <w:highlight w:val="none"/>
          <w:lang w:val="zh-CN"/>
        </w:rPr>
        <w:t>投标文件编制后</w:t>
      </w:r>
      <w:r>
        <w:rPr>
          <w:rFonts w:ascii="宋体" w:hAnsi="宋体" w:cs="楷体_GB2312"/>
          <w:b/>
          <w:color w:val="auto"/>
          <w:sz w:val="24"/>
          <w:highlight w:val="none"/>
          <w:lang w:val="zh-CN"/>
        </w:rPr>
        <w:t>，需录入导入</w:t>
      </w:r>
      <w:r>
        <w:rPr>
          <w:rFonts w:hint="eastAsia" w:ascii="宋体" w:hAnsi="宋体" w:cs="楷体_GB2312"/>
          <w:b/>
          <w:color w:val="auto"/>
          <w:sz w:val="24"/>
          <w:highlight w:val="none"/>
          <w:lang w:val="zh-CN"/>
        </w:rPr>
        <w:t>磋商公告</w:t>
      </w:r>
      <w:r>
        <w:rPr>
          <w:rFonts w:ascii="宋体" w:hAnsi="宋体" w:cs="楷体_GB2312"/>
          <w:b/>
          <w:color w:val="auto"/>
          <w:sz w:val="24"/>
          <w:highlight w:val="none"/>
          <w:lang w:val="zh-CN"/>
        </w:rPr>
        <w:t>所述 “</w:t>
      </w:r>
      <w:r>
        <w:rPr>
          <w:rFonts w:hint="eastAsia" w:ascii="宋体" w:hAnsi="宋体" w:cs="楷体_GB2312"/>
          <w:b/>
          <w:color w:val="auto"/>
          <w:sz w:val="24"/>
          <w:highlight w:val="none"/>
          <w:lang w:val="zh-CN"/>
        </w:rPr>
        <w:t>安阳市政府采购投标文件编制系统</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，经电</w:t>
      </w:r>
      <w:r>
        <w:rPr>
          <w:rFonts w:ascii="宋体" w:hAnsi="宋体" w:cs="楷体_GB2312"/>
          <w:b/>
          <w:color w:val="auto"/>
          <w:sz w:val="24"/>
          <w:highlight w:val="none"/>
          <w:lang w:val="zh-CN"/>
        </w:rPr>
        <w:t>子签名并加密后、在</w:t>
      </w:r>
      <w:r>
        <w:rPr>
          <w:rFonts w:hint="eastAsia" w:ascii="宋体" w:hAnsi="宋体" w:cs="楷体_GB2312"/>
          <w:b/>
          <w:color w:val="auto"/>
          <w:sz w:val="24"/>
          <w:highlight w:val="none"/>
          <w:lang w:val="zh-CN"/>
        </w:rPr>
        <w:t>响应文件提交截止时间前，</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传至磋商公告所述网上电子交易系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 xml:space="preserve">3.7.2 </w:t>
      </w:r>
      <w:r>
        <w:rPr>
          <w:rFonts w:hint="eastAsia" w:ascii="宋体" w:hAnsi="宋体" w:cs="楷体_GB2312"/>
          <w:color w:val="auto"/>
          <w:sz w:val="24"/>
          <w:highlight w:val="none"/>
          <w:lang w:val="zh-CN"/>
        </w:rPr>
        <w:t>“投标文件格式”仅为对投标文件（响应文件）部分内容的格式化规范，并非投标文件所应具备的全部内容。投标人应按本章“</w:t>
      </w:r>
      <w:r>
        <w:rPr>
          <w:rFonts w:ascii="宋体" w:hAnsi="宋体" w:cs="楷体_GB2312"/>
          <w:color w:val="auto"/>
          <w:sz w:val="24"/>
          <w:highlight w:val="none"/>
          <w:lang w:val="zh-CN"/>
        </w:rPr>
        <w:t>3.2</w:t>
      </w:r>
      <w:r>
        <w:rPr>
          <w:rFonts w:hint="eastAsia" w:ascii="宋体" w:hAnsi="宋体" w:cs="楷体_GB2312"/>
          <w:color w:val="auto"/>
          <w:sz w:val="24"/>
          <w:highlight w:val="none"/>
          <w:lang w:val="zh-CN"/>
        </w:rPr>
        <w:t>投标文件的组成”列示内容编制投标文件（响应文件）。</w:t>
      </w:r>
    </w:p>
    <w:p>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w:t>
      </w:r>
      <w:r>
        <w:rPr>
          <w:rFonts w:asci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文件（响应文件）应当对磋商文件有关标段（包）内容（范围）、技术要求、售后服务、交验期、投标有效期等实质性内容作出响应。在满足磋商文件实质性要求的基础上，可以提出比磋商文件要求更有利于采购人的承诺。并符合磋商文件偏差规定。</w:t>
      </w:r>
    </w:p>
    <w:p>
      <w:pPr>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ascii="宋体" w:hAnsi="宋体" w:cs="楷体_GB2312"/>
          <w:color w:val="auto"/>
          <w:sz w:val="24"/>
          <w:highlight w:val="none"/>
          <w:lang w:val="zh-CN"/>
        </w:rPr>
        <w:t>投标文件（响应文件）的所有条款与磋商文件要求有任何不同之处，应按《技术偏差表》、《其他偏差表》格式逐一填列。投标文件（响应文件）与磋商文件所有要求存在偏差而未填列的，磋商小组有权按照实质性判断原则（实质性要求和实质性响应两因素）评定其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。投标人应认真编制投标文件（响应文件）并自负此项风险。</w:t>
      </w:r>
    </w:p>
    <w:p>
      <w:pPr>
        <w:autoSpaceDE w:val="0"/>
        <w:autoSpaceDN w:val="0"/>
        <w:adjustRightInd w:val="0"/>
        <w:snapToGrid w:val="0"/>
        <w:spacing w:before="156" w:beforeLines="50" w:line="300" w:lineRule="auto"/>
        <w:ind w:firstLine="539"/>
        <w:rPr>
          <w:rFonts w:ascii="宋体" w:cs="楷体_GB2312"/>
          <w:b/>
          <w:color w:val="auto"/>
          <w:sz w:val="24"/>
          <w:highlight w:val="none"/>
        </w:rPr>
      </w:pPr>
      <w:r>
        <w:rPr>
          <w:rFonts w:ascii="宋体" w:hAnsi="宋体" w:cs="楷体_GB2312"/>
          <w:b/>
          <w:color w:val="auto"/>
          <w:sz w:val="24"/>
          <w:highlight w:val="none"/>
          <w:lang w:val="zh-CN"/>
        </w:rPr>
        <w:t>3.7.</w:t>
      </w:r>
      <w:r>
        <w:rPr>
          <w:rFonts w:hint="eastAsia" w:ascii="宋体" w:hAnsi="宋体" w:cs="楷体_GB2312"/>
          <w:b/>
          <w:color w:val="auto"/>
          <w:sz w:val="24"/>
          <w:highlight w:val="none"/>
          <w:lang w:val="zh-CN"/>
        </w:rPr>
        <w:t>4</w:t>
      </w:r>
      <w:r>
        <w:rPr>
          <w:rFonts w:ascii="宋体" w:hAnsi="宋体" w:cs="楷体_GB2312"/>
          <w:b/>
          <w:color w:val="auto"/>
          <w:sz w:val="24"/>
          <w:highlight w:val="none"/>
          <w:lang w:val="zh-CN"/>
        </w:rPr>
        <w:t xml:space="preserve"> </w:t>
      </w:r>
      <w:r>
        <w:rPr>
          <w:rFonts w:hint="eastAsia" w:ascii="宋体" w:hAnsi="宋体" w:cs="楷体_GB2312"/>
          <w:b/>
          <w:color w:val="auto"/>
          <w:sz w:val="24"/>
          <w:highlight w:val="none"/>
          <w:lang w:val="zh-CN"/>
        </w:rPr>
        <w:t>投标文件（响应文件）</w:t>
      </w:r>
      <w:r>
        <w:rPr>
          <w:rFonts w:hint="eastAsia" w:ascii="宋体" w:hAnsi="宋体" w:cs="楷体_GB2312"/>
          <w:b/>
          <w:color w:val="auto"/>
          <w:sz w:val="24"/>
          <w:highlight w:val="none"/>
        </w:rPr>
        <w:t>应</w:t>
      </w:r>
      <w:r>
        <w:rPr>
          <w:rFonts w:hint="eastAsia" w:ascii="宋体" w:hAnsi="宋体" w:cs="楷体_GB2312"/>
          <w:b/>
          <w:color w:val="auto"/>
          <w:sz w:val="24"/>
          <w:highlight w:val="none"/>
          <w:lang w:val="zh-CN"/>
        </w:rPr>
        <w:t>按磋商文件相关要求（含格式上标注的要求）、</w:t>
      </w:r>
      <w:r>
        <w:rPr>
          <w:rFonts w:hint="eastAsia" w:ascii="宋体" w:hAnsi="宋体" w:cs="楷体_GB2312"/>
          <w:b/>
          <w:color w:val="auto"/>
          <w:sz w:val="24"/>
          <w:highlight w:val="none"/>
        </w:rPr>
        <w:t>使用供应商企业数字证书进行电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签章和供应商法定代表人数字证书进行电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签名、并加密，没有使用供应商企业数字证书和供应商法定代表人数字证书进行电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签名并加密的响应文件，属于未按照</w:t>
      </w:r>
      <w:r>
        <w:rPr>
          <w:rFonts w:hint="eastAsia" w:ascii="宋体" w:hAnsi="宋体" w:cs="楷体_GB2312"/>
          <w:b/>
          <w:color w:val="auto"/>
          <w:sz w:val="24"/>
          <w:highlight w:val="none"/>
          <w:lang w:eastAsia="zh-CN"/>
        </w:rPr>
        <w:t>磋商文件</w:t>
      </w:r>
      <w:r>
        <w:rPr>
          <w:rFonts w:hint="eastAsia" w:ascii="宋体" w:hAnsi="宋体" w:cs="楷体_GB2312"/>
          <w:b/>
          <w:color w:val="auto"/>
          <w:sz w:val="24"/>
          <w:highlight w:val="none"/>
        </w:rPr>
        <w:t>要求进行签署。</w:t>
      </w:r>
    </w:p>
    <w:p>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hAnsi="宋体" w:cs="楷体_GB2312"/>
          <w:b/>
          <w:color w:val="auto"/>
          <w:sz w:val="24"/>
          <w:highlight w:val="none"/>
        </w:rPr>
        <w:t>根据《中华人民共和国电子签名法》规定，可靠的电子签名与手写签名或者盖章具有同等的法律效力。本次采购活动中，供应商使用有效的企业数字证书对响应文件进行电子签章与加盖投标</w:t>
      </w:r>
      <w:r>
        <w:rPr>
          <w:rFonts w:ascii="宋体" w:hAnsi="宋体" w:cs="楷体_GB2312"/>
          <w:b/>
          <w:color w:val="auto"/>
          <w:sz w:val="24"/>
          <w:highlight w:val="none"/>
        </w:rPr>
        <w:t>人公</w:t>
      </w:r>
      <w:r>
        <w:rPr>
          <w:rFonts w:hint="eastAsia" w:ascii="宋体" w:hAnsi="宋体" w:cs="楷体_GB2312"/>
          <w:b/>
          <w:color w:val="auto"/>
          <w:sz w:val="24"/>
          <w:highlight w:val="none"/>
        </w:rPr>
        <w:t>章具有同等法律效力；供应商法定代表人使用有效的个人数字证书对响应文件进行签名与法人签章具有同等法律效力。</w:t>
      </w:r>
    </w:p>
    <w:p>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3.7.5</w:t>
      </w:r>
      <w:r>
        <w:rPr>
          <w:rFonts w:hint="eastAsia" w:ascii="宋体" w:hAnsi="宋体" w:cs="楷体_GB2312"/>
          <w:color w:val="auto"/>
          <w:sz w:val="24"/>
          <w:highlight w:val="none"/>
          <w:lang w:val="zh-CN"/>
        </w:rPr>
        <w:t>投标人可对本磋商文件“标段（包）一览表”中所列的所有标段（包）进行分别投标，也可选择其中一个标段（包）或几个标段（包）投标，但不得将磋商文件规定的同一标段（包）的内容拆开投标，否则将按</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处理。</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3.7.6 </w:t>
      </w:r>
      <w:r>
        <w:rPr>
          <w:rFonts w:hint="eastAsia" w:ascii="宋体" w:hAnsi="宋体" w:cs="楷体_GB2312"/>
          <w:color w:val="auto"/>
          <w:sz w:val="24"/>
          <w:highlight w:val="none"/>
          <w:lang w:val="zh-CN"/>
        </w:rPr>
        <w:t>投标文件（响应文件）因字迹或表述不清所引起的后果由投标人自行负责。</w:t>
      </w: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highlight w:val="none"/>
          <w:lang w:val="zh-CN"/>
        </w:rPr>
      </w:pPr>
      <w:r>
        <w:rPr>
          <w:rFonts w:ascii="宋体" w:hAnsi="宋体" w:cs="楷体_GB2312"/>
          <w:color w:val="auto"/>
          <w:sz w:val="24"/>
          <w:highlight w:val="none"/>
          <w:lang w:val="zh-CN"/>
        </w:rPr>
        <w:t xml:space="preserve">3.7.7 </w:t>
      </w:r>
      <w:r>
        <w:rPr>
          <w:rFonts w:hint="eastAsia" w:ascii="宋体" w:hAnsi="宋体" w:cs="楷体_GB2312"/>
          <w:color w:val="auto"/>
          <w:sz w:val="24"/>
          <w:highlight w:val="none"/>
          <w:lang w:val="zh-CN"/>
        </w:rPr>
        <w:t>未按上述要求提供的投标文件（响应文件）将视为</w:t>
      </w:r>
      <w:r>
        <w:rPr>
          <w:rFonts w:hint="eastAsia" w:ascii="宋体" w:hAnsi="宋体" w:cs="楷体_GB2312"/>
          <w:b/>
          <w:color w:val="auto"/>
          <w:sz w:val="24"/>
          <w:highlight w:val="none"/>
          <w:lang w:val="zh-CN"/>
        </w:rPr>
        <w:t>无效投标。</w:t>
      </w: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11" w:name="_Toc105581284"/>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投标（响应文件的递交）</w:t>
      </w:r>
      <w:bookmarkEnd w:id="11"/>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4.1 </w:t>
      </w:r>
      <w:r>
        <w:rPr>
          <w:rFonts w:hint="eastAsia" w:ascii="黑体" w:hAnsi="黑体" w:eastAsia="黑体" w:cs="楷体_GB2312"/>
          <w:b/>
          <w:color w:val="auto"/>
          <w:sz w:val="24"/>
          <w:highlight w:val="none"/>
          <w:lang w:val="zh-CN"/>
        </w:rPr>
        <w:t>投标文件（响应文件）的加</w:t>
      </w:r>
      <w:r>
        <w:rPr>
          <w:rFonts w:ascii="黑体" w:hAnsi="黑体" w:eastAsia="黑体" w:cs="楷体_GB2312"/>
          <w:b/>
          <w:color w:val="auto"/>
          <w:sz w:val="24"/>
          <w:highlight w:val="none"/>
          <w:lang w:val="zh-CN"/>
        </w:rPr>
        <w:t>密</w:t>
      </w:r>
      <w:r>
        <w:rPr>
          <w:rFonts w:hint="eastAsia" w:ascii="黑体" w:hAnsi="黑体" w:eastAsia="黑体" w:cs="楷体_GB2312"/>
          <w:b/>
          <w:color w:val="auto"/>
          <w:sz w:val="24"/>
          <w:highlight w:val="none"/>
          <w:lang w:val="zh-CN"/>
        </w:rPr>
        <w:t>和标记：</w:t>
      </w:r>
    </w:p>
    <w:p>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12" w:name="OLE_LINK2"/>
      <w:r>
        <w:rPr>
          <w:rFonts w:ascii="宋体" w:hAnsi="宋体" w:cs="楷体_GB2312"/>
          <w:b/>
          <w:color w:val="auto"/>
          <w:sz w:val="24"/>
          <w:highlight w:val="none"/>
          <w:lang w:val="zh-CN"/>
        </w:rPr>
        <w:t xml:space="preserve">4.1.1 </w:t>
      </w:r>
      <w:r>
        <w:rPr>
          <w:rFonts w:hint="eastAsia" w:ascii="宋体" w:hAnsi="宋体" w:cs="楷体_GB2312"/>
          <w:b/>
          <w:color w:val="auto"/>
          <w:sz w:val="24"/>
          <w:highlight w:val="none"/>
          <w:lang w:val="zh-CN"/>
        </w:rPr>
        <w:t>投标文件（响应文件）应</w:t>
      </w:r>
      <w:r>
        <w:rPr>
          <w:rFonts w:ascii="宋体" w:hAnsi="宋体" w:cs="楷体_GB2312"/>
          <w:b/>
          <w:color w:val="auto"/>
          <w:sz w:val="24"/>
          <w:highlight w:val="none"/>
          <w:lang w:val="zh-CN"/>
        </w:rPr>
        <w:t>当</w:t>
      </w:r>
      <w:r>
        <w:rPr>
          <w:rFonts w:hint="eastAsia" w:ascii="宋体" w:hAnsi="宋体" w:cs="楷体_GB2312"/>
          <w:b/>
          <w:color w:val="auto"/>
          <w:sz w:val="24"/>
          <w:highlight w:val="none"/>
          <w:lang w:val="zh-CN"/>
        </w:rPr>
        <w:t>按网上电子交易系统要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进行</w:t>
      </w:r>
      <w:r>
        <w:rPr>
          <w:rFonts w:ascii="宋体" w:hAnsi="宋体" w:cs="楷体_GB2312"/>
          <w:b/>
          <w:color w:val="auto"/>
          <w:sz w:val="24"/>
          <w:highlight w:val="none"/>
          <w:lang w:val="zh-CN"/>
        </w:rPr>
        <w:t>加密</w:t>
      </w:r>
      <w:r>
        <w:rPr>
          <w:rFonts w:hint="eastAsia" w:ascii="宋体" w:hAnsi="宋体" w:cs="楷体_GB2312"/>
          <w:b/>
          <w:color w:val="auto"/>
          <w:sz w:val="24"/>
          <w:highlight w:val="none"/>
          <w:lang w:val="zh-CN"/>
        </w:rPr>
        <w:t>和标记，</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投标文件（响应文件）提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截止时间前，将</w:t>
      </w:r>
      <w:r>
        <w:rPr>
          <w:rFonts w:ascii="宋体" w:hAnsi="宋体" w:cs="楷体_GB2312"/>
          <w:b/>
          <w:color w:val="auto"/>
          <w:sz w:val="24"/>
          <w:highlight w:val="none"/>
          <w:lang w:val="zh-CN"/>
        </w:rPr>
        <w:t>加密的</w:t>
      </w:r>
      <w:r>
        <w:rPr>
          <w:rFonts w:hint="eastAsia" w:ascii="宋体" w:hAnsi="宋体" w:cs="楷体_GB2312"/>
          <w:b/>
          <w:color w:val="auto"/>
          <w:sz w:val="24"/>
          <w:highlight w:val="none"/>
          <w:lang w:val="zh-CN"/>
        </w:rPr>
        <w:t>投标文件（响应文件）</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传至磋商公告所述网上电子交易系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w:t>
      </w:r>
    </w:p>
    <w:p>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13" w:name="OLE_LINK1"/>
      <w:r>
        <w:rPr>
          <w:rFonts w:ascii="宋体" w:hAnsi="宋体" w:cs="楷体_GB2312"/>
          <w:b/>
          <w:color w:val="auto"/>
          <w:sz w:val="24"/>
          <w:highlight w:val="none"/>
          <w:lang w:val="zh-CN"/>
        </w:rPr>
        <w:t xml:space="preserve">4.1.2 </w:t>
      </w:r>
      <w:r>
        <w:rPr>
          <w:rFonts w:hint="eastAsia" w:ascii="宋体" w:hAnsi="宋体" w:cs="楷体_GB2312"/>
          <w:b/>
          <w:color w:val="auto"/>
          <w:sz w:val="24"/>
          <w:highlight w:val="none"/>
          <w:lang w:val="zh-CN"/>
        </w:rPr>
        <w:t>投标文件（响应文件）没有按照上述要求进行</w:t>
      </w:r>
      <w:r>
        <w:rPr>
          <w:rFonts w:ascii="宋体" w:hAnsi="宋体" w:cs="楷体_GB2312"/>
          <w:b/>
          <w:color w:val="auto"/>
          <w:sz w:val="24"/>
          <w:highlight w:val="none"/>
          <w:lang w:val="zh-CN"/>
        </w:rPr>
        <w:t>加密</w:t>
      </w:r>
      <w:r>
        <w:rPr>
          <w:rFonts w:hint="eastAsia" w:ascii="黑体" w:hAnsi="黑体" w:eastAsia="黑体" w:cs="楷体_GB2312"/>
          <w:b/>
          <w:color w:val="auto"/>
          <w:sz w:val="24"/>
          <w:highlight w:val="none"/>
          <w:lang w:val="zh-CN"/>
        </w:rPr>
        <w:t>和标记</w:t>
      </w:r>
      <w:r>
        <w:rPr>
          <w:rFonts w:hint="eastAsia" w:ascii="宋体" w:hAnsi="宋体" w:cs="楷体_GB2312"/>
          <w:b/>
          <w:color w:val="auto"/>
          <w:sz w:val="24"/>
          <w:highlight w:val="none"/>
          <w:lang w:val="zh-CN"/>
        </w:rPr>
        <w:t>的、网上电子交易系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将</w:t>
      </w:r>
      <w:r>
        <w:rPr>
          <w:rFonts w:ascii="宋体" w:hAnsi="宋体" w:cs="楷体_GB2312"/>
          <w:b/>
          <w:color w:val="auto"/>
          <w:sz w:val="24"/>
          <w:highlight w:val="none"/>
          <w:lang w:val="zh-CN"/>
        </w:rPr>
        <w:t>据系统设定</w:t>
      </w:r>
      <w:r>
        <w:rPr>
          <w:rFonts w:hint="eastAsia" w:ascii="宋体" w:hAnsi="宋体" w:cs="楷体_GB2312"/>
          <w:b/>
          <w:color w:val="auto"/>
          <w:sz w:val="24"/>
          <w:highlight w:val="none"/>
          <w:lang w:val="zh-CN"/>
        </w:rPr>
        <w:t>拒收其投标文件（响应文件），投标人应自负该项风险，采购代理机构对可能产</w:t>
      </w:r>
      <w:r>
        <w:rPr>
          <w:rFonts w:ascii="宋体" w:hAnsi="宋体" w:cs="楷体_GB2312"/>
          <w:b/>
          <w:color w:val="auto"/>
          <w:sz w:val="24"/>
          <w:highlight w:val="none"/>
          <w:lang w:val="zh-CN"/>
        </w:rPr>
        <w:t>生的</w:t>
      </w:r>
      <w:r>
        <w:rPr>
          <w:rFonts w:hint="eastAsia" w:ascii="宋体" w:hAnsi="宋体" w:cs="楷体_GB2312"/>
          <w:b/>
          <w:color w:val="auto"/>
          <w:sz w:val="24"/>
          <w:highlight w:val="none"/>
          <w:lang w:val="zh-CN"/>
        </w:rPr>
        <w:t>误投或提前启封概不负责。</w:t>
      </w:r>
      <w:bookmarkEnd w:id="12"/>
      <w:bookmarkEnd w:id="13"/>
      <w:bookmarkStart w:id="14" w:name="_Toc296602445"/>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4.2 </w:t>
      </w:r>
      <w:r>
        <w:rPr>
          <w:rFonts w:hint="eastAsia" w:ascii="黑体" w:hAnsi="黑体" w:eastAsia="黑体" w:cs="楷体_GB2312"/>
          <w:b/>
          <w:color w:val="auto"/>
          <w:sz w:val="24"/>
          <w:highlight w:val="none"/>
          <w:lang w:val="zh-CN"/>
        </w:rPr>
        <w:t>投标文件的递交</w:t>
      </w:r>
      <w:bookmarkEnd w:id="14"/>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4.2.1 </w:t>
      </w:r>
      <w:r>
        <w:rPr>
          <w:rFonts w:hint="eastAsia" w:ascii="宋体" w:hAnsi="宋体" w:cs="楷体_GB2312"/>
          <w:b/>
          <w:color w:val="auto"/>
          <w:sz w:val="24"/>
          <w:highlight w:val="none"/>
          <w:lang w:val="zh-CN"/>
        </w:rPr>
        <w:t>投标人须</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投标文件（响应文件）提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截止时间前，将加密的投标文件（响应文件）上传至磋商公告所述网上电子交易系统（在网上电子交易系统，凭企业数字证书登录投标用户入口 的“政府采购”系统上传）。投标人应在上传时认真检查上传投标文件是否完整、正确。</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4.2.2 </w:t>
      </w:r>
      <w:r>
        <w:rPr>
          <w:rFonts w:hint="eastAsia" w:ascii="宋体" w:hAnsi="宋体" w:cs="楷体_GB2312"/>
          <w:b/>
          <w:color w:val="auto"/>
          <w:sz w:val="24"/>
          <w:highlight w:val="none"/>
          <w:lang w:val="zh-CN"/>
        </w:rPr>
        <w:t>据网上电子交易系统设</w:t>
      </w:r>
      <w:r>
        <w:rPr>
          <w:rFonts w:ascii="宋体" w:hAnsi="宋体" w:cs="楷体_GB2312"/>
          <w:b/>
          <w:color w:val="auto"/>
          <w:sz w:val="24"/>
          <w:highlight w:val="none"/>
          <w:lang w:val="zh-CN"/>
        </w:rPr>
        <w:t>定，</w:t>
      </w:r>
      <w:r>
        <w:rPr>
          <w:rFonts w:hint="eastAsia" w:ascii="宋体" w:hAnsi="宋体" w:cs="楷体_GB2312"/>
          <w:b/>
          <w:color w:val="auto"/>
          <w:sz w:val="24"/>
          <w:highlight w:val="none"/>
          <w:lang w:val="zh-CN"/>
        </w:rPr>
        <w:t>投标文件（响应文件）提交截止时间后，系统将自动锁定已经提交的电子投标文件（响应文件），拒绝再次提交。投</w:t>
      </w:r>
      <w:r>
        <w:rPr>
          <w:rFonts w:ascii="宋体" w:hAnsi="宋体" w:cs="楷体_GB2312"/>
          <w:b/>
          <w:color w:val="auto"/>
          <w:sz w:val="24"/>
          <w:highlight w:val="none"/>
          <w:lang w:val="zh-CN"/>
        </w:rPr>
        <w:t>标人</w:t>
      </w:r>
      <w:r>
        <w:rPr>
          <w:rFonts w:hint="eastAsia" w:ascii="宋体" w:hAnsi="宋体" w:cs="楷体_GB2312"/>
          <w:b/>
          <w:color w:val="auto"/>
          <w:sz w:val="24"/>
          <w:highlight w:val="none"/>
          <w:lang w:val="zh-CN"/>
        </w:rPr>
        <w:t>将无法通过网上电子交易系统进行上传，采购代理机构将无法接受并拒绝接受投标截止时间以后提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的投标文件（响应文件）</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4.2.3 </w:t>
      </w:r>
      <w:r>
        <w:rPr>
          <w:rFonts w:hint="eastAsia" w:ascii="宋体" w:hAnsi="宋体" w:cs="楷体_GB2312"/>
          <w:color w:val="auto"/>
          <w:sz w:val="24"/>
          <w:highlight w:val="none"/>
          <w:lang w:val="zh-CN"/>
        </w:rPr>
        <w:t>由于不可抗拒的原因，代理机构对投标文件（响应文件）的遗失和损坏不负任何责任。</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4.2.4 </w:t>
      </w:r>
      <w:r>
        <w:rPr>
          <w:rFonts w:hint="eastAsia" w:ascii="宋体" w:hAnsi="宋体" w:cs="楷体_GB2312"/>
          <w:color w:val="auto"/>
          <w:sz w:val="24"/>
          <w:highlight w:val="none"/>
          <w:lang w:val="zh-CN"/>
        </w:rPr>
        <w:t>除投标人须知前附表另有规定外，投标人所递交的投标文件（响应文件）不予退还。</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4.2.5 </w:t>
      </w:r>
      <w:r>
        <w:rPr>
          <w:rFonts w:hint="eastAsia" w:ascii="宋体" w:hAnsi="宋体" w:cs="楷体_GB2312"/>
          <w:b/>
          <w:color w:val="auto"/>
          <w:sz w:val="24"/>
          <w:highlight w:val="none"/>
          <w:lang w:val="zh-CN"/>
        </w:rPr>
        <w:t>基于</w:t>
      </w:r>
      <w:r>
        <w:rPr>
          <w:rFonts w:ascii="宋体" w:hAnsi="宋体" w:cs="楷体_GB2312"/>
          <w:b/>
          <w:color w:val="auto"/>
          <w:sz w:val="24"/>
          <w:highlight w:val="none"/>
          <w:lang w:val="zh-CN"/>
        </w:rPr>
        <w:t>网上电子交易的</w:t>
      </w:r>
      <w:r>
        <w:rPr>
          <w:rFonts w:hint="eastAsia" w:ascii="宋体" w:hAnsi="宋体" w:cs="楷体_GB2312"/>
          <w:b/>
          <w:color w:val="auto"/>
          <w:sz w:val="24"/>
          <w:highlight w:val="none"/>
          <w:lang w:val="zh-CN"/>
        </w:rPr>
        <w:t>系统</w:t>
      </w:r>
      <w:r>
        <w:rPr>
          <w:rFonts w:ascii="宋体" w:hAnsi="宋体" w:cs="楷体_GB2312"/>
          <w:b/>
          <w:color w:val="auto"/>
          <w:sz w:val="24"/>
          <w:highlight w:val="none"/>
          <w:lang w:val="zh-CN"/>
        </w:rPr>
        <w:t>要求及</w:t>
      </w:r>
      <w:r>
        <w:rPr>
          <w:rFonts w:hint="eastAsia" w:ascii="宋体" w:hAnsi="宋体" w:cs="楷体_GB2312"/>
          <w:b/>
          <w:color w:val="auto"/>
          <w:sz w:val="24"/>
          <w:highlight w:val="none"/>
          <w:lang w:val="zh-CN"/>
        </w:rPr>
        <w:t>特点</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只</w:t>
      </w:r>
      <w:r>
        <w:rPr>
          <w:rFonts w:ascii="宋体" w:hAnsi="宋体" w:cs="楷体_GB2312"/>
          <w:b/>
          <w:color w:val="auto"/>
          <w:sz w:val="24"/>
          <w:highlight w:val="none"/>
          <w:lang w:val="zh-CN"/>
        </w:rPr>
        <w:t>接受基于</w:t>
      </w:r>
      <w:r>
        <w:rPr>
          <w:rFonts w:hint="eastAsia" w:ascii="宋体" w:hAnsi="宋体" w:cs="楷体_GB2312"/>
          <w:b/>
          <w:color w:val="auto"/>
          <w:sz w:val="24"/>
          <w:highlight w:val="none"/>
          <w:lang w:val="zh-CN"/>
        </w:rPr>
        <w:t>符</w:t>
      </w:r>
      <w:r>
        <w:rPr>
          <w:rFonts w:ascii="宋体" w:hAnsi="宋体" w:cs="楷体_GB2312"/>
          <w:b/>
          <w:color w:val="auto"/>
          <w:sz w:val="24"/>
          <w:highlight w:val="none"/>
          <w:lang w:val="zh-CN"/>
        </w:rPr>
        <w:t>合</w:t>
      </w:r>
      <w:r>
        <w:rPr>
          <w:rFonts w:hint="eastAsia" w:ascii="宋体" w:hAnsi="宋体" w:cs="楷体_GB2312"/>
          <w:b/>
          <w:color w:val="auto"/>
          <w:sz w:val="24"/>
          <w:highlight w:val="none"/>
          <w:lang w:val="zh-CN"/>
        </w:rPr>
        <w:t>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的</w:t>
      </w:r>
      <w:r>
        <w:rPr>
          <w:rFonts w:ascii="宋体" w:hAnsi="宋体" w:cs="楷体_GB2312"/>
          <w:b/>
          <w:color w:val="auto"/>
          <w:sz w:val="24"/>
          <w:highlight w:val="none"/>
          <w:lang w:val="zh-CN"/>
        </w:rPr>
        <w:t>投标</w:t>
      </w:r>
      <w:r>
        <w:rPr>
          <w:rFonts w:hint="eastAsia" w:ascii="宋体" w:hAnsi="宋体" w:cs="楷体_GB2312"/>
          <w:b/>
          <w:color w:val="auto"/>
          <w:sz w:val="24"/>
          <w:highlight w:val="none"/>
          <w:lang w:val="zh-CN"/>
        </w:rPr>
        <w:t>，</w:t>
      </w:r>
      <w:r>
        <w:rPr>
          <w:rFonts w:ascii="宋体" w:hAnsi="宋体" w:cs="楷体_GB2312"/>
          <w:b/>
          <w:color w:val="auto"/>
          <w:sz w:val="24"/>
          <w:highlight w:val="none"/>
          <w:lang w:val="zh-CN"/>
        </w:rPr>
        <w:t>其他如纸制、送达、</w:t>
      </w:r>
      <w:r>
        <w:rPr>
          <w:rFonts w:hint="eastAsia" w:ascii="宋体" w:hAnsi="宋体" w:cs="楷体_GB2312"/>
          <w:b/>
          <w:color w:val="auto"/>
          <w:sz w:val="24"/>
          <w:highlight w:val="none"/>
          <w:lang w:val="zh-CN"/>
        </w:rPr>
        <w:t>电报、电话、电子邮件等形式的投标概不接受。</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4.3 </w:t>
      </w:r>
      <w:r>
        <w:rPr>
          <w:rFonts w:hint="eastAsia" w:ascii="黑体" w:hAnsi="黑体" w:eastAsia="黑体" w:cs="楷体_GB2312"/>
          <w:b/>
          <w:color w:val="auto"/>
          <w:sz w:val="24"/>
          <w:highlight w:val="none"/>
          <w:lang w:val="zh-CN"/>
        </w:rPr>
        <w:t>投标文件（响应文件）的修改与撤回</w:t>
      </w:r>
      <w:r>
        <w:rPr>
          <w:rFonts w:hint="eastAsia" w:ascii="宋体" w:hAnsi="宋体" w:cs="楷体_GB2312"/>
          <w:color w:val="auto"/>
          <w:sz w:val="24"/>
          <w:highlight w:val="none"/>
          <w:lang w:val="zh-CN"/>
        </w:rPr>
        <w:t>：</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4.3.1</w:t>
      </w:r>
      <w:r>
        <w:rPr>
          <w:rFonts w:hint="eastAsia" w:ascii="宋体" w:hAnsi="宋体" w:cs="楷体_GB2312"/>
          <w:b/>
          <w:color w:val="auto"/>
          <w:sz w:val="24"/>
          <w:highlight w:val="none"/>
          <w:lang w:val="zh-CN"/>
        </w:rPr>
        <w:t xml:space="preserve"> 投标人于提交投标文件（响应文件）截止时间前如对投标文件进行补充、修改，可以上传新的投标文件进行覆盖。投标人如撤回投标文件，应及时书面通知采购代理机构进行办理。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b/>
          <w:color w:val="auto"/>
          <w:sz w:val="24"/>
          <w:highlight w:val="none"/>
          <w:lang w:val="zh-CN"/>
        </w:rPr>
        <w:t>4.3.</w:t>
      </w:r>
      <w:r>
        <w:rPr>
          <w:rFonts w:hint="eastAsia" w:ascii="宋体" w:hAnsi="宋体" w:cs="楷体_GB2312"/>
          <w:b/>
          <w:color w:val="auto"/>
          <w:sz w:val="24"/>
          <w:highlight w:val="none"/>
          <w:lang w:val="zh-CN"/>
        </w:rPr>
        <w:t>2 投标人在投标文件（响应文件）提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截止时间后不得自行修改或撤回其投标，否则</w:t>
      </w:r>
      <w:r>
        <w:rPr>
          <w:rFonts w:hint="eastAsia" w:ascii="宋体" w:hAnsi="宋体"/>
          <w:color w:val="auto"/>
          <w:sz w:val="24"/>
          <w:szCs w:val="24"/>
          <w:highlight w:val="none"/>
        </w:rPr>
        <w:t>依据</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p>
    <w:p>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15" w:name="_Toc105581285"/>
      <w:r>
        <w:rPr>
          <w:rFonts w:ascii="黑体" w:hAnsi="黑体" w:eastAsia="黑体" w:cs="楷体_GB2312"/>
          <w:b/>
          <w:bCs/>
          <w:color w:val="auto"/>
          <w:sz w:val="28"/>
          <w:szCs w:val="28"/>
          <w:highlight w:val="none"/>
          <w:lang w:val="zh-CN"/>
        </w:rPr>
        <w:t xml:space="preserve">5. </w:t>
      </w:r>
      <w:r>
        <w:rPr>
          <w:rFonts w:hint="eastAsia" w:ascii="黑体" w:hAnsi="黑体" w:eastAsia="黑体" w:cs="楷体_GB2312"/>
          <w:b/>
          <w:bCs/>
          <w:color w:val="auto"/>
          <w:sz w:val="28"/>
          <w:szCs w:val="28"/>
          <w:highlight w:val="none"/>
          <w:lang w:val="zh-CN"/>
        </w:rPr>
        <w:t>开标（响应文件的开启）</w:t>
      </w:r>
      <w:bookmarkEnd w:id="15"/>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5.1 </w:t>
      </w:r>
      <w:r>
        <w:rPr>
          <w:rFonts w:hint="eastAsia" w:ascii="黑体" w:hAnsi="黑体" w:eastAsia="黑体" w:cs="楷体_GB2312"/>
          <w:b/>
          <w:color w:val="auto"/>
          <w:sz w:val="24"/>
          <w:highlight w:val="none"/>
          <w:lang w:val="zh-CN"/>
        </w:rPr>
        <w:t>开标时间和地点</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5.1.1 </w:t>
      </w:r>
      <w:r>
        <w:rPr>
          <w:rFonts w:hint="eastAsia" w:ascii="宋体" w:hAnsi="宋体" w:cs="楷体_GB2312"/>
          <w:b/>
          <w:color w:val="auto"/>
          <w:sz w:val="24"/>
          <w:highlight w:val="none"/>
          <w:lang w:val="zh-CN"/>
        </w:rPr>
        <w:t>采购人和采购代理机构按磋商公告规定的时间和地点于</w:t>
      </w:r>
      <w:r>
        <w:rPr>
          <w:rFonts w:ascii="宋体" w:hAnsi="宋体" w:cs="楷体_GB2312"/>
          <w:b/>
          <w:color w:val="auto"/>
          <w:sz w:val="24"/>
          <w:highlight w:val="none"/>
          <w:lang w:val="zh-CN"/>
        </w:rPr>
        <w:t>网上</w:t>
      </w:r>
      <w:r>
        <w:rPr>
          <w:rFonts w:hint="eastAsia" w:ascii="宋体" w:hAnsi="宋体" w:cs="楷体_GB2312"/>
          <w:b/>
          <w:color w:val="auto"/>
          <w:sz w:val="24"/>
          <w:highlight w:val="none"/>
          <w:lang w:val="zh-CN"/>
        </w:rPr>
        <w:t>（磋商公告所述网上电子交易系统</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公开开标。</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5.1.2</w:t>
      </w:r>
      <w:r>
        <w:rPr>
          <w:rFonts w:hint="eastAsia" w:ascii="宋体" w:hAnsi="宋体" w:cs="楷体_GB2312"/>
          <w:b/>
          <w:color w:val="auto"/>
          <w:sz w:val="24"/>
          <w:highlight w:val="none"/>
          <w:lang w:val="zh-CN"/>
        </w:rPr>
        <w:t xml:space="preserve"> 投标人需在开标前打开磋商公告所述网上电子交易系统，凭企业数字证书登录投标用户入口 的“政府采购”系统，并进入本项目相匹配的网上开标室。</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5.2 </w:t>
      </w:r>
      <w:r>
        <w:rPr>
          <w:rFonts w:hint="eastAsia" w:ascii="黑体" w:hAnsi="黑体" w:eastAsia="黑体" w:cs="楷体_GB2312"/>
          <w:b/>
          <w:color w:val="auto"/>
          <w:sz w:val="24"/>
          <w:highlight w:val="none"/>
          <w:lang w:val="zh-CN"/>
        </w:rPr>
        <w:t>开标程序</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5.2.1</w:t>
      </w:r>
      <w:r>
        <w:rPr>
          <w:rFonts w:hint="eastAsia" w:ascii="宋体" w:hAnsi="宋体" w:cs="楷体_GB2312"/>
          <w:b/>
          <w:color w:val="auto"/>
          <w:sz w:val="24"/>
          <w:highlight w:val="none"/>
          <w:lang w:val="zh-CN"/>
        </w:rPr>
        <w:t xml:space="preserve"> 本项目为网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电子交易方</w:t>
      </w:r>
      <w:r>
        <w:rPr>
          <w:rFonts w:ascii="宋体" w:hAnsi="宋体" w:cs="楷体_GB2312"/>
          <w:b/>
          <w:color w:val="auto"/>
          <w:sz w:val="24"/>
          <w:highlight w:val="none"/>
          <w:lang w:val="zh-CN"/>
        </w:rPr>
        <w:t>式，</w:t>
      </w:r>
      <w:r>
        <w:rPr>
          <w:rFonts w:hint="eastAsia" w:ascii="宋体" w:hAnsi="宋体" w:cs="楷体_GB2312"/>
          <w:b/>
          <w:color w:val="auto"/>
          <w:sz w:val="24"/>
          <w:highlight w:val="none"/>
          <w:lang w:val="zh-CN"/>
        </w:rPr>
        <w:t>投标文件（响应文件）的开启方式为远程解密，为保证开标工作顺利进行，投标人需在开标阶段</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管理员下达解密指令后的指定时限内，完成对本单位的加密投标文件（响应文件）的远程解密。如投标人因自身原因、在指定时限内没</w:t>
      </w:r>
      <w:r>
        <w:rPr>
          <w:rFonts w:ascii="宋体" w:hAnsi="宋体" w:cs="楷体_GB2312"/>
          <w:b/>
          <w:color w:val="auto"/>
          <w:sz w:val="24"/>
          <w:highlight w:val="none"/>
          <w:lang w:val="zh-CN"/>
        </w:rPr>
        <w:t>有</w:t>
      </w:r>
      <w:r>
        <w:rPr>
          <w:rFonts w:hint="eastAsia" w:ascii="宋体" w:hAnsi="宋体" w:cs="楷体_GB2312"/>
          <w:b/>
          <w:color w:val="auto"/>
          <w:sz w:val="24"/>
          <w:highlight w:val="none"/>
          <w:lang w:val="zh-CN"/>
        </w:rPr>
        <w:t>解密成功的，其投标将不能被接受，投标人自行承担相应后果。解密完成后，投标人的报价将在系统界面上显示。</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鉴于网上电子交易方式的特点，管理员将根据系统情况下达解密指令。</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b/>
          <w:color w:val="auto"/>
          <w:sz w:val="24"/>
          <w:highlight w:val="none"/>
          <w:lang w:val="zh-CN"/>
        </w:rPr>
        <w:t>5.2.2</w:t>
      </w:r>
      <w:r>
        <w:rPr>
          <w:rFonts w:hint="eastAsia" w:ascii="宋体" w:hAnsi="宋体" w:cs="楷体_GB2312"/>
          <w:b/>
          <w:color w:val="auto"/>
          <w:sz w:val="24"/>
          <w:highlight w:val="none"/>
          <w:lang w:val="zh-CN"/>
        </w:rPr>
        <w:t xml:space="preserve"> 投标人对开标过程和开标记录有疑义，以及认为采购人、采购代理机构相关工作人员有需要回避的情形的，应在系统中提出询问或者回避申请，否则，视为对开标无异议。</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5.2.3 </w:t>
      </w:r>
      <w:r>
        <w:rPr>
          <w:rFonts w:hint="eastAsia" w:ascii="宋体" w:hAnsi="宋体" w:cs="楷体_GB2312"/>
          <w:color w:val="auto"/>
          <w:sz w:val="24"/>
          <w:highlight w:val="none"/>
          <w:lang w:val="zh-CN"/>
        </w:rPr>
        <w:t>在开标或评审过程中，有效投标应在三家以上（包括三家）；有效投标不足三家的应予终止（废标）。</w:t>
      </w:r>
    </w:p>
    <w:p>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16" w:name="_Toc105581286"/>
      <w:r>
        <w:rPr>
          <w:rFonts w:ascii="黑体" w:hAnsi="黑体" w:eastAsia="黑体" w:cs="楷体_GB2312"/>
          <w:b/>
          <w:bCs/>
          <w:color w:val="auto"/>
          <w:sz w:val="28"/>
          <w:szCs w:val="28"/>
          <w:highlight w:val="none"/>
          <w:lang w:val="zh-CN"/>
        </w:rPr>
        <w:t xml:space="preserve">6. </w:t>
      </w:r>
      <w:r>
        <w:rPr>
          <w:rFonts w:hint="eastAsia" w:ascii="黑体" w:hAnsi="黑体" w:eastAsia="黑体" w:cs="楷体_GB2312"/>
          <w:b/>
          <w:bCs/>
          <w:color w:val="auto"/>
          <w:sz w:val="28"/>
          <w:szCs w:val="28"/>
          <w:highlight w:val="none"/>
          <w:lang w:val="zh-CN"/>
        </w:rPr>
        <w:t>评审</w:t>
      </w:r>
      <w:bookmarkEnd w:id="16"/>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黑体" w:hAnsi="黑体" w:eastAsia="黑体" w:cs="楷体_GB2312"/>
          <w:b/>
          <w:color w:val="auto"/>
          <w:sz w:val="24"/>
          <w:highlight w:val="none"/>
          <w:lang w:val="zh-CN"/>
        </w:rPr>
        <w:t xml:space="preserve">6.1 </w:t>
      </w:r>
      <w:r>
        <w:rPr>
          <w:rFonts w:hint="eastAsia" w:ascii="黑体" w:hAnsi="黑体" w:eastAsia="黑体" w:cs="楷体_GB2312"/>
          <w:b/>
          <w:color w:val="auto"/>
          <w:sz w:val="24"/>
          <w:highlight w:val="none"/>
          <w:lang w:val="zh-CN"/>
        </w:rPr>
        <w:t>磋商小组</w:t>
      </w:r>
      <w:r>
        <w:rPr>
          <w:rFonts w:hint="eastAsia" w:ascii="宋体" w:hAnsi="宋体" w:cs="楷体_GB2312"/>
          <w:color w:val="auto"/>
          <w:sz w:val="24"/>
          <w:highlight w:val="none"/>
          <w:lang w:val="zh-CN"/>
        </w:rPr>
        <w:t>评审工作由依法组建的磋商小组负责。磋商小组由评审专家共</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人及以上单数组成，其中评审专家人数不少于磋商小组成员总数的</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，评审专家是在监督部门监督下从政府采购专家库中随机抽取产生。</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6.2 </w:t>
      </w:r>
      <w:r>
        <w:rPr>
          <w:rFonts w:hint="eastAsia" w:ascii="黑体" w:hAnsi="黑体" w:eastAsia="黑体" w:cs="楷体_GB2312"/>
          <w:b/>
          <w:color w:val="auto"/>
          <w:sz w:val="24"/>
          <w:highlight w:val="none"/>
          <w:lang w:val="zh-CN"/>
        </w:rPr>
        <w:t>评审原则</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6.2.1 </w:t>
      </w:r>
      <w:r>
        <w:rPr>
          <w:rFonts w:hint="eastAsia" w:ascii="宋体" w:hAnsi="宋体" w:cs="楷体_GB2312"/>
          <w:color w:val="auto"/>
          <w:sz w:val="24"/>
          <w:highlight w:val="none"/>
          <w:lang w:val="zh-CN"/>
        </w:rPr>
        <w:t>坚持公开、公平、公正地对待所有投标人。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6.2.2 </w:t>
      </w:r>
      <w:r>
        <w:rPr>
          <w:rFonts w:hint="eastAsia" w:ascii="宋体" w:hAnsi="宋体" w:cs="楷体_GB2312"/>
          <w:color w:val="auto"/>
          <w:sz w:val="24"/>
          <w:highlight w:val="none"/>
          <w:lang w:val="zh-CN"/>
        </w:rPr>
        <w:t>按照同一评审程序及方法审查所有投标人的投标文件。</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6.2.3 </w:t>
      </w:r>
      <w:r>
        <w:rPr>
          <w:rFonts w:hint="eastAsia" w:ascii="宋体" w:hAnsi="宋体" w:cs="楷体_GB2312"/>
          <w:color w:val="auto"/>
          <w:sz w:val="24"/>
          <w:highlight w:val="none"/>
          <w:lang w:val="zh-CN"/>
        </w:rPr>
        <w:t>反对不正当竞争</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6.3 </w:t>
      </w:r>
      <w:r>
        <w:rPr>
          <w:rFonts w:hint="eastAsia" w:ascii="黑体" w:hAnsi="黑体" w:eastAsia="黑体" w:cs="楷体_GB2312"/>
          <w:b/>
          <w:color w:val="auto"/>
          <w:sz w:val="24"/>
          <w:highlight w:val="none"/>
          <w:lang w:val="zh-CN"/>
        </w:rPr>
        <w:t>评审</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6.3.1</w:t>
      </w:r>
      <w:r>
        <w:rPr>
          <w:rFonts w:hint="eastAsia" w:ascii="宋体" w:hAnsi="宋体" w:cs="楷体_GB2312"/>
          <w:color w:val="auto"/>
          <w:sz w:val="24"/>
          <w:highlight w:val="none"/>
          <w:lang w:val="zh-CN"/>
        </w:rPr>
        <w:t xml:space="preserve"> 评审工作在磋商小组内独立进行。磋商小组按照第四章“评审办法”规定的方法、评审因素、标准和程序对投标文件进行评审。第四章“评审办法”没有规定的方法、评审因素和标准，不作为评审依据。</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6.3.2</w:t>
      </w:r>
      <w:r>
        <w:rPr>
          <w:rFonts w:hint="eastAsia" w:ascii="宋体" w:hAnsi="宋体" w:cs="楷体_GB2312"/>
          <w:color w:val="auto"/>
          <w:sz w:val="24"/>
          <w:highlight w:val="none"/>
          <w:lang w:val="zh-CN"/>
        </w:rPr>
        <w:t xml:space="preserve"> 在开标、评审期间，投标人不得向磋商小组成员询问情况，不得进行旨在影响评审结果的活动。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6.4 </w:t>
      </w:r>
      <w:r>
        <w:rPr>
          <w:rFonts w:hint="eastAsia" w:ascii="黑体" w:hAnsi="黑体" w:eastAsia="黑体" w:cs="楷体_GB2312"/>
          <w:b/>
          <w:color w:val="auto"/>
          <w:sz w:val="24"/>
          <w:highlight w:val="none"/>
          <w:lang w:val="zh-CN"/>
        </w:rPr>
        <w:t xml:space="preserve"> 谈判：</w:t>
      </w:r>
      <w:r>
        <w:rPr>
          <w:rFonts w:hint="eastAsia" w:ascii="宋体" w:hAnsi="宋体" w:cs="楷体_GB2312"/>
          <w:color w:val="auto"/>
          <w:sz w:val="24"/>
          <w:highlight w:val="none"/>
          <w:lang w:val="zh-CN"/>
        </w:rPr>
        <w:t>见第四章评审办法</w:t>
      </w:r>
      <w:r>
        <w:rPr>
          <w:rFonts w:ascii="宋体" w:hAnsi="宋体" w:cs="楷体_GB2312"/>
          <w:color w:val="auto"/>
          <w:sz w:val="24"/>
          <w:highlight w:val="none"/>
          <w:lang w:val="zh-CN"/>
        </w:rPr>
        <w:t>3.5</w:t>
      </w:r>
      <w:r>
        <w:rPr>
          <w:rFonts w:hint="eastAsia" w:ascii="宋体" w:hAnsi="宋体" w:cs="楷体_GB2312"/>
          <w:color w:val="auto"/>
          <w:sz w:val="24"/>
          <w:highlight w:val="none"/>
          <w:lang w:val="zh-CN"/>
        </w:rPr>
        <w:t>款谈判规则。</w:t>
      </w: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17" w:name="_Toc105581287"/>
      <w:r>
        <w:rPr>
          <w:rFonts w:ascii="黑体" w:hAnsi="黑体" w:eastAsia="黑体" w:cs="楷体_GB2312"/>
          <w:b/>
          <w:bCs/>
          <w:color w:val="auto"/>
          <w:sz w:val="28"/>
          <w:szCs w:val="28"/>
          <w:highlight w:val="none"/>
          <w:lang w:val="zh-CN"/>
        </w:rPr>
        <w:t xml:space="preserve">7. </w:t>
      </w:r>
      <w:r>
        <w:rPr>
          <w:rFonts w:hint="eastAsia" w:ascii="黑体" w:hAnsi="黑体" w:eastAsia="黑体" w:cs="楷体_GB2312"/>
          <w:b/>
          <w:bCs/>
          <w:color w:val="auto"/>
          <w:sz w:val="28"/>
          <w:szCs w:val="28"/>
          <w:highlight w:val="none"/>
          <w:lang w:val="zh-CN"/>
        </w:rPr>
        <w:t>授予合同</w:t>
      </w:r>
      <w:bookmarkEnd w:id="17"/>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7.1 </w:t>
      </w:r>
      <w:r>
        <w:rPr>
          <w:rFonts w:hint="eastAsia" w:ascii="黑体" w:hAnsi="黑体" w:eastAsia="黑体" w:cs="楷体_GB2312"/>
          <w:b/>
          <w:color w:val="auto"/>
          <w:sz w:val="24"/>
          <w:highlight w:val="none"/>
          <w:lang w:val="zh-CN"/>
        </w:rPr>
        <w:t>确定成交供应商方式</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除投标人须知前附表规定授权磋商小组直接确定成交供应商外，采购人应当自收到评审报告之日起</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7.2 </w:t>
      </w:r>
      <w:r>
        <w:rPr>
          <w:rFonts w:hint="eastAsia" w:ascii="黑体" w:hAnsi="黑体" w:eastAsia="黑体" w:cs="楷体_GB2312"/>
          <w:b/>
          <w:color w:val="auto"/>
          <w:sz w:val="24"/>
          <w:highlight w:val="none"/>
          <w:lang w:val="zh-CN"/>
        </w:rPr>
        <w:t>成交结果公告</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采购代理机构在成交供应商确定后1个工作日内，在磋商公告所述媒体公告成交结果。同时向成交供应商发出成交通知书。成交结果公告期限为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7.3 </w:t>
      </w:r>
      <w:r>
        <w:rPr>
          <w:rFonts w:hint="eastAsia" w:ascii="黑体" w:hAnsi="黑体" w:eastAsia="黑体" w:cs="楷体_GB2312"/>
          <w:b/>
          <w:color w:val="auto"/>
          <w:sz w:val="24"/>
          <w:highlight w:val="none"/>
          <w:lang w:val="zh-CN"/>
        </w:rPr>
        <w:t>质疑、投诉：</w:t>
      </w:r>
    </w:p>
    <w:p>
      <w:pPr>
        <w:autoSpaceDE w:val="0"/>
        <w:autoSpaceDN w:val="0"/>
        <w:adjustRightInd w:val="0"/>
        <w:snapToGrid w:val="0"/>
        <w:spacing w:before="156" w:beforeLines="50" w:line="300" w:lineRule="auto"/>
        <w:ind w:firstLine="537" w:firstLineChars="224"/>
        <w:rPr>
          <w:rFonts w:ascii="宋体" w:cs="楷体_GB2312"/>
          <w:color w:val="auto"/>
          <w:sz w:val="24"/>
          <w:highlight w:val="none"/>
          <w:lang w:val="zh-CN"/>
        </w:rPr>
      </w:pPr>
      <w:r>
        <w:rPr>
          <w:rFonts w:ascii="宋体" w:hAnsi="宋体"/>
          <w:color w:val="auto"/>
          <w:sz w:val="24"/>
          <w:highlight w:val="none"/>
        </w:rPr>
        <w:t>7.3.1</w:t>
      </w:r>
      <w:r>
        <w:rPr>
          <w:rFonts w:hint="eastAsia" w:ascii="宋体" w:hAnsi="宋体" w:cs="楷体_GB2312"/>
          <w:color w:val="auto"/>
          <w:sz w:val="24"/>
          <w:highlight w:val="none"/>
          <w:lang w:val="zh-CN"/>
        </w:rPr>
        <w:t>见投标人须知前附表</w:t>
      </w:r>
    </w:p>
    <w:p>
      <w:pPr>
        <w:adjustRightInd w:val="0"/>
        <w:snapToGrid w:val="0"/>
        <w:spacing w:before="156" w:beforeLines="50" w:line="240" w:lineRule="auto"/>
        <w:ind w:firstLine="600" w:firstLineChars="250"/>
        <w:rPr>
          <w:rFonts w:ascii="宋体"/>
          <w:color w:val="auto"/>
          <w:sz w:val="24"/>
          <w:highlight w:val="none"/>
        </w:rPr>
      </w:pPr>
      <w:r>
        <w:rPr>
          <w:rFonts w:ascii="宋体" w:hAnsi="宋体"/>
          <w:color w:val="auto"/>
          <w:sz w:val="24"/>
          <w:highlight w:val="none"/>
        </w:rPr>
        <w:t>7.3.2</w:t>
      </w:r>
      <w:r>
        <w:rPr>
          <w:rFonts w:hint="eastAsia" w:ascii="宋体" w:hAnsi="宋体"/>
          <w:color w:val="auto"/>
          <w:sz w:val="24"/>
          <w:highlight w:val="none"/>
        </w:rPr>
        <w:t>询问或者质疑事项可能影响成交结果的，采购人应当暂停签订合同，已经签订合同的，应当中止履行合同。</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7.4 </w:t>
      </w:r>
      <w:r>
        <w:rPr>
          <w:rFonts w:hint="eastAsia" w:ascii="黑体" w:hAnsi="黑体" w:eastAsia="黑体" w:cs="楷体_GB2312"/>
          <w:b/>
          <w:color w:val="auto"/>
          <w:sz w:val="24"/>
          <w:highlight w:val="none"/>
          <w:lang w:val="zh-CN"/>
        </w:rPr>
        <w:t>成交通知：</w:t>
      </w:r>
      <w:r>
        <w:rPr>
          <w:rFonts w:hint="eastAsia" w:ascii="宋体" w:hAnsi="宋体" w:cs="楷体_GB2312"/>
          <w:color w:val="auto"/>
          <w:sz w:val="24"/>
          <w:highlight w:val="none"/>
          <w:lang w:val="zh-CN"/>
        </w:rPr>
        <w:t>见投标人须知前附表</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7.5 </w:t>
      </w:r>
      <w:r>
        <w:rPr>
          <w:rFonts w:hint="eastAsia" w:ascii="黑体" w:hAnsi="黑体" w:eastAsia="黑体" w:cs="楷体_GB2312"/>
          <w:b/>
          <w:color w:val="auto"/>
          <w:sz w:val="24"/>
          <w:highlight w:val="none"/>
          <w:lang w:val="zh-CN"/>
        </w:rPr>
        <w:t>履约保证金</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7.5.1</w:t>
      </w:r>
      <w:r>
        <w:rPr>
          <w:rFonts w:hint="eastAsia" w:ascii="宋体" w:hAnsi="宋体" w:cs="楷体_GB2312"/>
          <w:color w:val="auto"/>
          <w:sz w:val="24"/>
          <w:highlight w:val="none"/>
          <w:lang w:val="zh-CN"/>
        </w:rPr>
        <w:t xml:space="preserve"> 在签订合同时，成交供应商应按投标人须知前附表规定向采购人提交履约保证金。</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7.5.2 </w:t>
      </w:r>
      <w:r>
        <w:rPr>
          <w:rFonts w:hint="eastAsia" w:ascii="宋体" w:hAnsi="宋体" w:cs="楷体_GB2312"/>
          <w:color w:val="auto"/>
          <w:sz w:val="24"/>
          <w:highlight w:val="none"/>
          <w:lang w:val="zh-CN"/>
        </w:rPr>
        <w:t>成交供应商不能按本章第</w:t>
      </w:r>
      <w:r>
        <w:rPr>
          <w:rFonts w:ascii="宋体" w:hAnsi="宋体" w:cs="楷体_GB2312"/>
          <w:color w:val="auto"/>
          <w:sz w:val="24"/>
          <w:highlight w:val="none"/>
          <w:lang w:val="zh-CN"/>
        </w:rPr>
        <w:t>7.5.1</w:t>
      </w:r>
      <w:r>
        <w:rPr>
          <w:rFonts w:hint="eastAsia" w:ascii="宋体" w:hAnsi="宋体" w:cs="楷体_GB2312"/>
          <w:color w:val="auto"/>
          <w:sz w:val="24"/>
          <w:highlight w:val="none"/>
          <w:lang w:val="zh-CN"/>
        </w:rPr>
        <w:t>项要求提交履约保证金的，视为放弃成交资格，</w:t>
      </w:r>
      <w:r>
        <w:rPr>
          <w:rFonts w:hint="eastAsia" w:ascii="宋体" w:hAnsi="宋体"/>
          <w:color w:val="auto"/>
          <w:sz w:val="24"/>
          <w:szCs w:val="24"/>
          <w:highlight w:val="none"/>
        </w:rPr>
        <w:t>依据</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r>
        <w:rPr>
          <w:rFonts w:hint="eastAsia" w:ascii="宋体" w:hAnsi="宋体" w:cs="楷体_GB2312"/>
          <w:color w:val="auto"/>
          <w:sz w:val="24"/>
          <w:highlight w:val="none"/>
          <w:lang w:val="zh-CN"/>
        </w:rPr>
        <w:t>给采购人及采购代理机构造成损失的，成交供应商应当予以赔偿。</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7.6 </w:t>
      </w:r>
      <w:r>
        <w:rPr>
          <w:rFonts w:hint="eastAsia" w:ascii="黑体" w:hAnsi="黑体" w:eastAsia="黑体" w:cs="楷体_GB2312"/>
          <w:b/>
          <w:color w:val="auto"/>
          <w:sz w:val="24"/>
          <w:highlight w:val="none"/>
          <w:lang w:val="zh-CN"/>
        </w:rPr>
        <w:t>签订合同</w:t>
      </w:r>
    </w:p>
    <w:p>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olor w:val="auto"/>
          <w:sz w:val="24"/>
          <w:highlight w:val="none"/>
        </w:rPr>
        <w:t xml:space="preserve">7.6.1 </w:t>
      </w:r>
      <w:r>
        <w:rPr>
          <w:rFonts w:hint="eastAsia" w:ascii="宋体" w:hAnsi="宋体"/>
          <w:color w:val="auto"/>
          <w:sz w:val="24"/>
          <w:highlight w:val="none"/>
        </w:rPr>
        <w:t>据优化营商环境精神，成交供应商应在《成交通知书》发出后</w:t>
      </w:r>
      <w:r>
        <w:rPr>
          <w:rFonts w:hint="eastAsia" w:ascii="宋体" w:hAnsi="宋体"/>
          <w:color w:val="auto"/>
          <w:sz w:val="24"/>
          <w:highlight w:val="none"/>
          <w:lang w:val="en-US" w:eastAsia="zh-CN"/>
        </w:rPr>
        <w:t>1</w:t>
      </w:r>
      <w:r>
        <w:rPr>
          <w:rFonts w:hint="eastAsia" w:ascii="宋体" w:hAnsi="宋体"/>
          <w:color w:val="auto"/>
          <w:sz w:val="24"/>
          <w:highlight w:val="none"/>
        </w:rPr>
        <w:t>个工作日内，按照</w:t>
      </w:r>
      <w:r>
        <w:rPr>
          <w:rFonts w:hint="eastAsia" w:ascii="宋体" w:hAnsi="宋体"/>
          <w:color w:val="auto"/>
          <w:sz w:val="24"/>
          <w:highlight w:val="none"/>
          <w:lang w:eastAsia="zh-CN"/>
        </w:rPr>
        <w:t>磋商文件</w:t>
      </w:r>
      <w:r>
        <w:rPr>
          <w:rFonts w:hint="eastAsia" w:ascii="宋体" w:hAnsi="宋体"/>
          <w:color w:val="auto"/>
          <w:sz w:val="24"/>
          <w:highlight w:val="none"/>
        </w:rPr>
        <w:t>确定的合同文本以及成交标的、技术和服务等事项与采购人签订</w:t>
      </w:r>
      <w:r>
        <w:rPr>
          <w:rFonts w:hint="eastAsia" w:ascii="宋体" w:hAnsi="宋体" w:cs="楷体_GB2312"/>
          <w:color w:val="auto"/>
          <w:sz w:val="24"/>
          <w:highlight w:val="none"/>
          <w:lang w:val="zh-CN"/>
        </w:rPr>
        <w:t>书面</w:t>
      </w:r>
      <w:r>
        <w:rPr>
          <w:rFonts w:hint="eastAsia" w:ascii="宋体" w:hAnsi="宋体"/>
          <w:color w:val="auto"/>
          <w:sz w:val="24"/>
          <w:highlight w:val="none"/>
        </w:rPr>
        <w:t>政府采购合同。</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olor w:val="auto"/>
          <w:sz w:val="24"/>
          <w:highlight w:val="none"/>
        </w:rPr>
        <w:t xml:space="preserve">7.6.2 </w:t>
      </w:r>
      <w:r>
        <w:rPr>
          <w:rFonts w:hint="eastAsia" w:ascii="宋体" w:hAnsi="宋体"/>
          <w:color w:val="auto"/>
          <w:sz w:val="24"/>
          <w:highlight w:val="none"/>
        </w:rPr>
        <w:t>如成交供应商不按时签订合同、</w:t>
      </w:r>
      <w:r>
        <w:rPr>
          <w:rFonts w:hint="eastAsia" w:ascii="宋体" w:hAnsi="宋体" w:cs="楷体_GB2312"/>
          <w:color w:val="auto"/>
          <w:sz w:val="24"/>
          <w:highlight w:val="none"/>
          <w:lang w:val="zh-CN"/>
        </w:rPr>
        <w:t>拒签合同的，取消其成交资格，</w:t>
      </w:r>
      <w:r>
        <w:rPr>
          <w:rFonts w:hint="eastAsia" w:ascii="宋体" w:hAnsi="宋体"/>
          <w:color w:val="auto"/>
          <w:sz w:val="24"/>
          <w:szCs w:val="24"/>
          <w:highlight w:val="none"/>
        </w:rPr>
        <w:t>依据</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r>
        <w:rPr>
          <w:rFonts w:hint="eastAsia" w:ascii="宋体" w:hAnsi="宋体" w:cs="楷体_GB2312"/>
          <w:color w:val="auto"/>
          <w:sz w:val="24"/>
          <w:highlight w:val="none"/>
          <w:lang w:val="zh-CN"/>
        </w:rPr>
        <w:t>给采购人造成损失的，成交供应商应当予以赔偿。</w:t>
      </w:r>
    </w:p>
    <w:p>
      <w:pPr>
        <w:widowControl w:val="0"/>
        <w:adjustRightInd w:val="0"/>
        <w:snapToGrid w:val="0"/>
        <w:spacing w:before="156" w:beforeLines="50" w:line="300" w:lineRule="auto"/>
        <w:ind w:firstLine="566"/>
        <w:rPr>
          <w:color w:val="auto"/>
          <w:sz w:val="24"/>
          <w:szCs w:val="24"/>
          <w:highlight w:val="none"/>
        </w:rPr>
      </w:pPr>
      <w:r>
        <w:rPr>
          <w:rFonts w:ascii="宋体" w:hAnsi="宋体"/>
          <w:color w:val="auto"/>
          <w:sz w:val="24"/>
          <w:szCs w:val="24"/>
          <w:highlight w:val="none"/>
        </w:rPr>
        <w:t>7.6.3</w:t>
      </w:r>
      <w:r>
        <w:rPr>
          <w:rFonts w:hint="eastAsia" w:ascii="宋体" w:hAnsi="宋体"/>
          <w:color w:val="auto"/>
          <w:sz w:val="24"/>
          <w:szCs w:val="24"/>
          <w:highlight w:val="none"/>
        </w:rPr>
        <w:t xml:space="preserve"> 合同生效：成交供应商与采购人签订的合同，双方签字后盖章生效</w:t>
      </w:r>
      <w:r>
        <w:rPr>
          <w:rFonts w:hint="eastAsia"/>
          <w:color w:val="auto"/>
          <w:sz w:val="24"/>
          <w:szCs w:val="24"/>
          <w:highlight w:val="none"/>
        </w:rPr>
        <w:t>。</w:t>
      </w:r>
      <w:r>
        <w:rPr>
          <w:rFonts w:hint="eastAsia" w:ascii="宋体" w:hAnsi="宋体"/>
          <w:color w:val="auto"/>
          <w:sz w:val="24"/>
          <w:szCs w:val="24"/>
          <w:highlight w:val="none"/>
        </w:rPr>
        <w:t>采购人要在合同签订后1个工作日内登陆安阳市政府采购网进行备案并公告。</w:t>
      </w:r>
    </w:p>
    <w:p>
      <w:pPr>
        <w:widowControl w:val="0"/>
        <w:adjustRightInd w:val="0"/>
        <w:snapToGrid w:val="0"/>
        <w:spacing w:before="156" w:beforeLines="50" w:line="300" w:lineRule="auto"/>
        <w:ind w:firstLine="549"/>
        <w:rPr>
          <w:rFonts w:ascii="宋体" w:hAnsi="宋体"/>
          <w:color w:val="auto"/>
          <w:sz w:val="24"/>
          <w:szCs w:val="24"/>
          <w:highlight w:val="none"/>
        </w:rPr>
      </w:pPr>
      <w:r>
        <w:rPr>
          <w:rFonts w:ascii="宋体" w:hAnsi="宋体"/>
          <w:color w:val="auto"/>
          <w:sz w:val="24"/>
          <w:szCs w:val="24"/>
          <w:highlight w:val="none"/>
        </w:rPr>
        <w:t>7.6.4</w:t>
      </w:r>
      <w:r>
        <w:rPr>
          <w:rFonts w:hint="eastAsia" w:ascii="宋体" w:hAnsi="宋体"/>
          <w:color w:val="auto"/>
          <w:sz w:val="24"/>
          <w:szCs w:val="24"/>
          <w:highlight w:val="none"/>
        </w:rPr>
        <w:t>《成交通知书》、</w:t>
      </w:r>
      <w:r>
        <w:rPr>
          <w:rFonts w:hint="eastAsia" w:ascii="宋体" w:hAnsi="宋体"/>
          <w:color w:val="auto"/>
          <w:sz w:val="24"/>
          <w:szCs w:val="24"/>
          <w:highlight w:val="none"/>
          <w:lang w:eastAsia="zh-CN"/>
        </w:rPr>
        <w:t>磋商文件</w:t>
      </w:r>
      <w:r>
        <w:rPr>
          <w:rFonts w:hint="eastAsia" w:ascii="宋体" w:hAnsi="宋体"/>
          <w:color w:val="auto"/>
          <w:spacing w:val="20"/>
          <w:sz w:val="24"/>
          <w:szCs w:val="24"/>
          <w:highlight w:val="none"/>
        </w:rPr>
        <w:t>及其修改补充澄清</w:t>
      </w:r>
      <w:r>
        <w:rPr>
          <w:rFonts w:hint="eastAsia" w:ascii="宋体" w:hAnsi="宋体"/>
          <w:color w:val="auto"/>
          <w:sz w:val="24"/>
          <w:szCs w:val="24"/>
          <w:highlight w:val="none"/>
        </w:rPr>
        <w:t>、成交供应商的投标文件及</w:t>
      </w:r>
      <w:r>
        <w:rPr>
          <w:rFonts w:hint="eastAsia" w:ascii="宋体" w:hAnsi="宋体"/>
          <w:color w:val="auto"/>
          <w:spacing w:val="20"/>
          <w:sz w:val="24"/>
          <w:szCs w:val="24"/>
          <w:highlight w:val="none"/>
        </w:rPr>
        <w:t>及其修改补充澄清</w:t>
      </w:r>
      <w:r>
        <w:rPr>
          <w:rFonts w:hint="eastAsia" w:ascii="宋体" w:hAnsi="宋体"/>
          <w:color w:val="auto"/>
          <w:sz w:val="24"/>
          <w:szCs w:val="24"/>
          <w:highlight w:val="none"/>
        </w:rPr>
        <w:t>等，均为签订合同的依据。所定合同不得对</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和成交供应商的投标文件作实质性修改，采购人和成交供应商不得私下订立背离合同实质性内容的协议。</w:t>
      </w:r>
    </w:p>
    <w:p>
      <w:pPr>
        <w:widowControl w:val="0"/>
        <w:adjustRightInd w:val="0"/>
        <w:snapToGrid w:val="0"/>
        <w:spacing w:before="156" w:beforeLines="50" w:line="300" w:lineRule="auto"/>
        <w:ind w:firstLine="549"/>
        <w:rPr>
          <w:rFonts w:ascii="宋体" w:hAnsi="宋体"/>
          <w:color w:val="auto"/>
          <w:sz w:val="24"/>
          <w:szCs w:val="24"/>
          <w:highlight w:val="none"/>
        </w:rPr>
      </w:pPr>
      <w:r>
        <w:rPr>
          <w:rFonts w:ascii="宋体" w:hAnsi="宋体"/>
          <w:color w:val="auto"/>
          <w:sz w:val="24"/>
          <w:szCs w:val="24"/>
          <w:highlight w:val="none"/>
        </w:rPr>
        <w:t xml:space="preserve">7.6.5 </w:t>
      </w:r>
      <w:r>
        <w:rPr>
          <w:rFonts w:hint="eastAsia" w:ascii="宋体" w:hAnsi="宋体"/>
          <w:color w:val="auto"/>
          <w:sz w:val="24"/>
          <w:szCs w:val="24"/>
          <w:highlight w:val="none"/>
        </w:rPr>
        <w:t>评审会后，成交供应商、采购人之间擅自私下谈判、变更中标（成交）标的、价格及</w:t>
      </w:r>
      <w:r>
        <w:rPr>
          <w:rFonts w:hint="eastAsia" w:ascii="宋体" w:hAnsi="宋体"/>
          <w:color w:val="auto"/>
          <w:sz w:val="24"/>
          <w:highlight w:val="none"/>
        </w:rPr>
        <w:t>招投</w:t>
      </w:r>
      <w:r>
        <w:rPr>
          <w:rFonts w:hint="eastAsia" w:ascii="宋体" w:hAnsi="宋体"/>
          <w:color w:val="auto"/>
          <w:sz w:val="24"/>
          <w:szCs w:val="24"/>
          <w:highlight w:val="none"/>
        </w:rPr>
        <w:t>文件实质性内容的，有关部门将按《中华人民共和国政府采购法》及相关法规的规定处理。</w:t>
      </w:r>
    </w:p>
    <w:p>
      <w:pPr>
        <w:widowControl w:val="0"/>
        <w:adjustRightInd w:val="0"/>
        <w:snapToGrid w:val="0"/>
        <w:spacing w:before="156" w:beforeLines="50" w:line="300" w:lineRule="auto"/>
        <w:ind w:firstLine="549"/>
        <w:rPr>
          <w:color w:val="auto"/>
          <w:sz w:val="24"/>
          <w:szCs w:val="24"/>
          <w:highlight w:val="none"/>
        </w:rPr>
      </w:pPr>
      <w:r>
        <w:rPr>
          <w:rFonts w:ascii="宋体" w:hAnsi="宋体"/>
          <w:color w:val="auto"/>
          <w:sz w:val="24"/>
          <w:szCs w:val="24"/>
          <w:highlight w:val="none"/>
        </w:rPr>
        <w:t>7.6.</w:t>
      </w:r>
      <w:r>
        <w:rPr>
          <w:rFonts w:hint="eastAsia" w:ascii="宋体" w:hAnsi="宋体"/>
          <w:color w:val="auto"/>
          <w:sz w:val="24"/>
          <w:szCs w:val="24"/>
          <w:highlight w:val="none"/>
        </w:rPr>
        <w:t>6</w:t>
      </w:r>
      <w:r>
        <w:rPr>
          <w:rFonts w:ascii="宋体" w:hAnsi="宋体"/>
          <w:color w:val="auto"/>
          <w:sz w:val="24"/>
          <w:szCs w:val="24"/>
          <w:highlight w:val="none"/>
        </w:rPr>
        <w:t xml:space="preserve"> </w:t>
      </w:r>
      <w:r>
        <w:rPr>
          <w:rFonts w:hint="eastAsia" w:ascii="宋体" w:hAnsi="宋体"/>
          <w:color w:val="auto"/>
          <w:sz w:val="24"/>
          <w:szCs w:val="24"/>
          <w:highlight w:val="none"/>
        </w:rPr>
        <w:t>采购人与成交供应商签订《政府采购合同》后，合同履行中产生的纠纷、争议，由采购人与成交供应</w:t>
      </w:r>
      <w:r>
        <w:rPr>
          <w:rFonts w:hint="eastAsia"/>
          <w:color w:val="auto"/>
          <w:sz w:val="24"/>
          <w:szCs w:val="24"/>
          <w:highlight w:val="none"/>
        </w:rPr>
        <w:t>商按合同条款及《中华人民共和国民法典》处理。</w:t>
      </w:r>
    </w:p>
    <w:p>
      <w:pPr>
        <w:widowControl w:val="0"/>
        <w:adjustRightInd w:val="0"/>
        <w:snapToGrid w:val="0"/>
        <w:spacing w:before="156" w:beforeLines="50" w:line="300" w:lineRule="auto"/>
        <w:ind w:firstLine="55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7.7 </w:t>
      </w:r>
      <w:r>
        <w:rPr>
          <w:rFonts w:hint="eastAsia" w:ascii="黑体" w:hAnsi="黑体" w:eastAsia="黑体" w:cs="楷体_GB2312"/>
          <w:b/>
          <w:color w:val="auto"/>
          <w:sz w:val="24"/>
          <w:highlight w:val="none"/>
          <w:lang w:val="zh-CN"/>
        </w:rPr>
        <w:t>合同补充变更</w:t>
      </w:r>
    </w:p>
    <w:p>
      <w:pPr>
        <w:widowControl w:val="0"/>
        <w:adjustRightInd w:val="0"/>
        <w:snapToGrid w:val="0"/>
        <w:spacing w:before="156" w:beforeLines="50" w:line="300" w:lineRule="auto"/>
        <w:ind w:firstLine="555"/>
        <w:rPr>
          <w:rFonts w:ascii="宋体" w:hAnsi="宋体"/>
          <w:color w:val="auto"/>
          <w:sz w:val="24"/>
          <w:szCs w:val="24"/>
          <w:highlight w:val="none"/>
        </w:rPr>
      </w:pPr>
      <w:r>
        <w:rPr>
          <w:rFonts w:ascii="宋体" w:hAnsi="宋体"/>
          <w:color w:val="auto"/>
          <w:sz w:val="24"/>
          <w:szCs w:val="24"/>
          <w:highlight w:val="none"/>
        </w:rPr>
        <w:t xml:space="preserve">7.7.1 </w:t>
      </w:r>
      <w:r>
        <w:rPr>
          <w:rFonts w:hint="eastAsia" w:ascii="宋体" w:hAnsi="宋体"/>
          <w:color w:val="auto"/>
          <w:sz w:val="24"/>
          <w:szCs w:val="24"/>
          <w:highlight w:val="none"/>
        </w:rPr>
        <w:t>政府采购合同履行中，采购人需追加或减少与合同标的相同的货物、工程和服务的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highlight w:val="none"/>
        </w:rPr>
        <w:t>10%</w:t>
      </w:r>
      <w:r>
        <w:rPr>
          <w:rFonts w:hint="eastAsia" w:ascii="宋体" w:hAnsi="宋体"/>
          <w:color w:val="auto"/>
          <w:sz w:val="24"/>
          <w:szCs w:val="24"/>
          <w:highlight w:val="none"/>
        </w:rPr>
        <w:t>，不得调增原合同单价，不得超出项目预算，超过原合同采购金额的</w:t>
      </w:r>
      <w:r>
        <w:rPr>
          <w:rFonts w:ascii="宋体" w:hAnsi="宋体"/>
          <w:color w:val="auto"/>
          <w:sz w:val="24"/>
          <w:szCs w:val="24"/>
          <w:highlight w:val="none"/>
        </w:rPr>
        <w:t>10%</w:t>
      </w:r>
      <w:r>
        <w:rPr>
          <w:rFonts w:hint="eastAsia" w:ascii="宋体" w:hAnsi="宋体"/>
          <w:color w:val="auto"/>
          <w:sz w:val="24"/>
          <w:szCs w:val="24"/>
          <w:highlight w:val="none"/>
        </w:rPr>
        <w:t>，应重新组织采购活动。</w:t>
      </w:r>
    </w:p>
    <w:p>
      <w:pPr>
        <w:widowControl w:val="0"/>
        <w:adjustRightInd w:val="0"/>
        <w:snapToGrid w:val="0"/>
        <w:spacing w:before="156" w:beforeLines="50" w:line="300" w:lineRule="auto"/>
        <w:ind w:firstLine="555"/>
        <w:rPr>
          <w:color w:val="auto"/>
          <w:sz w:val="24"/>
          <w:szCs w:val="24"/>
          <w:highlight w:val="none"/>
        </w:rPr>
      </w:pPr>
      <w:r>
        <w:rPr>
          <w:rFonts w:ascii="宋体" w:hAnsi="宋体"/>
          <w:b/>
          <w:color w:val="auto"/>
          <w:sz w:val="24"/>
          <w:szCs w:val="24"/>
          <w:highlight w:val="none"/>
        </w:rPr>
        <w:t>7.7.2</w:t>
      </w:r>
      <w:r>
        <w:rPr>
          <w:rFonts w:hint="eastAsia" w:ascii="宋体" w:hAnsi="宋体"/>
          <w:color w:val="auto"/>
          <w:sz w:val="24"/>
          <w:szCs w:val="24"/>
          <w:highlight w:val="none"/>
        </w:rPr>
        <w:t>采购人需追加或减少的货物、工程和服务的金额达到</w:t>
      </w:r>
      <w:r>
        <w:rPr>
          <w:rFonts w:ascii="宋体" w:hAnsi="宋体"/>
          <w:color w:val="auto"/>
          <w:sz w:val="24"/>
          <w:szCs w:val="24"/>
          <w:highlight w:val="none"/>
        </w:rPr>
        <w:t>50</w:t>
      </w:r>
      <w:r>
        <w:rPr>
          <w:rFonts w:hint="eastAsia" w:ascii="宋体" w:hAnsi="宋体"/>
          <w:color w:val="auto"/>
          <w:sz w:val="24"/>
          <w:szCs w:val="24"/>
          <w:highlight w:val="none"/>
        </w:rPr>
        <w:t>万元以</w:t>
      </w:r>
      <w:r>
        <w:rPr>
          <w:rFonts w:hint="eastAsia"/>
          <w:color w:val="auto"/>
          <w:sz w:val="24"/>
          <w:szCs w:val="24"/>
          <w:highlight w:val="none"/>
        </w:rPr>
        <w:t>上（含</w:t>
      </w:r>
      <w:r>
        <w:rPr>
          <w:color w:val="auto"/>
          <w:sz w:val="24"/>
          <w:szCs w:val="24"/>
          <w:highlight w:val="none"/>
        </w:rPr>
        <w:t>50</w:t>
      </w:r>
      <w:r>
        <w:rPr>
          <w:rFonts w:hint="eastAsia"/>
          <w:color w:val="auto"/>
          <w:sz w:val="24"/>
          <w:szCs w:val="24"/>
          <w:highlight w:val="none"/>
        </w:rPr>
        <w:t>万元）、且超过中标（成交）价</w:t>
      </w:r>
      <w:r>
        <w:rPr>
          <w:color w:val="auto"/>
          <w:sz w:val="24"/>
          <w:szCs w:val="24"/>
          <w:highlight w:val="none"/>
        </w:rPr>
        <w:t>3%</w:t>
      </w:r>
      <w:r>
        <w:rPr>
          <w:rFonts w:hint="eastAsia"/>
          <w:color w:val="auto"/>
          <w:sz w:val="24"/>
          <w:szCs w:val="24"/>
          <w:highlight w:val="none"/>
        </w:rPr>
        <w:t>的，采购人应当自确定变更之日起</w:t>
      </w:r>
      <w:r>
        <w:rPr>
          <w:color w:val="auto"/>
          <w:sz w:val="24"/>
          <w:szCs w:val="24"/>
          <w:highlight w:val="none"/>
        </w:rPr>
        <w:t>5</w:t>
      </w:r>
      <w:r>
        <w:rPr>
          <w:rFonts w:hint="eastAsia"/>
          <w:color w:val="auto"/>
          <w:sz w:val="24"/>
          <w:szCs w:val="24"/>
          <w:highlight w:val="none"/>
        </w:rPr>
        <w:t>个工作日内将变更情况及事由报送同级监察机关。</w:t>
      </w:r>
    </w:p>
    <w:p>
      <w:pPr>
        <w:widowControl w:val="0"/>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采购项目在中标（成交）后经有关行政机关批准变更的，批准的行政机关应当自批准之日起</w:t>
      </w:r>
      <w:r>
        <w:rPr>
          <w:color w:val="auto"/>
          <w:sz w:val="24"/>
          <w:szCs w:val="24"/>
          <w:highlight w:val="none"/>
        </w:rPr>
        <w:t>3</w:t>
      </w:r>
      <w:r>
        <w:rPr>
          <w:rFonts w:hint="eastAsia"/>
          <w:color w:val="auto"/>
          <w:sz w:val="24"/>
          <w:szCs w:val="24"/>
          <w:highlight w:val="none"/>
        </w:rPr>
        <w:t>个工作日内将批准文件抄送同级监察机关备案。</w:t>
      </w: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18" w:name="_Toc105581288"/>
      <w:r>
        <w:rPr>
          <w:rFonts w:ascii="黑体" w:hAnsi="黑体" w:eastAsia="黑体" w:cs="楷体_GB2312"/>
          <w:b/>
          <w:bCs/>
          <w:color w:val="auto"/>
          <w:sz w:val="28"/>
          <w:szCs w:val="28"/>
          <w:highlight w:val="none"/>
          <w:lang w:val="zh-CN"/>
        </w:rPr>
        <w:t xml:space="preserve">8. </w:t>
      </w:r>
      <w:r>
        <w:rPr>
          <w:rFonts w:hint="eastAsia" w:ascii="黑体" w:hAnsi="黑体" w:eastAsia="黑体" w:cs="楷体_GB2312"/>
          <w:b/>
          <w:bCs/>
          <w:color w:val="auto"/>
          <w:sz w:val="28"/>
          <w:szCs w:val="28"/>
          <w:highlight w:val="none"/>
          <w:lang w:val="zh-CN"/>
        </w:rPr>
        <w:t>验收</w:t>
      </w:r>
      <w:bookmarkEnd w:id="18"/>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8.1</w:t>
      </w:r>
      <w:r>
        <w:rPr>
          <w:rFonts w:hint="eastAsia" w:ascii="宋体" w:hAnsi="宋体" w:cs="楷体_GB2312"/>
          <w:color w:val="auto"/>
          <w:sz w:val="24"/>
          <w:highlight w:val="none"/>
          <w:lang w:val="zh-CN"/>
        </w:rPr>
        <w:t>验收时间：所供货物安装调试结束、具备正常使用及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ascii="宋体" w:hAnsi="宋体" w:cs="楷体_GB2312"/>
          <w:color w:val="auto"/>
          <w:sz w:val="24"/>
          <w:highlight w:val="none"/>
          <w:lang w:val="zh-CN"/>
        </w:rPr>
        <w:t>8.2</w:t>
      </w:r>
      <w:r>
        <w:rPr>
          <w:rFonts w:hint="eastAsia" w:ascii="宋体" w:hAnsi="宋体" w:cs="楷体_GB2312"/>
          <w:color w:val="auto"/>
          <w:sz w:val="24"/>
          <w:highlight w:val="none"/>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直接参与该项目政府采购活动的主要负责人不得作为验收工作的主要负责人。</w:t>
      </w:r>
      <w:r>
        <w:rPr>
          <w:rFonts w:hint="eastAsia" w:ascii="宋体" w:hAnsi="宋体" w:cs="楷体_GB2312"/>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8.2.1</w:t>
      </w:r>
      <w:r>
        <w:rPr>
          <w:rFonts w:hint="eastAsia" w:ascii="宋体" w:hAnsi="宋体" w:cs="楷体_GB2312"/>
          <w:color w:val="auto"/>
          <w:sz w:val="24"/>
          <w:highlight w:val="none"/>
          <w:lang w:val="zh-CN"/>
        </w:rPr>
        <w:t>政府采购合同金额</w:t>
      </w:r>
      <w:r>
        <w:rPr>
          <w:rFonts w:hint="eastAsia" w:ascii="宋体" w:hAnsi="宋体" w:cs="楷体_GB2312"/>
          <w:color w:val="auto"/>
          <w:sz w:val="24"/>
          <w:highlight w:val="none"/>
        </w:rPr>
        <w:t>在</w:t>
      </w:r>
      <w:r>
        <w:rPr>
          <w:rFonts w:hint="eastAsia" w:ascii="宋体" w:hAnsi="宋体" w:cs="楷体_GB2312"/>
          <w:color w:val="auto"/>
          <w:sz w:val="24"/>
          <w:highlight w:val="none"/>
          <w:lang w:val="zh-CN"/>
        </w:rPr>
        <w:t>10万元以下（</w:t>
      </w:r>
      <w:r>
        <w:rPr>
          <w:rFonts w:hint="eastAsia" w:ascii="宋体" w:hAnsi="宋体" w:cs="楷体_GB2312"/>
          <w:color w:val="auto"/>
          <w:sz w:val="24"/>
          <w:highlight w:val="none"/>
        </w:rPr>
        <w:t>含10万元</w:t>
      </w:r>
      <w:r>
        <w:rPr>
          <w:rFonts w:hint="eastAsia" w:ascii="宋体" w:hAnsi="宋体" w:cs="楷体_GB2312"/>
          <w:color w:val="auto"/>
          <w:sz w:val="24"/>
          <w:highlight w:val="none"/>
          <w:lang w:val="zh-CN"/>
        </w:rPr>
        <w:t>）的项目，原则上可以不邀请评审专家参加，组织方成立验收小组自行验收。</w:t>
      </w:r>
      <w:r>
        <w:rPr>
          <w:rFonts w:hint="eastAsia" w:ascii="宋体" w:hAnsi="宋体" w:cs="楷体_GB2312"/>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8.2.2</w:t>
      </w:r>
      <w:r>
        <w:rPr>
          <w:rFonts w:hint="eastAsia" w:ascii="宋体" w:hAnsi="宋体" w:cs="楷体_GB2312"/>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领导牵头，财务、审计、监察、资产管理、技术等部门人员参与，成员不少于五人。验收工作</w:t>
      </w:r>
      <w:r>
        <w:rPr>
          <w:rFonts w:hint="eastAsia" w:ascii="宋体" w:hAnsi="宋体" w:cs="楷体_GB2312"/>
          <w:color w:val="auto"/>
          <w:sz w:val="24"/>
          <w:highlight w:val="none"/>
        </w:rPr>
        <w:t>原则上</w:t>
      </w:r>
      <w:r>
        <w:rPr>
          <w:rFonts w:hint="eastAsia" w:ascii="宋体" w:hAnsi="宋体" w:cs="楷体_GB2312"/>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8.3验收时，验收小组按照采购合同的约定对每一项技术、服务、安全标准的履约情况进行确认。</w:t>
      </w:r>
      <w:r>
        <w:rPr>
          <w:rFonts w:hint="eastAsia" w:ascii="宋体" w:hAnsi="宋体" w:cs="楷体_GB2312"/>
          <w:color w:val="auto"/>
          <w:sz w:val="24"/>
          <w:highlight w:val="none"/>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ascii="宋体" w:hAnsi="宋体" w:cs="楷体_GB2312"/>
          <w:color w:val="auto"/>
          <w:sz w:val="24"/>
          <w:highlight w:val="none"/>
          <w:lang w:val="zh-CN"/>
        </w:rPr>
        <w:t>8.</w:t>
      </w:r>
      <w:r>
        <w:rPr>
          <w:rFonts w:hint="eastAsia" w:ascii="宋体" w:hAnsi="宋体" w:cs="楷体_GB2312"/>
          <w:color w:val="auto"/>
          <w:sz w:val="24"/>
          <w:highlight w:val="none"/>
        </w:rPr>
        <w:t>4</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验收报告：验收后，由采购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及专家等出具验收报告（</w:t>
      </w:r>
      <w:r>
        <w:rPr>
          <w:rFonts w:hint="eastAsia" w:ascii="宋体" w:hAnsi="宋体" w:cs="楷体_GB2312"/>
          <w:color w:val="auto"/>
          <w:sz w:val="24"/>
          <w:highlight w:val="none"/>
        </w:rPr>
        <w:t>自行验收的，由采购人出具</w:t>
      </w:r>
      <w:r>
        <w:rPr>
          <w:rFonts w:hint="eastAsia" w:ascii="宋体" w:hAnsi="宋体" w:cs="楷体_GB2312"/>
          <w:color w:val="auto"/>
          <w:sz w:val="24"/>
          <w:highlight w:val="none"/>
          <w:lang w:val="zh-CN"/>
        </w:rPr>
        <w:t>），国家规定强制性检测的采购项目应附国家认可的专业检测机构出具的验收报告。</w:t>
      </w:r>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8.</w:t>
      </w:r>
      <w:r>
        <w:rPr>
          <w:rFonts w:hint="eastAsia" w:ascii="宋体" w:hAnsi="宋体" w:cs="楷体_GB2312"/>
          <w:color w:val="auto"/>
          <w:sz w:val="24"/>
          <w:highlight w:val="none"/>
        </w:rPr>
        <w:t>5</w:t>
      </w:r>
      <w:r>
        <w:rPr>
          <w:rFonts w:hint="eastAsia" w:ascii="宋体" w:hAnsi="宋体" w:cs="楷体_GB2312"/>
          <w:color w:val="auto"/>
          <w:sz w:val="24"/>
          <w:highlight w:val="none"/>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lang w:val="zh-CN"/>
        </w:rPr>
        <w:t>8.6 验收公告的时限：采购人要在政府采购项目验收完成后1 个工作日内登陆安阳市政府采购网进行验收公告。</w:t>
      </w: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19" w:name="_Toc105581289"/>
      <w:r>
        <w:rPr>
          <w:rFonts w:ascii="黑体" w:hAnsi="黑体" w:eastAsia="黑体" w:cs="楷体_GB2312"/>
          <w:b/>
          <w:bCs/>
          <w:color w:val="auto"/>
          <w:sz w:val="28"/>
          <w:szCs w:val="28"/>
          <w:highlight w:val="none"/>
          <w:lang w:val="zh-CN"/>
        </w:rPr>
        <w:t>9.</w:t>
      </w:r>
      <w:r>
        <w:rPr>
          <w:rFonts w:hint="eastAsia" w:ascii="黑体" w:hAnsi="黑体" w:eastAsia="黑体" w:cs="楷体_GB2312"/>
          <w:b/>
          <w:bCs/>
          <w:color w:val="auto"/>
          <w:sz w:val="28"/>
          <w:szCs w:val="28"/>
          <w:highlight w:val="none"/>
          <w:lang w:val="zh-CN"/>
        </w:rPr>
        <w:t>付款</w:t>
      </w:r>
      <w:bookmarkEnd w:id="19"/>
    </w:p>
    <w:p>
      <w:pPr>
        <w:widowControl w:val="0"/>
        <w:adjustRightInd w:val="0"/>
        <w:snapToGrid w:val="0"/>
        <w:spacing w:before="156" w:beforeLines="50" w:line="300" w:lineRule="auto"/>
        <w:ind w:firstLine="561"/>
        <w:rPr>
          <w:rFonts w:ascii="黑体" w:hAnsi="黑体" w:eastAsia="黑体" w:cs="楷体_GB2312"/>
          <w:b/>
          <w:bCs/>
          <w:color w:val="auto"/>
          <w:sz w:val="28"/>
          <w:szCs w:val="28"/>
          <w:highlight w:val="none"/>
          <w:lang w:val="zh-CN"/>
        </w:rPr>
      </w:pPr>
      <w:r>
        <w:rPr>
          <w:rFonts w:hint="eastAsia" w:ascii="宋体" w:hAnsi="宋体" w:cs="楷体_GB2312"/>
          <w:color w:val="auto"/>
          <w:sz w:val="24"/>
          <w:highlight w:val="none"/>
          <w:lang w:val="zh-CN"/>
        </w:rPr>
        <w:t>见投标人须知前附表</w:t>
      </w: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20" w:name="_Toc105581290"/>
      <w:r>
        <w:rPr>
          <w:rFonts w:ascii="黑体" w:hAnsi="黑体" w:eastAsia="黑体" w:cs="楷体_GB2312"/>
          <w:b/>
          <w:bCs/>
          <w:color w:val="auto"/>
          <w:sz w:val="28"/>
          <w:szCs w:val="28"/>
          <w:highlight w:val="none"/>
          <w:lang w:val="zh-CN"/>
        </w:rPr>
        <w:t xml:space="preserve">10. </w:t>
      </w:r>
      <w:r>
        <w:rPr>
          <w:rFonts w:hint="eastAsia" w:ascii="黑体" w:hAnsi="黑体" w:eastAsia="黑体" w:cs="楷体_GB2312"/>
          <w:b/>
          <w:bCs/>
          <w:color w:val="auto"/>
          <w:sz w:val="28"/>
          <w:szCs w:val="28"/>
          <w:highlight w:val="none"/>
          <w:lang w:val="zh-CN"/>
        </w:rPr>
        <w:t>其他</w:t>
      </w:r>
      <w:bookmarkEnd w:id="20"/>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 xml:space="preserve">10.1 </w:t>
      </w:r>
      <w:r>
        <w:rPr>
          <w:rFonts w:hint="eastAsia" w:ascii="宋体" w:hAnsi="宋体" w:cs="楷体_GB2312"/>
          <w:color w:val="auto"/>
          <w:sz w:val="24"/>
          <w:highlight w:val="none"/>
          <w:lang w:val="zh-CN"/>
        </w:rPr>
        <w:t>中标服务费等：见投标人须知前附表</w:t>
      </w:r>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ascii="宋体" w:hAnsi="宋体" w:cs="楷体_GB2312"/>
          <w:color w:val="auto"/>
          <w:sz w:val="24"/>
          <w:highlight w:val="none"/>
          <w:lang w:val="zh-CN"/>
        </w:rPr>
        <w:t xml:space="preserve">10.2 </w:t>
      </w:r>
      <w:r>
        <w:rPr>
          <w:rFonts w:hint="eastAsia" w:ascii="宋体" w:hAnsi="宋体" w:cs="楷体_GB2312"/>
          <w:color w:val="auto"/>
          <w:sz w:val="24"/>
          <w:highlight w:val="none"/>
          <w:lang w:val="zh-CN"/>
        </w:rPr>
        <w:t>同义解释。磋商文件中：“投标”同义“提交响应文件”，“投标人”同义“提交响应文件的供应商”，“投标文件”同义“响应文件”，</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开标”同义“响应文件的开启</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，“中标”同义“成交”，“中标供应商”同义“成交供应商</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w:t>
      </w:r>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 xml:space="preserve">10.3 </w:t>
      </w:r>
      <w:r>
        <w:rPr>
          <w:rFonts w:hint="eastAsia" w:ascii="宋体" w:hAnsi="宋体" w:cs="楷体_GB2312"/>
          <w:color w:val="auto"/>
          <w:sz w:val="24"/>
          <w:highlight w:val="none"/>
          <w:lang w:val="zh-CN"/>
        </w:rPr>
        <w:t>投标人资格条件中包含非法人单位的，磋商文件中法定代表人一词相应包含表示证照标示的负责人；</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投标人资格条件中包含自然人的，磋商文件中法定代表人一词相应包含表示自然人，自然人应由其本人签署投标文件、参加投标，不应再授权他人。</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r>
        <w:rPr>
          <w:rFonts w:ascii="宋体" w:hAnsi="宋体" w:cs="楷体_GB2312"/>
          <w:color w:val="auto"/>
          <w:sz w:val="24"/>
          <w:highlight w:val="none"/>
          <w:lang w:val="zh-CN"/>
        </w:rPr>
        <w:t xml:space="preserve">10.4  </w:t>
      </w:r>
      <w:r>
        <w:rPr>
          <w:rFonts w:hint="eastAsia" w:ascii="宋体" w:hAnsi="宋体" w:cs="楷体_GB2312"/>
          <w:color w:val="auto"/>
          <w:sz w:val="24"/>
          <w:highlight w:val="none"/>
          <w:lang w:val="zh-CN"/>
        </w:rPr>
        <w:t>磋商文件第一章至第四章各章中，用序号标示条、款、项、目，例如：</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条，</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款（简称</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款），</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项（简称</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项）。“条”包含款、项、目；“款”包含项、目；“项”包含目。</w:t>
      </w: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21" w:name="_Toc58858635"/>
      <w:bookmarkStart w:id="22" w:name="_Toc105581291"/>
      <w:r>
        <w:rPr>
          <w:rFonts w:hint="eastAsia" w:ascii="黑体" w:hAnsi="黑体" w:eastAsia="黑体" w:cs="楷体_GB2312"/>
          <w:b/>
          <w:bCs/>
          <w:color w:val="auto"/>
          <w:sz w:val="28"/>
          <w:szCs w:val="28"/>
          <w:highlight w:val="none"/>
          <w:lang w:val="zh-CN"/>
        </w:rPr>
        <w:t>11. 河南省政府采购合同融资政策告知函</w:t>
      </w:r>
      <w:bookmarkEnd w:id="21"/>
      <w:bookmarkEnd w:id="22"/>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各供应商：</w:t>
      </w:r>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欢迎贵公司参与河南省政府采购活动！</w:t>
      </w:r>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贷款渠道和提供贷款的金融机构，可在河南省政府采购网“河南省政府采购合同融资平台”查询联系。</w:t>
      </w:r>
    </w:p>
    <w:p>
      <w:pPr>
        <w:widowControl w:val="0"/>
        <w:autoSpaceDE w:val="0"/>
        <w:autoSpaceDN w:val="0"/>
        <w:adjustRightInd w:val="0"/>
        <w:spacing w:before="156" w:beforeLines="50" w:line="300" w:lineRule="auto"/>
        <w:jc w:val="left"/>
        <w:textAlignment w:val="auto"/>
        <w:rPr>
          <w:rFonts w:eastAsia="黑体"/>
          <w:b/>
          <w:color w:val="auto"/>
          <w:sz w:val="44"/>
          <w:highlight w:val="none"/>
        </w:rPr>
      </w:pPr>
      <w:bookmarkStart w:id="23" w:name="_Toc423723402"/>
    </w:p>
    <w:p>
      <w:pPr>
        <w:widowControl w:val="0"/>
        <w:autoSpaceDE w:val="0"/>
        <w:autoSpaceDN w:val="0"/>
        <w:adjustRightInd w:val="0"/>
        <w:spacing w:before="156" w:beforeLines="50" w:line="300" w:lineRule="auto"/>
        <w:jc w:val="left"/>
        <w:textAlignment w:val="auto"/>
        <w:rPr>
          <w:rFonts w:eastAsia="黑体"/>
          <w:b/>
          <w:color w:val="auto"/>
          <w:sz w:val="44"/>
          <w:highlight w:val="none"/>
        </w:rPr>
      </w:pPr>
    </w:p>
    <w:p>
      <w:pPr>
        <w:widowControl w:val="0"/>
        <w:autoSpaceDE w:val="0"/>
        <w:autoSpaceDN w:val="0"/>
        <w:adjustRightInd w:val="0"/>
        <w:spacing w:before="156" w:beforeLines="50" w:line="300" w:lineRule="auto"/>
        <w:jc w:val="left"/>
        <w:textAlignment w:val="auto"/>
        <w:rPr>
          <w:rFonts w:eastAsia="黑体"/>
          <w:b/>
          <w:color w:val="auto"/>
          <w:sz w:val="44"/>
          <w:highlight w:val="none"/>
        </w:rPr>
      </w:pPr>
    </w:p>
    <w:p>
      <w:pPr>
        <w:widowControl w:val="0"/>
        <w:autoSpaceDE w:val="0"/>
        <w:autoSpaceDN w:val="0"/>
        <w:adjustRightInd w:val="0"/>
        <w:spacing w:before="156" w:beforeLines="50" w:line="300" w:lineRule="auto"/>
        <w:jc w:val="left"/>
        <w:textAlignment w:val="auto"/>
        <w:rPr>
          <w:rFonts w:eastAsia="黑体"/>
          <w:b/>
          <w:color w:val="auto"/>
          <w:sz w:val="44"/>
          <w:highlight w:val="none"/>
        </w:rPr>
      </w:pPr>
      <w:r>
        <w:rPr>
          <w:rFonts w:eastAsia="黑体"/>
          <w:b/>
          <w:color w:val="auto"/>
          <w:sz w:val="44"/>
          <w:highlight w:val="none"/>
        </w:rPr>
        <w:t xml:space="preserve"> </w:t>
      </w:r>
    </w:p>
    <w:p>
      <w:pPr>
        <w:widowControl w:val="0"/>
        <w:autoSpaceDE w:val="0"/>
        <w:autoSpaceDN w:val="0"/>
        <w:adjustRightInd w:val="0"/>
        <w:spacing w:before="156" w:beforeLines="50" w:line="300" w:lineRule="auto"/>
        <w:jc w:val="left"/>
        <w:textAlignment w:val="auto"/>
        <w:rPr>
          <w:rFonts w:eastAsia="黑体"/>
          <w:b/>
          <w:color w:val="auto"/>
          <w:sz w:val="44"/>
          <w:highlight w:val="none"/>
        </w:rPr>
      </w:pPr>
    </w:p>
    <w:p>
      <w:pPr>
        <w:pStyle w:val="8"/>
        <w:rPr>
          <w:rFonts w:eastAsia="黑体"/>
          <w:b/>
          <w:color w:val="auto"/>
          <w:sz w:val="44"/>
          <w:highlight w:val="none"/>
        </w:rPr>
      </w:pPr>
    </w:p>
    <w:p>
      <w:pPr>
        <w:pStyle w:val="2"/>
        <w:rPr>
          <w:rFonts w:eastAsia="黑体"/>
          <w:b/>
          <w:color w:val="auto"/>
          <w:sz w:val="44"/>
          <w:highlight w:val="none"/>
        </w:rPr>
      </w:pPr>
    </w:p>
    <w:p>
      <w:pPr>
        <w:rPr>
          <w:rFonts w:eastAsia="黑体"/>
          <w:b/>
          <w:color w:val="auto"/>
          <w:sz w:val="44"/>
          <w:highlight w:val="none"/>
        </w:rPr>
      </w:pPr>
    </w:p>
    <w:p>
      <w:pPr>
        <w:pStyle w:val="8"/>
        <w:rPr>
          <w:rFonts w:eastAsia="黑体"/>
          <w:b/>
          <w:color w:val="auto"/>
          <w:sz w:val="44"/>
          <w:highlight w:val="none"/>
        </w:rPr>
      </w:pPr>
    </w:p>
    <w:p>
      <w:pPr>
        <w:pStyle w:val="2"/>
        <w:rPr>
          <w:rFonts w:eastAsia="黑体"/>
          <w:b/>
          <w:color w:val="auto"/>
          <w:sz w:val="44"/>
          <w:highlight w:val="none"/>
        </w:rPr>
      </w:pPr>
    </w:p>
    <w:p>
      <w:pPr>
        <w:rPr>
          <w:rFonts w:eastAsia="黑体"/>
          <w:b/>
          <w:color w:val="auto"/>
          <w:sz w:val="44"/>
          <w:highlight w:val="none"/>
        </w:rPr>
      </w:pPr>
    </w:p>
    <w:p>
      <w:pPr>
        <w:pStyle w:val="8"/>
        <w:rPr>
          <w:color w:val="auto"/>
          <w:highlight w:val="none"/>
        </w:rPr>
      </w:pPr>
    </w:p>
    <w:p>
      <w:pPr>
        <w:widowControl w:val="0"/>
        <w:snapToGrid w:val="0"/>
        <w:spacing w:line="360" w:lineRule="auto"/>
        <w:ind w:firstLine="567"/>
        <w:jc w:val="center"/>
        <w:outlineLvl w:val="0"/>
        <w:rPr>
          <w:rFonts w:hint="eastAsia" w:ascii="黑体" w:hAnsi="黑体" w:eastAsia="黑体"/>
          <w:b/>
          <w:color w:val="auto"/>
          <w:sz w:val="36"/>
          <w:szCs w:val="36"/>
          <w:highlight w:val="none"/>
          <w:lang w:val="zh-CN"/>
        </w:rPr>
      </w:pPr>
      <w:bookmarkStart w:id="24" w:name="_Toc105581292"/>
    </w:p>
    <w:p>
      <w:pPr>
        <w:widowControl w:val="0"/>
        <w:snapToGrid w:val="0"/>
        <w:spacing w:line="360" w:lineRule="auto"/>
        <w:ind w:firstLine="567"/>
        <w:jc w:val="center"/>
        <w:outlineLvl w:val="0"/>
        <w:rPr>
          <w:rFonts w:hint="eastAsia" w:ascii="黑体" w:hAnsi="黑体" w:eastAsia="黑体"/>
          <w:b/>
          <w:color w:val="auto"/>
          <w:sz w:val="36"/>
          <w:szCs w:val="36"/>
          <w:highlight w:val="none"/>
          <w:lang w:val="zh-CN"/>
        </w:rPr>
      </w:pPr>
    </w:p>
    <w:p>
      <w:pPr>
        <w:widowControl w:val="0"/>
        <w:snapToGrid w:val="0"/>
        <w:spacing w:line="360" w:lineRule="auto"/>
        <w:ind w:firstLine="567"/>
        <w:jc w:val="center"/>
        <w:outlineLvl w:val="0"/>
        <w:rPr>
          <w:b/>
          <w:color w:val="auto"/>
          <w:sz w:val="24"/>
          <w:szCs w:val="24"/>
          <w:highlight w:val="none"/>
        </w:rPr>
      </w:pPr>
      <w:r>
        <w:rPr>
          <w:rFonts w:hint="eastAsia" w:ascii="黑体" w:hAnsi="黑体" w:eastAsia="黑体"/>
          <w:b/>
          <w:color w:val="auto"/>
          <w:sz w:val="36"/>
          <w:szCs w:val="36"/>
          <w:highlight w:val="none"/>
          <w:lang w:val="zh-CN"/>
        </w:rPr>
        <w:t>第四章 评审办法</w:t>
      </w:r>
      <w:bookmarkEnd w:id="23"/>
      <w:bookmarkEnd w:id="24"/>
    </w:p>
    <w:p>
      <w:pPr>
        <w:spacing w:line="500" w:lineRule="exact"/>
        <w:jc w:val="center"/>
        <w:outlineLvl w:val="1"/>
        <w:rPr>
          <w:rFonts w:ascii="黑体" w:hAnsi="黑体" w:eastAsia="黑体"/>
          <w:b/>
          <w:color w:val="auto"/>
          <w:sz w:val="28"/>
          <w:szCs w:val="28"/>
          <w:highlight w:val="none"/>
          <w:lang w:val="zh-CN"/>
        </w:rPr>
      </w:pPr>
      <w:bookmarkStart w:id="25" w:name="_Toc105581293"/>
      <w:r>
        <w:rPr>
          <w:rFonts w:hint="eastAsia" w:ascii="黑体" w:hAnsi="黑体" w:eastAsia="黑体"/>
          <w:b/>
          <w:color w:val="auto"/>
          <w:sz w:val="28"/>
          <w:szCs w:val="28"/>
          <w:highlight w:val="none"/>
        </w:rPr>
        <w:t>评审办法前附表</w:t>
      </w:r>
      <w:bookmarkEnd w:id="25"/>
    </w:p>
    <w:tbl>
      <w:tblPr>
        <w:tblStyle w:val="20"/>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pPr>
              <w:pStyle w:val="56"/>
              <w:jc w:val="center"/>
              <w:rPr>
                <w:rFonts w:hAnsi="宋体"/>
                <w:b/>
                <w:color w:val="auto"/>
                <w:szCs w:val="24"/>
                <w:highlight w:val="none"/>
              </w:rPr>
            </w:pPr>
            <w:r>
              <w:rPr>
                <w:rFonts w:hint="eastAsia" w:hAnsi="宋体"/>
                <w:b/>
                <w:color w:val="auto"/>
                <w:szCs w:val="24"/>
                <w:highlight w:val="none"/>
              </w:rPr>
              <w:t>条款号</w:t>
            </w:r>
          </w:p>
        </w:tc>
        <w:tc>
          <w:tcPr>
            <w:tcW w:w="3177" w:type="dxa"/>
            <w:gridSpan w:val="2"/>
            <w:vAlign w:val="center"/>
          </w:tcPr>
          <w:p>
            <w:pPr>
              <w:pStyle w:val="56"/>
              <w:jc w:val="center"/>
              <w:rPr>
                <w:rFonts w:hAnsi="宋体"/>
                <w:b/>
                <w:color w:val="auto"/>
                <w:szCs w:val="24"/>
                <w:highlight w:val="none"/>
              </w:rPr>
            </w:pPr>
            <w:r>
              <w:rPr>
                <w:rFonts w:hint="eastAsia" w:hAnsi="宋体"/>
                <w:b/>
                <w:color w:val="auto"/>
                <w:szCs w:val="24"/>
                <w:highlight w:val="none"/>
              </w:rPr>
              <w:t>评审因素</w:t>
            </w:r>
          </w:p>
        </w:tc>
        <w:tc>
          <w:tcPr>
            <w:tcW w:w="5736" w:type="dxa"/>
            <w:vAlign w:val="center"/>
          </w:tcPr>
          <w:p>
            <w:pPr>
              <w:pStyle w:val="56"/>
              <w:jc w:val="center"/>
              <w:rPr>
                <w:rFonts w:hAnsi="宋体"/>
                <w:b/>
                <w:color w:val="auto"/>
                <w:szCs w:val="24"/>
                <w:highlight w:val="none"/>
              </w:rPr>
            </w:pPr>
            <w:r>
              <w:rPr>
                <w:rFonts w:hint="eastAsia" w:hAnsi="宋体"/>
                <w:b/>
                <w:color w:val="auto"/>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4" w:type="dxa"/>
            <w:vMerge w:val="restart"/>
            <w:vAlign w:val="center"/>
          </w:tcPr>
          <w:p>
            <w:pPr>
              <w:pStyle w:val="56"/>
              <w:spacing w:line="360" w:lineRule="auto"/>
              <w:ind w:right="-101" w:rightChars="-48"/>
              <w:jc w:val="center"/>
              <w:rPr>
                <w:rFonts w:hAnsi="宋体"/>
                <w:color w:val="auto"/>
                <w:szCs w:val="24"/>
                <w:highlight w:val="none"/>
              </w:rPr>
            </w:pPr>
            <w:r>
              <w:rPr>
                <w:rFonts w:hAnsi="宋体"/>
                <w:color w:val="auto"/>
                <w:szCs w:val="24"/>
                <w:highlight w:val="none"/>
              </w:rPr>
              <w:t>2.1.1</w:t>
            </w:r>
          </w:p>
        </w:tc>
        <w:tc>
          <w:tcPr>
            <w:tcW w:w="560" w:type="dxa"/>
            <w:vMerge w:val="restart"/>
            <w:vAlign w:val="center"/>
          </w:tcPr>
          <w:p>
            <w:pPr>
              <w:pStyle w:val="56"/>
              <w:jc w:val="center"/>
              <w:rPr>
                <w:rFonts w:hAnsi="宋体"/>
                <w:color w:val="auto"/>
                <w:szCs w:val="24"/>
                <w:highlight w:val="none"/>
              </w:rPr>
            </w:pPr>
            <w:r>
              <w:rPr>
                <w:rFonts w:hint="eastAsia" w:hAnsi="宋体"/>
                <w:color w:val="auto"/>
                <w:szCs w:val="24"/>
                <w:highlight w:val="none"/>
              </w:rPr>
              <w:t>资</w:t>
            </w:r>
          </w:p>
          <w:p>
            <w:pPr>
              <w:pStyle w:val="56"/>
              <w:jc w:val="center"/>
              <w:rPr>
                <w:rFonts w:hAnsi="宋体"/>
                <w:color w:val="auto"/>
                <w:szCs w:val="24"/>
                <w:highlight w:val="none"/>
              </w:rPr>
            </w:pPr>
            <w:r>
              <w:rPr>
                <w:rFonts w:hint="eastAsia" w:hAnsi="宋体"/>
                <w:color w:val="auto"/>
                <w:szCs w:val="24"/>
                <w:highlight w:val="none"/>
              </w:rPr>
              <w:t>格</w:t>
            </w:r>
          </w:p>
          <w:p>
            <w:pPr>
              <w:pStyle w:val="56"/>
              <w:jc w:val="center"/>
              <w:rPr>
                <w:rFonts w:hAnsi="宋体"/>
                <w:color w:val="auto"/>
                <w:szCs w:val="24"/>
                <w:highlight w:val="none"/>
              </w:rPr>
            </w:pPr>
            <w:r>
              <w:rPr>
                <w:rFonts w:hint="eastAsia" w:hAnsi="宋体"/>
                <w:color w:val="auto"/>
                <w:szCs w:val="24"/>
                <w:highlight w:val="none"/>
              </w:rPr>
              <w:t>性</w:t>
            </w:r>
          </w:p>
          <w:p>
            <w:pPr>
              <w:pStyle w:val="56"/>
              <w:jc w:val="center"/>
              <w:rPr>
                <w:rFonts w:hAnsi="宋体"/>
                <w:color w:val="auto"/>
                <w:szCs w:val="24"/>
                <w:highlight w:val="none"/>
              </w:rPr>
            </w:pPr>
            <w:r>
              <w:rPr>
                <w:rFonts w:hint="eastAsia" w:hAnsi="宋体"/>
                <w:color w:val="auto"/>
                <w:szCs w:val="24"/>
                <w:highlight w:val="none"/>
              </w:rPr>
              <w:t>审</w:t>
            </w:r>
          </w:p>
          <w:p>
            <w:pPr>
              <w:pStyle w:val="56"/>
              <w:jc w:val="center"/>
              <w:rPr>
                <w:rFonts w:hAnsi="宋体"/>
                <w:color w:val="auto"/>
                <w:szCs w:val="24"/>
                <w:highlight w:val="none"/>
              </w:rPr>
            </w:pPr>
            <w:r>
              <w:rPr>
                <w:rFonts w:hint="eastAsia" w:hAnsi="宋体"/>
                <w:color w:val="auto"/>
                <w:szCs w:val="24"/>
                <w:highlight w:val="none"/>
              </w:rPr>
              <w:t>查</w:t>
            </w:r>
          </w:p>
        </w:tc>
        <w:tc>
          <w:tcPr>
            <w:tcW w:w="3177" w:type="dxa"/>
            <w:gridSpan w:val="2"/>
            <w:vAlign w:val="center"/>
          </w:tcPr>
          <w:p>
            <w:pPr>
              <w:widowControl w:val="0"/>
              <w:snapToGrid w:val="0"/>
              <w:spacing w:line="240" w:lineRule="auto"/>
              <w:rPr>
                <w:rFonts w:ascii="宋体"/>
                <w:color w:val="auto"/>
                <w:sz w:val="24"/>
                <w:szCs w:val="24"/>
                <w:highlight w:val="none"/>
              </w:rPr>
            </w:pPr>
            <w:r>
              <w:rPr>
                <w:rFonts w:hint="eastAsia"/>
                <w:color w:val="auto"/>
                <w:sz w:val="24"/>
                <w:szCs w:val="24"/>
                <w:highlight w:val="none"/>
              </w:rPr>
              <w:t>第一章“</w:t>
            </w:r>
            <w:r>
              <w:rPr>
                <w:rFonts w:hint="eastAsia"/>
                <w:color w:val="auto"/>
                <w:sz w:val="24"/>
                <w:szCs w:val="24"/>
                <w:highlight w:val="none"/>
                <w:lang w:eastAsia="zh-CN"/>
              </w:rPr>
              <w:t>磋商公告</w:t>
            </w:r>
            <w:r>
              <w:rPr>
                <w:rFonts w:hint="eastAsia"/>
                <w:color w:val="auto"/>
                <w:sz w:val="24"/>
                <w:szCs w:val="24"/>
                <w:highlight w:val="none"/>
              </w:rPr>
              <w:t>”第</w:t>
            </w:r>
            <w:r>
              <w:rPr>
                <w:color w:val="auto"/>
                <w:sz w:val="24"/>
                <w:szCs w:val="24"/>
                <w:highlight w:val="none"/>
              </w:rPr>
              <w:t>2</w:t>
            </w:r>
            <w:r>
              <w:rPr>
                <w:rFonts w:hint="eastAsia"/>
                <w:color w:val="auto"/>
                <w:sz w:val="24"/>
                <w:szCs w:val="24"/>
                <w:highlight w:val="none"/>
              </w:rPr>
              <w:t>条各项资格要求</w:t>
            </w:r>
          </w:p>
        </w:tc>
        <w:tc>
          <w:tcPr>
            <w:tcW w:w="5736" w:type="dxa"/>
            <w:vAlign w:val="center"/>
          </w:tcPr>
          <w:p>
            <w:pPr>
              <w:widowControl w:val="0"/>
              <w:snapToGrid w:val="0"/>
              <w:spacing w:line="240" w:lineRule="auto"/>
              <w:rPr>
                <w:rFonts w:ascii="宋体"/>
                <w:color w:val="auto"/>
                <w:sz w:val="24"/>
                <w:szCs w:val="24"/>
                <w:highlight w:val="none"/>
              </w:rPr>
            </w:pPr>
            <w:r>
              <w:rPr>
                <w:rFonts w:hint="eastAsia" w:ascii="宋体" w:hAnsi="宋体"/>
                <w:color w:val="auto"/>
                <w:sz w:val="24"/>
                <w:szCs w:val="24"/>
                <w:highlight w:val="none"/>
              </w:rPr>
              <w:t>符合第一章“</w:t>
            </w:r>
            <w:r>
              <w:rPr>
                <w:rFonts w:hint="eastAsia" w:ascii="宋体" w:hAnsi="宋体"/>
                <w:color w:val="auto"/>
                <w:sz w:val="24"/>
                <w:szCs w:val="24"/>
                <w:highlight w:val="none"/>
                <w:lang w:eastAsia="zh-CN"/>
              </w:rPr>
              <w:t>磋商公告</w:t>
            </w:r>
            <w:r>
              <w:rPr>
                <w:rFonts w:hint="eastAsia" w:ascii="宋体" w:hAnsi="宋体"/>
                <w:color w:val="auto"/>
                <w:sz w:val="24"/>
                <w:szCs w:val="24"/>
                <w:highlight w:val="none"/>
              </w:rPr>
              <w:t>”第二条各项</w:t>
            </w:r>
            <w:r>
              <w:rPr>
                <w:rFonts w:hint="eastAsia"/>
                <w:color w:val="auto"/>
                <w:sz w:val="24"/>
                <w:szCs w:val="24"/>
                <w:highlight w:val="none"/>
              </w:rPr>
              <w:t>资格要求所需证件材料及证明材料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3177" w:type="dxa"/>
            <w:gridSpan w:val="2"/>
            <w:vAlign w:val="center"/>
          </w:tcPr>
          <w:p>
            <w:pPr>
              <w:widowControl w:val="0"/>
              <w:snapToGrid w:val="0"/>
              <w:spacing w:line="240" w:lineRule="auto"/>
              <w:rPr>
                <w:color w:val="auto"/>
                <w:sz w:val="24"/>
                <w:szCs w:val="24"/>
                <w:highlight w:val="none"/>
              </w:rPr>
            </w:pPr>
            <w:r>
              <w:rPr>
                <w:rFonts w:hint="eastAsia"/>
                <w:color w:val="auto"/>
                <w:sz w:val="24"/>
                <w:szCs w:val="24"/>
                <w:highlight w:val="none"/>
              </w:rPr>
              <w:t>投标承诺函</w:t>
            </w:r>
          </w:p>
          <w:p>
            <w:pPr>
              <w:widowControl w:val="0"/>
              <w:snapToGrid w:val="0"/>
              <w:spacing w:line="240" w:lineRule="auto"/>
              <w:rPr>
                <w:color w:val="auto"/>
                <w:sz w:val="24"/>
                <w:szCs w:val="24"/>
                <w:highlight w:val="none"/>
              </w:rPr>
            </w:pPr>
            <w:r>
              <w:rPr>
                <w:rFonts w:hint="eastAsia"/>
                <w:color w:val="auto"/>
                <w:sz w:val="24"/>
                <w:szCs w:val="24"/>
                <w:highlight w:val="none"/>
              </w:rPr>
              <w:t>(替代投标保证金)</w:t>
            </w:r>
          </w:p>
        </w:tc>
        <w:tc>
          <w:tcPr>
            <w:tcW w:w="5736" w:type="dxa"/>
            <w:vAlign w:val="center"/>
          </w:tcPr>
          <w:p>
            <w:pPr>
              <w:widowControl w:val="0"/>
              <w:snapToGrid w:val="0"/>
              <w:spacing w:line="240" w:lineRule="auto"/>
              <w:rPr>
                <w:rFonts w:ascii="宋体"/>
                <w:color w:val="auto"/>
                <w:sz w:val="24"/>
                <w:szCs w:val="24"/>
                <w:highlight w:val="none"/>
              </w:rPr>
            </w:pPr>
            <w:r>
              <w:rPr>
                <w:rFonts w:hint="eastAsia" w:ascii="宋体" w:hAnsi="宋体"/>
                <w:color w:val="auto"/>
                <w:sz w:val="24"/>
                <w:szCs w:val="24"/>
                <w:highlight w:val="none"/>
              </w:rPr>
              <w:t>符合第三章“投标人须知”</w:t>
            </w:r>
            <w:r>
              <w:rPr>
                <w:rFonts w:ascii="宋体" w:hAnsi="宋体"/>
                <w:color w:val="auto"/>
                <w:sz w:val="24"/>
                <w:szCs w:val="24"/>
                <w:highlight w:val="none"/>
              </w:rPr>
              <w:t>3.5</w:t>
            </w:r>
            <w:r>
              <w:rPr>
                <w:rFonts w:hint="eastAsia" w:ascii="宋体" w:hAnsi="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3177" w:type="dxa"/>
            <w:gridSpan w:val="2"/>
            <w:vAlign w:val="center"/>
          </w:tcPr>
          <w:p>
            <w:pPr>
              <w:widowControl w:val="0"/>
              <w:snapToGrid w:val="0"/>
              <w:spacing w:line="240" w:lineRule="auto"/>
              <w:rPr>
                <w:color w:val="auto"/>
                <w:sz w:val="24"/>
                <w:szCs w:val="24"/>
                <w:highlight w:val="none"/>
              </w:rPr>
            </w:pPr>
            <w:r>
              <w:rPr>
                <w:rFonts w:hint="eastAsia"/>
                <w:color w:val="auto"/>
                <w:sz w:val="24"/>
                <w:szCs w:val="24"/>
                <w:highlight w:val="none"/>
              </w:rPr>
              <w:t>联合体（如有）</w:t>
            </w:r>
          </w:p>
        </w:tc>
        <w:tc>
          <w:tcPr>
            <w:tcW w:w="5736" w:type="dxa"/>
            <w:vAlign w:val="center"/>
          </w:tcPr>
          <w:p>
            <w:pPr>
              <w:widowControl w:val="0"/>
              <w:snapToGrid w:val="0"/>
              <w:spacing w:line="240" w:lineRule="auto"/>
              <w:rPr>
                <w:rFonts w:ascii="宋体"/>
                <w:color w:val="auto"/>
                <w:sz w:val="24"/>
                <w:szCs w:val="24"/>
                <w:highlight w:val="none"/>
              </w:rPr>
            </w:pPr>
            <w:r>
              <w:rPr>
                <w:rFonts w:hint="eastAsia" w:ascii="宋体" w:hAnsi="宋体"/>
                <w:color w:val="auto"/>
                <w:sz w:val="24"/>
                <w:szCs w:val="24"/>
                <w:highlight w:val="none"/>
              </w:rPr>
              <w:t>符合第三章“投标人须知”</w:t>
            </w:r>
            <w:r>
              <w:rPr>
                <w:rFonts w:ascii="宋体" w:hAnsi="宋体"/>
                <w:color w:val="auto"/>
                <w:sz w:val="24"/>
                <w:szCs w:val="24"/>
                <w:highlight w:val="none"/>
              </w:rPr>
              <w:t>1.4</w:t>
            </w:r>
            <w:r>
              <w:rPr>
                <w:rFonts w:hint="eastAsia" w:ascii="宋体" w:hAnsi="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64" w:type="dxa"/>
            <w:vMerge w:val="restart"/>
            <w:vAlign w:val="center"/>
          </w:tcPr>
          <w:p>
            <w:pPr>
              <w:pStyle w:val="56"/>
              <w:spacing w:line="360" w:lineRule="auto"/>
              <w:ind w:right="-160" w:rightChars="-76"/>
              <w:jc w:val="center"/>
              <w:rPr>
                <w:rFonts w:hAnsi="宋体"/>
                <w:color w:val="auto"/>
                <w:szCs w:val="24"/>
                <w:highlight w:val="none"/>
              </w:rPr>
            </w:pPr>
            <w:r>
              <w:rPr>
                <w:rFonts w:hAnsi="宋体"/>
                <w:color w:val="auto"/>
                <w:szCs w:val="24"/>
                <w:highlight w:val="none"/>
              </w:rPr>
              <w:t>2.1.2</w:t>
            </w:r>
          </w:p>
        </w:tc>
        <w:tc>
          <w:tcPr>
            <w:tcW w:w="560" w:type="dxa"/>
            <w:vMerge w:val="restart"/>
            <w:vAlign w:val="center"/>
          </w:tcPr>
          <w:p>
            <w:pPr>
              <w:pStyle w:val="56"/>
              <w:spacing w:line="360" w:lineRule="auto"/>
              <w:jc w:val="center"/>
              <w:rPr>
                <w:rFonts w:hAnsi="宋体"/>
                <w:color w:val="auto"/>
                <w:szCs w:val="24"/>
                <w:highlight w:val="none"/>
              </w:rPr>
            </w:pPr>
            <w:r>
              <w:rPr>
                <w:rFonts w:hint="eastAsia" w:hAnsi="宋体"/>
                <w:color w:val="auto"/>
                <w:szCs w:val="24"/>
                <w:highlight w:val="none"/>
              </w:rPr>
              <w:t>符</w:t>
            </w:r>
          </w:p>
          <w:p>
            <w:pPr>
              <w:pStyle w:val="56"/>
              <w:spacing w:line="360" w:lineRule="auto"/>
              <w:jc w:val="center"/>
              <w:rPr>
                <w:rFonts w:hAnsi="宋体"/>
                <w:color w:val="auto"/>
                <w:szCs w:val="24"/>
                <w:highlight w:val="none"/>
              </w:rPr>
            </w:pPr>
            <w:r>
              <w:rPr>
                <w:rFonts w:hint="eastAsia" w:hAnsi="宋体"/>
                <w:color w:val="auto"/>
                <w:szCs w:val="24"/>
                <w:highlight w:val="none"/>
              </w:rPr>
              <w:t>合</w:t>
            </w:r>
          </w:p>
          <w:p>
            <w:pPr>
              <w:pStyle w:val="56"/>
              <w:spacing w:line="360" w:lineRule="auto"/>
              <w:jc w:val="center"/>
              <w:rPr>
                <w:rFonts w:hAnsi="宋体"/>
                <w:color w:val="auto"/>
                <w:szCs w:val="24"/>
                <w:highlight w:val="none"/>
              </w:rPr>
            </w:pPr>
            <w:r>
              <w:rPr>
                <w:rFonts w:hint="eastAsia" w:hAnsi="宋体"/>
                <w:color w:val="auto"/>
                <w:szCs w:val="24"/>
                <w:highlight w:val="none"/>
              </w:rPr>
              <w:t>性</w:t>
            </w:r>
          </w:p>
          <w:p>
            <w:pPr>
              <w:pStyle w:val="56"/>
              <w:spacing w:line="360" w:lineRule="auto"/>
              <w:jc w:val="center"/>
              <w:rPr>
                <w:rFonts w:hAnsi="宋体"/>
                <w:color w:val="auto"/>
                <w:szCs w:val="24"/>
                <w:highlight w:val="none"/>
              </w:rPr>
            </w:pPr>
            <w:r>
              <w:rPr>
                <w:rFonts w:hint="eastAsia" w:hAnsi="宋体"/>
                <w:color w:val="auto"/>
                <w:szCs w:val="24"/>
                <w:highlight w:val="none"/>
              </w:rPr>
              <w:t>审</w:t>
            </w:r>
          </w:p>
          <w:p>
            <w:pPr>
              <w:pStyle w:val="56"/>
              <w:spacing w:line="360" w:lineRule="auto"/>
              <w:jc w:val="center"/>
              <w:rPr>
                <w:rFonts w:hAnsi="宋体"/>
                <w:color w:val="auto"/>
                <w:szCs w:val="24"/>
                <w:highlight w:val="none"/>
              </w:rPr>
            </w:pPr>
            <w:r>
              <w:rPr>
                <w:rFonts w:hint="eastAsia" w:hAnsi="宋体"/>
                <w:color w:val="auto"/>
                <w:szCs w:val="24"/>
                <w:highlight w:val="none"/>
              </w:rPr>
              <w:t>查</w:t>
            </w:r>
          </w:p>
        </w:tc>
        <w:tc>
          <w:tcPr>
            <w:tcW w:w="960" w:type="dxa"/>
            <w:vMerge w:val="restart"/>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有效性</w:t>
            </w: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投标人名称</w:t>
            </w:r>
          </w:p>
        </w:tc>
        <w:tc>
          <w:tcPr>
            <w:tcW w:w="5736" w:type="dxa"/>
            <w:vAlign w:val="center"/>
          </w:tcPr>
          <w:p>
            <w:pPr>
              <w:pStyle w:val="56"/>
              <w:adjustRightInd/>
              <w:snapToGrid w:val="0"/>
              <w:rPr>
                <w:rFonts w:hAnsi="宋体"/>
                <w:color w:val="auto"/>
                <w:szCs w:val="24"/>
                <w:highlight w:val="none"/>
              </w:rPr>
            </w:pPr>
            <w:r>
              <w:rPr>
                <w:rFonts w:hint="eastAsia" w:hAnsi="宋体"/>
                <w:color w:val="auto"/>
                <w:szCs w:val="24"/>
                <w:highlight w:val="none"/>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pStyle w:val="56"/>
              <w:adjustRightInd/>
              <w:snapToGrid w:val="0"/>
              <w:jc w:val="center"/>
              <w:rPr>
                <w:rFonts w:hAnsi="宋体"/>
                <w:color w:val="auto"/>
                <w:szCs w:val="24"/>
                <w:highlight w:val="none"/>
              </w:rPr>
            </w:pP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签字或盖章</w:t>
            </w:r>
          </w:p>
        </w:tc>
        <w:tc>
          <w:tcPr>
            <w:tcW w:w="5736" w:type="dxa"/>
            <w:vAlign w:val="center"/>
          </w:tcPr>
          <w:p>
            <w:pPr>
              <w:pStyle w:val="56"/>
              <w:adjustRightInd/>
              <w:snapToGrid w:val="0"/>
              <w:rPr>
                <w:rFonts w:hAnsi="宋体"/>
                <w:color w:val="auto"/>
                <w:szCs w:val="24"/>
                <w:highlight w:val="none"/>
              </w:rPr>
            </w:pPr>
            <w:r>
              <w:rPr>
                <w:rFonts w:hint="eastAsia" w:hAnsi="宋体"/>
                <w:color w:val="auto"/>
                <w:szCs w:val="24"/>
                <w:highlight w:val="none"/>
              </w:rPr>
              <w:t>符合第三章“投标人须知”</w:t>
            </w:r>
            <w:r>
              <w:rPr>
                <w:rFonts w:hAnsi="宋体"/>
                <w:color w:val="auto"/>
                <w:szCs w:val="24"/>
                <w:highlight w:val="none"/>
              </w:rPr>
              <w:t>3.7.4</w:t>
            </w:r>
            <w:r>
              <w:rPr>
                <w:rFonts w:hint="eastAsia" w:hAnsi="宋体"/>
                <w:color w:val="auto"/>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完整性</w:t>
            </w: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投标文件组成</w:t>
            </w:r>
          </w:p>
        </w:tc>
        <w:tc>
          <w:tcPr>
            <w:tcW w:w="5736" w:type="dxa"/>
            <w:vAlign w:val="center"/>
          </w:tcPr>
          <w:p>
            <w:pPr>
              <w:pStyle w:val="56"/>
              <w:adjustRightInd/>
              <w:snapToGrid w:val="0"/>
              <w:rPr>
                <w:rFonts w:hAnsi="宋体"/>
                <w:color w:val="auto"/>
                <w:szCs w:val="24"/>
                <w:highlight w:val="none"/>
              </w:rPr>
            </w:pPr>
            <w:r>
              <w:rPr>
                <w:rFonts w:hint="eastAsia" w:hAnsi="宋体"/>
                <w:color w:val="auto"/>
                <w:szCs w:val="24"/>
                <w:highlight w:val="none"/>
              </w:rPr>
              <w:t>符合第三章“投标人须知”</w:t>
            </w:r>
            <w:r>
              <w:rPr>
                <w:rFonts w:hAnsi="宋体"/>
                <w:color w:val="auto"/>
                <w:szCs w:val="24"/>
                <w:highlight w:val="none"/>
              </w:rPr>
              <w:t>3.2</w:t>
            </w:r>
            <w:r>
              <w:rPr>
                <w:rFonts w:hint="eastAsia" w:hAnsi="宋体"/>
                <w:color w:val="auto"/>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restart"/>
            <w:vAlign w:val="center"/>
          </w:tcPr>
          <w:p>
            <w:pPr>
              <w:pStyle w:val="56"/>
              <w:snapToGrid w:val="0"/>
              <w:jc w:val="center"/>
              <w:rPr>
                <w:rFonts w:hAnsi="宋体"/>
                <w:color w:val="auto"/>
                <w:szCs w:val="24"/>
                <w:highlight w:val="none"/>
              </w:rPr>
            </w:pPr>
            <w:r>
              <w:rPr>
                <w:rFonts w:hint="eastAsia" w:hAnsi="宋体"/>
                <w:color w:val="auto"/>
                <w:szCs w:val="24"/>
                <w:highlight w:val="none"/>
              </w:rPr>
              <w:t>响应程度</w:t>
            </w: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投标报价</w:t>
            </w:r>
          </w:p>
        </w:tc>
        <w:tc>
          <w:tcPr>
            <w:tcW w:w="5736" w:type="dxa"/>
            <w:vAlign w:val="center"/>
          </w:tcPr>
          <w:p>
            <w:pPr>
              <w:pStyle w:val="56"/>
              <w:adjustRightInd/>
              <w:snapToGrid w:val="0"/>
              <w:rPr>
                <w:rFonts w:hAnsi="宋体"/>
                <w:color w:val="auto"/>
                <w:szCs w:val="24"/>
                <w:highlight w:val="none"/>
              </w:rPr>
            </w:pPr>
            <w:r>
              <w:rPr>
                <w:rFonts w:hint="eastAsia" w:hAnsi="宋体"/>
                <w:color w:val="auto"/>
                <w:szCs w:val="24"/>
                <w:highlight w:val="none"/>
              </w:rPr>
              <w:t>符合第二章“采购项目及服务要求”</w:t>
            </w:r>
            <w:r>
              <w:rPr>
                <w:rFonts w:hAnsi="宋体"/>
                <w:color w:val="auto"/>
                <w:szCs w:val="24"/>
                <w:highlight w:val="none"/>
              </w:rPr>
              <w:t>1.3</w:t>
            </w:r>
            <w:r>
              <w:rPr>
                <w:rFonts w:hint="eastAsia" w:hAnsi="宋体"/>
                <w:color w:val="auto"/>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pStyle w:val="56"/>
              <w:snapToGrid w:val="0"/>
              <w:jc w:val="center"/>
              <w:rPr>
                <w:rFonts w:hAnsi="宋体"/>
                <w:color w:val="auto"/>
                <w:szCs w:val="24"/>
                <w:highlight w:val="none"/>
              </w:rPr>
            </w:pP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 xml:space="preserve">投标内容 </w:t>
            </w:r>
          </w:p>
        </w:tc>
        <w:tc>
          <w:tcPr>
            <w:tcW w:w="5736" w:type="dxa"/>
            <w:vAlign w:val="center"/>
          </w:tcPr>
          <w:p>
            <w:pPr>
              <w:pStyle w:val="56"/>
              <w:adjustRightInd/>
              <w:snapToGrid w:val="0"/>
              <w:rPr>
                <w:rFonts w:hAnsi="宋体"/>
                <w:color w:val="auto"/>
                <w:szCs w:val="24"/>
                <w:highlight w:val="none"/>
              </w:rPr>
            </w:pPr>
            <w:r>
              <w:rPr>
                <w:rFonts w:hint="eastAsia" w:hAnsi="宋体"/>
                <w:color w:val="auto"/>
                <w:szCs w:val="24"/>
                <w:highlight w:val="none"/>
              </w:rPr>
              <w:t>符合第二章“采购项目及服务要求”</w:t>
            </w:r>
            <w:r>
              <w:rPr>
                <w:rFonts w:hAnsi="宋体"/>
                <w:color w:val="auto"/>
                <w:szCs w:val="24"/>
                <w:highlight w:val="none"/>
              </w:rPr>
              <w:t>2</w:t>
            </w:r>
            <w:r>
              <w:rPr>
                <w:rFonts w:hint="eastAsia" w:hAnsi="宋体"/>
                <w:color w:val="auto"/>
                <w:szCs w:val="24"/>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pStyle w:val="56"/>
              <w:snapToGrid w:val="0"/>
              <w:jc w:val="center"/>
              <w:rPr>
                <w:rFonts w:hAnsi="宋体"/>
                <w:color w:val="auto"/>
                <w:szCs w:val="24"/>
                <w:highlight w:val="none"/>
              </w:rPr>
            </w:pP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交验期</w:t>
            </w:r>
          </w:p>
        </w:tc>
        <w:tc>
          <w:tcPr>
            <w:tcW w:w="5736" w:type="dxa"/>
            <w:vAlign w:val="center"/>
          </w:tcPr>
          <w:p>
            <w:pPr>
              <w:pStyle w:val="56"/>
              <w:adjustRightInd/>
              <w:snapToGrid w:val="0"/>
              <w:jc w:val="both"/>
              <w:rPr>
                <w:rFonts w:hAnsi="宋体"/>
                <w:color w:val="auto"/>
                <w:szCs w:val="24"/>
                <w:highlight w:val="none"/>
              </w:rPr>
            </w:pPr>
            <w:r>
              <w:rPr>
                <w:rFonts w:hint="eastAsia" w:hAnsi="宋体"/>
                <w:color w:val="auto"/>
                <w:szCs w:val="24"/>
                <w:highlight w:val="none"/>
              </w:rPr>
              <w:t>符合第二章“采购项目及服务要求”</w:t>
            </w:r>
            <w:r>
              <w:rPr>
                <w:rFonts w:hAnsi="宋体"/>
                <w:color w:val="auto"/>
                <w:szCs w:val="24"/>
                <w:highlight w:val="none"/>
              </w:rPr>
              <w:t>1.2</w:t>
            </w:r>
            <w:r>
              <w:rPr>
                <w:rFonts w:hint="eastAsia" w:hAnsi="宋体"/>
                <w:color w:val="auto"/>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pStyle w:val="56"/>
              <w:adjustRightInd/>
              <w:snapToGrid w:val="0"/>
              <w:jc w:val="center"/>
              <w:rPr>
                <w:rFonts w:hAnsi="宋体"/>
                <w:color w:val="auto"/>
                <w:szCs w:val="24"/>
                <w:highlight w:val="none"/>
              </w:rPr>
            </w:pP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投标有效期</w:t>
            </w:r>
          </w:p>
        </w:tc>
        <w:tc>
          <w:tcPr>
            <w:tcW w:w="5736" w:type="dxa"/>
            <w:vAlign w:val="center"/>
          </w:tcPr>
          <w:p>
            <w:pPr>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3.4</w:t>
            </w:r>
            <w:r>
              <w:rPr>
                <w:rFonts w:hint="eastAsia" w:ascii="宋体" w:hAnsi="宋体"/>
                <w:color w:val="auto"/>
                <w:sz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pStyle w:val="56"/>
              <w:adjustRightInd/>
              <w:snapToGrid w:val="0"/>
              <w:jc w:val="center"/>
              <w:rPr>
                <w:rFonts w:hAnsi="宋体"/>
                <w:color w:val="auto"/>
                <w:szCs w:val="24"/>
                <w:highlight w:val="none"/>
              </w:rPr>
            </w:pPr>
          </w:p>
        </w:tc>
        <w:tc>
          <w:tcPr>
            <w:tcW w:w="2217" w:type="dxa"/>
            <w:vAlign w:val="center"/>
          </w:tcPr>
          <w:p>
            <w:pPr>
              <w:pStyle w:val="56"/>
              <w:adjustRightInd/>
              <w:snapToGrid w:val="0"/>
              <w:jc w:val="center"/>
              <w:rPr>
                <w:rFonts w:hAnsi="宋体"/>
                <w:color w:val="auto"/>
                <w:szCs w:val="24"/>
                <w:highlight w:val="none"/>
              </w:rPr>
            </w:pPr>
            <w:r>
              <w:rPr>
                <w:rFonts w:hint="eastAsia" w:hAnsi="宋体"/>
                <w:color w:val="auto"/>
                <w:szCs w:val="24"/>
                <w:highlight w:val="none"/>
              </w:rPr>
              <w:t>投标文件格式</w:t>
            </w:r>
          </w:p>
        </w:tc>
        <w:tc>
          <w:tcPr>
            <w:tcW w:w="5736" w:type="dxa"/>
            <w:vAlign w:val="center"/>
          </w:tcPr>
          <w:p>
            <w:pPr>
              <w:pStyle w:val="56"/>
              <w:adjustRightInd/>
              <w:snapToGrid w:val="0"/>
              <w:rPr>
                <w:rFonts w:hAnsi="宋体"/>
                <w:color w:val="auto"/>
                <w:szCs w:val="24"/>
                <w:highlight w:val="none"/>
              </w:rPr>
            </w:pPr>
            <w:r>
              <w:rPr>
                <w:rFonts w:hint="eastAsia" w:hAnsi="宋体"/>
                <w:color w:val="auto"/>
                <w:szCs w:val="24"/>
                <w:highlight w:val="none"/>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pStyle w:val="56"/>
              <w:adjustRightInd/>
              <w:snapToGrid w:val="0"/>
              <w:jc w:val="center"/>
              <w:rPr>
                <w:rFonts w:hAnsi="宋体"/>
                <w:color w:val="auto"/>
                <w:szCs w:val="24"/>
                <w:highlight w:val="none"/>
              </w:rPr>
            </w:pPr>
          </w:p>
        </w:tc>
        <w:tc>
          <w:tcPr>
            <w:tcW w:w="2217" w:type="dxa"/>
            <w:vAlign w:val="center"/>
          </w:tcPr>
          <w:p>
            <w:pPr>
              <w:pStyle w:val="56"/>
              <w:adjustRightInd/>
              <w:snapToGrid w:val="0"/>
              <w:jc w:val="center"/>
              <w:rPr>
                <w:rFonts w:hAnsi="宋体"/>
                <w:color w:val="auto"/>
                <w:highlight w:val="none"/>
              </w:rPr>
            </w:pPr>
            <w:r>
              <w:rPr>
                <w:rFonts w:hint="eastAsia" w:hAnsi="宋体"/>
                <w:color w:val="auto"/>
                <w:highlight w:val="none"/>
              </w:rPr>
              <w:t>偏差描述</w:t>
            </w:r>
          </w:p>
        </w:tc>
        <w:tc>
          <w:tcPr>
            <w:tcW w:w="5736" w:type="dxa"/>
            <w:vAlign w:val="center"/>
          </w:tcPr>
          <w:p>
            <w:pPr>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3.7.3</w:t>
            </w:r>
            <w:r>
              <w:rPr>
                <w:rFonts w:hint="eastAsia" w:ascii="宋体" w:hAnsi="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564" w:type="dxa"/>
            <w:vMerge w:val="continue"/>
            <w:vAlign w:val="center"/>
          </w:tcPr>
          <w:p>
            <w:pPr>
              <w:pStyle w:val="56"/>
              <w:spacing w:line="360" w:lineRule="auto"/>
              <w:jc w:val="center"/>
              <w:rPr>
                <w:rFonts w:hAnsi="宋体"/>
                <w:color w:val="auto"/>
                <w:szCs w:val="24"/>
                <w:highlight w:val="none"/>
              </w:rPr>
            </w:pPr>
          </w:p>
        </w:tc>
        <w:tc>
          <w:tcPr>
            <w:tcW w:w="560" w:type="dxa"/>
            <w:vMerge w:val="continue"/>
            <w:vAlign w:val="center"/>
          </w:tcPr>
          <w:p>
            <w:pPr>
              <w:pStyle w:val="56"/>
              <w:spacing w:line="360" w:lineRule="auto"/>
              <w:jc w:val="center"/>
              <w:rPr>
                <w:rFonts w:hAnsi="宋体"/>
                <w:color w:val="auto"/>
                <w:szCs w:val="24"/>
                <w:highlight w:val="none"/>
              </w:rPr>
            </w:pPr>
          </w:p>
        </w:tc>
        <w:tc>
          <w:tcPr>
            <w:tcW w:w="960" w:type="dxa"/>
            <w:vMerge w:val="continue"/>
            <w:vAlign w:val="center"/>
          </w:tcPr>
          <w:p>
            <w:pPr>
              <w:snapToGrid w:val="0"/>
              <w:spacing w:line="240" w:lineRule="auto"/>
              <w:jc w:val="center"/>
              <w:rPr>
                <w:rFonts w:ascii="宋体"/>
                <w:color w:val="auto"/>
                <w:sz w:val="24"/>
                <w:highlight w:val="none"/>
              </w:rPr>
            </w:pPr>
          </w:p>
        </w:tc>
        <w:tc>
          <w:tcPr>
            <w:tcW w:w="2217" w:type="dxa"/>
            <w:vAlign w:val="center"/>
          </w:tcPr>
          <w:p>
            <w:pPr>
              <w:snapToGrid w:val="0"/>
              <w:spacing w:line="240" w:lineRule="auto"/>
              <w:jc w:val="center"/>
              <w:rPr>
                <w:rFonts w:ascii="宋体"/>
                <w:color w:val="auto"/>
                <w:sz w:val="24"/>
                <w:highlight w:val="none"/>
              </w:rPr>
            </w:pPr>
            <w:r>
              <w:rPr>
                <w:rFonts w:hint="eastAsia" w:ascii="宋体" w:hAnsi="宋体"/>
                <w:color w:val="auto"/>
                <w:sz w:val="24"/>
                <w:highlight w:val="none"/>
                <w:lang w:eastAsia="zh-CN"/>
              </w:rPr>
              <w:t>磋商文件</w:t>
            </w:r>
            <w:r>
              <w:rPr>
                <w:rFonts w:hint="eastAsia" w:ascii="宋体" w:hAnsi="宋体"/>
                <w:color w:val="auto"/>
                <w:sz w:val="24"/>
                <w:highlight w:val="none"/>
              </w:rPr>
              <w:t>总体响应</w:t>
            </w:r>
          </w:p>
        </w:tc>
        <w:tc>
          <w:tcPr>
            <w:tcW w:w="5736" w:type="dxa"/>
            <w:vAlign w:val="center"/>
          </w:tcPr>
          <w:p>
            <w:pPr>
              <w:autoSpaceDE w:val="0"/>
              <w:autoSpaceDN w:val="0"/>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1.3</w:t>
            </w:r>
            <w:r>
              <w:rPr>
                <w:rFonts w:hint="eastAsia" w:ascii="宋体" w:hAnsi="宋体"/>
                <w:color w:val="auto"/>
                <w:sz w:val="24"/>
                <w:highlight w:val="none"/>
              </w:rPr>
              <w:t>项规定</w:t>
            </w:r>
          </w:p>
        </w:tc>
      </w:tr>
    </w:tbl>
    <w:p>
      <w:pPr>
        <w:spacing w:line="240" w:lineRule="auto"/>
        <w:jc w:val="left"/>
        <w:textAlignment w:val="auto"/>
        <w:rPr>
          <w:rFonts w:ascii="黑体" w:hAnsi="黑体" w:eastAsia="黑体" w:cs="楷体_GB2312"/>
          <w:b/>
          <w:bCs/>
          <w:color w:val="auto"/>
          <w:sz w:val="28"/>
          <w:szCs w:val="28"/>
          <w:highlight w:val="none"/>
          <w:lang w:val="zh-CN"/>
        </w:rPr>
      </w:pPr>
    </w:p>
    <w:p>
      <w:pPr>
        <w:spacing w:line="240" w:lineRule="auto"/>
        <w:jc w:val="left"/>
        <w:textAlignment w:val="auto"/>
        <w:rPr>
          <w:rFonts w:ascii="黑体" w:hAnsi="黑体" w:eastAsia="黑体" w:cs="楷体_GB2312"/>
          <w:b/>
          <w:bCs/>
          <w:color w:val="auto"/>
          <w:sz w:val="28"/>
          <w:szCs w:val="28"/>
          <w:highlight w:val="none"/>
          <w:lang w:val="zh-CN"/>
        </w:rPr>
      </w:pPr>
    </w:p>
    <w:p>
      <w:pPr>
        <w:spacing w:line="240" w:lineRule="auto"/>
        <w:jc w:val="left"/>
        <w:textAlignment w:val="auto"/>
        <w:rPr>
          <w:rFonts w:ascii="黑体" w:hAnsi="黑体" w:eastAsia="黑体" w:cs="楷体_GB2312"/>
          <w:b/>
          <w:bCs/>
          <w:color w:val="auto"/>
          <w:sz w:val="28"/>
          <w:szCs w:val="28"/>
          <w:highlight w:val="none"/>
          <w:lang w:val="zh-CN"/>
        </w:rPr>
      </w:pPr>
    </w:p>
    <w:p>
      <w:pPr>
        <w:spacing w:line="240" w:lineRule="auto"/>
        <w:jc w:val="left"/>
        <w:textAlignment w:val="auto"/>
        <w:rPr>
          <w:rFonts w:ascii="黑体" w:hAnsi="黑体" w:eastAsia="黑体" w:cs="楷体_GB2312"/>
          <w:b/>
          <w:bCs/>
          <w:color w:val="auto"/>
          <w:sz w:val="28"/>
          <w:szCs w:val="28"/>
          <w:highlight w:val="none"/>
          <w:lang w:val="zh-CN"/>
        </w:rPr>
      </w:pPr>
    </w:p>
    <w:p>
      <w:pPr>
        <w:spacing w:line="240" w:lineRule="auto"/>
        <w:jc w:val="left"/>
        <w:textAlignment w:val="auto"/>
        <w:rPr>
          <w:rFonts w:ascii="黑体" w:hAnsi="黑体" w:eastAsia="黑体" w:cs="楷体_GB2312"/>
          <w:b/>
          <w:bCs/>
          <w:color w:val="auto"/>
          <w:sz w:val="28"/>
          <w:szCs w:val="28"/>
          <w:highlight w:val="none"/>
          <w:lang w:val="zh-CN"/>
        </w:rPr>
      </w:pPr>
    </w:p>
    <w:p>
      <w:pPr>
        <w:spacing w:line="240" w:lineRule="auto"/>
        <w:jc w:val="left"/>
        <w:textAlignment w:val="auto"/>
        <w:rPr>
          <w:rFonts w:ascii="黑体" w:hAnsi="黑体" w:eastAsia="黑体" w:cs="楷体_GB2312"/>
          <w:b/>
          <w:bCs/>
          <w:color w:val="auto"/>
          <w:sz w:val="28"/>
          <w:szCs w:val="28"/>
          <w:highlight w:val="none"/>
          <w:lang w:val="zh-CN"/>
        </w:rPr>
      </w:pPr>
    </w:p>
    <w:p>
      <w:pPr>
        <w:pStyle w:val="19"/>
        <w:ind w:firstLine="3200" w:firstLineChars="1000"/>
        <w:rPr>
          <w:rFonts w:hint="default"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详细评审</w:t>
      </w:r>
    </w:p>
    <w:tbl>
      <w:tblPr>
        <w:tblStyle w:val="20"/>
        <w:tblW w:w="5574"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71"/>
        <w:gridCol w:w="1375"/>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82" w:type="pct"/>
            <w:tcBorders>
              <w:top w:val="single" w:color="E0C154" w:sz="4" w:space="0"/>
              <w:left w:val="single" w:color="E0C154" w:sz="4" w:space="0"/>
              <w:bottom w:val="single" w:color="E0C154" w:sz="4" w:space="0"/>
              <w:right w:val="single" w:color="E0C154" w:sz="4" w:space="0"/>
            </w:tcBorders>
            <w:shd w:val="clear" w:color="auto" w:fill="F6EDCD"/>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000000"/>
                <w:sz w:val="24"/>
                <w:szCs w:val="24"/>
                <w:highlight w:val="none"/>
              </w:rPr>
              <w:br w:type="page"/>
            </w:r>
            <w:r>
              <w:rPr>
                <w:rFonts w:hint="eastAsia" w:asciiTheme="minorEastAsia" w:hAnsiTheme="minorEastAsia" w:eastAsiaTheme="minorEastAsia" w:cstheme="minorEastAsia"/>
                <w:b/>
                <w:bCs/>
                <w:color w:val="000000"/>
                <w:sz w:val="24"/>
                <w:szCs w:val="24"/>
                <w:highlight w:val="none"/>
              </w:rPr>
              <w:t>序号</w:t>
            </w:r>
          </w:p>
        </w:tc>
        <w:tc>
          <w:tcPr>
            <w:tcW w:w="780" w:type="pct"/>
            <w:tcBorders>
              <w:top w:val="single" w:color="E0C154" w:sz="4" w:space="0"/>
              <w:left w:val="single" w:color="E0C154" w:sz="4" w:space="0"/>
              <w:bottom w:val="single" w:color="E0C154" w:sz="4" w:space="0"/>
              <w:right w:val="dotted" w:color="auto" w:sz="4" w:space="0"/>
            </w:tcBorders>
            <w:shd w:val="clear" w:color="auto" w:fill="F6EDCD"/>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评分项目</w:t>
            </w:r>
          </w:p>
        </w:tc>
        <w:tc>
          <w:tcPr>
            <w:tcW w:w="642" w:type="pct"/>
            <w:tcBorders>
              <w:top w:val="single" w:color="E0C154" w:sz="4" w:space="0"/>
              <w:left w:val="dotted" w:color="auto" w:sz="4" w:space="0"/>
              <w:bottom w:val="single" w:color="E0C154" w:sz="4" w:space="0"/>
              <w:right w:val="dotted" w:color="auto" w:sz="4" w:space="0"/>
            </w:tcBorders>
            <w:shd w:val="clear" w:color="auto" w:fill="F6EDCD"/>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分值</w:t>
            </w:r>
          </w:p>
        </w:tc>
        <w:tc>
          <w:tcPr>
            <w:tcW w:w="3194" w:type="pct"/>
            <w:tcBorders>
              <w:top w:val="single" w:color="E0C154" w:sz="4" w:space="0"/>
              <w:left w:val="dotted" w:color="auto" w:sz="4" w:space="0"/>
              <w:bottom w:val="single" w:color="E0C154" w:sz="4" w:space="0"/>
              <w:right w:val="single" w:color="E0C154" w:sz="4" w:space="0"/>
            </w:tcBorders>
            <w:shd w:val="clear" w:color="auto" w:fill="F6EDCD"/>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382" w:type="pct"/>
            <w:tcBorders>
              <w:top w:val="single" w:color="E0C154" w:sz="4" w:space="0"/>
              <w:left w:val="single" w:color="E0C154" w:sz="4" w:space="0"/>
              <w:bottom w:val="dotted" w:color="auto" w:sz="4" w:space="0"/>
              <w:right w:val="single" w:color="E0C154"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w:t>
            </w:r>
          </w:p>
        </w:tc>
        <w:tc>
          <w:tcPr>
            <w:tcW w:w="780" w:type="pct"/>
            <w:tcBorders>
              <w:top w:val="single" w:color="E0C154" w:sz="4" w:space="0"/>
              <w:left w:val="single" w:color="E0C154"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价格部分</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30</w:t>
            </w:r>
            <w:r>
              <w:rPr>
                <w:rFonts w:hint="eastAsia" w:asciiTheme="minorEastAsia" w:hAnsiTheme="minorEastAsia" w:eastAsiaTheme="minorEastAsia" w:cstheme="minorEastAsia"/>
                <w:b/>
                <w:bCs/>
                <w:color w:val="000000"/>
                <w:sz w:val="24"/>
                <w:szCs w:val="24"/>
                <w:highlight w:val="none"/>
              </w:rPr>
              <w:t>分）</w:t>
            </w:r>
          </w:p>
        </w:tc>
        <w:tc>
          <w:tcPr>
            <w:tcW w:w="642" w:type="pct"/>
            <w:tcBorders>
              <w:top w:val="single" w:color="E0C154" w:sz="4" w:space="0"/>
              <w:left w:val="dotted" w:color="auto"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30</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single" w:color="E0C154" w:sz="4" w:space="0"/>
              <w:left w:val="dotted" w:color="auto" w:sz="4" w:space="0"/>
              <w:bottom w:val="dotted" w:color="auto" w:sz="4" w:space="0"/>
              <w:right w:val="single" w:color="E0C154" w:sz="4" w:space="0"/>
            </w:tcBorders>
            <w:shd w:val="clear" w:color="auto" w:fill="FFFFFF"/>
            <w:noWrap w:val="0"/>
            <w:vAlign w:val="center"/>
          </w:tcPr>
          <w:p>
            <w:pPr>
              <w:snapToGrid w:val="0"/>
              <w:spacing w:line="276" w:lineRule="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评综合评分法中的价格分统一采用低价优先法计算，即满足磋商文件要求且最后报价最低的投标人的价格为磋商基准价，其价格分为满分。其他投标人的价格分统一按照下列公式计算：</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磋商报价得分=（磋商基准价/最后磋商报价）×</w:t>
            </w:r>
            <w:r>
              <w:rPr>
                <w:rFonts w:hint="eastAsia" w:asciiTheme="minorEastAsia" w:hAnsiTheme="minorEastAsia" w:eastAsiaTheme="minorEastAsia" w:cstheme="minorEastAsia"/>
                <w:b/>
                <w:bCs/>
                <w:color w:val="000000"/>
                <w:sz w:val="24"/>
                <w:szCs w:val="24"/>
                <w:highlight w:val="none"/>
                <w:lang w:val="en-US" w:eastAsia="zh-CN"/>
              </w:rPr>
              <w:t>30</w:t>
            </w:r>
            <w:r>
              <w:rPr>
                <w:rFonts w:hint="eastAsia" w:asciiTheme="minorEastAsia" w:hAnsiTheme="minorEastAsia" w:eastAsiaTheme="minorEastAsia" w:cstheme="minorEastAsia"/>
                <w:b/>
                <w:bCs/>
                <w:color w:val="00000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382" w:type="pct"/>
            <w:vMerge w:val="restart"/>
            <w:tcBorders>
              <w:top w:val="dotted" w:color="auto" w:sz="4" w:space="0"/>
              <w:left w:val="single" w:color="E0C154" w:sz="4" w:space="0"/>
              <w:bottom w:val="dotted" w:color="auto" w:sz="4" w:space="0"/>
              <w:right w:val="single" w:color="E0C154"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2</w:t>
            </w:r>
          </w:p>
        </w:tc>
        <w:tc>
          <w:tcPr>
            <w:tcW w:w="780" w:type="pct"/>
            <w:vMerge w:val="restart"/>
            <w:tcBorders>
              <w:top w:val="dotted" w:color="auto" w:sz="4" w:space="0"/>
              <w:left w:val="single" w:color="E0C154" w:sz="4" w:space="0"/>
              <w:bottom w:val="dotted" w:color="auto" w:sz="4" w:space="0"/>
              <w:right w:val="dotted" w:color="auto"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商务部分</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20</w:t>
            </w:r>
            <w:r>
              <w:rPr>
                <w:rFonts w:hint="eastAsia" w:asciiTheme="minorEastAsia" w:hAnsiTheme="minorEastAsia" w:eastAsiaTheme="minorEastAsia" w:cstheme="minorEastAsia"/>
                <w:b/>
                <w:bCs/>
                <w:color w:val="000000"/>
                <w:sz w:val="24"/>
                <w:szCs w:val="24"/>
                <w:highlight w:val="none"/>
              </w:rPr>
              <w:t>分）</w:t>
            </w:r>
          </w:p>
        </w:tc>
        <w:tc>
          <w:tcPr>
            <w:tcW w:w="642" w:type="pct"/>
            <w:tcBorders>
              <w:top w:val="dotted" w:color="auto" w:sz="4" w:space="0"/>
              <w:left w:val="dotted" w:color="auto" w:sz="4" w:space="0"/>
              <w:bottom w:val="dotted" w:color="auto" w:sz="4" w:space="0"/>
              <w:right w:val="dotted" w:color="auto"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综合能力</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dotted" w:color="auto" w:sz="4" w:space="0"/>
              <w:left w:val="dotted" w:color="auto" w:sz="4" w:space="0"/>
              <w:bottom w:val="dotted" w:color="auto" w:sz="4" w:space="0"/>
              <w:right w:val="single" w:color="E0C154" w:sz="4" w:space="0"/>
            </w:tcBorders>
            <w:shd w:val="clear" w:color="auto" w:fill="FDFBF4"/>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供应商具有国家级或省级旅游综合类研究中心建设</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相关部门颁发的资质证书、质量认证证书等</w:t>
            </w:r>
            <w:r>
              <w:rPr>
                <w:rFonts w:hint="eastAsia" w:asciiTheme="minorEastAsia" w:hAnsiTheme="minorEastAsia" w:eastAsiaTheme="minorEastAsia" w:cstheme="minorEastAsia"/>
                <w:color w:val="000000"/>
                <w:sz w:val="24"/>
                <w:szCs w:val="24"/>
                <w:highlight w:val="none"/>
              </w:rPr>
              <w:t>，每个得2分,不提供不得分。本项最高得</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b/>
                <w:bCs/>
                <w:color w:val="000000"/>
                <w:sz w:val="24"/>
                <w:szCs w:val="24"/>
                <w:highlight w:val="none"/>
              </w:rPr>
              <w:t>满分</w:t>
            </w:r>
            <w:r>
              <w:rPr>
                <w:rFonts w:hint="eastAsia" w:asciiTheme="minorEastAsia" w:hAnsiTheme="minorEastAsia" w:eastAsia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rPr>
              <w:t>分</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注：</w:t>
            </w:r>
            <w:r>
              <w:rPr>
                <w:rFonts w:hint="eastAsia" w:asciiTheme="minorEastAsia" w:hAnsiTheme="minorEastAsia" w:eastAsiaTheme="minorEastAsia" w:cstheme="minorEastAsia"/>
                <w:color w:val="000000"/>
                <w:sz w:val="24"/>
                <w:szCs w:val="24"/>
                <w:highlight w:val="none"/>
              </w:rPr>
              <w:t>需提供研究中心建设</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资质证书证件</w:t>
            </w:r>
            <w:r>
              <w:rPr>
                <w:rFonts w:hint="eastAsia" w:asciiTheme="minorEastAsia" w:hAnsiTheme="minorEastAsia" w:eastAsiaTheme="minorEastAsia" w:cstheme="minorEastAsia"/>
                <w:color w:val="000000"/>
                <w:sz w:val="24"/>
                <w:szCs w:val="24"/>
                <w:highlight w:val="none"/>
              </w:rPr>
              <w:t>的有效证明文件。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382" w:type="pct"/>
            <w:vMerge w:val="continue"/>
            <w:tcBorders>
              <w:top w:val="dotted" w:color="auto" w:sz="4" w:space="0"/>
              <w:left w:val="single" w:color="E0C154" w:sz="4" w:space="0"/>
              <w:bottom w:val="dotted" w:color="auto" w:sz="4" w:space="0"/>
              <w:right w:val="single" w:color="E0C154"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p>
        </w:tc>
        <w:tc>
          <w:tcPr>
            <w:tcW w:w="780" w:type="pct"/>
            <w:vMerge w:val="continue"/>
            <w:tcBorders>
              <w:top w:val="dotted" w:color="auto" w:sz="4" w:space="0"/>
              <w:left w:val="single" w:color="E0C154"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p>
        </w:tc>
        <w:tc>
          <w:tcPr>
            <w:tcW w:w="642"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类似业绩</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（14分）</w:t>
            </w:r>
          </w:p>
        </w:tc>
        <w:tc>
          <w:tcPr>
            <w:tcW w:w="3194" w:type="pct"/>
            <w:tcBorders>
              <w:top w:val="dotted" w:color="auto" w:sz="4" w:space="0"/>
              <w:left w:val="dotted" w:color="auto" w:sz="4" w:space="0"/>
              <w:bottom w:val="dotted" w:color="auto" w:sz="4" w:space="0"/>
              <w:right w:val="single" w:color="E0C154" w:sz="4" w:space="0"/>
            </w:tcBorders>
            <w:shd w:val="clear" w:color="auto" w:fill="FFFFFF"/>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供应商提供本单位或团队人员承担过的旅游类相关课题研究、规划类项目业绩、文化旅游相关专业的高水平论文、专著或奖项等成果；每个成果业绩得2分。本项最高得1</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注：以上需提供课题的立项证书或结项证书，业绩项目的中标（成交）通知书或合同，论文、专著发布原文或有效证明材料，奖项的获奖证书；所有相关证明材料需附在响应文件内。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382" w:type="pct"/>
            <w:vMerge w:val="restart"/>
            <w:tcBorders>
              <w:top w:val="dotted" w:color="auto" w:sz="4" w:space="0"/>
              <w:left w:val="single" w:color="E0C154" w:sz="4" w:space="0"/>
              <w:bottom w:val="dotted" w:color="auto" w:sz="4" w:space="0"/>
              <w:right w:val="single" w:color="E0C154"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w:t>
            </w:r>
          </w:p>
        </w:tc>
        <w:tc>
          <w:tcPr>
            <w:tcW w:w="780" w:type="pct"/>
            <w:vMerge w:val="restart"/>
            <w:tcBorders>
              <w:top w:val="dotted" w:color="auto" w:sz="4" w:space="0"/>
              <w:left w:val="single" w:color="E0C154" w:sz="4" w:space="0"/>
              <w:bottom w:val="dotted" w:color="auto" w:sz="4" w:space="0"/>
              <w:right w:val="dotted" w:color="auto"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技术部分</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50</w:t>
            </w:r>
            <w:r>
              <w:rPr>
                <w:rFonts w:hint="eastAsia" w:asciiTheme="minorEastAsia" w:hAnsiTheme="minorEastAsia" w:eastAsiaTheme="minorEastAsia" w:cstheme="minorEastAsia"/>
                <w:b/>
                <w:bCs/>
                <w:color w:val="000000"/>
                <w:sz w:val="24"/>
                <w:szCs w:val="24"/>
                <w:highlight w:val="none"/>
              </w:rPr>
              <w:t>分）</w:t>
            </w:r>
          </w:p>
        </w:tc>
        <w:tc>
          <w:tcPr>
            <w:tcW w:w="642" w:type="pct"/>
            <w:tcBorders>
              <w:top w:val="dotted" w:color="auto" w:sz="4" w:space="0"/>
              <w:left w:val="dotted" w:color="auto" w:sz="4" w:space="0"/>
              <w:bottom w:val="dotted" w:color="auto" w:sz="4" w:space="0"/>
              <w:right w:val="dotted" w:color="auto"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拟投入</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本项目的主要人员和团队</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30</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dotted" w:color="auto" w:sz="4" w:space="0"/>
              <w:left w:val="dotted" w:color="auto" w:sz="4" w:space="0"/>
              <w:bottom w:val="dotted" w:color="auto" w:sz="4" w:space="0"/>
              <w:right w:val="single" w:color="E0C154" w:sz="4" w:space="0"/>
            </w:tcBorders>
            <w:shd w:val="clear" w:color="auto" w:fill="FDFBF4"/>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b/>
                <w:bCs/>
                <w:color w:val="000000"/>
                <w:sz w:val="24"/>
                <w:szCs w:val="24"/>
                <w:highlight w:val="none"/>
              </w:rPr>
              <w:t>拟派项目组负责人</w:t>
            </w:r>
            <w:r>
              <w:rPr>
                <w:rFonts w:hint="eastAsia" w:asciiTheme="minorEastAsia" w:hAnsiTheme="minorEastAsia" w:eastAsiaTheme="minorEastAsia" w:cstheme="minorEastAsia"/>
                <w:color w:val="000000"/>
                <w:sz w:val="24"/>
                <w:szCs w:val="24"/>
                <w:highlight w:val="none"/>
              </w:rPr>
              <w:t>：项目负责人</w:t>
            </w:r>
            <w:r>
              <w:rPr>
                <w:rFonts w:hint="eastAsia" w:asciiTheme="minorEastAsia" w:hAnsiTheme="minorEastAsia" w:eastAsiaTheme="minorEastAsia" w:cstheme="minorEastAsia"/>
                <w:color w:val="000000"/>
                <w:sz w:val="24"/>
                <w:szCs w:val="24"/>
                <w:highlight w:val="none"/>
                <w:lang w:val="en-US" w:eastAsia="zh-CN"/>
              </w:rPr>
              <w:t>必须</w:t>
            </w:r>
            <w:r>
              <w:rPr>
                <w:rFonts w:hint="eastAsia" w:asciiTheme="minorEastAsia" w:hAnsiTheme="minorEastAsia" w:eastAsiaTheme="minorEastAsia" w:cstheme="minorEastAsia"/>
                <w:color w:val="000000"/>
                <w:sz w:val="24"/>
                <w:szCs w:val="24"/>
                <w:highlight w:val="none"/>
              </w:rPr>
              <w:t>为旅游类、文化类、资源与环境类、经济类、管理类专业的博士学位或高级职称；项目负责人主持或参与过文化旅游相关专业的高级别课题研究、论文、著作或规划项目，提供的业绩成果每项得2分，与商务部分提供的供应商类似业绩相同的不得分</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不提供亦不得分。本项最高得</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b/>
                <w:bCs/>
                <w:color w:val="000000"/>
                <w:sz w:val="24"/>
                <w:szCs w:val="24"/>
                <w:highlight w:val="none"/>
              </w:rPr>
              <w:t>满分</w:t>
            </w:r>
            <w:r>
              <w:rPr>
                <w:rFonts w:hint="eastAsia" w:asciiTheme="minorEastAsia" w:hAnsiTheme="minorEastAsia" w:eastAsia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rPr>
              <w:t>分</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w:t>
            </w:r>
          </w:p>
          <w:p>
            <w:pPr>
              <w:snapToGrid w:val="0"/>
              <w:spacing w:line="276" w:lineRule="auto"/>
              <w:rPr>
                <w:rFonts w:hint="eastAsia"/>
                <w:color w:val="000000"/>
                <w:highlight w:val="none"/>
                <w:lang w:eastAsia="zh-CN"/>
              </w:rPr>
            </w:pPr>
            <w:r>
              <w:rPr>
                <w:rFonts w:hint="eastAsia" w:asciiTheme="minorEastAsia" w:hAnsiTheme="minorEastAsia" w:eastAsiaTheme="minorEastAsia" w:cstheme="minorEastAsia"/>
                <w:color w:val="000000"/>
                <w:sz w:val="24"/>
                <w:szCs w:val="24"/>
                <w:highlight w:val="none"/>
              </w:rPr>
              <w:t>需提供项目负责人的身份证、毕业证</w:t>
            </w:r>
            <w:r>
              <w:rPr>
                <w:rFonts w:hint="eastAsia" w:asciiTheme="minorEastAsia" w:hAnsiTheme="minorEastAsia" w:eastAsiaTheme="minorEastAsia" w:cstheme="minorEastAsia"/>
                <w:color w:val="000000"/>
                <w:sz w:val="24"/>
                <w:szCs w:val="24"/>
                <w:highlight w:val="none"/>
                <w:lang w:val="en-US" w:eastAsia="zh-CN"/>
              </w:rPr>
              <w:t>或</w:t>
            </w:r>
            <w:r>
              <w:rPr>
                <w:rFonts w:hint="eastAsia" w:asciiTheme="minorEastAsia" w:hAnsiTheme="minorEastAsia" w:eastAsiaTheme="minorEastAsia" w:cstheme="minorEastAsia"/>
                <w:color w:val="000000"/>
                <w:sz w:val="24"/>
                <w:szCs w:val="24"/>
                <w:highlight w:val="none"/>
              </w:rPr>
              <w:t>学位证、职称证</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如有</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，以及课题的立项证书或结项证书，论文、著作发布的原文或相关证明，业绩项目的中标（成交）通知书或合同</w:t>
            </w:r>
            <w:r>
              <w:rPr>
                <w:rFonts w:hint="eastAsia" w:asciiTheme="minorEastAsia" w:hAnsiTheme="minorEastAsia" w:eastAsiaTheme="minorEastAsia" w:cstheme="minorEastAsia"/>
                <w:color w:val="000000"/>
                <w:sz w:val="24"/>
                <w:szCs w:val="24"/>
                <w:highlight w:val="none"/>
                <w:lang w:eastAsia="zh-CN"/>
              </w:rPr>
              <w:t>。</w:t>
            </w:r>
          </w:p>
          <w:p>
            <w:pPr>
              <w:snapToGrid w:val="0"/>
              <w:spacing w:line="276"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b/>
                <w:bCs/>
                <w:color w:val="000000"/>
                <w:sz w:val="24"/>
                <w:szCs w:val="24"/>
                <w:highlight w:val="none"/>
              </w:rPr>
              <w:t>供应商专家团队</w:t>
            </w:r>
            <w:r>
              <w:rPr>
                <w:rFonts w:hint="eastAsia" w:asciiTheme="minorEastAsia" w:hAnsiTheme="minorEastAsia" w:eastAsiaTheme="minorEastAsia" w:cstheme="minorEastAsia"/>
                <w:color w:val="000000"/>
                <w:sz w:val="24"/>
                <w:szCs w:val="24"/>
                <w:highlight w:val="none"/>
              </w:rPr>
              <w:t>：具有</w:t>
            </w:r>
            <w:r>
              <w:rPr>
                <w:rFonts w:hint="eastAsia" w:asciiTheme="minorEastAsia" w:hAnsiTheme="minorEastAsia" w:eastAsiaTheme="minorEastAsia" w:cstheme="minorEastAsia"/>
                <w:color w:val="000000"/>
                <w:sz w:val="24"/>
                <w:szCs w:val="24"/>
                <w:highlight w:val="none"/>
                <w:lang w:val="en-US" w:eastAsia="zh-CN"/>
              </w:rPr>
              <w:t>25</w:t>
            </w:r>
            <w:r>
              <w:rPr>
                <w:rFonts w:hint="eastAsia" w:asciiTheme="minorEastAsia" w:hAnsiTheme="minorEastAsia" w:eastAsiaTheme="minorEastAsia" w:cstheme="minorEastAsia"/>
                <w:color w:val="000000"/>
                <w:sz w:val="24"/>
                <w:szCs w:val="24"/>
                <w:highlight w:val="none"/>
              </w:rPr>
              <w:t>名及以上博士学位或高级职称的专家得分</w:t>
            </w:r>
            <w:r>
              <w:rPr>
                <w:rFonts w:hint="eastAsia" w:asciiTheme="minorEastAsia" w:hAnsiTheme="minorEastAsia" w:eastAsiaTheme="minorEastAsia" w:cstheme="minorEastAsia"/>
                <w:color w:val="000000"/>
                <w:sz w:val="24"/>
                <w:szCs w:val="24"/>
                <w:highlight w:val="none"/>
                <w:lang w:val="en-US" w:eastAsia="zh-CN"/>
              </w:rPr>
              <w:t>9分</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15</w:t>
            </w:r>
            <w:r>
              <w:rPr>
                <w:rFonts w:hint="eastAsia" w:asciiTheme="minorEastAsia" w:hAnsiTheme="minorEastAsia" w:eastAsiaTheme="minorEastAsia" w:cstheme="minorEastAsia"/>
                <w:color w:val="000000"/>
                <w:sz w:val="24"/>
                <w:szCs w:val="24"/>
                <w:highlight w:val="none"/>
              </w:rPr>
              <w:t>（含）-</w:t>
            </w:r>
            <w:r>
              <w:rPr>
                <w:rFonts w:hint="eastAsia" w:asciiTheme="minorEastAsia" w:hAnsiTheme="minorEastAsia" w:eastAsiaTheme="minorEastAsia" w:cstheme="minorEastAsia"/>
                <w:color w:val="000000"/>
                <w:sz w:val="24"/>
                <w:szCs w:val="24"/>
                <w:highlight w:val="none"/>
                <w:lang w:val="en-US" w:eastAsia="zh-CN"/>
              </w:rPr>
              <w:t>24</w:t>
            </w:r>
            <w:r>
              <w:rPr>
                <w:rFonts w:hint="eastAsia" w:asciiTheme="minorEastAsia" w:hAnsiTheme="minorEastAsia" w:eastAsiaTheme="minorEastAsia" w:cstheme="minorEastAsia"/>
                <w:color w:val="000000"/>
                <w:sz w:val="24"/>
                <w:szCs w:val="24"/>
                <w:highlight w:val="none"/>
              </w:rPr>
              <w:t>名博士学位或高级职称的专家得</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0（含）-</w:t>
            </w:r>
            <w:r>
              <w:rPr>
                <w:rFonts w:hint="eastAsia" w:asciiTheme="minorEastAsia" w:hAnsiTheme="minorEastAsia" w:eastAsiaTheme="minorEastAsia" w:cstheme="minorEastAsia"/>
                <w:color w:val="000000"/>
                <w:sz w:val="24"/>
                <w:szCs w:val="24"/>
                <w:highlight w:val="none"/>
                <w:lang w:val="en-US" w:eastAsia="zh-CN"/>
              </w:rPr>
              <w:t>14</w:t>
            </w:r>
            <w:r>
              <w:rPr>
                <w:rFonts w:hint="eastAsia" w:asciiTheme="minorEastAsia" w:hAnsiTheme="minorEastAsia" w:eastAsiaTheme="minorEastAsia" w:cstheme="minorEastAsia"/>
                <w:color w:val="000000"/>
                <w:sz w:val="24"/>
                <w:szCs w:val="24"/>
                <w:highlight w:val="none"/>
              </w:rPr>
              <w:t>名博士学位或高级职称的专家得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（含）-9名博士学位或高级职称的专家得2分,</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名以下不得分，不提供亦不得分；并且专家团队的所有成员不允许外聘。本项最高得</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b/>
                <w:bCs/>
                <w:color w:val="000000"/>
                <w:sz w:val="24"/>
                <w:szCs w:val="24"/>
                <w:highlight w:val="none"/>
              </w:rPr>
              <w:t>满分</w:t>
            </w:r>
            <w:r>
              <w:rPr>
                <w:rFonts w:hint="eastAsia" w:asciiTheme="minorEastAsia" w:hAnsiTheme="minorEastAsia" w:eastAsiaTheme="minorEastAsia" w:cstheme="minorEastAsia"/>
                <w:b/>
                <w:bCs/>
                <w:color w:val="000000"/>
                <w:sz w:val="24"/>
                <w:szCs w:val="24"/>
                <w:highlight w:val="none"/>
                <w:lang w:val="en-US" w:eastAsia="zh-CN"/>
              </w:rPr>
              <w:t>9</w:t>
            </w:r>
            <w:r>
              <w:rPr>
                <w:rFonts w:hint="eastAsia" w:asciiTheme="minorEastAsia" w:hAnsiTheme="minorEastAsia" w:eastAsiaTheme="minorEastAsia" w:cstheme="minorEastAsia"/>
                <w:b/>
                <w:bCs/>
                <w:color w:val="000000"/>
                <w:sz w:val="24"/>
                <w:szCs w:val="24"/>
                <w:highlight w:val="none"/>
              </w:rPr>
              <w:t>分</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w:t>
            </w:r>
          </w:p>
          <w:p>
            <w:pPr>
              <w:snapToGrid w:val="0"/>
              <w:spacing w:line="276" w:lineRule="auto"/>
              <w:rPr>
                <w:rFonts w:hint="eastAsia"/>
                <w:color w:val="000000"/>
                <w:highlight w:val="none"/>
                <w:lang w:eastAsia="zh-CN"/>
              </w:rPr>
            </w:pPr>
            <w:r>
              <w:rPr>
                <w:rFonts w:hint="eastAsia" w:asciiTheme="minorEastAsia" w:hAnsiTheme="minorEastAsia" w:eastAsiaTheme="minorEastAsia" w:cstheme="minorEastAsia"/>
                <w:color w:val="000000"/>
                <w:sz w:val="24"/>
                <w:szCs w:val="24"/>
                <w:highlight w:val="none"/>
              </w:rPr>
              <w:t>需提供专家团队的人员名单汇总表，专家的身份证、</w:t>
            </w:r>
            <w:r>
              <w:rPr>
                <w:rFonts w:hint="eastAsia" w:asciiTheme="minorEastAsia" w:hAnsiTheme="minorEastAsia" w:eastAsiaTheme="minorEastAsia" w:cstheme="minorEastAsia"/>
                <w:color w:val="000000"/>
                <w:sz w:val="24"/>
                <w:szCs w:val="24"/>
                <w:highlight w:val="none"/>
                <w:lang w:val="en-US" w:eastAsia="zh-CN"/>
              </w:rPr>
              <w:t>毕业</w:t>
            </w:r>
            <w:r>
              <w:rPr>
                <w:rFonts w:hint="eastAsia" w:asciiTheme="minorEastAsia" w:hAnsiTheme="minorEastAsia" w:eastAsiaTheme="minorEastAsia" w:cstheme="minorEastAsia"/>
                <w:color w:val="000000"/>
                <w:sz w:val="24"/>
                <w:szCs w:val="24"/>
                <w:highlight w:val="none"/>
              </w:rPr>
              <w:t>证或</w:t>
            </w:r>
            <w:r>
              <w:rPr>
                <w:rFonts w:hint="eastAsia" w:asciiTheme="minorEastAsia" w:hAnsiTheme="minorEastAsia" w:eastAsiaTheme="minorEastAsia" w:cstheme="minorEastAsia"/>
                <w:color w:val="000000"/>
                <w:sz w:val="24"/>
                <w:szCs w:val="24"/>
                <w:highlight w:val="none"/>
                <w:lang w:val="en-US" w:eastAsia="zh-CN"/>
              </w:rPr>
              <w:t>学位证、</w:t>
            </w:r>
            <w:r>
              <w:rPr>
                <w:rFonts w:hint="eastAsia" w:asciiTheme="minorEastAsia" w:hAnsiTheme="minorEastAsia" w:eastAsiaTheme="minorEastAsia" w:cstheme="minorEastAsia"/>
                <w:color w:val="000000"/>
                <w:sz w:val="24"/>
                <w:szCs w:val="24"/>
                <w:highlight w:val="none"/>
              </w:rPr>
              <w:t>职称证</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如有</w:t>
            </w:r>
            <w:r>
              <w:rPr>
                <w:rFonts w:hint="eastAsia" w:asciiTheme="minorEastAsia" w:hAnsiTheme="minorEastAsia" w:eastAsiaTheme="minorEastAsia" w:cstheme="minorEastAsia"/>
                <w:color w:val="000000"/>
                <w:sz w:val="24"/>
                <w:szCs w:val="24"/>
                <w:highlight w:val="none"/>
                <w:lang w:eastAsia="zh-CN"/>
              </w:rPr>
              <w:t>）。</w:t>
            </w:r>
          </w:p>
          <w:p>
            <w:pPr>
              <w:snapToGrid w:val="0"/>
              <w:spacing w:line="276"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b/>
                <w:bCs/>
                <w:color w:val="000000"/>
                <w:sz w:val="24"/>
                <w:szCs w:val="24"/>
                <w:highlight w:val="none"/>
              </w:rPr>
              <w:t>项目组</w:t>
            </w:r>
            <w:r>
              <w:rPr>
                <w:rFonts w:hint="eastAsia" w:asciiTheme="minorEastAsia" w:hAnsiTheme="minorEastAsia" w:eastAsiaTheme="minorEastAsia" w:cstheme="minorEastAsia"/>
                <w:b/>
                <w:bCs/>
                <w:color w:val="000000"/>
                <w:sz w:val="24"/>
                <w:szCs w:val="24"/>
                <w:highlight w:val="none"/>
                <w:lang w:val="en-US" w:eastAsia="zh-CN"/>
              </w:rPr>
              <w:t>技术</w:t>
            </w:r>
            <w:r>
              <w:rPr>
                <w:rFonts w:hint="eastAsia" w:asciiTheme="minorEastAsia" w:hAnsiTheme="minorEastAsia" w:eastAsiaTheme="minorEastAsia" w:cstheme="minorEastAsia"/>
                <w:b/>
                <w:bCs/>
                <w:color w:val="000000"/>
                <w:sz w:val="24"/>
                <w:szCs w:val="24"/>
                <w:highlight w:val="none"/>
              </w:rPr>
              <w:t>成员</w:t>
            </w:r>
            <w:r>
              <w:rPr>
                <w:rFonts w:hint="eastAsia" w:asciiTheme="minorEastAsia" w:hAnsiTheme="minorEastAsia" w:eastAsiaTheme="minorEastAsia" w:cstheme="minorEastAsia"/>
                <w:color w:val="000000"/>
                <w:sz w:val="24"/>
                <w:szCs w:val="24"/>
                <w:highlight w:val="none"/>
              </w:rPr>
              <w:t>（项目负责人、专家团队人员除外）：需要具备旅游、环境保护、历史文化、文物、工学、水利、地理学、气象、生物、建筑、园林、信息技术、经济、农业、管理等相关的各个专业。</w:t>
            </w:r>
            <w:r>
              <w:rPr>
                <w:rFonts w:hint="eastAsia" w:asciiTheme="minorEastAsia" w:hAnsiTheme="minorEastAsia" w:eastAsiaTheme="minorEastAsia" w:cstheme="minorEastAsia"/>
                <w:color w:val="000000"/>
                <w:sz w:val="24"/>
                <w:szCs w:val="24"/>
                <w:highlight w:val="none"/>
                <w:lang w:val="en-US" w:eastAsia="zh-CN"/>
              </w:rPr>
              <w:t>团队人员中</w:t>
            </w:r>
            <w:r>
              <w:rPr>
                <w:rFonts w:hint="eastAsia" w:asciiTheme="minorEastAsia" w:hAnsiTheme="minorEastAsia" w:eastAsiaTheme="minorEastAsia" w:cstheme="minorEastAsia"/>
                <w:color w:val="000000"/>
                <w:sz w:val="24"/>
                <w:szCs w:val="24"/>
                <w:highlight w:val="none"/>
              </w:rPr>
              <w:t>博士学位得1分，硕士学位得0.5分，学士学位得0.2分，其他学位不得分</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成员如具有中级及以上的专业职称证，每人可在学位分数的基础上增加0.2分。</w:t>
            </w:r>
            <w:r>
              <w:rPr>
                <w:rFonts w:hint="eastAsia" w:asciiTheme="minorEastAsia" w:hAnsiTheme="minorEastAsia" w:eastAsiaTheme="minorEastAsia" w:cstheme="minorEastAsia"/>
                <w:color w:val="000000"/>
                <w:sz w:val="24"/>
                <w:szCs w:val="24"/>
                <w:highlight w:val="none"/>
              </w:rPr>
              <w:t>本项最多得1</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r>
              <w:rPr>
                <w:rFonts w:hint="eastAsia" w:asciiTheme="minorEastAsia" w:hAnsiTheme="minorEastAsia" w:eastAsiaTheme="minorEastAsia" w:cstheme="minorEastAsia"/>
                <w:b/>
                <w:bCs/>
                <w:color w:val="000000"/>
                <w:sz w:val="24"/>
                <w:szCs w:val="24"/>
                <w:highlight w:val="none"/>
              </w:rPr>
              <w:t>满分1</w:t>
            </w:r>
            <w:r>
              <w:rPr>
                <w:rFonts w:hint="eastAsia" w:asciiTheme="minorEastAsia" w:hAnsiTheme="minorEastAsia" w:eastAsia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rPr>
              <w:t>分</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需提供团队</w:t>
            </w:r>
            <w:r>
              <w:rPr>
                <w:rFonts w:hint="eastAsia" w:asciiTheme="minorEastAsia" w:hAnsiTheme="minorEastAsia" w:eastAsiaTheme="minorEastAsia" w:cstheme="minorEastAsia"/>
                <w:color w:val="000000"/>
                <w:sz w:val="24"/>
                <w:szCs w:val="24"/>
                <w:highlight w:val="none"/>
                <w:lang w:val="en-US" w:eastAsia="zh-CN"/>
              </w:rPr>
              <w:t>技术</w:t>
            </w:r>
            <w:r>
              <w:rPr>
                <w:rFonts w:hint="eastAsia" w:asciiTheme="minorEastAsia" w:hAnsiTheme="minorEastAsia" w:eastAsiaTheme="minorEastAsia" w:cstheme="minorEastAsia"/>
                <w:color w:val="000000"/>
                <w:sz w:val="24"/>
                <w:szCs w:val="24"/>
                <w:highlight w:val="none"/>
              </w:rPr>
              <w:t>人员</w:t>
            </w:r>
            <w:r>
              <w:rPr>
                <w:rFonts w:hint="eastAsia" w:asciiTheme="minorEastAsia" w:hAnsiTheme="minorEastAsia" w:eastAsiaTheme="minorEastAsia" w:cstheme="minorEastAsia"/>
                <w:color w:val="000000"/>
                <w:sz w:val="24"/>
                <w:szCs w:val="24"/>
                <w:highlight w:val="none"/>
                <w:lang w:val="en-US" w:eastAsia="zh-CN"/>
              </w:rPr>
              <w:t>的</w:t>
            </w:r>
            <w:r>
              <w:rPr>
                <w:rFonts w:hint="eastAsia" w:asciiTheme="minorEastAsia" w:hAnsiTheme="minorEastAsia" w:eastAsiaTheme="minorEastAsia" w:cstheme="minorEastAsia"/>
                <w:color w:val="000000"/>
                <w:sz w:val="24"/>
                <w:szCs w:val="24"/>
                <w:highlight w:val="none"/>
              </w:rPr>
              <w:t>名单汇总表，以及所有人员的身份证、毕业证</w:t>
            </w:r>
            <w:r>
              <w:rPr>
                <w:rFonts w:hint="eastAsia" w:asciiTheme="minorEastAsia" w:hAnsiTheme="minorEastAsia" w:eastAsiaTheme="minorEastAsia" w:cstheme="minorEastAsia"/>
                <w:color w:val="000000"/>
                <w:sz w:val="24"/>
                <w:szCs w:val="24"/>
                <w:highlight w:val="none"/>
                <w:lang w:val="en-US" w:eastAsia="zh-CN"/>
              </w:rPr>
              <w:t>或</w:t>
            </w:r>
            <w:r>
              <w:rPr>
                <w:rFonts w:hint="eastAsia" w:asciiTheme="minorEastAsia" w:hAnsiTheme="minorEastAsia" w:eastAsiaTheme="minorEastAsia" w:cstheme="minorEastAsia"/>
                <w:color w:val="000000"/>
                <w:sz w:val="24"/>
                <w:szCs w:val="24"/>
                <w:highlight w:val="none"/>
              </w:rPr>
              <w:t>学位证</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职称证（如有）</w:t>
            </w:r>
            <w:r>
              <w:rPr>
                <w:rFonts w:hint="eastAsia" w:asciiTheme="minorEastAsia" w:hAnsiTheme="minorEastAsia" w:eastAsiaTheme="minorEastAsia" w:cstheme="minor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trPr>
        <w:tc>
          <w:tcPr>
            <w:tcW w:w="382" w:type="pct"/>
            <w:vMerge w:val="continue"/>
            <w:tcBorders>
              <w:top w:val="dotted" w:color="auto" w:sz="4" w:space="0"/>
              <w:left w:val="single" w:color="E0C154" w:sz="4" w:space="0"/>
              <w:bottom w:val="dotted" w:color="auto" w:sz="4" w:space="0"/>
              <w:right w:val="single" w:color="E0C154"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p>
        </w:tc>
        <w:tc>
          <w:tcPr>
            <w:tcW w:w="780" w:type="pct"/>
            <w:vMerge w:val="continue"/>
            <w:tcBorders>
              <w:top w:val="dotted" w:color="auto" w:sz="4" w:space="0"/>
              <w:left w:val="single" w:color="E0C154"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p>
        </w:tc>
        <w:tc>
          <w:tcPr>
            <w:tcW w:w="642"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项目分析</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dotted" w:color="auto" w:sz="4" w:space="0"/>
              <w:left w:val="dotted" w:color="auto" w:sz="4" w:space="0"/>
              <w:bottom w:val="dotted" w:color="auto" w:sz="4" w:space="0"/>
              <w:right w:val="single" w:color="E0C154" w:sz="4" w:space="0"/>
            </w:tcBorders>
            <w:shd w:val="clear" w:color="auto" w:fill="FFFFFF"/>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熟悉河南省旅游资源普查标准、技术规程、操作手册等规范，能有效培训、指导、服务本市及下辖各乡镇（街道）普查工作严格执行普查标准；</w:t>
            </w:r>
          </w:p>
          <w:p>
            <w:pPr>
              <w:numPr>
                <w:ilvl w:val="0"/>
                <w:numId w:val="2"/>
              </w:num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针对本项目的开展分析准确，熟悉项目情况（包括收集和分析前期工作资料，普查工作内容），对普查任务的理解程度、项目工作的理解清晰，技术路线及工作方法思路清晰，针对性强，且响应优于项目需求得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p>
          <w:p>
            <w:pPr>
              <w:numPr>
                <w:ilvl w:val="0"/>
                <w:numId w:val="0"/>
              </w:num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响应程度和基础分析内容较为合理，思路比较清晰，能满足项目需求的得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技术路线基本满足项目需求得2分；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技术路线不能满足项目需求或不提供的不得分。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382" w:type="pct"/>
            <w:vMerge w:val="continue"/>
            <w:tcBorders>
              <w:top w:val="dotted" w:color="auto" w:sz="4" w:space="0"/>
              <w:left w:val="single" w:color="E0C154" w:sz="4" w:space="0"/>
              <w:bottom w:val="dotted" w:color="auto" w:sz="4" w:space="0"/>
              <w:right w:val="single" w:color="E0C154" w:sz="4" w:space="0"/>
            </w:tcBorders>
            <w:shd w:val="clear" w:color="auto" w:fill="FDFBF4"/>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780" w:type="pct"/>
            <w:vMerge w:val="continue"/>
            <w:tcBorders>
              <w:top w:val="dotted" w:color="auto" w:sz="4" w:space="0"/>
              <w:left w:val="single" w:color="E0C154" w:sz="4" w:space="0"/>
              <w:bottom w:val="dotted" w:color="auto" w:sz="4" w:space="0"/>
              <w:right w:val="dotted" w:color="auto" w:sz="4" w:space="0"/>
            </w:tcBorders>
            <w:shd w:val="clear" w:color="auto" w:fill="FDFBF4"/>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642" w:type="pct"/>
            <w:tcBorders>
              <w:top w:val="dotted" w:color="auto" w:sz="4" w:space="0"/>
              <w:left w:val="dotted" w:color="auto" w:sz="4" w:space="0"/>
              <w:bottom w:val="dotted" w:color="auto" w:sz="4" w:space="0"/>
              <w:right w:val="dotted" w:color="auto"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服务方案</w:t>
            </w:r>
          </w:p>
          <w:p>
            <w:pPr>
              <w:snapToGrid w:val="0"/>
              <w:spacing w:line="276"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dotted" w:color="auto" w:sz="4" w:space="0"/>
              <w:left w:val="dotted" w:color="auto" w:sz="4" w:space="0"/>
              <w:bottom w:val="dotted" w:color="auto" w:sz="4" w:space="0"/>
              <w:right w:val="single" w:color="E0C154" w:sz="4" w:space="0"/>
            </w:tcBorders>
            <w:shd w:val="clear" w:color="auto" w:fill="FDFBF4"/>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提供的技术服务方案内容应包括本次服务的全面分析，全市旅游资源现状分析总结深入，项目工作分析总结充分详实、思路清晰、准确、全面、合理，对项目工作内容具体情况描述精确，工作进度安排合理高效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内容编写较合理，对项目工作内容情况描述较准确，旅游资源分析深入，工作进度安排较合理得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内容编写基本合理，对项目工作内容情况描述基本准确，旅游资源分析简单，工作进度安排基本满足要求得</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内容编写简单，对项目工作内容描述不够准确，工作进度安排不够合理得1分；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内容不能满足项目需求或不提供的不得分。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382" w:type="pct"/>
            <w:vMerge w:val="continue"/>
            <w:tcBorders>
              <w:top w:val="dotted" w:color="auto" w:sz="4" w:space="0"/>
              <w:left w:val="single" w:color="E0C154" w:sz="4" w:space="0"/>
              <w:bottom w:val="dotted" w:color="auto" w:sz="4" w:space="0"/>
              <w:right w:val="single" w:color="E0C154" w:sz="4" w:space="0"/>
            </w:tcBorders>
            <w:shd w:val="clear" w:color="auto" w:fill="FFFFFF"/>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780" w:type="pct"/>
            <w:vMerge w:val="continue"/>
            <w:tcBorders>
              <w:top w:val="dotted" w:color="auto" w:sz="4" w:space="0"/>
              <w:left w:val="single" w:color="E0C154" w:sz="4" w:space="0"/>
              <w:bottom w:val="dotted" w:color="auto" w:sz="4" w:space="0"/>
              <w:right w:val="dotted" w:color="auto" w:sz="4" w:space="0"/>
            </w:tcBorders>
            <w:shd w:val="clear" w:color="auto" w:fill="FFFFFF"/>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642"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项目实施</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管理</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4</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dotted" w:color="auto" w:sz="4" w:space="0"/>
              <w:left w:val="dotted" w:color="auto" w:sz="4" w:space="0"/>
              <w:bottom w:val="dotted" w:color="auto" w:sz="4" w:space="0"/>
              <w:right w:val="single" w:color="E0C154" w:sz="4" w:space="0"/>
            </w:tcBorders>
            <w:shd w:val="clear" w:color="auto" w:fill="FFFFFF"/>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供应商提供时间进度安排，阶段性工作内容编制合理、可行，关键线路清晰、准确、完整，项目技术质量控制措施得力、可行性强，响应优于项目需求得</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时间进度管理编制可行，关键线路清晰，技术质量控制措施得力、可行性较强，能满足项目招标需求得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时间进度编制较合理，关键线路较清晰、完整，技术质量控制措施较为得力、可行性一般得</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时间进度编制基本可行，关键线路基本清晰，技术质量控制措施基本满足项目需求得1分；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内容不能满足项目需求或不提供的不得分。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82" w:type="pct"/>
            <w:vMerge w:val="continue"/>
            <w:tcBorders>
              <w:top w:val="dotted" w:color="auto" w:sz="4" w:space="0"/>
              <w:left w:val="single" w:color="E0C154" w:sz="4" w:space="0"/>
              <w:bottom w:val="dotted" w:color="auto" w:sz="4" w:space="0"/>
              <w:right w:val="single" w:color="E0C154" w:sz="4" w:space="0"/>
            </w:tcBorders>
            <w:shd w:val="clear" w:color="auto" w:fill="FDFBF4"/>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780" w:type="pct"/>
            <w:vMerge w:val="continue"/>
            <w:tcBorders>
              <w:top w:val="dotted" w:color="auto" w:sz="4" w:space="0"/>
              <w:left w:val="single" w:color="E0C154" w:sz="4" w:space="0"/>
              <w:bottom w:val="dotted" w:color="auto" w:sz="4" w:space="0"/>
              <w:right w:val="dotted" w:color="auto" w:sz="4" w:space="0"/>
            </w:tcBorders>
            <w:shd w:val="clear" w:color="auto" w:fill="FDFBF4"/>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642" w:type="pct"/>
            <w:tcBorders>
              <w:top w:val="dotted" w:color="auto" w:sz="4" w:space="0"/>
              <w:left w:val="dotted" w:color="auto" w:sz="4" w:space="0"/>
              <w:bottom w:val="dotted" w:color="auto" w:sz="4" w:space="0"/>
              <w:right w:val="dotted" w:color="auto" w:sz="4" w:space="0"/>
            </w:tcBorders>
            <w:shd w:val="clear" w:color="auto" w:fill="FDFBF4"/>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重难点</w:t>
            </w:r>
          </w:p>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分析</w:t>
            </w:r>
          </w:p>
          <w:p>
            <w:pPr>
              <w:snapToGrid w:val="0"/>
              <w:spacing w:line="276"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w:t>
            </w:r>
            <w:r>
              <w:rPr>
                <w:rFonts w:hint="eastAsia" w:asciiTheme="minorEastAsia" w:hAnsiTheme="minorEastAsia" w:eastAsiaTheme="minorEastAsia" w:cstheme="minorEastAsia"/>
                <w:b/>
                <w:bCs/>
                <w:color w:val="000000"/>
                <w:sz w:val="24"/>
                <w:szCs w:val="24"/>
                <w:highlight w:val="none"/>
                <w:lang w:val="en-US" w:eastAsia="zh-CN"/>
              </w:rPr>
              <w:t>3</w:t>
            </w:r>
            <w:r>
              <w:rPr>
                <w:rFonts w:hint="eastAsia" w:asciiTheme="minorEastAsia" w:hAnsiTheme="minorEastAsia" w:eastAsiaTheme="minorEastAsia" w:cstheme="minorEastAsia"/>
                <w:b/>
                <w:bCs/>
                <w:color w:val="000000"/>
                <w:sz w:val="24"/>
                <w:szCs w:val="24"/>
                <w:highlight w:val="none"/>
              </w:rPr>
              <w:t>分）</w:t>
            </w:r>
          </w:p>
        </w:tc>
        <w:tc>
          <w:tcPr>
            <w:tcW w:w="3194" w:type="pct"/>
            <w:tcBorders>
              <w:top w:val="dotted" w:color="auto" w:sz="4" w:space="0"/>
              <w:left w:val="dotted" w:color="auto" w:sz="4" w:space="0"/>
              <w:bottom w:val="dotted" w:color="auto" w:sz="4" w:space="0"/>
              <w:right w:val="single" w:color="E0C154" w:sz="4" w:space="0"/>
            </w:tcBorders>
            <w:shd w:val="clear" w:color="auto" w:fill="FDFBF4"/>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对本项目开展的重难点分析准确、熟悉项目的要点内容、技术规程，对采购文件的响应（尤其是工作难度的满足）、内容深度设置合理，项目工作重点清晰，熟悉旅游资源普查相关的标准和技术规范，对普查工作填报有深入认识和体验，针对性强，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响应程度和要点内容较为合理，重难点分析较为客观，普查工作标准分析较清晰得</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重难点分析基本合理，普查思路要点等内容基本满足项目需求的得</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重难点分析等内容不能满足项目基本需求或不提供的均不得分。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2" w:type="pct"/>
            <w:vMerge w:val="continue"/>
            <w:tcBorders>
              <w:top w:val="dotted" w:color="auto" w:sz="4" w:space="0"/>
              <w:left w:val="single" w:color="E0C154" w:sz="4" w:space="0"/>
              <w:bottom w:val="single" w:color="E0C154" w:sz="4" w:space="0"/>
              <w:right w:val="single" w:color="E0C154" w:sz="4" w:space="0"/>
            </w:tcBorders>
            <w:shd w:val="clear" w:color="auto" w:fill="F6EDCD"/>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780" w:type="pct"/>
            <w:vMerge w:val="continue"/>
            <w:tcBorders>
              <w:top w:val="dotted" w:color="auto" w:sz="4" w:space="0"/>
              <w:left w:val="single" w:color="E0C154" w:sz="4" w:space="0"/>
              <w:bottom w:val="single" w:color="E0C154" w:sz="4" w:space="0"/>
              <w:right w:val="dotted" w:color="auto" w:sz="4" w:space="0"/>
            </w:tcBorders>
            <w:shd w:val="clear" w:color="auto" w:fill="F6EDCD"/>
            <w:noWrap w:val="0"/>
            <w:vAlign w:val="top"/>
          </w:tcPr>
          <w:p>
            <w:pPr>
              <w:snapToGrid w:val="0"/>
              <w:spacing w:line="276" w:lineRule="auto"/>
              <w:rPr>
                <w:rFonts w:hint="eastAsia" w:asciiTheme="minorEastAsia" w:hAnsiTheme="minorEastAsia" w:eastAsiaTheme="minorEastAsia" w:cstheme="minorEastAsia"/>
                <w:color w:val="000000"/>
                <w:sz w:val="24"/>
                <w:szCs w:val="24"/>
                <w:highlight w:val="none"/>
              </w:rPr>
            </w:pPr>
          </w:p>
        </w:tc>
        <w:tc>
          <w:tcPr>
            <w:tcW w:w="642" w:type="pct"/>
            <w:tcBorders>
              <w:top w:val="dotted" w:color="auto" w:sz="4" w:space="0"/>
              <w:left w:val="dotted" w:color="auto" w:sz="4" w:space="0"/>
              <w:bottom w:val="single" w:color="E0C154" w:sz="4" w:space="0"/>
              <w:right w:val="dotted" w:color="auto" w:sz="4" w:space="0"/>
            </w:tcBorders>
            <w:shd w:val="clear" w:color="auto" w:fill="F6EDCD"/>
            <w:noWrap w:val="0"/>
            <w:vAlign w:val="center"/>
          </w:tcPr>
          <w:p>
            <w:pPr>
              <w:snapToGrid w:val="0"/>
              <w:spacing w:line="276" w:lineRule="auto"/>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服务承诺</w:t>
            </w:r>
          </w:p>
          <w:p>
            <w:pPr>
              <w:snapToGrid w:val="0"/>
              <w:spacing w:line="276"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（3分）</w:t>
            </w:r>
          </w:p>
        </w:tc>
        <w:tc>
          <w:tcPr>
            <w:tcW w:w="3194" w:type="pct"/>
            <w:tcBorders>
              <w:top w:val="dotted" w:color="auto" w:sz="4" w:space="0"/>
              <w:left w:val="dotted" w:color="auto" w:sz="4" w:space="0"/>
              <w:bottom w:val="single" w:color="E0C154" w:sz="4" w:space="0"/>
              <w:right w:val="single" w:color="E0C154" w:sz="4" w:space="0"/>
            </w:tcBorders>
            <w:shd w:val="clear" w:color="auto" w:fill="F6EDCD"/>
            <w:noWrap w:val="0"/>
            <w:vAlign w:val="center"/>
          </w:tcPr>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供应商服务承诺内容具体切实可行，并附有具体承诺方式内容的得3分；</w:t>
            </w:r>
          </w:p>
          <w:p>
            <w:pPr>
              <w:snapToGrid w:val="0"/>
              <w:spacing w:line="276"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服务承诺内容基本可行得1分；</w:t>
            </w:r>
          </w:p>
          <w:p>
            <w:pPr>
              <w:snapToGrid w:val="0"/>
              <w:spacing w:line="276" w:lineRule="auto"/>
              <w:rPr>
                <w:rFonts w:hint="eastAsia" w:asciiTheme="minorEastAsia" w:hAnsiTheme="minorEastAsia" w:eastAsiaTheme="minorEastAsia" w:cstheme="minorEastAsia"/>
                <w:color w:val="000000"/>
                <w:w w:val="90"/>
                <w:sz w:val="24"/>
                <w:szCs w:val="24"/>
                <w:highlight w:val="none"/>
              </w:rPr>
            </w:pPr>
            <w:r>
              <w:rPr>
                <w:rFonts w:hint="eastAsia" w:asciiTheme="minorEastAsia" w:hAnsiTheme="minorEastAsia" w:eastAsiaTheme="minorEastAsia" w:cstheme="minorEastAsia"/>
                <w:color w:val="000000"/>
                <w:sz w:val="24"/>
                <w:szCs w:val="24"/>
                <w:highlight w:val="none"/>
              </w:rPr>
              <w:t>无具体承诺的不得分。</w:t>
            </w:r>
          </w:p>
        </w:tc>
      </w:tr>
    </w:tbl>
    <w:p>
      <w:pPr>
        <w:rPr>
          <w:rFonts w:ascii="仿宋" w:hAnsi="仿宋" w:eastAsia="仿宋" w:cs="仿宋"/>
          <w:color w:val="auto"/>
          <w:sz w:val="32"/>
          <w:szCs w:val="40"/>
          <w:highlight w:val="none"/>
        </w:rPr>
      </w:pPr>
    </w:p>
    <w:p>
      <w:pPr>
        <w:spacing w:line="240" w:lineRule="auto"/>
        <w:jc w:val="left"/>
        <w:textAlignment w:val="auto"/>
        <w:rPr>
          <w:rFonts w:ascii="黑体" w:hAnsi="黑体" w:eastAsia="黑体" w:cs="楷体_GB2312"/>
          <w:b/>
          <w:bCs/>
          <w:color w:val="auto"/>
          <w:sz w:val="28"/>
          <w:szCs w:val="28"/>
          <w:highlight w:val="none"/>
          <w:lang w:val="zh-CN"/>
        </w:rPr>
      </w:pPr>
      <w:r>
        <w:rPr>
          <w:rFonts w:ascii="黑体" w:hAnsi="黑体" w:eastAsia="黑体" w:cs="楷体_GB2312"/>
          <w:b/>
          <w:bCs/>
          <w:color w:val="auto"/>
          <w:sz w:val="28"/>
          <w:szCs w:val="28"/>
          <w:highlight w:val="none"/>
          <w:lang w:val="zh-CN"/>
        </w:rPr>
        <w:br w:type="page"/>
      </w:r>
    </w:p>
    <w:p>
      <w:pPr>
        <w:autoSpaceDE w:val="0"/>
        <w:autoSpaceDN w:val="0"/>
        <w:adjustRightInd w:val="0"/>
        <w:snapToGrid w:val="0"/>
        <w:spacing w:before="156" w:beforeLines="50" w:line="300" w:lineRule="auto"/>
        <w:jc w:val="left"/>
        <w:outlineLvl w:val="1"/>
        <w:rPr>
          <w:rFonts w:ascii="黑体" w:hAnsi="黑体" w:eastAsia="黑体" w:cs="楷体_GB2312"/>
          <w:b/>
          <w:bCs/>
          <w:color w:val="auto"/>
          <w:sz w:val="28"/>
          <w:szCs w:val="28"/>
          <w:highlight w:val="none"/>
          <w:lang w:val="zh-CN"/>
        </w:rPr>
      </w:pPr>
      <w:bookmarkStart w:id="26" w:name="_Toc105581294"/>
    </w:p>
    <w:bookmarkEnd w:id="26"/>
    <w:p>
      <w:pPr>
        <w:pStyle w:val="9"/>
        <w:wordWrap w:val="0"/>
        <w:overflowPunct/>
        <w:topLinePunct w:val="0"/>
        <w:bidi w:val="0"/>
        <w:spacing w:after="0" w:line="400" w:lineRule="exact"/>
        <w:outlineLvl w:val="9"/>
        <w:rPr>
          <w:rFonts w:hint="eastAsia" w:ascii="宋体" w:hAnsi="宋体" w:eastAsia="宋体" w:cs="宋体"/>
          <w:b/>
          <w:bCs/>
          <w:color w:val="auto"/>
          <w:spacing w:val="1"/>
          <w:w w:val="99"/>
          <w:sz w:val="24"/>
          <w:szCs w:val="24"/>
          <w:highlight w:val="none"/>
        </w:rPr>
      </w:pPr>
      <w:bookmarkStart w:id="27" w:name="_Toc105581298"/>
      <w:r>
        <w:rPr>
          <w:rFonts w:hint="eastAsia" w:ascii="宋体" w:hAnsi="宋体" w:eastAsia="宋体" w:cs="宋体"/>
          <w:b/>
          <w:bCs/>
          <w:color w:val="auto"/>
          <w:spacing w:val="1"/>
          <w:w w:val="99"/>
          <w:sz w:val="24"/>
          <w:szCs w:val="24"/>
          <w:highlight w:val="none"/>
        </w:rPr>
        <w:t>1.评标方法</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bookmarkStart w:id="28" w:name="_Toc13459"/>
      <w:bookmarkStart w:id="29" w:name="_Toc13814"/>
      <w:bookmarkStart w:id="30" w:name="_Toc513709295"/>
      <w:bookmarkStart w:id="31" w:name="_Toc27882"/>
      <w:bookmarkStart w:id="32" w:name="_Toc207445551"/>
      <w:bookmarkStart w:id="33" w:name="_Toc207442845"/>
      <w:bookmarkStart w:id="34" w:name="_Toc357753538"/>
      <w:r>
        <w:rPr>
          <w:rFonts w:hint="eastAsia" w:ascii="宋体" w:hAnsi="宋体" w:eastAsia="宋体" w:cs="宋体"/>
          <w:bCs/>
          <w:color w:val="auto"/>
          <w:kern w:val="0"/>
          <w:sz w:val="24"/>
          <w:szCs w:val="24"/>
          <w:highlight w:val="none"/>
        </w:rPr>
        <w:t>磋商小组应当根据综合评分情况，按照评审得分由高到低顺序推荐3名中标候选人，并编写评审报告。评审得分相同的，按照最后报价由低到高的顺序推荐。评审得分且最后报价相同的，按照技术指标</w:t>
      </w:r>
      <w:r>
        <w:rPr>
          <w:rFonts w:hint="eastAsia" w:ascii="宋体" w:hAnsi="宋体" w:eastAsia="宋体" w:cs="宋体"/>
          <w:color w:val="auto"/>
          <w:sz w:val="24"/>
          <w:szCs w:val="24"/>
          <w:highlight w:val="none"/>
        </w:rPr>
        <w:t>优劣顺序推荐。</w:t>
      </w:r>
    </w:p>
    <w:p>
      <w:pPr>
        <w:wordWrap w:val="0"/>
        <w:overflowPunct/>
        <w:topLinePunct w:val="0"/>
        <w:bidi w:val="0"/>
        <w:spacing w:after="0" w:line="400" w:lineRule="exact"/>
        <w:outlineLvl w:val="9"/>
        <w:rPr>
          <w:rFonts w:hint="eastAsia" w:ascii="宋体" w:hAnsi="宋体" w:eastAsia="宋体" w:cs="宋体"/>
          <w:b/>
          <w:bCs/>
          <w:color w:val="auto"/>
          <w:spacing w:val="1"/>
          <w:w w:val="99"/>
          <w:kern w:val="2"/>
          <w:sz w:val="24"/>
          <w:szCs w:val="24"/>
          <w:highlight w:val="none"/>
          <w:lang w:val="en-US" w:eastAsia="zh-CN" w:bidi="ar-SA"/>
        </w:rPr>
      </w:pPr>
      <w:r>
        <w:rPr>
          <w:rFonts w:hint="eastAsia" w:ascii="宋体" w:hAnsi="宋体" w:eastAsia="宋体" w:cs="宋体"/>
          <w:b/>
          <w:bCs/>
          <w:color w:val="auto"/>
          <w:spacing w:val="1"/>
          <w:w w:val="99"/>
          <w:kern w:val="2"/>
          <w:sz w:val="24"/>
          <w:szCs w:val="24"/>
          <w:highlight w:val="none"/>
          <w:lang w:val="en-US" w:eastAsia="zh-CN" w:bidi="ar-SA"/>
        </w:rPr>
        <w:t>2.  评审标准</w:t>
      </w:r>
      <w:bookmarkEnd w:id="28"/>
      <w:bookmarkEnd w:id="29"/>
      <w:bookmarkEnd w:id="30"/>
      <w:bookmarkEnd w:id="31"/>
      <w:bookmarkEnd w:id="32"/>
      <w:bookmarkEnd w:id="33"/>
      <w:bookmarkEnd w:id="34"/>
    </w:p>
    <w:p>
      <w:pPr>
        <w:wordWrap w:val="0"/>
        <w:overflowPunct/>
        <w:topLinePunct w:val="0"/>
        <w:bidi w:val="0"/>
        <w:spacing w:after="0" w:line="400" w:lineRule="exact"/>
        <w:outlineLvl w:val="9"/>
        <w:rPr>
          <w:rFonts w:hint="eastAsia" w:ascii="宋体" w:hAnsi="宋体" w:eastAsia="宋体" w:cs="宋体"/>
          <w:b/>
          <w:bCs/>
          <w:color w:val="auto"/>
          <w:sz w:val="24"/>
          <w:szCs w:val="24"/>
          <w:highlight w:val="none"/>
        </w:rPr>
      </w:pPr>
      <w:bookmarkStart w:id="35" w:name="_Toc25238"/>
      <w:bookmarkStart w:id="36" w:name="_Toc357753539"/>
      <w:bookmarkStart w:id="37" w:name="_Toc513709296"/>
      <w:bookmarkStart w:id="38" w:name="_Toc207442846"/>
      <w:bookmarkStart w:id="39" w:name="_Toc23379"/>
      <w:bookmarkStart w:id="40" w:name="_Toc207445552"/>
      <w:bookmarkStart w:id="41" w:name="_Toc28594"/>
      <w:r>
        <w:rPr>
          <w:rFonts w:hint="eastAsia" w:ascii="宋体" w:hAnsi="宋体" w:eastAsia="宋体" w:cs="宋体"/>
          <w:b/>
          <w:bCs/>
          <w:color w:val="auto"/>
          <w:sz w:val="24"/>
          <w:szCs w:val="24"/>
          <w:highlight w:val="none"/>
        </w:rPr>
        <w:t>2.1  初步评审标准</w:t>
      </w:r>
      <w:bookmarkEnd w:id="35"/>
      <w:bookmarkEnd w:id="36"/>
      <w:bookmarkEnd w:id="37"/>
      <w:bookmarkEnd w:id="38"/>
      <w:bookmarkEnd w:id="39"/>
      <w:bookmarkEnd w:id="40"/>
      <w:bookmarkEnd w:id="41"/>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资格评审标准：见评标办法前附表。</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符合评审标准：见评标办法前附表。</w:t>
      </w:r>
    </w:p>
    <w:p>
      <w:pPr>
        <w:wordWrap w:val="0"/>
        <w:overflowPunct/>
        <w:topLinePunct w:val="0"/>
        <w:bidi w:val="0"/>
        <w:spacing w:after="0" w:line="400" w:lineRule="exac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分值构成与评分标准</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商务标（报价得分）标准：见评标办法前附表；</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技术标标准：见评标办法前附表；</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综合标标准：见评标办法前附表；</w:t>
      </w:r>
    </w:p>
    <w:p>
      <w:pPr>
        <w:numPr>
          <w:ilvl w:val="2"/>
          <w:numId w:val="0"/>
        </w:numPr>
        <w:wordWrap w:val="0"/>
        <w:overflowPunct/>
        <w:topLinePunct w:val="0"/>
        <w:bidi w:val="0"/>
        <w:spacing w:before="0" w:after="0" w:line="400" w:lineRule="exact"/>
        <w:outlineLvl w:val="9"/>
        <w:rPr>
          <w:rFonts w:hint="eastAsia" w:ascii="宋体" w:hAnsi="宋体" w:eastAsia="宋体" w:cs="宋体"/>
          <w:color w:val="auto"/>
          <w:sz w:val="24"/>
          <w:szCs w:val="24"/>
          <w:highlight w:val="none"/>
        </w:rPr>
      </w:pPr>
      <w:bookmarkStart w:id="42" w:name="_Toc207442848"/>
      <w:bookmarkStart w:id="43" w:name="_Toc357753542"/>
      <w:bookmarkStart w:id="44" w:name="_Toc18046"/>
      <w:bookmarkStart w:id="45" w:name="_Toc207445554"/>
      <w:bookmarkStart w:id="46" w:name="_Toc513709297"/>
      <w:bookmarkStart w:id="47" w:name="_Toc23048"/>
      <w:bookmarkStart w:id="48" w:name="_Toc24601"/>
      <w:r>
        <w:rPr>
          <w:rFonts w:hint="eastAsia" w:ascii="宋体" w:hAnsi="宋体" w:eastAsia="宋体" w:cs="宋体"/>
          <w:color w:val="auto"/>
          <w:w w:val="99"/>
          <w:sz w:val="24"/>
          <w:szCs w:val="24"/>
          <w:highlight w:val="none"/>
        </w:rPr>
        <w:t>3.</w:t>
      </w:r>
      <w:r>
        <w:rPr>
          <w:rFonts w:hint="eastAsia" w:ascii="宋体" w:hAnsi="宋体" w:eastAsia="宋体" w:cs="宋体"/>
          <w:color w:val="auto"/>
          <w:spacing w:val="1"/>
          <w:w w:val="99"/>
          <w:sz w:val="24"/>
          <w:szCs w:val="24"/>
          <w:highlight w:val="none"/>
        </w:rPr>
        <w:t>评标程序</w:t>
      </w:r>
      <w:bookmarkEnd w:id="42"/>
      <w:bookmarkEnd w:id="43"/>
      <w:bookmarkEnd w:id="44"/>
      <w:bookmarkEnd w:id="45"/>
      <w:bookmarkEnd w:id="46"/>
      <w:bookmarkEnd w:id="47"/>
      <w:bookmarkEnd w:id="48"/>
    </w:p>
    <w:p>
      <w:pPr>
        <w:numPr>
          <w:ilvl w:val="2"/>
          <w:numId w:val="0"/>
        </w:numPr>
        <w:wordWrap w:val="0"/>
        <w:overflowPunct/>
        <w:topLinePunct w:val="0"/>
        <w:bidi w:val="0"/>
        <w:spacing w:before="0" w:after="0" w:line="400" w:lineRule="exact"/>
        <w:outlineLvl w:val="9"/>
        <w:rPr>
          <w:rFonts w:hint="eastAsia" w:ascii="宋体" w:hAnsi="宋体" w:eastAsia="宋体" w:cs="宋体"/>
          <w:color w:val="auto"/>
          <w:sz w:val="24"/>
          <w:szCs w:val="24"/>
          <w:highlight w:val="none"/>
        </w:rPr>
      </w:pPr>
      <w:bookmarkStart w:id="49" w:name="_Toc513709298"/>
      <w:bookmarkStart w:id="50" w:name="_Toc23694"/>
      <w:bookmarkStart w:id="51" w:name="_Toc357753543"/>
      <w:bookmarkStart w:id="52" w:name="_Toc8479"/>
      <w:bookmarkStart w:id="53" w:name="_Toc8849"/>
      <w:bookmarkStart w:id="54" w:name="_Toc207442849"/>
      <w:bookmarkStart w:id="55" w:name="_Toc207445555"/>
      <w:r>
        <w:rPr>
          <w:rFonts w:hint="eastAsia" w:ascii="宋体" w:hAnsi="宋体" w:eastAsia="宋体" w:cs="宋体"/>
          <w:color w:val="auto"/>
          <w:sz w:val="24"/>
          <w:szCs w:val="24"/>
          <w:highlight w:val="none"/>
        </w:rPr>
        <w:t>3.1  初步评审</w:t>
      </w:r>
      <w:bookmarkEnd w:id="49"/>
      <w:bookmarkEnd w:id="50"/>
      <w:bookmarkEnd w:id="51"/>
      <w:bookmarkEnd w:id="52"/>
      <w:bookmarkEnd w:id="53"/>
      <w:bookmarkEnd w:id="54"/>
      <w:bookmarkEnd w:id="55"/>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磋商小组依据本章评审办法前附表规定的标准，对响应人的响应文件进行初步评审，以确定其是否满足竞争性磋商文件的实质性要求，有一项不符合评审标准的，磋商小组应当认定其响应文件无效。</w:t>
      </w:r>
    </w:p>
    <w:p>
      <w:pPr>
        <w:wordWrap w:val="0"/>
        <w:overflowPunct/>
        <w:topLinePunct w:val="0"/>
        <w:bidi w:val="0"/>
        <w:spacing w:after="0" w:line="4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3.1.2  磋</w:t>
      </w:r>
      <w:r>
        <w:rPr>
          <w:rFonts w:hint="eastAsia" w:ascii="宋体" w:hAnsi="宋体" w:eastAsia="宋体" w:cs="宋体"/>
          <w:color w:val="auto"/>
          <w:kern w:val="0"/>
          <w:sz w:val="24"/>
          <w:szCs w:val="24"/>
          <w:highlight w:val="none"/>
        </w:rPr>
        <w:t>商报价有算术错误及其他错误的，磋商小组按以下原则要求投标人对磋商报价进行修正</w:t>
      </w:r>
    </w:p>
    <w:p>
      <w:pPr>
        <w:pStyle w:val="9"/>
        <w:wordWrap w:val="0"/>
        <w:overflowPunct/>
        <w:topLinePunct w:val="0"/>
        <w:bidi w:val="0"/>
        <w:spacing w:after="0" w:line="400" w:lineRule="exact"/>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（1）大写金额和小写金额不一致的，以大写金额为准，但大写金额文字存在错误的，应当先对大写金额的文字错误进行澄清、说明或者更正，再行修正。</w:t>
      </w:r>
    </w:p>
    <w:p>
      <w:pPr>
        <w:pStyle w:val="9"/>
        <w:wordWrap w:val="0"/>
        <w:overflowPunct/>
        <w:topLinePunct w:val="0"/>
        <w:bidi w:val="0"/>
        <w:spacing w:after="0" w:line="400" w:lineRule="exact"/>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（2）总价金额与按单价汇总金额不一致的，以单价金额计算结果为准，但单价或者单价汇总金额存在数字或者文字错误的，应当先对数字或者文字错误进行澄清、说明或者更正，再行修正。</w:t>
      </w:r>
    </w:p>
    <w:p>
      <w:pPr>
        <w:pStyle w:val="9"/>
        <w:wordWrap w:val="0"/>
        <w:overflowPunct/>
        <w:topLinePunct w:val="0"/>
        <w:bidi w:val="0"/>
        <w:spacing w:after="0" w:line="400" w:lineRule="exact"/>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（3）单价金额小数点或者百分比有明显错位的，以总价为准，修正单价。</w:t>
      </w:r>
    </w:p>
    <w:p>
      <w:pPr>
        <w:pStyle w:val="9"/>
        <w:wordWrap w:val="0"/>
        <w:overflowPunct/>
        <w:topLinePunct w:val="0"/>
        <w:bidi w:val="0"/>
        <w:spacing w:after="0" w:line="400" w:lineRule="exact"/>
        <w:ind w:firstLine="42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（4）同时出现两种以上不一致的，按照上述规定的顺序修正。修正后的报价应当采用书面形式，并加盖公章或者由法定代</w:t>
      </w:r>
      <w:r>
        <w:rPr>
          <w:rFonts w:hint="eastAsia" w:ascii="宋体" w:hAnsi="宋体" w:eastAsia="宋体" w:cs="宋体"/>
          <w:color w:val="auto"/>
          <w:kern w:val="0"/>
          <w:sz w:val="24"/>
          <w:szCs w:val="24"/>
          <w:highlight w:val="none"/>
        </w:rPr>
        <w:t>表人或其授权的代表签字，投标人不确认的，其投标无效。</w:t>
      </w:r>
    </w:p>
    <w:p>
      <w:pPr>
        <w:numPr>
          <w:ilvl w:val="2"/>
          <w:numId w:val="0"/>
        </w:numPr>
        <w:wordWrap w:val="0"/>
        <w:overflowPunct/>
        <w:topLinePunct w:val="0"/>
        <w:bidi w:val="0"/>
        <w:spacing w:before="0" w:after="0" w:line="400" w:lineRule="exact"/>
        <w:outlineLvl w:val="9"/>
        <w:rPr>
          <w:rFonts w:hint="eastAsia" w:ascii="宋体" w:hAnsi="宋体" w:eastAsia="宋体" w:cs="宋体"/>
          <w:color w:val="auto"/>
          <w:sz w:val="24"/>
          <w:szCs w:val="24"/>
          <w:highlight w:val="none"/>
        </w:rPr>
      </w:pPr>
      <w:bookmarkStart w:id="56" w:name="_Toc247514030"/>
      <w:bookmarkStart w:id="57" w:name="_Toc336422348"/>
      <w:bookmarkStart w:id="58" w:name="_Toc144974573"/>
      <w:bookmarkStart w:id="59" w:name="_Toc152042384"/>
      <w:bookmarkStart w:id="60" w:name="_Toc470598812"/>
      <w:bookmarkStart w:id="61" w:name="_Toc247527631"/>
      <w:bookmarkStart w:id="62" w:name="_Toc300835016"/>
      <w:bookmarkStart w:id="63" w:name="_Toc152045606"/>
      <w:r>
        <w:rPr>
          <w:rFonts w:hint="eastAsia" w:ascii="宋体" w:hAnsi="宋体" w:eastAsia="宋体" w:cs="宋体"/>
          <w:color w:val="auto"/>
          <w:sz w:val="24"/>
          <w:szCs w:val="24"/>
          <w:highlight w:val="none"/>
        </w:rPr>
        <w:t xml:space="preserve">3.2  </w:t>
      </w:r>
      <w:bookmarkEnd w:id="56"/>
      <w:bookmarkEnd w:id="57"/>
      <w:bookmarkEnd w:id="58"/>
      <w:bookmarkEnd w:id="59"/>
      <w:bookmarkEnd w:id="60"/>
      <w:bookmarkEnd w:id="61"/>
      <w:bookmarkEnd w:id="62"/>
      <w:bookmarkEnd w:id="63"/>
      <w:r>
        <w:rPr>
          <w:rFonts w:hint="eastAsia" w:ascii="宋体" w:hAnsi="宋体" w:eastAsia="宋体" w:cs="宋体"/>
          <w:color w:val="auto"/>
          <w:sz w:val="24"/>
          <w:szCs w:val="24"/>
          <w:highlight w:val="none"/>
        </w:rPr>
        <w:t>详细磋商</w:t>
      </w:r>
    </w:p>
    <w:p>
      <w:pPr>
        <w:pStyle w:val="9"/>
        <w:wordWrap w:val="0"/>
        <w:overflowPunct/>
        <w:topLinePunct w:val="0"/>
        <w:bidi w:val="0"/>
        <w:spacing w:after="0" w:line="400" w:lineRule="exact"/>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磋商小组集中与单一投标人分别进行磋商。但磋商的任何一方不得透露与磋商有关的其他投标人的商业秘密、技术资料、价格和其他信息。</w:t>
      </w:r>
    </w:p>
    <w:p>
      <w:pPr>
        <w:pStyle w:val="9"/>
        <w:wordWrap w:val="0"/>
        <w:overflowPunct/>
        <w:topLinePunct w:val="0"/>
        <w:bidi w:val="0"/>
        <w:spacing w:after="0" w:line="400" w:lineRule="exact"/>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在磋商过程中，磋商小组可以根据竞争性磋商文件和磋商情况实质性变动采购需求中的技术、服务要求以及合同草案条款，但不得变动竞争性磋商文件中的其他内容。实质性变动的内容，须经采购人代表确认。</w:t>
      </w:r>
    </w:p>
    <w:p>
      <w:pPr>
        <w:pStyle w:val="9"/>
        <w:wordWrap w:val="0"/>
        <w:overflowPunct/>
        <w:topLinePunct w:val="0"/>
        <w:bidi w:val="0"/>
        <w:spacing w:after="0" w:line="400" w:lineRule="exact"/>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对竞争性磋商文件作出的实质性变动是竞争性磋商文件的有效组成部分，磋商小组应当以书面形式同时通知所有参加磋商的投标人。</w:t>
      </w:r>
    </w:p>
    <w:p>
      <w:pPr>
        <w:pStyle w:val="9"/>
        <w:pageBreakBefore w:val="0"/>
        <w:widowControl w:val="0"/>
        <w:kinsoku/>
        <w:wordWrap w:val="0"/>
        <w:overflowPunct/>
        <w:topLinePunct w:val="0"/>
        <w:autoSpaceDE/>
        <w:autoSpaceDN/>
        <w:bidi w:val="0"/>
        <w:adjustRightInd/>
        <w:snapToGrid/>
        <w:spacing w:after="0" w:line="400" w:lineRule="exact"/>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竞争性磋商文件能够详细列明采购标的的技术、服务要求的，磋商结束后，磋商小组应当要求所有实质性响应的投标人在规定时间内提交最后报价，提交最后报价的投标人不得少于3家。磋商文件不能详细列明采购标的的技术、服务要求，需经磋商由供应商提供最终服务方案或解决方案的，磋商结束后，磋商小组应当按照少数服从多数的原则投票推荐3家以上供应商的服务方案或者解决方案，并要求其在规定时间内提交最后报价。依据《政府采购竞争性磋商采购方式管理暂行办法》（财库〔2014〕214号）及财政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pPr>
        <w:pageBreakBefore w:val="0"/>
        <w:widowControl w:val="0"/>
        <w:kinsoku/>
        <w:wordWrap w:val="0"/>
        <w:overflowPunct/>
        <w:topLinePunct w:val="0"/>
        <w:autoSpaceDE/>
        <w:autoSpaceDN/>
        <w:bidi w:val="0"/>
        <w:adjustRightInd/>
        <w:snapToGrid/>
        <w:spacing w:after="0" w:line="400" w:lineRule="exact"/>
        <w:ind w:firstLine="361"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最后报价（二轮报价）是投标人响应文件的有效组成部分【注：1、最后报价不得超出采购人预算价；2、最后报价明显低于成本价的，投标人需做出合理说明，否则将承担不被接受的风险】。</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 经磋商确定最终采购需求和提交最后报价的投标人后，由磋商小组采用综合评分法对提交最后报价的投标人的响应文</w:t>
      </w:r>
      <w:r>
        <w:rPr>
          <w:rFonts w:hint="eastAsia" w:ascii="宋体" w:hAnsi="宋体" w:eastAsia="宋体" w:cs="宋体"/>
          <w:bCs/>
          <w:color w:val="auto"/>
          <w:kern w:val="0"/>
          <w:sz w:val="24"/>
          <w:szCs w:val="24"/>
          <w:highlight w:val="none"/>
        </w:rPr>
        <w:t>件和最后报价进行综合评分。</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详细评审</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3.3.1磋商小组按本章评审方法规定的量化因素和分值进行打分，并计算出综合得分。</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按本章第2.2.1目规定的评审因素和分值对商务标（报价得分）计算出得分A；</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按本章第2.2.2目规定的评审因素和分值对技术标计算出得分B；</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按本章第2.2.3目规定的评审因素和分值对综合标计算出得分C。</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评分分值计算保留小数点后两位，小数点后第三位“四舍五入”。</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投标人得分=A+B+C。</w:t>
      </w:r>
    </w:p>
    <w:p>
      <w:pPr>
        <w:numPr>
          <w:ilvl w:val="2"/>
          <w:numId w:val="0"/>
        </w:numPr>
        <w:wordWrap w:val="0"/>
        <w:overflowPunct/>
        <w:topLinePunct w:val="0"/>
        <w:bidi w:val="0"/>
        <w:spacing w:before="0" w:after="0" w:line="400" w:lineRule="exact"/>
        <w:outlineLvl w:val="9"/>
        <w:rPr>
          <w:rFonts w:hint="eastAsia" w:ascii="宋体" w:hAnsi="宋体" w:eastAsia="宋体" w:cs="宋体"/>
          <w:color w:val="auto"/>
          <w:sz w:val="24"/>
          <w:szCs w:val="24"/>
          <w:highlight w:val="none"/>
        </w:rPr>
      </w:pPr>
      <w:bookmarkStart w:id="64" w:name="_Toc470598813"/>
      <w:r>
        <w:rPr>
          <w:rFonts w:hint="eastAsia" w:ascii="宋体" w:hAnsi="宋体" w:eastAsia="宋体" w:cs="宋体"/>
          <w:color w:val="auto"/>
          <w:sz w:val="24"/>
          <w:szCs w:val="24"/>
          <w:highlight w:val="none"/>
        </w:rPr>
        <w:t>磋商小组发现供应商的报价明显低于其他投标报价，或者在设有标底时明显低于标底，使得其投标报价可能低于其成本的，应当要求该供应商作出书面说明并提供相应的证明材料。供应商不能合理说明或者不能提供相应证明材料的，由磋商小组认定该供应商以低于成本报价竞标，其投标作废标处理。</w:t>
      </w:r>
    </w:p>
    <w:p>
      <w:pPr>
        <w:numPr>
          <w:ilvl w:val="2"/>
          <w:numId w:val="0"/>
        </w:numPr>
        <w:wordWrap w:val="0"/>
        <w:overflowPunct/>
        <w:topLinePunct w:val="0"/>
        <w:bidi w:val="0"/>
        <w:spacing w:before="0"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竞争性磋商响应文件的澄清和补正</w:t>
      </w:r>
      <w:bookmarkEnd w:id="64"/>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在评标过程中，评标委员会可以书面形式要求投标人对所提交竞争性磋商响应文件中不明确的内容进行书面澄清或说明，或者对细微偏差进行补正。评标委员会不接受投标人主动提出的澄清、说明或补正。</w:t>
      </w:r>
    </w:p>
    <w:p>
      <w:pPr>
        <w:wordWrap w:val="0"/>
        <w:overflowPunct/>
        <w:topLinePunct w:val="0"/>
        <w:bidi w:val="0"/>
        <w:spacing w:after="0"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澄清、说明和补正不得改变竞争性磋商响应文件的实质性内容。投标人的书面澄清、说明和补正属于竞争性磋商响应文件的组成部分。</w:t>
      </w:r>
    </w:p>
    <w:p>
      <w:pPr>
        <w:wordWrap w:val="0"/>
        <w:overflowPunct/>
        <w:topLinePunct w:val="0"/>
        <w:bidi w:val="0"/>
        <w:spacing w:after="0" w:line="400" w:lineRule="exact"/>
        <w:ind w:firstLine="480" w:firstLineChars="200"/>
        <w:outlineLvl w:val="9"/>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3.4.3 评标委员会对投标人提交的澄清、说明或补正有疑问的，可以要求投标人进一步澄清、说明或补正，直至满足评标委员会的要求。</w:t>
      </w:r>
      <w:r>
        <w:rPr>
          <w:rFonts w:hint="eastAsia" w:cs="Times New Roman"/>
          <w:color w:val="auto"/>
          <w:kern w:val="2"/>
          <w:sz w:val="24"/>
          <w:szCs w:val="24"/>
          <w:highlight w:val="none"/>
          <w:lang w:val="en-US" w:eastAsia="zh-CN" w:bidi="ar-SA"/>
        </w:rPr>
        <w:tab/>
      </w:r>
    </w:p>
    <w:p>
      <w:pPr>
        <w:numPr>
          <w:ilvl w:val="2"/>
          <w:numId w:val="0"/>
        </w:numPr>
        <w:wordWrap w:val="0"/>
        <w:overflowPunct/>
        <w:topLinePunct w:val="0"/>
        <w:bidi w:val="0"/>
        <w:spacing w:before="0" w:after="0" w:line="400" w:lineRule="exact"/>
        <w:outlineLvl w:val="9"/>
        <w:rPr>
          <w:rFonts w:hint="eastAsia" w:ascii="宋体" w:hAnsi="宋体" w:eastAsia="宋体" w:cs="宋体"/>
          <w:color w:val="auto"/>
          <w:sz w:val="24"/>
          <w:szCs w:val="24"/>
          <w:highlight w:val="none"/>
        </w:rPr>
      </w:pPr>
      <w:bookmarkStart w:id="65" w:name="_Toc152042386"/>
      <w:bookmarkStart w:id="66" w:name="_Toc152045608"/>
      <w:bookmarkStart w:id="67" w:name="_Toc247527633"/>
      <w:bookmarkStart w:id="68" w:name="_Toc300835018"/>
      <w:bookmarkStart w:id="69" w:name="_Toc470598814"/>
      <w:bookmarkStart w:id="70" w:name="_Toc144974576"/>
      <w:bookmarkStart w:id="71" w:name="_Toc247514032"/>
      <w:bookmarkStart w:id="72" w:name="_Toc336422350"/>
      <w:r>
        <w:rPr>
          <w:rFonts w:hint="eastAsia" w:ascii="宋体" w:hAnsi="宋体" w:eastAsia="宋体" w:cs="宋体"/>
          <w:color w:val="auto"/>
          <w:sz w:val="24"/>
          <w:szCs w:val="24"/>
          <w:highlight w:val="none"/>
        </w:rPr>
        <w:t>3.5  评标结果</w:t>
      </w:r>
      <w:bookmarkEnd w:id="65"/>
      <w:bookmarkEnd w:id="66"/>
      <w:bookmarkEnd w:id="67"/>
      <w:bookmarkEnd w:id="68"/>
      <w:bookmarkEnd w:id="69"/>
      <w:bookmarkEnd w:id="70"/>
      <w:bookmarkEnd w:id="71"/>
      <w:bookmarkEnd w:id="72"/>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3.5.1 </w:t>
      </w:r>
      <w:r>
        <w:rPr>
          <w:rFonts w:hint="eastAsia" w:ascii="宋体" w:hAnsi="宋体" w:eastAsia="宋体" w:cs="宋体"/>
          <w:color w:val="auto"/>
          <w:kern w:val="0"/>
          <w:sz w:val="24"/>
          <w:szCs w:val="24"/>
          <w:highlight w:val="none"/>
        </w:rPr>
        <w:t>磋商小组应当根据综合评分情况，按照评审得分由高到低顺序推荐3名中标候选人，并编写评审报告。评审得分相同的，按照最后报价由低到高的顺序推荐。评审得分且最后报价相同的，按照技术指标优劣顺序推荐。</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评标委员会完成评标后，应当向采购人提交书面评标报告。</w:t>
      </w:r>
    </w:p>
    <w:p>
      <w:pPr>
        <w:keepNext/>
        <w:keepLines/>
        <w:pageBreakBefore w:val="0"/>
        <w:widowControl w:val="0"/>
        <w:numPr>
          <w:ilvl w:val="2"/>
          <w:numId w:val="0"/>
        </w:numPr>
        <w:kinsoku/>
        <w:wordWrap w:val="0"/>
        <w:overflowPunct/>
        <w:topLinePunct w:val="0"/>
        <w:autoSpaceDE/>
        <w:autoSpaceDN/>
        <w:bidi w:val="0"/>
        <w:adjustRightInd/>
        <w:snapToGrid/>
        <w:spacing w:before="0" w:after="0" w:line="400" w:lineRule="exact"/>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3.6  确定中标人</w:t>
      </w:r>
    </w:p>
    <w:p>
      <w:pPr>
        <w:pageBreakBefore w:val="0"/>
        <w:widowControl w:val="0"/>
        <w:kinsoku/>
        <w:wordWrap w:val="0"/>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采购人应当确定排名第一的中标候选人为中标人。排名第一的中标候选人放弃中标、因不可抗力提出不能履行合同、不按照磋商文件要求提交履约保证金，或者被查实存在影响中标结果的违法行为等情形，不符合中标条件的，采购人可以按照评标委员会提出的中标候选人名单顺序依次确定其他中标候选人为中标人，也可以重新招标。</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caps w:val="0"/>
          <w:smallCaps w:val="0"/>
          <w:color w:val="auto"/>
          <w:spacing w:val="0"/>
          <w:sz w:val="24"/>
          <w:szCs w:val="24"/>
          <w:highlight w:val="none"/>
          <w:lang w:eastAsia="zh-CN"/>
        </w:rPr>
      </w:pPr>
      <w:r>
        <w:rPr>
          <w:rFonts w:hint="eastAsia" w:ascii="宋体" w:hAnsi="宋体" w:eastAsia="宋体" w:cs="宋体"/>
          <w:caps w:val="0"/>
          <w:smallCaps w:val="0"/>
          <w:color w:val="auto"/>
          <w:spacing w:val="0"/>
          <w:sz w:val="24"/>
          <w:szCs w:val="24"/>
          <w:highlight w:val="none"/>
          <w:lang w:val="en-US" w:eastAsia="zh-CN"/>
        </w:rPr>
        <w:t>根据《政府采购促进中小企业发展管理办法》（财库 【2020】46 号）的规定</w:t>
      </w:r>
      <w:r>
        <w:rPr>
          <w:rFonts w:hint="eastAsia" w:ascii="宋体" w:hAnsi="宋体" w:cs="宋体"/>
          <w:caps w:val="0"/>
          <w:smallCaps w:val="0"/>
          <w:color w:val="auto"/>
          <w:spacing w:val="0"/>
          <w:sz w:val="24"/>
          <w:szCs w:val="24"/>
          <w:highlight w:val="none"/>
          <w:lang w:val="en-US" w:eastAsia="zh-CN"/>
        </w:rPr>
        <w:t>，</w:t>
      </w:r>
      <w:r>
        <w:rPr>
          <w:rFonts w:hint="eastAsia" w:ascii="宋体" w:hAnsi="宋体" w:eastAsia="宋体" w:cs="宋体"/>
          <w:caps w:val="0"/>
          <w:smallCaps w:val="0"/>
          <w:color w:val="auto"/>
          <w:spacing w:val="0"/>
          <w:sz w:val="24"/>
          <w:szCs w:val="24"/>
          <w:highlight w:val="none"/>
          <w:lang w:val="en-US" w:eastAsia="zh-CN"/>
        </w:rPr>
        <w:t>本项目专门面向中小企业采购</w:t>
      </w:r>
      <w:r>
        <w:rPr>
          <w:rFonts w:hint="eastAsia" w:ascii="宋体" w:hAnsi="宋体" w:cs="宋体"/>
          <w:caps w:val="0"/>
          <w:smallCaps w:val="0"/>
          <w:color w:val="auto"/>
          <w:spacing w:val="0"/>
          <w:sz w:val="24"/>
          <w:szCs w:val="24"/>
          <w:highlight w:val="none"/>
          <w:lang w:val="en-US" w:eastAsia="zh-CN"/>
        </w:rPr>
        <w:t>（</w:t>
      </w:r>
      <w:r>
        <w:rPr>
          <w:rFonts w:hint="eastAsia" w:ascii="宋体" w:hAnsi="宋体" w:eastAsia="宋体" w:cs="宋体"/>
          <w:caps w:val="0"/>
          <w:smallCaps w:val="0"/>
          <w:color w:val="auto"/>
          <w:spacing w:val="0"/>
          <w:sz w:val="24"/>
          <w:szCs w:val="24"/>
          <w:highlight w:val="none"/>
          <w:lang w:val="en-US" w:eastAsia="zh-CN"/>
        </w:rPr>
        <w:t>监狱企业、残疾人福利性单位视同小微企业</w:t>
      </w:r>
      <w:r>
        <w:rPr>
          <w:rFonts w:hint="eastAsia" w:ascii="宋体" w:hAnsi="宋体" w:cs="宋体"/>
          <w:caps w:val="0"/>
          <w:smallCaps w:val="0"/>
          <w:color w:val="auto"/>
          <w:spacing w:val="0"/>
          <w:sz w:val="24"/>
          <w:szCs w:val="24"/>
          <w:highlight w:val="none"/>
          <w:lang w:val="en-US" w:eastAsia="zh-CN"/>
        </w:rPr>
        <w:t>）</w:t>
      </w:r>
      <w:r>
        <w:rPr>
          <w:rFonts w:hint="eastAsia" w:ascii="宋体" w:hAnsi="宋体" w:eastAsia="宋体" w:cs="宋体"/>
          <w:caps w:val="0"/>
          <w:smallCaps w:val="0"/>
          <w:color w:val="auto"/>
          <w:spacing w:val="0"/>
          <w:sz w:val="24"/>
          <w:szCs w:val="24"/>
          <w:highlight w:val="none"/>
          <w:lang w:val="en-US" w:eastAsia="zh-CN"/>
        </w:rPr>
        <w:t>，</w:t>
      </w:r>
      <w:r>
        <w:rPr>
          <w:rFonts w:hint="eastAsia" w:ascii="宋体" w:hAnsi="宋体" w:cs="宋体"/>
          <w:caps w:val="0"/>
          <w:smallCaps w:val="0"/>
          <w:color w:val="auto"/>
          <w:spacing w:val="0"/>
          <w:sz w:val="24"/>
          <w:szCs w:val="24"/>
          <w:highlight w:val="none"/>
          <w:lang w:val="en-US" w:eastAsia="zh-CN"/>
        </w:rPr>
        <w:t>不再执行价格评审优惠的扶持政策</w:t>
      </w:r>
      <w:r>
        <w:rPr>
          <w:rFonts w:hint="eastAsia" w:ascii="宋体" w:hAnsi="宋体" w:eastAsia="宋体" w:cs="宋体"/>
          <w:caps w:val="0"/>
          <w:smallCaps w:val="0"/>
          <w:color w:val="auto"/>
          <w:spacing w:val="0"/>
          <w:sz w:val="24"/>
          <w:szCs w:val="24"/>
          <w:highlight w:val="none"/>
        </w:rPr>
        <w:t>【</w:t>
      </w:r>
      <w:r>
        <w:rPr>
          <w:rFonts w:hint="eastAsia" w:ascii="宋体" w:hAnsi="宋体" w:cs="宋体"/>
          <w:caps w:val="0"/>
          <w:smallCaps w:val="0"/>
          <w:color w:val="auto"/>
          <w:spacing w:val="0"/>
          <w:sz w:val="24"/>
          <w:szCs w:val="24"/>
          <w:highlight w:val="none"/>
          <w:lang w:eastAsia="zh-CN"/>
        </w:rPr>
        <w:t>投标人</w:t>
      </w:r>
      <w:r>
        <w:rPr>
          <w:rFonts w:hint="eastAsia" w:ascii="宋体" w:hAnsi="宋体" w:eastAsia="宋体" w:cs="宋体"/>
          <w:caps w:val="0"/>
          <w:smallCaps w:val="0"/>
          <w:color w:val="auto"/>
          <w:spacing w:val="0"/>
          <w:sz w:val="24"/>
          <w:szCs w:val="24"/>
          <w:highlight w:val="none"/>
        </w:rPr>
        <w:t>须在响应文件中提供《中小企业声明函》见附件1、《残疾人福利性单位声明函》见附件2】。</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caps w:val="0"/>
          <w:smallCaps w:val="0"/>
          <w:color w:val="auto"/>
          <w:spacing w:val="0"/>
          <w:sz w:val="24"/>
          <w:szCs w:val="24"/>
          <w:highlight w:val="none"/>
        </w:rPr>
      </w:pPr>
      <w:r>
        <w:rPr>
          <w:rFonts w:hint="eastAsia" w:ascii="宋体" w:hAnsi="宋体" w:eastAsia="宋体" w:cs="宋体"/>
          <w:caps w:val="0"/>
          <w:smallCaps w:val="0"/>
          <w:color w:val="auto"/>
          <w:spacing w:val="0"/>
          <w:sz w:val="24"/>
          <w:szCs w:val="24"/>
          <w:highlight w:val="none"/>
        </w:rPr>
        <w:t>根据《财政部、司法部关于政府采购支持监狱企业发展有关问题的通知》（财库[2014]68号），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投标活动时，提供由省级以上监狱管理局、戒毒管理局(含新疆生产建设兵团)出具的属于监狱企业的证明文件，不再提供《中小企业声明函》。</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宋体" w:hAnsi="宋体" w:eastAsia="宋体" w:cs="宋体"/>
          <w:caps w:val="0"/>
          <w:smallCaps w:val="0"/>
          <w:color w:val="auto"/>
          <w:spacing w:val="0"/>
          <w:sz w:val="24"/>
          <w:szCs w:val="24"/>
          <w:highlight w:val="none"/>
          <w:lang w:val="en-US" w:eastAsia="zh-CN"/>
        </w:rPr>
      </w:pPr>
      <w:r>
        <w:rPr>
          <w:rFonts w:hint="eastAsia" w:ascii="宋体" w:hAnsi="宋体" w:eastAsia="宋体" w:cs="宋体"/>
          <w:caps w:val="0"/>
          <w:smallCaps w:val="0"/>
          <w:color w:val="auto"/>
          <w:spacing w:val="0"/>
          <w:sz w:val="24"/>
          <w:szCs w:val="24"/>
          <w:highlight w:val="none"/>
        </w:rPr>
        <w:t>根据《节能产品政府采购实施意见》（财库</w:t>
      </w:r>
      <w:r>
        <w:rPr>
          <w:rFonts w:hint="eastAsia" w:ascii="宋体" w:hAnsi="宋体" w:cs="宋体"/>
          <w:caps w:val="0"/>
          <w:smallCaps w:val="0"/>
          <w:color w:val="auto"/>
          <w:spacing w:val="0"/>
          <w:sz w:val="24"/>
          <w:szCs w:val="24"/>
          <w:highlight w:val="none"/>
          <w:lang w:val="en-US" w:eastAsia="zh-CN"/>
        </w:rPr>
        <w:t>[</w:t>
      </w:r>
      <w:r>
        <w:rPr>
          <w:rFonts w:hint="eastAsia" w:ascii="宋体" w:hAnsi="宋体" w:eastAsia="宋体" w:cs="宋体"/>
          <w:caps w:val="0"/>
          <w:smallCaps w:val="0"/>
          <w:color w:val="auto"/>
          <w:spacing w:val="0"/>
          <w:sz w:val="24"/>
          <w:szCs w:val="24"/>
          <w:highlight w:val="none"/>
        </w:rPr>
        <w:t>2004</w:t>
      </w:r>
      <w:r>
        <w:rPr>
          <w:rFonts w:hint="eastAsia" w:ascii="宋体" w:hAnsi="宋体" w:cs="宋体"/>
          <w:caps w:val="0"/>
          <w:smallCaps w:val="0"/>
          <w:color w:val="auto"/>
          <w:spacing w:val="0"/>
          <w:sz w:val="24"/>
          <w:szCs w:val="24"/>
          <w:highlight w:val="none"/>
          <w:lang w:val="en-US" w:eastAsia="zh-CN"/>
        </w:rPr>
        <w:t>]</w:t>
      </w:r>
      <w:r>
        <w:rPr>
          <w:rFonts w:hint="eastAsia" w:ascii="宋体" w:hAnsi="宋体" w:eastAsia="宋体" w:cs="宋体"/>
          <w:caps w:val="0"/>
          <w:smallCaps w:val="0"/>
          <w:color w:val="auto"/>
          <w:spacing w:val="0"/>
          <w:sz w:val="24"/>
          <w:szCs w:val="24"/>
          <w:highlight w:val="none"/>
        </w:rPr>
        <w:t>185号）的规定，投标产品如果是最新一期节能产品政府采购清单内的产品且在有效期内，优先予以采购。（响应文件中须提供有效的证明材料且加盖</w:t>
      </w:r>
      <w:r>
        <w:rPr>
          <w:rFonts w:hint="eastAsia" w:ascii="宋体" w:hAnsi="宋体" w:cs="宋体"/>
          <w:caps w:val="0"/>
          <w:smallCaps w:val="0"/>
          <w:color w:val="auto"/>
          <w:spacing w:val="0"/>
          <w:sz w:val="24"/>
          <w:szCs w:val="24"/>
          <w:highlight w:val="none"/>
          <w:lang w:eastAsia="zh-CN"/>
        </w:rPr>
        <w:t>投标人</w:t>
      </w:r>
      <w:r>
        <w:rPr>
          <w:rFonts w:hint="eastAsia" w:ascii="宋体" w:hAnsi="宋体" w:eastAsia="宋体" w:cs="宋体"/>
          <w:caps w:val="0"/>
          <w:smallCaps w:val="0"/>
          <w:color w:val="auto"/>
          <w:spacing w:val="0"/>
          <w:sz w:val="24"/>
          <w:szCs w:val="24"/>
          <w:highlight w:val="none"/>
        </w:rPr>
        <w:t>公章，否则不予认可）</w:t>
      </w:r>
      <w:r>
        <w:rPr>
          <w:rFonts w:hint="eastAsia" w:ascii="宋体" w:hAnsi="宋体" w:cs="宋体"/>
          <w:caps w:val="0"/>
          <w:smallCaps w:val="0"/>
          <w:color w:val="auto"/>
          <w:spacing w:val="0"/>
          <w:sz w:val="24"/>
          <w:szCs w:val="24"/>
          <w:highlight w:val="none"/>
          <w:lang w:eastAsia="zh-CN"/>
        </w:rPr>
        <w:t>。</w:t>
      </w:r>
    </w:p>
    <w:p>
      <w:pPr>
        <w:wordWrap w:val="0"/>
        <w:overflowPunct/>
        <w:topLinePunct w:val="0"/>
        <w:bidi w:val="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widowControl w:val="0"/>
        <w:numPr>
          <w:ilvl w:val="0"/>
          <w:numId w:val="3"/>
        </w:numPr>
        <w:snapToGrid w:val="0"/>
        <w:spacing w:line="657" w:lineRule="atLeast"/>
        <w:jc w:val="center"/>
        <w:outlineLvl w:val="0"/>
        <w:rPr>
          <w:rFonts w:hint="eastAsia" w:ascii="黑体" w:eastAsia="黑体"/>
          <w:b/>
          <w:color w:val="auto"/>
          <w:sz w:val="36"/>
          <w:szCs w:val="36"/>
          <w:highlight w:val="none"/>
        </w:rPr>
      </w:pPr>
      <w:r>
        <w:rPr>
          <w:rFonts w:hint="eastAsia" w:ascii="黑体" w:eastAsia="黑体"/>
          <w:b/>
          <w:color w:val="auto"/>
          <w:sz w:val="36"/>
          <w:szCs w:val="36"/>
          <w:highlight w:val="none"/>
        </w:rPr>
        <w:t>合同主要条款</w:t>
      </w:r>
      <w:bookmarkEnd w:id="27"/>
    </w:p>
    <w:p>
      <w:pPr>
        <w:widowControl w:val="0"/>
        <w:snapToGrid w:val="0"/>
        <w:spacing w:line="657" w:lineRule="atLeast"/>
        <w:ind w:firstLine="4014" w:firstLineChars="1000"/>
        <w:rPr>
          <w:rFonts w:ascii="宋体" w:hAnsi="宋体" w:cs="宋体"/>
          <w:b/>
          <w:color w:val="auto"/>
          <w:spacing w:val="20"/>
          <w:sz w:val="36"/>
          <w:szCs w:val="36"/>
          <w:highlight w:val="none"/>
        </w:rPr>
      </w:pPr>
      <w:bookmarkStart w:id="73" w:name="_Toc105581299"/>
      <w:r>
        <w:rPr>
          <w:rFonts w:hint="eastAsia" w:ascii="宋体" w:hAnsi="宋体" w:cs="宋体"/>
          <w:b/>
          <w:color w:val="auto"/>
          <w:spacing w:val="20"/>
          <w:sz w:val="36"/>
          <w:szCs w:val="36"/>
          <w:highlight w:val="none"/>
        </w:rPr>
        <w:t>服务合同</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合同编号：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甲方：（采购人）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乙方：（供应商）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甲、乙双方持</w:t>
      </w:r>
      <w:r>
        <w:rPr>
          <w:rFonts w:hint="eastAsia" w:ascii="宋体" w:hAnsi="宋体" w:cs="宋体"/>
          <w:color w:val="auto"/>
          <w:sz w:val="24"/>
          <w:szCs w:val="24"/>
          <w:highlight w:val="none"/>
          <w:lang w:eastAsia="zh-CN" w:bidi="ar"/>
        </w:rPr>
        <w:t>河南仁厚工程实业有限公司</w:t>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lang w:val="en-US" w:eastAsia="zh-CN" w:bidi="ar"/>
        </w:rPr>
        <w:t>2024</w:t>
      </w:r>
      <w:r>
        <w:rPr>
          <w:rFonts w:hint="eastAsia" w:ascii="宋体" w:hAnsi="宋体" w:cs="宋体"/>
          <w:color w:val="auto"/>
          <w:sz w:val="24"/>
          <w:szCs w:val="24"/>
          <w:highlight w:val="none"/>
          <w:lang w:bidi="ar"/>
        </w:rPr>
        <w:t>年 月 日签发的（采购人及项目名称）〔项目编号：</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〕成交通知书，根据采购文件及 其修 改 补充 澄 清、 投 标 文 件 及 其 修 改 补 充 澄 清 的 内 容 ， 经 双 方 平 等 协 商 一 致 ， 达 成 以 下 合 同 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款 ：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一、本合同所指服务为此次</w:t>
      </w:r>
      <w:r>
        <w:rPr>
          <w:rFonts w:hint="eastAsia" w:ascii="宋体" w:hAnsi="宋体" w:cs="宋体"/>
          <w:color w:val="auto"/>
          <w:sz w:val="24"/>
          <w:szCs w:val="24"/>
          <w:highlight w:val="none"/>
          <w:lang w:eastAsia="zh-CN" w:bidi="ar"/>
        </w:rPr>
        <w:t>竞争性磋商</w:t>
      </w:r>
      <w:r>
        <w:rPr>
          <w:rFonts w:hint="eastAsia" w:ascii="宋体" w:hAnsi="宋体" w:cs="宋体"/>
          <w:color w:val="auto"/>
          <w:sz w:val="24"/>
          <w:szCs w:val="24"/>
          <w:highlight w:val="none"/>
          <w:lang w:bidi="ar"/>
        </w:rPr>
        <w:t xml:space="preserve">的服务，包括（详细注明内容），合同总价款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为</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元（大写：    ）。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本 合 同 为 固 定 总 价 合 同 ， 不 因 人 工 、 费 用 、 材 料 和 设 备 等 价 格 的 波 动 而影 响合 同 价格 。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二、服务质量要求及乙方对质量负责条件和期限：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按国家及行业标准、采购文件及响应文件等相应条款制订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三、服务时间、地点、方式：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按国家及行业标准、采购文件及响应文件等相应条款制订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四、验收程序和要求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1、验收时间：项目具备验收条件时，由采购人成立验收工作组负责验收。技术复杂、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社会影响较大的货物类项目，可以根据需要设置出厂检验、到货检验、安装调试检验、配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套服务检验等多重验收环节；服务类项目，可根据项目特点对交验期内的服务实施情况进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行分期考核，结合考核情况和服务效果进行验收。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2、验收工作组：合同履约验收工作应成立验收工作组专门负责。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直接参与该项目政府采购活动的主要负责人不得作为验收工作的主要负责人。对于采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购人和使用人分离的采购项目，应当邀请实际使用人参与验收；政府向社会公众提供的公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共服务项目，验收时应当邀请服务对象参与并出具意见，验收结果应当向社会公告。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2.1、政府采购合同金额在 10 万元以下（含 10 万元）的项目，原则上可以不邀请评 </w:t>
      </w:r>
    </w:p>
    <w:p>
      <w:pPr>
        <w:spacing w:line="360" w:lineRule="auto"/>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审专家参加，组织方成立验收小组自行验收。自行验收时，验收小组应仔细对照采购文件</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及合同，对标的物的数量、质量、规格、型号等参数逐一核对，并编制验收报告。组织方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认为不能独立完成验收任务的，可以邀请评审专家参与验收。 </w:t>
      </w:r>
    </w:p>
    <w:p>
      <w:pPr>
        <w:spacing w:line="360" w:lineRule="auto"/>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2.2、政府采购合同金额 50 万元以下的（含 50 万元）的项目，验收工作组应不少于 </w:t>
      </w:r>
    </w:p>
    <w:p>
      <w:pPr>
        <w:spacing w:line="360" w:lineRule="auto"/>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三人；政府采购合同金额 50 万元以上的项目，验收工作组应由采购人领导牵头，财务、审 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3、验收时，验收小组按照采购合同的约定对每一项技术、服务、安全标准的履约情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况进行确认。验收时需要进行破坏性试验的，供应商应进行充分的配合并提供备品备件。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4、验收报告：验收后，由采购人及专家等出具验收报告（自行验收的，由采购人出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具），国家规定强制性检测的采购项目应附国家认可的专业检测机构出具的验收报告。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5、验收中发现成交供应商未按合同约定的时间、地点或方式履约，提供的货物或服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务的数量、质量、性能、功能达不到合同约定的，或者提供假冒伪劣产品等违反合同约定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的，验收人员应在验收报告中注明违约情形和事项，并应及时通知财政部门。属假冒伪劣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产品的，同时向工商管理、质量监督等行政执法部门举报。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五、履约保证金：</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lang w:bidi="ar"/>
        </w:rPr>
        <w:t xml:space="preserve">。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六、付款程序：按供应商须知相关条款编列。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七、合同遵行《保障中小企业款项支付条例》。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八、责任和义务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1、甲方的责任和义务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（1）对乙方给予必要的协助。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（2）按时验收、及时支付资金。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（3）遵守国家法律法规，不得要求乙方虚开发票，不得向乙方索要“好处”、“回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扣”、“礼品”，或要求乙方提供合同以外的其他物品或服务。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（4）对乙方未按合同约定履约在验收报告中注明违约情形和事项，并应及时通知财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政部门。违反相关法规的向相关行政执法部门举报。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（5）其他法律法规规定应尽的义务。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2、乙方的责任和义务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（1）严格按采购文件要求与投标文件的质量及服务承诺执行，保质、按期履行。 </w:t>
      </w:r>
    </w:p>
    <w:p>
      <w:pPr>
        <w:spacing w:line="360" w:lineRule="auto"/>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（2）不得将合同权利义务全部或部分转让给第三人。</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（3）验收合格前，对货物和人员的安全负责，应采取安全措施，确保人员、材料、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设备和设施的安全，防止货物验收合格前的人身伤害和财产损失；应对其履行合同所雇佣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的全部人员的工伤事故承担责任。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（4）遵守法律、依法纳税。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（5）遵守职业道德和行业规范，坚决杜绝送礼、回扣、报销费用等一切不正当竞争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行为和商业贿赂行为；对甲方索要回扣、礼品等违规行为，向同级财政局政府采购监督管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理科及相关执法机关举报。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（6）其他法律法规规定应尽的义务。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九、违约责任：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1、甲方无正当理由拒付款项的，向乙方偿付拒收拒付部分款项总额 %的违约金。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2、乙方提供服务不符合合同规定，甲方有权拒付相关款项。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3、乙方逾期，乙方向甲方每日偿付 %赔偿费。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十、《采购文件》及其修改补充、投标文件及其修改补充澄清均为本合同的组成部分。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十一、本合同发生争议时双方应按合同条款协商解决。双方协商不成的，可以根据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仲裁协议向当地仲裁机构申请仲裁。当事人没有订立仲裁协议或者仲裁协议无效的，可以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向当地人民法院起诉。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十二、合同生效及其它：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本合同经甲乙双方代表签字、加盖公章和骑缝章后生效。本合同一式 份，甲乙双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方各持   份。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甲方要在合同签订后 1 个工作日内登陆安阳市政府采购网进行备案并公告。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甲方：                                      乙方：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地址：                                      地址：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法定代表人：                               法定代表人：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委托代理人：                               委托代理人：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电话：                                     电话：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开户银行：                                开户银行：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银行账号：                                银行账号：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 xml:space="preserve">签约时间： </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签约地点：</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autoSpaceDE w:val="0"/>
        <w:autoSpaceDN w:val="0"/>
        <w:adjustRightInd w:val="0"/>
        <w:spacing w:line="360" w:lineRule="auto"/>
        <w:jc w:val="center"/>
        <w:rPr>
          <w:rFonts w:ascii="黑体" w:hAnsi="黑体" w:eastAsia="黑体"/>
          <w:b/>
          <w:color w:val="auto"/>
          <w:sz w:val="24"/>
          <w:szCs w:val="24"/>
          <w:highlight w:val="none"/>
          <w:lang w:val="zh-CN"/>
        </w:rPr>
      </w:pPr>
    </w:p>
    <w:p>
      <w:pPr>
        <w:spacing w:line="240" w:lineRule="auto"/>
        <w:ind w:firstLine="2891" w:firstLineChars="800"/>
        <w:jc w:val="left"/>
        <w:textAlignment w:val="auto"/>
        <w:rPr>
          <w:rFonts w:ascii="黑体" w:hAnsi="黑体" w:eastAsia="黑体"/>
          <w:b/>
          <w:color w:val="auto"/>
          <w:sz w:val="36"/>
          <w:szCs w:val="36"/>
          <w:highlight w:val="none"/>
          <w:lang w:val="zh-CN"/>
        </w:rPr>
      </w:pPr>
      <w:r>
        <w:rPr>
          <w:rFonts w:hint="eastAsia" w:ascii="黑体" w:hAnsi="黑体" w:eastAsia="黑体"/>
          <w:b/>
          <w:color w:val="auto"/>
          <w:sz w:val="36"/>
          <w:szCs w:val="36"/>
          <w:highlight w:val="none"/>
          <w:lang w:val="zh-CN"/>
        </w:rPr>
        <w:t>第六章 投标文件格式</w:t>
      </w:r>
      <w:bookmarkEnd w:id="73"/>
    </w:p>
    <w:p>
      <w:pPr>
        <w:autoSpaceDE w:val="0"/>
        <w:autoSpaceDN w:val="0"/>
        <w:adjustRightInd w:val="0"/>
        <w:spacing w:line="276" w:lineRule="auto"/>
        <w:ind w:firstLine="514" w:firstLineChars="245"/>
        <w:jc w:val="left"/>
        <w:rPr>
          <w:rFonts w:ascii="宋体"/>
          <w:color w:val="auto"/>
          <w:sz w:val="36"/>
          <w:szCs w:val="36"/>
          <w:highlight w:val="none"/>
          <w:lang w:val="zh-CN"/>
        </w:rPr>
      </w:pPr>
      <w:r>
        <w:rPr>
          <w:rFonts w:hint="eastAsia" w:ascii="宋体" w:hAnsi="宋体"/>
          <w:color w:val="auto"/>
          <w:szCs w:val="21"/>
          <w:highlight w:val="none"/>
          <w:lang w:val="zh-CN"/>
        </w:rPr>
        <w:t>投标人应按“投标人须知</w:t>
      </w:r>
      <w:r>
        <w:rPr>
          <w:rFonts w:ascii="宋体"/>
          <w:color w:val="auto"/>
          <w:szCs w:val="21"/>
          <w:highlight w:val="none"/>
          <w:lang w:val="zh-CN"/>
        </w:rPr>
        <w:t>--</w:t>
      </w:r>
      <w:r>
        <w:rPr>
          <w:rFonts w:hint="eastAsia" w:ascii="宋体" w:hAnsi="宋体"/>
          <w:color w:val="auto"/>
          <w:szCs w:val="21"/>
          <w:highlight w:val="none"/>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highlight w:val="none"/>
          <w:lang w:val="zh-CN"/>
        </w:rPr>
        <w:t>。</w:t>
      </w:r>
    </w:p>
    <w:p>
      <w:pPr>
        <w:autoSpaceDE w:val="0"/>
        <w:autoSpaceDN w:val="0"/>
        <w:adjustRightInd w:val="0"/>
        <w:spacing w:line="276" w:lineRule="auto"/>
        <w:ind w:firstLine="882" w:firstLineChars="245"/>
        <w:jc w:val="left"/>
        <w:rPr>
          <w:rFonts w:ascii="宋体"/>
          <w:color w:val="auto"/>
          <w:sz w:val="36"/>
          <w:szCs w:val="36"/>
          <w:highlight w:val="none"/>
          <w:lang w:val="zh-CN"/>
        </w:rPr>
      </w:pPr>
    </w:p>
    <w:p>
      <w:pPr>
        <w:autoSpaceDE w:val="0"/>
        <w:autoSpaceDN w:val="0"/>
        <w:adjustRightInd w:val="0"/>
        <w:spacing w:line="360" w:lineRule="auto"/>
        <w:ind w:right="-817"/>
        <w:rPr>
          <w:rFonts w:ascii="宋体"/>
          <w:color w:val="auto"/>
          <w:sz w:val="24"/>
          <w:highlight w:val="none"/>
          <w:u w:val="single"/>
        </w:rPr>
      </w:pPr>
    </w:p>
    <w:p>
      <w:pPr>
        <w:autoSpaceDE w:val="0"/>
        <w:autoSpaceDN w:val="0"/>
        <w:adjustRightInd w:val="0"/>
        <w:spacing w:line="360" w:lineRule="auto"/>
        <w:ind w:firstLine="480" w:firstLineChars="200"/>
        <w:jc w:val="left"/>
        <w:rPr>
          <w:rFonts w:ascii="宋体"/>
          <w:color w:val="auto"/>
          <w:sz w:val="24"/>
          <w:highlight w:val="none"/>
          <w:u w:val="single"/>
        </w:rPr>
      </w:pPr>
    </w:p>
    <w:p>
      <w:pPr>
        <w:autoSpaceDE w:val="0"/>
        <w:autoSpaceDN w:val="0"/>
        <w:adjustRightInd w:val="0"/>
        <w:spacing w:line="360" w:lineRule="auto"/>
        <w:jc w:val="left"/>
        <w:rPr>
          <w:rFonts w:ascii="宋体"/>
          <w:color w:val="auto"/>
          <w:sz w:val="44"/>
          <w:szCs w:val="44"/>
          <w:highlight w:val="none"/>
          <w:u w:val="single"/>
        </w:rPr>
      </w:pPr>
      <w:r>
        <w:rPr>
          <w:rFonts w:hint="eastAsia" w:ascii="宋体" w:hAnsi="宋体"/>
          <w:color w:val="auto"/>
          <w:sz w:val="44"/>
          <w:szCs w:val="44"/>
          <w:highlight w:val="none"/>
        </w:rPr>
        <w:t>项目名称：</w:t>
      </w:r>
      <w:r>
        <w:rPr>
          <w:rFonts w:ascii="宋体" w:hAnsi="宋体"/>
          <w:color w:val="auto"/>
          <w:sz w:val="44"/>
          <w:szCs w:val="44"/>
          <w:highlight w:val="none"/>
          <w:u w:val="single"/>
        </w:rPr>
        <w:t xml:space="preserve">                                 </w:t>
      </w:r>
    </w:p>
    <w:p>
      <w:pPr>
        <w:autoSpaceDE w:val="0"/>
        <w:autoSpaceDN w:val="0"/>
        <w:adjustRightInd w:val="0"/>
        <w:spacing w:line="360" w:lineRule="auto"/>
        <w:jc w:val="left"/>
        <w:rPr>
          <w:rFonts w:ascii="宋体"/>
          <w:color w:val="auto"/>
          <w:sz w:val="24"/>
          <w:highlight w:val="none"/>
        </w:rPr>
      </w:pPr>
      <w:r>
        <w:rPr>
          <w:rFonts w:hint="eastAsia" w:ascii="宋体" w:hAnsi="宋体"/>
          <w:color w:val="auto"/>
          <w:sz w:val="44"/>
          <w:szCs w:val="44"/>
          <w:highlight w:val="none"/>
        </w:rPr>
        <w:t>项目编号：</w:t>
      </w:r>
      <w:r>
        <w:rPr>
          <w:rFonts w:ascii="宋体" w:hAnsi="宋体"/>
          <w:color w:val="auto"/>
          <w:sz w:val="44"/>
          <w:szCs w:val="44"/>
          <w:highlight w:val="none"/>
          <w:u w:val="single"/>
        </w:rPr>
        <w:t xml:space="preserve">                                 </w:t>
      </w:r>
    </w:p>
    <w:p>
      <w:pPr>
        <w:autoSpaceDE w:val="0"/>
        <w:autoSpaceDN w:val="0"/>
        <w:adjustRightInd w:val="0"/>
        <w:spacing w:line="360" w:lineRule="auto"/>
        <w:jc w:val="left"/>
        <w:rPr>
          <w:rFonts w:ascii="宋体"/>
          <w:color w:val="auto"/>
          <w:sz w:val="84"/>
          <w:szCs w:val="84"/>
          <w:highlight w:val="none"/>
        </w:rPr>
      </w:pPr>
    </w:p>
    <w:p>
      <w:pPr>
        <w:autoSpaceDE w:val="0"/>
        <w:autoSpaceDN w:val="0"/>
        <w:adjustRightInd w:val="0"/>
        <w:spacing w:line="360" w:lineRule="auto"/>
        <w:jc w:val="center"/>
        <w:rPr>
          <w:rFonts w:ascii="黑体" w:hAnsi="黑体" w:eastAsia="黑体"/>
          <w:b/>
          <w:color w:val="auto"/>
          <w:spacing w:val="60"/>
          <w:sz w:val="84"/>
          <w:szCs w:val="84"/>
          <w:highlight w:val="none"/>
        </w:rPr>
      </w:pPr>
      <w:r>
        <w:rPr>
          <w:rFonts w:hint="eastAsia" w:ascii="黑体" w:hAnsi="黑体" w:eastAsia="黑体"/>
          <w:b/>
          <w:color w:val="auto"/>
          <w:spacing w:val="60"/>
          <w:sz w:val="84"/>
          <w:szCs w:val="84"/>
          <w:highlight w:val="none"/>
        </w:rPr>
        <w:t>投</w:t>
      </w:r>
      <w:r>
        <w:rPr>
          <w:rFonts w:ascii="黑体" w:hAnsi="黑体" w:eastAsia="黑体"/>
          <w:b/>
          <w:color w:val="auto"/>
          <w:spacing w:val="60"/>
          <w:sz w:val="84"/>
          <w:szCs w:val="84"/>
          <w:highlight w:val="none"/>
        </w:rPr>
        <w:t xml:space="preserve"> </w:t>
      </w:r>
      <w:r>
        <w:rPr>
          <w:rFonts w:hint="eastAsia" w:ascii="黑体" w:hAnsi="黑体" w:eastAsia="黑体"/>
          <w:b/>
          <w:color w:val="auto"/>
          <w:spacing w:val="60"/>
          <w:sz w:val="84"/>
          <w:szCs w:val="84"/>
          <w:highlight w:val="none"/>
        </w:rPr>
        <w:t>标</w:t>
      </w:r>
      <w:r>
        <w:rPr>
          <w:rFonts w:ascii="黑体" w:hAnsi="黑体" w:eastAsia="黑体"/>
          <w:b/>
          <w:color w:val="auto"/>
          <w:spacing w:val="60"/>
          <w:sz w:val="84"/>
          <w:szCs w:val="84"/>
          <w:highlight w:val="none"/>
        </w:rPr>
        <w:t xml:space="preserve"> </w:t>
      </w:r>
      <w:r>
        <w:rPr>
          <w:rFonts w:hint="eastAsia" w:ascii="黑体" w:hAnsi="黑体" w:eastAsia="黑体"/>
          <w:b/>
          <w:color w:val="auto"/>
          <w:spacing w:val="60"/>
          <w:sz w:val="84"/>
          <w:szCs w:val="84"/>
          <w:highlight w:val="none"/>
        </w:rPr>
        <w:t>文</w:t>
      </w:r>
      <w:r>
        <w:rPr>
          <w:rFonts w:ascii="黑体" w:hAnsi="黑体" w:eastAsia="黑体"/>
          <w:b/>
          <w:color w:val="auto"/>
          <w:spacing w:val="60"/>
          <w:sz w:val="84"/>
          <w:szCs w:val="84"/>
          <w:highlight w:val="none"/>
        </w:rPr>
        <w:t xml:space="preserve"> </w:t>
      </w:r>
      <w:r>
        <w:rPr>
          <w:rFonts w:hint="eastAsia" w:ascii="黑体" w:hAnsi="黑体" w:eastAsia="黑体"/>
          <w:b/>
          <w:color w:val="auto"/>
          <w:spacing w:val="60"/>
          <w:sz w:val="84"/>
          <w:szCs w:val="84"/>
          <w:highlight w:val="none"/>
        </w:rPr>
        <w:t>件</w:t>
      </w:r>
    </w:p>
    <w:p>
      <w:pPr>
        <w:autoSpaceDE w:val="0"/>
        <w:autoSpaceDN w:val="0"/>
        <w:adjustRightInd w:val="0"/>
        <w:spacing w:line="360" w:lineRule="auto"/>
        <w:jc w:val="center"/>
        <w:rPr>
          <w:rFonts w:ascii="宋体"/>
          <w:color w:val="auto"/>
          <w:sz w:val="24"/>
          <w:highlight w:val="none"/>
        </w:rPr>
      </w:pPr>
    </w:p>
    <w:p>
      <w:pPr>
        <w:autoSpaceDE w:val="0"/>
        <w:autoSpaceDN w:val="0"/>
        <w:adjustRightInd w:val="0"/>
        <w:spacing w:line="360" w:lineRule="auto"/>
        <w:jc w:val="center"/>
        <w:rPr>
          <w:rFonts w:ascii="宋体"/>
          <w:color w:val="auto"/>
          <w:sz w:val="24"/>
          <w:highlight w:val="none"/>
        </w:rPr>
      </w:pPr>
    </w:p>
    <w:p>
      <w:pPr>
        <w:autoSpaceDE w:val="0"/>
        <w:autoSpaceDN w:val="0"/>
        <w:adjustRightInd w:val="0"/>
        <w:spacing w:line="360" w:lineRule="auto"/>
        <w:jc w:val="center"/>
        <w:rPr>
          <w:rFonts w:ascii="宋体"/>
          <w:color w:val="auto"/>
          <w:sz w:val="24"/>
          <w:highlight w:val="none"/>
        </w:rPr>
      </w:pPr>
    </w:p>
    <w:p>
      <w:pPr>
        <w:autoSpaceDE w:val="0"/>
        <w:autoSpaceDN w:val="0"/>
        <w:adjustRightInd w:val="0"/>
        <w:spacing w:line="360" w:lineRule="auto"/>
        <w:jc w:val="center"/>
        <w:rPr>
          <w:rFonts w:ascii="宋体"/>
          <w:color w:val="auto"/>
          <w:sz w:val="24"/>
          <w:highlight w:val="none"/>
        </w:rPr>
      </w:pPr>
    </w:p>
    <w:p>
      <w:pPr>
        <w:pStyle w:val="56"/>
        <w:spacing w:line="360" w:lineRule="auto"/>
        <w:rPr>
          <w:rFonts w:hAnsi="宋体"/>
          <w:color w:val="auto"/>
          <w:szCs w:val="24"/>
          <w:highlight w:val="none"/>
          <w:u w:val="single"/>
        </w:rPr>
      </w:pPr>
    </w:p>
    <w:p>
      <w:pPr>
        <w:pStyle w:val="56"/>
        <w:spacing w:line="360" w:lineRule="auto"/>
        <w:jc w:val="both"/>
        <w:rPr>
          <w:rFonts w:hAnsi="宋体"/>
          <w:color w:val="auto"/>
          <w:sz w:val="28"/>
          <w:szCs w:val="28"/>
          <w:highlight w:val="none"/>
          <w:u w:val="single"/>
        </w:rPr>
      </w:pPr>
      <w:r>
        <w:rPr>
          <w:rFonts w:hAnsi="宋体"/>
          <w:color w:val="auto"/>
          <w:sz w:val="28"/>
          <w:szCs w:val="28"/>
          <w:highlight w:val="none"/>
        </w:rPr>
        <w:t xml:space="preserve">  </w:t>
      </w:r>
      <w:r>
        <w:rPr>
          <w:rFonts w:hint="eastAsia" w:hAnsi="宋体"/>
          <w:color w:val="auto"/>
          <w:sz w:val="28"/>
          <w:szCs w:val="28"/>
          <w:highlight w:val="none"/>
        </w:rPr>
        <w:t>投标人（</w:t>
      </w:r>
      <w:r>
        <w:rPr>
          <w:rFonts w:hint="eastAsia"/>
          <w:color w:val="auto"/>
          <w:szCs w:val="24"/>
          <w:highlight w:val="none"/>
        </w:rPr>
        <w:t>电子签</w:t>
      </w:r>
      <w:r>
        <w:rPr>
          <w:rFonts w:hint="eastAsia" w:hAnsi="宋体"/>
          <w:color w:val="auto"/>
          <w:szCs w:val="24"/>
          <w:highlight w:val="none"/>
        </w:rPr>
        <w:t>章</w:t>
      </w:r>
      <w:r>
        <w:rPr>
          <w:rFonts w:hint="eastAsia" w:hAnsi="宋体"/>
          <w:color w:val="auto"/>
          <w:sz w:val="28"/>
          <w:szCs w:val="28"/>
          <w:highlight w:val="none"/>
        </w:rPr>
        <w:t>）：</w:t>
      </w:r>
      <w:r>
        <w:rPr>
          <w:rFonts w:hAnsi="宋体"/>
          <w:color w:val="auto"/>
          <w:sz w:val="28"/>
          <w:szCs w:val="28"/>
          <w:highlight w:val="none"/>
          <w:u w:val="single"/>
        </w:rPr>
        <w:t xml:space="preserve">                                       </w:t>
      </w:r>
    </w:p>
    <w:p>
      <w:pPr>
        <w:pStyle w:val="56"/>
        <w:spacing w:line="360" w:lineRule="auto"/>
        <w:ind w:firstLine="280" w:firstLineChars="100"/>
        <w:rPr>
          <w:rFonts w:hAnsi="宋体"/>
          <w:color w:val="auto"/>
          <w:sz w:val="28"/>
          <w:szCs w:val="28"/>
          <w:highlight w:val="none"/>
        </w:rPr>
      </w:pPr>
    </w:p>
    <w:p>
      <w:pPr>
        <w:pStyle w:val="56"/>
        <w:spacing w:line="360" w:lineRule="auto"/>
        <w:ind w:firstLine="280" w:firstLineChars="100"/>
        <w:rPr>
          <w:rFonts w:hAnsi="宋体"/>
          <w:color w:val="auto"/>
          <w:sz w:val="28"/>
          <w:szCs w:val="28"/>
          <w:highlight w:val="none"/>
          <w:u w:val="single"/>
        </w:rPr>
      </w:pPr>
      <w:r>
        <w:rPr>
          <w:rFonts w:hint="eastAsia" w:hAnsi="宋体"/>
          <w:color w:val="auto"/>
          <w:sz w:val="28"/>
          <w:szCs w:val="28"/>
          <w:highlight w:val="none"/>
        </w:rPr>
        <w:t>法定代表人（</w:t>
      </w:r>
      <w:r>
        <w:rPr>
          <w:rFonts w:hint="eastAsia"/>
          <w:color w:val="auto"/>
          <w:szCs w:val="24"/>
          <w:highlight w:val="none"/>
        </w:rPr>
        <w:t>电子签名</w:t>
      </w:r>
      <w:r>
        <w:rPr>
          <w:rFonts w:hint="eastAsia" w:hAnsi="宋体"/>
          <w:color w:val="auto"/>
          <w:sz w:val="28"/>
          <w:szCs w:val="28"/>
          <w:highlight w:val="none"/>
        </w:rPr>
        <w:t>）：</w:t>
      </w:r>
      <w:r>
        <w:rPr>
          <w:rFonts w:hAnsi="宋体"/>
          <w:color w:val="auto"/>
          <w:sz w:val="28"/>
          <w:szCs w:val="28"/>
          <w:highlight w:val="none"/>
          <w:u w:val="single"/>
        </w:rPr>
        <w:t xml:space="preserve">                                    </w:t>
      </w:r>
    </w:p>
    <w:p>
      <w:pPr>
        <w:pStyle w:val="56"/>
        <w:spacing w:line="360" w:lineRule="auto"/>
        <w:jc w:val="center"/>
        <w:rPr>
          <w:rFonts w:hAnsi="宋体"/>
          <w:color w:val="auto"/>
          <w:sz w:val="28"/>
          <w:szCs w:val="28"/>
          <w:highlight w:val="none"/>
        </w:rPr>
      </w:pPr>
    </w:p>
    <w:p>
      <w:pPr>
        <w:pStyle w:val="56"/>
        <w:spacing w:line="360" w:lineRule="auto"/>
        <w:jc w:val="both"/>
        <w:rPr>
          <w:rFonts w:hAnsi="宋体"/>
          <w:color w:val="auto"/>
          <w:sz w:val="28"/>
          <w:szCs w:val="28"/>
          <w:highlight w:val="none"/>
        </w:rPr>
      </w:pPr>
    </w:p>
    <w:p>
      <w:pPr>
        <w:widowControl w:val="0"/>
        <w:tabs>
          <w:tab w:val="left" w:pos="9365"/>
        </w:tabs>
        <w:snapToGrid w:val="0"/>
        <w:spacing w:before="56" w:after="56" w:line="560" w:lineRule="atLeast"/>
        <w:jc w:val="left"/>
        <w:textAlignment w:val="top"/>
        <w:rPr>
          <w:color w:val="auto"/>
          <w:sz w:val="28"/>
          <w:highlight w:val="none"/>
        </w:rPr>
      </w:pPr>
      <w:r>
        <w:rPr>
          <w:rFonts w:ascii="宋体" w:cs="楷体_GB2312"/>
          <w:b/>
          <w:bCs/>
          <w:color w:val="auto"/>
          <w:sz w:val="44"/>
          <w:szCs w:val="44"/>
          <w:highlight w:val="none"/>
          <w:lang w:val="zh-CN"/>
        </w:rPr>
        <w:br w:type="page"/>
      </w:r>
      <w:bookmarkStart w:id="74" w:name="OLE_LINK35"/>
      <w:bookmarkStart w:id="75" w:name="OLE_LINK10"/>
    </w:p>
    <w:bookmarkEnd w:id="74"/>
    <w:bookmarkEnd w:id="75"/>
    <w:p>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一、投标书</w:t>
      </w:r>
    </w:p>
    <w:p>
      <w:pPr>
        <w:widowControl w:val="0"/>
        <w:snapToGrid w:val="0"/>
        <w:spacing w:line="560" w:lineRule="exact"/>
        <w:rPr>
          <w:color w:val="auto"/>
          <w:sz w:val="28"/>
          <w:highlight w:val="none"/>
        </w:rPr>
      </w:pP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致：</w:t>
      </w:r>
      <w:r>
        <w:rPr>
          <w:rFonts w:hint="eastAsia"/>
          <w:color w:val="auto"/>
          <w:sz w:val="24"/>
          <w:szCs w:val="24"/>
          <w:highlight w:val="none"/>
          <w:lang w:eastAsia="zh-CN"/>
        </w:rPr>
        <w:t>河南仁厚工程实业有限公司</w:t>
      </w:r>
      <w:r>
        <w:rPr>
          <w:rFonts w:hint="eastAsia"/>
          <w:color w:val="auto"/>
          <w:sz w:val="24"/>
          <w:szCs w:val="24"/>
          <w:highlight w:val="none"/>
        </w:rPr>
        <w:t>根据贵方竞争性谈判采购</w:t>
      </w:r>
      <w:r>
        <w:rPr>
          <w:rFonts w:hint="eastAsia"/>
          <w:color w:val="auto"/>
          <w:sz w:val="18"/>
          <w:szCs w:val="18"/>
          <w:highlight w:val="none"/>
          <w:u w:val="single"/>
        </w:rPr>
        <w:t>（项目名称）</w:t>
      </w:r>
      <w:r>
        <w:rPr>
          <w:color w:val="auto"/>
          <w:sz w:val="18"/>
          <w:szCs w:val="18"/>
          <w:highlight w:val="none"/>
          <w:u w:val="single"/>
        </w:rPr>
        <w:t xml:space="preserve">               </w:t>
      </w:r>
      <w:r>
        <w:rPr>
          <w:rFonts w:hint="eastAsia"/>
          <w:color w:val="auto"/>
          <w:sz w:val="24"/>
          <w:szCs w:val="24"/>
          <w:highlight w:val="none"/>
        </w:rPr>
        <w:t>的</w:t>
      </w:r>
      <w:r>
        <w:rPr>
          <w:rFonts w:hint="eastAsia"/>
          <w:color w:val="auto"/>
          <w:sz w:val="24"/>
          <w:szCs w:val="24"/>
          <w:highlight w:val="none"/>
          <w:lang w:eastAsia="zh-CN"/>
        </w:rPr>
        <w:t>磋商文件</w:t>
      </w:r>
      <w:r>
        <w:rPr>
          <w:rFonts w:hint="eastAsia"/>
          <w:color w:val="auto"/>
          <w:sz w:val="24"/>
          <w:szCs w:val="24"/>
          <w:highlight w:val="none"/>
        </w:rPr>
        <w:t>（项目编号：</w:t>
      </w:r>
      <w:r>
        <w:rPr>
          <w:color w:val="auto"/>
          <w:sz w:val="24"/>
          <w:szCs w:val="24"/>
          <w:highlight w:val="none"/>
          <w:u w:val="single"/>
        </w:rPr>
        <w:t xml:space="preserve">         </w:t>
      </w:r>
      <w:r>
        <w:rPr>
          <w:rFonts w:hint="eastAsia"/>
          <w:color w:val="auto"/>
          <w:sz w:val="24"/>
          <w:szCs w:val="24"/>
          <w:highlight w:val="none"/>
        </w:rPr>
        <w:t>），经详细研究，我们决定参加该项目的采购活动并按要求提交响应文件。我们郑重声明对我单位</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一、投标书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二、开标一览表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三、分项报价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四、服务方案及服务质量承诺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五、服务拟投入的人员情况表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六、偏差表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七、关于资格的声明函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八、反商业贿赂承诺书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九、履约承诺书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十、资格要求相关证明材料（文件）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 xml:space="preserve">十一、供应商认为有必要提交的其它材料 </w:t>
      </w:r>
    </w:p>
    <w:p>
      <w:pPr>
        <w:widowControl w:val="0"/>
        <w:snapToGrid w:val="0"/>
        <w:spacing w:before="156" w:beforeLines="50" w:line="300" w:lineRule="auto"/>
        <w:ind w:firstLine="556"/>
        <w:rPr>
          <w:color w:val="auto"/>
          <w:sz w:val="24"/>
          <w:szCs w:val="24"/>
          <w:highlight w:val="none"/>
        </w:rPr>
      </w:pPr>
      <w:r>
        <w:rPr>
          <w:rFonts w:hint="eastAsia"/>
          <w:color w:val="auto"/>
          <w:sz w:val="24"/>
          <w:szCs w:val="24"/>
          <w:highlight w:val="none"/>
        </w:rPr>
        <w:t>.........</w:t>
      </w:r>
    </w:p>
    <w:p>
      <w:pPr>
        <w:widowControl w:val="0"/>
        <w:snapToGrid w:val="0"/>
        <w:spacing w:before="156" w:beforeLines="50" w:line="300" w:lineRule="auto"/>
        <w:ind w:firstLine="556"/>
        <w:rPr>
          <w:rFonts w:ascii="宋体" w:hAnsi="宋体"/>
          <w:color w:val="auto"/>
          <w:sz w:val="24"/>
          <w:szCs w:val="24"/>
          <w:highlight w:val="none"/>
        </w:rPr>
      </w:pPr>
      <w:r>
        <w:rPr>
          <w:rFonts w:hint="eastAsia" w:ascii="宋体" w:hAnsi="宋体"/>
          <w:color w:val="auto"/>
          <w:sz w:val="24"/>
          <w:szCs w:val="24"/>
          <w:highlight w:val="none"/>
        </w:rPr>
        <w:t>据此函，签字代表宣布同意如下：</w:t>
      </w:r>
    </w:p>
    <w:p>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所附“开标一览表”中规定的应提供和交付的投标总价为：人民币</w:t>
      </w:r>
      <w:r>
        <w:rPr>
          <w:rFonts w:ascii="宋体" w:hAnsi="宋体"/>
          <w:color w:val="auto"/>
          <w:sz w:val="24"/>
          <w:szCs w:val="24"/>
          <w:highlight w:val="none"/>
          <w:u w:val="single"/>
        </w:rPr>
        <w:tab/>
      </w:r>
      <w:r>
        <w:rPr>
          <w:rFonts w:hint="eastAsia" w:ascii="宋体" w:hAnsi="宋体"/>
          <w:color w:val="auto"/>
          <w:sz w:val="24"/>
          <w:szCs w:val="24"/>
          <w:highlight w:val="none"/>
        </w:rPr>
        <w:t>，即</w:t>
      </w:r>
      <w:r>
        <w:rPr>
          <w:rFonts w:ascii="宋体" w:hAnsi="宋体"/>
          <w:color w:val="auto"/>
          <w:sz w:val="24"/>
          <w:szCs w:val="24"/>
          <w:highlight w:val="none"/>
          <w:u w:val="single"/>
        </w:rPr>
        <w:tab/>
      </w:r>
      <w:r>
        <w:rPr>
          <w:rFonts w:ascii="宋体" w:hAnsi="宋体"/>
          <w:color w:val="auto"/>
          <w:sz w:val="24"/>
          <w:szCs w:val="24"/>
          <w:highlight w:val="none"/>
          <w:u w:val="single"/>
        </w:rPr>
        <w:tab/>
      </w:r>
      <w:r>
        <w:rPr>
          <w:rFonts w:ascii="宋体" w:hAnsi="宋体"/>
          <w:color w:val="auto"/>
          <w:sz w:val="24"/>
          <w:szCs w:val="24"/>
          <w:highlight w:val="none"/>
          <w:u w:val="single"/>
        </w:rPr>
        <w:tab/>
      </w:r>
      <w:r>
        <w:rPr>
          <w:rFonts w:hint="eastAsia" w:ascii="宋体" w:hAnsi="宋体"/>
          <w:color w:val="auto"/>
          <w:sz w:val="24"/>
          <w:szCs w:val="24"/>
          <w:highlight w:val="none"/>
        </w:rPr>
        <w:t>（文字表述）</w:t>
      </w:r>
      <w:r>
        <w:rPr>
          <w:rFonts w:hint="eastAsia"/>
          <w:color w:val="auto"/>
          <w:sz w:val="24"/>
          <w:szCs w:val="24"/>
          <w:highlight w:val="none"/>
        </w:rPr>
        <w:t>交验期：</w:t>
      </w:r>
      <w:r>
        <w:rPr>
          <w:rFonts w:hint="eastAsia"/>
          <w:color w:val="auto"/>
          <w:sz w:val="24"/>
          <w:szCs w:val="24"/>
          <w:highlight w:val="none"/>
          <w:u w:val="single"/>
        </w:rPr>
        <w:t xml:space="preserve">                   </w:t>
      </w:r>
      <w:r>
        <w:rPr>
          <w:rFonts w:hint="eastAsia"/>
          <w:color w:val="auto"/>
          <w:sz w:val="24"/>
          <w:szCs w:val="24"/>
          <w:highlight w:val="none"/>
        </w:rPr>
        <w:t>，交验地点：</w:t>
      </w:r>
      <w:r>
        <w:rPr>
          <w:rFonts w:hint="eastAsia"/>
          <w:color w:val="auto"/>
          <w:sz w:val="24"/>
          <w:szCs w:val="24"/>
          <w:highlight w:val="none"/>
          <w:u w:val="single"/>
        </w:rPr>
        <w:t xml:space="preserve">                     </w:t>
      </w:r>
      <w:r>
        <w:rPr>
          <w:rFonts w:hint="eastAsia"/>
          <w:color w:val="auto"/>
          <w:sz w:val="24"/>
          <w:szCs w:val="24"/>
          <w:highlight w:val="none"/>
        </w:rPr>
        <w:t>。</w:t>
      </w:r>
    </w:p>
    <w:p>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如果我单位的投标书被接受，我单位将履行</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中规定的每一项要求，按期、按质、按量履行合同。</w:t>
      </w:r>
    </w:p>
    <w:p>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 xml:space="preserve">3. </w:t>
      </w:r>
      <w:r>
        <w:rPr>
          <w:rFonts w:hint="eastAsia" w:ascii="宋体" w:hAnsi="宋体"/>
          <w:color w:val="auto"/>
          <w:sz w:val="24"/>
          <w:szCs w:val="24"/>
          <w:highlight w:val="none"/>
        </w:rPr>
        <w:t>我单位愿按《中华人民共和国民法典》履行我单位的全部责任。</w:t>
      </w:r>
    </w:p>
    <w:p>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 xml:space="preserve">4. </w:t>
      </w:r>
      <w:r>
        <w:rPr>
          <w:rFonts w:hint="eastAsia" w:ascii="宋体" w:hAnsi="宋体"/>
          <w:color w:val="auto"/>
          <w:sz w:val="24"/>
          <w:szCs w:val="24"/>
          <w:highlight w:val="none"/>
        </w:rPr>
        <w:t>我单位已详细阅读并完全理解、同意</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的全部内容，包括澄清、修改、补充文件（谈判公告所述媒体公布）以及全部参考资料和有关附件；除我单位在</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规定期间内书面提出的疑问外，我单位放弃对这方面有不明及误解的权力。</w:t>
      </w:r>
    </w:p>
    <w:p>
      <w:pPr>
        <w:widowControl w:val="0"/>
        <w:snapToGrid w:val="0"/>
        <w:spacing w:before="156" w:beforeLines="50" w:line="300" w:lineRule="auto"/>
        <w:ind w:firstLine="556"/>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本投标自开标日起有效期为</w:t>
      </w:r>
      <w:r>
        <w:rPr>
          <w:rFonts w:ascii="宋体" w:hAnsi="宋体"/>
          <w:color w:val="auto"/>
          <w:sz w:val="24"/>
          <w:szCs w:val="24"/>
          <w:highlight w:val="none"/>
        </w:rPr>
        <w:t>90</w:t>
      </w:r>
      <w:r>
        <w:rPr>
          <w:rFonts w:hint="eastAsia" w:ascii="宋体" w:hAnsi="宋体"/>
          <w:color w:val="auto"/>
          <w:sz w:val="24"/>
          <w:szCs w:val="24"/>
          <w:highlight w:val="none"/>
        </w:rPr>
        <w:t>日历天。</w:t>
      </w:r>
    </w:p>
    <w:p>
      <w:pPr>
        <w:widowControl w:val="0"/>
        <w:snapToGrid w:val="0"/>
        <w:spacing w:before="156" w:beforeLines="50" w:line="300" w:lineRule="auto"/>
        <w:ind w:firstLine="556"/>
        <w:rPr>
          <w:rFonts w:ascii="宋体" w:hAnsi="宋体"/>
          <w:color w:val="auto"/>
          <w:sz w:val="24"/>
          <w:szCs w:val="24"/>
          <w:highlight w:val="none"/>
        </w:rPr>
      </w:pPr>
      <w:r>
        <w:rPr>
          <w:rFonts w:hint="eastAsia" w:ascii="宋体" w:hAnsi="宋体"/>
          <w:color w:val="auto"/>
          <w:sz w:val="24"/>
          <w:szCs w:val="24"/>
          <w:highlight w:val="none"/>
        </w:rPr>
        <w:t>6.我单位承诺按照《</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》规定的付款方式执行。</w:t>
      </w:r>
    </w:p>
    <w:p>
      <w:pPr>
        <w:widowControl w:val="0"/>
        <w:snapToGrid w:val="0"/>
        <w:spacing w:before="156" w:beforeLines="50" w:line="300" w:lineRule="auto"/>
        <w:ind w:firstLine="556"/>
        <w:rPr>
          <w:rFonts w:ascii="宋体" w:hAnsi="宋体"/>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如果在规定的开标时间后，我单位在投标有效期内撤回投标的，依据</w:t>
      </w:r>
      <w:r>
        <w:rPr>
          <w:rFonts w:hint="eastAsia" w:ascii="宋体" w:hAnsi="宋体"/>
          <w:color w:val="auto"/>
          <w:sz w:val="24"/>
          <w:szCs w:val="24"/>
          <w:highlight w:val="none"/>
          <w:lang w:eastAsia="zh-CN"/>
        </w:rPr>
        <w:t>磋商文件</w:t>
      </w:r>
      <w:r>
        <w:rPr>
          <w:rFonts w:hint="eastAsia"/>
          <w:color w:val="auto"/>
          <w:sz w:val="24"/>
          <w:szCs w:val="24"/>
          <w:highlight w:val="none"/>
        </w:rPr>
        <w:t>“第三章3.5.5 违背承诺的责任追究措施”，我单位承担相应法律责任及违约责任。</w:t>
      </w:r>
    </w:p>
    <w:p>
      <w:pPr>
        <w:widowControl w:val="0"/>
        <w:snapToGrid w:val="0"/>
        <w:spacing w:before="156" w:beforeLines="50" w:line="300" w:lineRule="auto"/>
        <w:ind w:firstLine="556"/>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 xml:space="preserve">. </w:t>
      </w:r>
      <w:r>
        <w:rPr>
          <w:rFonts w:hint="eastAsia" w:ascii="宋体" w:hAnsi="宋体"/>
          <w:color w:val="auto"/>
          <w:sz w:val="24"/>
          <w:szCs w:val="24"/>
          <w:highlight w:val="none"/>
        </w:rPr>
        <w:t>我单位同意提供按照贵方可能要求的与投标有关的一切数据或资料，理解贵方不一定要接受最低价的投标或收到的任何投标。</w:t>
      </w:r>
    </w:p>
    <w:p>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与本投标有关的一切正式往来请寄：</w:t>
      </w:r>
    </w:p>
    <w:p>
      <w:pPr>
        <w:widowControl w:val="0"/>
        <w:snapToGrid w:val="0"/>
        <w:spacing w:line="560" w:lineRule="exact"/>
        <w:ind w:firstLine="555"/>
        <w:jc w:val="left"/>
        <w:rPr>
          <w:rFonts w:ascii="宋体" w:hAns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ab/>
      </w:r>
      <w:r>
        <w:rPr>
          <w:rFonts w:ascii="宋体" w:hAnsi="宋体"/>
          <w:color w:val="auto"/>
          <w:sz w:val="24"/>
          <w:szCs w:val="24"/>
          <w:highlight w:val="none"/>
        </w:rPr>
        <w:tab/>
      </w:r>
      <w:r>
        <w:rPr>
          <w:rFonts w:hint="eastAsia" w:ascii="宋体" w:hAnsi="宋体"/>
          <w:color w:val="auto"/>
          <w:sz w:val="24"/>
          <w:szCs w:val="24"/>
          <w:highlight w:val="none"/>
        </w:rPr>
        <w:t>邮政编码：</w:t>
      </w:r>
      <w:r>
        <w:rPr>
          <w:rFonts w:ascii="宋体" w:hAnsi="宋体"/>
          <w:color w:val="auto"/>
          <w:sz w:val="24"/>
          <w:szCs w:val="24"/>
          <w:highlight w:val="none"/>
        </w:rPr>
        <w:tab/>
      </w:r>
    </w:p>
    <w:p>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ab/>
      </w:r>
      <w:r>
        <w:rPr>
          <w:rFonts w:ascii="宋体" w:hAnsi="宋体"/>
          <w:color w:val="auto"/>
          <w:sz w:val="24"/>
          <w:szCs w:val="24"/>
          <w:highlight w:val="none"/>
        </w:rPr>
        <w:tab/>
      </w:r>
      <w:r>
        <w:rPr>
          <w:rFonts w:hint="eastAsia" w:ascii="宋体" w:hAnsi="宋体"/>
          <w:color w:val="auto"/>
          <w:sz w:val="24"/>
          <w:szCs w:val="24"/>
          <w:highlight w:val="none"/>
        </w:rPr>
        <w:t>传真：</w:t>
      </w:r>
    </w:p>
    <w:p>
      <w:pPr>
        <w:widowControl w:val="0"/>
        <w:snapToGrid w:val="0"/>
        <w:spacing w:line="560" w:lineRule="exact"/>
        <w:ind w:firstLine="555"/>
        <w:rPr>
          <w:rFonts w:ascii="宋体" w:hAnsi="宋体"/>
          <w:color w:val="auto"/>
          <w:sz w:val="24"/>
          <w:szCs w:val="24"/>
          <w:highlight w:val="none"/>
        </w:rPr>
      </w:pPr>
    </w:p>
    <w:p>
      <w:pPr>
        <w:widowControl w:val="0"/>
        <w:snapToGrid w:val="0"/>
        <w:spacing w:line="560" w:lineRule="exact"/>
        <w:ind w:firstLine="555"/>
        <w:rPr>
          <w:rFonts w:ascii="宋体" w:hAnsi="宋体"/>
          <w:color w:val="auto"/>
          <w:sz w:val="24"/>
          <w:szCs w:val="24"/>
          <w:highlight w:val="none"/>
        </w:rPr>
      </w:pPr>
    </w:p>
    <w:p>
      <w:pPr>
        <w:widowControl w:val="0"/>
        <w:snapToGrid w:val="0"/>
        <w:spacing w:line="560" w:lineRule="exact"/>
        <w:ind w:firstLine="555"/>
        <w:rPr>
          <w:rFonts w:ascii="宋体" w:hAnsi="宋体"/>
          <w:color w:val="auto"/>
          <w:sz w:val="24"/>
          <w:szCs w:val="24"/>
          <w:highlight w:val="none"/>
        </w:rPr>
      </w:pPr>
    </w:p>
    <w:p>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投标人（电子签章）：</w:t>
      </w:r>
    </w:p>
    <w:p>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法定代表人（电子签名）：</w:t>
      </w:r>
    </w:p>
    <w:p>
      <w:pPr>
        <w:autoSpaceDE w:val="0"/>
        <w:autoSpaceDN w:val="0"/>
        <w:adjustRightInd w:val="0"/>
        <w:spacing w:line="360" w:lineRule="auto"/>
        <w:ind w:right="-817"/>
        <w:rPr>
          <w:rFonts w:ascii="宋体" w:hAnsi="宋体" w:cs="楷体_GB2312"/>
          <w:color w:val="auto"/>
          <w:sz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spacing w:line="240" w:lineRule="auto"/>
        <w:jc w:val="left"/>
        <w:textAlignment w:val="auto"/>
        <w:rPr>
          <w:rFonts w:ascii="宋体" w:hAnsi="宋体"/>
          <w:color w:val="auto"/>
          <w:sz w:val="24"/>
          <w:szCs w:val="24"/>
          <w:highlight w:val="none"/>
        </w:rPr>
      </w:pPr>
      <w:r>
        <w:rPr>
          <w:rFonts w:ascii="宋体" w:hAnsi="宋体"/>
          <w:color w:val="auto"/>
          <w:sz w:val="24"/>
          <w:szCs w:val="24"/>
          <w:highlight w:val="none"/>
        </w:rPr>
        <w:br w:type="page"/>
      </w:r>
    </w:p>
    <w:p>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二、开标一览表</w:t>
      </w:r>
    </w:p>
    <w:p>
      <w:pPr>
        <w:widowControl w:val="0"/>
        <w:snapToGrid w:val="0"/>
        <w:spacing w:line="560" w:lineRule="exact"/>
        <w:jc w:val="left"/>
        <w:rPr>
          <w:b/>
          <w:color w:val="auto"/>
          <w:sz w:val="24"/>
          <w:szCs w:val="24"/>
          <w:highlight w:val="none"/>
        </w:rPr>
      </w:pPr>
    </w:p>
    <w:p>
      <w:pPr>
        <w:widowControl w:val="0"/>
        <w:snapToGrid w:val="0"/>
        <w:spacing w:line="560" w:lineRule="exact"/>
        <w:ind w:firstLine="482" w:firstLineChars="200"/>
        <w:jc w:val="left"/>
        <w:rPr>
          <w:b/>
          <w:color w:val="auto"/>
          <w:sz w:val="28"/>
          <w:highlight w:val="none"/>
        </w:rPr>
      </w:pPr>
      <w:r>
        <w:rPr>
          <w:rFonts w:hint="eastAsia"/>
          <w:b/>
          <w:color w:val="auto"/>
          <w:sz w:val="24"/>
          <w:szCs w:val="24"/>
          <w:highlight w:val="none"/>
        </w:rPr>
        <w:t>注：投标人需在“安阳市政府采购投标文件编制系统”中、按系统要求填列开标一览表，系统中填列的开标一览表为投标人《投</w:t>
      </w:r>
      <w:r>
        <w:rPr>
          <w:b/>
          <w:color w:val="auto"/>
          <w:sz w:val="24"/>
          <w:szCs w:val="24"/>
          <w:highlight w:val="none"/>
        </w:rPr>
        <w:t>标文件</w:t>
      </w:r>
      <w:r>
        <w:rPr>
          <w:rFonts w:hint="eastAsia"/>
          <w:b/>
          <w:color w:val="auto"/>
          <w:sz w:val="24"/>
          <w:szCs w:val="24"/>
          <w:highlight w:val="none"/>
        </w:rPr>
        <w:t>》</w:t>
      </w:r>
      <w:r>
        <w:rPr>
          <w:b/>
          <w:color w:val="auto"/>
          <w:sz w:val="24"/>
          <w:szCs w:val="24"/>
          <w:highlight w:val="none"/>
        </w:rPr>
        <w:t>（</w:t>
      </w:r>
      <w:r>
        <w:rPr>
          <w:rFonts w:hint="eastAsia"/>
          <w:b/>
          <w:color w:val="auto"/>
          <w:sz w:val="24"/>
          <w:szCs w:val="24"/>
          <w:highlight w:val="none"/>
        </w:rPr>
        <w:t>响应文件）的一部分。</w:t>
      </w:r>
    </w:p>
    <w:p>
      <w:pPr>
        <w:widowControl w:val="0"/>
        <w:snapToGrid w:val="0"/>
        <w:spacing w:line="560" w:lineRule="exact"/>
        <w:jc w:val="left"/>
        <w:rPr>
          <w:color w:val="auto"/>
          <w:sz w:val="28"/>
          <w:highlight w:val="none"/>
        </w:rPr>
      </w:pPr>
    </w:p>
    <w:p>
      <w:pPr>
        <w:widowControl w:val="0"/>
        <w:tabs>
          <w:tab w:val="left" w:pos="9365"/>
        </w:tabs>
        <w:snapToGrid w:val="0"/>
        <w:spacing w:before="56" w:after="56" w:line="560" w:lineRule="atLeast"/>
        <w:jc w:val="left"/>
        <w:textAlignment w:val="top"/>
        <w:rPr>
          <w:color w:val="auto"/>
          <w:highlight w:val="none"/>
        </w:rPr>
      </w:pPr>
    </w:p>
    <w:p>
      <w:pPr>
        <w:widowControl w:val="0"/>
        <w:snapToGrid w:val="0"/>
        <w:spacing w:line="560" w:lineRule="exact"/>
        <w:ind w:firstLine="482" w:firstLineChars="200"/>
        <w:jc w:val="left"/>
        <w:rPr>
          <w:b/>
          <w:color w:val="auto"/>
          <w:sz w:val="24"/>
          <w:szCs w:val="24"/>
          <w:highlight w:val="none"/>
        </w:rPr>
      </w:pPr>
      <w:r>
        <w:rPr>
          <w:rFonts w:hint="eastAsia"/>
          <w:b/>
          <w:color w:val="auto"/>
          <w:sz w:val="24"/>
          <w:szCs w:val="24"/>
          <w:highlight w:val="none"/>
        </w:rPr>
        <w:t>基于电子化交易的特点，投标人上传解密后的《开标一览表》、《分项报价表》、《符合性响应文件》，构成《投标文件》</w:t>
      </w:r>
      <w:r>
        <w:rPr>
          <w:b/>
          <w:color w:val="auto"/>
          <w:sz w:val="24"/>
          <w:szCs w:val="24"/>
          <w:highlight w:val="none"/>
        </w:rPr>
        <w:t>（</w:t>
      </w:r>
      <w:r>
        <w:rPr>
          <w:rFonts w:hint="eastAsia"/>
          <w:b/>
          <w:color w:val="auto"/>
          <w:sz w:val="24"/>
          <w:szCs w:val="24"/>
          <w:highlight w:val="none"/>
        </w:rPr>
        <w:t>响应文件）的组成部分。</w:t>
      </w:r>
    </w:p>
    <w:p>
      <w:pPr>
        <w:widowControl w:val="0"/>
        <w:tabs>
          <w:tab w:val="left" w:pos="9365"/>
        </w:tabs>
        <w:snapToGrid w:val="0"/>
        <w:spacing w:before="56" w:after="56" w:line="560" w:lineRule="atLeast"/>
        <w:ind w:firstLine="354" w:firstLineChars="147"/>
        <w:jc w:val="left"/>
        <w:textAlignment w:val="top"/>
        <w:rPr>
          <w:b/>
          <w:color w:val="auto"/>
          <w:sz w:val="24"/>
          <w:szCs w:val="24"/>
          <w:highlight w:val="none"/>
        </w:rPr>
      </w:pPr>
      <w:r>
        <w:rPr>
          <w:rFonts w:hint="eastAsia"/>
          <w:b/>
          <w:color w:val="auto"/>
          <w:sz w:val="24"/>
          <w:szCs w:val="24"/>
          <w:highlight w:val="none"/>
        </w:rPr>
        <w:t>《开标一览表》、《分项报价表》无需另行填列。</w:t>
      </w:r>
    </w:p>
    <w:p>
      <w:pPr>
        <w:widowControl w:val="0"/>
        <w:tabs>
          <w:tab w:val="left" w:pos="9365"/>
        </w:tabs>
        <w:snapToGrid w:val="0"/>
        <w:spacing w:before="56" w:after="56" w:line="560" w:lineRule="atLeast"/>
        <w:jc w:val="left"/>
        <w:textAlignment w:val="top"/>
        <w:rPr>
          <w:color w:val="auto"/>
          <w:highlight w:val="none"/>
        </w:rPr>
      </w:pPr>
    </w:p>
    <w:p>
      <w:pPr>
        <w:widowControl w:val="0"/>
        <w:tabs>
          <w:tab w:val="left" w:pos="9365"/>
        </w:tabs>
        <w:snapToGrid w:val="0"/>
        <w:spacing w:before="56" w:after="56" w:line="560" w:lineRule="atLeast"/>
        <w:ind w:firstLine="514" w:firstLineChars="245"/>
        <w:jc w:val="left"/>
        <w:textAlignment w:val="top"/>
        <w:rPr>
          <w:color w:val="auto"/>
          <w:highlight w:val="none"/>
        </w:rPr>
      </w:pPr>
    </w:p>
    <w:p>
      <w:pPr>
        <w:pageBreakBefore/>
        <w:widowControl w:val="0"/>
        <w:snapToGrid w:val="0"/>
        <w:spacing w:line="560" w:lineRule="exact"/>
        <w:jc w:val="center"/>
        <w:rPr>
          <w:rFonts w:ascii="黑体" w:hAnsi="黑体" w:eastAsia="黑体"/>
          <w:color w:val="auto"/>
          <w:sz w:val="28"/>
          <w:highlight w:val="none"/>
        </w:rPr>
      </w:pPr>
      <w:r>
        <w:rPr>
          <w:rFonts w:hint="eastAsia" w:ascii="黑体" w:hAnsi="黑体" w:eastAsia="黑体"/>
          <w:b/>
          <w:color w:val="auto"/>
          <w:sz w:val="30"/>
          <w:szCs w:val="30"/>
          <w:highlight w:val="none"/>
        </w:rPr>
        <w:t>三、分项报价</w:t>
      </w:r>
    </w:p>
    <w:p>
      <w:pPr>
        <w:widowControl w:val="0"/>
        <w:snapToGrid w:val="0"/>
        <w:spacing w:line="560" w:lineRule="exact"/>
        <w:jc w:val="left"/>
        <w:rPr>
          <w:color w:val="auto"/>
          <w:sz w:val="28"/>
          <w:highlight w:val="none"/>
        </w:rPr>
      </w:pPr>
    </w:p>
    <w:p>
      <w:pPr>
        <w:widowControl w:val="0"/>
        <w:snapToGrid w:val="0"/>
        <w:spacing w:line="560" w:lineRule="exact"/>
        <w:jc w:val="left"/>
        <w:rPr>
          <w:b/>
          <w:color w:val="auto"/>
          <w:sz w:val="24"/>
          <w:szCs w:val="24"/>
          <w:highlight w:val="none"/>
        </w:rPr>
      </w:pPr>
    </w:p>
    <w:p>
      <w:pPr>
        <w:widowControl w:val="0"/>
        <w:snapToGrid w:val="0"/>
        <w:spacing w:line="560" w:lineRule="exact"/>
        <w:ind w:firstLine="482" w:firstLineChars="200"/>
        <w:jc w:val="left"/>
        <w:rPr>
          <w:b/>
          <w:color w:val="auto"/>
          <w:sz w:val="24"/>
          <w:szCs w:val="24"/>
          <w:highlight w:val="none"/>
        </w:rPr>
      </w:pPr>
      <w:r>
        <w:rPr>
          <w:rFonts w:hint="eastAsia"/>
          <w:b/>
          <w:color w:val="auto"/>
          <w:sz w:val="24"/>
          <w:szCs w:val="24"/>
          <w:highlight w:val="none"/>
        </w:rPr>
        <w:t>1、投标人需在“安阳市政府采购投标文件编制系统”中、按系统要求填列分项报价，系统中填列的分项报价为投标人《投</w:t>
      </w:r>
      <w:r>
        <w:rPr>
          <w:b/>
          <w:color w:val="auto"/>
          <w:sz w:val="24"/>
          <w:szCs w:val="24"/>
          <w:highlight w:val="none"/>
        </w:rPr>
        <w:t>标文件</w:t>
      </w:r>
      <w:r>
        <w:rPr>
          <w:rFonts w:hint="eastAsia"/>
          <w:b/>
          <w:color w:val="auto"/>
          <w:sz w:val="24"/>
          <w:szCs w:val="24"/>
          <w:highlight w:val="none"/>
        </w:rPr>
        <w:t>》</w:t>
      </w:r>
      <w:r>
        <w:rPr>
          <w:b/>
          <w:color w:val="auto"/>
          <w:sz w:val="24"/>
          <w:szCs w:val="24"/>
          <w:highlight w:val="none"/>
        </w:rPr>
        <w:t>（</w:t>
      </w:r>
      <w:r>
        <w:rPr>
          <w:rFonts w:hint="eastAsia"/>
          <w:b/>
          <w:color w:val="auto"/>
          <w:sz w:val="24"/>
          <w:szCs w:val="24"/>
          <w:highlight w:val="none"/>
        </w:rPr>
        <w:t>响应文件）的一部分。</w:t>
      </w:r>
    </w:p>
    <w:p>
      <w:pPr>
        <w:widowControl w:val="0"/>
        <w:snapToGrid w:val="0"/>
        <w:spacing w:line="560" w:lineRule="exact"/>
        <w:ind w:firstLine="482" w:firstLineChars="200"/>
        <w:jc w:val="left"/>
        <w:rPr>
          <w:b/>
          <w:color w:val="auto"/>
          <w:sz w:val="24"/>
          <w:szCs w:val="24"/>
          <w:highlight w:val="none"/>
        </w:rPr>
      </w:pPr>
    </w:p>
    <w:p>
      <w:pPr>
        <w:widowControl w:val="0"/>
        <w:snapToGrid w:val="0"/>
        <w:spacing w:line="560" w:lineRule="exact"/>
        <w:jc w:val="left"/>
        <w:rPr>
          <w:b/>
          <w:color w:val="auto"/>
          <w:sz w:val="24"/>
          <w:szCs w:val="24"/>
          <w:highlight w:val="none"/>
        </w:rPr>
      </w:pPr>
    </w:p>
    <w:p>
      <w:pPr>
        <w:widowControl w:val="0"/>
        <w:snapToGrid w:val="0"/>
        <w:spacing w:line="560" w:lineRule="exact"/>
        <w:ind w:firstLine="482" w:firstLineChars="200"/>
        <w:jc w:val="left"/>
        <w:rPr>
          <w:b/>
          <w:color w:val="auto"/>
          <w:sz w:val="24"/>
          <w:szCs w:val="24"/>
          <w:highlight w:val="none"/>
        </w:rPr>
      </w:pPr>
      <w:r>
        <w:rPr>
          <w:rFonts w:hint="eastAsia"/>
          <w:b/>
          <w:color w:val="auto"/>
          <w:sz w:val="24"/>
          <w:szCs w:val="24"/>
          <w:highlight w:val="none"/>
        </w:rPr>
        <w:t>2、基于电子化交易的特点，投标人上传解密后的《开标一览表》、《分项报价表》、《符合性响应文件》，构成《投标文件》</w:t>
      </w:r>
      <w:r>
        <w:rPr>
          <w:b/>
          <w:color w:val="auto"/>
          <w:sz w:val="24"/>
          <w:szCs w:val="24"/>
          <w:highlight w:val="none"/>
        </w:rPr>
        <w:t>（</w:t>
      </w:r>
      <w:r>
        <w:rPr>
          <w:rFonts w:hint="eastAsia"/>
          <w:b/>
          <w:color w:val="auto"/>
          <w:sz w:val="24"/>
          <w:szCs w:val="24"/>
          <w:highlight w:val="none"/>
        </w:rPr>
        <w:t>响应文件）的组成部分。</w:t>
      </w:r>
    </w:p>
    <w:p>
      <w:pPr>
        <w:widowControl w:val="0"/>
        <w:tabs>
          <w:tab w:val="left" w:pos="9365"/>
        </w:tabs>
        <w:snapToGrid w:val="0"/>
        <w:spacing w:before="56" w:after="56" w:line="560" w:lineRule="atLeast"/>
        <w:ind w:firstLine="354" w:firstLineChars="147"/>
        <w:jc w:val="left"/>
        <w:textAlignment w:val="top"/>
        <w:rPr>
          <w:b/>
          <w:color w:val="auto"/>
          <w:sz w:val="24"/>
          <w:szCs w:val="24"/>
          <w:highlight w:val="none"/>
        </w:rPr>
      </w:pPr>
      <w:r>
        <w:rPr>
          <w:rFonts w:hint="eastAsia"/>
          <w:b/>
          <w:color w:val="auto"/>
          <w:sz w:val="24"/>
          <w:szCs w:val="24"/>
          <w:highlight w:val="none"/>
        </w:rPr>
        <w:t>《开标一览表》、《分项报价表》无需另行填列。</w:t>
      </w:r>
    </w:p>
    <w:p>
      <w:pPr>
        <w:widowControl w:val="0"/>
        <w:snapToGrid w:val="0"/>
        <w:spacing w:line="560" w:lineRule="exact"/>
        <w:ind w:firstLine="482" w:firstLineChars="200"/>
        <w:jc w:val="left"/>
        <w:rPr>
          <w:b/>
          <w:color w:val="auto"/>
          <w:sz w:val="24"/>
          <w:szCs w:val="24"/>
          <w:highlight w:val="none"/>
        </w:rPr>
      </w:pPr>
    </w:p>
    <w:p>
      <w:pPr>
        <w:widowControl w:val="0"/>
        <w:tabs>
          <w:tab w:val="left" w:pos="9365"/>
        </w:tabs>
        <w:snapToGrid w:val="0"/>
        <w:spacing w:before="56" w:after="56" w:line="560" w:lineRule="atLeast"/>
        <w:jc w:val="left"/>
        <w:textAlignment w:val="top"/>
        <w:rPr>
          <w:color w:val="auto"/>
          <w:highlight w:val="none"/>
        </w:rPr>
      </w:pPr>
    </w:p>
    <w:p>
      <w:pPr>
        <w:widowControl w:val="0"/>
        <w:snapToGrid w:val="0"/>
        <w:spacing w:line="560" w:lineRule="exact"/>
        <w:ind w:firstLine="602" w:firstLineChars="200"/>
        <w:jc w:val="left"/>
        <w:rPr>
          <w:b/>
          <w:color w:val="auto"/>
          <w:sz w:val="24"/>
          <w:szCs w:val="24"/>
          <w:highlight w:val="none"/>
        </w:rPr>
      </w:pPr>
      <w:r>
        <w:rPr>
          <w:rFonts w:hint="eastAsia" w:eastAsia="方正黑体简体"/>
          <w:b/>
          <w:color w:val="auto"/>
          <w:sz w:val="30"/>
          <w:szCs w:val="30"/>
          <w:highlight w:val="none"/>
        </w:rPr>
        <w:t>3、</w:t>
      </w:r>
      <w:r>
        <w:rPr>
          <w:rFonts w:hint="eastAsia"/>
          <w:b/>
          <w:color w:val="auto"/>
          <w:sz w:val="24"/>
          <w:szCs w:val="24"/>
          <w:highlight w:val="none"/>
        </w:rPr>
        <w:t>本次政府采购项目专门面向中小企业，专门面向中小企业的采购项目无价格扣除。投标人无需在</w:t>
      </w:r>
      <w:r>
        <w:rPr>
          <w:b/>
          <w:color w:val="auto"/>
          <w:sz w:val="24"/>
          <w:szCs w:val="24"/>
          <w:highlight w:val="none"/>
        </w:rPr>
        <w:t>“</w:t>
      </w:r>
      <w:r>
        <w:rPr>
          <w:rFonts w:hint="eastAsia"/>
          <w:b/>
          <w:color w:val="auto"/>
          <w:sz w:val="24"/>
          <w:szCs w:val="24"/>
          <w:highlight w:val="none"/>
        </w:rPr>
        <w:t>投标文件编制系统</w:t>
      </w:r>
      <w:r>
        <w:rPr>
          <w:b/>
          <w:color w:val="auto"/>
          <w:sz w:val="24"/>
          <w:szCs w:val="24"/>
          <w:highlight w:val="none"/>
        </w:rPr>
        <w:t>”</w:t>
      </w:r>
      <w:r>
        <w:rPr>
          <w:rFonts w:hint="eastAsia"/>
          <w:b/>
          <w:color w:val="auto"/>
          <w:sz w:val="24"/>
          <w:szCs w:val="24"/>
          <w:highlight w:val="none"/>
        </w:rPr>
        <w:t>分项报价表中选择“是否享受价格折扣、折扣率（%）”。</w:t>
      </w:r>
    </w:p>
    <w:p>
      <w:pPr>
        <w:widowControl w:val="0"/>
        <w:tabs>
          <w:tab w:val="left" w:pos="9365"/>
        </w:tabs>
        <w:snapToGrid w:val="0"/>
        <w:spacing w:before="56" w:after="56" w:line="560" w:lineRule="atLeast"/>
        <w:jc w:val="left"/>
        <w:textAlignment w:val="top"/>
        <w:rPr>
          <w:color w:val="auto"/>
          <w:highlight w:val="none"/>
        </w:rPr>
      </w:pPr>
    </w:p>
    <w:p>
      <w:pPr>
        <w:spacing w:line="240" w:lineRule="auto"/>
        <w:jc w:val="left"/>
        <w:textAlignment w:val="auto"/>
        <w:rPr>
          <w:rFonts w:ascii="黑体" w:hAnsi="黑体" w:eastAsia="黑体"/>
          <w:b/>
          <w:color w:val="auto"/>
          <w:sz w:val="30"/>
          <w:szCs w:val="30"/>
          <w:highlight w:val="none"/>
        </w:rPr>
      </w:pPr>
      <w:r>
        <w:rPr>
          <w:rFonts w:eastAsia="方正黑体简体"/>
          <w:b/>
          <w:color w:val="auto"/>
          <w:sz w:val="30"/>
          <w:szCs w:val="30"/>
          <w:highlight w:val="none"/>
        </w:rPr>
        <w:br w:type="page"/>
      </w:r>
    </w:p>
    <w:p>
      <w:pPr>
        <w:widowControl w:val="0"/>
        <w:snapToGrid w:val="0"/>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四、服务方案及服务质量承诺（格式自拟）</w:t>
      </w:r>
    </w:p>
    <w:p>
      <w:pPr>
        <w:pStyle w:val="18"/>
        <w:adjustRightInd w:val="0"/>
        <w:snapToGrid w:val="0"/>
        <w:spacing w:before="0" w:beforeAutospacing="0" w:after="0" w:afterAutospacing="0"/>
        <w:rPr>
          <w:color w:val="auto"/>
          <w:highlight w:val="none"/>
        </w:rPr>
      </w:pPr>
    </w:p>
    <w:p>
      <w:pPr>
        <w:pStyle w:val="18"/>
        <w:adjustRightInd w:val="0"/>
        <w:snapToGrid w:val="0"/>
        <w:spacing w:before="0" w:beforeAutospacing="0" w:after="0" w:afterAutospacing="0" w:line="360" w:lineRule="auto"/>
        <w:rPr>
          <w:color w:val="auto"/>
          <w:highlight w:val="none"/>
        </w:rPr>
      </w:pPr>
    </w:p>
    <w:p>
      <w:pPr>
        <w:pStyle w:val="18"/>
        <w:adjustRightInd w:val="0"/>
        <w:snapToGrid w:val="0"/>
        <w:spacing w:before="0" w:beforeAutospacing="0" w:after="0" w:afterAutospacing="0" w:line="360" w:lineRule="auto"/>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18"/>
        <w:adjustRightInd w:val="0"/>
        <w:snapToGrid w:val="0"/>
        <w:spacing w:before="0" w:beforeAutospacing="0" w:after="0" w:afterAutospacing="0" w:line="360" w:lineRule="auto"/>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widowControl w:val="0"/>
        <w:tabs>
          <w:tab w:val="left" w:pos="9365"/>
        </w:tabs>
        <w:snapToGrid w:val="0"/>
        <w:spacing w:after="56" w:line="360" w:lineRule="exact"/>
        <w:ind w:right="85" w:firstLine="601"/>
        <w:textAlignment w:val="top"/>
        <w:rPr>
          <w:rFonts w:ascii="宋体" w:hAnsi="宋体" w:cs="宋体"/>
          <w:color w:val="auto"/>
          <w:sz w:val="24"/>
          <w:highlight w:val="none"/>
        </w:rPr>
      </w:pPr>
      <w:r>
        <w:rPr>
          <w:rFonts w:hint="eastAsia" w:ascii="宋体" w:hAnsi="宋体" w:cs="宋体"/>
          <w:color w:val="auto"/>
          <w:sz w:val="24"/>
          <w:highlight w:val="none"/>
        </w:rPr>
        <w:t>　</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color w:val="auto"/>
          <w:highlight w:val="none"/>
        </w:rPr>
      </w:pPr>
    </w:p>
    <w:p>
      <w:pPr>
        <w:autoSpaceDE w:val="0"/>
        <w:autoSpaceDN w:val="0"/>
        <w:adjustRightInd w:val="0"/>
        <w:spacing w:line="360" w:lineRule="auto"/>
        <w:jc w:val="center"/>
        <w:rPr>
          <w:rFonts w:ascii="宋体" w:hAnsi="宋体" w:cs="宋体"/>
          <w:color w:val="auto"/>
          <w:sz w:val="28"/>
          <w:highlight w:val="none"/>
        </w:rPr>
      </w:pPr>
    </w:p>
    <w:p>
      <w:pPr>
        <w:rPr>
          <w:color w:val="auto"/>
          <w:highlight w:val="none"/>
        </w:rPr>
      </w:pP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pPr>
        <w:widowControl w:val="0"/>
        <w:tabs>
          <w:tab w:val="left" w:pos="9365"/>
        </w:tabs>
        <w:snapToGrid w:val="0"/>
        <w:spacing w:after="56" w:line="560" w:lineRule="exact"/>
        <w:ind w:right="56"/>
        <w:jc w:val="left"/>
        <w:textAlignment w:val="top"/>
        <w:rPr>
          <w:rFonts w:ascii="宋体" w:hAnsi="宋体" w:cs="宋体"/>
          <w:color w:val="auto"/>
          <w:highlight w:val="none"/>
        </w:rPr>
      </w:pPr>
      <w:r>
        <w:rPr>
          <w:rFonts w:hint="eastAsia" w:ascii="宋体" w:hAnsi="宋体" w:cs="宋体"/>
          <w:color w:val="auto"/>
          <w:sz w:val="24"/>
          <w:highlight w:val="none"/>
          <w:lang w:val="zh-CN"/>
        </w:rPr>
        <w:t>日期：   年   月   日</w:t>
      </w:r>
    </w:p>
    <w:p>
      <w:pPr>
        <w:spacing w:line="240" w:lineRule="auto"/>
        <w:rPr>
          <w:rFonts w:ascii="宋体" w:hAnsi="宋体" w:cs="宋体"/>
          <w:color w:val="auto"/>
          <w:sz w:val="24"/>
          <w:highlight w:val="none"/>
        </w:rPr>
      </w:pPr>
    </w:p>
    <w:p>
      <w:pPr>
        <w:widowControl w:val="0"/>
        <w:snapToGrid w:val="0"/>
        <w:spacing w:line="5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bookmarkStart w:id="76" w:name="OLE_LINK22"/>
    </w:p>
    <w:bookmarkEnd w:id="76"/>
    <w:p>
      <w:pPr>
        <w:spacing w:line="240" w:lineRule="auto"/>
        <w:jc w:val="left"/>
        <w:textAlignment w:val="auto"/>
        <w:rPr>
          <w:rFonts w:ascii="宋体" w:hAnsi="宋体" w:cs="宋体"/>
          <w:b/>
          <w:color w:val="auto"/>
          <w:sz w:val="30"/>
          <w:szCs w:val="30"/>
          <w:highlight w:val="none"/>
        </w:rPr>
      </w:pPr>
    </w:p>
    <w:p>
      <w:pPr>
        <w:spacing w:line="240" w:lineRule="auto"/>
        <w:jc w:val="left"/>
        <w:textAlignment w:val="auto"/>
        <w:rPr>
          <w:rFonts w:ascii="宋体" w:hAnsi="宋体" w:cs="宋体"/>
          <w:b/>
          <w:color w:val="auto"/>
          <w:highlight w:val="none"/>
        </w:rPr>
      </w:pPr>
    </w:p>
    <w:p>
      <w:pPr>
        <w:jc w:val="center"/>
        <w:rPr>
          <w:color w:val="auto"/>
          <w:highlight w:val="none"/>
        </w:rPr>
      </w:pPr>
      <w:r>
        <w:rPr>
          <w:rFonts w:hint="eastAsia" w:ascii="黑体" w:hAnsi="宋体" w:eastAsia="黑体" w:cs="黑体"/>
          <w:b/>
          <w:bCs/>
          <w:color w:val="auto"/>
          <w:sz w:val="30"/>
          <w:szCs w:val="30"/>
          <w:highlight w:val="none"/>
          <w:lang w:bidi="ar"/>
        </w:rPr>
        <w:t>五</w:t>
      </w:r>
      <w:r>
        <w:rPr>
          <w:rFonts w:ascii="黑体" w:hAnsi="宋体" w:eastAsia="黑体" w:cs="黑体"/>
          <w:b/>
          <w:bCs/>
          <w:color w:val="auto"/>
          <w:sz w:val="30"/>
          <w:szCs w:val="30"/>
          <w:highlight w:val="none"/>
          <w:lang w:bidi="ar"/>
        </w:rPr>
        <w:t>、服务拟投入的人员情况表（格式自拟）</w:t>
      </w:r>
    </w:p>
    <w:p>
      <w:pPr>
        <w:pStyle w:val="18"/>
        <w:adjustRightInd w:val="0"/>
        <w:snapToGrid w:val="0"/>
        <w:spacing w:before="0" w:beforeAutospacing="0" w:after="0" w:afterAutospacing="0"/>
        <w:rPr>
          <w:b/>
          <w:color w:val="auto"/>
          <w:highlight w:val="none"/>
        </w:rPr>
      </w:pPr>
    </w:p>
    <w:p>
      <w:pPr>
        <w:pStyle w:val="18"/>
        <w:adjustRightInd w:val="0"/>
        <w:snapToGrid w:val="0"/>
        <w:spacing w:before="0" w:beforeAutospacing="0" w:after="0" w:afterAutospacing="0"/>
        <w:rPr>
          <w:b/>
          <w:color w:val="auto"/>
          <w:highlight w:val="none"/>
        </w:rPr>
      </w:pPr>
    </w:p>
    <w:p>
      <w:pPr>
        <w:pStyle w:val="18"/>
        <w:adjustRightInd w:val="0"/>
        <w:snapToGrid w:val="0"/>
        <w:spacing w:before="0" w:beforeAutospacing="0" w:after="0" w:afterAutospacing="0"/>
        <w:rPr>
          <w:b/>
          <w:color w:val="auto"/>
          <w:highlight w:val="none"/>
        </w:rPr>
      </w:pPr>
    </w:p>
    <w:p>
      <w:pPr>
        <w:pStyle w:val="18"/>
        <w:adjustRightInd w:val="0"/>
        <w:snapToGrid w:val="0"/>
        <w:spacing w:before="0" w:beforeAutospacing="0" w:after="0" w:afterAutospacing="0" w:line="360" w:lineRule="auto"/>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18"/>
        <w:adjustRightInd w:val="0"/>
        <w:snapToGrid w:val="0"/>
        <w:spacing w:before="0" w:beforeAutospacing="0" w:after="0" w:afterAutospacing="0" w:line="360" w:lineRule="auto"/>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tabs>
          <w:tab w:val="left" w:pos="0"/>
        </w:tabs>
        <w:adjustRightInd w:val="0"/>
        <w:snapToGrid w:val="0"/>
        <w:spacing w:before="156" w:beforeLines="50" w:line="300" w:lineRule="auto"/>
        <w:ind w:right="510"/>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rFonts w:ascii="宋体" w:hAnsi="宋体" w:cs="宋体"/>
          <w:color w:val="auto"/>
          <w:spacing w:val="8"/>
          <w:szCs w:val="21"/>
          <w:highlight w:val="none"/>
        </w:rPr>
      </w:pPr>
    </w:p>
    <w:p>
      <w:pPr>
        <w:rPr>
          <w:color w:val="auto"/>
          <w:highlight w:val="none"/>
        </w:rPr>
      </w:pPr>
    </w:p>
    <w:p>
      <w:pPr>
        <w:tabs>
          <w:tab w:val="left" w:pos="0"/>
        </w:tabs>
        <w:adjustRightInd w:val="0"/>
        <w:snapToGrid w:val="0"/>
        <w:spacing w:before="156" w:beforeLines="50" w:line="300" w:lineRule="auto"/>
        <w:ind w:right="510"/>
        <w:rPr>
          <w:rFonts w:ascii="宋体" w:hAnsi="宋体" w:cs="宋体"/>
          <w:color w:val="auto"/>
          <w:spacing w:val="8"/>
          <w:szCs w:val="21"/>
          <w:highlight w:val="none"/>
        </w:rPr>
      </w:pP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pPr>
        <w:widowControl w:val="0"/>
        <w:tabs>
          <w:tab w:val="left" w:pos="9365"/>
        </w:tabs>
        <w:snapToGrid w:val="0"/>
        <w:spacing w:after="56" w:line="560" w:lineRule="exact"/>
        <w:ind w:right="56"/>
        <w:jc w:val="left"/>
        <w:textAlignment w:val="top"/>
        <w:rPr>
          <w:rFonts w:ascii="宋体" w:hAnsi="宋体" w:cs="宋体"/>
          <w:color w:val="auto"/>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pPr>
        <w:widowControl w:val="0"/>
        <w:snapToGrid w:val="0"/>
        <w:spacing w:line="560" w:lineRule="exact"/>
        <w:jc w:val="left"/>
        <w:textAlignment w:val="top"/>
        <w:rPr>
          <w:rFonts w:ascii="宋体" w:hAnsi="宋体" w:cs="宋体"/>
          <w:b/>
          <w:color w:val="auto"/>
          <w:highlight w:val="none"/>
        </w:rPr>
      </w:pPr>
      <w:bookmarkStart w:id="77" w:name="OLE_LINK27"/>
    </w:p>
    <w:p>
      <w:pPr>
        <w:pageBreakBefore/>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六、</w:t>
      </w:r>
      <w:bookmarkEnd w:id="77"/>
      <w:r>
        <w:rPr>
          <w:rFonts w:hint="eastAsia" w:ascii="宋体" w:hAnsi="宋体" w:cs="宋体"/>
          <w:b/>
          <w:color w:val="auto"/>
          <w:sz w:val="30"/>
          <w:szCs w:val="30"/>
          <w:highlight w:val="none"/>
        </w:rPr>
        <w:t>偏差表</w:t>
      </w:r>
    </w:p>
    <w:p>
      <w:pPr>
        <w:pStyle w:val="18"/>
        <w:adjustRightInd w:val="0"/>
        <w:snapToGrid w:val="0"/>
        <w:spacing w:before="0" w:beforeAutospacing="0" w:after="0" w:afterAutospacing="0"/>
        <w:rPr>
          <w:color w:val="auto"/>
          <w:highlight w:val="none"/>
        </w:rPr>
      </w:pPr>
    </w:p>
    <w:p>
      <w:pPr>
        <w:pStyle w:val="18"/>
        <w:adjustRightInd w:val="0"/>
        <w:snapToGrid w:val="0"/>
        <w:spacing w:before="0" w:beforeAutospacing="0" w:after="0" w:afterAutospacing="0" w:line="360" w:lineRule="auto"/>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18"/>
        <w:adjustRightInd w:val="0"/>
        <w:snapToGrid w:val="0"/>
        <w:spacing w:before="0" w:beforeAutospacing="0" w:after="0" w:afterAutospacing="0" w:line="360" w:lineRule="auto"/>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1"/>
        <w:tblpPr w:leftFromText="180" w:rightFromText="180" w:vertAnchor="text" w:horzAnchor="page" w:tblpX="1349"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928"/>
        <w:gridCol w:w="239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序号</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要求</w:t>
            </w: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响应文件响应</w:t>
            </w: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1</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2</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3</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4</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5</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6</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7</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8</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9</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r>
              <w:rPr>
                <w:rFonts w:hint="eastAsia" w:ascii="宋体" w:hAnsi="宋体" w:cs="宋体"/>
                <w:color w:val="auto"/>
                <w:sz w:val="24"/>
                <w:highlight w:val="none"/>
              </w:rPr>
              <w:t>……</w:t>
            </w:r>
          </w:p>
        </w:tc>
        <w:tc>
          <w:tcPr>
            <w:tcW w:w="3928"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399"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c>
          <w:tcPr>
            <w:tcW w:w="2400" w:type="dxa"/>
          </w:tcPr>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tc>
      </w:tr>
    </w:tbl>
    <w:p>
      <w:pPr>
        <w:jc w:val="left"/>
        <w:rPr>
          <w:rFonts w:ascii="宋体" w:hAnsi="宋体" w:cs="宋体"/>
          <w:color w:val="auto"/>
          <w:szCs w:val="21"/>
          <w:highlight w:val="none"/>
          <w:lang w:bidi="ar"/>
        </w:rPr>
      </w:pPr>
    </w:p>
    <w:p>
      <w:pPr>
        <w:jc w:val="left"/>
        <w:rPr>
          <w:color w:val="auto"/>
          <w:highlight w:val="none"/>
        </w:rPr>
      </w:pPr>
      <w:r>
        <w:rPr>
          <w:rFonts w:hint="eastAsia" w:ascii="宋体" w:hAnsi="宋体" w:cs="宋体"/>
          <w:color w:val="auto"/>
          <w:szCs w:val="21"/>
          <w:highlight w:val="none"/>
          <w:lang w:bidi="ar"/>
        </w:rPr>
        <w:t>注：1、“偏差表”应详细注明与《</w:t>
      </w:r>
      <w:r>
        <w:rPr>
          <w:rFonts w:hint="eastAsia" w:ascii="宋体" w:hAnsi="宋体" w:cs="宋体"/>
          <w:color w:val="auto"/>
          <w:szCs w:val="21"/>
          <w:highlight w:val="none"/>
          <w:lang w:eastAsia="zh-CN" w:bidi="ar"/>
        </w:rPr>
        <w:t>磋商文件</w:t>
      </w:r>
      <w:r>
        <w:rPr>
          <w:rFonts w:hint="eastAsia" w:ascii="宋体" w:hAnsi="宋体" w:cs="宋体"/>
          <w:color w:val="auto"/>
          <w:szCs w:val="21"/>
          <w:highlight w:val="none"/>
          <w:lang w:bidi="ar"/>
        </w:rPr>
        <w:t xml:space="preserve">》中各项要求有何不同，并说明其符合性（优于、 </w:t>
      </w:r>
    </w:p>
    <w:p>
      <w:pPr>
        <w:jc w:val="left"/>
        <w:rPr>
          <w:color w:val="auto"/>
          <w:highlight w:val="none"/>
        </w:rPr>
      </w:pPr>
      <w:r>
        <w:rPr>
          <w:rFonts w:hint="eastAsia" w:ascii="宋体" w:hAnsi="宋体" w:cs="宋体"/>
          <w:color w:val="auto"/>
          <w:szCs w:val="21"/>
          <w:highlight w:val="none"/>
          <w:lang w:bidi="ar"/>
        </w:rPr>
        <w:t>或低于《</w:t>
      </w:r>
      <w:r>
        <w:rPr>
          <w:rFonts w:hint="eastAsia" w:ascii="宋体" w:hAnsi="宋体" w:cs="宋体"/>
          <w:color w:val="auto"/>
          <w:szCs w:val="21"/>
          <w:highlight w:val="none"/>
          <w:lang w:eastAsia="zh-CN" w:bidi="ar"/>
        </w:rPr>
        <w:t>磋商文件</w:t>
      </w:r>
      <w:r>
        <w:rPr>
          <w:rFonts w:hint="eastAsia" w:ascii="宋体" w:hAnsi="宋体" w:cs="宋体"/>
          <w:color w:val="auto"/>
          <w:szCs w:val="21"/>
          <w:highlight w:val="none"/>
          <w:lang w:bidi="ar"/>
        </w:rPr>
        <w:t xml:space="preserve">》要求）。 </w:t>
      </w:r>
    </w:p>
    <w:p>
      <w:pPr>
        <w:jc w:val="left"/>
        <w:rPr>
          <w:color w:val="auto"/>
          <w:highlight w:val="none"/>
        </w:rPr>
      </w:pPr>
      <w:r>
        <w:rPr>
          <w:rFonts w:hint="eastAsia" w:ascii="宋体" w:hAnsi="宋体" w:cs="宋体"/>
          <w:color w:val="auto"/>
          <w:szCs w:val="21"/>
          <w:highlight w:val="none"/>
          <w:lang w:bidi="ar"/>
        </w:rPr>
        <w:t>2、如投标条款与《</w:t>
      </w:r>
      <w:r>
        <w:rPr>
          <w:rFonts w:hint="eastAsia" w:ascii="宋体" w:hAnsi="宋体" w:cs="宋体"/>
          <w:color w:val="auto"/>
          <w:szCs w:val="21"/>
          <w:highlight w:val="none"/>
          <w:lang w:eastAsia="zh-CN" w:bidi="ar"/>
        </w:rPr>
        <w:t>磋商文件</w:t>
      </w:r>
      <w:r>
        <w:rPr>
          <w:rFonts w:hint="eastAsia" w:ascii="宋体" w:hAnsi="宋体" w:cs="宋体"/>
          <w:color w:val="auto"/>
          <w:szCs w:val="21"/>
          <w:highlight w:val="none"/>
          <w:lang w:bidi="ar"/>
        </w:rPr>
        <w:t>》要求一致，仍需在本表填列“与《</w:t>
      </w:r>
      <w:r>
        <w:rPr>
          <w:rFonts w:hint="eastAsia" w:ascii="宋体" w:hAnsi="宋体" w:cs="宋体"/>
          <w:color w:val="auto"/>
          <w:szCs w:val="21"/>
          <w:highlight w:val="none"/>
          <w:lang w:eastAsia="zh-CN" w:bidi="ar"/>
        </w:rPr>
        <w:t>磋商文件</w:t>
      </w:r>
      <w:r>
        <w:rPr>
          <w:rFonts w:hint="eastAsia" w:ascii="宋体" w:hAnsi="宋体" w:cs="宋体"/>
          <w:color w:val="auto"/>
          <w:szCs w:val="21"/>
          <w:highlight w:val="none"/>
          <w:lang w:bidi="ar"/>
        </w:rPr>
        <w:t xml:space="preserve">》所有条款要求 </w:t>
      </w:r>
    </w:p>
    <w:p>
      <w:pPr>
        <w:jc w:val="left"/>
        <w:rPr>
          <w:color w:val="auto"/>
          <w:highlight w:val="none"/>
        </w:rPr>
      </w:pPr>
      <w:r>
        <w:rPr>
          <w:rFonts w:hint="eastAsia" w:ascii="宋体" w:hAnsi="宋体" w:cs="宋体"/>
          <w:color w:val="auto"/>
          <w:szCs w:val="21"/>
          <w:highlight w:val="none"/>
          <w:lang w:bidi="ar"/>
        </w:rPr>
        <w:t>一致，无偏差”字样。</w:t>
      </w:r>
    </w:p>
    <w:p>
      <w:pPr>
        <w:widowControl w:val="0"/>
        <w:tabs>
          <w:tab w:val="left" w:pos="9365"/>
        </w:tabs>
        <w:snapToGrid w:val="0"/>
        <w:spacing w:after="56" w:line="560" w:lineRule="exact"/>
        <w:ind w:right="85"/>
        <w:jc w:val="left"/>
        <w:textAlignment w:val="top"/>
        <w:rPr>
          <w:rFonts w:ascii="宋体" w:hAnsi="宋体" w:cs="宋体"/>
          <w:color w:val="auto"/>
          <w:sz w:val="24"/>
          <w:highlight w:val="none"/>
        </w:rPr>
      </w:pP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pPr>
        <w:widowControl w:val="0"/>
        <w:tabs>
          <w:tab w:val="left" w:pos="9365"/>
        </w:tabs>
        <w:snapToGrid w:val="0"/>
        <w:spacing w:after="56" w:line="560" w:lineRule="exact"/>
        <w:ind w:right="56"/>
        <w:jc w:val="left"/>
        <w:textAlignment w:val="top"/>
        <w:rPr>
          <w:rFonts w:ascii="宋体" w:hAnsi="宋体" w:cs="宋体"/>
          <w:color w:val="auto"/>
          <w:highlight w:val="none"/>
        </w:rPr>
      </w:pPr>
      <w:r>
        <w:rPr>
          <w:rFonts w:hint="eastAsia" w:ascii="宋体" w:hAnsi="宋体" w:cs="宋体"/>
          <w:color w:val="auto"/>
          <w:sz w:val="24"/>
          <w:highlight w:val="none"/>
          <w:lang w:val="zh-CN"/>
        </w:rPr>
        <w:t>日期：   年   月   日</w:t>
      </w:r>
    </w:p>
    <w:p>
      <w:pPr>
        <w:tabs>
          <w:tab w:val="left" w:pos="540"/>
        </w:tabs>
        <w:spacing w:line="440" w:lineRule="exact"/>
        <w:jc w:val="center"/>
        <w:rPr>
          <w:rFonts w:ascii="宋体" w:hAnsi="宋体" w:cs="宋体"/>
          <w:color w:val="auto"/>
          <w:sz w:val="28"/>
          <w:highlight w:val="none"/>
        </w:rPr>
      </w:pPr>
      <w:r>
        <w:rPr>
          <w:rFonts w:hint="eastAsia" w:ascii="宋体" w:hAnsi="宋体" w:cs="宋体"/>
          <w:color w:val="auto"/>
          <w:sz w:val="28"/>
          <w:highlight w:val="none"/>
        </w:rPr>
        <w:br w:type="page"/>
      </w:r>
      <w:bookmarkStart w:id="78" w:name="OLE_LINK28"/>
    </w:p>
    <w:p>
      <w:pPr>
        <w:pStyle w:val="18"/>
        <w:adjustRightInd w:val="0"/>
        <w:snapToGrid w:val="0"/>
        <w:spacing w:before="0" w:beforeAutospacing="0" w:after="0" w:afterAutospacing="0"/>
        <w:rPr>
          <w:b/>
          <w:color w:val="auto"/>
          <w:highlight w:val="none"/>
        </w:rPr>
      </w:pPr>
    </w:p>
    <w:p>
      <w:pPr>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七、关于资格的声明函</w:t>
      </w:r>
      <w:bookmarkEnd w:id="78"/>
    </w:p>
    <w:p>
      <w:pPr>
        <w:pStyle w:val="18"/>
        <w:adjustRightInd w:val="0"/>
        <w:snapToGrid w:val="0"/>
        <w:spacing w:before="0" w:beforeAutospacing="0" w:after="0" w:afterAutospacing="0"/>
        <w:rPr>
          <w:color w:val="auto"/>
          <w:highlight w:val="none"/>
        </w:rPr>
      </w:pPr>
    </w:p>
    <w:p>
      <w:pPr>
        <w:snapToGrid w:val="0"/>
        <w:spacing w:line="560" w:lineRule="exact"/>
        <w:rPr>
          <w:rFonts w:ascii="宋体" w:hAnsi="宋体" w:cs="宋体"/>
          <w:color w:val="auto"/>
          <w:sz w:val="24"/>
          <w:highlight w:val="none"/>
        </w:rPr>
      </w:pPr>
      <w:r>
        <w:rPr>
          <w:rFonts w:hint="eastAsia" w:ascii="宋体" w:hAnsi="宋体" w:cs="宋体"/>
          <w:color w:val="auto"/>
          <w:sz w:val="24"/>
          <w:highlight w:val="none"/>
          <w:lang w:eastAsia="zh-CN"/>
        </w:rPr>
        <w:t>河南仁厚工程实业有限公司</w:t>
      </w:r>
      <w:r>
        <w:rPr>
          <w:rFonts w:hint="eastAsia" w:ascii="宋体" w:hAnsi="宋体" w:cs="宋体"/>
          <w:color w:val="auto"/>
          <w:sz w:val="24"/>
          <w:highlight w:val="none"/>
        </w:rPr>
        <w:t>：</w:t>
      </w:r>
    </w:p>
    <w:p>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关于贵方项目编号为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的投标邀请，本签字人愿意参加投标，提供《</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》中规定的产品及服务，并声明提交下列文件是准确的、真实的和有效的。</w:t>
      </w:r>
    </w:p>
    <w:p>
      <w:pPr>
        <w:numPr>
          <w:ilvl w:val="0"/>
          <w:numId w:val="4"/>
        </w:num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》第一章“</w:t>
      </w:r>
      <w:r>
        <w:rPr>
          <w:rFonts w:hint="eastAsia" w:ascii="宋体" w:hAnsi="宋体" w:cs="宋体"/>
          <w:color w:val="auto"/>
          <w:sz w:val="24"/>
          <w:highlight w:val="none"/>
          <w:lang w:eastAsia="zh-CN"/>
        </w:rPr>
        <w:t>竞争性磋商公告</w:t>
      </w:r>
      <w:r>
        <w:rPr>
          <w:rFonts w:hint="eastAsia" w:ascii="宋体" w:hAnsi="宋体" w:cs="宋体"/>
          <w:color w:val="auto"/>
          <w:sz w:val="24"/>
          <w:highlight w:val="none"/>
        </w:rPr>
        <w:t>”第二条所要求的资格性证明文件（证件或证明资料或承诺）</w:t>
      </w:r>
    </w:p>
    <w:p>
      <w:pPr>
        <w:numPr>
          <w:ilvl w:val="0"/>
          <w:numId w:val="4"/>
        </w:num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 xml:space="preserve"> 采购项目中必须的其他证件。</w:t>
      </w:r>
    </w:p>
    <w:p>
      <w:pPr>
        <w:snapToGrid w:val="0"/>
        <w:spacing w:line="560" w:lineRule="exact"/>
        <w:ind w:firstLine="555"/>
        <w:rPr>
          <w:rFonts w:ascii="宋体" w:hAnsi="宋体" w:cs="宋体"/>
          <w:color w:val="auto"/>
          <w:sz w:val="24"/>
          <w:highlight w:val="none"/>
        </w:rPr>
      </w:pPr>
      <w:r>
        <w:rPr>
          <w:rFonts w:hint="eastAsia" w:ascii="宋体" w:hAnsi="宋体" w:cs="宋体"/>
          <w:color w:val="auto"/>
          <w:sz w:val="24"/>
          <w:highlight w:val="none"/>
        </w:rPr>
        <w:t>3. 本签字人确认资格文件中的说明是真实的、准确的。</w:t>
      </w:r>
    </w:p>
    <w:p>
      <w:pPr>
        <w:snapToGrid w:val="0"/>
        <w:spacing w:line="560" w:lineRule="exact"/>
        <w:ind w:firstLine="555"/>
        <w:rPr>
          <w:rFonts w:ascii="宋体" w:hAnsi="宋体" w:cs="宋体"/>
          <w:color w:val="auto"/>
          <w:sz w:val="24"/>
          <w:highlight w:val="none"/>
        </w:rPr>
      </w:pPr>
    </w:p>
    <w:p>
      <w:pPr>
        <w:snapToGrid w:val="0"/>
        <w:spacing w:line="560" w:lineRule="exact"/>
        <w:ind w:firstLine="555"/>
        <w:rPr>
          <w:rFonts w:ascii="宋体" w:hAnsi="宋体" w:cs="宋体"/>
          <w:color w:val="auto"/>
          <w:sz w:val="24"/>
          <w:highlight w:val="none"/>
        </w:rPr>
      </w:pPr>
    </w:p>
    <w:p>
      <w:pPr>
        <w:snapToGrid w:val="0"/>
        <w:spacing w:line="560" w:lineRule="exact"/>
        <w:ind w:firstLine="555"/>
        <w:rPr>
          <w:rFonts w:ascii="宋体" w:hAnsi="宋体" w:cs="宋体"/>
          <w:color w:val="auto"/>
          <w:sz w:val="24"/>
          <w:highlight w:val="none"/>
        </w:rPr>
      </w:pPr>
    </w:p>
    <w:p>
      <w:pPr>
        <w:snapToGrid w:val="0"/>
        <w:spacing w:line="560" w:lineRule="exact"/>
        <w:ind w:firstLine="555"/>
        <w:rPr>
          <w:rFonts w:ascii="宋体" w:hAnsi="宋体" w:cs="宋体"/>
          <w:color w:val="auto"/>
          <w:sz w:val="24"/>
          <w:highlight w:val="none"/>
        </w:rPr>
      </w:pP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pPr>
        <w:snapToGrid w:val="0"/>
        <w:spacing w:line="560" w:lineRule="exact"/>
        <w:rPr>
          <w:rFonts w:ascii="宋体" w:hAnsi="宋体" w:cs="宋体"/>
          <w:color w:val="auto"/>
          <w:sz w:val="24"/>
          <w:highlight w:val="none"/>
        </w:rPr>
      </w:pPr>
    </w:p>
    <w:p>
      <w:pPr>
        <w:snapToGrid w:val="0"/>
        <w:spacing w:line="560" w:lineRule="exact"/>
        <w:ind w:firstLine="555"/>
        <w:rPr>
          <w:rFonts w:ascii="宋体" w:hAnsi="宋体" w:cs="宋体"/>
          <w:color w:val="auto"/>
          <w:sz w:val="24"/>
          <w:highlight w:val="none"/>
        </w:rPr>
      </w:pPr>
    </w:p>
    <w:p>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r>
        <w:rPr>
          <w:rFonts w:hint="eastAsia" w:ascii="宋体" w:hAnsi="宋体" w:cs="宋体"/>
          <w:color w:val="auto"/>
          <w:sz w:val="24"/>
          <w:highlight w:val="none"/>
        </w:rPr>
        <w:t xml:space="preserve">   </w:t>
      </w:r>
    </w:p>
    <w:p>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pPr>
        <w:pStyle w:val="8"/>
        <w:ind w:firstLine="480"/>
        <w:rPr>
          <w:rFonts w:ascii="宋体" w:hAnsi="宋体" w:cs="宋体"/>
          <w:color w:val="auto"/>
          <w:sz w:val="24"/>
          <w:highlight w:val="none"/>
        </w:rPr>
      </w:pPr>
    </w:p>
    <w:p>
      <w:pPr>
        <w:pStyle w:val="2"/>
        <w:rPr>
          <w:color w:val="auto"/>
          <w:highlight w:val="none"/>
        </w:rPr>
      </w:pPr>
    </w:p>
    <w:p>
      <w:pPr>
        <w:widowControl w:val="0"/>
        <w:tabs>
          <w:tab w:val="left" w:pos="9365"/>
        </w:tabs>
        <w:snapToGrid w:val="0"/>
        <w:spacing w:after="56" w:line="560" w:lineRule="exact"/>
        <w:ind w:right="85"/>
        <w:jc w:val="center"/>
        <w:textAlignment w:val="top"/>
        <w:rPr>
          <w:rFonts w:ascii="宋体" w:hAnsi="宋体" w:cs="宋体"/>
          <w:color w:val="auto"/>
          <w:sz w:val="24"/>
          <w:highlight w:val="none"/>
        </w:rPr>
      </w:pPr>
    </w:p>
    <w:p>
      <w:pPr>
        <w:widowControl w:val="0"/>
        <w:tabs>
          <w:tab w:val="left" w:pos="9365"/>
        </w:tabs>
        <w:snapToGrid w:val="0"/>
        <w:spacing w:after="56" w:line="560" w:lineRule="exact"/>
        <w:ind w:right="85" w:firstLine="2711" w:firstLineChars="900"/>
        <w:textAlignment w:val="top"/>
        <w:rPr>
          <w:rFonts w:ascii="宋体" w:hAnsi="宋体" w:cs="宋体"/>
          <w:b/>
          <w:color w:val="auto"/>
          <w:sz w:val="30"/>
          <w:szCs w:val="30"/>
          <w:highlight w:val="none"/>
        </w:rPr>
      </w:pPr>
      <w:r>
        <w:rPr>
          <w:rFonts w:hint="eastAsia" w:ascii="宋体" w:hAnsi="宋体" w:cs="宋体"/>
          <w:b/>
          <w:color w:val="auto"/>
          <w:sz w:val="30"/>
          <w:szCs w:val="30"/>
          <w:highlight w:val="none"/>
        </w:rPr>
        <w:t>八、反商业贿赂承诺书</w:t>
      </w:r>
    </w:p>
    <w:p>
      <w:pPr>
        <w:pStyle w:val="18"/>
        <w:adjustRightInd w:val="0"/>
        <w:snapToGrid w:val="0"/>
        <w:spacing w:before="0" w:beforeAutospacing="0" w:after="0" w:afterAutospacing="0"/>
        <w:rPr>
          <w:b/>
          <w:color w:val="auto"/>
          <w:highlight w:val="none"/>
        </w:rPr>
      </w:pPr>
    </w:p>
    <w:p>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我公司承诺：</w:t>
      </w:r>
    </w:p>
    <w:p>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在采购活动中，我公司保证做到：</w:t>
      </w:r>
    </w:p>
    <w:p>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一、公平竞争参加本次采购活动。</w:t>
      </w:r>
    </w:p>
    <w:p>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line="560" w:lineRule="atLeast"/>
        <w:ind w:right="56" w:firstLine="555"/>
        <w:rPr>
          <w:rFonts w:ascii="宋体" w:hAnsi="宋体" w:cs="宋体"/>
          <w:color w:val="auto"/>
          <w:sz w:val="24"/>
          <w:highlight w:val="none"/>
        </w:rPr>
      </w:pPr>
      <w:r>
        <w:rPr>
          <w:rFonts w:hint="eastAsia" w:ascii="宋体" w:hAnsi="宋体" w:cs="宋体"/>
          <w:color w:val="auto"/>
          <w:sz w:val="24"/>
          <w:highlight w:val="none"/>
        </w:rPr>
        <w:t>三、若出现上述行为，我公司及其参与投标的工作人员愿意接受按照国家法律法规等有关规定给予的处罚。</w:t>
      </w:r>
    </w:p>
    <w:p>
      <w:pPr>
        <w:snapToGrid w:val="0"/>
        <w:spacing w:line="560" w:lineRule="atLeast"/>
        <w:ind w:right="56" w:firstLine="555"/>
        <w:rPr>
          <w:rFonts w:ascii="宋体" w:hAnsi="宋体" w:cs="宋体"/>
          <w:color w:val="auto"/>
          <w:sz w:val="24"/>
          <w:highlight w:val="none"/>
        </w:rPr>
      </w:pPr>
    </w:p>
    <w:p>
      <w:pPr>
        <w:snapToGrid w:val="0"/>
        <w:spacing w:line="560" w:lineRule="atLeast"/>
        <w:ind w:right="56" w:firstLine="555"/>
        <w:rPr>
          <w:rFonts w:ascii="宋体" w:hAnsi="宋体" w:cs="宋体"/>
          <w:color w:val="auto"/>
          <w:sz w:val="24"/>
          <w:highlight w:val="none"/>
        </w:rPr>
      </w:pPr>
    </w:p>
    <w:p>
      <w:pPr>
        <w:snapToGrid w:val="0"/>
        <w:spacing w:line="560" w:lineRule="atLeast"/>
        <w:ind w:right="56" w:firstLine="555"/>
        <w:rPr>
          <w:rFonts w:ascii="宋体" w:hAnsi="宋体" w:cs="宋体"/>
          <w:color w:val="auto"/>
          <w:sz w:val="24"/>
          <w:highlight w:val="none"/>
        </w:rPr>
      </w:pPr>
    </w:p>
    <w:p>
      <w:pPr>
        <w:snapToGrid w:val="0"/>
        <w:spacing w:line="560" w:lineRule="atLeast"/>
        <w:ind w:right="56" w:firstLine="555"/>
        <w:rPr>
          <w:rFonts w:ascii="宋体" w:hAnsi="宋体" w:cs="宋体"/>
          <w:color w:val="auto"/>
          <w:sz w:val="24"/>
          <w:highlight w:val="none"/>
        </w:rPr>
      </w:pP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pPr>
        <w:tabs>
          <w:tab w:val="left" w:pos="540"/>
        </w:tabs>
        <w:spacing w:line="440" w:lineRule="exact"/>
        <w:jc w:val="center"/>
        <w:rPr>
          <w:rFonts w:ascii="宋体" w:hAnsi="宋体" w:cs="宋体"/>
          <w:color w:val="auto"/>
          <w:highlight w:val="none"/>
        </w:rPr>
      </w:pPr>
      <w:r>
        <w:rPr>
          <w:rFonts w:hint="eastAsia" w:ascii="宋体" w:hAnsi="宋体" w:cs="宋体"/>
          <w:color w:val="auto"/>
          <w:highlight w:val="none"/>
        </w:rPr>
        <w:br w:type="page"/>
      </w:r>
    </w:p>
    <w:p>
      <w:pPr>
        <w:pStyle w:val="18"/>
        <w:adjustRightInd w:val="0"/>
        <w:snapToGrid w:val="0"/>
        <w:spacing w:before="0" w:beforeAutospacing="0" w:after="0" w:afterAutospacing="0"/>
        <w:rPr>
          <w:b/>
          <w:color w:val="auto"/>
          <w:highlight w:val="none"/>
        </w:rPr>
      </w:pPr>
    </w:p>
    <w:p>
      <w:pPr>
        <w:tabs>
          <w:tab w:val="left" w:pos="540"/>
        </w:tabs>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九、</w:t>
      </w:r>
      <w:bookmarkStart w:id="79" w:name="OLE_LINK19"/>
      <w:r>
        <w:rPr>
          <w:rFonts w:hint="eastAsia" w:ascii="宋体" w:hAnsi="宋体" w:cs="宋体"/>
          <w:b/>
          <w:color w:val="auto"/>
          <w:sz w:val="30"/>
          <w:szCs w:val="30"/>
          <w:highlight w:val="none"/>
        </w:rPr>
        <w:t>履约承诺书</w:t>
      </w:r>
      <w:bookmarkEnd w:id="79"/>
    </w:p>
    <w:p>
      <w:pPr>
        <w:pStyle w:val="18"/>
        <w:adjustRightInd w:val="0"/>
        <w:snapToGrid w:val="0"/>
        <w:spacing w:before="0" w:beforeAutospacing="0" w:after="0" w:afterAutospacing="0"/>
        <w:rPr>
          <w:b/>
          <w:color w:val="auto"/>
          <w:highlight w:val="none"/>
        </w:rPr>
      </w:pPr>
    </w:p>
    <w:p>
      <w:pPr>
        <w:adjustRightInd w:val="0"/>
        <w:snapToGrid w:val="0"/>
        <w:spacing w:before="156" w:beforeLines="50" w:line="300" w:lineRule="auto"/>
        <w:ind w:right="56" w:firstLine="555"/>
        <w:rPr>
          <w:rFonts w:ascii="宋体" w:hAnsi="宋体" w:cs="宋体"/>
          <w:color w:val="auto"/>
          <w:sz w:val="24"/>
          <w:highlight w:val="none"/>
        </w:rPr>
      </w:pPr>
      <w:r>
        <w:rPr>
          <w:rFonts w:hint="eastAsia" w:ascii="宋体" w:hAnsi="宋体" w:cs="宋体"/>
          <w:color w:val="auto"/>
          <w:sz w:val="24"/>
          <w:highlight w:val="none"/>
        </w:rPr>
        <w:t>一、我单位承诺：</w:t>
      </w:r>
    </w:p>
    <w:p>
      <w:pPr>
        <w:adjustRightInd w:val="0"/>
        <w:snapToGrid w:val="0"/>
        <w:spacing w:before="156" w:beforeLines="50" w:line="300" w:lineRule="auto"/>
        <w:ind w:firstLine="555"/>
        <w:rPr>
          <w:rFonts w:ascii="宋体" w:hAnsi="宋体" w:cs="宋体"/>
          <w:color w:val="auto"/>
          <w:sz w:val="24"/>
          <w:highlight w:val="none"/>
        </w:rPr>
      </w:pPr>
      <w:r>
        <w:rPr>
          <w:rFonts w:hint="eastAsia" w:ascii="宋体" w:hAnsi="宋体" w:cs="宋体"/>
          <w:color w:val="auto"/>
          <w:sz w:val="24"/>
          <w:highlight w:val="none"/>
        </w:rPr>
        <w:t>（一）我单位已详细阅读并完全理解、同意《</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》的全部内容，包括修改补充文件以及全部参考资料和有关附件；除我单位在《</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》规定期间内书面提出的疑问外，我单位放弃对这方面不明及误解的权力，并严格按采购人确定的技术及商务要求等履行。</w:t>
      </w: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（二）我单位《响应文件》开启前已详细勘察现场，并按采购人现场条件及采购要求编制谈判报价；我单位的谈判报价括《</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》所述报价组成的所有内容、并包括《</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》未列明而与采购项目相关的、必须的所有款项及费用等达到交付使用及验收条件的所有一切风险、责任和义务的费用。</w:t>
      </w: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我单位保证按《</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》要求及投标承诺的质量诚信履约。</w:t>
      </w: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（三）我单位保证在《</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要求的时间内按期、保质完成中标项目。我单位在推荐中标结果公示后，将积极、主动的与采购人联系合同签订事宜，合同签订中如有任何的问题，我单位保证及时书面反映情况，否则视为我单位责任、按违约处理。</w:t>
      </w: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二、我单位承诺：</w:t>
      </w: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除法律规定的不可抗力因素外，我单位中标后以任何理由（包括违背上述承诺的事项）提出不能满足《</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》技术、交验期等要求或不能实现投标承诺的或提出变更的，我单位将无条件接受违约处理、并放弃我单位中标资格。我单位知悉违约责任及其处理，并无条件接受：</w:t>
      </w:r>
      <w:r>
        <w:rPr>
          <w:rFonts w:hint="eastAsia" w:ascii="宋体" w:hAnsi="宋体" w:cs="宋体"/>
          <w:color w:val="auto"/>
          <w:sz w:val="24"/>
          <w:szCs w:val="24"/>
          <w:highlight w:val="none"/>
        </w:rPr>
        <w:t>依据</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“第三章 3.5.5 违背承诺的责任追究措施”，供应商承担相应法律责任及违约责任</w:t>
      </w:r>
      <w:r>
        <w:rPr>
          <w:rFonts w:hint="eastAsia" w:ascii="宋体" w:hAnsi="宋体" w:cs="宋体"/>
          <w:color w:val="auto"/>
          <w:sz w:val="24"/>
          <w:highlight w:val="none"/>
        </w:rPr>
        <w:t>；情节严重的，由财政部门列入不良行为记录名单，在一至三年内禁止参加政府采购活动，并予以通报，处以罚金，给采购人及他人造成损失的，承担相应的赔偿责任。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p>
    <w:p>
      <w:pPr>
        <w:tabs>
          <w:tab w:val="left" w:pos="9354"/>
        </w:tabs>
        <w:adjustRightInd w:val="0"/>
        <w:snapToGrid w:val="0"/>
        <w:spacing w:before="156" w:beforeLines="50" w:line="300" w:lineRule="auto"/>
        <w:ind w:firstLine="480" w:firstLineChars="200"/>
        <w:rPr>
          <w:rFonts w:ascii="宋体" w:hAnsi="宋体" w:cs="宋体"/>
          <w:color w:val="auto"/>
          <w:sz w:val="24"/>
          <w:highlight w:val="none"/>
        </w:rPr>
      </w:pP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（电子签章）：</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法定代表人（电子签名）：</w:t>
      </w:r>
    </w:p>
    <w:p>
      <w:pPr>
        <w:widowControl w:val="0"/>
        <w:tabs>
          <w:tab w:val="left" w:pos="9365"/>
        </w:tabs>
        <w:snapToGrid w:val="0"/>
        <w:spacing w:after="56" w:line="560" w:lineRule="exact"/>
        <w:ind w:right="85"/>
        <w:jc w:val="left"/>
        <w:textAlignment w:val="top"/>
        <w:rPr>
          <w:rFonts w:ascii="宋体" w:hAnsi="宋体" w:cs="宋体"/>
          <w:color w:val="auto"/>
          <w:sz w:val="24"/>
          <w:szCs w:val="24"/>
          <w:highlight w:val="none"/>
        </w:rPr>
      </w:pPr>
      <w:r>
        <w:rPr>
          <w:rFonts w:hint="eastAsia" w:ascii="宋体" w:hAnsi="宋体" w:cs="宋体"/>
          <w:color w:val="auto"/>
          <w:spacing w:val="8"/>
          <w:sz w:val="24"/>
          <w:highlight w:val="none"/>
        </w:rPr>
        <w:t>日期 ：</w:t>
      </w:r>
      <w:r>
        <w:rPr>
          <w:rFonts w:hint="eastAsia" w:ascii="宋体" w:hAnsi="宋体" w:cs="宋体"/>
          <w:color w:val="auto"/>
          <w:sz w:val="24"/>
          <w:highlight w:val="none"/>
          <w:lang w:val="zh-CN"/>
        </w:rPr>
        <w:t xml:space="preserve">   年   月   日</w:t>
      </w:r>
    </w:p>
    <w:p>
      <w:pPr>
        <w:autoSpaceDE w:val="0"/>
        <w:autoSpaceDN w:val="0"/>
        <w:adjustRightInd w:val="0"/>
        <w:spacing w:line="360" w:lineRule="auto"/>
        <w:rPr>
          <w:rFonts w:ascii="宋体" w:hAnsi="宋体" w:cs="宋体"/>
          <w:b/>
          <w:color w:val="auto"/>
          <w:sz w:val="30"/>
          <w:szCs w:val="30"/>
          <w:highlight w:val="none"/>
          <w:lang w:val="zh-CN"/>
        </w:rPr>
      </w:pPr>
      <w:r>
        <w:rPr>
          <w:rFonts w:hint="eastAsia" w:ascii="宋体" w:hAnsi="宋体" w:cs="宋体"/>
          <w:b/>
          <w:bCs/>
          <w:color w:val="auto"/>
          <w:sz w:val="24"/>
          <w:highlight w:val="none"/>
          <w:lang w:val="zh-CN"/>
        </w:rPr>
        <w:br w:type="page"/>
      </w:r>
    </w:p>
    <w:p>
      <w:pPr>
        <w:pStyle w:val="18"/>
        <w:adjustRightInd w:val="0"/>
        <w:snapToGrid w:val="0"/>
        <w:spacing w:before="0" w:beforeAutospacing="0" w:after="0" w:afterAutospacing="0"/>
        <w:rPr>
          <w:b/>
          <w:color w:val="auto"/>
          <w:highlight w:val="none"/>
        </w:rPr>
      </w:pPr>
    </w:p>
    <w:p>
      <w:pPr>
        <w:autoSpaceDE w:val="0"/>
        <w:autoSpaceDN w:val="0"/>
        <w:adjustRightIn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十、资格要求相关证明材料</w:t>
      </w:r>
    </w:p>
    <w:p>
      <w:pPr>
        <w:autoSpaceDE w:val="0"/>
        <w:autoSpaceDN w:val="0"/>
        <w:adjustRightInd w:val="0"/>
        <w:spacing w:line="360" w:lineRule="auto"/>
        <w:jc w:val="center"/>
        <w:rPr>
          <w:rFonts w:ascii="宋体" w:hAnsi="宋体" w:cs="宋体"/>
          <w:color w:val="auto"/>
          <w:sz w:val="24"/>
          <w:szCs w:val="24"/>
          <w:highlight w:val="none"/>
        </w:rPr>
      </w:pPr>
    </w:p>
    <w:p>
      <w:pPr>
        <w:autoSpaceDE w:val="0"/>
        <w:autoSpaceDN w:val="0"/>
        <w:adjustRightInd w:val="0"/>
        <w:spacing w:line="360" w:lineRule="auto"/>
        <w:jc w:val="center"/>
        <w:rPr>
          <w:rFonts w:ascii="宋体"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请注意：未按公告要求逐一提交资格证明资料的将导致无效投标，为近期常见的因不仔细而缺少某一资格证明资料、导致无效，特此提醒】</w:t>
      </w:r>
    </w:p>
    <w:p>
      <w:pPr>
        <w:autoSpaceDE w:val="0"/>
        <w:autoSpaceDN w:val="0"/>
        <w:adjustRightInd w:val="0"/>
        <w:spacing w:line="360" w:lineRule="auto"/>
        <w:jc w:val="center"/>
        <w:rPr>
          <w:rFonts w:ascii="宋体" w:hAnsi="宋体" w:cs="宋体"/>
          <w:color w:val="auto"/>
          <w:sz w:val="24"/>
          <w:szCs w:val="24"/>
          <w:highlight w:val="none"/>
        </w:rPr>
      </w:pPr>
    </w:p>
    <w:p>
      <w:pPr>
        <w:spacing w:line="588" w:lineRule="exact"/>
        <w:jc w:val="left"/>
        <w:rPr>
          <w:rFonts w:ascii="宋体" w:hAnsi="宋体" w:cs="宋体"/>
          <w:color w:val="auto"/>
          <w:szCs w:val="21"/>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请注意：未按</w:t>
      </w:r>
      <w:r>
        <w:rPr>
          <w:rFonts w:hint="eastAsia" w:ascii="宋体" w:hAnsi="宋体" w:cs="宋体"/>
          <w:b/>
          <w:color w:val="auto"/>
          <w:sz w:val="24"/>
          <w:szCs w:val="24"/>
          <w:highlight w:val="none"/>
          <w:lang w:eastAsia="zh-CN"/>
        </w:rPr>
        <w:t>竞争性磋商公告</w:t>
      </w:r>
      <w:r>
        <w:rPr>
          <w:rFonts w:hint="eastAsia" w:ascii="宋体" w:hAnsi="宋体" w:cs="宋体"/>
          <w:b/>
          <w:color w:val="auto"/>
          <w:sz w:val="24"/>
          <w:szCs w:val="24"/>
          <w:highlight w:val="none"/>
        </w:rPr>
        <w:t>要求电子签名&lt;签章&gt;的将导致无效投标，特此提醒】</w:t>
      </w:r>
      <w:r>
        <w:rPr>
          <w:rFonts w:hint="eastAsia" w:ascii="宋体" w:hAnsi="宋体" w:cs="宋体"/>
          <w:color w:val="auto"/>
          <w:sz w:val="24"/>
          <w:highlight w:val="none"/>
        </w:rPr>
        <w:t xml:space="preserve"> </w:t>
      </w:r>
    </w:p>
    <w:p>
      <w:pPr>
        <w:widowControl w:val="0"/>
        <w:tabs>
          <w:tab w:val="left" w:pos="9365"/>
        </w:tabs>
        <w:snapToGrid w:val="0"/>
        <w:spacing w:after="56" w:line="560" w:lineRule="exact"/>
        <w:ind w:right="85"/>
        <w:textAlignment w:val="top"/>
        <w:rPr>
          <w:rFonts w:ascii="宋体" w:hAnsi="宋体" w:cs="宋体"/>
          <w:color w:val="auto"/>
          <w:sz w:val="24"/>
          <w:highlight w:val="none"/>
        </w:rPr>
      </w:pPr>
      <w:r>
        <w:rPr>
          <w:rFonts w:hint="eastAsia" w:ascii="宋体" w:hAnsi="宋体" w:cs="宋体"/>
          <w:color w:val="auto"/>
          <w:sz w:val="24"/>
          <w:highlight w:val="none"/>
        </w:rPr>
        <w:br w:type="page"/>
      </w:r>
    </w:p>
    <w:p>
      <w:pPr>
        <w:pStyle w:val="18"/>
        <w:adjustRightInd w:val="0"/>
        <w:snapToGrid w:val="0"/>
        <w:spacing w:before="0" w:beforeAutospacing="0" w:after="0" w:afterAutospacing="0"/>
        <w:rPr>
          <w:b/>
          <w:color w:val="auto"/>
          <w:highlight w:val="none"/>
        </w:rPr>
      </w:pPr>
    </w:p>
    <w:p>
      <w:pPr>
        <w:spacing w:line="588" w:lineRule="exact"/>
        <w:jc w:val="center"/>
        <w:rPr>
          <w:rFonts w:ascii="宋体" w:hAnsi="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cs="宋体"/>
          <w:b/>
          <w:color w:val="auto"/>
          <w:sz w:val="30"/>
          <w:szCs w:val="30"/>
          <w:highlight w:val="none"/>
        </w:rPr>
        <w:t>中小企业声明函</w:t>
      </w:r>
    </w:p>
    <w:p>
      <w:pPr>
        <w:pStyle w:val="18"/>
        <w:adjustRightInd w:val="0"/>
        <w:snapToGrid w:val="0"/>
        <w:spacing w:before="0" w:beforeAutospacing="0" w:after="0" w:afterAutospacing="0"/>
        <w:rPr>
          <w:b/>
          <w:color w:val="auto"/>
          <w:highlight w:val="none"/>
        </w:rPr>
      </w:pP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szCs w:val="24"/>
          <w:highlight w:val="none"/>
          <w:u w:val="single"/>
        </w:rPr>
        <w:t>（单位名称）</w:t>
      </w:r>
      <w:r>
        <w:rPr>
          <w:rFonts w:hint="eastAsia" w:ascii="宋体" w:hAnsi="宋体" w:cs="宋体"/>
          <w:color w:val="auto"/>
          <w:spacing w:val="6"/>
          <w:sz w:val="24"/>
          <w:szCs w:val="24"/>
          <w:highlight w:val="none"/>
        </w:rPr>
        <w:t>的</w:t>
      </w:r>
      <w:r>
        <w:rPr>
          <w:rFonts w:hint="eastAsia" w:ascii="宋体" w:hAnsi="宋体" w:cs="宋体"/>
          <w:color w:val="auto"/>
          <w:spacing w:val="6"/>
          <w:sz w:val="24"/>
          <w:szCs w:val="24"/>
          <w:highlight w:val="none"/>
          <w:u w:val="single"/>
        </w:rPr>
        <w:t>（项目名称）</w:t>
      </w:r>
      <w:r>
        <w:rPr>
          <w:rFonts w:hint="eastAsia" w:ascii="宋体" w:hAnsi="宋体" w:cs="宋体"/>
          <w:color w:val="auto"/>
          <w:spacing w:val="6"/>
          <w:sz w:val="24"/>
          <w:szCs w:val="24"/>
          <w:highlight w:val="none"/>
        </w:rPr>
        <w:t>采购活动，提供的货物全部由符合政策要求的中小企业制造。相关企业 (含联合体中的中小企业、签订分包意向协议的中小企业）的具体情况如下：</w:t>
      </w: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w:t>
      </w:r>
      <w:r>
        <w:rPr>
          <w:rFonts w:hint="eastAsia" w:ascii="宋体" w:hAnsi="宋体" w:cs="宋体"/>
          <w:color w:val="auto"/>
          <w:spacing w:val="6"/>
          <w:sz w:val="24"/>
          <w:szCs w:val="24"/>
          <w:highlight w:val="none"/>
          <w:u w:val="single"/>
        </w:rPr>
        <w:t>(标的名称)</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（采购文件中明确的所属行业)</w:t>
      </w:r>
      <w:r>
        <w:rPr>
          <w:rFonts w:hint="eastAsia" w:ascii="宋体" w:hAnsi="宋体" w:cs="宋体"/>
          <w:color w:val="auto"/>
          <w:spacing w:val="6"/>
          <w:sz w:val="24"/>
          <w:szCs w:val="24"/>
          <w:highlight w:val="none"/>
        </w:rPr>
        <w:t>行业， 制造商为</w:t>
      </w:r>
      <w:r>
        <w:rPr>
          <w:rFonts w:hint="eastAsia" w:ascii="宋体" w:hAnsi="宋体" w:cs="宋体"/>
          <w:color w:val="auto"/>
          <w:spacing w:val="6"/>
          <w:sz w:val="24"/>
          <w:szCs w:val="24"/>
          <w:highlight w:val="none"/>
          <w:u w:val="single"/>
        </w:rPr>
        <w:t>（企业名称)</w:t>
      </w:r>
      <w:r>
        <w:rPr>
          <w:rFonts w:hint="eastAsia" w:ascii="宋体" w:hAnsi="宋体" w:cs="宋体"/>
          <w:color w:val="auto"/>
          <w:spacing w:val="6"/>
          <w:sz w:val="24"/>
          <w:szCs w:val="24"/>
          <w:highlight w:val="none"/>
        </w:rPr>
        <w:t>，从业人员</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人，营业收入为</w:t>
      </w:r>
      <w:r>
        <w:rPr>
          <w:rFonts w:hint="eastAsia" w:ascii="宋体" w:hAnsi="宋体" w:cs="宋体"/>
          <w:color w:val="auto"/>
          <w:spacing w:val="6"/>
          <w:sz w:val="24"/>
          <w:szCs w:val="24"/>
          <w:highlight w:val="none"/>
          <w:u w:val="single"/>
        </w:rPr>
        <w:t xml:space="preserve">_  </w:t>
      </w:r>
      <w:r>
        <w:rPr>
          <w:rFonts w:hint="eastAsia" w:ascii="宋体" w:hAnsi="宋体" w:cs="宋体"/>
          <w:color w:val="auto"/>
          <w:spacing w:val="6"/>
          <w:sz w:val="24"/>
          <w:szCs w:val="24"/>
          <w:highlight w:val="none"/>
        </w:rPr>
        <w:t xml:space="preserve">万元，资产总额为 </w:t>
      </w:r>
      <w:r>
        <w:rPr>
          <w:rFonts w:hint="eastAsia" w:ascii="宋体" w:hAnsi="宋体" w:cs="宋体"/>
          <w:color w:val="auto"/>
          <w:spacing w:val="6"/>
          <w:sz w:val="24"/>
          <w:szCs w:val="24"/>
          <w:highlight w:val="none"/>
          <w:u w:val="single"/>
        </w:rPr>
        <w:t xml:space="preserve"> _</w:t>
      </w:r>
      <w:r>
        <w:rPr>
          <w:rFonts w:hint="eastAsia" w:ascii="宋体" w:hAnsi="宋体" w:cs="宋体"/>
          <w:color w:val="auto"/>
          <w:spacing w:val="6"/>
          <w:sz w:val="24"/>
          <w:szCs w:val="24"/>
          <w:highlight w:val="none"/>
        </w:rPr>
        <w:t>万元</w:t>
      </w:r>
      <w:r>
        <w:rPr>
          <w:rFonts w:hint="eastAsia" w:ascii="宋体" w:hAnsi="宋体" w:cs="宋体"/>
          <w:color w:val="auto"/>
          <w:spacing w:val="6"/>
          <w:sz w:val="24"/>
          <w:szCs w:val="24"/>
          <w:highlight w:val="none"/>
          <w:vertAlign w:val="superscript"/>
        </w:rPr>
        <w:t>1</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（中型企业、小 型企业、微型企业）</w:t>
      </w:r>
      <w:r>
        <w:rPr>
          <w:rFonts w:hint="eastAsia" w:ascii="宋体" w:hAnsi="宋体" w:cs="宋体"/>
          <w:color w:val="auto"/>
          <w:spacing w:val="6"/>
          <w:sz w:val="24"/>
          <w:szCs w:val="24"/>
          <w:highlight w:val="none"/>
        </w:rPr>
        <w:t>；</w:t>
      </w: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2. </w:t>
      </w:r>
      <w:r>
        <w:rPr>
          <w:rFonts w:hint="eastAsia" w:ascii="宋体" w:hAnsi="宋体" w:cs="宋体"/>
          <w:color w:val="auto"/>
          <w:spacing w:val="6"/>
          <w:sz w:val="24"/>
          <w:szCs w:val="24"/>
          <w:highlight w:val="none"/>
          <w:u w:val="single"/>
        </w:rPr>
        <w:t>(标的名称)</w:t>
      </w:r>
      <w:r>
        <w:rPr>
          <w:rFonts w:hint="eastAsia" w:ascii="宋体" w:hAnsi="宋体" w:cs="宋体"/>
          <w:color w:val="auto"/>
          <w:spacing w:val="6"/>
          <w:sz w:val="24"/>
          <w:szCs w:val="24"/>
          <w:highlight w:val="none"/>
        </w:rPr>
        <w:t>，属于</w:t>
      </w:r>
      <w:r>
        <w:rPr>
          <w:rFonts w:hint="eastAsia" w:ascii="宋体" w:hAnsi="宋体" w:cs="宋体"/>
          <w:color w:val="auto"/>
          <w:spacing w:val="6"/>
          <w:sz w:val="24"/>
          <w:szCs w:val="24"/>
          <w:highlight w:val="none"/>
          <w:u w:val="single"/>
        </w:rPr>
        <w:t>（采购文件中明确的所属行业)</w:t>
      </w:r>
      <w:r>
        <w:rPr>
          <w:rFonts w:hint="eastAsia" w:ascii="宋体" w:hAnsi="宋体" w:cs="宋体"/>
          <w:color w:val="auto"/>
          <w:spacing w:val="6"/>
          <w:sz w:val="24"/>
          <w:szCs w:val="24"/>
          <w:highlight w:val="none"/>
        </w:rPr>
        <w:t>行业， 制造商为</w:t>
      </w:r>
      <w:r>
        <w:rPr>
          <w:rFonts w:hint="eastAsia" w:ascii="宋体" w:hAnsi="宋体" w:cs="宋体"/>
          <w:color w:val="auto"/>
          <w:spacing w:val="6"/>
          <w:sz w:val="24"/>
          <w:szCs w:val="24"/>
          <w:highlight w:val="none"/>
          <w:u w:val="single"/>
        </w:rPr>
        <w:t>（企业名称)</w:t>
      </w:r>
      <w:r>
        <w:rPr>
          <w:rFonts w:hint="eastAsia" w:ascii="宋体" w:hAnsi="宋体" w:cs="宋体"/>
          <w:color w:val="auto"/>
          <w:spacing w:val="6"/>
          <w:sz w:val="24"/>
          <w:szCs w:val="24"/>
          <w:highlight w:val="none"/>
        </w:rPr>
        <w:t>，从业人员</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人，营业收入为</w:t>
      </w:r>
      <w:r>
        <w:rPr>
          <w:rFonts w:hint="eastAsia" w:ascii="宋体" w:hAnsi="宋体" w:cs="宋体"/>
          <w:color w:val="auto"/>
          <w:spacing w:val="6"/>
          <w:sz w:val="24"/>
          <w:szCs w:val="24"/>
          <w:highlight w:val="none"/>
          <w:u w:val="single"/>
        </w:rPr>
        <w:t xml:space="preserve">_  </w:t>
      </w:r>
      <w:r>
        <w:rPr>
          <w:rFonts w:hint="eastAsia" w:ascii="宋体" w:hAnsi="宋体" w:cs="宋体"/>
          <w:color w:val="auto"/>
          <w:spacing w:val="6"/>
          <w:sz w:val="24"/>
          <w:szCs w:val="24"/>
          <w:highlight w:val="none"/>
        </w:rPr>
        <w:t xml:space="preserve">万元，资产总额为 </w:t>
      </w:r>
      <w:r>
        <w:rPr>
          <w:rFonts w:hint="eastAsia" w:ascii="宋体" w:hAnsi="宋体" w:cs="宋体"/>
          <w:color w:val="auto"/>
          <w:spacing w:val="6"/>
          <w:sz w:val="24"/>
          <w:szCs w:val="24"/>
          <w:highlight w:val="none"/>
          <w:u w:val="single"/>
        </w:rPr>
        <w:t xml:space="preserve"> _</w:t>
      </w:r>
      <w:r>
        <w:rPr>
          <w:rFonts w:hint="eastAsia" w:ascii="宋体" w:hAnsi="宋体" w:cs="宋体"/>
          <w:color w:val="auto"/>
          <w:spacing w:val="6"/>
          <w:sz w:val="24"/>
          <w:szCs w:val="24"/>
          <w:highlight w:val="none"/>
        </w:rPr>
        <w:t>万元，属于</w:t>
      </w:r>
      <w:r>
        <w:rPr>
          <w:rFonts w:hint="eastAsia" w:ascii="宋体" w:hAnsi="宋体" w:cs="宋体"/>
          <w:color w:val="auto"/>
          <w:spacing w:val="6"/>
          <w:sz w:val="24"/>
          <w:szCs w:val="24"/>
          <w:highlight w:val="none"/>
          <w:u w:val="single"/>
        </w:rPr>
        <w:t>（中型企业、小 型企业、微型企业）</w:t>
      </w:r>
      <w:r>
        <w:rPr>
          <w:rFonts w:hint="eastAsia" w:ascii="宋体" w:hAnsi="宋体" w:cs="宋体"/>
          <w:color w:val="auto"/>
          <w:spacing w:val="6"/>
          <w:sz w:val="24"/>
          <w:szCs w:val="24"/>
          <w:highlight w:val="none"/>
        </w:rPr>
        <w:t>；</w:t>
      </w: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本企业对上述声明内容的真实性负责。如有虚假，将依法承担相应责任。</w:t>
      </w:r>
    </w:p>
    <w:p>
      <w:pPr>
        <w:spacing w:line="588" w:lineRule="exact"/>
        <w:rPr>
          <w:rFonts w:ascii="宋体" w:hAnsi="宋体" w:cs="宋体"/>
          <w:color w:val="auto"/>
          <w:spacing w:val="6"/>
          <w:sz w:val="24"/>
          <w:szCs w:val="24"/>
          <w:highlight w:val="none"/>
        </w:rPr>
      </w:pPr>
    </w:p>
    <w:p>
      <w:pPr>
        <w:spacing w:line="588" w:lineRule="exact"/>
        <w:rPr>
          <w:rFonts w:ascii="宋体" w:hAnsi="宋体" w:cs="宋体"/>
          <w:color w:val="auto"/>
          <w:spacing w:val="6"/>
          <w:sz w:val="24"/>
          <w:szCs w:val="24"/>
          <w:highlight w:val="none"/>
        </w:rPr>
      </w:pPr>
    </w:p>
    <w:p>
      <w:pPr>
        <w:pStyle w:val="67"/>
        <w:shd w:val="clear" w:color="auto" w:fill="auto"/>
        <w:spacing w:after="228" w:line="300" w:lineRule="exact"/>
        <w:ind w:firstLine="4536" w:firstLineChars="1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lang w:bidi="en-US"/>
        </w:rPr>
        <w:t>）</w:t>
      </w:r>
    </w:p>
    <w:p>
      <w:pPr>
        <w:autoSpaceDE w:val="0"/>
        <w:autoSpaceDN w:val="0"/>
        <w:adjustRightInd w:val="0"/>
        <w:spacing w:line="360" w:lineRule="auto"/>
        <w:ind w:firstLine="4536" w:firstLineChars="1890"/>
        <w:jc w:val="left"/>
        <w:rPr>
          <w:rFonts w:ascii="宋体" w:hAnsi="宋体" w:cs="宋体"/>
          <w:b/>
          <w:color w:val="auto"/>
          <w:sz w:val="30"/>
          <w:szCs w:val="30"/>
          <w:highlight w:val="none"/>
        </w:rPr>
      </w:pPr>
      <w:r>
        <w:rPr>
          <w:rFonts w:hint="eastAsia" w:ascii="宋体" w:hAnsi="宋体" w:cs="宋体"/>
          <w:color w:val="auto"/>
          <w:sz w:val="24"/>
          <w:szCs w:val="24"/>
          <w:highlight w:val="none"/>
        </w:rPr>
        <w:t>日 期：</w:t>
      </w:r>
    </w:p>
    <w:p>
      <w:pPr>
        <w:spacing w:line="240" w:lineRule="auto"/>
        <w:rPr>
          <w:rStyle w:val="70"/>
          <w:rFonts w:ascii="宋体" w:hAnsi="宋体" w:eastAsia="宋体" w:cs="宋体"/>
          <w:color w:val="auto"/>
          <w:szCs w:val="21"/>
          <w:highlight w:val="none"/>
        </w:rPr>
      </w:pPr>
      <w:r>
        <w:rPr>
          <w:rFonts w:hint="eastAsia" w:ascii="宋体" w:hAnsi="宋体" w:cs="宋体"/>
          <w:color w:val="auto"/>
          <w:szCs w:val="21"/>
          <w:highlight w:val="none"/>
        </w:rPr>
        <w:t>注：1、</w:t>
      </w:r>
      <w:r>
        <w:rPr>
          <w:rStyle w:val="69"/>
          <w:rFonts w:hint="eastAsia" w:ascii="宋体" w:hAnsi="宋体" w:eastAsia="宋体" w:cs="宋体"/>
          <w:color w:val="auto"/>
          <w:szCs w:val="21"/>
          <w:highlight w:val="none"/>
          <w:vertAlign w:val="superscript"/>
        </w:rPr>
        <w:t>1</w:t>
      </w:r>
      <w:r>
        <w:rPr>
          <w:rStyle w:val="70"/>
          <w:rFonts w:hint="eastAsia" w:ascii="宋体" w:hAnsi="宋体" w:eastAsia="宋体" w:cs="宋体"/>
          <w:color w:val="auto"/>
          <w:szCs w:val="21"/>
          <w:highlight w:val="none"/>
        </w:rPr>
        <w:t>从业人员、营业收入、资产总额填报上一年度数据，无上一年度数据的新成立企业可不填报。</w:t>
      </w:r>
    </w:p>
    <w:p>
      <w:pPr>
        <w:spacing w:line="240" w:lineRule="auto"/>
        <w:ind w:left="181" w:leftChars="86" w:firstLine="270" w:firstLineChars="150"/>
        <w:rPr>
          <w:rFonts w:ascii="宋体" w:hAnsi="宋体" w:cs="宋体"/>
          <w:color w:val="auto"/>
          <w:szCs w:val="21"/>
          <w:highlight w:val="none"/>
        </w:rPr>
      </w:pPr>
      <w:r>
        <w:rPr>
          <w:rStyle w:val="70"/>
          <w:rFonts w:hint="eastAsia" w:ascii="宋体" w:hAnsi="宋体" w:eastAsia="宋体" w:cs="宋体"/>
          <w:color w:val="auto"/>
          <w:szCs w:val="21"/>
          <w:highlight w:val="none"/>
        </w:rPr>
        <w:t>2、</w:t>
      </w:r>
      <w:r>
        <w:rPr>
          <w:rStyle w:val="70"/>
          <w:rFonts w:hint="eastAsia" w:ascii="宋体" w:hAnsi="宋体" w:cs="宋体"/>
          <w:color w:val="auto"/>
          <w:szCs w:val="21"/>
          <w:highlight w:val="none"/>
        </w:rPr>
        <w:t>磋商文件</w:t>
      </w:r>
      <w:r>
        <w:rPr>
          <w:rStyle w:val="70"/>
          <w:rFonts w:hint="eastAsia" w:ascii="宋体" w:hAnsi="宋体" w:eastAsia="宋体" w:cs="宋体"/>
          <w:color w:val="auto"/>
          <w:szCs w:val="21"/>
          <w:highlight w:val="none"/>
        </w:rPr>
        <w:t>中未标注“专门面向中小企业采购”的未预留（非预留）项目，供应商可以根据自身情况提供《中小企业声明函》，未提供《中小企业声明函》的、将不享受小微企业价格扣除扶持政策。</w:t>
      </w:r>
    </w:p>
    <w:p>
      <w:pPr>
        <w:pageBreakBefore/>
        <w:spacing w:line="588" w:lineRule="exact"/>
        <w:jc w:val="center"/>
        <w:rPr>
          <w:rFonts w:ascii="宋体" w:hAnsi="宋体"/>
          <w:color w:val="auto"/>
          <w:spacing w:val="6"/>
          <w:sz w:val="24"/>
          <w:szCs w:val="24"/>
          <w:highlight w:val="none"/>
        </w:rPr>
      </w:pPr>
      <w:r>
        <w:rPr>
          <w:rFonts w:hint="eastAsia" w:ascii="黑体" w:hAnsi="黑体" w:eastAsia="黑体"/>
          <w:b/>
          <w:color w:val="auto"/>
          <w:sz w:val="30"/>
          <w:szCs w:val="30"/>
          <w:highlight w:val="none"/>
        </w:rPr>
        <w:t>残疾人福利性单位声明函</w:t>
      </w:r>
      <w:r>
        <w:rPr>
          <w:rFonts w:hint="eastAsia" w:ascii="宋体" w:hAnsi="宋体"/>
          <w:color w:val="auto"/>
          <w:spacing w:val="6"/>
          <w:sz w:val="24"/>
          <w:szCs w:val="24"/>
          <w:highlight w:val="none"/>
        </w:rPr>
        <w:t>（如符合条件时填写</w:t>
      </w:r>
      <w:r>
        <w:rPr>
          <w:rFonts w:hint="eastAsia" w:ascii="宋体" w:hAnsi="宋体"/>
          <w:color w:val="auto"/>
          <w:spacing w:val="6"/>
          <w:sz w:val="28"/>
          <w:szCs w:val="28"/>
          <w:highlight w:val="none"/>
          <w:vertAlign w:val="superscript"/>
        </w:rPr>
        <w:t>*</w:t>
      </w:r>
      <w:r>
        <w:rPr>
          <w:rFonts w:hint="eastAsia" w:ascii="宋体" w:hAnsi="宋体"/>
          <w:color w:val="auto"/>
          <w:spacing w:val="6"/>
          <w:sz w:val="24"/>
          <w:szCs w:val="24"/>
          <w:highlight w:val="none"/>
        </w:rPr>
        <w:t>）</w:t>
      </w:r>
    </w:p>
    <w:p>
      <w:pPr>
        <w:spacing w:line="588" w:lineRule="exact"/>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olor w:val="auto"/>
          <w:sz w:val="24"/>
          <w:szCs w:val="24"/>
          <w:highlight w:val="none"/>
        </w:rPr>
        <w:t>〔2017〕141</w:t>
      </w:r>
      <w:r>
        <w:rPr>
          <w:rFonts w:hint="eastAsia" w:ascii="宋体" w:hAnsi="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p>
    <w:p>
      <w:pPr>
        <w:snapToGrid w:val="0"/>
        <w:spacing w:before="100" w:beforeAutospacing="1" w:after="100" w:afterAutospacing="1" w:line="700" w:lineRule="exact"/>
        <w:ind w:right="641" w:firstLine="4960" w:firstLineChars="2067"/>
        <w:rPr>
          <w:rFonts w:ascii="宋体" w:hAnsi="宋体"/>
          <w:color w:val="auto"/>
          <w:sz w:val="24"/>
          <w:szCs w:val="24"/>
          <w:highlight w:val="none"/>
        </w:rPr>
      </w:pPr>
      <w:r>
        <w:rPr>
          <w:rFonts w:hint="eastAsia" w:ascii="宋体" w:hAnsi="宋体"/>
          <w:color w:val="auto"/>
          <w:sz w:val="24"/>
          <w:szCs w:val="24"/>
          <w:highlight w:val="none"/>
        </w:rPr>
        <w:t>单位名称</w:t>
      </w:r>
      <w:r>
        <w:rPr>
          <w:rFonts w:ascii="宋体" w:hAnsi="宋体"/>
          <w:color w:val="auto"/>
          <w:sz w:val="24"/>
          <w:szCs w:val="24"/>
          <w:highlight w:val="none"/>
        </w:rPr>
        <w:t>（盖章</w:t>
      </w:r>
      <w:r>
        <w:rPr>
          <w:rFonts w:ascii="宋体" w:hAnsi="宋体"/>
          <w:color w:val="auto"/>
          <w:sz w:val="24"/>
          <w:szCs w:val="24"/>
          <w:highlight w:val="none"/>
          <w:lang w:bidi="en-US"/>
        </w:rPr>
        <w:t>）</w:t>
      </w:r>
      <w:r>
        <w:rPr>
          <w:rFonts w:hint="eastAsia" w:ascii="宋体" w:hAnsi="宋体"/>
          <w:color w:val="auto"/>
          <w:sz w:val="24"/>
          <w:szCs w:val="24"/>
          <w:highlight w:val="none"/>
        </w:rPr>
        <w:t>：</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r>
        <w:rPr>
          <w:rFonts w:hint="eastAsia" w:ascii="宋体" w:hAnsi="宋体"/>
          <w:color w:val="auto"/>
          <w:sz w:val="24"/>
          <w:szCs w:val="24"/>
          <w:highlight w:val="none"/>
        </w:rPr>
        <w:t>日期：</w:t>
      </w:r>
    </w:p>
    <w:p>
      <w:pPr>
        <w:autoSpaceDE w:val="0"/>
        <w:autoSpaceDN w:val="0"/>
        <w:adjustRightInd w:val="0"/>
        <w:spacing w:line="360" w:lineRule="auto"/>
        <w:rPr>
          <w:rFonts w:ascii="宋体" w:cs="楷体_GB2312"/>
          <w:b/>
          <w:color w:val="auto"/>
          <w:sz w:val="30"/>
          <w:szCs w:val="30"/>
          <w:highlight w:val="none"/>
          <w:lang w:val="zh-CN"/>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ascii="宋体"/>
          <w:color w:val="auto"/>
          <w:sz w:val="24"/>
          <w:szCs w:val="24"/>
          <w:highlight w:val="none"/>
        </w:rPr>
      </w:pPr>
    </w:p>
    <w:p>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注：1、按政策规定：符合条件的残疾人福利性单位视同小型、微型企业。残疾人福利性单位属于小型、微型企业的，不重复享受政策。</w:t>
      </w:r>
    </w:p>
    <w:p>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b/>
          <w:color w:val="auto"/>
          <w:sz w:val="18"/>
          <w:szCs w:val="18"/>
          <w:highlight w:val="none"/>
          <w:vertAlign w:val="superscript"/>
        </w:rPr>
        <w:t>*</w:t>
      </w:r>
      <w:r>
        <w:rPr>
          <w:rFonts w:hint="eastAsia" w:ascii="宋体" w:hAnsi="宋体"/>
          <w:color w:val="auto"/>
          <w:sz w:val="18"/>
          <w:szCs w:val="18"/>
          <w:highlight w:val="none"/>
        </w:rPr>
        <w:t>本格式由符合促进残疾人就业政府采购政策条件的残疾人福利性单位填写，非残疾人福利性单位无需填写。本项目（专门面向中小企业采购）中，残疾人福利性单位属于</w:t>
      </w:r>
      <w:r>
        <w:rPr>
          <w:rFonts w:ascii="宋体" w:hAnsi="宋体"/>
          <w:color w:val="auto"/>
          <w:sz w:val="18"/>
          <w:szCs w:val="18"/>
          <w:highlight w:val="none"/>
        </w:rPr>
        <w:t>中型企业</w:t>
      </w:r>
      <w:r>
        <w:rPr>
          <w:rFonts w:hint="eastAsia" w:ascii="宋体" w:hAnsi="宋体"/>
          <w:color w:val="auto"/>
          <w:sz w:val="18"/>
          <w:szCs w:val="18"/>
          <w:highlight w:val="none"/>
        </w:rPr>
        <w:t>、小型、微型企业的，可只填写“</w:t>
      </w:r>
      <w:r>
        <w:rPr>
          <w:rFonts w:ascii="宋体" w:hAnsi="宋体"/>
          <w:color w:val="auto"/>
          <w:sz w:val="18"/>
          <w:szCs w:val="18"/>
          <w:highlight w:val="none"/>
        </w:rPr>
        <w:t xml:space="preserve"> 中小企业声明函</w:t>
      </w:r>
      <w:r>
        <w:rPr>
          <w:rFonts w:hint="eastAsia" w:ascii="宋体" w:hAnsi="宋体"/>
          <w:color w:val="auto"/>
          <w:sz w:val="18"/>
          <w:szCs w:val="18"/>
          <w:highlight w:val="none"/>
        </w:rPr>
        <w:t>”，不再填写“残疾人福利性单位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w:t>
      </w:r>
    </w:p>
    <w:p>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3、残疾人福利性单位填写“残疾人福利性单位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”后，仍需同时填写“</w:t>
      </w:r>
      <w:r>
        <w:rPr>
          <w:rFonts w:ascii="宋体" w:hAnsi="宋体"/>
          <w:color w:val="auto"/>
          <w:sz w:val="18"/>
          <w:szCs w:val="18"/>
          <w:highlight w:val="none"/>
        </w:rPr>
        <w:t>中小企业声明函</w:t>
      </w:r>
      <w:r>
        <w:rPr>
          <w:rFonts w:hint="eastAsia" w:ascii="宋体" w:hAnsi="宋体"/>
          <w:color w:val="auto"/>
          <w:sz w:val="18"/>
          <w:szCs w:val="18"/>
          <w:highlight w:val="none"/>
        </w:rPr>
        <w:t>”、可在“</w:t>
      </w:r>
      <w:r>
        <w:rPr>
          <w:rFonts w:ascii="宋体" w:hAnsi="宋体"/>
          <w:color w:val="auto"/>
          <w:sz w:val="18"/>
          <w:szCs w:val="18"/>
          <w:highlight w:val="none"/>
        </w:rPr>
        <w:t>中小企业声明函</w:t>
      </w:r>
      <w:r>
        <w:rPr>
          <w:rFonts w:hint="eastAsia" w:ascii="宋体" w:hAnsi="宋体"/>
          <w:color w:val="auto"/>
          <w:sz w:val="18"/>
          <w:szCs w:val="18"/>
          <w:highlight w:val="none"/>
        </w:rPr>
        <w:t>”注明“属于符合条件的残疾人福利性单位、视同小型、微型企业”。</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ascii="黑体" w:hAnsi="黑体" w:eastAsia="黑体"/>
          <w:b/>
          <w:color w:val="auto"/>
          <w:sz w:val="30"/>
          <w:szCs w:val="30"/>
          <w:highlight w:val="none"/>
        </w:rPr>
        <w:br w:type="page"/>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近三年无重大违法记录的声明函</w:t>
      </w:r>
    </w:p>
    <w:p>
      <w:pPr>
        <w:tabs>
          <w:tab w:val="left" w:pos="9365"/>
        </w:tabs>
        <w:spacing w:before="57" w:after="57" w:line="586" w:lineRule="atLeast"/>
        <w:ind w:right="85"/>
        <w:jc w:val="left"/>
        <w:textAlignment w:val="top"/>
        <w:rPr>
          <w:rFonts w:ascii="宋体" w:hAnsi="宋体"/>
          <w:color w:val="auto"/>
          <w:sz w:val="24"/>
          <w:szCs w:val="24"/>
          <w:highlight w:val="none"/>
        </w:rPr>
      </w:pPr>
    </w:p>
    <w:p>
      <w:pPr>
        <w:tabs>
          <w:tab w:val="left" w:pos="9365"/>
        </w:tabs>
        <w:spacing w:before="57" w:after="57" w:line="586" w:lineRule="atLeast"/>
        <w:ind w:right="85"/>
        <w:jc w:val="left"/>
        <w:textAlignment w:val="top"/>
        <w:rPr>
          <w:rFonts w:ascii="宋体" w:hAnsi="宋体"/>
          <w:color w:val="auto"/>
          <w:sz w:val="24"/>
          <w:szCs w:val="24"/>
          <w:highlight w:val="none"/>
        </w:rPr>
      </w:pPr>
      <w:r>
        <w:rPr>
          <w:rFonts w:hint="eastAsia" w:ascii="宋体" w:hAnsi="宋体"/>
          <w:color w:val="auto"/>
          <w:sz w:val="24"/>
          <w:highlight w:val="none"/>
          <w:lang w:eastAsia="zh-CN"/>
        </w:rPr>
        <w:t>河南仁厚工程实业有限公司</w:t>
      </w:r>
      <w:r>
        <w:rPr>
          <w:rFonts w:hint="eastAsia" w:ascii="宋体" w:hAnsi="宋体"/>
          <w:color w:val="auto"/>
          <w:sz w:val="24"/>
          <w:highlight w:val="none"/>
        </w:rPr>
        <w:t>：</w:t>
      </w:r>
    </w:p>
    <w:p>
      <w:pPr>
        <w:tabs>
          <w:tab w:val="left" w:pos="9365"/>
        </w:tabs>
        <w:spacing w:before="57" w:after="57" w:line="586" w:lineRule="atLeast"/>
        <w:ind w:right="85" w:firstLine="600" w:firstLineChars="250"/>
        <w:jc w:val="left"/>
        <w:textAlignment w:val="top"/>
        <w:rPr>
          <w:rFonts w:ascii="宋体" w:hAnsi="宋体"/>
          <w:color w:val="auto"/>
          <w:sz w:val="24"/>
          <w:szCs w:val="24"/>
          <w:highlight w:val="none"/>
        </w:rPr>
      </w:pPr>
      <w:r>
        <w:rPr>
          <w:rFonts w:hint="eastAsia" w:ascii="宋体" w:hAnsi="宋体"/>
          <w:color w:val="auto"/>
          <w:sz w:val="24"/>
          <w:szCs w:val="24"/>
          <w:highlight w:val="none"/>
        </w:rPr>
        <w:t>我单位在参加政府采购活动前三年内，在经营活动中没有重大违法记录。</w:t>
      </w:r>
    </w:p>
    <w:p>
      <w:pPr>
        <w:tabs>
          <w:tab w:val="left" w:pos="9365"/>
        </w:tabs>
        <w:spacing w:before="57" w:after="57" w:line="586" w:lineRule="atLeast"/>
        <w:ind w:right="85" w:firstLine="600" w:firstLineChars="250"/>
        <w:jc w:val="left"/>
        <w:textAlignment w:val="top"/>
        <w:rPr>
          <w:rFonts w:ascii="宋体" w:hAnsi="宋体"/>
          <w:color w:val="auto"/>
          <w:sz w:val="24"/>
          <w:szCs w:val="24"/>
          <w:highlight w:val="none"/>
        </w:rPr>
      </w:pPr>
      <w:r>
        <w:rPr>
          <w:rFonts w:hint="eastAsia" w:ascii="宋体" w:hAnsi="宋体"/>
          <w:color w:val="auto"/>
          <w:sz w:val="24"/>
          <w:szCs w:val="24"/>
          <w:highlight w:val="none"/>
        </w:rPr>
        <w:t>特此承诺。</w:t>
      </w:r>
    </w:p>
    <w:p>
      <w:pPr>
        <w:tabs>
          <w:tab w:val="left" w:pos="9365"/>
        </w:tabs>
        <w:spacing w:before="57" w:after="57" w:line="586" w:lineRule="atLeast"/>
        <w:ind w:right="85"/>
        <w:jc w:val="left"/>
        <w:textAlignment w:val="top"/>
        <w:rPr>
          <w:rFonts w:ascii="宋体" w:hAnsi="宋体"/>
          <w:color w:val="auto"/>
          <w:sz w:val="24"/>
          <w:szCs w:val="24"/>
          <w:highlight w:val="none"/>
        </w:rPr>
      </w:pPr>
    </w:p>
    <w:p>
      <w:pPr>
        <w:tabs>
          <w:tab w:val="left" w:pos="9365"/>
        </w:tabs>
        <w:spacing w:before="57" w:after="57" w:line="586" w:lineRule="atLeast"/>
        <w:ind w:right="85"/>
        <w:jc w:val="left"/>
        <w:textAlignment w:val="top"/>
        <w:rPr>
          <w:rFonts w:ascii="宋体" w:hAnsi="宋体"/>
          <w:color w:val="auto"/>
          <w:sz w:val="24"/>
          <w:szCs w:val="24"/>
          <w:highlight w:val="none"/>
        </w:rPr>
      </w:pPr>
    </w:p>
    <w:p>
      <w:pPr>
        <w:tabs>
          <w:tab w:val="left" w:pos="9365"/>
        </w:tabs>
        <w:spacing w:before="57" w:after="57" w:line="586" w:lineRule="atLeast"/>
        <w:ind w:right="85"/>
        <w:jc w:val="left"/>
        <w:textAlignment w:val="top"/>
        <w:rPr>
          <w:rFonts w:ascii="宋体" w:hAnsi="宋体"/>
          <w:color w:val="auto"/>
          <w:sz w:val="24"/>
          <w:szCs w:val="24"/>
          <w:highlight w:val="none"/>
        </w:rPr>
      </w:pPr>
    </w:p>
    <w:p>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snapToGrid w:val="0"/>
        <w:spacing w:line="560" w:lineRule="exact"/>
        <w:ind w:firstLine="555"/>
        <w:rPr>
          <w:rFonts w:ascii="宋体"/>
          <w:color w:val="auto"/>
          <w:sz w:val="24"/>
          <w:highlight w:val="none"/>
        </w:rPr>
      </w:pPr>
      <w:r>
        <w:rPr>
          <w:rFonts w:ascii="宋体" w:hAnsi="宋体"/>
          <w:color w:val="auto"/>
          <w:sz w:val="24"/>
          <w:highlight w:val="none"/>
        </w:rPr>
        <w:t xml:space="preserve">        </w:t>
      </w:r>
    </w:p>
    <w:p>
      <w:pPr>
        <w:snapToGrid w:val="0"/>
        <w:spacing w:line="560" w:lineRule="atLeast"/>
        <w:jc w:val="center"/>
        <w:rPr>
          <w:rFonts w:ascii="宋体"/>
          <w:color w:val="auto"/>
          <w:sz w:val="24"/>
          <w:highlight w:val="none"/>
        </w:rPr>
      </w:pPr>
      <w:r>
        <w:rPr>
          <w:rFonts w:ascii="宋体"/>
          <w:color w:val="auto"/>
          <w:sz w:val="24"/>
          <w:highlight w:val="none"/>
        </w:rPr>
        <w:br w:type="page"/>
      </w:r>
    </w:p>
    <w:p>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供应商负责人控股、设计等相关承诺书</w:t>
      </w:r>
    </w:p>
    <w:p>
      <w:pPr>
        <w:tabs>
          <w:tab w:val="left" w:pos="9365"/>
        </w:tabs>
        <w:spacing w:before="360" w:after="360" w:line="586" w:lineRule="atLeas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 xml:space="preserve">(采购人名称）    </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采购活动中，我单位承诺满足以下要求：</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一、单位负责人为同一人或者存在直接控股、管理关系的不同供应商，不参加同一合同项下的政府采购活动。</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二、没有为本项目提供整体设计、规范编制或者项目管理、监理、检测等服务。</w:t>
      </w:r>
    </w:p>
    <w:p>
      <w:pPr>
        <w:tabs>
          <w:tab w:val="left" w:pos="9365"/>
        </w:tabs>
        <w:spacing w:before="57" w:after="57" w:line="586" w:lineRule="atLeast"/>
        <w:ind w:right="85" w:firstLine="480" w:firstLineChars="200"/>
        <w:jc w:val="left"/>
        <w:textAlignment w:val="top"/>
        <w:rPr>
          <w:rFonts w:ascii="宋体" w:hAnsi="宋体"/>
          <w:color w:val="auto"/>
          <w:sz w:val="24"/>
          <w:szCs w:val="24"/>
          <w:highlight w:val="none"/>
        </w:rPr>
      </w:pPr>
      <w:r>
        <w:rPr>
          <w:rFonts w:hint="eastAsia" w:ascii="宋体" w:hAnsi="宋体"/>
          <w:color w:val="auto"/>
          <w:sz w:val="24"/>
          <w:szCs w:val="24"/>
          <w:highlight w:val="none"/>
        </w:rPr>
        <w:t>三、若出现上述行为，我单位确</w:t>
      </w:r>
      <w:r>
        <w:rPr>
          <w:rFonts w:ascii="宋体" w:hAnsi="宋体"/>
          <w:color w:val="auto"/>
          <w:sz w:val="24"/>
          <w:szCs w:val="24"/>
          <w:highlight w:val="none"/>
        </w:rPr>
        <w:t>认投标无</w:t>
      </w:r>
      <w:r>
        <w:rPr>
          <w:rFonts w:hint="eastAsia" w:ascii="宋体" w:hAnsi="宋体"/>
          <w:color w:val="auto"/>
          <w:sz w:val="24"/>
          <w:szCs w:val="24"/>
          <w:highlight w:val="none"/>
        </w:rPr>
        <w:t>效、</w:t>
      </w:r>
      <w:r>
        <w:rPr>
          <w:rFonts w:ascii="宋体" w:hAnsi="宋体"/>
          <w:color w:val="auto"/>
          <w:sz w:val="24"/>
          <w:szCs w:val="24"/>
          <w:highlight w:val="none"/>
        </w:rPr>
        <w:t>承诺</w:t>
      </w:r>
      <w:r>
        <w:rPr>
          <w:rFonts w:hint="eastAsia" w:ascii="宋体" w:hAnsi="宋体"/>
          <w:color w:val="auto"/>
          <w:sz w:val="24"/>
          <w:szCs w:val="24"/>
          <w:highlight w:val="none"/>
        </w:rPr>
        <w:t>书</w:t>
      </w:r>
      <w:r>
        <w:rPr>
          <w:rFonts w:ascii="宋体" w:hAnsi="宋体"/>
          <w:color w:val="auto"/>
          <w:sz w:val="24"/>
          <w:szCs w:val="24"/>
          <w:highlight w:val="none"/>
        </w:rPr>
        <w:t>虚假</w:t>
      </w:r>
      <w:r>
        <w:rPr>
          <w:rFonts w:hint="eastAsia" w:ascii="宋体" w:hAnsi="宋体"/>
          <w:color w:val="auto"/>
          <w:sz w:val="24"/>
          <w:szCs w:val="24"/>
          <w:highlight w:val="none"/>
        </w:rPr>
        <w:t>，接受相关部门按照国家法律法规等有关规定对</w:t>
      </w:r>
      <w:r>
        <w:rPr>
          <w:rFonts w:ascii="宋体" w:hAnsi="宋体"/>
          <w:color w:val="auto"/>
          <w:sz w:val="24"/>
          <w:szCs w:val="24"/>
          <w:highlight w:val="none"/>
        </w:rPr>
        <w:t>我单位虚假承诺所</w:t>
      </w:r>
      <w:r>
        <w:rPr>
          <w:rFonts w:hint="eastAsia" w:ascii="宋体" w:hAnsi="宋体"/>
          <w:color w:val="auto"/>
          <w:sz w:val="24"/>
          <w:szCs w:val="24"/>
          <w:highlight w:val="none"/>
        </w:rPr>
        <w:t>给予的处理。</w:t>
      </w:r>
    </w:p>
    <w:p>
      <w:pPr>
        <w:tabs>
          <w:tab w:val="left" w:pos="9365"/>
        </w:tabs>
        <w:spacing w:before="57" w:after="57" w:line="586" w:lineRule="atLeast"/>
        <w:ind w:right="85"/>
        <w:jc w:val="left"/>
        <w:textAlignment w:val="top"/>
        <w:rPr>
          <w:rFonts w:ascii="宋体" w:hAnsi="宋体"/>
          <w:color w:val="auto"/>
          <w:sz w:val="24"/>
          <w:szCs w:val="24"/>
          <w:highlight w:val="none"/>
        </w:rPr>
      </w:pPr>
      <w:r>
        <w:rPr>
          <w:rFonts w:ascii="宋体" w:hAnsi="宋体"/>
          <w:color w:val="auto"/>
          <w:sz w:val="24"/>
          <w:szCs w:val="24"/>
          <w:highlight w:val="none"/>
        </w:rPr>
        <w:t> </w:t>
      </w:r>
    </w:p>
    <w:p>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投标人（电子签章）：</w:t>
      </w:r>
    </w:p>
    <w:p>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法定代表人（电子签名）：</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ascii="宋体" w:hAnsi="宋体"/>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autoSpaceDE w:val="0"/>
        <w:autoSpaceDN w:val="0"/>
        <w:adjustRightInd w:val="0"/>
        <w:spacing w:line="360" w:lineRule="auto"/>
        <w:rPr>
          <w:rFonts w:ascii="黑体" w:hAnsi="黑体" w:eastAsia="黑体"/>
          <w:b/>
          <w:color w:val="auto"/>
          <w:sz w:val="30"/>
          <w:szCs w:val="30"/>
          <w:highlight w:val="none"/>
        </w:rPr>
      </w:pPr>
    </w:p>
    <w:p>
      <w:pPr>
        <w:autoSpaceDE w:val="0"/>
        <w:autoSpaceDN w:val="0"/>
        <w:adjustRightInd w:val="0"/>
        <w:spacing w:line="360" w:lineRule="auto"/>
        <w:jc w:val="center"/>
        <w:rPr>
          <w:rFonts w:ascii="宋体"/>
          <w:color w:val="auto"/>
          <w:sz w:val="24"/>
          <w:szCs w:val="24"/>
          <w:highlight w:val="none"/>
        </w:rPr>
      </w:pPr>
      <w:r>
        <w:rPr>
          <w:rFonts w:ascii="宋体"/>
          <w:color w:val="auto"/>
          <w:sz w:val="24"/>
          <w:szCs w:val="24"/>
          <w:highlight w:val="none"/>
        </w:rPr>
        <w:br w:type="page"/>
      </w:r>
    </w:p>
    <w:p>
      <w:pPr>
        <w:autoSpaceDE w:val="0"/>
        <w:autoSpaceDN w:val="0"/>
        <w:adjustRightInd w:val="0"/>
        <w:spacing w:line="360" w:lineRule="auto"/>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投标承诺函</w:t>
      </w:r>
    </w:p>
    <w:p>
      <w:pPr>
        <w:widowControl w:val="0"/>
        <w:autoSpaceDE w:val="0"/>
        <w:autoSpaceDN w:val="0"/>
        <w:adjustRightInd w:val="0"/>
        <w:spacing w:line="240" w:lineRule="auto"/>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（以投标承诺函形式，替代投标保证金的相关承诺事项）</w:t>
      </w:r>
    </w:p>
    <w:p>
      <w:pPr>
        <w:widowControl w:val="0"/>
        <w:tabs>
          <w:tab w:val="left" w:pos="65"/>
        </w:tabs>
        <w:spacing w:line="460" w:lineRule="atLeast"/>
        <w:ind w:firstLine="480" w:firstLineChars="200"/>
        <w:textAlignment w:val="auto"/>
        <w:rPr>
          <w:rFonts w:hint="eastAsia"/>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(采购人名称） 、</w:t>
      </w:r>
      <w:r>
        <w:rPr>
          <w:rFonts w:hint="eastAsia"/>
          <w:color w:val="auto"/>
          <w:sz w:val="24"/>
          <w:szCs w:val="24"/>
          <w:highlight w:val="none"/>
          <w:lang w:eastAsia="zh-CN"/>
        </w:rPr>
        <w:t>河南仁厚工程实业有限公司</w:t>
      </w:r>
    </w:p>
    <w:p>
      <w:pPr>
        <w:widowControl w:val="0"/>
        <w:tabs>
          <w:tab w:val="left" w:pos="65"/>
        </w:tabs>
        <w:spacing w:line="460" w:lineRule="atLeast"/>
        <w:ind w:firstLine="960" w:firstLineChars="400"/>
        <w:textAlignment w:val="auto"/>
        <w:rPr>
          <w:rFonts w:ascii="宋体" w:hAnsi="宋体"/>
          <w:color w:val="auto"/>
          <w:sz w:val="24"/>
          <w:szCs w:val="24"/>
          <w:highlight w:val="none"/>
          <w:lang w:val="zh-CN"/>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采购活动中，我</w:t>
      </w:r>
      <w:r>
        <w:rPr>
          <w:rFonts w:hint="eastAsia"/>
          <w:color w:val="auto"/>
          <w:sz w:val="24"/>
          <w:highlight w:val="none"/>
        </w:rPr>
        <w:t>单位</w:t>
      </w:r>
      <w:r>
        <w:rPr>
          <w:rFonts w:hint="eastAsia" w:ascii="宋体" w:hAnsi="宋体"/>
          <w:color w:val="auto"/>
          <w:sz w:val="24"/>
          <w:szCs w:val="24"/>
          <w:highlight w:val="none"/>
        </w:rPr>
        <w:t>承诺：</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一、遵循公开、公平、公正和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的原则自愿参加本项目投标；</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二、在政府采购活动中提供真实、准确、有效、合法的材料，不</w:t>
      </w:r>
      <w:r>
        <w:rPr>
          <w:rFonts w:hint="eastAsia" w:ascii="宋体" w:hAnsi="宋体"/>
          <w:color w:val="auto"/>
          <w:sz w:val="24"/>
          <w:szCs w:val="24"/>
          <w:highlight w:val="none"/>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三、</w:t>
      </w:r>
      <w:r>
        <w:rPr>
          <w:rFonts w:hint="eastAsia" w:ascii="宋体" w:hAnsi="宋体"/>
          <w:color w:val="auto"/>
          <w:sz w:val="24"/>
          <w:szCs w:val="24"/>
          <w:highlight w:val="none"/>
          <w:lang w:val="zh-CN"/>
        </w:rPr>
        <w:t>按照磋商文件规定，在提交投标文件截止时间后，在磋商文件规定的投标有效期限内不撤回投标文件；</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四、不</w:t>
      </w:r>
      <w:r>
        <w:rPr>
          <w:rFonts w:hint="eastAsia" w:ascii="宋体" w:hAnsi="宋体"/>
          <w:color w:val="auto"/>
          <w:sz w:val="24"/>
          <w:szCs w:val="24"/>
          <w:highlight w:val="none"/>
          <w:lang w:val="zh-CN"/>
        </w:rPr>
        <w:t>与其他投标人、采购人或采购代理机构串通或恶意串通。</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五、如我单位中标，</w:t>
      </w:r>
      <w:r>
        <w:rPr>
          <w:rFonts w:hint="eastAsia" w:ascii="宋体" w:hAnsi="宋体"/>
          <w:color w:val="auto"/>
          <w:sz w:val="24"/>
          <w:szCs w:val="24"/>
          <w:highlight w:val="none"/>
          <w:lang w:val="zh-CN"/>
        </w:rPr>
        <w:t>除不可抗拒力或磋商文件认可的情形外</w:t>
      </w:r>
      <w:r>
        <w:rPr>
          <w:rFonts w:hint="eastAsia" w:ascii="宋体" w:hAnsi="宋体"/>
          <w:color w:val="auto"/>
          <w:sz w:val="24"/>
          <w:szCs w:val="24"/>
          <w:highlight w:val="none"/>
        </w:rPr>
        <w:t>，我单位承诺及时领取中标通知书，</w:t>
      </w:r>
      <w:r>
        <w:rPr>
          <w:rFonts w:hint="eastAsia" w:ascii="宋体" w:hAnsi="宋体"/>
          <w:color w:val="auto"/>
          <w:sz w:val="24"/>
          <w:szCs w:val="24"/>
          <w:highlight w:val="none"/>
          <w:lang w:val="zh-CN"/>
        </w:rPr>
        <w:t>在成交通知书规定时间、地点与采购人签订合同；</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六、</w:t>
      </w:r>
      <w:r>
        <w:rPr>
          <w:rFonts w:hint="eastAsia" w:ascii="宋体" w:hAnsi="宋体"/>
          <w:color w:val="auto"/>
          <w:sz w:val="24"/>
          <w:szCs w:val="24"/>
          <w:highlight w:val="none"/>
          <w:lang w:val="zh-CN"/>
        </w:rPr>
        <w:t>遵守法律法规及磋商文件规定的其他情况；</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七、按</w:t>
      </w:r>
      <w:r>
        <w:rPr>
          <w:rFonts w:hint="eastAsia" w:ascii="宋体" w:hAnsi="宋体"/>
          <w:color w:val="auto"/>
          <w:sz w:val="24"/>
          <w:szCs w:val="24"/>
          <w:highlight w:val="none"/>
          <w:lang w:val="zh-CN"/>
        </w:rPr>
        <w:t>磋商文件</w:t>
      </w:r>
      <w:r>
        <w:rPr>
          <w:rFonts w:hint="eastAsia" w:ascii="宋体" w:hAnsi="宋体"/>
          <w:color w:val="auto"/>
          <w:sz w:val="24"/>
          <w:szCs w:val="24"/>
          <w:highlight w:val="none"/>
        </w:rPr>
        <w:t>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八、违背上述承诺事项的，我单位无条件接受以下责任追究：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lang w:val="zh-CN"/>
        </w:rPr>
        <w:t>（一）法定责任：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给采购人及他人造成损失的，愿承担相应的赔偿责任。</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（二）违约责任：</w:t>
      </w:r>
      <w:r>
        <w:rPr>
          <w:rFonts w:hint="eastAsia" w:ascii="宋体" w:hAnsi="宋体"/>
          <w:color w:val="auto"/>
          <w:sz w:val="24"/>
          <w:szCs w:val="24"/>
          <w:highlight w:val="none"/>
        </w:rPr>
        <w:t xml:space="preserve"> </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1、已中标的，中标（成交）无效；</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pPr>
        <w:widowControl w:val="0"/>
        <w:tabs>
          <w:tab w:val="left" w:pos="65"/>
        </w:tabs>
        <w:spacing w:line="460" w:lineRule="atLeast"/>
        <w:ind w:firstLine="480" w:firstLineChars="200"/>
        <w:textAlignment w:val="auto"/>
        <w:rPr>
          <w:color w:val="auto"/>
          <w:sz w:val="24"/>
          <w:highlight w:val="none"/>
          <w:lang w:val="zh-CN"/>
        </w:rPr>
      </w:pPr>
      <w:r>
        <w:rPr>
          <w:rFonts w:hint="eastAsia" w:ascii="宋体" w:hAnsi="宋体"/>
          <w:color w:val="auto"/>
          <w:sz w:val="24"/>
          <w:szCs w:val="24"/>
          <w:highlight w:val="none"/>
        </w:rPr>
        <w:t>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原则，在履行承诺前，代理机构将视我单位为失信企业、不予办理其后相关业务。</w:t>
      </w:r>
    </w:p>
    <w:p>
      <w:pPr>
        <w:widowControl w:val="0"/>
        <w:autoSpaceDE w:val="0"/>
        <w:autoSpaceDN w:val="0"/>
        <w:adjustRightInd w:val="0"/>
        <w:spacing w:line="460" w:lineRule="atLeast"/>
        <w:ind w:left="-2" w:right="-817" w:hanging="149"/>
        <w:textAlignment w:val="auto"/>
        <w:rPr>
          <w:rFonts w:ascii="宋体" w:cs="楷体_GB2312"/>
          <w:color w:val="auto"/>
          <w:sz w:val="24"/>
          <w:highlight w:val="none"/>
          <w:lang w:val="zh-CN"/>
        </w:rPr>
      </w:pPr>
    </w:p>
    <w:p>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投标人（电子签章）：</w:t>
      </w:r>
    </w:p>
    <w:p>
      <w:pPr>
        <w:widowControl w:val="0"/>
        <w:tabs>
          <w:tab w:val="left" w:pos="9365"/>
        </w:tabs>
        <w:snapToGrid w:val="0"/>
        <w:spacing w:after="56" w:line="560" w:lineRule="exac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法定代表人（电子签名）：</w:t>
      </w:r>
    </w:p>
    <w:p>
      <w:pPr>
        <w:widowControl w:val="0"/>
        <w:autoSpaceDE w:val="0"/>
        <w:autoSpaceDN w:val="0"/>
        <w:adjustRightInd w:val="0"/>
        <w:spacing w:line="240" w:lineRule="auto"/>
        <w:ind w:right="-816"/>
        <w:textAlignment w:val="auto"/>
        <w:rPr>
          <w:color w:val="auto"/>
          <w:sz w:val="24"/>
          <w:szCs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autoSpaceDE w:val="0"/>
        <w:autoSpaceDN w:val="0"/>
        <w:adjustRightInd w:val="0"/>
        <w:spacing w:line="360" w:lineRule="auto"/>
        <w:jc w:val="center"/>
        <w:rPr>
          <w:rFonts w:eastAsia="方正黑体简体"/>
          <w:b/>
          <w:color w:val="auto"/>
          <w:sz w:val="30"/>
          <w:szCs w:val="30"/>
          <w:highlight w:val="none"/>
        </w:rPr>
      </w:pPr>
      <w:r>
        <w:rPr>
          <w:rFonts w:ascii="宋体"/>
          <w:color w:val="auto"/>
          <w:sz w:val="24"/>
          <w:szCs w:val="24"/>
          <w:highlight w:val="none"/>
        </w:rPr>
        <w:br w:type="page"/>
      </w:r>
    </w:p>
    <w:p>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十一、投标人认为有必要提交的其它材料</w:t>
      </w:r>
    </w:p>
    <w:p>
      <w:pPr>
        <w:autoSpaceDE w:val="0"/>
        <w:autoSpaceDN w:val="0"/>
        <w:adjustRightInd w:val="0"/>
        <w:spacing w:line="360" w:lineRule="auto"/>
        <w:jc w:val="center"/>
        <w:rPr>
          <w:rFonts w:ascii="宋体"/>
          <w:color w:val="auto"/>
          <w:sz w:val="24"/>
          <w:szCs w:val="24"/>
          <w:highlight w:val="none"/>
        </w:rPr>
      </w:pPr>
      <w:r>
        <w:rPr>
          <w:rFonts w:hint="eastAsia" w:ascii="宋体" w:hAnsi="宋体"/>
          <w:color w:val="auto"/>
          <w:sz w:val="24"/>
          <w:szCs w:val="24"/>
          <w:highlight w:val="none"/>
        </w:rPr>
        <w:t>（由法定代表人</w:t>
      </w:r>
      <w:r>
        <w:rPr>
          <w:rFonts w:hint="eastAsia" w:ascii="宋体" w:hAnsi="宋体" w:cs="楷体_GB2312"/>
          <w:color w:val="auto"/>
          <w:sz w:val="24"/>
          <w:highlight w:val="none"/>
          <w:lang w:val="zh-CN"/>
        </w:rPr>
        <w:t>电子签名</w:t>
      </w:r>
      <w:r>
        <w:rPr>
          <w:rFonts w:hint="eastAsia" w:ascii="宋体" w:hAnsi="宋体"/>
          <w:color w:val="auto"/>
          <w:sz w:val="24"/>
          <w:szCs w:val="24"/>
          <w:highlight w:val="none"/>
        </w:rPr>
        <w:t>或</w:t>
      </w:r>
      <w:r>
        <w:rPr>
          <w:rFonts w:hint="eastAsia"/>
          <w:color w:val="auto"/>
          <w:sz w:val="24"/>
          <w:szCs w:val="24"/>
          <w:highlight w:val="none"/>
        </w:rPr>
        <w:t>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pPr>
        <w:autoSpaceDE w:val="0"/>
        <w:autoSpaceDN w:val="0"/>
        <w:adjustRightInd w:val="0"/>
        <w:spacing w:line="360" w:lineRule="auto"/>
        <w:rPr>
          <w:rFonts w:ascii="宋体"/>
          <w:b/>
          <w:bCs/>
          <w:color w:val="auto"/>
          <w:sz w:val="24"/>
          <w:highlight w:val="none"/>
        </w:rPr>
      </w:pPr>
    </w:p>
    <w:p>
      <w:pPr>
        <w:autoSpaceDE w:val="0"/>
        <w:autoSpaceDN w:val="0"/>
        <w:adjustRightInd w:val="0"/>
        <w:spacing w:line="360" w:lineRule="auto"/>
        <w:jc w:val="center"/>
        <w:rPr>
          <w:rFonts w:ascii="宋体"/>
          <w:color w:val="auto"/>
          <w:sz w:val="24"/>
          <w:szCs w:val="24"/>
          <w:highlight w:val="none"/>
        </w:rPr>
      </w:pPr>
    </w:p>
    <w:p>
      <w:pPr>
        <w:spacing w:line="240" w:lineRule="auto"/>
        <w:jc w:val="left"/>
        <w:textAlignment w:val="auto"/>
        <w:rPr>
          <w:rFonts w:ascii="宋体" w:cs="楷体_GB2312"/>
          <w:b/>
          <w:color w:val="auto"/>
          <w:sz w:val="30"/>
          <w:szCs w:val="30"/>
          <w:highlight w:val="none"/>
          <w:lang w:val="zh-CN"/>
        </w:rPr>
      </w:pPr>
    </w:p>
    <w:p>
      <w:pPr>
        <w:widowControl w:val="0"/>
        <w:tabs>
          <w:tab w:val="left" w:pos="9365"/>
        </w:tabs>
        <w:snapToGrid w:val="0"/>
        <w:spacing w:after="56" w:line="560" w:lineRule="exact"/>
        <w:ind w:right="85"/>
        <w:jc w:val="center"/>
        <w:textAlignment w:val="top"/>
        <w:rPr>
          <w:rFonts w:hint="eastAsia" w:ascii="黑体" w:hAnsi="黑体" w:eastAsia="黑体"/>
          <w:b/>
          <w:color w:val="auto"/>
          <w:sz w:val="30"/>
          <w:szCs w:val="30"/>
          <w:highlight w:val="none"/>
        </w:rPr>
      </w:pPr>
    </w:p>
    <w:sectPr>
      <w:footerReference r:id="rId8" w:type="default"/>
      <w:pgSz w:w="11905" w:h="16837"/>
      <w:pgMar w:top="1091" w:right="1106" w:bottom="993" w:left="1418" w:header="567" w:footer="56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MicrosoftYaHei">
    <w:altName w:val="Segoe Print"/>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rPr>
        <w:rFonts w:ascii="宋体" w:hAnsi="宋体"/>
        <w:szCs w:val="21"/>
        <w:u w:val="single"/>
      </w:rPr>
    </w:pP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lIns="0" tIns="0" rIns="0" bIns="0" upright="1"/>
                  </wps:wsp>
                </a:graphicData>
              </a:graphic>
            </wp:anchor>
          </w:drawing>
        </mc:Choice>
        <mc:Fallback>
          <w:pict>
            <v:shape id="文本框 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3ucjZAAAADgEAAA8AAAAAAAAAAQAgAAAAIgAAAGRycy9kb3ducmV2LnhtbFBLAQIU&#10;ABQAAAAIAIdO4kCe/iw/uQEAAGoDAAAOAAAAAAAAAAEAIAAAACgBAABkcnMvZTJvRG9jLnhtbFBL&#10;BQYAAAAABgAGAFkBAABTBQ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rPr>
        <w:rFonts w:ascii="宋体" w:hAnsi="宋体"/>
        <w:szCs w:val="21"/>
        <w:u w:val="sing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r>
      <w:rPr>
        <w:rFonts w:ascii="宋体" w:hAnsi="宋体"/>
      </w:rPr>
      <mc:AlternateContent>
        <mc:Choice Requires="wps">
          <w:drawing>
            <wp:anchor distT="0" distB="0" distL="114300" distR="114300" simplePos="0" relativeHeight="251661312"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lIns="0" tIns="0" rIns="0" bIns="0" upright="1"/>
                  </wps:wsp>
                </a:graphicData>
              </a:graphic>
            </wp:anchor>
          </w:drawing>
        </mc:Choice>
        <mc:Fallback>
          <w:pict>
            <v:shape id="文本框 1026" o:spid="_x0000_s1026" o:spt="202" type="#_x0000_t202" style="position:absolute;left:0pt;margin-left:70.85pt;margin-top:799.35pt;height:14.15pt;width:453.5pt;mso-position-horizontal-relative:page;mso-position-vertical-relative:page;z-index:-251655168;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ne5yNkAAAAOAQAADwAAAAAAAAABACAAAAAiAAAAZHJzL2Rvd25yZXYueG1sUEsBAhQA&#10;FAAAAAgAh07iQN9ciby4AQAAagMAAA4AAAAAAAAAAQAgAAAAKAEAAGRycy9lMm9Eb2MueG1sUEsF&#10;BgAAAAAGAAYAWQEAAFI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hAnsi="宋体"/>
        <w:szCs w:val="21"/>
      </w:rPr>
    </w:pP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lIns="0" tIns="0" rIns="0" bIns="0" upright="1"/>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N05x2AAAAAoBAAAP&#10;AAAAAAAAAAEAIAAAACIAAABkcnMvZG93bnJldi54bWxQSwECFAAUAAAACACHTuJAs2EH6qYBAABm&#10;AwAADgAAAAAAAAABACAAAAAnAQAAZHJzL2Uyb0RvYy54bWxQSwUGAAAAAAYABgBZAQAAPw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FDB5F"/>
    <w:multiLevelType w:val="singleLevel"/>
    <w:tmpl w:val="B30FDB5F"/>
    <w:lvl w:ilvl="0" w:tentative="0">
      <w:start w:val="5"/>
      <w:numFmt w:val="chineseCounting"/>
      <w:suff w:val="space"/>
      <w:lvlText w:val="第%1章"/>
      <w:lvlJc w:val="left"/>
      <w:rPr>
        <w:rFonts w:hint="eastAsia"/>
      </w:rPr>
    </w:lvl>
  </w:abstractNum>
  <w:abstractNum w:abstractNumId="1">
    <w:nsid w:val="EBA7BE77"/>
    <w:multiLevelType w:val="singleLevel"/>
    <w:tmpl w:val="EBA7BE77"/>
    <w:lvl w:ilvl="0" w:tentative="0">
      <w:start w:val="1"/>
      <w:numFmt w:val="decimal"/>
      <w:lvlText w:val="%1."/>
      <w:lvlJc w:val="left"/>
      <w:pPr>
        <w:tabs>
          <w:tab w:val="left" w:pos="312"/>
        </w:tabs>
      </w:pPr>
    </w:lvl>
  </w:abstractNum>
  <w:abstractNum w:abstractNumId="2">
    <w:nsid w:val="220BF298"/>
    <w:multiLevelType w:val="singleLevel"/>
    <w:tmpl w:val="220BF298"/>
    <w:lvl w:ilvl="0" w:tentative="0">
      <w:start w:val="2"/>
      <w:numFmt w:val="decimal"/>
      <w:suff w:val="nothing"/>
      <w:lvlText w:val="（%1）"/>
      <w:lvlJc w:val="left"/>
    </w:lvl>
  </w:abstractNum>
  <w:abstractNum w:abstractNumId="3">
    <w:nsid w:val="33DC87BB"/>
    <w:multiLevelType w:val="singleLevel"/>
    <w:tmpl w:val="33DC87BB"/>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MWMxZDAwNDFmYWQzMzA3NWRhYTcxNmNhZDA3NDEifQ=="/>
  </w:docVars>
  <w:rsids>
    <w:rsidRoot w:val="00172A27"/>
    <w:rsid w:val="00005842"/>
    <w:rsid w:val="00026F67"/>
    <w:rsid w:val="00035E6D"/>
    <w:rsid w:val="000839D5"/>
    <w:rsid w:val="000867DE"/>
    <w:rsid w:val="000E1B6F"/>
    <w:rsid w:val="000E6E67"/>
    <w:rsid w:val="000E7464"/>
    <w:rsid w:val="000F2C2F"/>
    <w:rsid w:val="00120F4A"/>
    <w:rsid w:val="001520C9"/>
    <w:rsid w:val="00163DB3"/>
    <w:rsid w:val="00172A27"/>
    <w:rsid w:val="00174543"/>
    <w:rsid w:val="001A2220"/>
    <w:rsid w:val="001B4762"/>
    <w:rsid w:val="00200CF0"/>
    <w:rsid w:val="00227B01"/>
    <w:rsid w:val="00237B17"/>
    <w:rsid w:val="00262745"/>
    <w:rsid w:val="0026321F"/>
    <w:rsid w:val="00266301"/>
    <w:rsid w:val="00273B54"/>
    <w:rsid w:val="0027537B"/>
    <w:rsid w:val="0028346B"/>
    <w:rsid w:val="00283F9E"/>
    <w:rsid w:val="0029095F"/>
    <w:rsid w:val="002A14E0"/>
    <w:rsid w:val="002B2687"/>
    <w:rsid w:val="002C2645"/>
    <w:rsid w:val="002F2E82"/>
    <w:rsid w:val="003F19EE"/>
    <w:rsid w:val="003F5EE1"/>
    <w:rsid w:val="0041487F"/>
    <w:rsid w:val="004444CA"/>
    <w:rsid w:val="004519B6"/>
    <w:rsid w:val="004A2660"/>
    <w:rsid w:val="00522756"/>
    <w:rsid w:val="005D4C08"/>
    <w:rsid w:val="005F4416"/>
    <w:rsid w:val="00657490"/>
    <w:rsid w:val="00676906"/>
    <w:rsid w:val="00681556"/>
    <w:rsid w:val="006851CA"/>
    <w:rsid w:val="006C1778"/>
    <w:rsid w:val="006F0B30"/>
    <w:rsid w:val="006F3AB7"/>
    <w:rsid w:val="006F7872"/>
    <w:rsid w:val="006F7979"/>
    <w:rsid w:val="00723F19"/>
    <w:rsid w:val="00767E82"/>
    <w:rsid w:val="007803C8"/>
    <w:rsid w:val="00796F5B"/>
    <w:rsid w:val="007C4227"/>
    <w:rsid w:val="007E68C2"/>
    <w:rsid w:val="00805842"/>
    <w:rsid w:val="00807FA2"/>
    <w:rsid w:val="00826368"/>
    <w:rsid w:val="00840BF2"/>
    <w:rsid w:val="008835C4"/>
    <w:rsid w:val="00895EDF"/>
    <w:rsid w:val="008E4270"/>
    <w:rsid w:val="008F6104"/>
    <w:rsid w:val="00947FBB"/>
    <w:rsid w:val="00983A7C"/>
    <w:rsid w:val="009A1563"/>
    <w:rsid w:val="009A790B"/>
    <w:rsid w:val="009B1341"/>
    <w:rsid w:val="009E35E4"/>
    <w:rsid w:val="009F1FCC"/>
    <w:rsid w:val="00A018F4"/>
    <w:rsid w:val="00A04D8B"/>
    <w:rsid w:val="00A57196"/>
    <w:rsid w:val="00A67927"/>
    <w:rsid w:val="00AC18D4"/>
    <w:rsid w:val="00AE254F"/>
    <w:rsid w:val="00AF0199"/>
    <w:rsid w:val="00B01572"/>
    <w:rsid w:val="00B03658"/>
    <w:rsid w:val="00B25E28"/>
    <w:rsid w:val="00B63679"/>
    <w:rsid w:val="00BE7321"/>
    <w:rsid w:val="00C03985"/>
    <w:rsid w:val="00C15B0C"/>
    <w:rsid w:val="00C248EC"/>
    <w:rsid w:val="00C74A00"/>
    <w:rsid w:val="00C8169B"/>
    <w:rsid w:val="00CA58F5"/>
    <w:rsid w:val="00CB3B72"/>
    <w:rsid w:val="00D2260D"/>
    <w:rsid w:val="00D32976"/>
    <w:rsid w:val="00D33364"/>
    <w:rsid w:val="00D533E3"/>
    <w:rsid w:val="00D837D1"/>
    <w:rsid w:val="00D842F2"/>
    <w:rsid w:val="00DD540E"/>
    <w:rsid w:val="00DE16B9"/>
    <w:rsid w:val="00E14981"/>
    <w:rsid w:val="00E4778C"/>
    <w:rsid w:val="00E51C2D"/>
    <w:rsid w:val="00ED692B"/>
    <w:rsid w:val="00EF6D9C"/>
    <w:rsid w:val="00F14C9A"/>
    <w:rsid w:val="00F374AA"/>
    <w:rsid w:val="00F57999"/>
    <w:rsid w:val="00F73A21"/>
    <w:rsid w:val="00FA0ABD"/>
    <w:rsid w:val="00FA44A4"/>
    <w:rsid w:val="00FD6A43"/>
    <w:rsid w:val="00FE2242"/>
    <w:rsid w:val="00FF2EB9"/>
    <w:rsid w:val="02832598"/>
    <w:rsid w:val="03A80933"/>
    <w:rsid w:val="04B9408F"/>
    <w:rsid w:val="054D733B"/>
    <w:rsid w:val="062C666B"/>
    <w:rsid w:val="06E748BA"/>
    <w:rsid w:val="08D80053"/>
    <w:rsid w:val="09F313D5"/>
    <w:rsid w:val="0A2E0E82"/>
    <w:rsid w:val="0B0A4D29"/>
    <w:rsid w:val="0B3B1E57"/>
    <w:rsid w:val="0B606E38"/>
    <w:rsid w:val="0BE2303D"/>
    <w:rsid w:val="0D554FDF"/>
    <w:rsid w:val="0E2B5D40"/>
    <w:rsid w:val="188C6047"/>
    <w:rsid w:val="197064A6"/>
    <w:rsid w:val="197809F6"/>
    <w:rsid w:val="19AD249F"/>
    <w:rsid w:val="19E03401"/>
    <w:rsid w:val="1B203E27"/>
    <w:rsid w:val="1BF34341"/>
    <w:rsid w:val="1C956D7D"/>
    <w:rsid w:val="1CA3479E"/>
    <w:rsid w:val="1CD32F32"/>
    <w:rsid w:val="1CE3192D"/>
    <w:rsid w:val="1CF2284B"/>
    <w:rsid w:val="1E886B86"/>
    <w:rsid w:val="206E7348"/>
    <w:rsid w:val="21C847EF"/>
    <w:rsid w:val="23056708"/>
    <w:rsid w:val="23891ADE"/>
    <w:rsid w:val="24776059"/>
    <w:rsid w:val="26155F26"/>
    <w:rsid w:val="27F31225"/>
    <w:rsid w:val="28924EE2"/>
    <w:rsid w:val="2A361134"/>
    <w:rsid w:val="2AA5783E"/>
    <w:rsid w:val="2D025316"/>
    <w:rsid w:val="2D1F0FAD"/>
    <w:rsid w:val="2F3F25F8"/>
    <w:rsid w:val="2FA5640D"/>
    <w:rsid w:val="317C4B6A"/>
    <w:rsid w:val="32694630"/>
    <w:rsid w:val="36C35464"/>
    <w:rsid w:val="385555E4"/>
    <w:rsid w:val="3AB12833"/>
    <w:rsid w:val="3AD2588E"/>
    <w:rsid w:val="3DEB462F"/>
    <w:rsid w:val="3E2A576F"/>
    <w:rsid w:val="3EDE5D3C"/>
    <w:rsid w:val="3F3073CA"/>
    <w:rsid w:val="410937D5"/>
    <w:rsid w:val="415A08CA"/>
    <w:rsid w:val="415F0F61"/>
    <w:rsid w:val="431A6006"/>
    <w:rsid w:val="431A7870"/>
    <w:rsid w:val="46FB5D1E"/>
    <w:rsid w:val="47540D97"/>
    <w:rsid w:val="483548C9"/>
    <w:rsid w:val="48CE7451"/>
    <w:rsid w:val="4951733A"/>
    <w:rsid w:val="4A52285C"/>
    <w:rsid w:val="4E566E07"/>
    <w:rsid w:val="4E837678"/>
    <w:rsid w:val="4E977F1C"/>
    <w:rsid w:val="4EA12ED9"/>
    <w:rsid w:val="528B0392"/>
    <w:rsid w:val="58214B31"/>
    <w:rsid w:val="585A4825"/>
    <w:rsid w:val="58697817"/>
    <w:rsid w:val="590D0758"/>
    <w:rsid w:val="59B30690"/>
    <w:rsid w:val="59CB2F59"/>
    <w:rsid w:val="5A254AFF"/>
    <w:rsid w:val="5A497F79"/>
    <w:rsid w:val="5AF30F60"/>
    <w:rsid w:val="5BB350ED"/>
    <w:rsid w:val="5BC324E7"/>
    <w:rsid w:val="5D8F74AA"/>
    <w:rsid w:val="5D9D7A90"/>
    <w:rsid w:val="5DCE3495"/>
    <w:rsid w:val="5FA01F47"/>
    <w:rsid w:val="5FF313A4"/>
    <w:rsid w:val="602F0380"/>
    <w:rsid w:val="61E66941"/>
    <w:rsid w:val="648835C7"/>
    <w:rsid w:val="654505C8"/>
    <w:rsid w:val="66A40CEC"/>
    <w:rsid w:val="670F710A"/>
    <w:rsid w:val="672C3505"/>
    <w:rsid w:val="67C67CE2"/>
    <w:rsid w:val="690312C8"/>
    <w:rsid w:val="69187C2D"/>
    <w:rsid w:val="69264C71"/>
    <w:rsid w:val="6A851733"/>
    <w:rsid w:val="6BE6793E"/>
    <w:rsid w:val="6C212B4B"/>
    <w:rsid w:val="6CF15A46"/>
    <w:rsid w:val="6E796149"/>
    <w:rsid w:val="709335E5"/>
    <w:rsid w:val="71F36706"/>
    <w:rsid w:val="726B5F28"/>
    <w:rsid w:val="731D05CC"/>
    <w:rsid w:val="74087FBF"/>
    <w:rsid w:val="757B7431"/>
    <w:rsid w:val="75B17F5E"/>
    <w:rsid w:val="75EF25F8"/>
    <w:rsid w:val="76811A1F"/>
    <w:rsid w:val="76CA3924"/>
    <w:rsid w:val="77974CF6"/>
    <w:rsid w:val="78D34F15"/>
    <w:rsid w:val="791A1C0C"/>
    <w:rsid w:val="79DA6C10"/>
    <w:rsid w:val="7AAE609F"/>
    <w:rsid w:val="7B5959F1"/>
    <w:rsid w:val="7BB045D8"/>
    <w:rsid w:val="7BFC781D"/>
    <w:rsid w:val="7D065BEE"/>
    <w:rsid w:val="7D6E1C27"/>
    <w:rsid w:val="7F417AF2"/>
    <w:rsid w:val="7F800613"/>
    <w:rsid w:val="7FAE2B19"/>
    <w:rsid w:val="7FD3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4">
    <w:name w:val="heading 1"/>
    <w:basedOn w:val="1"/>
    <w:next w:val="1"/>
    <w:link w:val="30"/>
    <w:autoRedefine/>
    <w:qFormat/>
    <w:uiPriority w:val="99"/>
    <w:pPr>
      <w:keepNext/>
      <w:keepLines/>
      <w:widowControl w:val="0"/>
      <w:spacing w:before="340" w:after="330" w:line="576" w:lineRule="auto"/>
      <w:textAlignment w:val="auto"/>
      <w:outlineLvl w:val="0"/>
    </w:pPr>
    <w:rPr>
      <w:b/>
      <w:bCs/>
      <w:color w:val="auto"/>
      <w:kern w:val="44"/>
      <w:sz w:val="44"/>
      <w:szCs w:val="44"/>
    </w:rPr>
  </w:style>
  <w:style w:type="paragraph" w:styleId="5">
    <w:name w:val="heading 3"/>
    <w:basedOn w:val="1"/>
    <w:next w:val="1"/>
    <w:link w:val="31"/>
    <w:autoRedefine/>
    <w:qFormat/>
    <w:uiPriority w:val="99"/>
    <w:pPr>
      <w:keepNext/>
      <w:keepLines/>
      <w:spacing w:before="260" w:after="260" w:line="416" w:lineRule="atLeast"/>
      <w:outlineLvl w:val="2"/>
    </w:pPr>
    <w:rPr>
      <w:b/>
      <w:bCs/>
      <w:sz w:val="32"/>
      <w:szCs w:val="32"/>
    </w:rPr>
  </w:style>
  <w:style w:type="paragraph" w:styleId="6">
    <w:name w:val="heading 4"/>
    <w:basedOn w:val="1"/>
    <w:next w:val="1"/>
    <w:autoRedefine/>
    <w:qFormat/>
    <w:uiPriority w:val="0"/>
    <w:pPr>
      <w:keepNext/>
      <w:keepLines/>
      <w:spacing w:before="280" w:after="290" w:line="376" w:lineRule="atLeast"/>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locked/>
    <w:uiPriority w:val="0"/>
    <w:pPr>
      <w:spacing w:after="120"/>
    </w:pPr>
  </w:style>
  <w:style w:type="paragraph" w:styleId="3">
    <w:name w:val="Body Text 2"/>
    <w:basedOn w:val="1"/>
    <w:link w:val="38"/>
    <w:autoRedefine/>
    <w:qFormat/>
    <w:uiPriority w:val="99"/>
    <w:pPr>
      <w:spacing w:after="120" w:line="480" w:lineRule="auto"/>
    </w:pPr>
  </w:style>
  <w:style w:type="paragraph" w:styleId="7">
    <w:name w:val="Body Text Indent"/>
    <w:basedOn w:val="1"/>
    <w:next w:val="8"/>
    <w:link w:val="32"/>
    <w:autoRedefine/>
    <w:qFormat/>
    <w:uiPriority w:val="99"/>
    <w:pPr>
      <w:widowControl w:val="0"/>
      <w:snapToGrid w:val="0"/>
      <w:spacing w:before="283" w:line="560" w:lineRule="exact"/>
      <w:ind w:firstLine="510"/>
    </w:pPr>
    <w:rPr>
      <w:sz w:val="28"/>
    </w:rPr>
  </w:style>
  <w:style w:type="paragraph" w:styleId="8">
    <w:name w:val="Body Text First Indent 2"/>
    <w:basedOn w:val="7"/>
    <w:next w:val="2"/>
    <w:autoRedefine/>
    <w:qFormat/>
    <w:locked/>
    <w:uiPriority w:val="0"/>
    <w:pPr>
      <w:tabs>
        <w:tab w:val="left" w:pos="945"/>
        <w:tab w:val="left" w:pos="1155"/>
      </w:tabs>
      <w:ind w:firstLine="420" w:firstLineChars="200"/>
    </w:pPr>
  </w:style>
  <w:style w:type="paragraph" w:styleId="9">
    <w:name w:val="Plain Text"/>
    <w:basedOn w:val="1"/>
    <w:link w:val="61"/>
    <w:autoRedefine/>
    <w:qFormat/>
    <w:uiPriority w:val="99"/>
    <w:pPr>
      <w:widowControl w:val="0"/>
      <w:spacing w:line="240" w:lineRule="auto"/>
      <w:textAlignment w:val="auto"/>
    </w:pPr>
    <w:rPr>
      <w:rFonts w:ascii="宋体" w:hAnsi="Courier New"/>
      <w:color w:val="auto"/>
      <w:kern w:val="2"/>
    </w:rPr>
  </w:style>
  <w:style w:type="paragraph" w:styleId="10">
    <w:name w:val="Date"/>
    <w:basedOn w:val="1"/>
    <w:next w:val="1"/>
    <w:link w:val="34"/>
    <w:autoRedefine/>
    <w:qFormat/>
    <w:uiPriority w:val="99"/>
    <w:pPr>
      <w:ind w:left="100" w:leftChars="2500"/>
    </w:pPr>
  </w:style>
  <w:style w:type="paragraph" w:styleId="11">
    <w:name w:val="Balloon Text"/>
    <w:basedOn w:val="1"/>
    <w:link w:val="35"/>
    <w:autoRedefine/>
    <w:qFormat/>
    <w:uiPriority w:val="99"/>
    <w:pPr>
      <w:spacing w:line="240" w:lineRule="auto"/>
    </w:pPr>
    <w:rPr>
      <w:sz w:val="18"/>
      <w:szCs w:val="18"/>
    </w:rPr>
  </w:style>
  <w:style w:type="paragraph" w:styleId="12">
    <w:name w:val="footer"/>
    <w:basedOn w:val="1"/>
    <w:link w:val="36"/>
    <w:autoRedefine/>
    <w:qFormat/>
    <w:uiPriority w:val="99"/>
    <w:pPr>
      <w:tabs>
        <w:tab w:val="center" w:pos="4153"/>
        <w:tab w:val="right" w:pos="8306"/>
      </w:tabs>
      <w:snapToGrid w:val="0"/>
      <w:spacing w:line="240" w:lineRule="atLeast"/>
      <w:jc w:val="left"/>
    </w:pPr>
    <w:rPr>
      <w:sz w:val="18"/>
      <w:szCs w:val="18"/>
    </w:rPr>
  </w:style>
  <w:style w:type="paragraph" w:styleId="13">
    <w:name w:val="envelope return"/>
    <w:basedOn w:val="1"/>
    <w:autoRedefine/>
    <w:qFormat/>
    <w:locked/>
    <w:uiPriority w:val="0"/>
    <w:pPr>
      <w:snapToGrid w:val="0"/>
    </w:pPr>
    <w:rPr>
      <w:rFonts w:ascii="Arial" w:hAnsi="Arial"/>
    </w:rPr>
  </w:style>
  <w:style w:type="paragraph" w:styleId="14">
    <w:name w:val="header"/>
    <w:basedOn w:val="1"/>
    <w:link w:val="37"/>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ind w:left="420" w:leftChars="200"/>
    </w:pPr>
  </w:style>
  <w:style w:type="paragraph" w:styleId="17">
    <w:name w:val="Message Header"/>
    <w:basedOn w:val="1"/>
    <w:autoRedefine/>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Normal (Web)"/>
    <w:basedOn w:val="1"/>
    <w:autoRedefine/>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9">
    <w:name w:val="Body Text First Indent"/>
    <w:basedOn w:val="2"/>
    <w:next w:val="8"/>
    <w:autoRedefine/>
    <w:qFormat/>
    <w:locked/>
    <w:uiPriority w:val="0"/>
    <w:pPr>
      <w:ind w:firstLine="420"/>
    </w:pPr>
    <w:rPr>
      <w:rFonts w:eastAsia="楷体_GB2312"/>
      <w:sz w:val="32"/>
    </w:rPr>
  </w:style>
  <w:style w:type="table" w:styleId="21">
    <w:name w:val="Table Grid"/>
    <w:basedOn w:val="2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99"/>
    <w:rPr>
      <w:rFonts w:ascii="Times New Roman" w:hAnsi="Times New Roman" w:eastAsia="宋体" w:cs="Times New Roman"/>
      <w:b/>
    </w:rPr>
  </w:style>
  <w:style w:type="character" w:styleId="24">
    <w:name w:val="page number"/>
    <w:autoRedefine/>
    <w:qFormat/>
    <w:uiPriority w:val="99"/>
    <w:rPr>
      <w:rFonts w:ascii="Times New Roman" w:hAnsi="Times New Roman" w:eastAsia="宋体" w:cs="Times New Roman"/>
    </w:rPr>
  </w:style>
  <w:style w:type="character" w:styleId="25">
    <w:name w:val="FollowedHyperlink"/>
    <w:basedOn w:val="22"/>
    <w:autoRedefine/>
    <w:semiHidden/>
    <w:unhideWhenUsed/>
    <w:qFormat/>
    <w:locked/>
    <w:uiPriority w:val="99"/>
    <w:rPr>
      <w:color w:val="800080"/>
      <w:u w:val="none"/>
    </w:rPr>
  </w:style>
  <w:style w:type="character" w:styleId="26">
    <w:name w:val="Hyperlink"/>
    <w:autoRedefine/>
    <w:qFormat/>
    <w:uiPriority w:val="99"/>
    <w:rPr>
      <w:rFonts w:ascii="Times New Roman" w:hAnsi="Times New Roman" w:eastAsia="宋体" w:cs="Times New Roman"/>
      <w:color w:val="0368A8"/>
      <w:u w:val="none"/>
    </w:rPr>
  </w:style>
  <w:style w:type="character" w:styleId="27">
    <w:name w:val="HTML Code"/>
    <w:basedOn w:val="22"/>
    <w:autoRedefine/>
    <w:semiHidden/>
    <w:unhideWhenUsed/>
    <w:qFormat/>
    <w:locked/>
    <w:uiPriority w:val="99"/>
    <w:rPr>
      <w:rFonts w:hint="default" w:ascii="monospace" w:hAnsi="monospace" w:eastAsia="monospace" w:cs="monospace"/>
      <w:sz w:val="21"/>
      <w:szCs w:val="21"/>
    </w:rPr>
  </w:style>
  <w:style w:type="character" w:styleId="28">
    <w:name w:val="HTML Keyboard"/>
    <w:basedOn w:val="22"/>
    <w:autoRedefine/>
    <w:semiHidden/>
    <w:unhideWhenUsed/>
    <w:qFormat/>
    <w:locked/>
    <w:uiPriority w:val="99"/>
    <w:rPr>
      <w:rFonts w:hint="default" w:ascii="monospace" w:hAnsi="monospace" w:eastAsia="monospace" w:cs="monospace"/>
      <w:sz w:val="21"/>
      <w:szCs w:val="21"/>
    </w:rPr>
  </w:style>
  <w:style w:type="character" w:styleId="29">
    <w:name w:val="HTML Sample"/>
    <w:basedOn w:val="22"/>
    <w:autoRedefine/>
    <w:semiHidden/>
    <w:unhideWhenUsed/>
    <w:qFormat/>
    <w:locked/>
    <w:uiPriority w:val="99"/>
    <w:rPr>
      <w:rFonts w:ascii="monospace" w:hAnsi="monospace" w:eastAsia="monospace" w:cs="monospace"/>
      <w:sz w:val="21"/>
      <w:szCs w:val="21"/>
    </w:rPr>
  </w:style>
  <w:style w:type="character" w:customStyle="1" w:styleId="30">
    <w:name w:val="标题 1 Char"/>
    <w:link w:val="4"/>
    <w:autoRedefine/>
    <w:qFormat/>
    <w:locked/>
    <w:uiPriority w:val="99"/>
    <w:rPr>
      <w:rFonts w:ascii="Times New Roman" w:hAnsi="Times New Roman" w:eastAsia="宋体" w:cs="Times New Roman"/>
      <w:b/>
      <w:bCs/>
      <w:color w:val="auto"/>
      <w:kern w:val="44"/>
      <w:sz w:val="44"/>
      <w:szCs w:val="44"/>
    </w:rPr>
  </w:style>
  <w:style w:type="character" w:customStyle="1" w:styleId="31">
    <w:name w:val="标题 3 Char"/>
    <w:link w:val="5"/>
    <w:autoRedefine/>
    <w:semiHidden/>
    <w:qFormat/>
    <w:locked/>
    <w:uiPriority w:val="99"/>
    <w:rPr>
      <w:rFonts w:ascii="Times New Roman" w:hAnsi="Times New Roman" w:eastAsia="宋体" w:cs="Times New Roman"/>
      <w:b/>
      <w:bCs/>
      <w:sz w:val="32"/>
      <w:szCs w:val="32"/>
    </w:rPr>
  </w:style>
  <w:style w:type="character" w:customStyle="1" w:styleId="32">
    <w:name w:val="正文文本缩进 Char"/>
    <w:link w:val="7"/>
    <w:autoRedefine/>
    <w:semiHidden/>
    <w:qFormat/>
    <w:locked/>
    <w:uiPriority w:val="99"/>
    <w:rPr>
      <w:rFonts w:ascii="Times New Roman" w:hAnsi="Times New Roman" w:eastAsia="宋体" w:cs="Times New Roman"/>
      <w:sz w:val="28"/>
    </w:rPr>
  </w:style>
  <w:style w:type="character" w:customStyle="1" w:styleId="33">
    <w:name w:val="Plain Text Char"/>
    <w:autoRedefine/>
    <w:qFormat/>
    <w:locked/>
    <w:uiPriority w:val="99"/>
    <w:rPr>
      <w:rFonts w:ascii="宋体" w:hAnsi="Courier New" w:eastAsia="宋体" w:cs="Times New Roman"/>
      <w:kern w:val="2"/>
      <w:sz w:val="21"/>
      <w:lang w:val="en-US" w:eastAsia="zh-CN"/>
    </w:rPr>
  </w:style>
  <w:style w:type="character" w:customStyle="1" w:styleId="34">
    <w:name w:val="日期 Char"/>
    <w:link w:val="10"/>
    <w:autoRedefine/>
    <w:qFormat/>
    <w:locked/>
    <w:uiPriority w:val="99"/>
    <w:rPr>
      <w:rFonts w:ascii="Times New Roman" w:hAnsi="Times New Roman" w:eastAsia="宋体" w:cs="Times New Roman"/>
    </w:rPr>
  </w:style>
  <w:style w:type="character" w:customStyle="1" w:styleId="35">
    <w:name w:val="批注框文本 Char"/>
    <w:link w:val="11"/>
    <w:autoRedefine/>
    <w:qFormat/>
    <w:locked/>
    <w:uiPriority w:val="99"/>
    <w:rPr>
      <w:rFonts w:ascii="Times New Roman" w:hAnsi="Times New Roman" w:eastAsia="宋体" w:cs="Times New Roman"/>
      <w:sz w:val="18"/>
      <w:szCs w:val="18"/>
    </w:rPr>
  </w:style>
  <w:style w:type="character" w:customStyle="1" w:styleId="36">
    <w:name w:val="页脚 Char"/>
    <w:link w:val="12"/>
    <w:autoRedefine/>
    <w:semiHidden/>
    <w:qFormat/>
    <w:locked/>
    <w:uiPriority w:val="99"/>
    <w:rPr>
      <w:rFonts w:ascii="Times New Roman" w:hAnsi="Times New Roman" w:eastAsia="宋体" w:cs="Times New Roman"/>
      <w:sz w:val="18"/>
      <w:szCs w:val="18"/>
    </w:rPr>
  </w:style>
  <w:style w:type="character" w:customStyle="1" w:styleId="37">
    <w:name w:val="页眉 Char"/>
    <w:link w:val="14"/>
    <w:autoRedefine/>
    <w:semiHidden/>
    <w:qFormat/>
    <w:locked/>
    <w:uiPriority w:val="99"/>
    <w:rPr>
      <w:rFonts w:ascii="Times New Roman" w:hAnsi="Times New Roman" w:eastAsia="宋体" w:cs="Times New Roman"/>
      <w:sz w:val="18"/>
      <w:szCs w:val="18"/>
    </w:rPr>
  </w:style>
  <w:style w:type="character" w:customStyle="1" w:styleId="38">
    <w:name w:val="正文文本 2 Char"/>
    <w:link w:val="3"/>
    <w:autoRedefine/>
    <w:semiHidden/>
    <w:qFormat/>
    <w:locked/>
    <w:uiPriority w:val="99"/>
    <w:rPr>
      <w:rFonts w:ascii="Times New Roman" w:hAnsi="Times New Roman" w:eastAsia="宋体" w:cs="Times New Roman"/>
    </w:rPr>
  </w:style>
  <w:style w:type="paragraph" w:customStyle="1" w:styleId="39">
    <w:name w:val="目录1"/>
    <w:basedOn w:val="1"/>
    <w:next w:val="1"/>
    <w:autoRedefine/>
    <w:qFormat/>
    <w:uiPriority w:val="99"/>
    <w:pPr>
      <w:tabs>
        <w:tab w:val="left" w:leader="dot" w:pos="8503"/>
      </w:tabs>
      <w:spacing w:after="136" w:line="289" w:lineRule="atLeast"/>
      <w:jc w:val="left"/>
    </w:pPr>
    <w:rPr>
      <w:rFonts w:ascii="Arial" w:eastAsia="黑体"/>
      <w:sz w:val="28"/>
    </w:rPr>
  </w:style>
  <w:style w:type="paragraph" w:customStyle="1" w:styleId="40">
    <w:name w:val="章标题"/>
    <w:basedOn w:val="1"/>
    <w:next w:val="41"/>
    <w:autoRedefine/>
    <w:qFormat/>
    <w:uiPriority w:val="99"/>
    <w:pPr>
      <w:spacing w:before="158" w:after="153" w:line="323" w:lineRule="atLeast"/>
      <w:jc w:val="center"/>
    </w:pPr>
    <w:rPr>
      <w:rFonts w:ascii="Arial" w:eastAsia="黑体"/>
      <w:sz w:val="31"/>
    </w:rPr>
  </w:style>
  <w:style w:type="paragraph" w:customStyle="1" w:styleId="41">
    <w:name w:val="节标题"/>
    <w:basedOn w:val="1"/>
    <w:next w:val="42"/>
    <w:autoRedefine/>
    <w:qFormat/>
    <w:uiPriority w:val="99"/>
    <w:pPr>
      <w:spacing w:line="289" w:lineRule="atLeast"/>
      <w:jc w:val="center"/>
    </w:pPr>
    <w:rPr>
      <w:sz w:val="28"/>
    </w:rPr>
  </w:style>
  <w:style w:type="paragraph" w:customStyle="1" w:styleId="42">
    <w:name w:val="小节标题"/>
    <w:basedOn w:val="1"/>
    <w:next w:val="1"/>
    <w:autoRedefine/>
    <w:qFormat/>
    <w:uiPriority w:val="99"/>
    <w:pPr>
      <w:spacing w:before="175" w:after="102" w:line="351" w:lineRule="atLeast"/>
    </w:pPr>
    <w:rPr>
      <w:rFonts w:eastAsia="黑体"/>
    </w:rPr>
  </w:style>
  <w:style w:type="paragraph" w:customStyle="1" w:styleId="43">
    <w:name w:val="目录2"/>
    <w:basedOn w:val="1"/>
    <w:next w:val="1"/>
    <w:autoRedefine/>
    <w:qFormat/>
    <w:uiPriority w:val="99"/>
    <w:pPr>
      <w:tabs>
        <w:tab w:val="left" w:leader="dot" w:pos="8503"/>
      </w:tabs>
      <w:spacing w:line="317" w:lineRule="atLeast"/>
      <w:ind w:firstLine="209"/>
    </w:pPr>
  </w:style>
  <w:style w:type="paragraph" w:customStyle="1" w:styleId="44">
    <w:name w:val="目录4"/>
    <w:basedOn w:val="1"/>
    <w:next w:val="1"/>
    <w:autoRedefine/>
    <w:qFormat/>
    <w:uiPriority w:val="99"/>
    <w:pPr>
      <w:tabs>
        <w:tab w:val="left" w:leader="dot" w:pos="8503"/>
      </w:tabs>
      <w:spacing w:line="317" w:lineRule="atLeast"/>
      <w:ind w:firstLine="629"/>
    </w:pPr>
  </w:style>
  <w:style w:type="paragraph" w:customStyle="1" w:styleId="45">
    <w:name w:val="1 Char Char Char Char"/>
    <w:basedOn w:val="1"/>
    <w:autoRedefine/>
    <w:qFormat/>
    <w:uiPriority w:val="99"/>
    <w:pPr>
      <w:widowControl w:val="0"/>
      <w:spacing w:line="240" w:lineRule="auto"/>
      <w:textAlignment w:val="auto"/>
    </w:pPr>
    <w:rPr>
      <w:rFonts w:ascii="Tahoma" w:hAnsi="Tahoma" w:cs="Tahoma"/>
      <w:color w:val="auto"/>
      <w:kern w:val="2"/>
      <w:sz w:val="24"/>
      <w:szCs w:val="24"/>
    </w:rPr>
  </w:style>
  <w:style w:type="paragraph" w:customStyle="1" w:styleId="46">
    <w:name w:val="Char Char Char"/>
    <w:basedOn w:val="1"/>
    <w:autoRedefine/>
    <w:qFormat/>
    <w:uiPriority w:val="99"/>
    <w:pPr>
      <w:widowControl w:val="0"/>
      <w:spacing w:line="240" w:lineRule="auto"/>
      <w:textAlignment w:val="auto"/>
    </w:pPr>
    <w:rPr>
      <w:rFonts w:ascii="Tahoma" w:hAnsi="Tahoma"/>
      <w:color w:val="auto"/>
      <w:kern w:val="2"/>
      <w:sz w:val="24"/>
    </w:rPr>
  </w:style>
  <w:style w:type="paragraph" w:customStyle="1" w:styleId="47">
    <w:name w:val="目录3"/>
    <w:basedOn w:val="1"/>
    <w:next w:val="1"/>
    <w:autoRedefine/>
    <w:qFormat/>
    <w:uiPriority w:val="99"/>
    <w:pPr>
      <w:tabs>
        <w:tab w:val="left" w:leader="dot" w:pos="8503"/>
      </w:tabs>
      <w:spacing w:line="317" w:lineRule="atLeast"/>
      <w:ind w:firstLine="419"/>
    </w:pPr>
  </w:style>
  <w:style w:type="paragraph" w:customStyle="1" w:styleId="48">
    <w:name w:val="目录标题"/>
    <w:basedOn w:val="1"/>
    <w:next w:val="1"/>
    <w:autoRedefine/>
    <w:qFormat/>
    <w:uiPriority w:val="99"/>
    <w:pPr>
      <w:spacing w:before="566" w:after="544" w:line="566" w:lineRule="atLeast"/>
      <w:ind w:firstLine="419"/>
      <w:jc w:val="center"/>
    </w:pPr>
    <w:rPr>
      <w:rFonts w:ascii="Arial" w:eastAsia="黑体"/>
      <w:spacing w:val="566"/>
      <w:sz w:val="54"/>
    </w:rPr>
  </w:style>
  <w:style w:type="paragraph" w:customStyle="1" w:styleId="49">
    <w:name w:val="文章总标题"/>
    <w:basedOn w:val="1"/>
    <w:next w:val="50"/>
    <w:autoRedefine/>
    <w:qFormat/>
    <w:uiPriority w:val="99"/>
    <w:pPr>
      <w:spacing w:before="566" w:after="544" w:line="566" w:lineRule="atLeast"/>
      <w:jc w:val="center"/>
    </w:pPr>
    <w:rPr>
      <w:rFonts w:ascii="Arial" w:eastAsia="黑体"/>
      <w:sz w:val="54"/>
    </w:rPr>
  </w:style>
  <w:style w:type="paragraph" w:customStyle="1" w:styleId="50">
    <w:name w:val="文章附标题"/>
    <w:basedOn w:val="1"/>
    <w:next w:val="40"/>
    <w:autoRedefine/>
    <w:qFormat/>
    <w:uiPriority w:val="99"/>
    <w:pPr>
      <w:spacing w:before="187" w:after="175" w:line="374" w:lineRule="atLeast"/>
      <w:jc w:val="center"/>
    </w:pPr>
    <w:rPr>
      <w:sz w:val="36"/>
    </w:rPr>
  </w:style>
  <w:style w:type="paragraph" w:customStyle="1" w:styleId="51">
    <w:name w:val="Char1"/>
    <w:basedOn w:val="1"/>
    <w:autoRedefine/>
    <w:qFormat/>
    <w:uiPriority w:val="99"/>
    <w:pPr>
      <w:widowControl w:val="0"/>
      <w:spacing w:line="240" w:lineRule="auto"/>
      <w:textAlignment w:val="auto"/>
    </w:pPr>
    <w:rPr>
      <w:rFonts w:ascii="Tahoma" w:hAnsi="Tahoma"/>
      <w:color w:val="auto"/>
      <w:kern w:val="2"/>
      <w:sz w:val="24"/>
    </w:rPr>
  </w:style>
  <w:style w:type="paragraph" w:customStyle="1" w:styleId="52">
    <w:name w:val="Char11"/>
    <w:basedOn w:val="1"/>
    <w:autoRedefine/>
    <w:qFormat/>
    <w:uiPriority w:val="99"/>
    <w:pPr>
      <w:widowControl w:val="0"/>
      <w:spacing w:line="240" w:lineRule="auto"/>
      <w:textAlignment w:val="auto"/>
    </w:pPr>
    <w:rPr>
      <w:rFonts w:ascii="Tahoma" w:hAnsi="Tahoma"/>
      <w:color w:val="auto"/>
      <w:kern w:val="2"/>
      <w:sz w:val="24"/>
    </w:rPr>
  </w:style>
  <w:style w:type="paragraph" w:customStyle="1" w:styleId="53">
    <w:name w:val="Char Char Char Char Char Char Char"/>
    <w:basedOn w:val="1"/>
    <w:autoRedefine/>
    <w:qFormat/>
    <w:uiPriority w:val="99"/>
    <w:pPr>
      <w:widowControl w:val="0"/>
      <w:spacing w:line="240" w:lineRule="auto"/>
      <w:textAlignment w:val="auto"/>
    </w:pPr>
    <w:rPr>
      <w:rFonts w:ascii="Tahoma" w:hAnsi="Tahoma"/>
      <w:color w:val="auto"/>
      <w:kern w:val="2"/>
      <w:sz w:val="24"/>
    </w:rPr>
  </w:style>
  <w:style w:type="paragraph" w:customStyle="1" w:styleId="54">
    <w:name w:val="WPS Plain"/>
    <w:autoRedefine/>
    <w:qFormat/>
    <w:uiPriority w:val="99"/>
    <w:rPr>
      <w:rFonts w:ascii="Times New Roman" w:hAnsi="Times New Roman" w:eastAsia="宋体" w:cs="Times New Roman"/>
      <w:lang w:val="en-US" w:eastAsia="zh-CN" w:bidi="ar-SA"/>
    </w:rPr>
  </w:style>
  <w:style w:type="paragraph" w:customStyle="1" w:styleId="55">
    <w:name w:val="cjk"/>
    <w:basedOn w:val="1"/>
    <w:autoRedefine/>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6">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7">
    <w:name w:val="TOC 标题1"/>
    <w:basedOn w:val="4"/>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8">
    <w:name w:val="链接"/>
    <w:autoRedefine/>
    <w:qFormat/>
    <w:uiPriority w:val="99"/>
    <w:rPr>
      <w:rFonts w:ascii="Times New Roman" w:hAnsi="Times New Roman" w:eastAsia="宋体" w:cs="Times New Roman"/>
      <w:color w:val="0000FF"/>
      <w:sz w:val="21"/>
      <w:u w:val="single" w:color="0000FF"/>
      <w:lang w:val="en-US" w:eastAsia="zh-CN"/>
    </w:rPr>
  </w:style>
  <w:style w:type="character" w:customStyle="1" w:styleId="59">
    <w:name w:val="超级链接"/>
    <w:autoRedefine/>
    <w:qFormat/>
    <w:uiPriority w:val="99"/>
    <w:rPr>
      <w:rFonts w:ascii="Times New Roman" w:hAnsi="Times New Roman" w:eastAsia="宋体" w:cs="Times New Roman"/>
      <w:color w:val="0000FF"/>
      <w:sz w:val="21"/>
      <w:u w:val="single" w:color="0000FF"/>
      <w:lang w:val="en-US" w:eastAsia="zh-CN"/>
    </w:rPr>
  </w:style>
  <w:style w:type="character" w:customStyle="1" w:styleId="60">
    <w:name w:val="param_td12"/>
    <w:autoRedefine/>
    <w:qFormat/>
    <w:uiPriority w:val="99"/>
    <w:rPr>
      <w:rFonts w:ascii="Times New Roman" w:hAnsi="Times New Roman" w:eastAsia="宋体" w:cs="Times New Roman"/>
    </w:rPr>
  </w:style>
  <w:style w:type="character" w:customStyle="1" w:styleId="61">
    <w:name w:val="纯文本 Char"/>
    <w:link w:val="9"/>
    <w:autoRedefine/>
    <w:semiHidden/>
    <w:qFormat/>
    <w:locked/>
    <w:uiPriority w:val="99"/>
    <w:rPr>
      <w:rFonts w:ascii="宋体" w:hAnsi="Courier New" w:eastAsia="宋体" w:cs="Times New Roman"/>
      <w:color w:val="auto"/>
      <w:kern w:val="2"/>
    </w:rPr>
  </w:style>
  <w:style w:type="character" w:customStyle="1" w:styleId="62">
    <w:name w:val="纯文本 Char Char"/>
    <w:autoRedefine/>
    <w:qFormat/>
    <w:uiPriority w:val="99"/>
    <w:rPr>
      <w:rFonts w:ascii="宋体" w:hAnsi="Courier New" w:eastAsia="宋体" w:cs="Times New Roman"/>
      <w:kern w:val="2"/>
      <w:sz w:val="21"/>
      <w:lang w:val="en-US" w:eastAsia="zh-CN"/>
    </w:rPr>
  </w:style>
  <w:style w:type="character" w:customStyle="1" w:styleId="63">
    <w:name w:val="Char Char4"/>
    <w:autoRedefine/>
    <w:qFormat/>
    <w:uiPriority w:val="99"/>
    <w:rPr>
      <w:rFonts w:ascii="宋体" w:hAnsi="Times New Roman" w:eastAsia="宋体" w:cs="Times New Roman"/>
      <w:kern w:val="2"/>
      <w:sz w:val="28"/>
    </w:rPr>
  </w:style>
  <w:style w:type="character" w:customStyle="1" w:styleId="64">
    <w:name w:val="纯文本 Char1"/>
    <w:autoRedefine/>
    <w:qFormat/>
    <w:locked/>
    <w:uiPriority w:val="99"/>
    <w:rPr>
      <w:rFonts w:ascii="宋体" w:hAnsi="Courier New" w:eastAsia="宋体" w:cs="Times New Roman"/>
      <w:color w:val="000000"/>
      <w:kern w:val="0"/>
      <w:sz w:val="21"/>
      <w:u w:val="none" w:color="000000"/>
    </w:rPr>
  </w:style>
  <w:style w:type="character" w:customStyle="1" w:styleId="65">
    <w:name w:val="样式 首行缩进:  0 字符 Char"/>
    <w:link w:val="66"/>
    <w:autoRedefine/>
    <w:qFormat/>
    <w:locked/>
    <w:uiPriority w:val="0"/>
    <w:rPr>
      <w:rFonts w:ascii="Times New Roman" w:hAnsi="Times New Roman" w:eastAsia="宋体" w:cs="Times New Roman"/>
      <w:color w:val="auto"/>
      <w:sz w:val="24"/>
    </w:rPr>
  </w:style>
  <w:style w:type="paragraph" w:customStyle="1" w:styleId="66">
    <w:name w:val="样式 首行缩进:  0 字符"/>
    <w:basedOn w:val="1"/>
    <w:link w:val="65"/>
    <w:autoRedefine/>
    <w:qFormat/>
    <w:uiPriority w:val="0"/>
    <w:pPr>
      <w:widowControl w:val="0"/>
      <w:spacing w:line="360" w:lineRule="auto"/>
      <w:ind w:firstLine="200" w:firstLineChars="200"/>
      <w:textAlignment w:val="auto"/>
    </w:pPr>
    <w:rPr>
      <w:color w:val="auto"/>
      <w:sz w:val="24"/>
    </w:rPr>
  </w:style>
  <w:style w:type="paragraph" w:customStyle="1" w:styleId="67">
    <w:name w:val="正文文本 (2)"/>
    <w:basedOn w:val="1"/>
    <w:autoRedefine/>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8">
    <w:name w:val="正文文本 (2) + 斜体"/>
    <w:autoRedefine/>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69">
    <w:name w:val="页眉或页脚 + Calibri"/>
    <w:autoRedefine/>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0">
    <w:name w:val="页眉或页脚"/>
    <w:autoRedefine/>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71">
    <w:name w:val="current[data-v-0a447db4]"/>
    <w:basedOn w:val="22"/>
    <w:autoRedefine/>
    <w:qFormat/>
    <w:uiPriority w:val="0"/>
    <w:rPr>
      <w:color w:val="FFFFFF"/>
      <w:shd w:val="clear" w:color="auto" w:fill="065CBC"/>
    </w:rPr>
  </w:style>
  <w:style w:type="character" w:customStyle="1" w:styleId="72">
    <w:name w:val="active[data-v-3f5430ea]"/>
    <w:basedOn w:val="22"/>
    <w:autoRedefine/>
    <w:qFormat/>
    <w:uiPriority w:val="0"/>
    <w:rPr>
      <w:rFonts w:ascii="MicrosoftYaHei" w:hAnsi="MicrosoftYaHei" w:eastAsia="MicrosoftYaHei" w:cs="MicrosoftYaHei"/>
      <w:b/>
      <w:bCs/>
      <w:color w:val="2874E4"/>
      <w:sz w:val="24"/>
      <w:szCs w:val="24"/>
    </w:rPr>
  </w:style>
  <w:style w:type="character" w:customStyle="1" w:styleId="73">
    <w:name w:val="not([class*=suffix])"/>
    <w:basedOn w:val="22"/>
    <w:autoRedefine/>
    <w:qFormat/>
    <w:uiPriority w:val="0"/>
    <w:rPr>
      <w:sz w:val="19"/>
      <w:szCs w:val="19"/>
    </w:rPr>
  </w:style>
  <w:style w:type="character" w:customStyle="1" w:styleId="74">
    <w:name w:val="not([class*=suffix])1"/>
    <w:basedOn w:val="22"/>
    <w:autoRedefine/>
    <w:qFormat/>
    <w:uiPriority w:val="0"/>
  </w:style>
  <w:style w:type="character" w:customStyle="1" w:styleId="75">
    <w:name w:val="current[data-v-02f58284]"/>
    <w:basedOn w:val="22"/>
    <w:autoRedefine/>
    <w:qFormat/>
    <w:uiPriority w:val="0"/>
    <w:rPr>
      <w:color w:val="FFFFFF"/>
      <w:shd w:val="clear" w:color="auto" w:fill="065CBC"/>
    </w:rPr>
  </w:style>
  <w:style w:type="character" w:customStyle="1" w:styleId="76">
    <w:name w:val="hover18"/>
    <w:basedOn w:val="22"/>
    <w:autoRedefine/>
    <w:qFormat/>
    <w:uiPriority w:val="0"/>
  </w:style>
  <w:style w:type="paragraph" w:styleId="77">
    <w:name w:val="List Paragraph"/>
    <w:basedOn w:val="1"/>
    <w:autoRedefine/>
    <w:qFormat/>
    <w:uiPriority w:val="34"/>
    <w:pPr>
      <w:ind w:firstLine="420" w:firstLineChars="200"/>
    </w:pPr>
    <w:rPr>
      <w:rFonts w:ascii="Calibri" w:hAnsi="Calibri"/>
      <w:szCs w:val="22"/>
    </w:rPr>
  </w:style>
  <w:style w:type="paragraph" w:customStyle="1" w:styleId="78">
    <w:name w:val="Table Paragraph"/>
    <w:basedOn w:val="1"/>
    <w:autoRedefine/>
    <w:qFormat/>
    <w:uiPriority w:val="0"/>
    <w:pPr>
      <w:autoSpaceDE w:val="0"/>
      <w:autoSpaceDN w:val="0"/>
      <w:spacing w:after="200" w:line="276" w:lineRule="auto"/>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30300</Words>
  <Characters>31852</Characters>
  <Lines>307</Lines>
  <Paragraphs>86</Paragraphs>
  <TotalTime>26</TotalTime>
  <ScaleCrop>false</ScaleCrop>
  <LinksUpToDate>false</LinksUpToDate>
  <CharactersWithSpaces>33215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2023-07-25T08:37:00Z</dcterms:created>
  <dc:creator>ZM</dc:creator>
  <cp:lastModifiedBy>张亚伟</cp:lastModifiedBy>
  <cp:lastPrinted>2022-07-04T02:01:00Z</cp:lastPrinted>
  <dcterms:modified xsi:type="dcterms:W3CDTF">2024-07-08T08:39:02Z</dcterms:modified>
  <dc:title>内黄县第一高级中学所需多媒体教室设备项目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B659B647F4AA41DFAF45D46F1A4BAF48_13</vt:lpwstr>
  </property>
  <property fmtid="{D5CDD505-2E9C-101B-9397-08002B2CF9AE}" pid="3" name="KSOProductBuildVer">
    <vt:lpwstr>2052-12.1.0.16417</vt:lpwstr>
  </property>
</Properties>
</file>