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jc w:val="center"/>
        <w:rPr>
          <w:rFonts w:hint="default" w:asciiTheme="minorEastAsia" w:hAnsiTheme="minorEastAsia" w:eastAsiaTheme="minorEastAsia" w:cstheme="minorEastAsia"/>
          <w:b/>
          <w:bCs/>
          <w:i w:val="0"/>
          <w:iCs w:val="0"/>
          <w:caps w:val="0"/>
          <w:color w:val="444444"/>
          <w:spacing w:val="0"/>
          <w:sz w:val="48"/>
          <w:szCs w:val="48"/>
          <w:shd w:val="clear" w:fill="F9F9F9"/>
          <w:lang w:val="en-US"/>
        </w:rPr>
      </w:pPr>
      <w:r>
        <w:rPr>
          <w:rFonts w:hint="eastAsia" w:asciiTheme="minorEastAsia" w:hAnsiTheme="minorEastAsia" w:cstheme="minorEastAsia"/>
          <w:b/>
          <w:bCs/>
          <w:i w:val="0"/>
          <w:iCs w:val="0"/>
          <w:caps w:val="0"/>
          <w:color w:val="444444"/>
          <w:spacing w:val="0"/>
          <w:sz w:val="48"/>
          <w:szCs w:val="48"/>
          <w:shd w:val="clear" w:fill="F9F9F9"/>
          <w:lang w:eastAsia="zh-CN"/>
        </w:rPr>
        <w:t>安阳市文峰区环境卫生事务中心2025年购置电动三轮、四轮环卫作业车辆项目（</w:t>
      </w:r>
      <w:r>
        <w:rPr>
          <w:rFonts w:hint="eastAsia" w:asciiTheme="minorEastAsia" w:hAnsiTheme="minorEastAsia" w:cstheme="minorEastAsia"/>
          <w:b/>
          <w:bCs/>
          <w:i w:val="0"/>
          <w:iCs w:val="0"/>
          <w:caps w:val="0"/>
          <w:color w:val="444444"/>
          <w:spacing w:val="0"/>
          <w:sz w:val="48"/>
          <w:szCs w:val="48"/>
          <w:shd w:val="clear" w:fill="F9F9F9"/>
          <w:lang w:val="en-US" w:eastAsia="zh-CN"/>
        </w:rPr>
        <w:t>二次）</w:t>
      </w: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8"/>
          <w:szCs w:val="48"/>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8"/>
          <w:szCs w:val="48"/>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96"/>
          <w:szCs w:val="96"/>
          <w:shd w:val="clear" w:fill="F9F9F9"/>
        </w:rPr>
      </w:pPr>
      <w:r>
        <w:rPr>
          <w:rFonts w:hint="eastAsia" w:asciiTheme="minorEastAsia" w:hAnsiTheme="minorEastAsia" w:eastAsiaTheme="minorEastAsia" w:cstheme="minorEastAsia"/>
          <w:b/>
          <w:bCs/>
          <w:i w:val="0"/>
          <w:iCs w:val="0"/>
          <w:caps w:val="0"/>
          <w:color w:val="444444"/>
          <w:spacing w:val="0"/>
          <w:sz w:val="96"/>
          <w:szCs w:val="96"/>
          <w:shd w:val="clear" w:fill="F9F9F9"/>
        </w:rPr>
        <w:t>招  标  文  件</w:t>
      </w: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r>
        <w:rPr>
          <w:rFonts w:hint="eastAsia" w:asciiTheme="minorEastAsia" w:hAnsiTheme="minorEastAsia" w:eastAsiaTheme="minorEastAsia" w:cstheme="minorEastAsia"/>
          <w:b/>
          <w:bCs/>
          <w:i w:val="0"/>
          <w:iCs w:val="0"/>
          <w:caps w:val="0"/>
          <w:color w:val="444444"/>
          <w:spacing w:val="0"/>
          <w:sz w:val="40"/>
          <w:szCs w:val="40"/>
          <w:shd w:val="clear" w:fill="F9F9F9"/>
        </w:rPr>
        <w:t>项目编号：安文招标采购-2025-6</w:t>
      </w: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jc w:val="both"/>
        <w:rPr>
          <w:rFonts w:hint="eastAsia" w:asciiTheme="minorEastAsia" w:hAnsiTheme="minorEastAsia" w:eastAsiaTheme="minorEastAsia" w:cstheme="minorEastAsia"/>
          <w:b/>
          <w:bCs/>
          <w:i w:val="0"/>
          <w:iCs w:val="0"/>
          <w:caps w:val="0"/>
          <w:color w:val="444444"/>
          <w:spacing w:val="0"/>
          <w:sz w:val="40"/>
          <w:szCs w:val="40"/>
          <w:shd w:val="clear" w:fill="F9F9F9"/>
        </w:rPr>
      </w:pPr>
    </w:p>
    <w:p>
      <w:pPr>
        <w:pStyle w:val="5"/>
        <w:shd w:val="clear" w:fill="FFFFFF" w:themeFill="background1"/>
        <w:rPr>
          <w:rFonts w:hint="eastAsia"/>
        </w:rPr>
      </w:pPr>
    </w:p>
    <w:p>
      <w:pPr>
        <w:shd w:val="clear" w:fill="FFFFFF" w:themeFill="background1"/>
        <w:jc w:val="center"/>
        <w:rPr>
          <w:rFonts w:hint="eastAsia" w:asciiTheme="minorEastAsia" w:hAnsiTheme="minorEastAsia" w:eastAsiaTheme="minorEastAsia" w:cstheme="minorEastAsia"/>
          <w:b/>
          <w:bCs/>
          <w:i w:val="0"/>
          <w:iCs w:val="0"/>
          <w:caps w:val="0"/>
          <w:color w:val="444444"/>
          <w:spacing w:val="0"/>
          <w:sz w:val="40"/>
          <w:szCs w:val="40"/>
          <w:shd w:val="clear" w:fill="F9F9F9"/>
        </w:rPr>
      </w:pPr>
    </w:p>
    <w:p>
      <w:pPr>
        <w:shd w:val="clear" w:fill="FFFFFF" w:themeFill="background1"/>
        <w:ind w:firstLine="1606" w:firstLineChars="500"/>
        <w:jc w:val="both"/>
        <w:rPr>
          <w:rFonts w:hint="eastAsia" w:asciiTheme="minorEastAsia" w:hAnsiTheme="minorEastAsia" w:cstheme="minorEastAsia"/>
          <w:b/>
          <w:bCs/>
          <w:i w:val="0"/>
          <w:iCs w:val="0"/>
          <w:caps w:val="0"/>
          <w:color w:val="444444"/>
          <w:spacing w:val="0"/>
          <w:sz w:val="32"/>
          <w:szCs w:val="32"/>
          <w:shd w:val="clear" w:fill="F9F9F9"/>
          <w:lang w:val="en-US" w:eastAsia="zh-CN"/>
        </w:rPr>
      </w:pPr>
      <w:r>
        <w:rPr>
          <w:rFonts w:hint="eastAsia" w:asciiTheme="minorEastAsia" w:hAnsiTheme="minorEastAsia" w:cstheme="minorEastAsia"/>
          <w:b/>
          <w:bCs/>
          <w:i w:val="0"/>
          <w:iCs w:val="0"/>
          <w:caps w:val="0"/>
          <w:color w:val="444444"/>
          <w:spacing w:val="0"/>
          <w:sz w:val="32"/>
          <w:szCs w:val="32"/>
          <w:shd w:val="clear" w:fill="F9F9F9"/>
          <w:lang w:val="en-US" w:eastAsia="zh-CN"/>
        </w:rPr>
        <w:t>采 购 人：安阳市文峰区环境卫生事务中心</w:t>
      </w:r>
    </w:p>
    <w:p>
      <w:pPr>
        <w:shd w:val="clear" w:fill="FFFFFF" w:themeFill="background1"/>
        <w:ind w:firstLine="1606" w:firstLineChars="500"/>
        <w:jc w:val="both"/>
        <w:rPr>
          <w:rFonts w:hint="eastAsia" w:asciiTheme="minorEastAsia" w:hAnsiTheme="minorEastAsia" w:cstheme="minorEastAsia"/>
          <w:b/>
          <w:bCs/>
          <w:i w:val="0"/>
          <w:iCs w:val="0"/>
          <w:caps w:val="0"/>
          <w:color w:val="444444"/>
          <w:spacing w:val="0"/>
          <w:sz w:val="32"/>
          <w:szCs w:val="32"/>
          <w:shd w:val="clear" w:fill="F9F9F9"/>
          <w:lang w:val="en-US" w:eastAsia="zh-CN"/>
        </w:rPr>
      </w:pPr>
    </w:p>
    <w:p>
      <w:pPr>
        <w:shd w:val="clear" w:fill="FFFFFF" w:themeFill="background1"/>
        <w:ind w:firstLine="1606" w:firstLineChars="500"/>
        <w:jc w:val="both"/>
        <w:rPr>
          <w:rFonts w:hint="eastAsia" w:asciiTheme="minorEastAsia" w:hAnsiTheme="minorEastAsia" w:cstheme="minorEastAsia"/>
          <w:b/>
          <w:bCs/>
          <w:i w:val="0"/>
          <w:iCs w:val="0"/>
          <w:caps w:val="0"/>
          <w:color w:val="444444"/>
          <w:spacing w:val="0"/>
          <w:sz w:val="32"/>
          <w:szCs w:val="32"/>
          <w:shd w:val="clear" w:fill="F9F9F9"/>
          <w:lang w:val="en-US" w:eastAsia="zh-CN"/>
        </w:rPr>
      </w:pPr>
      <w:r>
        <w:rPr>
          <w:rFonts w:hint="eastAsia" w:asciiTheme="minorEastAsia" w:hAnsiTheme="minorEastAsia" w:cstheme="minorEastAsia"/>
          <w:b/>
          <w:bCs/>
          <w:i w:val="0"/>
          <w:iCs w:val="0"/>
          <w:caps w:val="0"/>
          <w:color w:val="444444"/>
          <w:spacing w:val="0"/>
          <w:sz w:val="32"/>
          <w:szCs w:val="32"/>
          <w:shd w:val="clear" w:fill="F9F9F9"/>
          <w:lang w:val="en-US" w:eastAsia="zh-CN"/>
        </w:rPr>
        <w:t>代理机构：河南驰鑫工程管理有限公司</w:t>
      </w:r>
    </w:p>
    <w:p>
      <w:pPr>
        <w:pStyle w:val="5"/>
        <w:shd w:val="clear" w:fill="FFFFFF" w:themeFill="background1"/>
        <w:rPr>
          <w:rFonts w:hint="eastAsia" w:asciiTheme="minorEastAsia" w:hAnsiTheme="minorEastAsia" w:cstheme="minorEastAsia"/>
          <w:b/>
          <w:bCs/>
          <w:i w:val="0"/>
          <w:iCs w:val="0"/>
          <w:caps w:val="0"/>
          <w:color w:val="444444"/>
          <w:spacing w:val="0"/>
          <w:sz w:val="32"/>
          <w:szCs w:val="32"/>
          <w:shd w:val="clear" w:fill="F9F9F9"/>
          <w:lang w:val="en-US" w:eastAsia="zh-CN"/>
        </w:rPr>
      </w:pPr>
    </w:p>
    <w:p>
      <w:pPr>
        <w:pStyle w:val="13"/>
        <w:shd w:val="clear" w:fill="FFFFFF" w:themeFill="background1"/>
        <w:ind w:firstLine="1606" w:firstLineChars="500"/>
        <w:jc w:val="both"/>
        <w:rPr>
          <w:rFonts w:hint="default"/>
          <w:lang w:val="en-US" w:eastAsia="zh-CN"/>
        </w:rPr>
      </w:pPr>
      <w:r>
        <w:rPr>
          <w:rFonts w:hint="eastAsia" w:asciiTheme="minorEastAsia" w:hAnsiTheme="minorEastAsia" w:cstheme="minorEastAsia"/>
          <w:b/>
          <w:bCs/>
          <w:i w:val="0"/>
          <w:iCs w:val="0"/>
          <w:caps w:val="0"/>
          <w:color w:val="444444"/>
          <w:spacing w:val="0"/>
          <w:sz w:val="32"/>
          <w:szCs w:val="32"/>
          <w:shd w:val="clear" w:fill="F9F9F9"/>
          <w:lang w:val="en-US" w:eastAsia="zh-CN"/>
        </w:rPr>
        <w:t>日    期：二零二五年七月</w:t>
      </w:r>
    </w:p>
    <w:p>
      <w:pPr>
        <w:ind w:firstLine="643" w:firstLineChars="200"/>
        <w:jc w:val="both"/>
        <w:rPr>
          <w:rFonts w:hint="eastAsia" w:asciiTheme="minorEastAsia" w:hAnsiTheme="minorEastAsia" w:cstheme="minorEastAsia"/>
          <w:b/>
          <w:bCs/>
          <w:i w:val="0"/>
          <w:iCs w:val="0"/>
          <w:caps w:val="0"/>
          <w:color w:val="444444"/>
          <w:spacing w:val="0"/>
          <w:sz w:val="32"/>
          <w:szCs w:val="32"/>
          <w:shd w:val="clear" w:fill="F9F9F9"/>
          <w:lang w:val="en-US" w:eastAsia="zh-CN"/>
        </w:rPr>
      </w:pPr>
    </w:p>
    <w:p>
      <w:pPr>
        <w:ind w:firstLine="643" w:firstLineChars="200"/>
        <w:jc w:val="both"/>
        <w:rPr>
          <w:rFonts w:hint="eastAsia" w:asciiTheme="minorEastAsia" w:hAnsiTheme="minorEastAsia" w:cstheme="minorEastAsia"/>
          <w:b/>
          <w:bCs/>
          <w:i w:val="0"/>
          <w:iCs w:val="0"/>
          <w:caps w:val="0"/>
          <w:color w:val="444444"/>
          <w:spacing w:val="0"/>
          <w:sz w:val="32"/>
          <w:szCs w:val="32"/>
          <w:shd w:val="clear" w:fill="F9F9F9"/>
          <w:lang w:val="en-US" w:eastAsia="zh-CN"/>
        </w:rPr>
      </w:pPr>
    </w:p>
    <w:p>
      <w:pPr>
        <w:spacing w:before="0" w:beforeLines="0" w:after="0" w:afterLines="0" w:line="240" w:lineRule="auto"/>
        <w:ind w:left="0" w:leftChars="0" w:right="0" w:rightChars="0" w:firstLine="0" w:firstLineChars="0"/>
        <w:jc w:val="both"/>
        <w:rPr>
          <w:rFonts w:ascii="宋体" w:hAnsi="宋体" w:eastAsia="宋体" w:cstheme="minorBidi"/>
          <w:b/>
          <w:bCs/>
          <w:kern w:val="2"/>
          <w:sz w:val="32"/>
          <w:szCs w:val="40"/>
          <w:lang w:val="en-US" w:eastAsia="zh-CN" w:bidi="ar-SA"/>
        </w:rPr>
        <w:sectPr>
          <w:pgSz w:w="11905" w:h="16837"/>
          <w:pgMar w:top="1440" w:right="1080" w:bottom="1440" w:left="1080" w:header="0" w:footer="0" w:gutter="0"/>
          <w:pgNumType w:fmt="decimal"/>
          <w:cols w:space="720" w:num="1"/>
        </w:sectPr>
      </w:pPr>
    </w:p>
    <w:sdt>
      <w:sdtPr>
        <w:rPr>
          <w:rFonts w:ascii="宋体" w:hAnsi="宋体" w:eastAsia="宋体" w:cstheme="minorBidi"/>
          <w:b/>
          <w:bCs/>
          <w:kern w:val="2"/>
          <w:sz w:val="32"/>
          <w:szCs w:val="40"/>
          <w:lang w:val="en-US" w:eastAsia="zh-CN" w:bidi="ar-SA"/>
        </w:rPr>
        <w:id w:val="147457531"/>
        <w15:color w:val="DBDBDB"/>
        <w:docPartObj>
          <w:docPartGallery w:val="Table of Contents"/>
          <w:docPartUnique/>
        </w:docPartObj>
      </w:sdtPr>
      <w:sdtEndPr>
        <w:rPr>
          <w:rFonts w:hint="default" w:ascii="Times New Roman" w:hAnsi="Times New Roman" w:eastAsia="Times New Roman" w:cs="Times New Roman"/>
          <w:b/>
          <w:bCs/>
          <w:kern w:val="2"/>
          <w:sz w:val="21"/>
          <w:szCs w:val="20"/>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36"/>
            <w:tabs>
              <w:tab w:val="right" w:leader="dot" w:pos="9745"/>
            </w:tabs>
            <w:spacing w:line="360" w:lineRule="auto"/>
            <w:rPr>
              <w:rFonts w:hint="eastAsia" w:ascii="仿宋" w:hAnsi="仿宋" w:eastAsia="仿宋" w:cs="仿宋"/>
              <w:b/>
              <w:sz w:val="22"/>
              <w:szCs w:val="22"/>
            </w:rPr>
          </w:pPr>
          <w:r>
            <w:rPr>
              <w:rFonts w:hint="default" w:ascii="Times New Roman" w:hAnsi="Times New Roman" w:eastAsia="Times New Roman" w:cs="Times New Roman"/>
              <w:sz w:val="20"/>
              <w:szCs w:val="20"/>
              <w:lang w:val="en-US" w:eastAsia="zh-CN"/>
            </w:rPr>
            <w:fldChar w:fldCharType="begin"/>
          </w:r>
          <w:r>
            <w:rPr>
              <w:rFonts w:hint="default" w:ascii="Times New Roman" w:hAnsi="Times New Roman" w:eastAsia="Times New Roman" w:cs="Times New Roman"/>
              <w:sz w:val="20"/>
              <w:szCs w:val="20"/>
              <w:lang w:val="en-US" w:eastAsia="zh-CN"/>
            </w:rPr>
            <w:instrText xml:space="preserve">TOC \o "1-2" \h \u </w:instrText>
          </w:r>
          <w:r>
            <w:rPr>
              <w:rFonts w:hint="default" w:ascii="Times New Roman" w:hAnsi="Times New Roman" w:eastAsia="Times New Roman" w:cs="Times New Roman"/>
              <w:sz w:val="20"/>
              <w:szCs w:val="20"/>
              <w:lang w:val="en-US" w:eastAsia="zh-CN"/>
            </w:rPr>
            <w:fldChar w:fldCharType="separate"/>
          </w: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_Toc25512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第一章  招标公告</w:t>
          </w:r>
          <w:r>
            <w:rPr>
              <w:rFonts w:hint="eastAsia" w:ascii="仿宋" w:hAnsi="仿宋" w:eastAsia="仿宋" w:cs="仿宋"/>
              <w:b/>
              <w:sz w:val="22"/>
              <w:szCs w:val="22"/>
            </w:rPr>
            <w:tab/>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PAGEREF _Toc25512 \h </w:instrText>
          </w:r>
          <w:r>
            <w:rPr>
              <w:rFonts w:hint="eastAsia" w:ascii="仿宋" w:hAnsi="仿宋" w:eastAsia="仿宋" w:cs="仿宋"/>
              <w:b/>
              <w:sz w:val="22"/>
              <w:szCs w:val="22"/>
            </w:rPr>
            <w:fldChar w:fldCharType="separate"/>
          </w:r>
          <w:r>
            <w:rPr>
              <w:rFonts w:hint="eastAsia" w:ascii="仿宋" w:hAnsi="仿宋" w:eastAsia="仿宋" w:cs="仿宋"/>
              <w:b/>
              <w:sz w:val="22"/>
              <w:szCs w:val="22"/>
            </w:rPr>
            <w:t>2</w:t>
          </w:r>
          <w:r>
            <w:rPr>
              <w:rFonts w:hint="eastAsia" w:ascii="仿宋" w:hAnsi="仿宋" w:eastAsia="仿宋" w:cs="仿宋"/>
              <w:b/>
              <w:sz w:val="22"/>
              <w:szCs w:val="22"/>
            </w:rPr>
            <w:fldChar w:fldCharType="end"/>
          </w:r>
          <w:r>
            <w:rPr>
              <w:rFonts w:hint="eastAsia" w:ascii="仿宋" w:hAnsi="仿宋" w:eastAsia="仿宋" w:cs="仿宋"/>
              <w:b/>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_Toc5045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1.项目基本情况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_Toc5045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_Toc22392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2.申请人的资格要求：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_Toc22392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_Toc31840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3.获取招标文件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_Toc31840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bCs/>
              <w:sz w:val="22"/>
              <w:szCs w:val="32"/>
            </w:rPr>
          </w:pPr>
          <w:r>
            <w:rPr>
              <w:rFonts w:hint="eastAsia" w:ascii="仿宋" w:hAnsi="仿宋" w:eastAsia="仿宋" w:cs="仿宋"/>
              <w:bCs/>
              <w:sz w:val="22"/>
              <w:szCs w:val="32"/>
              <w:lang w:val="en-US" w:eastAsia="zh-CN"/>
            </w:rPr>
            <w:fldChar w:fldCharType="begin"/>
          </w:r>
          <w:r>
            <w:rPr>
              <w:rFonts w:hint="eastAsia" w:ascii="仿宋" w:hAnsi="仿宋" w:eastAsia="仿宋" w:cs="仿宋"/>
              <w:bCs/>
              <w:sz w:val="22"/>
              <w:szCs w:val="32"/>
              <w:lang w:val="en-US" w:eastAsia="zh-CN"/>
            </w:rPr>
            <w:instrText xml:space="preserve"> HYPERLINK \l _Toc14658 </w:instrText>
          </w:r>
          <w:r>
            <w:rPr>
              <w:rFonts w:hint="eastAsia" w:ascii="仿宋" w:hAnsi="仿宋" w:eastAsia="仿宋" w:cs="仿宋"/>
              <w:bCs/>
              <w:sz w:val="22"/>
              <w:szCs w:val="32"/>
              <w:lang w:val="en-US" w:eastAsia="zh-CN"/>
            </w:rPr>
            <w:fldChar w:fldCharType="separate"/>
          </w:r>
          <w:r>
            <w:rPr>
              <w:rFonts w:hint="eastAsia" w:ascii="仿宋" w:hAnsi="仿宋" w:eastAsia="仿宋" w:cs="仿宋"/>
              <w:bCs/>
              <w:sz w:val="22"/>
              <w:szCs w:val="32"/>
            </w:rPr>
            <w:t>4.</w:t>
          </w:r>
          <w:r>
            <w:rPr>
              <w:rFonts w:hint="eastAsia" w:ascii="仿宋" w:hAnsi="仿宋" w:eastAsia="仿宋" w:cs="仿宋"/>
              <w:bCs/>
              <w:sz w:val="22"/>
              <w:szCs w:val="32"/>
              <w:lang w:val="en-US" w:eastAsia="zh-CN"/>
            </w:rPr>
            <w:t>投标截止时间及地点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_Toc31840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bCs/>
              <w:sz w:val="22"/>
              <w:szCs w:val="32"/>
              <w:lang w:val="en-US" w:eastAsia="zh-CN"/>
            </w:rPr>
            <w:fldChar w:fldCharType="end"/>
          </w:r>
        </w:p>
        <w:p>
          <w:pPr>
            <w:pStyle w:val="37"/>
            <w:tabs>
              <w:tab w:val="right" w:leader="dot" w:pos="9745"/>
            </w:tabs>
            <w:spacing w:line="360" w:lineRule="auto"/>
            <w:rPr>
              <w:rFonts w:hint="eastAsia" w:ascii="仿宋" w:hAnsi="仿宋" w:eastAsia="仿宋" w:cs="仿宋"/>
              <w:bCs/>
              <w:sz w:val="22"/>
              <w:szCs w:val="32"/>
            </w:rPr>
          </w:pPr>
          <w:r>
            <w:rPr>
              <w:rFonts w:hint="eastAsia" w:ascii="仿宋" w:hAnsi="仿宋" w:eastAsia="仿宋" w:cs="仿宋"/>
              <w:bCs/>
              <w:sz w:val="22"/>
              <w:szCs w:val="32"/>
              <w:lang w:val="en-US" w:eastAsia="zh-CN"/>
            </w:rPr>
            <w:fldChar w:fldCharType="begin"/>
          </w:r>
          <w:r>
            <w:rPr>
              <w:rFonts w:hint="eastAsia" w:ascii="仿宋" w:hAnsi="仿宋" w:eastAsia="仿宋" w:cs="仿宋"/>
              <w:bCs/>
              <w:sz w:val="22"/>
              <w:szCs w:val="32"/>
              <w:lang w:val="en-US" w:eastAsia="zh-CN"/>
            </w:rPr>
            <w:instrText xml:space="preserve"> HYPERLINK \l _Toc19255 </w:instrText>
          </w:r>
          <w:r>
            <w:rPr>
              <w:rFonts w:hint="eastAsia" w:ascii="仿宋" w:hAnsi="仿宋" w:eastAsia="仿宋" w:cs="仿宋"/>
              <w:bCs/>
              <w:sz w:val="22"/>
              <w:szCs w:val="32"/>
              <w:lang w:val="en-US" w:eastAsia="zh-CN"/>
            </w:rPr>
            <w:fldChar w:fldCharType="separate"/>
          </w:r>
          <w:r>
            <w:rPr>
              <w:rFonts w:hint="eastAsia" w:ascii="仿宋" w:hAnsi="仿宋" w:eastAsia="仿宋" w:cs="仿宋"/>
              <w:bCs/>
              <w:sz w:val="22"/>
              <w:szCs w:val="32"/>
            </w:rPr>
            <w:t>5.</w:t>
          </w:r>
          <w:r>
            <w:rPr>
              <w:rFonts w:hint="eastAsia" w:ascii="仿宋" w:hAnsi="仿宋" w:eastAsia="仿宋" w:cs="仿宋"/>
              <w:bCs/>
              <w:sz w:val="22"/>
              <w:szCs w:val="32"/>
              <w:lang w:val="en-US" w:eastAsia="zh-CN"/>
            </w:rPr>
            <w:t>开标时间及地点</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bCs/>
              <w:sz w:val="22"/>
              <w:szCs w:val="32"/>
              <w:lang w:val="en-US" w:eastAsia="zh-CN"/>
            </w:rPr>
            <w:fldChar w:fldCharType="end"/>
          </w:r>
        </w:p>
        <w:p>
          <w:pPr>
            <w:pStyle w:val="37"/>
            <w:tabs>
              <w:tab w:val="right" w:leader="dot" w:pos="9745"/>
            </w:tabs>
            <w:spacing w:line="360" w:lineRule="auto"/>
            <w:rPr>
              <w:rFonts w:hint="eastAsia" w:ascii="仿宋" w:hAnsi="仿宋" w:eastAsia="仿宋" w:cs="仿宋"/>
              <w:bCs/>
              <w:sz w:val="22"/>
              <w:szCs w:val="32"/>
            </w:rPr>
          </w:pPr>
          <w:r>
            <w:rPr>
              <w:rFonts w:hint="eastAsia" w:ascii="仿宋" w:hAnsi="仿宋" w:eastAsia="仿宋" w:cs="仿宋"/>
              <w:bCs/>
              <w:sz w:val="22"/>
              <w:szCs w:val="32"/>
              <w:lang w:val="en-US" w:eastAsia="zh-CN"/>
            </w:rPr>
            <w:fldChar w:fldCharType="begin"/>
          </w:r>
          <w:r>
            <w:rPr>
              <w:rFonts w:hint="eastAsia" w:ascii="仿宋" w:hAnsi="仿宋" w:eastAsia="仿宋" w:cs="仿宋"/>
              <w:bCs/>
              <w:sz w:val="22"/>
              <w:szCs w:val="32"/>
              <w:lang w:val="en-US" w:eastAsia="zh-CN"/>
            </w:rPr>
            <w:instrText xml:space="preserve"> HYPERLINK \l _Toc6453 </w:instrText>
          </w:r>
          <w:r>
            <w:rPr>
              <w:rFonts w:hint="eastAsia" w:ascii="仿宋" w:hAnsi="仿宋" w:eastAsia="仿宋" w:cs="仿宋"/>
              <w:bCs/>
              <w:sz w:val="22"/>
              <w:szCs w:val="32"/>
              <w:lang w:val="en-US" w:eastAsia="zh-CN"/>
            </w:rPr>
            <w:fldChar w:fldCharType="separate"/>
          </w:r>
          <w:r>
            <w:rPr>
              <w:rFonts w:hint="eastAsia" w:ascii="仿宋" w:hAnsi="仿宋" w:eastAsia="仿宋" w:cs="仿宋"/>
              <w:bCs/>
              <w:sz w:val="22"/>
              <w:szCs w:val="32"/>
            </w:rPr>
            <w:t>6.</w:t>
          </w:r>
          <w:r>
            <w:rPr>
              <w:rFonts w:hint="eastAsia" w:ascii="仿宋" w:hAnsi="仿宋" w:eastAsia="仿宋" w:cs="仿宋"/>
              <w:bCs/>
              <w:sz w:val="22"/>
              <w:szCs w:val="32"/>
              <w:lang w:val="en-US" w:eastAsia="zh-CN"/>
            </w:rPr>
            <w:t>发布公告的媒介及招标公告期限</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bCs/>
              <w:sz w:val="22"/>
              <w:szCs w:val="3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bCs/>
              <w:sz w:val="22"/>
              <w:szCs w:val="32"/>
              <w:lang w:val="en-US" w:eastAsia="zh-CN"/>
            </w:rPr>
            <w:fldChar w:fldCharType="begin"/>
          </w:r>
          <w:r>
            <w:rPr>
              <w:rFonts w:hint="eastAsia" w:ascii="仿宋" w:hAnsi="仿宋" w:eastAsia="仿宋" w:cs="仿宋"/>
              <w:bCs/>
              <w:sz w:val="22"/>
              <w:szCs w:val="32"/>
              <w:lang w:val="en-US" w:eastAsia="zh-CN"/>
            </w:rPr>
            <w:instrText xml:space="preserve"> HYPERLINK \l _Toc19092 </w:instrText>
          </w:r>
          <w:r>
            <w:rPr>
              <w:rFonts w:hint="eastAsia" w:ascii="仿宋" w:hAnsi="仿宋" w:eastAsia="仿宋" w:cs="仿宋"/>
              <w:bCs/>
              <w:sz w:val="22"/>
              <w:szCs w:val="32"/>
              <w:lang w:val="en-US" w:eastAsia="zh-CN"/>
            </w:rPr>
            <w:fldChar w:fldCharType="separate"/>
          </w:r>
          <w:r>
            <w:rPr>
              <w:rFonts w:hint="eastAsia" w:ascii="仿宋" w:hAnsi="仿宋" w:eastAsia="仿宋" w:cs="仿宋"/>
              <w:bCs/>
              <w:sz w:val="22"/>
              <w:szCs w:val="32"/>
            </w:rPr>
            <w:t>7.</w:t>
          </w:r>
          <w:r>
            <w:rPr>
              <w:rFonts w:hint="eastAsia" w:ascii="仿宋" w:hAnsi="仿宋" w:eastAsia="仿宋" w:cs="仿宋"/>
              <w:bCs/>
              <w:sz w:val="22"/>
              <w:szCs w:val="32"/>
              <w:lang w:val="en-US" w:eastAsia="zh-CN"/>
            </w:rPr>
            <w:t>其他补充事宜</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bCs/>
              <w:sz w:val="22"/>
              <w:szCs w:val="3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_Toc12188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8.对本次招标提出询问，请按以下方式联系</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sz w:val="22"/>
              <w:szCs w:val="22"/>
              <w:lang w:val="en-US" w:eastAsia="zh-CN"/>
            </w:rPr>
            <w:fldChar w:fldCharType="end"/>
          </w:r>
        </w:p>
        <w:p>
          <w:pPr>
            <w:pStyle w:val="36"/>
            <w:tabs>
              <w:tab w:val="right" w:leader="dot" w:pos="9745"/>
            </w:tabs>
            <w:spacing w:line="360" w:lineRule="auto"/>
            <w:rPr>
              <w:rFonts w:hint="eastAsia" w:ascii="仿宋" w:hAnsi="仿宋" w:eastAsia="仿宋" w:cs="仿宋"/>
              <w:b/>
              <w:sz w:val="22"/>
              <w:szCs w:val="22"/>
            </w:rPr>
          </w:pP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_Toc29558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第二章  招标项目要求及采购需求</w:t>
          </w:r>
          <w:r>
            <w:rPr>
              <w:rFonts w:hint="eastAsia" w:ascii="仿宋" w:hAnsi="仿宋" w:eastAsia="仿宋" w:cs="仿宋"/>
              <w:b/>
              <w:sz w:val="22"/>
              <w:szCs w:val="22"/>
            </w:rPr>
            <w:tab/>
          </w:r>
          <w:r>
            <w:rPr>
              <w:rFonts w:hint="eastAsia" w:ascii="仿宋" w:hAnsi="仿宋" w:eastAsia="仿宋" w:cs="仿宋"/>
              <w:b/>
              <w:sz w:val="22"/>
              <w:szCs w:val="22"/>
              <w:lang w:val="en-US" w:eastAsia="zh-CN"/>
            </w:rPr>
            <w:t>5</w:t>
          </w:r>
          <w:r>
            <w:rPr>
              <w:rFonts w:hint="eastAsia" w:ascii="仿宋" w:hAnsi="仿宋" w:eastAsia="仿宋" w:cs="仿宋"/>
              <w:b/>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_Toc25234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 招标项目、标段（包）划分、投标报价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_Toc25234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_Toc4776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2. 标段（包）内容（范围）及具体采购需求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_Toc4776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6"/>
            <w:tabs>
              <w:tab w:val="right" w:leader="dot" w:pos="9745"/>
            </w:tabs>
            <w:spacing w:line="360" w:lineRule="auto"/>
            <w:rPr>
              <w:rFonts w:hint="eastAsia" w:ascii="仿宋" w:hAnsi="仿宋" w:eastAsia="仿宋" w:cs="仿宋"/>
              <w:b/>
              <w:sz w:val="22"/>
              <w:szCs w:val="22"/>
            </w:rPr>
          </w:pP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_Toc3510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 xml:space="preserve">第三章  </w:t>
          </w:r>
          <w:r>
            <w:rPr>
              <w:rFonts w:hint="eastAsia" w:ascii="仿宋" w:hAnsi="仿宋" w:eastAsia="仿宋" w:cs="仿宋"/>
              <w:b/>
              <w:bCs/>
              <w:sz w:val="22"/>
              <w:szCs w:val="36"/>
              <w:lang w:eastAsia="zh-CN"/>
            </w:rPr>
            <w:t>投标人</w:t>
          </w:r>
          <w:r>
            <w:rPr>
              <w:rFonts w:hint="eastAsia" w:ascii="仿宋" w:hAnsi="仿宋" w:eastAsia="仿宋" w:cs="仿宋"/>
              <w:b/>
              <w:bCs/>
              <w:sz w:val="22"/>
              <w:szCs w:val="36"/>
            </w:rPr>
            <w:t>须知</w:t>
          </w:r>
          <w:r>
            <w:rPr>
              <w:rFonts w:hint="eastAsia" w:ascii="仿宋" w:hAnsi="仿宋" w:eastAsia="仿宋" w:cs="仿宋"/>
              <w:b/>
              <w:sz w:val="22"/>
              <w:szCs w:val="22"/>
            </w:rPr>
            <w:tab/>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PAGEREF _Toc3510 \h </w:instrText>
          </w:r>
          <w:r>
            <w:rPr>
              <w:rFonts w:hint="eastAsia" w:ascii="仿宋" w:hAnsi="仿宋" w:eastAsia="仿宋" w:cs="仿宋"/>
              <w:b/>
              <w:sz w:val="22"/>
              <w:szCs w:val="22"/>
            </w:rPr>
            <w:fldChar w:fldCharType="separate"/>
          </w:r>
          <w:r>
            <w:rPr>
              <w:rFonts w:hint="eastAsia" w:ascii="仿宋" w:hAnsi="仿宋" w:eastAsia="仿宋" w:cs="仿宋"/>
              <w:b/>
              <w:sz w:val="22"/>
              <w:szCs w:val="22"/>
            </w:rPr>
            <w:t>19</w:t>
          </w:r>
          <w:r>
            <w:rPr>
              <w:rFonts w:hint="eastAsia" w:ascii="仿宋" w:hAnsi="仿宋" w:eastAsia="仿宋" w:cs="仿宋"/>
              <w:b/>
              <w:sz w:val="22"/>
              <w:szCs w:val="22"/>
            </w:rPr>
            <w:fldChar w:fldCharType="end"/>
          </w:r>
          <w:r>
            <w:rPr>
              <w:rFonts w:hint="eastAsia" w:ascii="仿宋" w:hAnsi="仿宋" w:eastAsia="仿宋" w:cs="仿宋"/>
              <w:b/>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_Toc20314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 总则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_Toc20314 \h </w:instrText>
          </w:r>
          <w:r>
            <w:rPr>
              <w:rFonts w:hint="eastAsia" w:ascii="仿宋" w:hAnsi="仿宋" w:eastAsia="仿宋" w:cs="仿宋"/>
              <w:sz w:val="22"/>
              <w:szCs w:val="22"/>
            </w:rPr>
            <w:fldChar w:fldCharType="separate"/>
          </w:r>
          <w:r>
            <w:rPr>
              <w:rFonts w:hint="eastAsia" w:ascii="仿宋" w:hAnsi="仿宋" w:eastAsia="仿宋" w:cs="仿宋"/>
              <w:sz w:val="22"/>
              <w:szCs w:val="22"/>
            </w:rPr>
            <w:t>22</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_Toc573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2 招标文件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_Toc573 \h </w:instrText>
          </w:r>
          <w:r>
            <w:rPr>
              <w:rFonts w:hint="eastAsia" w:ascii="仿宋" w:hAnsi="仿宋" w:eastAsia="仿宋" w:cs="仿宋"/>
              <w:sz w:val="22"/>
              <w:szCs w:val="22"/>
            </w:rPr>
            <w:fldChar w:fldCharType="separate"/>
          </w:r>
          <w:r>
            <w:rPr>
              <w:rFonts w:hint="eastAsia" w:ascii="仿宋" w:hAnsi="仿宋" w:eastAsia="仿宋" w:cs="仿宋"/>
              <w:sz w:val="22"/>
              <w:szCs w:val="22"/>
            </w:rPr>
            <w:t>25</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_Toc3052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3 投标文件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_Toc3052 \h </w:instrText>
          </w:r>
          <w:r>
            <w:rPr>
              <w:rFonts w:hint="eastAsia" w:ascii="仿宋" w:hAnsi="仿宋" w:eastAsia="仿宋" w:cs="仿宋"/>
              <w:sz w:val="22"/>
              <w:szCs w:val="22"/>
            </w:rPr>
            <w:fldChar w:fldCharType="separate"/>
          </w:r>
          <w:r>
            <w:rPr>
              <w:rFonts w:hint="eastAsia" w:ascii="仿宋" w:hAnsi="仿宋" w:eastAsia="仿宋" w:cs="仿宋"/>
              <w:sz w:val="22"/>
              <w:szCs w:val="22"/>
            </w:rPr>
            <w:t>26</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_Toc24583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4 投标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_Toc24583 \h </w:instrText>
          </w:r>
          <w:r>
            <w:rPr>
              <w:rFonts w:hint="eastAsia" w:ascii="仿宋" w:hAnsi="仿宋" w:eastAsia="仿宋" w:cs="仿宋"/>
              <w:sz w:val="22"/>
              <w:szCs w:val="22"/>
            </w:rPr>
            <w:fldChar w:fldCharType="separate"/>
          </w:r>
          <w:r>
            <w:rPr>
              <w:rFonts w:hint="eastAsia" w:ascii="仿宋" w:hAnsi="仿宋" w:eastAsia="仿宋" w:cs="仿宋"/>
              <w:sz w:val="22"/>
              <w:szCs w:val="22"/>
            </w:rPr>
            <w:t>29</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_Toc18352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5 开标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_Toc18352 \h </w:instrText>
          </w:r>
          <w:r>
            <w:rPr>
              <w:rFonts w:hint="eastAsia" w:ascii="仿宋" w:hAnsi="仿宋" w:eastAsia="仿宋" w:cs="仿宋"/>
              <w:sz w:val="22"/>
              <w:szCs w:val="22"/>
            </w:rPr>
            <w:fldChar w:fldCharType="separate"/>
          </w:r>
          <w:r>
            <w:rPr>
              <w:rFonts w:hint="eastAsia" w:ascii="仿宋" w:hAnsi="仿宋" w:eastAsia="仿宋" w:cs="仿宋"/>
              <w:sz w:val="22"/>
              <w:szCs w:val="22"/>
            </w:rPr>
            <w:t>30</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_Toc32375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6 资格性审查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_Toc32375 \h </w:instrText>
          </w:r>
          <w:r>
            <w:rPr>
              <w:rFonts w:hint="eastAsia" w:ascii="仿宋" w:hAnsi="仿宋" w:eastAsia="仿宋" w:cs="仿宋"/>
              <w:sz w:val="22"/>
              <w:szCs w:val="22"/>
            </w:rPr>
            <w:fldChar w:fldCharType="separate"/>
          </w:r>
          <w:r>
            <w:rPr>
              <w:rFonts w:hint="eastAsia" w:ascii="仿宋" w:hAnsi="仿宋" w:eastAsia="仿宋" w:cs="仿宋"/>
              <w:sz w:val="22"/>
              <w:szCs w:val="22"/>
            </w:rPr>
            <w:t>30</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_Toc976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7 评审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_Toc976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_Toc24037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8 授予合同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_Toc24037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_Toc7094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9 验收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_Toc7094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_Toc7874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10 付款</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_Toc7874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_Toc15892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11 其他</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_Toc15892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7"/>
            <w:tabs>
              <w:tab w:val="right" w:leader="dot" w:pos="9745"/>
            </w:tabs>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\l _Toc3313 </w:instrText>
          </w:r>
          <w:r>
            <w:rPr>
              <w:rFonts w:hint="eastAsia" w:ascii="仿宋" w:hAnsi="仿宋" w:eastAsia="仿宋" w:cs="仿宋"/>
              <w:sz w:val="22"/>
              <w:szCs w:val="22"/>
              <w:lang w:val="en-US" w:eastAsia="zh-CN"/>
            </w:rPr>
            <w:fldChar w:fldCharType="separate"/>
          </w:r>
          <w:r>
            <w:rPr>
              <w:rFonts w:hint="eastAsia" w:ascii="仿宋" w:hAnsi="仿宋" w:eastAsia="仿宋" w:cs="仿宋"/>
              <w:bCs/>
              <w:sz w:val="22"/>
              <w:szCs w:val="32"/>
            </w:rPr>
            <w:t>12 河南省政府采购合同融资政策告知函</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_Toc3313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fldChar w:fldCharType="end"/>
          </w:r>
        </w:p>
        <w:p>
          <w:pPr>
            <w:pStyle w:val="36"/>
            <w:tabs>
              <w:tab w:val="right" w:leader="dot" w:pos="9745"/>
            </w:tabs>
            <w:spacing w:line="360" w:lineRule="auto"/>
            <w:rPr>
              <w:rFonts w:hint="eastAsia" w:ascii="仿宋" w:hAnsi="仿宋" w:eastAsia="仿宋" w:cs="仿宋"/>
              <w:sz w:val="22"/>
              <w:szCs w:val="22"/>
            </w:rPr>
          </w:pP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_Toc23315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第四章  评审办法</w:t>
          </w:r>
          <w:r>
            <w:rPr>
              <w:rFonts w:hint="eastAsia" w:ascii="仿宋" w:hAnsi="仿宋" w:eastAsia="仿宋" w:cs="仿宋"/>
              <w:b/>
              <w:sz w:val="22"/>
              <w:szCs w:val="22"/>
            </w:rPr>
            <w:tab/>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PAGEREF _Toc23315 \h </w:instrText>
          </w:r>
          <w:r>
            <w:rPr>
              <w:rFonts w:hint="eastAsia" w:ascii="仿宋" w:hAnsi="仿宋" w:eastAsia="仿宋" w:cs="仿宋"/>
              <w:b/>
              <w:sz w:val="22"/>
              <w:szCs w:val="22"/>
            </w:rPr>
            <w:fldChar w:fldCharType="separate"/>
          </w:r>
          <w:r>
            <w:rPr>
              <w:rFonts w:hint="eastAsia" w:ascii="仿宋" w:hAnsi="仿宋" w:eastAsia="仿宋" w:cs="仿宋"/>
              <w:b/>
              <w:sz w:val="22"/>
              <w:szCs w:val="22"/>
            </w:rPr>
            <w:t>34</w:t>
          </w:r>
          <w:r>
            <w:rPr>
              <w:rFonts w:hint="eastAsia" w:ascii="仿宋" w:hAnsi="仿宋" w:eastAsia="仿宋" w:cs="仿宋"/>
              <w:b/>
              <w:sz w:val="22"/>
              <w:szCs w:val="22"/>
            </w:rPr>
            <w:fldChar w:fldCharType="end"/>
          </w:r>
          <w:r>
            <w:rPr>
              <w:rFonts w:hint="eastAsia" w:ascii="仿宋" w:hAnsi="仿宋" w:eastAsia="仿宋" w:cs="仿宋"/>
              <w:b/>
              <w:sz w:val="22"/>
              <w:szCs w:val="22"/>
              <w:lang w:val="en-US" w:eastAsia="zh-CN"/>
            </w:rPr>
            <w:fldChar w:fldCharType="end"/>
          </w:r>
        </w:p>
        <w:p>
          <w:pPr>
            <w:pStyle w:val="36"/>
            <w:tabs>
              <w:tab w:val="right" w:leader="dot" w:pos="9745"/>
            </w:tabs>
            <w:spacing w:line="360" w:lineRule="auto"/>
            <w:rPr>
              <w:rFonts w:hint="eastAsia" w:ascii="仿宋" w:hAnsi="仿宋" w:eastAsia="仿宋" w:cs="仿宋"/>
              <w:sz w:val="22"/>
              <w:szCs w:val="22"/>
            </w:rPr>
          </w:pP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_Toc17145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第五章  合同主要条款</w:t>
          </w:r>
          <w:r>
            <w:rPr>
              <w:rFonts w:hint="eastAsia" w:ascii="仿宋" w:hAnsi="仿宋" w:eastAsia="仿宋" w:cs="仿宋"/>
              <w:b/>
              <w:sz w:val="22"/>
              <w:szCs w:val="22"/>
            </w:rPr>
            <w:tab/>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PAGEREF _Toc17145 \h </w:instrText>
          </w:r>
          <w:r>
            <w:rPr>
              <w:rFonts w:hint="eastAsia" w:ascii="仿宋" w:hAnsi="仿宋" w:eastAsia="仿宋" w:cs="仿宋"/>
              <w:b/>
              <w:sz w:val="22"/>
              <w:szCs w:val="22"/>
            </w:rPr>
            <w:fldChar w:fldCharType="separate"/>
          </w:r>
          <w:r>
            <w:rPr>
              <w:rFonts w:hint="eastAsia" w:ascii="仿宋" w:hAnsi="仿宋" w:eastAsia="仿宋" w:cs="仿宋"/>
              <w:b/>
              <w:sz w:val="22"/>
              <w:szCs w:val="22"/>
            </w:rPr>
            <w:t>48</w:t>
          </w:r>
          <w:r>
            <w:rPr>
              <w:rFonts w:hint="eastAsia" w:ascii="仿宋" w:hAnsi="仿宋" w:eastAsia="仿宋" w:cs="仿宋"/>
              <w:b/>
              <w:sz w:val="22"/>
              <w:szCs w:val="22"/>
            </w:rPr>
            <w:fldChar w:fldCharType="end"/>
          </w:r>
          <w:r>
            <w:rPr>
              <w:rFonts w:hint="eastAsia" w:ascii="仿宋" w:hAnsi="仿宋" w:eastAsia="仿宋" w:cs="仿宋"/>
              <w:b/>
              <w:sz w:val="22"/>
              <w:szCs w:val="22"/>
              <w:lang w:val="en-US" w:eastAsia="zh-CN"/>
            </w:rPr>
            <w:fldChar w:fldCharType="end"/>
          </w:r>
        </w:p>
        <w:p>
          <w:pPr>
            <w:pStyle w:val="36"/>
            <w:tabs>
              <w:tab w:val="right" w:leader="dot" w:pos="9745"/>
            </w:tabs>
            <w:spacing w:line="360" w:lineRule="auto"/>
            <w:rPr>
              <w:b/>
            </w:rPr>
          </w:pPr>
          <w:r>
            <w:rPr>
              <w:rFonts w:hint="eastAsia" w:ascii="仿宋" w:hAnsi="仿宋" w:eastAsia="仿宋" w:cs="仿宋"/>
              <w:b/>
              <w:sz w:val="22"/>
              <w:szCs w:val="22"/>
              <w:lang w:val="en-US" w:eastAsia="zh-CN"/>
            </w:rPr>
            <w:fldChar w:fldCharType="begin"/>
          </w:r>
          <w:r>
            <w:rPr>
              <w:rFonts w:hint="eastAsia" w:ascii="仿宋" w:hAnsi="仿宋" w:eastAsia="仿宋" w:cs="仿宋"/>
              <w:b/>
              <w:sz w:val="22"/>
              <w:szCs w:val="22"/>
              <w:lang w:val="en-US" w:eastAsia="zh-CN"/>
            </w:rPr>
            <w:instrText xml:space="preserve"> HYPERLINK \l _Toc450 </w:instrText>
          </w:r>
          <w:r>
            <w:rPr>
              <w:rFonts w:hint="eastAsia" w:ascii="仿宋" w:hAnsi="仿宋" w:eastAsia="仿宋" w:cs="仿宋"/>
              <w:b/>
              <w:sz w:val="22"/>
              <w:szCs w:val="22"/>
              <w:lang w:val="en-US" w:eastAsia="zh-CN"/>
            </w:rPr>
            <w:fldChar w:fldCharType="separate"/>
          </w:r>
          <w:r>
            <w:rPr>
              <w:rFonts w:hint="eastAsia" w:ascii="仿宋" w:hAnsi="仿宋" w:eastAsia="仿宋" w:cs="仿宋"/>
              <w:b/>
              <w:bCs/>
              <w:sz w:val="22"/>
              <w:szCs w:val="36"/>
            </w:rPr>
            <w:t>第六章  投标文件格式</w:t>
          </w:r>
          <w:r>
            <w:rPr>
              <w:rFonts w:hint="eastAsia" w:ascii="仿宋" w:hAnsi="仿宋" w:eastAsia="仿宋" w:cs="仿宋"/>
              <w:b/>
              <w:sz w:val="22"/>
              <w:szCs w:val="22"/>
            </w:rPr>
            <w:tab/>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PAGEREF _Toc450 \h </w:instrText>
          </w:r>
          <w:r>
            <w:rPr>
              <w:rFonts w:hint="eastAsia" w:ascii="仿宋" w:hAnsi="仿宋" w:eastAsia="仿宋" w:cs="仿宋"/>
              <w:b/>
              <w:sz w:val="22"/>
              <w:szCs w:val="22"/>
            </w:rPr>
            <w:fldChar w:fldCharType="separate"/>
          </w:r>
          <w:r>
            <w:rPr>
              <w:rFonts w:hint="eastAsia" w:ascii="仿宋" w:hAnsi="仿宋" w:eastAsia="仿宋" w:cs="仿宋"/>
              <w:b/>
              <w:sz w:val="22"/>
              <w:szCs w:val="22"/>
            </w:rPr>
            <w:t>58</w:t>
          </w:r>
          <w:r>
            <w:rPr>
              <w:rFonts w:hint="eastAsia" w:ascii="仿宋" w:hAnsi="仿宋" w:eastAsia="仿宋" w:cs="仿宋"/>
              <w:b/>
              <w:sz w:val="22"/>
              <w:szCs w:val="22"/>
            </w:rPr>
            <w:fldChar w:fldCharType="end"/>
          </w:r>
          <w:r>
            <w:rPr>
              <w:rFonts w:hint="eastAsia" w:ascii="仿宋" w:hAnsi="仿宋" w:eastAsia="仿宋" w:cs="仿宋"/>
              <w:b/>
              <w:sz w:val="22"/>
              <w:szCs w:val="22"/>
              <w:lang w:val="en-US" w:eastAsia="zh-CN"/>
            </w:rPr>
            <w:fldChar w:fldCharType="end"/>
          </w:r>
        </w:p>
        <w:p>
          <w:pPr>
            <w:jc w:val="both"/>
            <w:rPr>
              <w:rFonts w:hint="default" w:ascii="Times New Roman" w:hAnsi="Times New Roman" w:eastAsia="Times New Roman" w:cs="Times New Roman"/>
              <w:b/>
              <w:bCs/>
              <w:kern w:val="2"/>
              <w:sz w:val="21"/>
              <w:szCs w:val="20"/>
              <w:lang w:val="en-US" w:eastAsia="zh-CN" w:bidi="ar-SA"/>
            </w:rPr>
          </w:pPr>
          <w:r>
            <w:rPr>
              <w:rFonts w:hint="default" w:ascii="Times New Roman" w:hAnsi="Times New Roman" w:eastAsia="Times New Roman" w:cs="Times New Roman"/>
              <w:b/>
              <w:szCs w:val="20"/>
              <w:lang w:val="en-US" w:eastAsia="zh-CN"/>
            </w:rPr>
            <w:fldChar w:fldCharType="end"/>
          </w:r>
          <w:bookmarkStart w:id="0" w:name="_Toc25512"/>
        </w:p>
      </w:sdtContent>
    </w:sdt>
    <w:p>
      <w:pPr>
        <w:jc w:val="both"/>
        <w:rPr>
          <w:rFonts w:hint="default" w:ascii="Times New Roman" w:hAnsi="Times New Roman" w:eastAsia="Times New Roman" w:cs="Times New Roman"/>
          <w:b/>
          <w:bCs/>
          <w:kern w:val="2"/>
          <w:sz w:val="21"/>
          <w:szCs w:val="20"/>
          <w:lang w:val="en-US" w:eastAsia="zh-CN" w:bidi="ar-SA"/>
        </w:rPr>
      </w:pPr>
    </w:p>
    <w:p>
      <w:pPr>
        <w:jc w:val="both"/>
        <w:rPr>
          <w:rFonts w:hint="default" w:ascii="Times New Roman" w:hAnsi="Times New Roman" w:eastAsia="Times New Roman" w:cs="Times New Roman"/>
          <w:b/>
          <w:bCs/>
          <w:kern w:val="2"/>
          <w:sz w:val="21"/>
          <w:szCs w:val="20"/>
          <w:lang w:val="en-US" w:eastAsia="zh-CN" w:bidi="ar-SA"/>
        </w:rPr>
      </w:pPr>
    </w:p>
    <w:p>
      <w:pPr>
        <w:jc w:val="both"/>
        <w:rPr>
          <w:rFonts w:hint="default" w:ascii="Times New Roman" w:hAnsi="Times New Roman" w:eastAsia="Times New Roman" w:cs="Times New Roman"/>
          <w:b/>
          <w:bCs/>
          <w:kern w:val="2"/>
          <w:sz w:val="21"/>
          <w:szCs w:val="20"/>
          <w:lang w:val="en-US" w:eastAsia="zh-CN" w:bidi="ar-SA"/>
        </w:rPr>
      </w:pPr>
    </w:p>
    <w:p>
      <w:pPr>
        <w:jc w:val="center"/>
        <w:outlineLvl w:val="0"/>
        <w:rPr>
          <w:b/>
          <w:bCs/>
          <w:sz w:val="28"/>
          <w:szCs w:val="28"/>
        </w:rPr>
      </w:pPr>
    </w:p>
    <w:p>
      <w:pPr>
        <w:jc w:val="center"/>
        <w:outlineLvl w:val="0"/>
        <w:rPr>
          <w:b/>
          <w:bCs/>
          <w:sz w:val="28"/>
          <w:szCs w:val="28"/>
        </w:rPr>
      </w:pPr>
    </w:p>
    <w:p>
      <w:pPr>
        <w:jc w:val="center"/>
        <w:outlineLvl w:val="0"/>
        <w:rPr>
          <w:b/>
          <w:bCs/>
          <w:sz w:val="28"/>
          <w:szCs w:val="28"/>
        </w:rPr>
      </w:pPr>
      <w:r>
        <w:rPr>
          <w:b/>
          <w:bCs/>
          <w:sz w:val="28"/>
          <w:szCs w:val="28"/>
        </w:rPr>
        <w:t>第一章  招标公告</w:t>
      </w:r>
      <w:bookmarkEnd w:id="0"/>
    </w:p>
    <w:p>
      <w:pPr>
        <w:spacing w:line="360" w:lineRule="auto"/>
        <w:ind w:firstLine="482" w:firstLineChars="200"/>
        <w:outlineLvl w:val="1"/>
        <w:rPr>
          <w:b/>
          <w:bCs/>
          <w:sz w:val="24"/>
          <w:szCs w:val="24"/>
        </w:rPr>
      </w:pPr>
      <w:bookmarkStart w:id="1" w:name="_Toc5045"/>
      <w:r>
        <w:rPr>
          <w:rFonts w:hint="eastAsia"/>
          <w:b/>
          <w:bCs/>
          <w:sz w:val="24"/>
          <w:szCs w:val="24"/>
          <w:lang w:val="en-US" w:eastAsia="zh-CN"/>
        </w:rPr>
        <w:t>一、</w:t>
      </w:r>
      <w:r>
        <w:rPr>
          <w:b/>
          <w:bCs/>
          <w:sz w:val="24"/>
          <w:szCs w:val="24"/>
        </w:rPr>
        <w:t>项目基本情况</w:t>
      </w:r>
      <w:bookmarkEnd w:id="1"/>
    </w:p>
    <w:p>
      <w:pPr>
        <w:spacing w:line="360" w:lineRule="auto"/>
        <w:ind w:firstLine="720" w:firstLineChars="300"/>
        <w:outlineLvl w:val="2"/>
        <w:rPr>
          <w:rFonts w:hint="eastAsia" w:ascii="宋体" w:hAnsi="宋体" w:eastAsia="宋体" w:cs="宋体"/>
          <w:sz w:val="24"/>
          <w:szCs w:val="24"/>
          <w:highlight w:val="none"/>
        </w:rPr>
      </w:pPr>
      <w:bookmarkStart w:id="2" w:name="_Toc18157"/>
      <w:r>
        <w:rPr>
          <w:rFonts w:hint="eastAsia" w:ascii="宋体" w:hAnsi="宋体" w:eastAsia="宋体" w:cs="宋体"/>
          <w:sz w:val="24"/>
          <w:szCs w:val="24"/>
          <w:highlight w:val="none"/>
        </w:rPr>
        <w:t>1.1 项目编号：</w:t>
      </w:r>
      <w:bookmarkEnd w:id="2"/>
      <w:r>
        <w:rPr>
          <w:rFonts w:hint="eastAsia" w:ascii="宋体" w:hAnsi="宋体" w:eastAsia="宋体" w:cs="宋体"/>
          <w:sz w:val="24"/>
          <w:szCs w:val="24"/>
          <w:highlight w:val="none"/>
        </w:rPr>
        <w:t>安文招标采购-2025-6</w:t>
      </w:r>
    </w:p>
    <w:p>
      <w:pPr>
        <w:spacing w:line="360" w:lineRule="auto"/>
        <w:ind w:firstLine="720" w:firstLineChars="300"/>
        <w:rPr>
          <w:rFonts w:hint="eastAsia"/>
          <w:sz w:val="24"/>
          <w:szCs w:val="24"/>
          <w:highlight w:val="none"/>
          <w:lang w:eastAsia="zh-CN"/>
        </w:rPr>
      </w:pPr>
      <w:r>
        <w:rPr>
          <w:sz w:val="24"/>
          <w:szCs w:val="24"/>
          <w:highlight w:val="none"/>
        </w:rPr>
        <w:t>1.2 项目名称：</w:t>
      </w:r>
      <w:bookmarkStart w:id="3" w:name="OLE_LINK1"/>
      <w:r>
        <w:rPr>
          <w:rFonts w:hint="eastAsia"/>
          <w:sz w:val="24"/>
          <w:szCs w:val="24"/>
          <w:highlight w:val="none"/>
          <w:lang w:eastAsia="zh-CN"/>
        </w:rPr>
        <w:t>安阳市文峰区环境卫生事务中心2025年购置电动三轮、四轮环卫作业车辆项目</w:t>
      </w:r>
      <w:bookmarkEnd w:id="3"/>
    </w:p>
    <w:p>
      <w:pPr>
        <w:spacing w:line="360" w:lineRule="auto"/>
        <w:ind w:firstLine="720" w:firstLineChars="300"/>
        <w:rPr>
          <w:sz w:val="24"/>
          <w:szCs w:val="24"/>
          <w:highlight w:val="none"/>
        </w:rPr>
      </w:pPr>
      <w:r>
        <w:rPr>
          <w:sz w:val="24"/>
          <w:szCs w:val="24"/>
          <w:highlight w:val="none"/>
        </w:rPr>
        <w:t>1.3 采购方式：公开招标</w:t>
      </w:r>
    </w:p>
    <w:p>
      <w:pPr>
        <w:spacing w:line="360" w:lineRule="auto"/>
        <w:ind w:firstLine="720" w:firstLineChars="300"/>
        <w:rPr>
          <w:sz w:val="24"/>
          <w:szCs w:val="24"/>
          <w:highlight w:val="none"/>
        </w:rPr>
      </w:pPr>
      <w:r>
        <w:rPr>
          <w:sz w:val="24"/>
          <w:szCs w:val="24"/>
          <w:highlight w:val="none"/>
        </w:rPr>
        <w:t>1.4 预算金额：</w:t>
      </w:r>
      <w:r>
        <w:rPr>
          <w:rFonts w:hint="eastAsia"/>
          <w:sz w:val="24"/>
          <w:szCs w:val="24"/>
          <w:highlight w:val="none"/>
          <w:lang w:val="en-US" w:eastAsia="zh-CN"/>
        </w:rPr>
        <w:t>2965000.00</w:t>
      </w:r>
      <w:r>
        <w:rPr>
          <w:sz w:val="24"/>
          <w:szCs w:val="24"/>
          <w:highlight w:val="none"/>
        </w:rPr>
        <w:t>元</w:t>
      </w:r>
    </w:p>
    <w:tbl>
      <w:tblPr>
        <w:tblStyle w:val="35"/>
        <w:tblW w:w="938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4248"/>
        <w:gridCol w:w="1950"/>
        <w:gridCol w:w="2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44" w:type="dxa"/>
            <w:vAlign w:val="top"/>
          </w:tcPr>
          <w:p>
            <w:pPr>
              <w:spacing w:line="360" w:lineRule="auto"/>
              <w:jc w:val="center"/>
              <w:rPr>
                <w:sz w:val="24"/>
                <w:szCs w:val="24"/>
                <w:highlight w:val="none"/>
              </w:rPr>
            </w:pPr>
            <w:r>
              <w:rPr>
                <w:sz w:val="24"/>
                <w:szCs w:val="24"/>
                <w:highlight w:val="none"/>
              </w:rPr>
              <w:t>序号</w:t>
            </w:r>
          </w:p>
        </w:tc>
        <w:tc>
          <w:tcPr>
            <w:tcW w:w="4248" w:type="dxa"/>
            <w:vAlign w:val="top"/>
          </w:tcPr>
          <w:p>
            <w:pPr>
              <w:spacing w:line="360" w:lineRule="auto"/>
              <w:jc w:val="center"/>
              <w:rPr>
                <w:sz w:val="24"/>
                <w:szCs w:val="24"/>
                <w:highlight w:val="none"/>
              </w:rPr>
            </w:pPr>
            <w:r>
              <w:rPr>
                <w:sz w:val="24"/>
                <w:szCs w:val="24"/>
                <w:highlight w:val="none"/>
              </w:rPr>
              <w:t>包名称</w:t>
            </w:r>
          </w:p>
        </w:tc>
        <w:tc>
          <w:tcPr>
            <w:tcW w:w="1950" w:type="dxa"/>
            <w:vAlign w:val="top"/>
          </w:tcPr>
          <w:p>
            <w:pPr>
              <w:spacing w:line="360" w:lineRule="auto"/>
              <w:jc w:val="center"/>
              <w:rPr>
                <w:sz w:val="24"/>
                <w:szCs w:val="24"/>
                <w:highlight w:val="none"/>
              </w:rPr>
            </w:pPr>
            <w:r>
              <w:rPr>
                <w:sz w:val="24"/>
                <w:szCs w:val="24"/>
                <w:highlight w:val="none"/>
              </w:rPr>
              <w:t>包预算（元）</w:t>
            </w:r>
          </w:p>
        </w:tc>
        <w:tc>
          <w:tcPr>
            <w:tcW w:w="2538" w:type="dxa"/>
            <w:vAlign w:val="top"/>
          </w:tcPr>
          <w:p>
            <w:pPr>
              <w:spacing w:line="360" w:lineRule="auto"/>
              <w:jc w:val="center"/>
              <w:rPr>
                <w:sz w:val="24"/>
                <w:szCs w:val="24"/>
                <w:highlight w:val="none"/>
              </w:rPr>
            </w:pPr>
            <w:r>
              <w:rPr>
                <w:sz w:val="24"/>
                <w:szCs w:val="24"/>
                <w:highlight w:val="none"/>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644" w:type="dxa"/>
            <w:vAlign w:val="top"/>
          </w:tcPr>
          <w:p>
            <w:pPr>
              <w:spacing w:line="240" w:lineRule="auto"/>
              <w:jc w:val="both"/>
              <w:rPr>
                <w:rFonts w:hint="eastAsia"/>
                <w:sz w:val="24"/>
                <w:szCs w:val="24"/>
                <w:highlight w:val="none"/>
              </w:rPr>
            </w:pPr>
          </w:p>
          <w:p>
            <w:pPr>
              <w:spacing w:line="240" w:lineRule="auto"/>
              <w:jc w:val="center"/>
              <w:rPr>
                <w:rFonts w:hint="eastAsia"/>
                <w:sz w:val="24"/>
                <w:szCs w:val="24"/>
                <w:highlight w:val="none"/>
              </w:rPr>
            </w:pPr>
            <w:r>
              <w:rPr>
                <w:rFonts w:hint="eastAsia"/>
                <w:sz w:val="24"/>
                <w:szCs w:val="24"/>
                <w:highlight w:val="none"/>
              </w:rPr>
              <w:t>1</w:t>
            </w:r>
          </w:p>
        </w:tc>
        <w:tc>
          <w:tcPr>
            <w:tcW w:w="4248" w:type="dxa"/>
            <w:vAlign w:val="top"/>
          </w:tcPr>
          <w:p>
            <w:pPr>
              <w:spacing w:line="360" w:lineRule="auto"/>
              <w:jc w:val="center"/>
              <w:rPr>
                <w:rFonts w:hint="eastAsia" w:eastAsiaTheme="minorEastAsia"/>
                <w:sz w:val="24"/>
                <w:szCs w:val="24"/>
                <w:highlight w:val="none"/>
                <w:lang w:eastAsia="zh-CN"/>
              </w:rPr>
            </w:pPr>
            <w:r>
              <w:rPr>
                <w:rFonts w:hint="eastAsia"/>
                <w:sz w:val="24"/>
                <w:szCs w:val="24"/>
                <w:highlight w:val="none"/>
                <w:lang w:eastAsia="zh-CN"/>
              </w:rPr>
              <w:t>安阳市文峰区环境卫生事务中心2025年购置电动三轮、四轮环卫作业车辆项目</w:t>
            </w:r>
          </w:p>
        </w:tc>
        <w:tc>
          <w:tcPr>
            <w:tcW w:w="1950" w:type="dxa"/>
            <w:vAlign w:val="top"/>
          </w:tcPr>
          <w:p>
            <w:pPr>
              <w:spacing w:line="360" w:lineRule="auto"/>
              <w:jc w:val="center"/>
              <w:rPr>
                <w:rFonts w:hint="eastAsia"/>
                <w:sz w:val="24"/>
                <w:szCs w:val="24"/>
                <w:highlight w:val="none"/>
                <w:lang w:eastAsia="zh-CN"/>
              </w:rPr>
            </w:pPr>
          </w:p>
          <w:p>
            <w:pPr>
              <w:spacing w:line="360" w:lineRule="auto"/>
              <w:jc w:val="center"/>
              <w:rPr>
                <w:rFonts w:hint="eastAsia"/>
                <w:sz w:val="24"/>
                <w:szCs w:val="24"/>
                <w:highlight w:val="none"/>
                <w:lang w:eastAsia="zh-CN"/>
              </w:rPr>
            </w:pPr>
            <w:r>
              <w:rPr>
                <w:rFonts w:hint="eastAsia"/>
                <w:sz w:val="24"/>
                <w:szCs w:val="24"/>
                <w:highlight w:val="none"/>
                <w:lang w:val="en-US" w:eastAsia="zh-CN"/>
              </w:rPr>
              <w:t>2965000.00</w:t>
            </w:r>
          </w:p>
        </w:tc>
        <w:tc>
          <w:tcPr>
            <w:tcW w:w="2538" w:type="dxa"/>
            <w:vAlign w:val="top"/>
          </w:tcPr>
          <w:p>
            <w:pPr>
              <w:spacing w:line="360" w:lineRule="auto"/>
              <w:jc w:val="center"/>
              <w:rPr>
                <w:rFonts w:hint="eastAsia"/>
                <w:sz w:val="24"/>
                <w:szCs w:val="24"/>
                <w:highlight w:val="none"/>
                <w:lang w:val="en-US" w:eastAsia="zh-CN"/>
              </w:rPr>
            </w:pPr>
          </w:p>
          <w:p>
            <w:pPr>
              <w:spacing w:line="360" w:lineRule="auto"/>
              <w:jc w:val="center"/>
              <w:rPr>
                <w:rFonts w:hint="eastAsia"/>
                <w:sz w:val="24"/>
                <w:szCs w:val="24"/>
                <w:highlight w:val="none"/>
                <w:lang w:eastAsia="zh-CN"/>
              </w:rPr>
            </w:pPr>
            <w:r>
              <w:rPr>
                <w:rFonts w:hint="eastAsia"/>
                <w:sz w:val="24"/>
                <w:szCs w:val="24"/>
                <w:highlight w:val="none"/>
                <w:lang w:val="en-US" w:eastAsia="zh-CN"/>
              </w:rPr>
              <w:t>2965000.00</w:t>
            </w:r>
          </w:p>
        </w:tc>
      </w:tr>
    </w:tbl>
    <w:p>
      <w:pPr>
        <w:spacing w:line="360" w:lineRule="auto"/>
        <w:rPr>
          <w:sz w:val="24"/>
          <w:szCs w:val="24"/>
        </w:rPr>
      </w:pPr>
    </w:p>
    <w:p>
      <w:pPr>
        <w:spacing w:line="360" w:lineRule="auto"/>
        <w:ind w:firstLine="720" w:firstLineChars="300"/>
        <w:rPr>
          <w:sz w:val="24"/>
          <w:szCs w:val="24"/>
        </w:rPr>
      </w:pPr>
      <w:r>
        <w:rPr>
          <w:sz w:val="24"/>
          <w:szCs w:val="24"/>
        </w:rPr>
        <w:t>1.5 采购需求</w:t>
      </w:r>
      <w:r>
        <w:rPr>
          <w:rFonts w:hint="eastAsia"/>
          <w:sz w:val="24"/>
          <w:szCs w:val="24"/>
          <w:lang w:val="en-US" w:eastAsia="zh-CN"/>
        </w:rPr>
        <w:t xml:space="preserve">（包括但不限于标的的名称、数量、简要技术需求或服务要求 </w:t>
      </w:r>
    </w:p>
    <w:p>
      <w:pPr>
        <w:spacing w:line="360" w:lineRule="auto"/>
        <w:ind w:firstLine="720" w:firstLineChars="300"/>
        <w:rPr>
          <w:rFonts w:hint="eastAsia"/>
          <w:sz w:val="24"/>
          <w:szCs w:val="24"/>
          <w:lang w:val="en-US" w:eastAsia="zh-CN"/>
        </w:rPr>
      </w:pPr>
      <w:r>
        <w:rPr>
          <w:rFonts w:hint="eastAsia"/>
          <w:sz w:val="24"/>
          <w:szCs w:val="24"/>
          <w:lang w:val="en-US" w:eastAsia="zh-CN"/>
        </w:rPr>
        <w:t>等）：</w:t>
      </w:r>
    </w:p>
    <w:p>
      <w:pPr>
        <w:numPr>
          <w:ilvl w:val="0"/>
          <w:numId w:val="0"/>
        </w:numPr>
        <w:spacing w:line="360" w:lineRule="auto"/>
        <w:ind w:firstLine="720" w:firstLineChars="300"/>
        <w:rPr>
          <w:rFonts w:hint="eastAsia"/>
          <w:color w:val="auto"/>
          <w:sz w:val="24"/>
          <w:szCs w:val="24"/>
          <w:highlight w:val="none"/>
          <w:lang w:val="en-US" w:eastAsia="zh-CN"/>
        </w:rPr>
      </w:pPr>
      <w:r>
        <w:rPr>
          <w:rFonts w:hint="eastAsia"/>
          <w:sz w:val="24"/>
          <w:szCs w:val="24"/>
          <w:lang w:val="en-US" w:eastAsia="zh-CN"/>
        </w:rPr>
        <w:t>1.5.1 采购内容：</w:t>
      </w:r>
      <w:r>
        <w:rPr>
          <w:rFonts w:hint="eastAsia"/>
          <w:color w:val="auto"/>
          <w:sz w:val="24"/>
          <w:szCs w:val="24"/>
          <w:highlight w:val="none"/>
          <w:lang w:val="en-US" w:eastAsia="zh-CN"/>
        </w:rPr>
        <w:t>电动三轮挂桶式垃圾收集车29辆，3.3万元/辆，电动三轮高压冲洗车15辆，2.5万元/辆，四轮高压清洗车13辆，8.5万元/辆，四轮后挂桶式垃圾收集车6辆，8.8万元/辆。</w:t>
      </w:r>
    </w:p>
    <w:p>
      <w:pPr>
        <w:numPr>
          <w:ilvl w:val="0"/>
          <w:numId w:val="0"/>
        </w:numPr>
        <w:spacing w:line="360" w:lineRule="auto"/>
        <w:ind w:firstLine="723" w:firstLineChars="300"/>
        <w:rPr>
          <w:rFonts w:hint="eastAsia"/>
          <w:sz w:val="24"/>
          <w:szCs w:val="24"/>
          <w:lang w:val="en-US" w:eastAsia="zh-CN"/>
        </w:rPr>
      </w:pPr>
      <w:r>
        <w:rPr>
          <w:rFonts w:hint="eastAsia"/>
          <w:b/>
          <w:bCs/>
          <w:sz w:val="24"/>
          <w:szCs w:val="24"/>
        </w:rPr>
        <w:t>注：投标供应商需提供</w:t>
      </w:r>
      <w:r>
        <w:rPr>
          <w:rFonts w:hint="eastAsia"/>
          <w:b/>
          <w:bCs/>
          <w:sz w:val="24"/>
          <w:szCs w:val="24"/>
          <w:lang w:val="en-US" w:eastAsia="zh-CN"/>
        </w:rPr>
        <w:t>每个车型单价</w:t>
      </w:r>
      <w:r>
        <w:rPr>
          <w:rFonts w:hint="eastAsia"/>
          <w:b/>
          <w:bCs/>
          <w:sz w:val="24"/>
          <w:szCs w:val="24"/>
        </w:rPr>
        <w:t>报价明细且响应单价不得高于预算单价。</w:t>
      </w:r>
    </w:p>
    <w:p>
      <w:pPr>
        <w:spacing w:line="360" w:lineRule="auto"/>
        <w:ind w:firstLine="720" w:firstLineChars="300"/>
        <w:rPr>
          <w:rFonts w:hint="eastAsia"/>
          <w:sz w:val="24"/>
          <w:szCs w:val="24"/>
          <w:lang w:val="en-US" w:eastAsia="zh-CN"/>
        </w:rPr>
      </w:pPr>
      <w:r>
        <w:rPr>
          <w:rFonts w:hint="eastAsia"/>
          <w:sz w:val="24"/>
          <w:szCs w:val="24"/>
          <w:lang w:val="en-US" w:eastAsia="zh-CN"/>
        </w:rPr>
        <w:t>1.5.2 交付地点：安阳市文峰区环境卫生事务中心或其他指定地点</w:t>
      </w:r>
      <w:bookmarkStart w:id="4" w:name="OLE_LINK2"/>
      <w:r>
        <w:rPr>
          <w:rFonts w:hint="eastAsia"/>
          <w:sz w:val="24"/>
          <w:szCs w:val="24"/>
          <w:lang w:val="en-US" w:eastAsia="zh-CN"/>
        </w:rPr>
        <w:t>；</w:t>
      </w:r>
      <w:bookmarkEnd w:id="4"/>
    </w:p>
    <w:p>
      <w:pPr>
        <w:spacing w:line="360" w:lineRule="auto"/>
        <w:ind w:firstLine="720" w:firstLineChars="300"/>
        <w:rPr>
          <w:rFonts w:hint="eastAsia"/>
          <w:sz w:val="24"/>
          <w:szCs w:val="24"/>
          <w:lang w:val="en-US" w:eastAsia="zh-CN"/>
        </w:rPr>
      </w:pPr>
      <w:r>
        <w:rPr>
          <w:rFonts w:hint="eastAsia"/>
          <w:sz w:val="24"/>
          <w:szCs w:val="24"/>
          <w:lang w:val="en-US" w:eastAsia="zh-CN"/>
        </w:rPr>
        <w:t>1.5.3 质量要求：符合或优于国家相关标准；</w:t>
      </w:r>
    </w:p>
    <w:p>
      <w:pPr>
        <w:spacing w:line="360" w:lineRule="auto"/>
        <w:ind w:firstLine="720" w:firstLineChars="300"/>
        <w:rPr>
          <w:rFonts w:hint="default"/>
          <w:sz w:val="24"/>
          <w:szCs w:val="24"/>
          <w:lang w:val="en-US" w:eastAsia="zh-CN"/>
        </w:rPr>
      </w:pPr>
      <w:r>
        <w:rPr>
          <w:rFonts w:hint="eastAsia"/>
          <w:sz w:val="24"/>
          <w:szCs w:val="24"/>
          <w:lang w:val="en-US" w:eastAsia="zh-CN"/>
        </w:rPr>
        <w:t>1.5.4 供货期：签订合同后30日历天。</w:t>
      </w:r>
    </w:p>
    <w:p>
      <w:pPr>
        <w:spacing w:line="360" w:lineRule="auto"/>
        <w:ind w:firstLine="720" w:firstLineChars="300"/>
        <w:rPr>
          <w:sz w:val="24"/>
          <w:szCs w:val="24"/>
          <w:highlight w:val="none"/>
        </w:rPr>
      </w:pPr>
      <w:r>
        <w:rPr>
          <w:sz w:val="24"/>
          <w:szCs w:val="24"/>
          <w:highlight w:val="none"/>
        </w:rPr>
        <w:t>1.6 合同履行期限：</w:t>
      </w:r>
      <w:r>
        <w:rPr>
          <w:rFonts w:hint="eastAsia"/>
          <w:sz w:val="24"/>
          <w:szCs w:val="24"/>
          <w:highlight w:val="none"/>
          <w:lang w:val="en-US" w:eastAsia="zh-CN"/>
        </w:rPr>
        <w:t>签订合同后30日历天</w:t>
      </w:r>
    </w:p>
    <w:p>
      <w:pPr>
        <w:spacing w:line="360" w:lineRule="auto"/>
        <w:ind w:firstLine="720" w:firstLineChars="300"/>
        <w:rPr>
          <w:sz w:val="24"/>
          <w:szCs w:val="24"/>
        </w:rPr>
      </w:pPr>
      <w:r>
        <w:rPr>
          <w:sz w:val="24"/>
          <w:szCs w:val="24"/>
        </w:rPr>
        <w:t>1.7 本项目（是/否）接受联合体投标：否</w:t>
      </w:r>
    </w:p>
    <w:p>
      <w:pPr>
        <w:spacing w:line="360" w:lineRule="auto"/>
        <w:ind w:firstLine="720" w:firstLineChars="300"/>
        <w:rPr>
          <w:sz w:val="24"/>
          <w:szCs w:val="24"/>
        </w:rPr>
      </w:pPr>
      <w:r>
        <w:rPr>
          <w:sz w:val="24"/>
          <w:szCs w:val="24"/>
        </w:rPr>
        <w:t>1.8 是否接受进口产品：否</w:t>
      </w:r>
    </w:p>
    <w:p>
      <w:pPr>
        <w:spacing w:line="360" w:lineRule="auto"/>
        <w:ind w:firstLine="720" w:firstLineChars="300"/>
        <w:rPr>
          <w:rFonts w:hint="eastAsia" w:eastAsiaTheme="minorEastAsia"/>
          <w:sz w:val="24"/>
          <w:szCs w:val="24"/>
          <w:lang w:eastAsia="zh-CN"/>
        </w:rPr>
      </w:pPr>
      <w:r>
        <w:rPr>
          <w:rFonts w:hint="eastAsia"/>
          <w:sz w:val="24"/>
          <w:szCs w:val="24"/>
          <w:lang w:val="en-US" w:eastAsia="zh-CN"/>
        </w:rPr>
        <w:t xml:space="preserve">1.9 </w:t>
      </w:r>
      <w:r>
        <w:rPr>
          <w:sz w:val="24"/>
          <w:szCs w:val="24"/>
        </w:rPr>
        <w:t>是否专门面向中小企业：</w:t>
      </w:r>
      <w:r>
        <w:rPr>
          <w:rFonts w:hint="eastAsia"/>
          <w:sz w:val="24"/>
          <w:szCs w:val="24"/>
          <w:lang w:val="en-US" w:eastAsia="zh-CN"/>
        </w:rPr>
        <w:t>是</w:t>
      </w:r>
    </w:p>
    <w:p>
      <w:pPr>
        <w:spacing w:line="360" w:lineRule="auto"/>
        <w:ind w:firstLine="241" w:firstLineChars="100"/>
        <w:outlineLvl w:val="1"/>
        <w:rPr>
          <w:b/>
          <w:bCs/>
          <w:sz w:val="24"/>
          <w:szCs w:val="24"/>
        </w:rPr>
      </w:pPr>
      <w:bookmarkStart w:id="5" w:name="_Toc22392"/>
      <w:r>
        <w:rPr>
          <w:rFonts w:hint="eastAsia"/>
          <w:b/>
          <w:bCs/>
          <w:sz w:val="24"/>
          <w:szCs w:val="24"/>
          <w:lang w:val="en-US" w:eastAsia="zh-CN"/>
        </w:rPr>
        <w:t>二、</w:t>
      </w:r>
      <w:r>
        <w:rPr>
          <w:b/>
          <w:bCs/>
          <w:sz w:val="24"/>
          <w:szCs w:val="24"/>
        </w:rPr>
        <w:t>申请人的资格要求：</w:t>
      </w:r>
      <w:bookmarkEnd w:id="5"/>
    </w:p>
    <w:p>
      <w:pPr>
        <w:spacing w:line="240" w:lineRule="auto"/>
        <w:ind w:firstLine="480" w:firstLineChars="200"/>
        <w:outlineLvl w:val="2"/>
        <w:rPr>
          <w:sz w:val="24"/>
          <w:szCs w:val="24"/>
        </w:rPr>
      </w:pPr>
      <w:bookmarkStart w:id="6" w:name="_Toc2493"/>
      <w:r>
        <w:rPr>
          <w:sz w:val="24"/>
          <w:szCs w:val="24"/>
        </w:rPr>
        <w:t>2.1 满足《中华人民共和国政府采购法》第二十二条规定；</w:t>
      </w:r>
      <w:bookmarkEnd w:id="6"/>
    </w:p>
    <w:p>
      <w:pPr>
        <w:spacing w:before="161" w:line="240" w:lineRule="auto"/>
        <w:ind w:right="3" w:firstLine="480" w:firstLineChars="200"/>
        <w:rPr>
          <w:sz w:val="24"/>
          <w:szCs w:val="24"/>
        </w:rPr>
      </w:pPr>
      <w:r>
        <w:rPr>
          <w:sz w:val="24"/>
          <w:szCs w:val="24"/>
        </w:rPr>
        <w:t>2.2 落实政府采购政策需满足的资格要求：</w:t>
      </w:r>
    </w:p>
    <w:p>
      <w:pPr>
        <w:spacing w:before="161" w:line="360" w:lineRule="auto"/>
        <w:ind w:right="3" w:firstLine="480" w:firstLineChars="200"/>
        <w:rPr>
          <w:rFonts w:hint="eastAsia" w:eastAsiaTheme="minorEastAsia"/>
          <w:sz w:val="24"/>
          <w:szCs w:val="24"/>
          <w:lang w:val="en-US" w:eastAsia="zh-CN"/>
        </w:rPr>
      </w:pPr>
      <w:r>
        <w:rPr>
          <w:rFonts w:ascii="宋体" w:hAnsi="宋体" w:eastAsia="宋体" w:cs="宋体"/>
          <w:sz w:val="24"/>
          <w:szCs w:val="24"/>
        </w:rPr>
        <w:t>根据《政府采购促进中小企业发展管理办法》(财库〔2020〕46 号)的规定，本项目属于专门面向中小企业采购的项目</w:t>
      </w:r>
      <w:r>
        <w:rPr>
          <w:rFonts w:hint="eastAsia" w:ascii="宋体" w:hAnsi="宋体" w:eastAsia="宋体" w:cs="宋体"/>
          <w:sz w:val="24"/>
          <w:szCs w:val="24"/>
          <w:lang w:eastAsia="zh-CN"/>
        </w:rPr>
        <w:t>，</w:t>
      </w:r>
      <w:r>
        <w:rPr>
          <w:rFonts w:ascii="宋体" w:hAnsi="宋体" w:eastAsia="宋体" w:cs="宋体"/>
          <w:sz w:val="24"/>
          <w:szCs w:val="24"/>
        </w:rPr>
        <w:t>供应商应在响应文件中提供《中小企业声明函》或《残疾人福利性单位声明函》或省级以上监狱管理局、戒毒管理局（含新疆生产建设兵团）出具的属于监狱企业的证明文件。</w:t>
      </w:r>
    </w:p>
    <w:p>
      <w:pPr>
        <w:spacing w:line="360" w:lineRule="auto"/>
        <w:ind w:firstLine="480" w:firstLineChars="200"/>
        <w:outlineLvl w:val="2"/>
        <w:rPr>
          <w:sz w:val="24"/>
          <w:szCs w:val="24"/>
        </w:rPr>
      </w:pPr>
      <w:bookmarkStart w:id="7" w:name="_Toc18882"/>
      <w:r>
        <w:rPr>
          <w:sz w:val="24"/>
          <w:szCs w:val="24"/>
        </w:rPr>
        <w:t>2.3 本项目的特定资格要求：</w:t>
      </w:r>
      <w:bookmarkEnd w:id="7"/>
    </w:p>
    <w:p>
      <w:pPr>
        <w:spacing w:line="360" w:lineRule="auto"/>
        <w:ind w:firstLine="480" w:firstLineChars="200"/>
        <w:rPr>
          <w:sz w:val="24"/>
          <w:szCs w:val="24"/>
        </w:rPr>
      </w:pPr>
      <w:r>
        <w:rPr>
          <w:sz w:val="24"/>
          <w:szCs w:val="24"/>
        </w:rPr>
        <w:t>2.3.1 满足《中华人民共和国政府采购法》第二十二条第一款规定的</w:t>
      </w:r>
      <w:r>
        <w:rPr>
          <w:rFonts w:hint="eastAsia"/>
          <w:sz w:val="24"/>
          <w:szCs w:val="24"/>
          <w:lang w:eastAsia="zh-CN"/>
        </w:rPr>
        <w:t>投标人</w:t>
      </w:r>
      <w:r>
        <w:rPr>
          <w:sz w:val="24"/>
          <w:szCs w:val="24"/>
        </w:rPr>
        <w:t>基础性资格要求；</w:t>
      </w:r>
      <w:r>
        <w:rPr>
          <w:rFonts w:hint="eastAsia"/>
          <w:sz w:val="24"/>
          <w:szCs w:val="24"/>
          <w:lang w:eastAsia="zh-CN"/>
        </w:rPr>
        <w:t>投标人</w:t>
      </w:r>
      <w:r>
        <w:rPr>
          <w:sz w:val="24"/>
          <w:szCs w:val="24"/>
        </w:rPr>
        <w:t>自行承诺并承担后果，承诺书不实的，按《政府采购法》有关提供虚假材料的有关规定给予处罚。</w:t>
      </w:r>
    </w:p>
    <w:p>
      <w:pPr>
        <w:spacing w:line="360" w:lineRule="auto"/>
        <w:ind w:firstLine="480" w:firstLineChars="200"/>
        <w:rPr>
          <w:rFonts w:hint="eastAsia" w:eastAsiaTheme="minorEastAsia"/>
          <w:sz w:val="24"/>
          <w:szCs w:val="24"/>
          <w:lang w:eastAsia="zh-CN"/>
        </w:rPr>
      </w:pPr>
      <w:r>
        <w:rPr>
          <w:sz w:val="24"/>
          <w:szCs w:val="24"/>
        </w:rPr>
        <w:t>2.3.2 对</w:t>
      </w:r>
      <w:r>
        <w:rPr>
          <w:rFonts w:hint="eastAsia"/>
          <w:sz w:val="24"/>
          <w:szCs w:val="24"/>
          <w:lang w:eastAsia="zh-CN"/>
        </w:rPr>
        <w:t>投标人</w:t>
      </w:r>
      <w:r>
        <w:rPr>
          <w:sz w:val="24"/>
          <w:szCs w:val="24"/>
        </w:rPr>
        <w:t>的规定</w:t>
      </w:r>
      <w:r>
        <w:rPr>
          <w:rFonts w:hint="eastAsia"/>
          <w:sz w:val="24"/>
          <w:szCs w:val="24"/>
          <w:lang w:eastAsia="zh-CN"/>
        </w:rPr>
        <w:t>：</w:t>
      </w:r>
    </w:p>
    <w:p>
      <w:pPr>
        <w:spacing w:line="360" w:lineRule="auto"/>
        <w:ind w:firstLine="480" w:firstLineChars="200"/>
        <w:jc w:val="left"/>
        <w:rPr>
          <w:rFonts w:hint="eastAsia"/>
          <w:sz w:val="24"/>
          <w:szCs w:val="24"/>
          <w:lang w:eastAsia="zh-CN"/>
        </w:rPr>
      </w:pPr>
      <w:r>
        <w:rPr>
          <w:sz w:val="24"/>
          <w:szCs w:val="24"/>
        </w:rPr>
        <w:t>（1）</w:t>
      </w:r>
      <w:r>
        <w:rPr>
          <w:rFonts w:hint="eastAsia"/>
          <w:sz w:val="24"/>
          <w:szCs w:val="24"/>
          <w:lang w:eastAsia="zh-CN"/>
        </w:rPr>
        <w:t>供应商应当无不良信用记录。(未列入“信用中国”网站的“失信被执行人”和“重大税收违法失信主体”及“中国政府采购网”网站的“政府采购严重违法失信行为记录名单”),供应商递交投标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p>
    <w:p>
      <w:pPr>
        <w:spacing w:line="360" w:lineRule="auto"/>
        <w:ind w:firstLine="480" w:firstLineChars="200"/>
        <w:rPr>
          <w:rFonts w:hint="eastAsia" w:eastAsiaTheme="minorEastAsia"/>
          <w:sz w:val="24"/>
          <w:szCs w:val="24"/>
          <w:lang w:eastAsia="zh-CN"/>
        </w:rPr>
      </w:pPr>
      <w:r>
        <w:rPr>
          <w:sz w:val="24"/>
          <w:szCs w:val="24"/>
        </w:rPr>
        <w:t>（2）单位负责人为同一人或者存在直接控股、管理关系的不同</w:t>
      </w:r>
      <w:r>
        <w:rPr>
          <w:rFonts w:hint="eastAsia"/>
          <w:sz w:val="24"/>
          <w:szCs w:val="24"/>
          <w:lang w:eastAsia="zh-CN"/>
        </w:rPr>
        <w:t>投标人</w:t>
      </w:r>
      <w:r>
        <w:rPr>
          <w:sz w:val="24"/>
          <w:szCs w:val="24"/>
        </w:rPr>
        <w:t>，不得参加本合同项下的政府采购活动。</w:t>
      </w:r>
      <w:r>
        <w:rPr>
          <w:rFonts w:hint="eastAsia"/>
          <w:sz w:val="24"/>
          <w:szCs w:val="24"/>
          <w:lang w:eastAsia="zh-CN"/>
        </w:rPr>
        <w:t>投标人</w:t>
      </w:r>
      <w:r>
        <w:rPr>
          <w:sz w:val="24"/>
          <w:szCs w:val="24"/>
        </w:rPr>
        <w:t>自行承诺并承担后果，承诺书不实的，按《政府采购法》有关提供虚假材料的有关规定给予处罚</w:t>
      </w:r>
      <w:r>
        <w:rPr>
          <w:rFonts w:hint="eastAsia"/>
          <w:sz w:val="24"/>
          <w:szCs w:val="24"/>
          <w:lang w:eastAsia="zh-CN"/>
        </w:rPr>
        <w:t>。</w:t>
      </w:r>
    </w:p>
    <w:p>
      <w:pPr>
        <w:spacing w:line="360" w:lineRule="auto"/>
        <w:ind w:firstLine="480" w:firstLineChars="200"/>
        <w:jc w:val="left"/>
        <w:rPr>
          <w:rFonts w:hint="eastAsia"/>
          <w:sz w:val="24"/>
          <w:szCs w:val="24"/>
          <w:lang w:eastAsia="zh-CN"/>
        </w:rPr>
      </w:pPr>
      <w:r>
        <w:rPr>
          <w:sz w:val="24"/>
          <w:szCs w:val="24"/>
        </w:rPr>
        <w:t>（3）单位负责人为同一人或者存在控股、管理关系的不同单位，不得同时参加本项目投标， 提供在“ 国家企业信用信息公示系统 ”中查询打印的相关材料并加盖公章（需包含公司基本信息</w:t>
      </w:r>
      <w:r>
        <w:rPr>
          <w:rFonts w:hint="eastAsia"/>
          <w:sz w:val="24"/>
          <w:szCs w:val="24"/>
          <w:lang w:eastAsia="zh-CN"/>
        </w:rPr>
        <w:t>、</w:t>
      </w:r>
      <w:r>
        <w:rPr>
          <w:sz w:val="24"/>
          <w:szCs w:val="24"/>
        </w:rPr>
        <w:t>股东信息及股权变更信息）</w:t>
      </w:r>
      <w:r>
        <w:rPr>
          <w:rFonts w:hint="eastAsia"/>
          <w:sz w:val="24"/>
          <w:szCs w:val="24"/>
          <w:lang w:eastAsia="zh-CN"/>
        </w:rPr>
        <w:t>。</w:t>
      </w:r>
    </w:p>
    <w:p>
      <w:pPr>
        <w:spacing w:line="360" w:lineRule="auto"/>
        <w:ind w:firstLine="480" w:firstLineChars="200"/>
        <w:rPr>
          <w:rFonts w:hint="eastAsia"/>
          <w:sz w:val="24"/>
          <w:szCs w:val="24"/>
          <w:lang w:val="en-US" w:eastAsia="zh-CN"/>
        </w:rPr>
      </w:pPr>
      <w:r>
        <w:rPr>
          <w:rFonts w:hint="eastAsia"/>
          <w:sz w:val="24"/>
          <w:szCs w:val="24"/>
          <w:lang w:val="en-US" w:eastAsia="zh-CN"/>
        </w:rPr>
        <w:t>（4）为本采购项目提供整体设计、规范编制或者项目管理、监理、检测等服务的供应商，不得再参加本采购项目。供应商自行承诺并承担后果，承诺书不实的，按《政府采购法》有关提供虚假材料的有关规定给予处罚。</w:t>
      </w:r>
    </w:p>
    <w:p>
      <w:pPr>
        <w:spacing w:line="360" w:lineRule="auto"/>
        <w:ind w:firstLine="480" w:firstLineChars="200"/>
        <w:jc w:val="left"/>
        <w:rPr>
          <w:sz w:val="24"/>
          <w:szCs w:val="24"/>
        </w:rPr>
      </w:pPr>
      <w:r>
        <w:rPr>
          <w:rFonts w:hint="eastAsia"/>
          <w:sz w:val="24"/>
          <w:szCs w:val="24"/>
          <w:lang w:val="en-US" w:eastAsia="zh-CN"/>
        </w:rPr>
        <w:t xml:space="preserve">（5）具备法律、行政法规规定的其他条件。 </w:t>
      </w:r>
    </w:p>
    <w:p>
      <w:pPr>
        <w:spacing w:line="360" w:lineRule="auto"/>
        <w:ind w:firstLine="480" w:firstLineChars="200"/>
        <w:jc w:val="left"/>
        <w:rPr>
          <w:sz w:val="24"/>
          <w:szCs w:val="24"/>
        </w:rPr>
      </w:pPr>
      <w:r>
        <w:rPr>
          <w:rFonts w:hint="eastAsia"/>
          <w:sz w:val="24"/>
          <w:szCs w:val="24"/>
          <w:lang w:val="en-US" w:eastAsia="zh-CN"/>
        </w:rPr>
        <w:t xml:space="preserve">1、所有证照均应为有效的证照；文中“近”、“前”指距投标截止时间。 </w:t>
      </w:r>
    </w:p>
    <w:p>
      <w:pPr>
        <w:spacing w:line="360" w:lineRule="auto"/>
        <w:ind w:firstLine="480" w:firstLineChars="200"/>
        <w:jc w:val="left"/>
        <w:rPr>
          <w:sz w:val="24"/>
          <w:szCs w:val="24"/>
        </w:rPr>
      </w:pPr>
      <w:r>
        <w:rPr>
          <w:rFonts w:hint="eastAsia"/>
          <w:sz w:val="24"/>
          <w:szCs w:val="24"/>
          <w:lang w:val="en-US" w:eastAsia="zh-CN"/>
        </w:rPr>
        <w:t xml:space="preserve">2、资格证明材料（文件）应附于投标文件中并经投标人电子签章。投标人对资格证明文件真实性有效合规承担责任，提供虚假材料的为无效投标并将进一步追究其责任。 </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3、本项目采取资格后审，开标后，将由采购人或者采购代理机构对投标人的资格证明材料（文件）等进行资格审核，未按要求逐一提供或资格审查不合格的为无效投标，投标人应自负其风险费用。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4、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给予处罚。</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2.3.3 本次招标不接受联合体投标。</w:t>
      </w:r>
    </w:p>
    <w:p>
      <w:pPr>
        <w:spacing w:line="360" w:lineRule="auto"/>
        <w:ind w:firstLine="241" w:firstLineChars="100"/>
        <w:outlineLvl w:val="1"/>
        <w:rPr>
          <w:b/>
          <w:bCs/>
          <w:sz w:val="24"/>
          <w:szCs w:val="24"/>
        </w:rPr>
      </w:pPr>
      <w:bookmarkStart w:id="8" w:name="_Toc31840"/>
      <w:r>
        <w:rPr>
          <w:rFonts w:hint="eastAsia"/>
          <w:b/>
          <w:bCs/>
          <w:sz w:val="24"/>
          <w:szCs w:val="24"/>
          <w:lang w:val="en-US" w:eastAsia="zh-CN"/>
        </w:rPr>
        <w:t>三、</w:t>
      </w:r>
      <w:r>
        <w:rPr>
          <w:b/>
          <w:bCs/>
          <w:sz w:val="24"/>
          <w:szCs w:val="24"/>
        </w:rPr>
        <w:t>获取招标文件</w:t>
      </w:r>
      <w:bookmarkEnd w:id="8"/>
    </w:p>
    <w:p>
      <w:pPr>
        <w:spacing w:line="360" w:lineRule="auto"/>
        <w:ind w:firstLine="480" w:firstLineChars="200"/>
        <w:jc w:val="left"/>
        <w:rPr>
          <w:sz w:val="24"/>
          <w:szCs w:val="24"/>
          <w:highlight w:val="none"/>
        </w:rPr>
      </w:pPr>
      <w:bookmarkStart w:id="9" w:name="_Toc12188"/>
      <w:r>
        <w:rPr>
          <w:sz w:val="24"/>
          <w:szCs w:val="24"/>
          <w:highlight w:val="none"/>
        </w:rPr>
        <w:t>1.时间：202</w:t>
      </w:r>
      <w:r>
        <w:rPr>
          <w:rFonts w:hint="eastAsia"/>
          <w:sz w:val="24"/>
          <w:szCs w:val="24"/>
          <w:highlight w:val="none"/>
          <w:lang w:val="en-US" w:eastAsia="zh-CN"/>
        </w:rPr>
        <w:t>5</w:t>
      </w:r>
      <w:r>
        <w:rPr>
          <w:sz w:val="24"/>
          <w:szCs w:val="24"/>
          <w:highlight w:val="none"/>
        </w:rPr>
        <w:t>年</w:t>
      </w:r>
      <w:r>
        <w:rPr>
          <w:rFonts w:hint="eastAsia"/>
          <w:sz w:val="24"/>
          <w:szCs w:val="24"/>
          <w:highlight w:val="none"/>
          <w:lang w:val="en-US" w:eastAsia="zh-CN"/>
        </w:rPr>
        <w:t>7</w:t>
      </w:r>
      <w:r>
        <w:rPr>
          <w:sz w:val="24"/>
          <w:szCs w:val="24"/>
          <w:highlight w:val="none"/>
        </w:rPr>
        <w:t>月</w:t>
      </w:r>
      <w:r>
        <w:rPr>
          <w:rFonts w:hint="eastAsia"/>
          <w:sz w:val="24"/>
          <w:szCs w:val="24"/>
          <w:highlight w:val="none"/>
          <w:lang w:val="en-US" w:eastAsia="zh-CN"/>
        </w:rPr>
        <w:t>16</w:t>
      </w:r>
      <w:r>
        <w:rPr>
          <w:sz w:val="24"/>
          <w:szCs w:val="24"/>
          <w:highlight w:val="none"/>
        </w:rPr>
        <w:t>日至 202</w:t>
      </w:r>
      <w:r>
        <w:rPr>
          <w:rFonts w:hint="eastAsia"/>
          <w:sz w:val="24"/>
          <w:szCs w:val="24"/>
          <w:highlight w:val="none"/>
          <w:lang w:val="en-US" w:eastAsia="zh-CN"/>
        </w:rPr>
        <w:t>5</w:t>
      </w:r>
      <w:r>
        <w:rPr>
          <w:sz w:val="24"/>
          <w:szCs w:val="24"/>
          <w:highlight w:val="none"/>
        </w:rPr>
        <w:t xml:space="preserve"> 年</w:t>
      </w:r>
      <w:r>
        <w:rPr>
          <w:rFonts w:hint="eastAsia"/>
          <w:sz w:val="24"/>
          <w:szCs w:val="24"/>
          <w:highlight w:val="none"/>
          <w:lang w:val="en-US" w:eastAsia="zh-CN"/>
        </w:rPr>
        <w:t>7</w:t>
      </w:r>
      <w:r>
        <w:rPr>
          <w:sz w:val="24"/>
          <w:szCs w:val="24"/>
          <w:highlight w:val="none"/>
        </w:rPr>
        <w:t>月</w:t>
      </w:r>
      <w:r>
        <w:rPr>
          <w:rFonts w:hint="eastAsia"/>
          <w:sz w:val="24"/>
          <w:szCs w:val="24"/>
          <w:highlight w:val="none"/>
          <w:lang w:val="en-US" w:eastAsia="zh-CN"/>
        </w:rPr>
        <w:t>22</w:t>
      </w:r>
      <w:r>
        <w:rPr>
          <w:sz w:val="24"/>
          <w:szCs w:val="24"/>
          <w:highlight w:val="none"/>
        </w:rPr>
        <w:t>日，每天上午 00:00 至 12:00，下午 12:00 至 23:59（北京时间，法定节假日除外。）</w:t>
      </w:r>
    </w:p>
    <w:p>
      <w:pPr>
        <w:spacing w:line="360" w:lineRule="auto"/>
        <w:ind w:firstLine="480" w:firstLineChars="200"/>
        <w:jc w:val="left"/>
        <w:rPr>
          <w:rFonts w:hint="default"/>
          <w:sz w:val="24"/>
          <w:szCs w:val="24"/>
          <w:highlight w:val="none"/>
        </w:rPr>
      </w:pPr>
      <w:r>
        <w:rPr>
          <w:rFonts w:hint="default"/>
          <w:sz w:val="24"/>
          <w:szCs w:val="24"/>
          <w:highlight w:val="none"/>
        </w:rPr>
        <w:t>2.地点：凡有意参加投标者，登录“安阳市公共资源交易中心网站（https://ggzy.anyang.gov.cn）”，凭数字证书下载招标文件。获取招标文件后，请到安阳市公共资源交易中心网站（https://ggzy.anyang.gov.cn）下载并安装投标文件制作工具，查看招标文件和制作电子投标文件。</w:t>
      </w:r>
    </w:p>
    <w:p>
      <w:pPr>
        <w:spacing w:line="360" w:lineRule="auto"/>
        <w:ind w:firstLine="480" w:firstLineChars="200"/>
        <w:rPr>
          <w:rFonts w:hint="default" w:eastAsiaTheme="minorEastAsia"/>
          <w:sz w:val="24"/>
          <w:szCs w:val="24"/>
          <w:highlight w:val="none"/>
          <w:lang w:eastAsia="zh-CN"/>
        </w:rPr>
      </w:pPr>
      <w:r>
        <w:rPr>
          <w:rFonts w:hint="default" w:eastAsiaTheme="minorEastAsia"/>
          <w:sz w:val="24"/>
          <w:szCs w:val="24"/>
          <w:highlight w:val="none"/>
          <w:lang w:eastAsia="zh-CN"/>
        </w:rPr>
        <w:t>3.方式：本次采购文件在网上获取，供应商登陆安阳市公共资源交易中心网站，凭企业数字证书点击登录“政府采购”系统，获取采购文件及其它资料（具体办理流程请查询安阳市公共资源交易中心网站-服务指南-操作手册-《安阳市公共资源交易系统投标人（供应商）操作手册》）。</w:t>
      </w:r>
    </w:p>
    <w:p>
      <w:pPr>
        <w:spacing w:line="360" w:lineRule="auto"/>
        <w:ind w:firstLine="480" w:firstLineChars="200"/>
        <w:rPr>
          <w:rFonts w:hint="default" w:eastAsiaTheme="minorEastAsia"/>
          <w:sz w:val="24"/>
          <w:szCs w:val="24"/>
          <w:highlight w:val="none"/>
          <w:lang w:eastAsia="zh-CN"/>
        </w:rPr>
      </w:pPr>
      <w:r>
        <w:rPr>
          <w:rFonts w:hint="default" w:eastAsiaTheme="minorEastAsia"/>
          <w:sz w:val="24"/>
          <w:szCs w:val="24"/>
          <w:highlight w:val="none"/>
          <w:lang w:eastAsia="zh-CN"/>
        </w:rPr>
        <w:t>4.售价：0元</w:t>
      </w:r>
    </w:p>
    <w:p>
      <w:pPr>
        <w:spacing w:line="360" w:lineRule="auto"/>
        <w:ind w:firstLine="241" w:firstLineChars="100"/>
        <w:jc w:val="left"/>
        <w:rPr>
          <w:b/>
          <w:bCs/>
          <w:sz w:val="24"/>
          <w:szCs w:val="24"/>
          <w:highlight w:val="none"/>
        </w:rPr>
      </w:pPr>
      <w:r>
        <w:rPr>
          <w:b/>
          <w:bCs/>
          <w:sz w:val="24"/>
          <w:szCs w:val="24"/>
          <w:highlight w:val="none"/>
        </w:rPr>
        <w:t>四、</w:t>
      </w:r>
      <w:r>
        <w:rPr>
          <w:rFonts w:hint="eastAsia"/>
          <w:b/>
          <w:bCs/>
          <w:sz w:val="24"/>
          <w:szCs w:val="24"/>
          <w:highlight w:val="none"/>
          <w:lang w:val="en-US" w:eastAsia="zh-CN"/>
        </w:rPr>
        <w:t>投标截止时间及地点：</w:t>
      </w:r>
    </w:p>
    <w:p>
      <w:pPr>
        <w:spacing w:line="360" w:lineRule="auto"/>
        <w:ind w:firstLine="480" w:firstLineChars="200"/>
        <w:jc w:val="left"/>
        <w:rPr>
          <w:sz w:val="24"/>
          <w:szCs w:val="24"/>
          <w:highlight w:val="none"/>
        </w:rPr>
      </w:pPr>
      <w:r>
        <w:rPr>
          <w:sz w:val="24"/>
          <w:szCs w:val="24"/>
          <w:highlight w:val="none"/>
        </w:rPr>
        <w:t>1.时间：202</w:t>
      </w:r>
      <w:r>
        <w:rPr>
          <w:rFonts w:hint="eastAsia"/>
          <w:sz w:val="24"/>
          <w:szCs w:val="24"/>
          <w:highlight w:val="none"/>
          <w:lang w:val="en-US" w:eastAsia="zh-CN"/>
        </w:rPr>
        <w:t>5</w:t>
      </w:r>
      <w:r>
        <w:rPr>
          <w:sz w:val="24"/>
          <w:szCs w:val="24"/>
          <w:highlight w:val="none"/>
        </w:rPr>
        <w:t>年</w:t>
      </w:r>
      <w:r>
        <w:rPr>
          <w:rFonts w:hint="eastAsia"/>
          <w:sz w:val="24"/>
          <w:szCs w:val="24"/>
          <w:highlight w:val="none"/>
          <w:lang w:val="en-US" w:eastAsia="zh-CN"/>
        </w:rPr>
        <w:t>8</w:t>
      </w:r>
      <w:r>
        <w:rPr>
          <w:sz w:val="24"/>
          <w:szCs w:val="24"/>
          <w:highlight w:val="none"/>
        </w:rPr>
        <w:t>月</w:t>
      </w:r>
      <w:r>
        <w:rPr>
          <w:rFonts w:hint="eastAsia"/>
          <w:sz w:val="24"/>
          <w:szCs w:val="24"/>
          <w:highlight w:val="none"/>
          <w:lang w:val="en-US" w:eastAsia="zh-CN"/>
        </w:rPr>
        <w:t>5</w:t>
      </w:r>
      <w:r>
        <w:rPr>
          <w:sz w:val="24"/>
          <w:szCs w:val="24"/>
          <w:highlight w:val="none"/>
        </w:rPr>
        <w:t>日 09 时 00 分（北京时间）</w:t>
      </w:r>
    </w:p>
    <w:p>
      <w:pPr>
        <w:spacing w:line="360" w:lineRule="auto"/>
        <w:ind w:firstLine="480" w:firstLineChars="200"/>
        <w:jc w:val="left"/>
        <w:rPr>
          <w:sz w:val="24"/>
          <w:szCs w:val="24"/>
          <w:highlight w:val="none"/>
        </w:rPr>
      </w:pPr>
      <w:r>
        <w:rPr>
          <w:sz w:val="24"/>
          <w:szCs w:val="24"/>
          <w:highlight w:val="none"/>
        </w:rPr>
        <w:t>2.地点：</w:t>
      </w:r>
      <w:r>
        <w:rPr>
          <w:rFonts w:hint="default"/>
          <w:sz w:val="24"/>
          <w:szCs w:val="24"/>
          <w:highlight w:val="none"/>
        </w:rPr>
        <w:t>投标人应在投标截止时间前上传加密的电子投标文件到安阳市电子招投标交易平台（http://ggzy.anyang.gov.cn/）。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逾期送达的或者未送达指定地点的投标文件，采购人不予受理。</w:t>
      </w:r>
    </w:p>
    <w:p>
      <w:pPr>
        <w:spacing w:line="360" w:lineRule="auto"/>
        <w:ind w:firstLine="241" w:firstLineChars="100"/>
        <w:jc w:val="left"/>
        <w:rPr>
          <w:b/>
          <w:bCs/>
          <w:sz w:val="24"/>
          <w:szCs w:val="24"/>
          <w:highlight w:val="none"/>
        </w:rPr>
      </w:pPr>
      <w:r>
        <w:rPr>
          <w:b/>
          <w:bCs/>
          <w:sz w:val="24"/>
          <w:szCs w:val="24"/>
          <w:highlight w:val="none"/>
        </w:rPr>
        <w:t>五、</w:t>
      </w:r>
      <w:r>
        <w:rPr>
          <w:rFonts w:hint="eastAsia"/>
          <w:b/>
          <w:bCs/>
          <w:sz w:val="24"/>
          <w:szCs w:val="24"/>
          <w:highlight w:val="none"/>
          <w:lang w:val="en-US" w:eastAsia="zh-CN"/>
        </w:rPr>
        <w:t>开标时间及地点：</w:t>
      </w:r>
    </w:p>
    <w:p>
      <w:pPr>
        <w:spacing w:line="360" w:lineRule="auto"/>
        <w:ind w:firstLine="480" w:firstLineChars="200"/>
        <w:jc w:val="left"/>
        <w:rPr>
          <w:sz w:val="24"/>
          <w:szCs w:val="24"/>
          <w:highlight w:val="none"/>
        </w:rPr>
      </w:pPr>
      <w:r>
        <w:rPr>
          <w:sz w:val="24"/>
          <w:szCs w:val="24"/>
          <w:highlight w:val="none"/>
        </w:rPr>
        <w:t>1.时间</w:t>
      </w:r>
      <w:r>
        <w:rPr>
          <w:rFonts w:hint="eastAsia"/>
          <w:sz w:val="24"/>
          <w:szCs w:val="24"/>
          <w:highlight w:val="none"/>
          <w:lang w:eastAsia="zh-CN"/>
        </w:rPr>
        <w:t>：</w:t>
      </w:r>
      <w:r>
        <w:rPr>
          <w:sz w:val="24"/>
          <w:szCs w:val="24"/>
          <w:highlight w:val="none"/>
        </w:rPr>
        <w:t>202</w:t>
      </w:r>
      <w:r>
        <w:rPr>
          <w:rFonts w:hint="eastAsia"/>
          <w:sz w:val="24"/>
          <w:szCs w:val="24"/>
          <w:highlight w:val="none"/>
          <w:lang w:val="en-US" w:eastAsia="zh-CN"/>
        </w:rPr>
        <w:t>5</w:t>
      </w:r>
      <w:r>
        <w:rPr>
          <w:sz w:val="24"/>
          <w:szCs w:val="24"/>
          <w:highlight w:val="none"/>
        </w:rPr>
        <w:t>年</w:t>
      </w:r>
      <w:r>
        <w:rPr>
          <w:rFonts w:hint="eastAsia"/>
          <w:sz w:val="24"/>
          <w:szCs w:val="24"/>
          <w:highlight w:val="none"/>
          <w:lang w:val="en-US" w:eastAsia="zh-CN"/>
        </w:rPr>
        <w:t>8</w:t>
      </w:r>
      <w:r>
        <w:rPr>
          <w:sz w:val="24"/>
          <w:szCs w:val="24"/>
          <w:highlight w:val="none"/>
        </w:rPr>
        <w:t>月</w:t>
      </w:r>
      <w:r>
        <w:rPr>
          <w:rFonts w:hint="eastAsia"/>
          <w:sz w:val="24"/>
          <w:szCs w:val="24"/>
          <w:highlight w:val="none"/>
          <w:lang w:val="en-US" w:eastAsia="zh-CN"/>
        </w:rPr>
        <w:t>5</w:t>
      </w:r>
      <w:r>
        <w:rPr>
          <w:sz w:val="24"/>
          <w:szCs w:val="24"/>
          <w:highlight w:val="none"/>
        </w:rPr>
        <w:t xml:space="preserve">日 09 时 </w:t>
      </w:r>
      <w:r>
        <w:rPr>
          <w:rFonts w:hint="eastAsia"/>
          <w:sz w:val="24"/>
          <w:szCs w:val="24"/>
          <w:highlight w:val="none"/>
          <w:lang w:val="en-US" w:eastAsia="zh-CN"/>
        </w:rPr>
        <w:t>0</w:t>
      </w:r>
      <w:r>
        <w:rPr>
          <w:sz w:val="24"/>
          <w:szCs w:val="24"/>
          <w:highlight w:val="none"/>
        </w:rPr>
        <w:t>0 分（北京时间）</w:t>
      </w:r>
    </w:p>
    <w:p>
      <w:pPr>
        <w:spacing w:line="360" w:lineRule="auto"/>
        <w:ind w:firstLine="480" w:firstLineChars="200"/>
        <w:jc w:val="left"/>
        <w:rPr>
          <w:rFonts w:hint="default"/>
          <w:sz w:val="24"/>
          <w:szCs w:val="24"/>
        </w:rPr>
      </w:pPr>
      <w:r>
        <w:rPr>
          <w:sz w:val="24"/>
          <w:szCs w:val="24"/>
          <w:highlight w:val="none"/>
        </w:rPr>
        <w:t>2.地点：（管理员网上操作地点）：</w:t>
      </w:r>
      <w:r>
        <w:rPr>
          <w:rFonts w:hint="default"/>
          <w:sz w:val="24"/>
          <w:szCs w:val="24"/>
          <w:highlight w:val="none"/>
        </w:rPr>
        <w:t>安阳市公共资源交易中心五楼集中开标大厅</w:t>
      </w:r>
      <w:r>
        <w:rPr>
          <w:rFonts w:hint="eastAsia"/>
          <w:sz w:val="24"/>
          <w:szCs w:val="24"/>
          <w:highlight w:val="none"/>
          <w:lang w:val="en-US" w:eastAsia="zh-CN"/>
        </w:rPr>
        <w:t>2</w:t>
      </w:r>
      <w:r>
        <w:rPr>
          <w:rFonts w:hint="default"/>
          <w:sz w:val="24"/>
          <w:szCs w:val="24"/>
          <w:highlight w:val="none"/>
        </w:rPr>
        <w:t>室。本项目采用“远程不见面”开标方式，投标人须提前进入安阳市公共资源交易中心网站“网上开标</w:t>
      </w:r>
      <w:r>
        <w:rPr>
          <w:rFonts w:hint="default"/>
          <w:sz w:val="24"/>
          <w:szCs w:val="24"/>
        </w:rPr>
        <w:t>大厅”https://ggzy.anyang.gov.cn/BidOpening/bidhall/default/login.html，进行开标操作和响应文件的解密，因投标人原因未能解密、解密失败或解密超时的将被拒绝。</w:t>
      </w:r>
    </w:p>
    <w:p>
      <w:pPr>
        <w:spacing w:line="360" w:lineRule="auto"/>
        <w:ind w:firstLine="241" w:firstLineChars="100"/>
        <w:jc w:val="left"/>
        <w:rPr>
          <w:b/>
          <w:bCs/>
          <w:sz w:val="24"/>
          <w:szCs w:val="24"/>
        </w:rPr>
      </w:pPr>
      <w:r>
        <w:rPr>
          <w:b/>
          <w:bCs/>
          <w:sz w:val="24"/>
          <w:szCs w:val="24"/>
        </w:rPr>
        <w:t>六、</w:t>
      </w:r>
      <w:r>
        <w:rPr>
          <w:rFonts w:hint="eastAsia"/>
          <w:b/>
          <w:bCs/>
          <w:sz w:val="24"/>
          <w:szCs w:val="24"/>
          <w:lang w:val="en-US" w:eastAsia="zh-CN"/>
        </w:rPr>
        <w:t>发布公告的媒介及招标公告期限：</w:t>
      </w:r>
    </w:p>
    <w:p>
      <w:pPr>
        <w:spacing w:line="360" w:lineRule="auto"/>
        <w:ind w:firstLine="480" w:firstLineChars="200"/>
        <w:jc w:val="left"/>
        <w:rPr>
          <w:sz w:val="24"/>
          <w:szCs w:val="24"/>
        </w:rPr>
      </w:pPr>
      <w:r>
        <w:rPr>
          <w:sz w:val="24"/>
          <w:szCs w:val="24"/>
        </w:rPr>
        <w:t>本次招标公告在《河南省政府采购网》、《</w:t>
      </w:r>
      <w:r>
        <w:rPr>
          <w:rFonts w:hint="eastAsia"/>
          <w:sz w:val="24"/>
          <w:szCs w:val="24"/>
          <w:lang w:val="en-US" w:eastAsia="zh-CN"/>
        </w:rPr>
        <w:t>安阳市</w:t>
      </w:r>
      <w:r>
        <w:rPr>
          <w:sz w:val="24"/>
          <w:szCs w:val="24"/>
        </w:rPr>
        <w:t>政府采购网》</w:t>
      </w:r>
      <w:r>
        <w:rPr>
          <w:rFonts w:hint="eastAsia"/>
          <w:sz w:val="24"/>
          <w:szCs w:val="24"/>
          <w:lang w:eastAsia="zh-CN"/>
        </w:rPr>
        <w:t>、</w:t>
      </w:r>
      <w:r>
        <w:rPr>
          <w:sz w:val="24"/>
          <w:szCs w:val="24"/>
        </w:rPr>
        <w:t>《安阳市公共资源交易中心网》上发布。招标公告期限为五个工作日。</w:t>
      </w:r>
    </w:p>
    <w:p>
      <w:pPr>
        <w:spacing w:line="360" w:lineRule="auto"/>
        <w:ind w:firstLine="241" w:firstLineChars="100"/>
        <w:jc w:val="left"/>
        <w:rPr>
          <w:b/>
          <w:bCs/>
          <w:sz w:val="24"/>
          <w:szCs w:val="24"/>
        </w:rPr>
      </w:pPr>
      <w:r>
        <w:rPr>
          <w:b/>
          <w:bCs/>
          <w:sz w:val="24"/>
          <w:szCs w:val="24"/>
        </w:rPr>
        <w:t>七、</w:t>
      </w:r>
      <w:r>
        <w:rPr>
          <w:rFonts w:hint="eastAsia"/>
          <w:b/>
          <w:bCs/>
          <w:sz w:val="24"/>
          <w:szCs w:val="24"/>
          <w:lang w:val="en-US" w:eastAsia="zh-CN"/>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豫财购〔2017〕10号和安财购〔2017〕7号文要求，参加政府采购项目的中小微企业投标人，持中标（成交）通知书可向金融机构申请合同融资，详情请登录安阳市政府采购网（http://anyang.hngp.gov.cn/anyang），进入网站飘窗或业务指南窗口了解金融机构提供的融资服务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3.网上电子交易系统网址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3.1安阳市电子招投标交易平台（https://ggzy.anyang.gov.cn）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请到安阳市公共资源交易中心网站（https://ggzy.anyang.gov.cn）下载并安装投标文件制作工具，查看招标文件和制作电子投标文件。新系统办理交易业务需安装使用新驱动和投标文件制作工具，请各投标人认真阅读新系统的操作手册（详见新网站https://ggzy.anyang.gov.cn)”【服务指南】-【操作手册】栏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4.代理服务费收费标准：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参照豫招协[2023]002号文件的规定，招标代理服务费由中标（成交）投标人向代理机构缴纳。</w:t>
      </w:r>
    </w:p>
    <w:p>
      <w:pPr>
        <w:spacing w:line="360" w:lineRule="auto"/>
        <w:ind w:firstLine="241" w:firstLineChars="100"/>
        <w:outlineLvl w:val="1"/>
        <w:rPr>
          <w:b/>
          <w:bCs/>
          <w:sz w:val="24"/>
          <w:szCs w:val="24"/>
        </w:rPr>
      </w:pPr>
      <w:r>
        <w:rPr>
          <w:rFonts w:hint="eastAsia"/>
          <w:b/>
          <w:bCs/>
          <w:sz w:val="24"/>
          <w:szCs w:val="24"/>
          <w:lang w:val="en-US" w:eastAsia="zh-CN"/>
        </w:rPr>
        <w:t>八、</w:t>
      </w:r>
      <w:r>
        <w:rPr>
          <w:b/>
          <w:bCs/>
          <w:sz w:val="24"/>
          <w:szCs w:val="24"/>
        </w:rPr>
        <w:t>对本次招标提出询问，请按以下方式联系</w:t>
      </w:r>
      <w:bookmarkEnd w:id="9"/>
    </w:p>
    <w:p>
      <w:pPr>
        <w:spacing w:line="360" w:lineRule="auto"/>
        <w:ind w:firstLine="480" w:firstLineChars="200"/>
        <w:outlineLvl w:val="2"/>
        <w:rPr>
          <w:rFonts w:ascii="宋体" w:hAnsi="宋体" w:eastAsia="宋体" w:cs="宋体"/>
          <w:sz w:val="24"/>
          <w:szCs w:val="24"/>
          <w:lang w:val="en-US" w:eastAsia="zh-CN"/>
        </w:rPr>
      </w:pPr>
      <w:bookmarkStart w:id="10" w:name="_Toc28359096"/>
      <w:bookmarkStart w:id="11" w:name="_Toc22102"/>
      <w:bookmarkStart w:id="12" w:name="_Toc35393806"/>
      <w:bookmarkStart w:id="13" w:name="_Toc28359019"/>
      <w:bookmarkStart w:id="14" w:name="_Toc23534"/>
      <w:bookmarkStart w:id="15" w:name="_Toc7584"/>
      <w:bookmarkStart w:id="16" w:name="_Toc63257745"/>
      <w:bookmarkStart w:id="17" w:name="_Toc35393637"/>
      <w:r>
        <w:rPr>
          <w:rFonts w:hint="eastAsia" w:ascii="宋体" w:hAnsi="宋体" w:eastAsia="宋体" w:cs="宋体"/>
          <w:sz w:val="24"/>
          <w:szCs w:val="24"/>
          <w:lang w:val="en-US" w:eastAsia="zh-CN"/>
        </w:rPr>
        <w:t>8.1.采购人信息</w:t>
      </w:r>
      <w:bookmarkEnd w:id="10"/>
      <w:bookmarkEnd w:id="11"/>
      <w:bookmarkEnd w:id="12"/>
      <w:bookmarkEnd w:id="13"/>
      <w:bookmarkEnd w:id="14"/>
      <w:bookmarkEnd w:id="15"/>
      <w:bookmarkEnd w:id="16"/>
      <w:bookmarkEnd w:id="17"/>
    </w:p>
    <w:p>
      <w:pPr>
        <w:spacing w:line="360" w:lineRule="auto"/>
        <w:ind w:firstLine="720" w:firstLineChars="300"/>
        <w:rPr>
          <w:rFonts w:ascii="宋体" w:hAnsi="宋体" w:eastAsia="宋体" w:cs="宋体"/>
          <w:sz w:val="24"/>
          <w:szCs w:val="24"/>
          <w:lang w:val="en-US" w:eastAsia="zh-CN"/>
        </w:rPr>
      </w:pPr>
      <w:bookmarkStart w:id="18" w:name="_Toc28359020"/>
      <w:bookmarkStart w:id="19" w:name="_Toc35393807"/>
      <w:bookmarkStart w:id="20" w:name="_Toc35393638"/>
      <w:bookmarkStart w:id="21" w:name="_Toc63257746"/>
      <w:bookmarkStart w:id="22" w:name="_Toc28359097"/>
      <w:r>
        <w:rPr>
          <w:rFonts w:hint="eastAsia" w:ascii="宋体" w:hAnsi="宋体" w:eastAsia="宋体" w:cs="宋体"/>
          <w:sz w:val="24"/>
          <w:szCs w:val="24"/>
          <w:lang w:val="en-US" w:eastAsia="zh-CN"/>
        </w:rPr>
        <w:t>名 称：安阳市文峰区环境卫生事务中心</w:t>
      </w:r>
    </w:p>
    <w:p>
      <w:pPr>
        <w:spacing w:line="360" w:lineRule="auto"/>
        <w:ind w:firstLine="720" w:firstLineChars="300"/>
        <w:rPr>
          <w:rFonts w:ascii="宋体" w:hAnsi="宋体" w:eastAsia="宋体" w:cs="宋体"/>
          <w:sz w:val="24"/>
          <w:szCs w:val="24"/>
          <w:lang w:val="en-US" w:eastAsia="zh-CN"/>
        </w:rPr>
      </w:pPr>
      <w:r>
        <w:rPr>
          <w:rFonts w:hint="eastAsia" w:ascii="宋体" w:hAnsi="宋体" w:eastAsia="宋体" w:cs="宋体"/>
          <w:sz w:val="24"/>
          <w:szCs w:val="24"/>
          <w:lang w:val="en-US" w:eastAsia="zh-CN"/>
        </w:rPr>
        <w:t>地 址：安阳市文峰区兴隆街与平原路东 60 米</w:t>
      </w:r>
    </w:p>
    <w:p>
      <w:pPr>
        <w:spacing w:line="360" w:lineRule="auto"/>
        <w:ind w:firstLine="720" w:firstLineChars="300"/>
        <w:rPr>
          <w:rFonts w:ascii="宋体" w:hAnsi="宋体" w:eastAsia="宋体" w:cs="宋体"/>
          <w:sz w:val="24"/>
          <w:szCs w:val="24"/>
          <w:lang w:val="en-US" w:eastAsia="zh-CN"/>
        </w:rPr>
      </w:pPr>
      <w:r>
        <w:rPr>
          <w:rFonts w:hint="eastAsia" w:ascii="宋体" w:hAnsi="宋体" w:eastAsia="宋体" w:cs="宋体"/>
          <w:sz w:val="24"/>
          <w:szCs w:val="24"/>
          <w:lang w:val="en-US" w:eastAsia="zh-CN"/>
        </w:rPr>
        <w:t>联 系 人：张斌</w:t>
      </w:r>
    </w:p>
    <w:p>
      <w:pPr>
        <w:spacing w:line="360" w:lineRule="auto"/>
        <w:ind w:firstLine="720" w:firstLineChars="300"/>
        <w:rPr>
          <w:rFonts w:ascii="宋体" w:hAnsi="宋体" w:eastAsia="宋体" w:cs="宋体"/>
          <w:sz w:val="24"/>
          <w:szCs w:val="24"/>
          <w:lang w:val="en-US" w:eastAsia="zh-CN"/>
        </w:rPr>
      </w:pPr>
      <w:r>
        <w:rPr>
          <w:rFonts w:hint="eastAsia" w:ascii="宋体" w:hAnsi="宋体" w:eastAsia="宋体" w:cs="宋体"/>
          <w:sz w:val="24"/>
          <w:szCs w:val="24"/>
          <w:lang w:val="en-US" w:eastAsia="zh-CN"/>
        </w:rPr>
        <w:t>联系方式：17730810180</w:t>
      </w:r>
    </w:p>
    <w:p>
      <w:pPr>
        <w:spacing w:line="360" w:lineRule="auto"/>
        <w:ind w:firstLine="480" w:firstLineChars="200"/>
        <w:outlineLvl w:val="2"/>
        <w:rPr>
          <w:rFonts w:ascii="宋体" w:hAnsi="宋体" w:eastAsia="宋体" w:cs="宋体"/>
          <w:sz w:val="24"/>
          <w:szCs w:val="24"/>
          <w:lang w:val="en-US" w:eastAsia="zh-CN"/>
        </w:rPr>
      </w:pPr>
      <w:bookmarkStart w:id="23" w:name="_Toc11431"/>
      <w:bookmarkStart w:id="24" w:name="_Toc18178"/>
      <w:bookmarkStart w:id="25" w:name="_Toc28834"/>
      <w:r>
        <w:rPr>
          <w:rFonts w:hint="eastAsia" w:ascii="宋体" w:hAnsi="宋体" w:eastAsia="宋体" w:cs="宋体"/>
          <w:sz w:val="24"/>
          <w:szCs w:val="24"/>
          <w:lang w:val="en-US" w:eastAsia="zh-CN"/>
        </w:rPr>
        <w:t>8.2.采购代理机构信息</w:t>
      </w:r>
      <w:bookmarkEnd w:id="18"/>
      <w:bookmarkEnd w:id="19"/>
      <w:bookmarkEnd w:id="20"/>
      <w:bookmarkEnd w:id="21"/>
      <w:bookmarkEnd w:id="22"/>
      <w:bookmarkEnd w:id="23"/>
      <w:bookmarkEnd w:id="24"/>
      <w:bookmarkEnd w:id="25"/>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 称：河南驰鑫工程管理有限公司</w:t>
      </w:r>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 址：河南自贸试验区郑州片区（经开）第十七大街康桥悦城2号院3号楼302室</w:t>
      </w:r>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 系 人：吴嘉鑫</w:t>
      </w:r>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联系方式：19211760060</w:t>
      </w:r>
    </w:p>
    <w:p>
      <w:pPr>
        <w:spacing w:line="360" w:lineRule="auto"/>
        <w:ind w:firstLine="480" w:firstLineChars="200"/>
        <w:outlineLvl w:val="2"/>
        <w:rPr>
          <w:rFonts w:ascii="宋体" w:hAnsi="宋体" w:eastAsia="宋体" w:cs="宋体"/>
          <w:sz w:val="24"/>
          <w:szCs w:val="24"/>
          <w:lang w:val="en-US" w:eastAsia="zh-CN"/>
        </w:rPr>
      </w:pPr>
      <w:bookmarkStart w:id="26" w:name="_Toc30320"/>
      <w:bookmarkStart w:id="27" w:name="_Toc15180"/>
      <w:bookmarkStart w:id="28" w:name="_Toc35393808"/>
      <w:bookmarkStart w:id="29" w:name="_Toc63257747"/>
      <w:bookmarkStart w:id="30" w:name="_Toc28359098"/>
      <w:bookmarkStart w:id="31" w:name="_Toc35393639"/>
      <w:bookmarkStart w:id="32" w:name="_Toc1536"/>
      <w:bookmarkStart w:id="33" w:name="_Toc28359021"/>
      <w:r>
        <w:rPr>
          <w:rFonts w:hint="eastAsia" w:ascii="宋体" w:hAnsi="宋体" w:eastAsia="宋体" w:cs="宋体"/>
          <w:sz w:val="24"/>
          <w:szCs w:val="24"/>
          <w:lang w:val="en-US" w:eastAsia="zh-CN"/>
        </w:rPr>
        <w:t>8.3.项目联系方式</w:t>
      </w:r>
      <w:bookmarkEnd w:id="26"/>
      <w:bookmarkEnd w:id="27"/>
      <w:bookmarkEnd w:id="28"/>
      <w:bookmarkEnd w:id="29"/>
      <w:bookmarkEnd w:id="30"/>
      <w:bookmarkEnd w:id="31"/>
      <w:bookmarkEnd w:id="32"/>
      <w:bookmarkEnd w:id="33"/>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项目联系人：吴嘉鑫</w:t>
      </w:r>
    </w:p>
    <w:p>
      <w:pPr>
        <w:spacing w:line="360" w:lineRule="auto"/>
        <w:ind w:firstLine="720" w:firstLineChars="300"/>
        <w:rPr>
          <w:rFonts w:hint="default"/>
          <w:sz w:val="24"/>
          <w:szCs w:val="24"/>
          <w:lang w:val="en-US"/>
        </w:rPr>
      </w:pPr>
      <w:r>
        <w:rPr>
          <w:rFonts w:hint="eastAsia" w:ascii="宋体" w:hAnsi="宋体" w:eastAsia="宋体" w:cs="宋体"/>
          <w:sz w:val="24"/>
          <w:szCs w:val="24"/>
          <w:lang w:val="en-US" w:eastAsia="zh-CN"/>
        </w:rPr>
        <w:t>电话：19211760060</w:t>
      </w:r>
    </w:p>
    <w:p>
      <w:pPr>
        <w:jc w:val="center"/>
        <w:outlineLvl w:val="0"/>
        <w:rPr>
          <w:b/>
          <w:bCs/>
          <w:sz w:val="28"/>
          <w:szCs w:val="28"/>
        </w:rPr>
      </w:pPr>
      <w:bookmarkStart w:id="34" w:name="_Toc29558"/>
    </w:p>
    <w:p>
      <w:pPr>
        <w:jc w:val="center"/>
        <w:outlineLvl w:val="0"/>
        <w:rPr>
          <w:b/>
          <w:bCs/>
          <w:sz w:val="28"/>
          <w:szCs w:val="28"/>
        </w:rPr>
      </w:pPr>
    </w:p>
    <w:p>
      <w:pPr>
        <w:jc w:val="both"/>
        <w:outlineLvl w:val="0"/>
        <w:rPr>
          <w:b/>
          <w:bCs/>
          <w:sz w:val="28"/>
          <w:szCs w:val="28"/>
        </w:rPr>
      </w:pPr>
    </w:p>
    <w:p>
      <w:pPr>
        <w:rPr>
          <w:b/>
          <w:bCs/>
          <w:sz w:val="28"/>
          <w:szCs w:val="28"/>
        </w:rPr>
      </w:pPr>
      <w:r>
        <w:rPr>
          <w:b/>
          <w:bCs/>
          <w:sz w:val="28"/>
          <w:szCs w:val="28"/>
        </w:rPr>
        <w:br w:type="page"/>
      </w:r>
    </w:p>
    <w:p>
      <w:pPr>
        <w:jc w:val="center"/>
        <w:outlineLvl w:val="0"/>
        <w:rPr>
          <w:b/>
          <w:bCs/>
          <w:sz w:val="28"/>
          <w:szCs w:val="28"/>
        </w:rPr>
      </w:pPr>
      <w:r>
        <w:rPr>
          <w:b/>
          <w:bCs/>
          <w:sz w:val="28"/>
          <w:szCs w:val="28"/>
        </w:rPr>
        <w:t>第二章  招标项目要求及采购需求</w:t>
      </w:r>
      <w:bookmarkEnd w:id="34"/>
    </w:p>
    <w:p/>
    <w:p/>
    <w:p>
      <w:pPr>
        <w:spacing w:line="360" w:lineRule="auto"/>
        <w:ind w:firstLine="241" w:firstLineChars="100"/>
        <w:outlineLvl w:val="1"/>
        <w:rPr>
          <w:rFonts w:hint="eastAsia" w:asciiTheme="minorEastAsia" w:hAnsiTheme="minorEastAsia" w:eastAsiaTheme="minorEastAsia" w:cstheme="minorEastAsia"/>
          <w:b/>
          <w:bCs/>
          <w:sz w:val="24"/>
          <w:szCs w:val="24"/>
        </w:rPr>
      </w:pPr>
      <w:bookmarkStart w:id="35" w:name="_Toc25234"/>
      <w:r>
        <w:rPr>
          <w:rFonts w:hint="eastAsia" w:asciiTheme="minorEastAsia" w:hAnsiTheme="minorEastAsia" w:eastAsiaTheme="minorEastAsia" w:cstheme="minorEastAsia"/>
          <w:b/>
          <w:bCs/>
          <w:sz w:val="24"/>
          <w:szCs w:val="24"/>
        </w:rPr>
        <w:t>1. 招标项目、标段（包）划分、投标报价</w:t>
      </w:r>
      <w:bookmarkEnd w:id="35"/>
    </w:p>
    <w:p>
      <w:pPr>
        <w:spacing w:line="360" w:lineRule="auto"/>
        <w:ind w:firstLine="480" w:firstLineChars="200"/>
        <w:rPr>
          <w:rFonts w:hint="eastAsia"/>
          <w:b w:val="0"/>
          <w:bCs w:val="0"/>
          <w:sz w:val="24"/>
          <w:szCs w:val="24"/>
          <w:lang w:eastAsia="zh-CN"/>
        </w:rPr>
      </w:pPr>
      <w:r>
        <w:rPr>
          <w:rFonts w:hint="eastAsia"/>
          <w:b w:val="0"/>
          <w:bCs w:val="0"/>
          <w:sz w:val="24"/>
          <w:szCs w:val="24"/>
          <w:lang w:val="en-US" w:eastAsia="zh-CN"/>
        </w:rPr>
        <w:t>1.1</w:t>
      </w:r>
      <w:r>
        <w:rPr>
          <w:b w:val="0"/>
          <w:bCs w:val="0"/>
          <w:sz w:val="24"/>
          <w:szCs w:val="24"/>
        </w:rPr>
        <w:t>招标项目名称：</w:t>
      </w:r>
      <w:r>
        <w:rPr>
          <w:rFonts w:hint="eastAsia"/>
          <w:b w:val="0"/>
          <w:bCs w:val="0"/>
          <w:sz w:val="24"/>
          <w:szCs w:val="24"/>
          <w:lang w:eastAsia="zh-CN"/>
        </w:rPr>
        <w:t>安阳市文峰区环境卫生事务中心2025年购置电动三轮、四轮环卫作业车辆项目。</w:t>
      </w:r>
    </w:p>
    <w:p>
      <w:pPr>
        <w:spacing w:line="360" w:lineRule="auto"/>
        <w:ind w:firstLine="480" w:firstLineChars="200"/>
        <w:rPr>
          <w:sz w:val="24"/>
          <w:szCs w:val="24"/>
        </w:rPr>
      </w:pPr>
      <w:r>
        <w:rPr>
          <w:b w:val="0"/>
          <w:bCs w:val="0"/>
          <w:sz w:val="24"/>
          <w:szCs w:val="24"/>
        </w:rPr>
        <w:t>1.2 标段（包）划分及其交付（实施）期交付（实施）地点：</w:t>
      </w:r>
      <w:r>
        <w:rPr>
          <w:sz w:val="24"/>
          <w:szCs w:val="24"/>
        </w:rPr>
        <w:t xml:space="preserve">本次招标项目划分为 </w:t>
      </w:r>
      <w:r>
        <w:rPr>
          <w:rFonts w:hint="eastAsia"/>
          <w:sz w:val="24"/>
          <w:szCs w:val="24"/>
          <w:lang w:val="en-US" w:eastAsia="zh-CN"/>
        </w:rPr>
        <w:t>1</w:t>
      </w:r>
      <w:r>
        <w:rPr>
          <w:sz w:val="24"/>
          <w:szCs w:val="24"/>
        </w:rPr>
        <w:t>个标段（包）。</w:t>
      </w:r>
    </w:p>
    <w:tbl>
      <w:tblPr>
        <w:tblStyle w:val="18"/>
        <w:tblW w:w="9833"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583"/>
        <w:gridCol w:w="1678"/>
        <w:gridCol w:w="1657"/>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33" w:type="dxa"/>
            <w:gridSpan w:val="5"/>
            <w:vAlign w:val="center"/>
          </w:tcPr>
          <w:p>
            <w:pPr>
              <w:spacing w:line="360" w:lineRule="auto"/>
              <w:jc w:val="center"/>
              <w:rPr>
                <w:rFonts w:hint="eastAsia"/>
                <w:b w:val="0"/>
                <w:bCs w:val="0"/>
                <w:sz w:val="24"/>
                <w:szCs w:val="24"/>
                <w:lang w:eastAsia="zh-CN"/>
              </w:rPr>
            </w:pPr>
            <w:r>
              <w:rPr>
                <w:rFonts w:hint="eastAsia"/>
                <w:b w:val="0"/>
                <w:bCs w:val="0"/>
                <w:sz w:val="24"/>
                <w:szCs w:val="24"/>
                <w:lang w:val="en-US" w:eastAsia="zh-CN"/>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32" w:type="dxa"/>
            <w:vAlign w:val="center"/>
          </w:tcPr>
          <w:p>
            <w:pPr>
              <w:spacing w:line="240" w:lineRule="auto"/>
              <w:jc w:val="center"/>
              <w:rPr>
                <w:rFonts w:hint="default"/>
                <w:b w:val="0"/>
                <w:bCs w:val="0"/>
                <w:sz w:val="24"/>
                <w:szCs w:val="24"/>
                <w:lang w:val="en-US" w:eastAsia="zh-CN"/>
              </w:rPr>
            </w:pPr>
            <w:r>
              <w:rPr>
                <w:rFonts w:hint="eastAsia"/>
                <w:b w:val="0"/>
                <w:bCs w:val="0"/>
                <w:sz w:val="24"/>
                <w:szCs w:val="24"/>
                <w:lang w:val="en-US" w:eastAsia="zh-CN"/>
              </w:rPr>
              <w:t>项目名称</w:t>
            </w:r>
          </w:p>
        </w:tc>
        <w:tc>
          <w:tcPr>
            <w:tcW w:w="2583" w:type="dxa"/>
            <w:vAlign w:val="center"/>
          </w:tcPr>
          <w:p>
            <w:pPr>
              <w:spacing w:line="240" w:lineRule="auto"/>
              <w:jc w:val="center"/>
              <w:rPr>
                <w:rFonts w:hint="default"/>
                <w:b w:val="0"/>
                <w:bCs w:val="0"/>
                <w:sz w:val="24"/>
                <w:szCs w:val="24"/>
                <w:lang w:val="en-US" w:eastAsia="zh-CN"/>
              </w:rPr>
            </w:pPr>
            <w:r>
              <w:rPr>
                <w:rFonts w:hint="eastAsia"/>
                <w:b w:val="0"/>
                <w:bCs w:val="0"/>
                <w:sz w:val="24"/>
                <w:szCs w:val="24"/>
                <w:lang w:val="en-US" w:eastAsia="zh-CN"/>
              </w:rPr>
              <w:t>标段（包）名称</w:t>
            </w:r>
          </w:p>
        </w:tc>
        <w:tc>
          <w:tcPr>
            <w:tcW w:w="1678" w:type="dxa"/>
            <w:vAlign w:val="center"/>
          </w:tcPr>
          <w:p>
            <w:pPr>
              <w:spacing w:line="240" w:lineRule="auto"/>
              <w:jc w:val="center"/>
              <w:rPr>
                <w:rFonts w:hint="default"/>
                <w:b w:val="0"/>
                <w:bCs w:val="0"/>
                <w:sz w:val="24"/>
                <w:szCs w:val="24"/>
                <w:lang w:val="en-US" w:eastAsia="zh-CN"/>
              </w:rPr>
            </w:pPr>
            <w:r>
              <w:rPr>
                <w:rFonts w:hint="eastAsia"/>
                <w:b w:val="0"/>
                <w:bCs w:val="0"/>
                <w:sz w:val="24"/>
                <w:szCs w:val="24"/>
                <w:lang w:val="en-US" w:eastAsia="zh-CN"/>
              </w:rPr>
              <w:t>标段（包）内容（范围）</w:t>
            </w:r>
          </w:p>
        </w:tc>
        <w:tc>
          <w:tcPr>
            <w:tcW w:w="1657" w:type="dxa"/>
            <w:vAlign w:val="center"/>
          </w:tcPr>
          <w:p>
            <w:pPr>
              <w:spacing w:line="240" w:lineRule="auto"/>
              <w:jc w:val="center"/>
              <w:rPr>
                <w:rFonts w:hint="default"/>
                <w:b w:val="0"/>
                <w:bCs w:val="0"/>
                <w:sz w:val="24"/>
                <w:szCs w:val="24"/>
                <w:lang w:val="en-US" w:eastAsia="zh-CN"/>
              </w:rPr>
            </w:pPr>
            <w:r>
              <w:rPr>
                <w:rFonts w:hint="eastAsia"/>
                <w:b w:val="0"/>
                <w:bCs w:val="0"/>
                <w:sz w:val="24"/>
                <w:szCs w:val="24"/>
                <w:lang w:val="en-US" w:eastAsia="zh-CN"/>
              </w:rPr>
              <w:t>合同履行期限（交付期）</w:t>
            </w:r>
          </w:p>
        </w:tc>
        <w:tc>
          <w:tcPr>
            <w:tcW w:w="1483" w:type="dxa"/>
            <w:vAlign w:val="center"/>
          </w:tcPr>
          <w:p>
            <w:pPr>
              <w:spacing w:line="240" w:lineRule="auto"/>
              <w:jc w:val="center"/>
              <w:rPr>
                <w:rFonts w:hint="default"/>
                <w:b w:val="0"/>
                <w:bCs w:val="0"/>
                <w:sz w:val="24"/>
                <w:szCs w:val="24"/>
                <w:lang w:val="en-US" w:eastAsia="zh-CN"/>
              </w:rPr>
            </w:pPr>
            <w:r>
              <w:rPr>
                <w:rFonts w:hint="eastAsia"/>
                <w:b w:val="0"/>
                <w:bCs w:val="0"/>
                <w:sz w:val="24"/>
                <w:szCs w:val="24"/>
                <w:lang w:val="en-US" w:eastAsia="zh-CN"/>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432" w:type="dxa"/>
            <w:vAlign w:val="center"/>
          </w:tcPr>
          <w:p>
            <w:pPr>
              <w:spacing w:line="360" w:lineRule="auto"/>
              <w:jc w:val="center"/>
              <w:rPr>
                <w:rFonts w:hint="eastAsia"/>
                <w:b w:val="0"/>
                <w:bCs w:val="0"/>
                <w:sz w:val="24"/>
                <w:szCs w:val="24"/>
                <w:lang w:eastAsia="zh-CN"/>
              </w:rPr>
            </w:pPr>
            <w:r>
              <w:rPr>
                <w:rFonts w:hint="eastAsia"/>
                <w:b w:val="0"/>
                <w:bCs w:val="0"/>
                <w:sz w:val="24"/>
                <w:szCs w:val="24"/>
                <w:lang w:eastAsia="zh-CN"/>
              </w:rPr>
              <w:t>安阳市文峰区环境卫生事务中心2025年购置电动三轮、四轮环卫作业车辆项目</w:t>
            </w:r>
          </w:p>
        </w:tc>
        <w:tc>
          <w:tcPr>
            <w:tcW w:w="2583" w:type="dxa"/>
            <w:vAlign w:val="center"/>
          </w:tcPr>
          <w:p>
            <w:pPr>
              <w:spacing w:line="360" w:lineRule="auto"/>
              <w:jc w:val="center"/>
              <w:rPr>
                <w:rFonts w:hint="eastAsia"/>
                <w:b w:val="0"/>
                <w:bCs w:val="0"/>
                <w:sz w:val="24"/>
                <w:szCs w:val="24"/>
                <w:lang w:eastAsia="zh-CN"/>
              </w:rPr>
            </w:pPr>
            <w:r>
              <w:rPr>
                <w:rFonts w:hint="eastAsia"/>
                <w:b w:val="0"/>
                <w:bCs w:val="0"/>
                <w:sz w:val="24"/>
                <w:szCs w:val="24"/>
                <w:lang w:eastAsia="zh-CN"/>
              </w:rPr>
              <w:t>安阳市文峰区环境卫生事务中心2025年购置电动三轮、四轮环卫作业车辆项目</w:t>
            </w:r>
          </w:p>
        </w:tc>
        <w:tc>
          <w:tcPr>
            <w:tcW w:w="1678" w:type="dxa"/>
            <w:vAlign w:val="center"/>
          </w:tcPr>
          <w:p>
            <w:pPr>
              <w:spacing w:line="360" w:lineRule="auto"/>
              <w:jc w:val="center"/>
              <w:rPr>
                <w:rFonts w:hint="eastAsia"/>
                <w:b w:val="0"/>
                <w:bCs w:val="0"/>
                <w:sz w:val="24"/>
                <w:szCs w:val="24"/>
                <w:lang w:eastAsia="zh-CN"/>
              </w:rPr>
            </w:pPr>
            <w:r>
              <w:rPr>
                <w:rFonts w:hint="eastAsia"/>
                <w:b w:val="0"/>
                <w:bCs w:val="0"/>
                <w:sz w:val="24"/>
                <w:szCs w:val="24"/>
                <w:lang w:eastAsia="zh-CN"/>
              </w:rPr>
              <w:t>见“ 第二章第 2 条：标段（包）内容（范围）及具体采购需求</w:t>
            </w:r>
          </w:p>
        </w:tc>
        <w:tc>
          <w:tcPr>
            <w:tcW w:w="1657" w:type="dxa"/>
            <w:vAlign w:val="center"/>
          </w:tcPr>
          <w:p>
            <w:pPr>
              <w:spacing w:line="360" w:lineRule="auto"/>
              <w:jc w:val="center"/>
              <w:rPr>
                <w:rFonts w:hint="eastAsia"/>
                <w:b w:val="0"/>
                <w:bCs w:val="0"/>
                <w:sz w:val="24"/>
                <w:szCs w:val="24"/>
                <w:lang w:val="en-US" w:eastAsia="zh-CN"/>
              </w:rPr>
            </w:pPr>
            <w:r>
              <w:rPr>
                <w:rFonts w:hint="eastAsia"/>
                <w:b w:val="0"/>
                <w:bCs w:val="0"/>
                <w:sz w:val="24"/>
                <w:szCs w:val="24"/>
                <w:lang w:val="en-US" w:eastAsia="zh-CN"/>
              </w:rPr>
              <w:t>签订合同后30日历天</w:t>
            </w:r>
          </w:p>
        </w:tc>
        <w:tc>
          <w:tcPr>
            <w:tcW w:w="1483" w:type="dxa"/>
            <w:vAlign w:val="center"/>
          </w:tcPr>
          <w:p>
            <w:pPr>
              <w:spacing w:line="360" w:lineRule="auto"/>
              <w:jc w:val="center"/>
              <w:rPr>
                <w:rFonts w:hint="default"/>
                <w:b w:val="0"/>
                <w:bCs w:val="0"/>
                <w:sz w:val="24"/>
                <w:szCs w:val="24"/>
                <w:lang w:val="en-US" w:eastAsia="zh-CN"/>
              </w:rPr>
            </w:pPr>
            <w:r>
              <w:rPr>
                <w:rFonts w:hint="eastAsia"/>
                <w:b w:val="0"/>
                <w:bCs w:val="0"/>
                <w:sz w:val="24"/>
                <w:szCs w:val="24"/>
                <w:lang w:eastAsia="zh-CN"/>
              </w:rPr>
              <w:t>安阳市文峰区环境卫生事务中心</w:t>
            </w:r>
            <w:r>
              <w:rPr>
                <w:rFonts w:hint="eastAsia"/>
                <w:b w:val="0"/>
                <w:bCs w:val="0"/>
                <w:sz w:val="24"/>
                <w:szCs w:val="24"/>
                <w:lang w:val="en-US" w:eastAsia="zh-CN"/>
              </w:rPr>
              <w:t>或其他指定地点</w:t>
            </w:r>
          </w:p>
        </w:tc>
      </w:tr>
    </w:tbl>
    <w:p>
      <w:pPr>
        <w:spacing w:line="360" w:lineRule="auto"/>
        <w:rPr>
          <w:sz w:val="24"/>
          <w:szCs w:val="24"/>
        </w:rPr>
      </w:pPr>
    </w:p>
    <w:p>
      <w:pPr>
        <w:spacing w:line="360" w:lineRule="auto"/>
        <w:ind w:firstLine="480" w:firstLineChars="200"/>
        <w:outlineLvl w:val="2"/>
        <w:rPr>
          <w:b w:val="0"/>
          <w:bCs w:val="0"/>
          <w:sz w:val="24"/>
          <w:szCs w:val="24"/>
        </w:rPr>
      </w:pPr>
      <w:bookmarkStart w:id="36" w:name="_Toc7929"/>
      <w:r>
        <w:rPr>
          <w:b w:val="0"/>
          <w:bCs w:val="0"/>
          <w:sz w:val="24"/>
          <w:szCs w:val="24"/>
        </w:rPr>
        <w:t>1.3 投标报价（价格构成）</w:t>
      </w:r>
      <w:bookmarkEnd w:id="36"/>
    </w:p>
    <w:p>
      <w:pPr>
        <w:spacing w:line="360" w:lineRule="auto"/>
        <w:ind w:firstLine="720" w:firstLineChars="300"/>
        <w:rPr>
          <w:sz w:val="24"/>
          <w:szCs w:val="24"/>
        </w:rPr>
      </w:pPr>
      <w:r>
        <w:rPr>
          <w:sz w:val="24"/>
          <w:szCs w:val="24"/>
        </w:rPr>
        <w:t xml:space="preserve">1.3.1 </w:t>
      </w:r>
      <w:r>
        <w:rPr>
          <w:rFonts w:hint="eastAsia"/>
          <w:sz w:val="24"/>
          <w:szCs w:val="24"/>
          <w:lang w:eastAsia="zh-CN"/>
        </w:rPr>
        <w:t>投标人</w:t>
      </w:r>
      <w:r>
        <w:rPr>
          <w:sz w:val="24"/>
          <w:szCs w:val="24"/>
        </w:rPr>
        <w:t>的</w:t>
      </w:r>
      <w:r>
        <w:rPr>
          <w:rFonts w:hint="eastAsia"/>
          <w:sz w:val="24"/>
          <w:szCs w:val="24"/>
          <w:lang w:val="en-US" w:eastAsia="zh-CN"/>
        </w:rPr>
        <w:t>投标</w:t>
      </w:r>
      <w:r>
        <w:rPr>
          <w:sz w:val="24"/>
          <w:szCs w:val="24"/>
        </w:rPr>
        <w:t>报价应为达到正常使用条件下的目的地交验价，包括产品价款、相关税款、备品备件价、易损件价、耗材费、专用工具价、售后及技术服务费、知识产权（如有）、</w:t>
      </w:r>
      <w:r>
        <w:rPr>
          <w:color w:val="000000" w:themeColor="text1"/>
          <w:sz w:val="24"/>
          <w:szCs w:val="24"/>
          <w14:textFill>
            <w14:solidFill>
              <w14:schemeClr w14:val="tx1"/>
            </w14:solidFill>
          </w14:textFill>
        </w:rPr>
        <w:t>保险（如需）、货物包装、软件升级费、安装调试费、配合检定/校准服务费、培训费、维护维修费及运送到安阳地区指定地点的运杂费、装卸费等与采购项目相关的、必须的款项及费用（包括未列明而完成交验所必须的所有设备、材料、工具、费用）</w:t>
      </w:r>
      <w:r>
        <w:rPr>
          <w:rFonts w:hint="eastAsia"/>
          <w:color w:val="000000" w:themeColor="text1"/>
          <w:sz w:val="24"/>
          <w:szCs w:val="24"/>
          <w:highlight w:val="none"/>
          <w:lang w:val="en-US" w:eastAsia="zh-CN"/>
          <w14:textFill>
            <w14:solidFill>
              <w14:schemeClr w14:val="tx1"/>
            </w14:solidFill>
          </w14:textFill>
        </w:rPr>
        <w:t>。</w:t>
      </w:r>
      <w:r>
        <w:rPr>
          <w:sz w:val="24"/>
          <w:szCs w:val="24"/>
        </w:rPr>
        <w:t>成交价格在成交合同范围内固定不变。</w:t>
      </w:r>
    </w:p>
    <w:p>
      <w:pPr>
        <w:spacing w:line="360" w:lineRule="auto"/>
        <w:ind w:firstLine="480" w:firstLineChars="200"/>
        <w:rPr>
          <w:sz w:val="24"/>
          <w:szCs w:val="24"/>
        </w:rPr>
      </w:pPr>
      <w:r>
        <w:rPr>
          <w:sz w:val="24"/>
          <w:szCs w:val="24"/>
        </w:rPr>
        <w:t xml:space="preserve">1.3.2 </w:t>
      </w:r>
      <w:r>
        <w:rPr>
          <w:rFonts w:ascii="宋体" w:hAnsi="宋体" w:eastAsia="宋体" w:cs="宋体"/>
          <w:sz w:val="24"/>
          <w:szCs w:val="24"/>
        </w:rPr>
        <w:t>采购人不接受任何选择性报价，供应商只允许提供一个方案和一个报价</w:t>
      </w:r>
      <w:r>
        <w:rPr>
          <w:rFonts w:hint="eastAsia" w:ascii="宋体" w:hAnsi="宋体" w:eastAsia="宋体" w:cs="宋体"/>
          <w:sz w:val="24"/>
          <w:szCs w:val="24"/>
          <w:lang w:eastAsia="zh-CN"/>
        </w:rPr>
        <w:t>，</w:t>
      </w:r>
      <w:r>
        <w:rPr>
          <w:rFonts w:ascii="宋体" w:hAnsi="宋体" w:eastAsia="宋体" w:cs="宋体"/>
          <w:sz w:val="24"/>
          <w:szCs w:val="24"/>
        </w:rPr>
        <w:t>多个报价和方案将作为无效投标</w:t>
      </w:r>
      <w:r>
        <w:rPr>
          <w:rFonts w:hint="eastAsia" w:ascii="宋体" w:hAnsi="宋体" w:eastAsia="宋体" w:cs="宋体"/>
          <w:sz w:val="24"/>
          <w:szCs w:val="24"/>
          <w:lang w:eastAsia="zh-CN"/>
        </w:rPr>
        <w:t>，</w:t>
      </w:r>
      <w:r>
        <w:rPr>
          <w:sz w:val="24"/>
          <w:szCs w:val="24"/>
        </w:rPr>
        <w:t>报价时间截止后对投标报价的任何承诺、修改，除法定修正或招标文件规定修正情形外，评标委员会将不予考虑。</w:t>
      </w:r>
    </w:p>
    <w:p>
      <w:pPr>
        <w:spacing w:line="360" w:lineRule="auto"/>
        <w:ind w:firstLine="480" w:firstLineChars="200"/>
        <w:rPr>
          <w:sz w:val="24"/>
          <w:szCs w:val="24"/>
        </w:rPr>
      </w:pPr>
      <w:r>
        <w:rPr>
          <w:sz w:val="24"/>
          <w:szCs w:val="24"/>
        </w:rPr>
        <w:t>1.3.3 如投标人的投标报价未超过预算金额（见招标公告1.4）的</w:t>
      </w:r>
      <w:r>
        <w:rPr>
          <w:rFonts w:hint="eastAsia"/>
          <w:sz w:val="24"/>
          <w:szCs w:val="24"/>
          <w:lang w:eastAsia="zh-CN"/>
        </w:rPr>
        <w:t>投标人</w:t>
      </w:r>
      <w:r>
        <w:rPr>
          <w:sz w:val="24"/>
          <w:szCs w:val="24"/>
        </w:rPr>
        <w:t>不足三家的，该标段（包）做废标处理。</w:t>
      </w:r>
    </w:p>
    <w:p>
      <w:pPr>
        <w:spacing w:line="360" w:lineRule="auto"/>
        <w:ind w:firstLine="480" w:firstLineChars="200"/>
        <w:rPr>
          <w:rFonts w:hint="eastAsia"/>
          <w:sz w:val="24"/>
          <w:szCs w:val="24"/>
        </w:rPr>
      </w:pPr>
      <w:r>
        <w:rPr>
          <w:rFonts w:hint="eastAsia"/>
          <w:sz w:val="24"/>
          <w:szCs w:val="24"/>
        </w:rPr>
        <w:t>1.3.</w:t>
      </w:r>
      <w:r>
        <w:rPr>
          <w:rFonts w:hint="eastAsia"/>
          <w:sz w:val="24"/>
          <w:szCs w:val="24"/>
          <w:lang w:val="en-US" w:eastAsia="zh-CN"/>
        </w:rPr>
        <w:t>4</w:t>
      </w:r>
      <w:r>
        <w:rPr>
          <w:rFonts w:hint="eastAsia"/>
          <w:sz w:val="24"/>
          <w:szCs w:val="24"/>
        </w:rPr>
        <w:t xml:space="preserve"> 质保期：一年，招标文件中未明确列明保修条款的设备，均需提供至少一年的免</w:t>
      </w:r>
    </w:p>
    <w:p>
      <w:pPr>
        <w:spacing w:line="360" w:lineRule="auto"/>
        <w:ind w:firstLine="480" w:firstLineChars="200"/>
        <w:rPr>
          <w:rFonts w:hint="eastAsia"/>
          <w:sz w:val="24"/>
          <w:szCs w:val="24"/>
        </w:rPr>
      </w:pPr>
      <w:r>
        <w:rPr>
          <w:rFonts w:hint="eastAsia"/>
          <w:sz w:val="24"/>
          <w:szCs w:val="24"/>
        </w:rPr>
        <w:t>费保修（质保期从产品验收通过之日起开始计算）；国家规定或产品生产厂家规定大于一</w:t>
      </w:r>
    </w:p>
    <w:p>
      <w:pPr>
        <w:spacing w:line="360" w:lineRule="auto"/>
        <w:ind w:firstLine="480" w:firstLineChars="200"/>
        <w:rPr>
          <w:rFonts w:hint="eastAsia"/>
          <w:sz w:val="24"/>
          <w:szCs w:val="24"/>
        </w:rPr>
      </w:pPr>
      <w:r>
        <w:rPr>
          <w:rFonts w:hint="eastAsia"/>
          <w:sz w:val="24"/>
          <w:szCs w:val="24"/>
        </w:rPr>
        <w:t>年的，按国家规定与厂家规定最有利于采购人原则执行；招标文件已明确列明大于一年保</w:t>
      </w:r>
    </w:p>
    <w:p>
      <w:pPr>
        <w:spacing w:line="360" w:lineRule="auto"/>
        <w:ind w:firstLine="480" w:firstLineChars="200"/>
        <w:rPr>
          <w:rFonts w:hint="eastAsia"/>
          <w:sz w:val="24"/>
          <w:szCs w:val="24"/>
        </w:rPr>
      </w:pPr>
      <w:r>
        <w:rPr>
          <w:rFonts w:hint="eastAsia"/>
          <w:sz w:val="24"/>
          <w:szCs w:val="24"/>
        </w:rPr>
        <w:t>修的，按该条款及其响应执行，并终身维护；</w:t>
      </w:r>
    </w:p>
    <w:p>
      <w:pPr>
        <w:spacing w:line="360" w:lineRule="auto"/>
        <w:ind w:firstLine="480" w:firstLineChars="200"/>
        <w:rPr>
          <w:rFonts w:hint="eastAsia"/>
          <w:sz w:val="24"/>
          <w:szCs w:val="24"/>
        </w:rPr>
      </w:pPr>
      <w:r>
        <w:rPr>
          <w:rFonts w:hint="eastAsia"/>
          <w:sz w:val="24"/>
          <w:szCs w:val="24"/>
        </w:rPr>
        <w:t>（2）保修期内货物发生故障系货物出现质量问题，必须无偿更换；</w:t>
      </w:r>
    </w:p>
    <w:p>
      <w:pPr>
        <w:spacing w:line="360" w:lineRule="auto"/>
        <w:ind w:firstLine="480" w:firstLineChars="200"/>
        <w:rPr>
          <w:rFonts w:hint="eastAsia"/>
          <w:sz w:val="24"/>
          <w:szCs w:val="24"/>
        </w:rPr>
      </w:pPr>
      <w:r>
        <w:rPr>
          <w:rFonts w:hint="eastAsia"/>
          <w:sz w:val="24"/>
          <w:szCs w:val="24"/>
        </w:rPr>
        <w:t>（3）货物超过保修期发生故障，采购人可自由选择维修单位，如委托给中标人，中标</w:t>
      </w:r>
    </w:p>
    <w:p>
      <w:pPr>
        <w:spacing w:line="360" w:lineRule="auto"/>
        <w:ind w:firstLine="480" w:firstLineChars="200"/>
        <w:rPr>
          <w:rFonts w:hint="eastAsia"/>
          <w:sz w:val="24"/>
          <w:szCs w:val="24"/>
        </w:rPr>
      </w:pPr>
      <w:r>
        <w:rPr>
          <w:rFonts w:hint="eastAsia"/>
          <w:sz w:val="24"/>
          <w:szCs w:val="24"/>
        </w:rPr>
        <w:t>人不得借故推诿，应尽快组织维修，并以市场最低价格提供配件；</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rPr>
        <w:t>（4）</w:t>
      </w:r>
      <w:r>
        <w:rPr>
          <w:rFonts w:hint="eastAsia" w:cs="宋体" w:asciiTheme="minorEastAsia" w:hAnsiTheme="minorEastAsia" w:eastAsiaTheme="minorEastAsia"/>
          <w:kern w:val="0"/>
          <w:sz w:val="24"/>
        </w:rPr>
        <w:t xml:space="preserve">如产品发生故障，接到通知后须在 </w:t>
      </w:r>
      <w:r>
        <w:rPr>
          <w:rFonts w:hint="eastAsia" w:cs="宋体" w:asciiTheme="minorEastAsia" w:hAnsiTheme="minorEastAsia"/>
          <w:kern w:val="0"/>
          <w:sz w:val="24"/>
          <w:lang w:val="en-US" w:eastAsia="zh-CN"/>
        </w:rPr>
        <w:t>0.5</w:t>
      </w:r>
      <w:r>
        <w:rPr>
          <w:rFonts w:hint="eastAsia" w:cs="宋体" w:asciiTheme="minorEastAsia" w:hAnsiTheme="minorEastAsia" w:eastAsiaTheme="minorEastAsia"/>
          <w:kern w:val="0"/>
          <w:sz w:val="24"/>
        </w:rPr>
        <w:t xml:space="preserve"> 小时内响应，并在 </w:t>
      </w:r>
      <w:r>
        <w:rPr>
          <w:rFonts w:hint="eastAsia" w:cs="宋体" w:asciiTheme="minorEastAsia" w:hAnsiTheme="minorEastAsia"/>
          <w:kern w:val="0"/>
          <w:sz w:val="24"/>
          <w:lang w:val="en-US" w:eastAsia="zh-CN"/>
        </w:rPr>
        <w:t>1</w:t>
      </w:r>
      <w:r>
        <w:rPr>
          <w:rFonts w:hint="eastAsia" w:cs="宋体" w:asciiTheme="minorEastAsia" w:hAnsiTheme="minorEastAsia" w:eastAsiaTheme="minorEastAsia"/>
          <w:kern w:val="0"/>
          <w:sz w:val="24"/>
        </w:rPr>
        <w:t xml:space="preserve"> 小时内及时赶到现场，负责故障原因的诊断，尽快排除故障。</w:t>
      </w:r>
      <w:r>
        <w:rPr>
          <w:rFonts w:hint="eastAsia"/>
          <w:sz w:val="24"/>
          <w:szCs w:val="24"/>
        </w:rPr>
        <w:t xml:space="preserve"> </w:t>
      </w:r>
    </w:p>
    <w:p>
      <w:pPr>
        <w:numPr>
          <w:ilvl w:val="0"/>
          <w:numId w:val="1"/>
        </w:numPr>
        <w:spacing w:line="360" w:lineRule="auto"/>
        <w:ind w:firstLine="480" w:firstLineChars="200"/>
        <w:rPr>
          <w:rFonts w:hint="eastAsia"/>
          <w:color w:val="auto"/>
          <w:sz w:val="24"/>
          <w:szCs w:val="24"/>
          <w:highlight w:val="none"/>
          <w:lang w:val="en-US" w:eastAsia="zh-CN"/>
        </w:rPr>
      </w:pPr>
      <w:bookmarkStart w:id="37" w:name="OLE_LINK14"/>
      <w:r>
        <w:rPr>
          <w:rFonts w:hint="eastAsia"/>
          <w:color w:val="auto"/>
          <w:sz w:val="24"/>
          <w:szCs w:val="24"/>
          <w:highlight w:val="none"/>
          <w:lang w:val="en-US" w:eastAsia="zh-CN"/>
        </w:rPr>
        <w:t>电动三轮挂桶式垃圾收集车29辆，</w:t>
      </w:r>
      <w:bookmarkStart w:id="38" w:name="OLE_LINK13"/>
      <w:r>
        <w:rPr>
          <w:rFonts w:hint="eastAsia"/>
          <w:color w:val="auto"/>
          <w:sz w:val="24"/>
          <w:szCs w:val="24"/>
          <w:highlight w:val="none"/>
          <w:lang w:val="en-US" w:eastAsia="zh-CN"/>
        </w:rPr>
        <w:t>3.3万元/辆</w:t>
      </w:r>
      <w:bookmarkEnd w:id="38"/>
      <w:r>
        <w:rPr>
          <w:rFonts w:hint="eastAsia"/>
          <w:color w:val="auto"/>
          <w:sz w:val="24"/>
          <w:szCs w:val="24"/>
          <w:highlight w:val="none"/>
          <w:lang w:val="en-US" w:eastAsia="zh-CN"/>
        </w:rPr>
        <w:t>，电动三轮高压冲洗车15辆，2.5万元/辆，四轮高压清洗车13辆，8.5万元/辆，四轮后挂桶式垃圾收集车6辆，8.8万元/辆。</w:t>
      </w:r>
      <w:bookmarkEnd w:id="37"/>
    </w:p>
    <w:p>
      <w:pPr>
        <w:numPr>
          <w:ilvl w:val="0"/>
          <w:numId w:val="0"/>
        </w:numPr>
        <w:spacing w:line="360" w:lineRule="auto"/>
        <w:ind w:firstLine="723" w:firstLineChars="300"/>
        <w:rPr>
          <w:rFonts w:hint="eastAsia"/>
          <w:b/>
          <w:bCs/>
          <w:sz w:val="24"/>
          <w:szCs w:val="24"/>
        </w:rPr>
      </w:pPr>
      <w:r>
        <w:rPr>
          <w:rFonts w:hint="eastAsia"/>
          <w:b/>
          <w:bCs/>
          <w:sz w:val="24"/>
          <w:szCs w:val="24"/>
        </w:rPr>
        <w:t>注：投标供应商需提供</w:t>
      </w:r>
      <w:r>
        <w:rPr>
          <w:rFonts w:hint="eastAsia"/>
          <w:b/>
          <w:bCs/>
          <w:sz w:val="24"/>
          <w:szCs w:val="24"/>
          <w:lang w:val="en-US" w:eastAsia="zh-CN"/>
        </w:rPr>
        <w:t>每个车型单价</w:t>
      </w:r>
      <w:r>
        <w:rPr>
          <w:rFonts w:hint="eastAsia"/>
          <w:b/>
          <w:bCs/>
          <w:sz w:val="24"/>
          <w:szCs w:val="24"/>
        </w:rPr>
        <w:t>报价明细且响应单价不得高于预算单价。</w:t>
      </w:r>
    </w:p>
    <w:p>
      <w:pPr>
        <w:spacing w:line="360" w:lineRule="auto"/>
        <w:ind w:firstLine="480" w:firstLineChars="200"/>
        <w:rPr>
          <w:rFonts w:hint="eastAsia"/>
          <w:sz w:val="24"/>
          <w:szCs w:val="24"/>
        </w:rPr>
      </w:pPr>
    </w:p>
    <w:p>
      <w:pPr>
        <w:spacing w:line="360" w:lineRule="auto"/>
        <w:ind w:firstLine="241" w:firstLineChars="100"/>
        <w:outlineLvl w:val="1"/>
        <w:rPr>
          <w:b/>
          <w:bCs/>
          <w:sz w:val="24"/>
          <w:szCs w:val="24"/>
        </w:rPr>
      </w:pPr>
      <w:bookmarkStart w:id="39" w:name="_Toc4776"/>
      <w:r>
        <w:rPr>
          <w:b/>
          <w:bCs/>
          <w:sz w:val="24"/>
          <w:szCs w:val="24"/>
        </w:rPr>
        <w:t>2. 标段（包）内容（范围）及具体采购需求</w:t>
      </w:r>
      <w:bookmarkEnd w:id="39"/>
    </w:p>
    <w:p>
      <w:pPr>
        <w:spacing w:line="360" w:lineRule="auto"/>
        <w:ind w:firstLine="480" w:firstLineChars="200"/>
        <w:rPr>
          <w:sz w:val="24"/>
          <w:szCs w:val="24"/>
        </w:rPr>
      </w:pPr>
      <w:r>
        <w:rPr>
          <w:sz w:val="24"/>
          <w:szCs w:val="24"/>
        </w:rPr>
        <w:t>2.1 总体技术（方案）要求及标段（包） 内容（范围）：详见下述 2.4 款</w:t>
      </w:r>
    </w:p>
    <w:p>
      <w:pPr>
        <w:spacing w:line="360" w:lineRule="auto"/>
        <w:ind w:firstLine="480" w:firstLineChars="200"/>
        <w:rPr>
          <w:sz w:val="24"/>
          <w:szCs w:val="24"/>
        </w:rPr>
      </w:pPr>
      <w:r>
        <w:rPr>
          <w:sz w:val="24"/>
          <w:szCs w:val="24"/>
        </w:rPr>
        <w:t>2.2 项目落实的政府采购政策（法规标准条款）</w:t>
      </w:r>
    </w:p>
    <w:p>
      <w:pPr>
        <w:spacing w:line="360" w:lineRule="auto"/>
        <w:ind w:firstLine="480" w:firstLineChars="200"/>
        <w:rPr>
          <w:sz w:val="24"/>
          <w:szCs w:val="24"/>
        </w:rPr>
      </w:pPr>
      <w:r>
        <w:rPr>
          <w:sz w:val="24"/>
          <w:szCs w:val="24"/>
        </w:rPr>
        <w:t>2.2.1 政府采购节能产品、环境标志产品实施品目清单管理后，对本次采购产品属于</w:t>
      </w:r>
      <w:r>
        <w:rPr>
          <w:rFonts w:hint="eastAsia"/>
          <w:sz w:val="24"/>
          <w:szCs w:val="24"/>
          <w:lang w:eastAsia="zh-CN"/>
        </w:rPr>
        <w:t>“</w:t>
      </w:r>
      <w:r>
        <w:rPr>
          <w:sz w:val="24"/>
          <w:szCs w:val="24"/>
        </w:rPr>
        <w:t xml:space="preserve">节能产品政府采购品目清单 </w:t>
      </w:r>
      <w:r>
        <w:rPr>
          <w:rFonts w:hint="eastAsia"/>
          <w:sz w:val="24"/>
          <w:szCs w:val="24"/>
          <w:lang w:eastAsia="zh-CN"/>
        </w:rPr>
        <w:t>”</w:t>
      </w:r>
      <w:r>
        <w:rPr>
          <w:sz w:val="24"/>
          <w:szCs w:val="24"/>
        </w:rPr>
        <w:t>中强制采购品目的，投标产品应当具有相应的认证证书（认证证书应当为国家确定的认证机构出具、且应处于有效期之内），投标文件中应当提供相应的认证证书（认证证书应当为国家确定的认证机构出具、且应处于有效期之内）。属于政府强制采购品目、而未按要求提供相应资料的，为无效投标。</w:t>
      </w:r>
    </w:p>
    <w:p>
      <w:pPr>
        <w:spacing w:line="360" w:lineRule="auto"/>
        <w:ind w:firstLine="480" w:firstLineChars="200"/>
        <w:rPr>
          <w:rFonts w:hint="eastAsia" w:eastAsiaTheme="minorEastAsia"/>
          <w:sz w:val="24"/>
          <w:szCs w:val="24"/>
          <w:lang w:val="en-US" w:eastAsia="zh-CN"/>
        </w:rPr>
      </w:pPr>
      <w:r>
        <w:rPr>
          <w:sz w:val="24"/>
          <w:szCs w:val="24"/>
        </w:rPr>
        <w:t>2.2.2 同等条件下</w:t>
      </w:r>
      <w:r>
        <w:rPr>
          <w:rFonts w:hint="eastAsia"/>
          <w:sz w:val="24"/>
          <w:szCs w:val="24"/>
          <w:lang w:eastAsia="zh-CN"/>
        </w:rPr>
        <w:t>，</w:t>
      </w:r>
      <w:r>
        <w:rPr>
          <w:sz w:val="24"/>
          <w:szCs w:val="24"/>
        </w:rPr>
        <w:t>获得节能产品认证证书或环境标志产品认证证书的产品优先采购。</w:t>
      </w:r>
      <w:r>
        <w:rPr>
          <w:rFonts w:hint="eastAsia"/>
          <w:sz w:val="24"/>
          <w:szCs w:val="24"/>
          <w:lang w:eastAsia="zh-CN"/>
        </w:rPr>
        <w:t>（</w:t>
      </w:r>
      <w:r>
        <w:rPr>
          <w:sz w:val="24"/>
          <w:szCs w:val="24"/>
        </w:rPr>
        <w:t>认证证书应当为国家确定的认证机构出具、且应处于有效期之内。</w:t>
      </w:r>
      <w:r>
        <w:rPr>
          <w:rFonts w:hint="eastAsia"/>
          <w:sz w:val="24"/>
          <w:szCs w:val="24"/>
          <w:lang w:val="en-US" w:eastAsia="zh-CN"/>
        </w:rPr>
        <w:t>）</w:t>
      </w:r>
    </w:p>
    <w:p>
      <w:pPr>
        <w:spacing w:line="360" w:lineRule="auto"/>
        <w:ind w:firstLine="480" w:firstLineChars="200"/>
        <w:rPr>
          <w:sz w:val="24"/>
          <w:szCs w:val="24"/>
        </w:rPr>
      </w:pPr>
      <w:r>
        <w:rPr>
          <w:sz w:val="24"/>
          <w:szCs w:val="24"/>
        </w:rPr>
        <w:t>2.2.</w:t>
      </w:r>
      <w:r>
        <w:rPr>
          <w:rFonts w:hint="eastAsia"/>
          <w:sz w:val="24"/>
          <w:szCs w:val="24"/>
          <w:lang w:val="en-US" w:eastAsia="zh-CN"/>
        </w:rPr>
        <w:t>3</w:t>
      </w:r>
      <w:r>
        <w:rPr>
          <w:sz w:val="24"/>
          <w:szCs w:val="24"/>
        </w:rPr>
        <w:t xml:space="preserve"> </w:t>
      </w:r>
      <w:r>
        <w:rPr>
          <w:rFonts w:hint="eastAsia"/>
          <w:sz w:val="24"/>
          <w:szCs w:val="24"/>
          <w:lang w:val="en-US" w:eastAsia="zh-CN"/>
        </w:rPr>
        <w:t>信息安全产品须通过国家信息安全认证中心认证，</w:t>
      </w:r>
      <w:r>
        <w:rPr>
          <w:sz w:val="24"/>
          <w:szCs w:val="24"/>
        </w:rPr>
        <w:t>计算机产品须预装正版操作系统软件。</w:t>
      </w:r>
    </w:p>
    <w:p>
      <w:pPr>
        <w:spacing w:line="360" w:lineRule="auto"/>
        <w:ind w:firstLine="480" w:firstLineChars="200"/>
        <w:rPr>
          <w:sz w:val="24"/>
          <w:szCs w:val="24"/>
        </w:rPr>
      </w:pPr>
      <w:r>
        <w:rPr>
          <w:sz w:val="24"/>
          <w:szCs w:val="24"/>
        </w:rPr>
        <w:t>2.2.</w:t>
      </w:r>
      <w:r>
        <w:rPr>
          <w:rFonts w:hint="eastAsia"/>
          <w:sz w:val="24"/>
          <w:szCs w:val="24"/>
          <w:lang w:val="en-US" w:eastAsia="zh-CN"/>
        </w:rPr>
        <w:t>4</w:t>
      </w:r>
      <w:r>
        <w:rPr>
          <w:sz w:val="24"/>
          <w:szCs w:val="24"/>
        </w:rPr>
        <w:t xml:space="preserve"> 本次采购不允许进口产品参加。</w:t>
      </w:r>
    </w:p>
    <w:p>
      <w:pPr>
        <w:spacing w:line="360" w:lineRule="auto"/>
        <w:ind w:firstLine="480" w:firstLineChars="200"/>
        <w:rPr>
          <w:sz w:val="24"/>
          <w:szCs w:val="24"/>
        </w:rPr>
      </w:pPr>
      <w:r>
        <w:rPr>
          <w:sz w:val="24"/>
          <w:szCs w:val="24"/>
        </w:rPr>
        <w:t>2.2.</w:t>
      </w:r>
      <w:r>
        <w:rPr>
          <w:rFonts w:hint="eastAsia"/>
          <w:sz w:val="24"/>
          <w:szCs w:val="24"/>
          <w:lang w:val="en-US" w:eastAsia="zh-CN"/>
        </w:rPr>
        <w:t>5</w:t>
      </w:r>
      <w:r>
        <w:rPr>
          <w:sz w:val="24"/>
          <w:szCs w:val="24"/>
        </w:rPr>
        <w:t xml:space="preserve"> 如允许采购进口产品的，优先采购向我国企业转让技术、与我国企业签订消化吸收再创新方案的</w:t>
      </w:r>
      <w:r>
        <w:rPr>
          <w:rFonts w:hint="eastAsia"/>
          <w:sz w:val="24"/>
          <w:szCs w:val="24"/>
          <w:lang w:eastAsia="zh-CN"/>
        </w:rPr>
        <w:t>投标人</w:t>
      </w:r>
      <w:r>
        <w:rPr>
          <w:sz w:val="24"/>
          <w:szCs w:val="24"/>
        </w:rPr>
        <w:t>的进口产品。</w:t>
      </w:r>
    </w:p>
    <w:p>
      <w:pPr>
        <w:spacing w:line="360" w:lineRule="auto"/>
        <w:ind w:firstLine="480" w:firstLineChars="200"/>
        <w:rPr>
          <w:sz w:val="24"/>
          <w:szCs w:val="24"/>
        </w:rPr>
      </w:pPr>
      <w:r>
        <w:rPr>
          <w:sz w:val="24"/>
          <w:szCs w:val="24"/>
        </w:rPr>
        <w:t>2.2.</w:t>
      </w:r>
      <w:r>
        <w:rPr>
          <w:rFonts w:hint="eastAsia"/>
          <w:sz w:val="24"/>
          <w:szCs w:val="24"/>
          <w:lang w:val="en-US" w:eastAsia="zh-CN"/>
        </w:rPr>
        <w:t>6</w:t>
      </w:r>
      <w:r>
        <w:rPr>
          <w:sz w:val="24"/>
          <w:szCs w:val="24"/>
        </w:rPr>
        <w:t xml:space="preserve"> 促进中小企业发展扶持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pPr>
        <w:spacing w:line="360" w:lineRule="auto"/>
        <w:ind w:firstLine="480" w:firstLineChars="200"/>
        <w:rPr>
          <w:sz w:val="24"/>
          <w:szCs w:val="24"/>
        </w:rPr>
      </w:pPr>
      <w:r>
        <w:rPr>
          <w:sz w:val="24"/>
          <w:szCs w:val="24"/>
        </w:rPr>
        <w:t>2.2.</w:t>
      </w:r>
      <w:r>
        <w:rPr>
          <w:rFonts w:hint="eastAsia"/>
          <w:sz w:val="24"/>
          <w:szCs w:val="24"/>
          <w:lang w:val="en-US" w:eastAsia="zh-CN"/>
        </w:rPr>
        <w:t>7</w:t>
      </w:r>
      <w:r>
        <w:rPr>
          <w:sz w:val="24"/>
          <w:szCs w:val="24"/>
        </w:rPr>
        <w:t xml:space="preserve"> 促进残疾人就业、支持监狱企业发展：见第四章“评审办法 ”第 4 条。</w:t>
      </w:r>
    </w:p>
    <w:p>
      <w:pPr>
        <w:spacing w:line="360" w:lineRule="auto"/>
        <w:ind w:firstLine="480" w:firstLineChars="200"/>
        <w:rPr>
          <w:sz w:val="24"/>
          <w:szCs w:val="24"/>
        </w:rPr>
      </w:pPr>
      <w:r>
        <w:rPr>
          <w:sz w:val="24"/>
          <w:szCs w:val="24"/>
        </w:rPr>
        <w:t>2.2.</w:t>
      </w:r>
      <w:r>
        <w:rPr>
          <w:rFonts w:hint="eastAsia"/>
          <w:sz w:val="24"/>
          <w:szCs w:val="24"/>
          <w:lang w:val="en-US" w:eastAsia="zh-CN"/>
        </w:rPr>
        <w:t>8</w:t>
      </w:r>
      <w:r>
        <w:rPr>
          <w:sz w:val="24"/>
          <w:szCs w:val="24"/>
        </w:rPr>
        <w:t xml:space="preserve"> 所供产品有商品包装的应当使用绿色包装。所供产品有其他环保政策要求的，应符合相关环保法律政策要求。</w:t>
      </w:r>
    </w:p>
    <w:p>
      <w:pPr>
        <w:spacing w:line="360" w:lineRule="auto"/>
        <w:ind w:firstLine="480" w:firstLineChars="200"/>
        <w:rPr>
          <w:color w:val="auto"/>
          <w:sz w:val="24"/>
          <w:szCs w:val="24"/>
        </w:rPr>
      </w:pPr>
      <w:r>
        <w:rPr>
          <w:sz w:val="24"/>
          <w:szCs w:val="24"/>
        </w:rPr>
        <w:t>2.3 采购标的需执行的国家相关标准、行业标准、地方标准或者其他标准、规范；</w:t>
      </w:r>
      <w:r>
        <w:rPr>
          <w:rFonts w:hint="eastAsia"/>
          <w:sz w:val="24"/>
          <w:szCs w:val="24"/>
          <w:lang w:eastAsia="zh-CN"/>
        </w:rPr>
        <w:t>投标人</w:t>
      </w:r>
      <w:r>
        <w:rPr>
          <w:sz w:val="24"/>
          <w:szCs w:val="24"/>
        </w:rPr>
        <w:t>所报响应产品应为全新产品且符合国家质量标准、部颁标准及行业规范的要求，符合国家各项强制性规范及安全标准，响应产品不应与第三方存在知识产权权属问题；</w:t>
      </w:r>
      <w:r>
        <w:rPr>
          <w:rFonts w:hint="eastAsia"/>
          <w:sz w:val="24"/>
          <w:szCs w:val="24"/>
          <w:lang w:eastAsia="zh-CN"/>
        </w:rPr>
        <w:t>投标人</w:t>
      </w:r>
      <w:r>
        <w:rPr>
          <w:sz w:val="24"/>
          <w:szCs w:val="24"/>
        </w:rPr>
        <w:t>应本着服务客户、为客户着想的宗旨，来完善产品及技术要求未尽事宜，不得以《</w:t>
      </w:r>
      <w:r>
        <w:rPr>
          <w:rFonts w:hint="eastAsia"/>
          <w:sz w:val="24"/>
          <w:szCs w:val="24"/>
          <w:lang w:val="en-US" w:eastAsia="zh-CN"/>
        </w:rPr>
        <w:t>招标</w:t>
      </w:r>
      <w:r>
        <w:rPr>
          <w:sz w:val="24"/>
          <w:szCs w:val="24"/>
        </w:rPr>
        <w:t>文件》未列明事项为由</w:t>
      </w:r>
      <w:r>
        <w:rPr>
          <w:rFonts w:hint="eastAsia"/>
          <w:sz w:val="24"/>
          <w:szCs w:val="24"/>
          <w:lang w:eastAsia="zh-CN"/>
        </w:rPr>
        <w:t>，</w:t>
      </w:r>
      <w:r>
        <w:rPr>
          <w:sz w:val="24"/>
          <w:szCs w:val="24"/>
        </w:rPr>
        <w:t>来降低响应产品的质量。</w:t>
      </w:r>
      <w:bookmarkStart w:id="40" w:name="_Toc16182"/>
    </w:p>
    <w:p>
      <w:pPr>
        <w:pStyle w:val="4"/>
        <w:jc w:val="left"/>
        <w:outlineLvl w:val="0"/>
        <w:rPr>
          <w:color w:val="auto"/>
          <w:sz w:val="24"/>
          <w:szCs w:val="24"/>
        </w:rPr>
      </w:pPr>
      <w:r>
        <w:rPr>
          <w:color w:val="auto"/>
          <w:sz w:val="24"/>
          <w:szCs w:val="24"/>
        </w:rPr>
        <w:t xml:space="preserve">2.4 </w:t>
      </w:r>
      <w:bookmarkEnd w:id="40"/>
      <w:r>
        <w:rPr>
          <w:rFonts w:hint="eastAsia" w:asciiTheme="minorHAnsi" w:hAnsiTheme="minorHAnsi" w:eastAsiaTheme="minorEastAsia" w:cstheme="minorBidi"/>
          <w:kern w:val="2"/>
          <w:sz w:val="24"/>
          <w:szCs w:val="24"/>
          <w:lang w:val="en-US" w:eastAsia="zh-CN" w:bidi="ar-SA"/>
        </w:rPr>
        <w:t>标段（包）内容（具体范围、数量）</w:t>
      </w:r>
    </w:p>
    <w:p>
      <w:pPr>
        <w:jc w:val="center"/>
        <w:rPr>
          <w:b/>
          <w:bCs/>
          <w:color w:val="auto"/>
          <w:sz w:val="28"/>
          <w:szCs w:val="36"/>
        </w:rPr>
      </w:pPr>
      <w:r>
        <w:rPr>
          <w:rFonts w:hint="eastAsia"/>
          <w:b/>
          <w:bCs/>
          <w:color w:val="auto"/>
          <w:sz w:val="28"/>
          <w:szCs w:val="36"/>
        </w:rPr>
        <w:t>电动三轮挂桶式垃圾收集车</w:t>
      </w:r>
    </w:p>
    <w:p>
      <w:pPr>
        <w:rPr>
          <w:b/>
          <w:bCs/>
          <w:color w:val="auto"/>
          <w:sz w:val="28"/>
          <w:szCs w:val="36"/>
        </w:rPr>
      </w:pPr>
      <w:r>
        <w:rPr>
          <w:rFonts w:hint="eastAsia"/>
          <w:b/>
          <w:bCs/>
          <w:color w:val="auto"/>
          <w:sz w:val="28"/>
          <w:szCs w:val="36"/>
        </w:rPr>
        <w:t>一、技术参数</w:t>
      </w:r>
    </w:p>
    <w:tbl>
      <w:tblPr>
        <w:tblStyle w:val="1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392"/>
        <w:gridCol w:w="901"/>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72" w:type="dxa"/>
            <w:vAlign w:val="center"/>
          </w:tcPr>
          <w:p>
            <w:pPr>
              <w:rPr>
                <w:rFonts w:ascii="宋体" w:hAnsi="宋体" w:eastAsia="宋体" w:cs="宋体"/>
                <w:color w:val="auto"/>
                <w:sz w:val="24"/>
              </w:rPr>
            </w:pPr>
            <w:r>
              <w:rPr>
                <w:rFonts w:hint="eastAsia" w:ascii="宋体" w:hAnsi="宋体" w:eastAsia="宋体" w:cs="宋体"/>
                <w:color w:val="auto"/>
                <w:sz w:val="24"/>
              </w:rPr>
              <w:t>序号</w:t>
            </w: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项目</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单位</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pStyle w:val="2"/>
              <w:keepNext w:val="0"/>
              <w:keepLines w:val="0"/>
              <w:widowControl/>
              <w:suppressLineNumbers w:val="0"/>
              <w:shd w:val="clear" w:fill="FFFFFF"/>
              <w:spacing w:before="30" w:beforeAutospacing="0" w:after="30" w:afterAutospacing="0" w:line="320" w:lineRule="atLeast"/>
              <w:ind w:left="0" w:right="0" w:firstLine="0"/>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b w:val="0"/>
                <w:bCs w:val="0"/>
                <w:color w:val="auto"/>
                <w:sz w:val="24"/>
              </w:rPr>
              <w:t>外形尺寸</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hint="default" w:ascii="宋体" w:hAnsi="宋体" w:eastAsia="宋体" w:cs="宋体"/>
                <w:color w:val="auto"/>
                <w:sz w:val="24"/>
                <w:lang w:val="en-US" w:eastAsia="zh-CN"/>
              </w:rPr>
            </w:pPr>
            <w:r>
              <w:rPr>
                <w:rFonts w:hint="eastAsia" w:ascii="宋体" w:hAnsi="宋体" w:eastAsia="宋体" w:cs="宋体"/>
                <w:color w:val="auto"/>
                <w:sz w:val="24"/>
              </w:rPr>
              <w:t>≥37</w:t>
            </w:r>
            <w:r>
              <w:rPr>
                <w:rFonts w:hint="eastAsia" w:ascii="宋体" w:hAnsi="宋体" w:eastAsia="宋体" w:cs="宋体"/>
                <w:color w:val="auto"/>
                <w:sz w:val="24"/>
                <w:lang w:val="en-US" w:eastAsia="zh-CN"/>
              </w:rPr>
              <w:t>00</w:t>
            </w:r>
            <w:r>
              <w:rPr>
                <w:rFonts w:hint="eastAsia" w:ascii="宋体" w:hAnsi="宋体" w:eastAsia="宋体" w:cs="宋体"/>
                <w:color w:val="auto"/>
                <w:sz w:val="24"/>
              </w:rPr>
              <w:t>×15</w:t>
            </w:r>
            <w:r>
              <w:rPr>
                <w:rFonts w:hint="eastAsia" w:ascii="宋体" w:hAnsi="宋体" w:eastAsia="宋体" w:cs="宋体"/>
                <w:color w:val="auto"/>
                <w:sz w:val="24"/>
                <w:lang w:val="en-US" w:eastAsia="zh-CN"/>
              </w:rPr>
              <w:t>00</w:t>
            </w:r>
            <w:r>
              <w:rPr>
                <w:rFonts w:hint="eastAsia" w:ascii="宋体" w:hAnsi="宋体" w:eastAsia="宋体" w:cs="宋体"/>
                <w:color w:val="auto"/>
                <w:sz w:val="24"/>
              </w:rPr>
              <w:t>×21</w:t>
            </w:r>
            <w:r>
              <w:rPr>
                <w:rFonts w:hint="eastAsia" w:ascii="宋体" w:hAnsi="宋体" w:eastAsia="宋体" w:cs="宋体"/>
                <w:color w:val="auto"/>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车厢尺寸</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hint="default"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2100×1400×12</w:t>
            </w:r>
            <w:r>
              <w:rPr>
                <w:rFonts w:hint="eastAsia" w:ascii="宋体" w:hAnsi="宋体" w:eastAsia="宋体" w:cs="宋体"/>
                <w:color w:val="auto"/>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整备质量</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kg</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载质量</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kg</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前轮载重</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kg</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后轮载重</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kg</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垃圾箱容量</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m³</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续航里程</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最高车速</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km/h</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lang w:val="en-US" w:eastAsia="zh-CN"/>
              </w:rPr>
              <w:t>≤</w:t>
            </w:r>
            <w:r>
              <w:rPr>
                <w:rFonts w:hint="eastAsia" w:ascii="宋体" w:hAnsi="宋体" w:eastAsia="宋体" w:cs="宋体"/>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电控系统</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V</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电机额定电压</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V</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电池类型</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铅酸电池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电池</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V/Ah</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12/150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轮距</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轴距</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后悬</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驱动电机功率</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kW</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转弯半径</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最小离地间隙</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2" w:type="dxa"/>
            <w:vAlign w:val="center"/>
          </w:tcPr>
          <w:p>
            <w:pPr>
              <w:numPr>
                <w:ilvl w:val="0"/>
                <w:numId w:val="2"/>
              </w:numPr>
              <w:rPr>
                <w:rFonts w:ascii="宋体" w:hAnsi="宋体" w:eastAsia="宋体" w:cs="宋体"/>
                <w:color w:val="auto"/>
                <w:sz w:val="24"/>
              </w:rPr>
            </w:pPr>
          </w:p>
        </w:tc>
        <w:tc>
          <w:tcPr>
            <w:tcW w:w="2392" w:type="dxa"/>
            <w:vAlign w:val="center"/>
          </w:tcPr>
          <w:p>
            <w:pPr>
              <w:rPr>
                <w:rFonts w:ascii="宋体" w:hAnsi="宋体" w:eastAsia="宋体" w:cs="宋体"/>
                <w:color w:val="auto"/>
                <w:sz w:val="24"/>
              </w:rPr>
            </w:pPr>
            <w:r>
              <w:rPr>
                <w:rFonts w:hint="eastAsia" w:ascii="宋体" w:hAnsi="宋体" w:eastAsia="宋体" w:cs="宋体"/>
                <w:color w:val="auto"/>
                <w:sz w:val="24"/>
              </w:rPr>
              <w:t>最小制动距离</w:t>
            </w:r>
          </w:p>
        </w:tc>
        <w:tc>
          <w:tcPr>
            <w:tcW w:w="901" w:type="dxa"/>
            <w:vAlign w:val="center"/>
          </w:tcPr>
          <w:p>
            <w:pPr>
              <w:rPr>
                <w:rFonts w:ascii="宋体" w:hAnsi="宋体" w:eastAsia="宋体" w:cs="宋体"/>
                <w:color w:val="auto"/>
                <w:sz w:val="24"/>
              </w:rPr>
            </w:pPr>
            <w:r>
              <w:rPr>
                <w:rFonts w:hint="eastAsia" w:ascii="宋体" w:hAnsi="宋体" w:eastAsia="宋体" w:cs="宋体"/>
                <w:color w:val="auto"/>
                <w:sz w:val="24"/>
              </w:rPr>
              <w:t>m</w:t>
            </w:r>
          </w:p>
        </w:tc>
        <w:tc>
          <w:tcPr>
            <w:tcW w:w="5052" w:type="dxa"/>
            <w:vAlign w:val="center"/>
          </w:tcPr>
          <w:p>
            <w:pPr>
              <w:rPr>
                <w:rFonts w:ascii="宋体" w:hAnsi="宋体" w:eastAsia="宋体" w:cs="宋体"/>
                <w:color w:val="auto"/>
                <w:sz w:val="24"/>
              </w:rPr>
            </w:pPr>
            <w:r>
              <w:rPr>
                <w:rFonts w:hint="eastAsia" w:ascii="宋体" w:hAnsi="宋体" w:eastAsia="宋体" w:cs="宋体"/>
                <w:color w:val="auto"/>
                <w:sz w:val="24"/>
              </w:rPr>
              <w:t>≥5</w:t>
            </w:r>
          </w:p>
        </w:tc>
      </w:tr>
    </w:tbl>
    <w:p>
      <w:pPr>
        <w:rPr>
          <w:b/>
          <w:bCs/>
          <w:color w:val="auto"/>
          <w:sz w:val="28"/>
          <w:szCs w:val="36"/>
        </w:rPr>
      </w:pPr>
      <w:r>
        <w:rPr>
          <w:rFonts w:hint="eastAsia"/>
          <w:b/>
          <w:bCs/>
          <w:color w:val="auto"/>
          <w:sz w:val="28"/>
          <w:szCs w:val="36"/>
        </w:rPr>
        <w:t>二、性能特点</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专用自卸三轮纯电动载重底盘，操纵灵活、性能稳定；采用纯电驱动模式，故障率低，易于操作；</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全封闭驾驶室，钢制玻璃车门，视野辽阔，内置一体式电动雨刮器；精电子显示仪表；珍珠白色外观整洁度极高，全车采用汽车级电泳金属高温烤漆工艺；</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前大灯采用创新高亮度大灯，电子仪表刻度清晰、视觉流畅；</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标配内置式倒车影像，透气式天窗，USB智能接口，点烟器，高档收音机；</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车厢采用全封闭结构，上部圆弧下部瓦楞设计，垃圾箱体与后门之间加设胶条密封，防止运输途中出现垃圾外漏,污水滴漏的情况；</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提升机构可提升240L、120L垃圾桶，具有自提升降功能，无线遥控提升功能方便快捷；机构稳定可靠；</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后门四点锁紧，装配气弹簧，卸车时可自动打开、定位；</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采用液压电磁阀控制液压回路，实现提升架的往复运动，提升架采用四连杆机构，实现升降和翻转；</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箱体装配侧翻门，方便散装垃圾收装；专用密封条，防漏水泄露垃圾及液体，避免二次污染；</w:t>
      </w:r>
    </w:p>
    <w:p>
      <w:pPr>
        <w:numPr>
          <w:ilvl w:val="0"/>
          <w:numId w:val="3"/>
        </w:numPr>
        <w:spacing w:line="360" w:lineRule="auto"/>
        <w:ind w:left="0" w:firstLine="480" w:firstLineChars="200"/>
        <w:rPr>
          <w:rFonts w:ascii="宋体" w:hAnsi="宋体" w:eastAsia="宋体" w:cs="宋体"/>
          <w:color w:val="auto"/>
          <w:sz w:val="24"/>
          <w:szCs w:val="32"/>
        </w:rPr>
      </w:pPr>
      <w:r>
        <w:rPr>
          <w:rFonts w:hint="eastAsia" w:ascii="宋体" w:hAnsi="宋体" w:eastAsia="宋体" w:cs="宋体"/>
          <w:color w:val="auto"/>
          <w:sz w:val="24"/>
          <w:szCs w:val="32"/>
        </w:rPr>
        <w:t>底盘倾翻采用三级油缸翻转设计，翻起后超大空间，标配机械固定安全装置，方便底盘驱动桥、驱动电机、控制器等部件维护与维修。</w:t>
      </w:r>
    </w:p>
    <w:p>
      <w:pPr>
        <w:jc w:val="both"/>
        <w:rPr>
          <w:rFonts w:hint="eastAsia"/>
          <w:b/>
          <w:bCs/>
          <w:color w:val="auto"/>
          <w:sz w:val="28"/>
          <w:szCs w:val="36"/>
        </w:rPr>
      </w:pPr>
    </w:p>
    <w:p>
      <w:pPr>
        <w:jc w:val="center"/>
        <w:rPr>
          <w:rFonts w:hint="eastAsia"/>
          <w:b/>
          <w:bCs/>
          <w:color w:val="auto"/>
          <w:sz w:val="28"/>
          <w:szCs w:val="36"/>
        </w:rPr>
      </w:pPr>
    </w:p>
    <w:p>
      <w:pPr>
        <w:jc w:val="center"/>
        <w:rPr>
          <w:b/>
          <w:bCs/>
          <w:sz w:val="28"/>
          <w:szCs w:val="36"/>
        </w:rPr>
      </w:pPr>
      <w:r>
        <w:rPr>
          <w:rFonts w:hint="eastAsia"/>
          <w:b/>
          <w:bCs/>
          <w:sz w:val="28"/>
          <w:szCs w:val="36"/>
        </w:rPr>
        <w:t>电动三轮高压冲洗车</w:t>
      </w:r>
    </w:p>
    <w:p>
      <w:pPr>
        <w:pStyle w:val="7"/>
      </w:pPr>
      <w:r>
        <w:rPr>
          <w:rFonts w:hint="eastAsia"/>
          <w:b/>
          <w:bCs/>
          <w:sz w:val="28"/>
          <w:szCs w:val="36"/>
        </w:rPr>
        <w:t>一、技术参数</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413"/>
        <w:gridCol w:w="1126"/>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rPr>
                <w:rFonts w:ascii="宋体" w:hAnsi="宋体" w:eastAsia="宋体" w:cs="宋体"/>
                <w:sz w:val="24"/>
              </w:rPr>
            </w:pPr>
            <w:r>
              <w:rPr>
                <w:rFonts w:hint="eastAsia" w:ascii="宋体" w:hAnsi="宋体" w:eastAsia="宋体" w:cs="宋体"/>
                <w:sz w:val="24"/>
              </w:rPr>
              <w:t>序号</w:t>
            </w:r>
          </w:p>
        </w:tc>
        <w:tc>
          <w:tcPr>
            <w:tcW w:w="2413" w:type="dxa"/>
            <w:vAlign w:val="center"/>
          </w:tcPr>
          <w:p>
            <w:pPr>
              <w:rPr>
                <w:rFonts w:ascii="宋体" w:hAnsi="宋体" w:eastAsia="宋体" w:cs="宋体"/>
                <w:sz w:val="24"/>
              </w:rPr>
            </w:pPr>
            <w:r>
              <w:rPr>
                <w:rFonts w:hint="eastAsia" w:ascii="宋体" w:hAnsi="宋体" w:eastAsia="宋体" w:cs="宋体"/>
                <w:sz w:val="24"/>
              </w:rPr>
              <w:t>项目</w:t>
            </w:r>
          </w:p>
        </w:tc>
        <w:tc>
          <w:tcPr>
            <w:tcW w:w="1126" w:type="dxa"/>
            <w:vAlign w:val="center"/>
          </w:tcPr>
          <w:p>
            <w:pPr>
              <w:rPr>
                <w:rFonts w:ascii="宋体" w:hAnsi="宋体" w:eastAsia="宋体" w:cs="宋体"/>
                <w:sz w:val="24"/>
              </w:rPr>
            </w:pPr>
            <w:r>
              <w:rPr>
                <w:rFonts w:hint="eastAsia" w:ascii="宋体" w:hAnsi="宋体" w:eastAsia="宋体" w:cs="宋体"/>
                <w:sz w:val="24"/>
              </w:rPr>
              <w:t>单位</w:t>
            </w:r>
          </w:p>
        </w:tc>
        <w:tc>
          <w:tcPr>
            <w:tcW w:w="4900" w:type="dxa"/>
            <w:vAlign w:val="center"/>
          </w:tcPr>
          <w:p>
            <w:pPr>
              <w:rPr>
                <w:rFonts w:ascii="宋体" w:hAnsi="宋体" w:eastAsia="宋体" w:cs="宋体"/>
                <w:sz w:val="24"/>
              </w:rPr>
            </w:pPr>
            <w:r>
              <w:rPr>
                <w:rFonts w:hint="eastAsia" w:ascii="宋体" w:hAnsi="宋体" w:eastAsia="宋体" w:cs="宋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sz w:val="24"/>
              </w:rPr>
              <w:t>全车尺寸</w:t>
            </w:r>
          </w:p>
        </w:tc>
        <w:tc>
          <w:tcPr>
            <w:tcW w:w="1126" w:type="dxa"/>
            <w:vAlign w:val="center"/>
          </w:tcPr>
          <w:p>
            <w:pPr>
              <w:rPr>
                <w:rFonts w:ascii="宋体" w:hAnsi="宋体" w:eastAsia="宋体" w:cs="宋体"/>
                <w:sz w:val="24"/>
              </w:rPr>
            </w:pPr>
            <w:r>
              <w:rPr>
                <w:rFonts w:hint="eastAsia" w:ascii="宋体" w:hAnsi="宋体" w:eastAsia="宋体" w:cs="宋体"/>
                <w:sz w:val="24"/>
              </w:rPr>
              <w:t>mm</w:t>
            </w:r>
          </w:p>
        </w:tc>
        <w:tc>
          <w:tcPr>
            <w:tcW w:w="4900" w:type="dxa"/>
            <w:vAlign w:val="center"/>
          </w:tcPr>
          <w:p>
            <w:p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00×1000×1400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sz w:val="24"/>
              </w:rPr>
              <w:t>车厢尺寸</w:t>
            </w:r>
          </w:p>
        </w:tc>
        <w:tc>
          <w:tcPr>
            <w:tcW w:w="1126" w:type="dxa"/>
            <w:vAlign w:val="center"/>
          </w:tcPr>
          <w:p>
            <w:pPr>
              <w:rPr>
                <w:rFonts w:ascii="宋体" w:hAnsi="宋体" w:eastAsia="宋体" w:cs="宋体"/>
                <w:sz w:val="24"/>
              </w:rPr>
            </w:pPr>
            <w:r>
              <w:rPr>
                <w:rFonts w:hint="eastAsia" w:ascii="宋体" w:hAnsi="宋体" w:eastAsia="宋体" w:cs="宋体"/>
                <w:sz w:val="24"/>
              </w:rPr>
              <w:t>mm</w:t>
            </w:r>
          </w:p>
        </w:tc>
        <w:tc>
          <w:tcPr>
            <w:tcW w:w="4900" w:type="dxa"/>
            <w:vAlign w:val="center"/>
          </w:tcPr>
          <w:p>
            <w:pPr>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rPr>
              <w:t>1700×1000×9</w:t>
            </w:r>
            <w:r>
              <w:rPr>
                <w:rFonts w:hint="eastAsia" w:ascii="宋体" w:hAnsi="宋体" w:eastAsia="宋体" w:cs="宋体"/>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水箱容量</w:t>
            </w:r>
          </w:p>
        </w:tc>
        <w:tc>
          <w:tcPr>
            <w:tcW w:w="1126" w:type="dxa"/>
            <w:vAlign w:val="center"/>
          </w:tcPr>
          <w:p>
            <w:pPr>
              <w:rPr>
                <w:rFonts w:ascii="宋体" w:hAnsi="宋体" w:eastAsia="宋体" w:cs="宋体"/>
                <w:sz w:val="24"/>
              </w:rPr>
            </w:pPr>
            <w:r>
              <w:rPr>
                <w:rFonts w:hint="eastAsia" w:ascii="宋体" w:hAnsi="宋体" w:eastAsia="宋体" w:cs="宋体"/>
                <w:sz w:val="24"/>
              </w:rPr>
              <w:t>L</w:t>
            </w:r>
          </w:p>
        </w:tc>
        <w:tc>
          <w:tcPr>
            <w:tcW w:w="4900" w:type="dxa"/>
            <w:vAlign w:val="center"/>
          </w:tcPr>
          <w:p>
            <w:p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汽油箱容量</w:t>
            </w:r>
          </w:p>
        </w:tc>
        <w:tc>
          <w:tcPr>
            <w:tcW w:w="1126" w:type="dxa"/>
            <w:vAlign w:val="center"/>
          </w:tcPr>
          <w:p>
            <w:pPr>
              <w:rPr>
                <w:rFonts w:ascii="宋体" w:hAnsi="宋体" w:eastAsia="宋体" w:cs="宋体"/>
                <w:sz w:val="24"/>
              </w:rPr>
            </w:pPr>
            <w:r>
              <w:rPr>
                <w:rFonts w:hint="eastAsia" w:ascii="宋体" w:hAnsi="宋体" w:eastAsia="宋体" w:cs="宋体"/>
                <w:sz w:val="24"/>
              </w:rPr>
              <w:t>L</w:t>
            </w:r>
          </w:p>
        </w:tc>
        <w:tc>
          <w:tcPr>
            <w:tcW w:w="4900" w:type="dxa"/>
            <w:vAlign w:val="center"/>
          </w:tcPr>
          <w:p>
            <w:p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续航里程</w:t>
            </w:r>
          </w:p>
        </w:tc>
        <w:tc>
          <w:tcPr>
            <w:tcW w:w="1126" w:type="dxa"/>
            <w:vAlign w:val="center"/>
          </w:tcPr>
          <w:p>
            <w:pPr>
              <w:rPr>
                <w:rFonts w:ascii="宋体" w:hAnsi="宋体" w:eastAsia="宋体" w:cs="宋体"/>
                <w:sz w:val="24"/>
              </w:rPr>
            </w:pPr>
            <w:r>
              <w:rPr>
                <w:rFonts w:hint="eastAsia" w:ascii="宋体" w:hAnsi="宋体" w:eastAsia="宋体" w:cs="宋体"/>
                <w:sz w:val="24"/>
              </w:rPr>
              <w:t>km</w:t>
            </w:r>
          </w:p>
        </w:tc>
        <w:tc>
          <w:tcPr>
            <w:tcW w:w="4900" w:type="dxa"/>
            <w:vAlign w:val="center"/>
          </w:tcPr>
          <w:p>
            <w:pPr>
              <w:rPr>
                <w:rFonts w:hint="eastAsia" w:ascii="宋体" w:hAnsi="宋体" w:eastAsia="宋体" w:cs="宋体"/>
                <w:sz w:val="24"/>
              </w:rPr>
            </w:pPr>
            <w:r>
              <w:rPr>
                <w:rFonts w:hint="eastAsia" w:ascii="宋体" w:hAnsi="宋体" w:eastAsia="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最高车速</w:t>
            </w:r>
          </w:p>
        </w:tc>
        <w:tc>
          <w:tcPr>
            <w:tcW w:w="1126" w:type="dxa"/>
            <w:vAlign w:val="center"/>
          </w:tcPr>
          <w:p>
            <w:pPr>
              <w:rPr>
                <w:rFonts w:ascii="宋体" w:hAnsi="宋体" w:eastAsia="宋体" w:cs="宋体"/>
                <w:sz w:val="24"/>
              </w:rPr>
            </w:pPr>
            <w:r>
              <w:rPr>
                <w:rFonts w:hint="eastAsia" w:ascii="宋体" w:hAnsi="宋体" w:eastAsia="宋体" w:cs="宋体"/>
                <w:sz w:val="24"/>
              </w:rPr>
              <w:t>km/h</w:t>
            </w:r>
          </w:p>
        </w:tc>
        <w:tc>
          <w:tcPr>
            <w:tcW w:w="4900" w:type="dxa"/>
            <w:vAlign w:val="center"/>
          </w:tcPr>
          <w:p>
            <w:pPr>
              <w:rPr>
                <w:rFonts w:hint="eastAsia" w:ascii="宋体" w:hAnsi="宋体" w:eastAsia="宋体" w:cs="宋体"/>
                <w:sz w:val="24"/>
              </w:rPr>
            </w:pPr>
            <w:r>
              <w:rPr>
                <w:rFonts w:hint="eastAsia" w:ascii="宋体" w:hAnsi="宋体" w:eastAsia="宋体" w:cs="宋体"/>
                <w:sz w:val="24"/>
              </w:rPr>
              <w:t>≤25（空载）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整备质量</w:t>
            </w:r>
          </w:p>
        </w:tc>
        <w:tc>
          <w:tcPr>
            <w:tcW w:w="1126" w:type="dxa"/>
            <w:vAlign w:val="center"/>
          </w:tcPr>
          <w:p>
            <w:pPr>
              <w:rPr>
                <w:rFonts w:ascii="宋体" w:hAnsi="宋体" w:eastAsia="宋体" w:cs="宋体"/>
                <w:sz w:val="24"/>
              </w:rPr>
            </w:pPr>
            <w:r>
              <w:rPr>
                <w:rFonts w:hint="eastAsia" w:ascii="宋体" w:hAnsi="宋体" w:eastAsia="宋体" w:cs="宋体"/>
                <w:sz w:val="24"/>
              </w:rPr>
              <w:t>kg</w:t>
            </w:r>
          </w:p>
        </w:tc>
        <w:tc>
          <w:tcPr>
            <w:tcW w:w="4900" w:type="dxa"/>
            <w:vAlign w:val="center"/>
          </w:tcPr>
          <w:p>
            <w:pPr>
              <w:rPr>
                <w:rFonts w:hint="eastAsia" w:ascii="宋体" w:hAnsi="宋体" w:eastAsia="宋体" w:cs="宋体"/>
                <w:sz w:val="24"/>
              </w:rPr>
            </w:pPr>
            <w:r>
              <w:rPr>
                <w:rFonts w:hint="eastAsia" w:ascii="宋体" w:hAnsi="宋体" w:eastAsia="宋体" w:cs="宋体"/>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sz w:val="24"/>
              </w:rPr>
              <w:t>额定载荷</w:t>
            </w:r>
          </w:p>
        </w:tc>
        <w:tc>
          <w:tcPr>
            <w:tcW w:w="1126" w:type="dxa"/>
            <w:vAlign w:val="center"/>
          </w:tcPr>
          <w:p>
            <w:pPr>
              <w:rPr>
                <w:rFonts w:ascii="宋体" w:hAnsi="宋体" w:eastAsia="宋体" w:cs="宋体"/>
                <w:sz w:val="24"/>
              </w:rPr>
            </w:pPr>
            <w:r>
              <w:rPr>
                <w:rFonts w:hint="eastAsia" w:ascii="宋体" w:hAnsi="宋体" w:eastAsia="宋体" w:cs="宋体"/>
                <w:sz w:val="24"/>
              </w:rPr>
              <w:t>kg</w:t>
            </w:r>
          </w:p>
        </w:tc>
        <w:tc>
          <w:tcPr>
            <w:tcW w:w="4900" w:type="dxa"/>
            <w:vAlign w:val="center"/>
          </w:tcPr>
          <w:p>
            <w:pPr>
              <w:rPr>
                <w:rFonts w:hint="eastAsia" w:ascii="宋体" w:hAnsi="宋体" w:eastAsia="宋体" w:cs="宋体"/>
                <w:sz w:val="24"/>
              </w:rPr>
            </w:pPr>
            <w:r>
              <w:rPr>
                <w:rFonts w:hint="eastAsia" w:ascii="宋体" w:hAnsi="宋体" w:eastAsia="宋体" w:cs="宋体"/>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最大爬坡度</w:t>
            </w:r>
          </w:p>
        </w:tc>
        <w:tc>
          <w:tcPr>
            <w:tcW w:w="1126" w:type="dxa"/>
            <w:vAlign w:val="center"/>
          </w:tcPr>
          <w:p>
            <w:pPr>
              <w:rPr>
                <w:rFonts w:ascii="宋体" w:hAnsi="宋体" w:eastAsia="宋体" w:cs="宋体"/>
                <w:sz w:val="24"/>
              </w:rPr>
            </w:pPr>
            <w:r>
              <w:rPr>
                <w:rFonts w:hint="eastAsia" w:ascii="宋体" w:hAnsi="宋体" w:eastAsia="宋体" w:cs="宋体"/>
                <w:sz w:val="24"/>
              </w:rPr>
              <w:t>%</w:t>
            </w:r>
          </w:p>
        </w:tc>
        <w:tc>
          <w:tcPr>
            <w:tcW w:w="4900" w:type="dxa"/>
            <w:vAlign w:val="center"/>
          </w:tcPr>
          <w:p>
            <w:pPr>
              <w:rPr>
                <w:rFonts w:hint="eastAsia"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电池</w:t>
            </w:r>
          </w:p>
        </w:tc>
        <w:tc>
          <w:tcPr>
            <w:tcW w:w="1126" w:type="dxa"/>
            <w:vAlign w:val="center"/>
          </w:tcPr>
          <w:p>
            <w:pPr>
              <w:rPr>
                <w:rFonts w:ascii="宋体" w:hAnsi="宋体" w:eastAsia="宋体" w:cs="宋体"/>
                <w:sz w:val="24"/>
              </w:rPr>
            </w:pPr>
            <w:r>
              <w:rPr>
                <w:rFonts w:hint="eastAsia" w:ascii="宋体" w:hAnsi="宋体" w:eastAsia="宋体" w:cs="宋体"/>
                <w:sz w:val="24"/>
              </w:rPr>
              <w:t>V/Ah</w:t>
            </w:r>
          </w:p>
        </w:tc>
        <w:tc>
          <w:tcPr>
            <w:tcW w:w="4900" w:type="dxa"/>
            <w:vAlign w:val="center"/>
          </w:tcPr>
          <w:p>
            <w:p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60V45Ah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hint="eastAsia" w:ascii="宋体" w:hAnsi="宋体" w:eastAsia="宋体" w:cs="宋体"/>
                <w:sz w:val="24"/>
                <w:lang w:val="en-US" w:eastAsia="zh-CN"/>
              </w:rPr>
            </w:pPr>
            <w:r>
              <w:rPr>
                <w:rFonts w:hint="eastAsia" w:ascii="宋体" w:hAnsi="宋体" w:eastAsia="宋体" w:cs="宋体"/>
                <w:sz w:val="24"/>
              </w:rPr>
              <w:t>电机</w:t>
            </w:r>
            <w:r>
              <w:rPr>
                <w:rFonts w:hint="eastAsia" w:ascii="宋体" w:hAnsi="宋体" w:eastAsia="宋体" w:cs="宋体"/>
                <w:sz w:val="24"/>
                <w:lang w:val="en-US" w:eastAsia="zh-CN"/>
              </w:rPr>
              <w:t>额定</w:t>
            </w:r>
            <w:r>
              <w:rPr>
                <w:rFonts w:hint="eastAsia" w:ascii="宋体" w:hAnsi="宋体" w:eastAsia="宋体" w:cs="宋体"/>
                <w:sz w:val="24"/>
              </w:rPr>
              <w:t>电压</w:t>
            </w:r>
            <w:r>
              <w:rPr>
                <w:rFonts w:hint="eastAsia" w:ascii="宋体" w:hAnsi="宋体" w:eastAsia="宋体" w:cs="宋体"/>
                <w:sz w:val="24"/>
                <w:lang w:val="en-US" w:eastAsia="zh-CN"/>
              </w:rPr>
              <w:t>/功率</w:t>
            </w:r>
          </w:p>
        </w:tc>
        <w:tc>
          <w:tcPr>
            <w:tcW w:w="1126" w:type="dxa"/>
            <w:vAlign w:val="center"/>
          </w:tcPr>
          <w:p>
            <w:pPr>
              <w:rPr>
                <w:rFonts w:ascii="宋体" w:hAnsi="宋体" w:eastAsia="宋体" w:cs="宋体"/>
                <w:sz w:val="24"/>
              </w:rPr>
            </w:pPr>
            <w:r>
              <w:rPr>
                <w:rFonts w:hint="eastAsia" w:ascii="宋体" w:hAnsi="宋体" w:eastAsia="宋体" w:cs="宋体"/>
                <w:sz w:val="24"/>
                <w:lang w:val="en-US" w:eastAsia="zh-CN"/>
              </w:rPr>
              <w:t>V/</w:t>
            </w:r>
            <w:r>
              <w:rPr>
                <w:rFonts w:hint="eastAsia" w:ascii="宋体" w:hAnsi="宋体" w:eastAsia="宋体" w:cs="宋体"/>
                <w:sz w:val="24"/>
              </w:rPr>
              <w:t>kW</w:t>
            </w:r>
          </w:p>
        </w:tc>
        <w:tc>
          <w:tcPr>
            <w:tcW w:w="4900" w:type="dxa"/>
            <w:vAlign w:val="center"/>
          </w:tcPr>
          <w:p>
            <w:pPr>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60V/</w:t>
            </w:r>
            <w:r>
              <w:rPr>
                <w:rFonts w:hint="eastAsia" w:ascii="宋体" w:hAnsi="宋体" w:eastAsia="宋体" w:cs="宋体"/>
                <w:sz w:val="24"/>
              </w:rPr>
              <w:t>1.</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发动机功率</w:t>
            </w:r>
          </w:p>
        </w:tc>
        <w:tc>
          <w:tcPr>
            <w:tcW w:w="1126" w:type="dxa"/>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4900" w:type="dxa"/>
            <w:vAlign w:val="center"/>
          </w:tcPr>
          <w:p>
            <w:p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13HP汽油发动机，电子启动+手动启动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清洗宽度</w:t>
            </w:r>
          </w:p>
        </w:tc>
        <w:tc>
          <w:tcPr>
            <w:tcW w:w="1126" w:type="dxa"/>
            <w:vAlign w:val="center"/>
          </w:tcPr>
          <w:p>
            <w:pPr>
              <w:rPr>
                <w:rFonts w:ascii="宋体" w:hAnsi="宋体" w:eastAsia="宋体" w:cs="宋体"/>
                <w:sz w:val="24"/>
              </w:rPr>
            </w:pPr>
            <w:r>
              <w:rPr>
                <w:rFonts w:hint="eastAsia" w:ascii="宋体" w:hAnsi="宋体" w:eastAsia="宋体" w:cs="宋体"/>
                <w:sz w:val="24"/>
              </w:rPr>
              <w:t>mm</w:t>
            </w:r>
          </w:p>
        </w:tc>
        <w:tc>
          <w:tcPr>
            <w:tcW w:w="4900" w:type="dxa"/>
            <w:vAlign w:val="center"/>
          </w:tcPr>
          <w:p>
            <w:pPr>
              <w:rPr>
                <w:rFonts w:hint="eastAsia" w:ascii="宋体" w:hAnsi="宋体" w:eastAsia="宋体" w:cs="宋体"/>
                <w:sz w:val="24"/>
              </w:rPr>
            </w:pPr>
            <w:r>
              <w:rPr>
                <w:rFonts w:hint="eastAsia" w:ascii="宋体" w:hAnsi="宋体" w:eastAsia="宋体" w:cs="宋体"/>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高压泵</w:t>
            </w:r>
          </w:p>
        </w:tc>
        <w:tc>
          <w:tcPr>
            <w:tcW w:w="1126" w:type="dxa"/>
            <w:vAlign w:val="center"/>
          </w:tcPr>
          <w:p>
            <w:pPr>
              <w:rPr>
                <w:rFonts w:ascii="宋体" w:hAnsi="宋体" w:eastAsia="宋体" w:cs="宋体"/>
                <w:sz w:val="24"/>
              </w:rPr>
            </w:pPr>
            <w:r>
              <w:rPr>
                <w:rFonts w:hint="eastAsia" w:ascii="宋体" w:hAnsi="宋体" w:eastAsia="宋体" w:cs="宋体"/>
                <w:sz w:val="24"/>
              </w:rPr>
              <w:t>Mpa</w:t>
            </w:r>
          </w:p>
        </w:tc>
        <w:tc>
          <w:tcPr>
            <w:tcW w:w="4900" w:type="dxa"/>
            <w:vAlign w:val="center"/>
          </w:tcPr>
          <w:p>
            <w:pPr>
              <w:rPr>
                <w:rFonts w:hint="eastAsia"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高压泵流量</w:t>
            </w:r>
          </w:p>
        </w:tc>
        <w:tc>
          <w:tcPr>
            <w:tcW w:w="1126" w:type="dxa"/>
            <w:vAlign w:val="center"/>
          </w:tcPr>
          <w:p>
            <w:pPr>
              <w:rPr>
                <w:rFonts w:ascii="宋体" w:hAnsi="宋体" w:eastAsia="宋体" w:cs="宋体"/>
                <w:sz w:val="24"/>
              </w:rPr>
            </w:pPr>
            <w:r>
              <w:rPr>
                <w:rFonts w:hint="eastAsia" w:ascii="宋体" w:hAnsi="宋体" w:eastAsia="宋体" w:cs="宋体"/>
                <w:sz w:val="24"/>
              </w:rPr>
              <w:t>L/min</w:t>
            </w:r>
          </w:p>
        </w:tc>
        <w:tc>
          <w:tcPr>
            <w:tcW w:w="4900" w:type="dxa"/>
            <w:vAlign w:val="center"/>
          </w:tcPr>
          <w:p>
            <w:pPr>
              <w:rPr>
                <w:rFonts w:hint="eastAsia" w:ascii="宋体" w:hAnsi="宋体" w:eastAsia="宋体" w:cs="宋体"/>
                <w:sz w:val="24"/>
              </w:rPr>
            </w:pPr>
            <w:r>
              <w:rPr>
                <w:rFonts w:hint="eastAsia" w:ascii="宋体" w:hAnsi="宋体" w:eastAsia="宋体" w:cs="宋体"/>
                <w:sz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numPr>
                <w:ilvl w:val="0"/>
                <w:numId w:val="4"/>
              </w:numPr>
              <w:rPr>
                <w:rFonts w:ascii="宋体" w:hAnsi="宋体" w:eastAsia="宋体" w:cs="宋体"/>
                <w:sz w:val="24"/>
              </w:rPr>
            </w:pPr>
          </w:p>
        </w:tc>
        <w:tc>
          <w:tcPr>
            <w:tcW w:w="2413" w:type="dxa"/>
            <w:vAlign w:val="center"/>
          </w:tcPr>
          <w:p>
            <w:pPr>
              <w:rPr>
                <w:rFonts w:ascii="宋体" w:hAnsi="宋体" w:eastAsia="宋体" w:cs="宋体"/>
                <w:sz w:val="24"/>
              </w:rPr>
            </w:pPr>
            <w:r>
              <w:rPr>
                <w:rFonts w:hint="eastAsia" w:ascii="宋体" w:hAnsi="宋体" w:eastAsia="宋体" w:cs="宋体"/>
                <w:sz w:val="24"/>
              </w:rPr>
              <w:t>高压冲洗扬程</w:t>
            </w:r>
          </w:p>
        </w:tc>
        <w:tc>
          <w:tcPr>
            <w:tcW w:w="1126" w:type="dxa"/>
            <w:vAlign w:val="center"/>
          </w:tcPr>
          <w:p>
            <w:pPr>
              <w:rPr>
                <w:rFonts w:ascii="宋体" w:hAnsi="宋体" w:eastAsia="宋体" w:cs="宋体"/>
                <w:sz w:val="24"/>
              </w:rPr>
            </w:pPr>
            <w:r>
              <w:rPr>
                <w:rFonts w:hint="eastAsia" w:ascii="宋体" w:hAnsi="宋体" w:eastAsia="宋体" w:cs="宋体"/>
                <w:sz w:val="24"/>
              </w:rPr>
              <w:t>m</w:t>
            </w:r>
          </w:p>
        </w:tc>
        <w:tc>
          <w:tcPr>
            <w:tcW w:w="4900" w:type="dxa"/>
            <w:vAlign w:val="center"/>
          </w:tcPr>
          <w:p>
            <w:pPr>
              <w:rPr>
                <w:rFonts w:hint="eastAsia" w:ascii="宋体" w:hAnsi="宋体" w:eastAsia="宋体" w:cs="宋体"/>
                <w:sz w:val="24"/>
              </w:rPr>
            </w:pPr>
            <w:r>
              <w:rPr>
                <w:rFonts w:hint="eastAsia" w:ascii="宋体" w:hAnsi="宋体" w:eastAsia="宋体" w:cs="宋体"/>
                <w:sz w:val="24"/>
              </w:rPr>
              <w:t>10-12</w:t>
            </w:r>
          </w:p>
        </w:tc>
      </w:tr>
    </w:tbl>
    <w:p>
      <w:pPr>
        <w:rPr>
          <w:b/>
          <w:bCs/>
          <w:sz w:val="28"/>
          <w:szCs w:val="36"/>
        </w:rPr>
      </w:pPr>
      <w:r>
        <w:rPr>
          <w:rFonts w:hint="eastAsia"/>
          <w:b/>
          <w:bCs/>
          <w:sz w:val="28"/>
          <w:szCs w:val="36"/>
        </w:rPr>
        <w:t>二、性能特点</w:t>
      </w:r>
    </w:p>
    <w:p>
      <w:pPr>
        <w:numPr>
          <w:ilvl w:val="0"/>
          <w:numId w:val="5"/>
        </w:numPr>
        <w:spacing w:line="360" w:lineRule="auto"/>
        <w:ind w:left="0" w:firstLine="480" w:firstLineChars="200"/>
        <w:rPr>
          <w:rFonts w:ascii="宋体" w:hAnsi="宋体" w:eastAsia="宋体" w:cs="宋体"/>
          <w:sz w:val="24"/>
        </w:rPr>
      </w:pPr>
      <w:r>
        <w:rPr>
          <w:rFonts w:hint="eastAsia" w:ascii="宋体" w:hAnsi="宋体" w:eastAsia="宋体" w:cs="宋体"/>
          <w:sz w:val="24"/>
        </w:rPr>
        <w:t>专业电动三轮载重底盘，加强型前减震、后桥，性能稳定；</w:t>
      </w:r>
    </w:p>
    <w:p>
      <w:pPr>
        <w:numPr>
          <w:ilvl w:val="0"/>
          <w:numId w:val="5"/>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车箱采用采用聚乙烯</w:t>
      </w:r>
      <w:r>
        <w:rPr>
          <w:rFonts w:hint="eastAsia" w:ascii="宋体" w:hAnsi="宋体" w:eastAsia="宋体" w:cs="宋体"/>
          <w:sz w:val="24"/>
          <w:lang w:val="en-US" w:eastAsia="zh-CN"/>
        </w:rPr>
        <w:t>或</w:t>
      </w:r>
      <w:r>
        <w:rPr>
          <w:rFonts w:hint="eastAsia" w:ascii="宋体" w:hAnsi="宋体" w:eastAsia="宋体" w:cs="宋体"/>
          <w:sz w:val="24"/>
        </w:rPr>
        <w:t>不锈钢材质，配有消防栓注口</w:t>
      </w:r>
      <w:r>
        <w:rPr>
          <w:rFonts w:hint="eastAsia" w:ascii="宋体" w:hAnsi="宋体" w:eastAsia="宋体" w:cs="宋体"/>
          <w:sz w:val="24"/>
          <w:lang w:eastAsia="zh-CN"/>
        </w:rPr>
        <w:t>、</w:t>
      </w:r>
      <w:r>
        <w:rPr>
          <w:rFonts w:hint="eastAsia" w:ascii="宋体" w:hAnsi="宋体" w:eastAsia="宋体" w:cs="宋体"/>
          <w:sz w:val="24"/>
        </w:rPr>
        <w:t>溢流口、排污放水口</w:t>
      </w:r>
      <w:r>
        <w:rPr>
          <w:rFonts w:hint="eastAsia" w:ascii="宋体" w:hAnsi="宋体" w:eastAsia="宋体" w:cs="宋体"/>
          <w:sz w:val="24"/>
          <w:lang w:val="en-US" w:eastAsia="zh-CN"/>
        </w:rPr>
        <w:t>等</w:t>
      </w:r>
      <w:r>
        <w:rPr>
          <w:rFonts w:hint="eastAsia" w:ascii="宋体" w:hAnsi="宋体" w:eastAsia="宋体" w:cs="宋体"/>
          <w:sz w:val="24"/>
        </w:rPr>
        <w:t>，功能齐全；</w:t>
      </w:r>
    </w:p>
    <w:p>
      <w:pPr>
        <w:numPr>
          <w:ilvl w:val="0"/>
          <w:numId w:val="5"/>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车架采用汽车烤漆工艺，经抛丸、磷化、电泳烤漆处理，抗腐蚀性强，色泽亮丽，美观大方。</w:t>
      </w:r>
    </w:p>
    <w:p>
      <w:pPr>
        <w:numPr>
          <w:ilvl w:val="0"/>
          <w:numId w:val="5"/>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配备高级仿真皮皮革面料+高回弹PU</w:t>
      </w:r>
      <w:r>
        <w:rPr>
          <w:rFonts w:hint="eastAsia" w:ascii="宋体" w:hAnsi="宋体" w:eastAsia="宋体" w:cs="宋体"/>
          <w:sz w:val="24"/>
          <w:lang w:val="en-US" w:eastAsia="zh-CN"/>
        </w:rPr>
        <w:t>座椅，驾乘舒适；</w:t>
      </w:r>
    </w:p>
    <w:p>
      <w:pPr>
        <w:numPr>
          <w:ilvl w:val="0"/>
          <w:numId w:val="5"/>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前置角度可调节洗地喷杆使用两个万向球头活接控制，在使用过程中可调节方向；控制开关位置在于座桶两侧，方便操作；</w:t>
      </w:r>
    </w:p>
    <w:p>
      <w:pPr>
        <w:numPr>
          <w:ilvl w:val="0"/>
          <w:numId w:val="5"/>
        </w:numPr>
        <w:spacing w:line="360" w:lineRule="auto"/>
        <w:ind w:left="0" w:firstLine="480" w:firstLineChars="200"/>
        <w:rPr>
          <w:rFonts w:ascii="宋体" w:hAnsi="宋体" w:eastAsia="宋体" w:cs="宋体"/>
          <w:sz w:val="24"/>
        </w:rPr>
      </w:pPr>
      <w:r>
        <w:rPr>
          <w:rFonts w:hint="eastAsia" w:ascii="宋体" w:hAnsi="宋体" w:eastAsia="宋体" w:cs="宋体"/>
          <w:sz w:val="24"/>
        </w:rPr>
        <w:t>采用知名品牌发动机，高性能单缸风冷，四冲程 OHY 汽油机，电子启动+手动启动；</w:t>
      </w:r>
    </w:p>
    <w:p>
      <w:pPr>
        <w:numPr>
          <w:ilvl w:val="0"/>
          <w:numId w:val="5"/>
        </w:numPr>
        <w:spacing w:line="360" w:lineRule="auto"/>
        <w:ind w:left="0" w:firstLine="480" w:firstLineChars="200"/>
        <w:rPr>
          <w:rFonts w:ascii="宋体" w:hAnsi="宋体" w:eastAsia="宋体" w:cs="宋体"/>
          <w:sz w:val="24"/>
        </w:rPr>
      </w:pPr>
      <w:r>
        <w:rPr>
          <w:rFonts w:hint="eastAsia" w:ascii="宋体" w:hAnsi="宋体" w:eastAsia="宋体" w:cs="宋体"/>
          <w:sz w:val="24"/>
        </w:rPr>
        <w:t>采用知名品牌往复式AR高压柱塞泵，具有高压、大流量、结构紧凑、寿命长、响应快；</w:t>
      </w:r>
    </w:p>
    <w:p>
      <w:pPr>
        <w:numPr>
          <w:ilvl w:val="0"/>
          <w:numId w:val="5"/>
        </w:numPr>
        <w:spacing w:line="360" w:lineRule="auto"/>
        <w:ind w:left="0" w:firstLine="480" w:firstLineChars="200"/>
        <w:rPr>
          <w:rFonts w:ascii="宋体" w:hAnsi="宋体" w:eastAsia="宋体" w:cs="宋体"/>
          <w:sz w:val="24"/>
        </w:rPr>
      </w:pPr>
      <w:r>
        <w:rPr>
          <w:rFonts w:hint="eastAsia" w:ascii="宋体" w:hAnsi="宋体" w:eastAsia="宋体" w:cs="宋体"/>
          <w:sz w:val="24"/>
          <w:lang w:val="en-US" w:eastAsia="zh-CN"/>
        </w:rPr>
        <w:t>配备</w:t>
      </w:r>
      <w:r>
        <w:rPr>
          <w:rFonts w:hint="eastAsia" w:ascii="宋体" w:hAnsi="宋体" w:eastAsia="宋体" w:cs="宋体"/>
          <w:sz w:val="24"/>
        </w:rPr>
        <w:t>10米（带耐磨保护套管）</w:t>
      </w:r>
      <w:r>
        <w:rPr>
          <w:rFonts w:hint="eastAsia" w:ascii="宋体" w:hAnsi="宋体" w:eastAsia="宋体" w:cs="宋体"/>
          <w:sz w:val="24"/>
          <w:lang w:val="en-US" w:eastAsia="zh-CN"/>
        </w:rPr>
        <w:t>高压水管</w:t>
      </w:r>
      <w:r>
        <w:rPr>
          <w:rFonts w:hint="eastAsia" w:ascii="宋体" w:hAnsi="宋体" w:eastAsia="宋体" w:cs="宋体"/>
          <w:sz w:val="24"/>
        </w:rPr>
        <w:t>，水管自动收放卷盘</w:t>
      </w:r>
      <w:r>
        <w:rPr>
          <w:rFonts w:hint="eastAsia" w:ascii="宋体" w:hAnsi="宋体" w:eastAsia="宋体" w:cs="宋体"/>
          <w:sz w:val="24"/>
          <w:lang w:eastAsia="zh-CN"/>
        </w:rPr>
        <w:t>；</w:t>
      </w:r>
    </w:p>
    <w:p>
      <w:pPr>
        <w:numPr>
          <w:ilvl w:val="0"/>
          <w:numId w:val="5"/>
        </w:numPr>
        <w:spacing w:line="360" w:lineRule="auto"/>
        <w:ind w:left="0" w:firstLine="480" w:firstLineChars="200"/>
        <w:rPr>
          <w:rFonts w:ascii="宋体" w:hAnsi="宋体" w:eastAsia="宋体" w:cs="宋体"/>
          <w:sz w:val="24"/>
        </w:rPr>
      </w:pPr>
      <w:r>
        <w:rPr>
          <w:rFonts w:hint="eastAsia" w:ascii="宋体" w:hAnsi="宋体" w:eastAsia="宋体" w:cs="宋体"/>
          <w:sz w:val="24"/>
          <w:lang w:val="en-US" w:eastAsia="zh-CN"/>
        </w:rPr>
        <w:t>车辆配备</w:t>
      </w:r>
      <w:r>
        <w:rPr>
          <w:rFonts w:hint="eastAsia" w:ascii="宋体" w:hAnsi="宋体" w:eastAsia="宋体" w:cs="宋体"/>
          <w:sz w:val="24"/>
        </w:rPr>
        <w:t>组合前灯</w:t>
      </w:r>
      <w:r>
        <w:rPr>
          <w:rFonts w:hint="eastAsia" w:ascii="宋体" w:hAnsi="宋体" w:eastAsia="宋体" w:cs="宋体"/>
          <w:sz w:val="24"/>
          <w:lang w:eastAsia="zh-CN"/>
        </w:rPr>
        <w:t>、</w:t>
      </w:r>
      <w:r>
        <w:rPr>
          <w:rFonts w:hint="eastAsia" w:ascii="宋体" w:hAnsi="宋体" w:eastAsia="宋体" w:cs="宋体"/>
          <w:sz w:val="24"/>
        </w:rPr>
        <w:t>转向灯</w:t>
      </w:r>
      <w:r>
        <w:rPr>
          <w:rFonts w:hint="eastAsia" w:ascii="宋体" w:hAnsi="宋体" w:eastAsia="宋体" w:cs="宋体"/>
          <w:sz w:val="24"/>
          <w:lang w:eastAsia="zh-CN"/>
        </w:rPr>
        <w:t>、</w:t>
      </w:r>
      <w:r>
        <w:rPr>
          <w:rFonts w:hint="eastAsia" w:ascii="宋体" w:hAnsi="宋体" w:eastAsia="宋体" w:cs="宋体"/>
          <w:sz w:val="24"/>
        </w:rPr>
        <w:t>组合后尾灯</w:t>
      </w:r>
      <w:r>
        <w:rPr>
          <w:rFonts w:hint="eastAsia" w:ascii="宋体" w:hAnsi="宋体" w:eastAsia="宋体" w:cs="宋体"/>
          <w:sz w:val="24"/>
          <w:lang w:eastAsia="zh-CN"/>
        </w:rPr>
        <w:t>、</w:t>
      </w:r>
      <w:r>
        <w:rPr>
          <w:rFonts w:hint="eastAsia" w:ascii="宋体" w:hAnsi="宋体" w:eastAsia="宋体" w:cs="宋体"/>
          <w:sz w:val="24"/>
        </w:rPr>
        <w:t>电喇叭及倒车蜂鸣器</w:t>
      </w:r>
      <w:r>
        <w:rPr>
          <w:rFonts w:hint="eastAsia" w:ascii="宋体" w:hAnsi="宋体" w:eastAsia="宋体" w:cs="宋体"/>
          <w:sz w:val="24"/>
          <w:lang w:val="en-US" w:eastAsia="zh-CN"/>
        </w:rPr>
        <w:t>等。</w:t>
      </w:r>
    </w:p>
    <w:p>
      <w:pPr>
        <w:jc w:val="center"/>
        <w:rPr>
          <w:rFonts w:hint="eastAsia"/>
          <w:b/>
          <w:bCs/>
          <w:color w:val="auto"/>
          <w:sz w:val="28"/>
          <w:szCs w:val="36"/>
        </w:rPr>
      </w:pPr>
    </w:p>
    <w:p>
      <w:pPr>
        <w:jc w:val="center"/>
        <w:rPr>
          <w:b/>
          <w:bCs/>
          <w:color w:val="auto"/>
          <w:sz w:val="28"/>
          <w:szCs w:val="36"/>
        </w:rPr>
      </w:pPr>
      <w:r>
        <w:rPr>
          <w:rFonts w:hint="eastAsia"/>
          <w:b/>
          <w:bCs/>
          <w:color w:val="auto"/>
          <w:sz w:val="28"/>
          <w:szCs w:val="36"/>
        </w:rPr>
        <w:t>四轮高压清洗车</w:t>
      </w:r>
    </w:p>
    <w:p>
      <w:pPr>
        <w:pStyle w:val="7"/>
        <w:rPr>
          <w:color w:val="auto"/>
        </w:rPr>
      </w:pPr>
      <w:r>
        <w:rPr>
          <w:rFonts w:hint="eastAsia"/>
          <w:b/>
          <w:bCs/>
          <w:color w:val="auto"/>
          <w:sz w:val="28"/>
          <w:szCs w:val="36"/>
        </w:rPr>
        <w:t>一、技术参数</w:t>
      </w:r>
    </w:p>
    <w:tbl>
      <w:tblPr>
        <w:tblStyle w:val="18"/>
        <w:tblW w:w="94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2928"/>
        <w:gridCol w:w="1572"/>
        <w:gridCol w:w="40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0" w:hRule="atLeast"/>
          <w:tblHeader/>
          <w:jc w:val="center"/>
        </w:trPr>
        <w:tc>
          <w:tcPr>
            <w:tcW w:w="892" w:type="dxa"/>
            <w:tcBorders>
              <w:tl2br w:val="nil"/>
              <w:tr2bl w:val="nil"/>
            </w:tcBorders>
            <w:shd w:val="clear" w:color="auto" w:fill="D7D7D7"/>
            <w:noWrap/>
            <w:vAlign w:val="center"/>
          </w:tcPr>
          <w:p>
            <w:pPr>
              <w:rPr>
                <w:rFonts w:ascii="宋体" w:hAnsi="宋体" w:eastAsia="宋体" w:cs="宋体"/>
                <w:color w:val="auto"/>
                <w:sz w:val="24"/>
              </w:rPr>
            </w:pPr>
            <w:r>
              <w:rPr>
                <w:rFonts w:hint="eastAsia" w:ascii="宋体" w:hAnsi="宋体" w:eastAsia="宋体" w:cs="宋体"/>
                <w:color w:val="auto"/>
                <w:sz w:val="24"/>
              </w:rPr>
              <w:t>序号</w:t>
            </w:r>
          </w:p>
        </w:tc>
        <w:tc>
          <w:tcPr>
            <w:tcW w:w="2928" w:type="dxa"/>
            <w:tcBorders>
              <w:tl2br w:val="nil"/>
              <w:tr2bl w:val="nil"/>
            </w:tcBorders>
            <w:shd w:val="clear" w:color="auto" w:fill="D7D7D7"/>
            <w:noWrap/>
            <w:vAlign w:val="center"/>
          </w:tcPr>
          <w:p>
            <w:pPr>
              <w:rPr>
                <w:rFonts w:ascii="宋体" w:hAnsi="宋体" w:eastAsia="宋体" w:cs="宋体"/>
                <w:color w:val="auto"/>
                <w:sz w:val="24"/>
              </w:rPr>
            </w:pPr>
            <w:r>
              <w:rPr>
                <w:rFonts w:hint="eastAsia" w:ascii="宋体" w:hAnsi="宋体" w:eastAsia="宋体" w:cs="宋体"/>
                <w:color w:val="auto"/>
                <w:sz w:val="24"/>
              </w:rPr>
              <w:t>项目名称</w:t>
            </w:r>
          </w:p>
        </w:tc>
        <w:tc>
          <w:tcPr>
            <w:tcW w:w="1572" w:type="dxa"/>
            <w:tcBorders>
              <w:tl2br w:val="nil"/>
              <w:tr2bl w:val="nil"/>
            </w:tcBorders>
            <w:shd w:val="clear" w:color="auto" w:fill="D7D7D7"/>
            <w:noWrap/>
            <w:vAlign w:val="center"/>
          </w:tcPr>
          <w:p>
            <w:pPr>
              <w:rPr>
                <w:rFonts w:ascii="宋体" w:hAnsi="宋体" w:eastAsia="宋体" w:cs="宋体"/>
                <w:color w:val="auto"/>
                <w:sz w:val="24"/>
              </w:rPr>
            </w:pPr>
            <w:r>
              <w:rPr>
                <w:rFonts w:hint="eastAsia" w:ascii="宋体" w:hAnsi="宋体" w:eastAsia="宋体" w:cs="宋体"/>
                <w:color w:val="auto"/>
                <w:sz w:val="24"/>
              </w:rPr>
              <w:t>单位</w:t>
            </w:r>
          </w:p>
        </w:tc>
        <w:tc>
          <w:tcPr>
            <w:tcW w:w="4026" w:type="dxa"/>
            <w:tcBorders>
              <w:tl2br w:val="nil"/>
              <w:tr2bl w:val="nil"/>
            </w:tcBorders>
            <w:shd w:val="clear" w:color="auto" w:fill="D7D7D7"/>
            <w:noWrap/>
            <w:vAlign w:val="center"/>
          </w:tcPr>
          <w:p>
            <w:pPr>
              <w:rPr>
                <w:rFonts w:ascii="宋体" w:hAnsi="宋体" w:eastAsia="宋体" w:cs="宋体"/>
                <w:color w:val="auto"/>
                <w:sz w:val="24"/>
              </w:rPr>
            </w:pPr>
            <w:r>
              <w:rPr>
                <w:rFonts w:hint="eastAsia" w:ascii="宋体" w:hAnsi="宋体" w:eastAsia="宋体" w:cs="宋体"/>
                <w:color w:val="auto"/>
                <w:sz w:val="24"/>
              </w:rPr>
              <w:t>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lang w:val="en-US" w:eastAsia="zh-CN"/>
              </w:rPr>
              <w:t>外观</w:t>
            </w:r>
            <w:r>
              <w:rPr>
                <w:rFonts w:hint="eastAsia" w:ascii="宋体" w:hAnsi="宋体" w:eastAsia="宋体" w:cs="宋体"/>
                <w:color w:val="auto"/>
                <w:sz w:val="24"/>
              </w:rPr>
              <w:t>尺寸</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8</w:t>
            </w:r>
            <w:r>
              <w:rPr>
                <w:rFonts w:hint="eastAsia" w:ascii="宋体" w:hAnsi="宋体" w:eastAsia="宋体" w:cs="宋体"/>
                <w:color w:val="auto"/>
                <w:sz w:val="24"/>
              </w:rPr>
              <w:t>00×14</w:t>
            </w:r>
            <w:r>
              <w:rPr>
                <w:rFonts w:hint="eastAsia" w:ascii="宋体" w:hAnsi="宋体" w:eastAsia="宋体" w:cs="宋体"/>
                <w:color w:val="auto"/>
                <w:sz w:val="24"/>
                <w:lang w:val="en-US" w:eastAsia="zh-CN"/>
              </w:rPr>
              <w:t>5</w:t>
            </w:r>
            <w:r>
              <w:rPr>
                <w:rFonts w:hint="eastAsia" w:ascii="宋体" w:hAnsi="宋体" w:eastAsia="宋体" w:cs="宋体"/>
                <w:color w:val="auto"/>
                <w:sz w:val="24"/>
              </w:rPr>
              <w:t>0×2000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电池</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V/AH</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72/2</w:t>
            </w:r>
            <w:r>
              <w:rPr>
                <w:rFonts w:hint="eastAsia" w:ascii="宋体" w:hAnsi="宋体" w:eastAsia="宋体" w:cs="宋体"/>
                <w:color w:val="auto"/>
                <w:sz w:val="24"/>
                <w:lang w:val="en-US" w:eastAsia="zh-CN"/>
              </w:rPr>
              <w:t>1</w:t>
            </w:r>
            <w:r>
              <w:rPr>
                <w:rFonts w:hint="eastAsia" w:ascii="宋体" w:hAnsi="宋体" w:eastAsia="宋体" w:cs="宋体"/>
                <w:color w:val="auto"/>
                <w:sz w:val="24"/>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电机</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kw</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电控</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V</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续行里程</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km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最小离地间隙</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≥135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水箱容积</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L</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水箱材质</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304不锈钢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整备质量</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kg</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≥970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轴距</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≥2110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前轮距</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≥1220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后轮距</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≥1220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制动距离</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最小转弯半径</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最大爬坡度（满载）</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w:t>
            </w:r>
          </w:p>
        </w:tc>
        <w:tc>
          <w:tcPr>
            <w:tcW w:w="4026" w:type="dxa"/>
            <w:tcBorders>
              <w:tl2br w:val="nil"/>
              <w:tr2bl w:val="nil"/>
            </w:tcBorders>
            <w:noWrap/>
            <w:vAlign w:val="center"/>
          </w:tcPr>
          <w:p>
            <w:pPr>
              <w:rPr>
                <w:rFonts w:ascii="宋体" w:hAnsi="宋体" w:eastAsia="宋体" w:cs="宋体"/>
                <w:color w:val="auto"/>
                <w:sz w:val="24"/>
              </w:rPr>
            </w:pPr>
            <w:bookmarkStart w:id="41" w:name="OLE_LINK17"/>
            <w:bookmarkStart w:id="42" w:name="OLE_LINK18"/>
            <w:r>
              <w:rPr>
                <w:rFonts w:hint="eastAsia" w:ascii="宋体" w:hAnsi="宋体" w:eastAsia="宋体" w:cs="宋体"/>
                <w:color w:val="auto"/>
                <w:sz w:val="24"/>
              </w:rPr>
              <w:t>≤20</w:t>
            </w:r>
            <w:bookmarkEnd w:id="41"/>
            <w:bookmarkEnd w:id="42"/>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最高车速</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km/h</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工作压力</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MPa</w:t>
            </w:r>
          </w:p>
        </w:tc>
        <w:tc>
          <w:tcPr>
            <w:tcW w:w="4026" w:type="dxa"/>
            <w:tcBorders>
              <w:tl2br w:val="nil"/>
              <w:tr2bl w:val="nil"/>
            </w:tcBorders>
            <w:noWrap/>
            <w:vAlign w:val="center"/>
          </w:tcPr>
          <w:p>
            <w:pPr>
              <w:rPr>
                <w:rFonts w:ascii="宋体" w:hAnsi="宋体" w:eastAsia="宋体" w:cs="宋体"/>
                <w:color w:val="auto"/>
                <w:sz w:val="24"/>
              </w:rPr>
            </w:pPr>
            <w:bookmarkStart w:id="43" w:name="OLE_LINK19"/>
            <w:bookmarkStart w:id="44" w:name="OLE_LINK20"/>
            <w:r>
              <w:rPr>
                <w:rFonts w:hint="eastAsia" w:ascii="宋体" w:hAnsi="宋体" w:eastAsia="宋体" w:cs="宋体"/>
                <w:color w:val="auto"/>
                <w:sz w:val="24"/>
              </w:rPr>
              <w:t>≤25</w:t>
            </w:r>
            <w:bookmarkEnd w:id="43"/>
            <w:bookmarkEnd w:id="44"/>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水泵压力</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MPa</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2" w:type="dxa"/>
            <w:tcBorders>
              <w:tl2br w:val="nil"/>
              <w:tr2bl w:val="nil"/>
            </w:tcBorders>
            <w:noWrap/>
            <w:vAlign w:val="center"/>
          </w:tcPr>
          <w:p>
            <w:pPr>
              <w:numPr>
                <w:ilvl w:val="0"/>
                <w:numId w:val="6"/>
              </w:numPr>
              <w:rPr>
                <w:rFonts w:ascii="宋体" w:hAnsi="宋体" w:eastAsia="宋体" w:cs="宋体"/>
                <w:color w:val="auto"/>
                <w:sz w:val="24"/>
              </w:rPr>
            </w:pPr>
          </w:p>
        </w:tc>
        <w:tc>
          <w:tcPr>
            <w:tcW w:w="2928"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流量</w:t>
            </w:r>
          </w:p>
        </w:tc>
        <w:tc>
          <w:tcPr>
            <w:tcW w:w="1572"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L/min</w:t>
            </w:r>
          </w:p>
        </w:tc>
        <w:tc>
          <w:tcPr>
            <w:tcW w:w="4026" w:type="dxa"/>
            <w:tcBorders>
              <w:tl2br w:val="nil"/>
              <w:tr2bl w:val="nil"/>
            </w:tcBorders>
            <w:noWrap/>
            <w:vAlign w:val="center"/>
          </w:tcPr>
          <w:p>
            <w:pPr>
              <w:rPr>
                <w:rFonts w:ascii="宋体" w:hAnsi="宋体" w:eastAsia="宋体" w:cs="宋体"/>
                <w:color w:val="auto"/>
                <w:sz w:val="24"/>
              </w:rPr>
            </w:pPr>
            <w:r>
              <w:rPr>
                <w:rFonts w:hint="eastAsia" w:ascii="宋体" w:hAnsi="宋体" w:eastAsia="宋体" w:cs="宋体"/>
                <w:color w:val="auto"/>
                <w:sz w:val="24"/>
              </w:rPr>
              <w:t>≥15</w:t>
            </w:r>
          </w:p>
        </w:tc>
      </w:tr>
    </w:tbl>
    <w:p>
      <w:pPr>
        <w:rPr>
          <w:b/>
          <w:bCs/>
          <w:color w:val="auto"/>
          <w:sz w:val="28"/>
          <w:szCs w:val="36"/>
        </w:rPr>
      </w:pPr>
      <w:bookmarkStart w:id="45" w:name="_Toc6848"/>
      <w:r>
        <w:rPr>
          <w:rFonts w:hint="eastAsia"/>
          <w:b/>
          <w:bCs/>
          <w:color w:val="auto"/>
          <w:sz w:val="28"/>
          <w:szCs w:val="36"/>
        </w:rPr>
        <w:t>二、性能特点</w:t>
      </w:r>
      <w:bookmarkEnd w:id="45"/>
      <w:r>
        <w:rPr>
          <w:rFonts w:hint="eastAsia"/>
          <w:b/>
          <w:bCs/>
          <w:color w:val="auto"/>
          <w:sz w:val="28"/>
          <w:szCs w:val="36"/>
        </w:rPr>
        <w:tab/>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整车采用流线造型流畅，坚固耐用，驾驶室、车架、箱体经过酸洗磷化+电泳防腐处理工艺，使结构件不易生锈；</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采用大容量72v免维护蓄电池组；</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控制系统采用高频MSFET电路和霍尔感应式加速器，具有防电磁干扰、启动延时和倒车减速等安全功能；</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底盘采用车架纵横梁整体铆接式汽车用底盘设计，选用卡车专用钢板，底盘硬体强度高，承载力更强；</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轮胎采用子午线真空胎，耐磨损，使用寿命长；</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采用夹胶双曲面挡风玻璃；</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大容量水箱，可持续工作1小时以上；</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采用知名品牌高压水泵，工作压力高；</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有前照灯、转向灯、组合后尾灯；电喇叭、倒车蜂鸣器、警示灯；有左右各一个手动型外后视镜；</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转向系统：循环球式转向机+EPS转向助力；</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动力传动系统：后置驱动；</w:t>
      </w:r>
    </w:p>
    <w:p>
      <w:pPr>
        <w:numPr>
          <w:ilvl w:val="0"/>
          <w:numId w:val="7"/>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前部配备清洗装置、柱状单点(双点)清洗装置、手动喷枪装置，前置清洗装置喷水架可实现较宽的路面清洗，是日常保洁的常用装置，手持喷枪能够适应城市道路各种路况的保洁工作，并且操作方便、易于控制，在驾驶室内即可完成冲洗作业。</w:t>
      </w:r>
    </w:p>
    <w:p>
      <w:pPr>
        <w:jc w:val="center"/>
        <w:rPr>
          <w:rFonts w:hint="eastAsia"/>
          <w:b/>
          <w:bCs/>
          <w:color w:val="auto"/>
          <w:sz w:val="28"/>
          <w:szCs w:val="36"/>
        </w:rPr>
      </w:pPr>
    </w:p>
    <w:p>
      <w:pPr>
        <w:jc w:val="center"/>
        <w:rPr>
          <w:rFonts w:hint="eastAsia"/>
          <w:b/>
          <w:bCs/>
          <w:color w:val="auto"/>
          <w:sz w:val="28"/>
          <w:szCs w:val="36"/>
        </w:rPr>
      </w:pPr>
    </w:p>
    <w:p>
      <w:pPr>
        <w:jc w:val="center"/>
        <w:rPr>
          <w:color w:val="auto"/>
        </w:rPr>
      </w:pPr>
      <w:r>
        <w:rPr>
          <w:rFonts w:hint="eastAsia"/>
          <w:b/>
          <w:bCs/>
          <w:color w:val="auto"/>
          <w:sz w:val="28"/>
          <w:szCs w:val="36"/>
        </w:rPr>
        <w:t>四轮后挂桶式垃圾收集车</w:t>
      </w:r>
    </w:p>
    <w:p>
      <w:pPr>
        <w:pStyle w:val="7"/>
        <w:rPr>
          <w:color w:val="auto"/>
        </w:rPr>
      </w:pPr>
      <w:r>
        <w:rPr>
          <w:rFonts w:hint="eastAsia"/>
          <w:color w:val="auto"/>
        </w:rPr>
        <w:tab/>
      </w:r>
      <w:r>
        <w:rPr>
          <w:rFonts w:hint="eastAsia"/>
          <w:b/>
          <w:bCs/>
          <w:color w:val="auto"/>
          <w:sz w:val="28"/>
          <w:szCs w:val="36"/>
        </w:rPr>
        <w:t>一、技术参数</w:t>
      </w:r>
    </w:p>
    <w:tbl>
      <w:tblPr>
        <w:tblStyle w:val="1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089"/>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jc w:val="center"/>
              <w:rPr>
                <w:rFonts w:ascii="宋体" w:hAnsi="宋体" w:eastAsia="宋体" w:cs="宋体"/>
                <w:color w:val="auto"/>
                <w:sz w:val="24"/>
              </w:rPr>
            </w:pPr>
            <w:r>
              <w:rPr>
                <w:rFonts w:hint="eastAsia" w:ascii="宋体" w:hAnsi="宋体" w:eastAsia="宋体" w:cs="宋体"/>
                <w:color w:val="auto"/>
                <w:sz w:val="24"/>
              </w:rPr>
              <w:t>序号</w:t>
            </w: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项目名称</w:t>
            </w:r>
          </w:p>
        </w:tc>
        <w:tc>
          <w:tcPr>
            <w:tcW w:w="5587" w:type="dxa"/>
            <w:vAlign w:val="center"/>
          </w:tcPr>
          <w:p>
            <w:pPr>
              <w:jc w:val="center"/>
              <w:rPr>
                <w:rFonts w:ascii="宋体" w:hAnsi="宋体" w:eastAsia="宋体" w:cs="宋体"/>
                <w:color w:val="auto"/>
                <w:sz w:val="24"/>
              </w:rPr>
            </w:pPr>
            <w:r>
              <w:rPr>
                <w:rFonts w:hint="eastAsia" w:ascii="宋体" w:hAnsi="宋体" w:eastAsia="宋体" w:cs="宋体"/>
                <w:color w:val="auto"/>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电池</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≥72V/200AH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电机</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≥72V/6.3KW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充电机</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≥72V/30A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灯光及信号</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前大灯+前后转向灯+刹车灯+电喇叭+倒车喇叭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动力单元</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72V</w:t>
            </w:r>
            <w:r>
              <w:rPr>
                <w:rFonts w:hint="eastAsia" w:ascii="宋体" w:hAnsi="宋体" w:eastAsia="宋体" w:cs="宋体"/>
                <w:color w:val="auto"/>
                <w:sz w:val="24"/>
                <w:lang w:val="en-US" w:eastAsia="zh-CN"/>
              </w:rPr>
              <w:t>/</w:t>
            </w:r>
            <w:r>
              <w:rPr>
                <w:rFonts w:hint="eastAsia" w:ascii="宋体" w:hAnsi="宋体" w:eastAsia="宋体" w:cs="宋体"/>
                <w:color w:val="auto"/>
                <w:sz w:val="24"/>
              </w:rPr>
              <w:t>1.2KW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箱体</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碳钢箱体，容积3.5m³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外形尺寸（长*宽*高）(mm)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≥3950×1430×1980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轴距（mm）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续驶里程（km）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最大行驶速度（km/h）</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最小转弯半径（m）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最大爬坡度（%）</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最小离地间隙（mm）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最小制动距离（m）（v=20km/h）</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整备质量（kg）</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额定载荷（kg）</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eastAsia" w:ascii="宋体" w:hAnsi="宋体" w:eastAsia="宋体" w:cs="宋体"/>
                <w:color w:val="auto"/>
                <w:sz w:val="24"/>
              </w:rPr>
              <w:t>垃圾倾倒口离地高度（mm）</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翻桶时间（S）</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箱体翻转时间（S）</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vAlign w:val="center"/>
          </w:tcPr>
          <w:p>
            <w:pPr>
              <w:numPr>
                <w:ilvl w:val="0"/>
                <w:numId w:val="8"/>
              </w:numPr>
              <w:jc w:val="center"/>
              <w:rPr>
                <w:rFonts w:ascii="宋体" w:hAnsi="宋体" w:eastAsia="宋体" w:cs="宋体"/>
                <w:color w:val="auto"/>
                <w:sz w:val="24"/>
              </w:rPr>
            </w:pPr>
          </w:p>
        </w:tc>
        <w:tc>
          <w:tcPr>
            <w:tcW w:w="3089" w:type="dxa"/>
            <w:vAlign w:val="center"/>
          </w:tcPr>
          <w:p>
            <w:pPr>
              <w:jc w:val="center"/>
              <w:rPr>
                <w:rFonts w:ascii="宋体" w:hAnsi="宋体" w:eastAsia="宋体" w:cs="宋体"/>
                <w:color w:val="auto"/>
                <w:sz w:val="24"/>
              </w:rPr>
            </w:pPr>
            <w:r>
              <w:rPr>
                <w:rFonts w:hint="default" w:ascii="Arial" w:hAnsi="Arial" w:eastAsia="Arial" w:cs="Arial"/>
                <w:b w:val="0"/>
                <w:bCs w:val="0"/>
                <w:i w:val="0"/>
                <w:iCs w:val="0"/>
                <w:caps w:val="0"/>
                <w:color w:val="333333"/>
                <w:spacing w:val="0"/>
                <w:sz w:val="20"/>
                <w:szCs w:val="20"/>
                <w:shd w:val="clear" w:fill="FFFFFF"/>
              </w:rPr>
              <w:t>★</w:t>
            </w:r>
            <w:r>
              <w:rPr>
                <w:rFonts w:hint="eastAsia" w:ascii="宋体" w:hAnsi="宋体" w:eastAsia="宋体" w:cs="宋体"/>
                <w:color w:val="auto"/>
                <w:sz w:val="24"/>
              </w:rPr>
              <w:t>垃圾箱翻转角度（°）</w:t>
            </w:r>
          </w:p>
        </w:tc>
        <w:tc>
          <w:tcPr>
            <w:tcW w:w="5587"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≥85</w:t>
            </w:r>
          </w:p>
        </w:tc>
      </w:tr>
    </w:tbl>
    <w:p>
      <w:pPr>
        <w:rPr>
          <w:b/>
          <w:bCs/>
          <w:color w:val="auto"/>
          <w:sz w:val="28"/>
          <w:szCs w:val="36"/>
        </w:rPr>
      </w:pPr>
      <w:r>
        <w:rPr>
          <w:rFonts w:hint="eastAsia"/>
          <w:b/>
          <w:bCs/>
          <w:color w:val="auto"/>
          <w:sz w:val="28"/>
          <w:szCs w:val="36"/>
        </w:rPr>
        <w:t>二、性能特点</w:t>
      </w:r>
      <w:r>
        <w:rPr>
          <w:rFonts w:hint="eastAsia"/>
          <w:b/>
          <w:bCs/>
          <w:color w:val="auto"/>
          <w:sz w:val="28"/>
          <w:szCs w:val="36"/>
        </w:rPr>
        <w:tab/>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整车驾驶室、车架、箱体首先经过酸洗磷化+电泳处理工艺，使结构件不易生锈；</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驾驶室采用全封闭模式，驾驶室经过钣金冲压而成；采用汽车焊接工艺，驾驶室与车架底盘人性化设计，操作和维修方便快捷；</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在车辆右侧前端开有小型的垃圾投料口，可方便零散垃圾的投放；</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上盖全覆盖设计，在刮板前端增加有遮盖板，利用气弹簧扣紧刮板与箱体的缝隙，使刮板与箱体完全贴合，尾部向上设有45度斜坡，保证污水无泄漏；</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自锁的压桶装置和后端的连杆滑块提升装置，市场上常用的120L、240L标准桶均可提升自翻，后置式挂桶，使用更方便，节约占地空间；</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箱体上部装有一对油缸作用的液压垃圾推板，可以对垃圾进行初压缩，大大增加车辆垃圾装载数量；</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采用大功率直流串励驱动电机，性能稳定，动力强劲；</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底盘传动采用电子直流传动方式，后驱动桥采用特别定制高承载板簧全浮式载重后桥，半轴损坏后轮胎不会脱落，驱动桥采用加厚半轴套管；</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液压式自卸整车垃圾，尾部增加垃圾箱体倾倒稳定油缸，使箱体倾倒垃圾更加安全快速，作业效率高；</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整车的控制系统采用PLC控制，电阻式加速器，具有防溜坡、电压电流保护、防电磁干扰、防飞车、能量回收等安全功能；</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转向使用电子方向助力系统，（EPS）转向助力精度高，比一般产品更加灵活可靠；</w:t>
      </w:r>
    </w:p>
    <w:p>
      <w:pPr>
        <w:numPr>
          <w:ilvl w:val="0"/>
          <w:numId w:val="9"/>
        </w:numPr>
        <w:spacing w:line="360" w:lineRule="auto"/>
        <w:ind w:left="150" w:firstLine="480"/>
        <w:rPr>
          <w:rFonts w:ascii="宋体" w:hAnsi="宋体" w:eastAsia="宋体" w:cs="宋体"/>
          <w:color w:val="auto"/>
          <w:sz w:val="24"/>
        </w:rPr>
      </w:pPr>
      <w:r>
        <w:rPr>
          <w:rFonts w:hint="eastAsia" w:ascii="宋体" w:hAnsi="宋体" w:eastAsia="宋体" w:cs="宋体"/>
          <w:color w:val="auto"/>
          <w:sz w:val="24"/>
        </w:rPr>
        <w:t>电池采用国内知名品牌电池，高性能、长寿命、无污染、安全可靠，性能卓越。</w:t>
      </w:r>
    </w:p>
    <w:p>
      <w:pPr>
        <w:numPr>
          <w:ilvl w:val="0"/>
          <w:numId w:val="0"/>
        </w:numPr>
        <w:spacing w:line="360" w:lineRule="auto"/>
        <w:rPr>
          <w:rFonts w:ascii="宋体" w:hAnsi="宋体" w:eastAsia="宋体" w:cs="宋体"/>
          <w:color w:val="auto"/>
          <w:sz w:val="24"/>
        </w:rPr>
      </w:pPr>
    </w:p>
    <w:p>
      <w:pPr>
        <w:spacing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注：①、2.4 标段（包）内容（具体范围、数量）中，带“★”标记的内容均为实质性条款，对实质性条款的应答不得</w:t>
      </w:r>
      <w:r>
        <w:rPr>
          <w:rFonts w:hint="eastAsia" w:ascii="宋体" w:hAnsi="宋体" w:eastAsia="宋体" w:cs="宋体"/>
          <w:b/>
          <w:bCs/>
          <w:kern w:val="2"/>
          <w:sz w:val="24"/>
          <w:szCs w:val="24"/>
          <w:lang w:val="en-US" w:eastAsia="zh-CN" w:bidi="ar-SA"/>
        </w:rPr>
        <w:t>有任何负偏离，否则做无效投标处理。</w:t>
      </w:r>
    </w:p>
    <w:p>
      <w:pPr>
        <w:spacing w:line="360" w:lineRule="auto"/>
        <w:ind w:firstLine="964" w:firstLineChars="400"/>
        <w:jc w:val="left"/>
        <w:rPr>
          <w:rFonts w:hint="eastAsia" w:ascii="宋体" w:hAnsi="宋体" w:eastAsia="宋体" w:cs="宋体"/>
          <w:b/>
          <w:bCs/>
          <w:kern w:val="2"/>
          <w:sz w:val="24"/>
          <w:szCs w:val="24"/>
          <w:highlight w:val="none"/>
          <w:lang w:val="en-US" w:eastAsia="zh-CN" w:bidi="ar-SA"/>
        </w:rPr>
      </w:pPr>
      <w:bookmarkStart w:id="46" w:name="_Toc27544"/>
      <w:bookmarkStart w:id="47" w:name="_Toc24592"/>
      <w:r>
        <w:rPr>
          <w:rFonts w:hint="eastAsia" w:ascii="宋体" w:hAnsi="宋体" w:eastAsia="宋体" w:cs="宋体"/>
          <w:b/>
          <w:bCs/>
          <w:kern w:val="2"/>
          <w:sz w:val="24"/>
          <w:szCs w:val="24"/>
          <w:highlight w:val="none"/>
          <w:lang w:val="en-US" w:eastAsia="zh-CN" w:bidi="ar-SA"/>
        </w:rPr>
        <w:t>②、本标段（包）核心产品为：</w:t>
      </w:r>
      <w:bookmarkEnd w:id="46"/>
      <w:bookmarkEnd w:id="47"/>
      <w:bookmarkStart w:id="48" w:name="_Toc4594"/>
      <w:r>
        <w:rPr>
          <w:rFonts w:hint="eastAsia" w:ascii="宋体" w:hAnsi="宋体" w:eastAsia="宋体" w:cs="宋体"/>
          <w:b/>
          <w:bCs/>
          <w:kern w:val="2"/>
          <w:sz w:val="24"/>
          <w:szCs w:val="24"/>
          <w:highlight w:val="none"/>
          <w:lang w:val="en-US" w:eastAsia="zh-CN" w:bidi="ar-SA"/>
        </w:rPr>
        <w:t>电动三轮挂桶式垃圾收集车、电动三轮高压冲洗车、四轮高压清洗车、四轮后挂桶式垃圾收集车。</w:t>
      </w:r>
    </w:p>
    <w:p>
      <w:pPr>
        <w:keepNext w:val="0"/>
        <w:keepLines w:val="0"/>
        <w:widowControl/>
        <w:suppressLineNumbers w:val="0"/>
        <w:ind w:firstLine="964" w:firstLineChars="400"/>
        <w:jc w:val="left"/>
      </w:pPr>
      <w:r>
        <w:rPr>
          <w:rFonts w:hint="eastAsia" w:ascii="宋体" w:hAnsi="宋体" w:eastAsia="宋体" w:cs="宋体"/>
          <w:b/>
          <w:bCs/>
          <w:color w:val="000000"/>
          <w:kern w:val="0"/>
          <w:sz w:val="24"/>
          <w:szCs w:val="24"/>
          <w:lang w:val="en-US" w:eastAsia="zh-CN" w:bidi="ar"/>
        </w:rPr>
        <w:t>③、本项目所涉设备（货物）的中小企业划分标准所属行业为：工业。</w:t>
      </w:r>
    </w:p>
    <w:p>
      <w:pPr>
        <w:pStyle w:val="33"/>
        <w:rPr>
          <w:rFonts w:hint="eastAsia"/>
        </w:rPr>
      </w:pP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2.4.1 应遵循第三章投标人须知 3.7.4 项规定。</w:t>
      </w:r>
      <w:bookmarkEnd w:id="48"/>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2.4.2 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负责产品的安装、调试，并具备正常使用条件。</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2.5 安全响应产品应符合国家、行业的各项安全标准，</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对产品的安全性承担全部责任</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生产或销售不符合保障人身、财产安全的国家标准、行业标准的产品，将依法承担民事及相应刑事责任。合同履行中的安全责任由成交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承担全部责任。</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kern w:val="0"/>
          <w:sz w:val="24"/>
        </w:rPr>
        <w:t>2.6</w:t>
      </w:r>
      <w:r>
        <w:rPr>
          <w:rFonts w:hint="eastAsia" w:cs="宋体" w:asciiTheme="minorEastAsia" w:hAnsiTheme="minorEastAsia" w:eastAsiaTheme="minorEastAsia"/>
          <w:kern w:val="0"/>
          <w:sz w:val="24"/>
          <w:lang w:val="en-US" w:eastAsia="zh-CN"/>
        </w:rPr>
        <w:t>投标文件对“2.4 标段（包）内容（具体范围、数量），具体技术要求”的响应 “2.4 标段（包）内容（具体范围、数量），具体技术要求”为采购需求的基础性要求，投标产品应当明确，投标技术参数应最终指向具体明确的产品。</w:t>
      </w:r>
      <w:r>
        <w:rPr>
          <w:rFonts w:hint="eastAsia" w:cs="宋体" w:asciiTheme="minorEastAsia" w:hAnsiTheme="minorEastAsia" w:eastAsiaTheme="minorEastAsia"/>
          <w:color w:val="auto"/>
          <w:kern w:val="0"/>
          <w:sz w:val="24"/>
          <w:highlight w:val="none"/>
          <w:lang w:val="en-US" w:eastAsia="zh-CN"/>
        </w:rPr>
        <w:t>投标文件技术参数</w:t>
      </w:r>
      <w:r>
        <w:rPr>
          <w:rFonts w:hint="eastAsia" w:cs="宋体" w:asciiTheme="minorEastAsia" w:hAnsiTheme="minorEastAsia"/>
          <w:color w:val="auto"/>
          <w:kern w:val="0"/>
          <w:sz w:val="24"/>
          <w:highlight w:val="none"/>
          <w:lang w:val="en-US" w:eastAsia="zh-CN"/>
        </w:rPr>
        <w:t>不得</w:t>
      </w:r>
      <w:r>
        <w:rPr>
          <w:rFonts w:hint="eastAsia" w:cs="宋体" w:asciiTheme="minorEastAsia" w:hAnsiTheme="minorEastAsia" w:eastAsiaTheme="minorEastAsia"/>
          <w:color w:val="auto"/>
          <w:kern w:val="0"/>
          <w:sz w:val="24"/>
          <w:highlight w:val="none"/>
          <w:lang w:val="en-US" w:eastAsia="zh-CN"/>
        </w:rPr>
        <w:t>抄袭</w:t>
      </w:r>
      <w:r>
        <w:rPr>
          <w:rFonts w:hint="eastAsia" w:cs="宋体" w:asciiTheme="minorEastAsia" w:hAnsiTheme="minorEastAsia"/>
          <w:color w:val="auto"/>
          <w:kern w:val="0"/>
          <w:sz w:val="24"/>
          <w:highlight w:val="none"/>
          <w:lang w:val="en-US" w:eastAsia="zh-CN"/>
        </w:rPr>
        <w:t>或复制</w:t>
      </w:r>
      <w:r>
        <w:rPr>
          <w:rFonts w:hint="eastAsia" w:cs="宋体" w:asciiTheme="minorEastAsia" w:hAnsiTheme="minorEastAsia" w:eastAsiaTheme="minorEastAsia"/>
          <w:color w:val="auto"/>
          <w:kern w:val="0"/>
          <w:sz w:val="24"/>
          <w:highlight w:val="none"/>
          <w:lang w:val="en-US" w:eastAsia="zh-CN"/>
        </w:rPr>
        <w:t>招标文件“2.4 标段（包）内容（具体范围、数量），具体技术要求”，投标产品不明确的、或与投标产品不一致的，评标委员会有权按照实质性判断原则评定其为无效投标。</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2.7 技术偏离</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2.7.1 “2.4 标段（包）内容（具体范围、数量），具体技术要求”列示的参数、规格为基础性要求，投标人可提供质量性能参数相等或优于的其他产品；投标产品的规格参数与“2.4 标段（包）内容（具体范围、数量），具体技术要求”不同、且投标人认为投标产品的规格参数等于或优于“2.4 标段（包）内容（具体范围、数量），具体技术要求”的</w:t>
      </w:r>
      <w:r>
        <w:rPr>
          <w:rFonts w:hint="eastAsia" w:cs="宋体" w:asciiTheme="minorEastAsia" w:hAnsiTheme="minorEastAsia"/>
          <w:color w:val="auto"/>
          <w:kern w:val="0"/>
          <w:sz w:val="24"/>
          <w:highlight w:val="none"/>
          <w:lang w:val="en-US" w:eastAsia="zh-CN"/>
        </w:rPr>
        <w:t>应在投标文件中逐条响应</w:t>
      </w:r>
      <w:r>
        <w:rPr>
          <w:rFonts w:hint="eastAsia" w:cs="宋体" w:asciiTheme="minorEastAsia" w:hAnsiTheme="minorEastAsia" w:eastAsiaTheme="minorEastAsia"/>
          <w:color w:val="auto"/>
          <w:kern w:val="0"/>
          <w:sz w:val="24"/>
          <w:highlight w:val="none"/>
          <w:lang w:val="en-US" w:eastAsia="zh-CN"/>
        </w:rPr>
        <w:t>，投标人应提供相关证明材料（检测报告）以供评标委员会评审投标产品是否等于或优于“2.4 标段（包）内容（具体范围、数量），具体技术要求”、从而评定投标产品是否满足“2.4 标段（包）内容（具体范围、数量），具体技术要求”</w:t>
      </w:r>
      <w:r>
        <w:rPr>
          <w:rFonts w:hint="eastAsia" w:cs="宋体" w:asciiTheme="minorEastAsia" w:hAnsiTheme="minorEastAsia"/>
          <w:color w:val="auto"/>
          <w:kern w:val="0"/>
          <w:sz w:val="24"/>
          <w:highlight w:val="none"/>
          <w:lang w:val="en-US" w:eastAsia="zh-CN"/>
        </w:rPr>
        <w:t>。</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“2.4 标段（包）内容（具体范围、数量），具体技术要求”列示的参数、规格为区间性描述的，投标产品参数规格在此区间内的、则显见的为符合“2.4标段（包）内容（具体范围、数量），具体技术要求”。</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val="en-US" w:eastAsia="zh-CN"/>
        </w:rPr>
        <w:t>如“2.4 标段（包）内容（具体范围、数量），具体技术要求”中列示有品牌、型号、生产供应商名称、专利、商标的，圴为“参照或相当于”的技术标准，投标人可提供等于或优于的其他产品（其他的品牌、型号、生产供应商、专利、商标）；投标人应提供相关证明材料以供评标委员会评审投标产品是否等于或优于“2.4 标段（包）内容（具体范围、数量），具体技术要求”、 从而评定投标产品是否满足“2.4标段（包）内容（具体范围、数量），具体技术要求”</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val="en-US" w:eastAsia="zh-CN"/>
        </w:rPr>
        <w:t xml:space="preserve">2.7.2 本项目技术参数接受负偏离，“2.4 标段（包）内容（具体范围、数量），如有“负偏离”的，评标委员会将按照第四章评分因素--技术项要求进行扣分。 </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2.7.3 除招标文件“2.4 标段（包）内容（具体范围、数量），具体技术要求”有明确说明外，投标人所投标的各项设备均应为该设备的标准配置、不应改变或调换厂家的出厂标准配置；如确因市场因素无法按上述规格产品进行投标， 应提供优于“2.4 标段（包） 内容（具体范围、数量），具体技术要求”的同类产品进行投标，投标人应提供产品</w:t>
      </w:r>
      <w:r>
        <w:rPr>
          <w:rFonts w:hint="eastAsia" w:cs="宋体" w:asciiTheme="minorEastAsia" w:hAnsiTheme="minorEastAsia"/>
          <w:color w:val="auto"/>
          <w:kern w:val="0"/>
          <w:sz w:val="24"/>
          <w:highlight w:val="none"/>
          <w:lang w:val="en-US" w:eastAsia="zh-CN"/>
        </w:rPr>
        <w:t>的</w:t>
      </w:r>
      <w:r>
        <w:rPr>
          <w:rFonts w:hint="eastAsia" w:cs="宋体" w:asciiTheme="minorEastAsia" w:hAnsiTheme="minorEastAsia" w:eastAsiaTheme="minorEastAsia"/>
          <w:color w:val="auto"/>
          <w:kern w:val="0"/>
          <w:sz w:val="24"/>
          <w:highlight w:val="none"/>
          <w:lang w:val="en-US" w:eastAsia="zh-CN"/>
        </w:rPr>
        <w:t>印刷品说明书</w:t>
      </w:r>
      <w:r>
        <w:rPr>
          <w:rFonts w:hint="eastAsia" w:cs="宋体" w:asciiTheme="minorEastAsia" w:hAnsiTheme="minorEastAsia"/>
          <w:color w:val="auto"/>
          <w:kern w:val="0"/>
          <w:sz w:val="24"/>
          <w:highlight w:val="none"/>
          <w:lang w:val="en-US" w:eastAsia="zh-CN"/>
        </w:rPr>
        <w:t>和</w:t>
      </w:r>
      <w:r>
        <w:rPr>
          <w:rFonts w:hint="eastAsia" w:cs="宋体" w:asciiTheme="minorEastAsia" w:hAnsiTheme="minorEastAsia" w:eastAsiaTheme="minorEastAsia"/>
          <w:color w:val="auto"/>
          <w:kern w:val="0"/>
          <w:sz w:val="24"/>
          <w:highlight w:val="none"/>
          <w:lang w:val="en-US" w:eastAsia="zh-CN"/>
        </w:rPr>
        <w:t>印刷品图册等予以佐证</w:t>
      </w:r>
      <w:r>
        <w:rPr>
          <w:rFonts w:hint="eastAsia" w:cs="宋体" w:asciiTheme="minorEastAsia" w:hAnsiTheme="minorEastAsia"/>
          <w:color w:val="auto"/>
          <w:kern w:val="0"/>
          <w:sz w:val="24"/>
          <w:highlight w:val="none"/>
          <w:lang w:val="en-US" w:eastAsia="zh-CN"/>
        </w:rPr>
        <w:t>（彩色扫描件加盖公章）。</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szCs w:val="24"/>
          <w:lang w:val="en-US" w:eastAsia="zh-CN" w:bidi="ar-SA"/>
        </w:rPr>
        <w:t>2.7.4《投标文件》对技术偏差的</w:t>
      </w:r>
      <w:r>
        <w:rPr>
          <w:rFonts w:hint="eastAsia" w:cs="宋体" w:asciiTheme="minorEastAsia" w:hAnsiTheme="minorEastAsia" w:eastAsiaTheme="minorEastAsia"/>
          <w:kern w:val="0"/>
          <w:sz w:val="24"/>
        </w:rPr>
        <w:t>描述要求：见第三章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须知 3.7.3 项。</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2.8 售后服务的基本条款（采购标的需满足的服务标准、期限、效率等要求）</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2.8.1 产品的保修除按国家有关规定、各产品生产厂家规定及项目特殊要求处理外，还应满足下述条款：</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招标</w:t>
      </w:r>
      <w:r>
        <w:rPr>
          <w:rFonts w:hint="eastAsia" w:cs="宋体" w:asciiTheme="minorEastAsia" w:hAnsiTheme="minorEastAsia" w:eastAsiaTheme="minorEastAsia"/>
          <w:kern w:val="0"/>
          <w:sz w:val="24"/>
        </w:rPr>
        <w:t>文件》中未明确列明保修条款的产品，均需提供至少一年的免费保修；国家规定或产品生产厂家规定大于一年的，按国家规定与厂家规定最有利于采购人原则执行；《</w:t>
      </w:r>
      <w:r>
        <w:rPr>
          <w:rFonts w:hint="eastAsia" w:cs="宋体" w:asciiTheme="minorEastAsia" w:hAnsiTheme="minorEastAsia" w:eastAsiaTheme="minorEastAsia"/>
          <w:kern w:val="0"/>
          <w:sz w:val="24"/>
          <w:lang w:val="en-US" w:eastAsia="zh-CN"/>
        </w:rPr>
        <w:t>招标</w:t>
      </w:r>
      <w:r>
        <w:rPr>
          <w:rFonts w:hint="eastAsia" w:cs="宋体" w:asciiTheme="minorEastAsia" w:hAnsiTheme="minorEastAsia" w:eastAsiaTheme="minorEastAsia"/>
          <w:kern w:val="0"/>
          <w:sz w:val="24"/>
        </w:rPr>
        <w:t>文件》已明确列明大于一年保修的，按该条款及其响应执行；</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（2）保修期内货物发生故障系产品出现质量问题，必须无偿更换；</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（3）产品超过保修期发生故障，采购人可自由选择维修单位，如委托给成交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不得借故推诿，且维修费优于市场价格；</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highlight w:val="none"/>
        </w:rPr>
      </w:pPr>
      <w:bookmarkStart w:id="49" w:name="OLE_LINK12"/>
      <w:r>
        <w:rPr>
          <w:rFonts w:hint="eastAsia" w:cs="宋体" w:asciiTheme="minorEastAsia" w:hAnsiTheme="minorEastAsia" w:eastAsiaTheme="minorEastAsia"/>
          <w:color w:val="auto"/>
          <w:kern w:val="0"/>
          <w:sz w:val="24"/>
          <w:highlight w:val="none"/>
        </w:rPr>
        <w:t xml:space="preserve">（4）如产品发生故障，接到通知后须在 </w:t>
      </w:r>
      <w:r>
        <w:rPr>
          <w:rFonts w:hint="eastAsia" w:cs="宋体" w:asciiTheme="minorEastAsia" w:hAnsiTheme="minorEastAsia"/>
          <w:color w:val="auto"/>
          <w:kern w:val="0"/>
          <w:sz w:val="24"/>
          <w:highlight w:val="none"/>
          <w:lang w:val="en-US" w:eastAsia="zh-CN"/>
        </w:rPr>
        <w:t>0.5</w:t>
      </w:r>
      <w:r>
        <w:rPr>
          <w:rFonts w:hint="eastAsia" w:cs="宋体" w:asciiTheme="minorEastAsia" w:hAnsiTheme="minorEastAsia" w:eastAsiaTheme="minorEastAsia"/>
          <w:color w:val="auto"/>
          <w:kern w:val="0"/>
          <w:sz w:val="24"/>
          <w:highlight w:val="none"/>
        </w:rPr>
        <w:t xml:space="preserve"> 小时内响应，并在 </w:t>
      </w:r>
      <w:r>
        <w:rPr>
          <w:rFonts w:hint="eastAsia" w:cs="宋体" w:asciiTheme="minorEastAsia" w:hAnsi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rPr>
        <w:t xml:space="preserve"> 小时内及时赶到现场，</w:t>
      </w:r>
      <w:r>
        <w:rPr>
          <w:rFonts w:hint="eastAsia" w:cs="宋体" w:asciiTheme="minorEastAsia" w:hAnsiTheme="minorEastAsia"/>
          <w:color w:val="auto"/>
          <w:kern w:val="0"/>
          <w:sz w:val="24"/>
          <w:highlight w:val="none"/>
          <w:lang w:val="en-US" w:eastAsia="zh-CN"/>
        </w:rPr>
        <w:t>提供能够及时响应和到现场的相关证明材料</w:t>
      </w:r>
      <w:r>
        <w:rPr>
          <w:rFonts w:hint="eastAsia" w:cs="宋体" w:asciiTheme="minorEastAsia" w:hAnsiTheme="minorEastAsia" w:eastAsiaTheme="minorEastAsia"/>
          <w:color w:val="auto"/>
          <w:kern w:val="0"/>
          <w:sz w:val="24"/>
          <w:highlight w:val="none"/>
        </w:rPr>
        <w:t>。</w:t>
      </w:r>
    </w:p>
    <w:bookmarkEnd w:id="49"/>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2.8.2 在成交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未按照合同规定的地点交验前，产品毁坏或灭失，由成交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承担责任。</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kern w:val="0"/>
          <w:sz w:val="24"/>
        </w:rPr>
        <w:t xml:space="preserve">2.8.3 </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需提供详尽的售后服务承诺；如由产品生产厂家提供相关售后服务的，</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color w:val="auto"/>
          <w:kern w:val="0"/>
          <w:sz w:val="24"/>
          <w:highlight w:val="none"/>
        </w:rPr>
        <w:t>负有连带售后服务责任。</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color w:val="auto"/>
          <w:kern w:val="0"/>
          <w:sz w:val="24"/>
          <w:highlight w:val="none"/>
          <w:lang w:val="en-US" w:eastAsia="zh-CN"/>
        </w:rPr>
      </w:pPr>
      <w:r>
        <w:rPr>
          <w:rFonts w:hint="eastAsia" w:cs="宋体" w:asciiTheme="minorEastAsia" w:hAnsiTheme="minorEastAsia"/>
          <w:color w:val="auto"/>
          <w:kern w:val="0"/>
          <w:sz w:val="24"/>
          <w:highlight w:val="none"/>
          <w:lang w:val="en-US" w:eastAsia="zh-CN"/>
        </w:rPr>
        <w:t>2.8.4投标人须在投标文件中形成书面约定提供的货物是全新、未使用过的，并完全符合强制性的国家技术质量规范和招标文件规定的质量、规格、性能和技术规范等要求。</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cs="宋体" w:asciiTheme="minorEastAsia" w:hAnsiTheme="minorEastAsia"/>
          <w:kern w:val="0"/>
          <w:sz w:val="24"/>
          <w:lang w:val="en-US" w:eastAsia="zh-CN"/>
        </w:rPr>
      </w:pP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2.9 保险、货物包装   </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2.9.1 保险（如需）：</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eastAsia="zh-CN"/>
        </w:rPr>
        <w:t>投标人</w:t>
      </w:r>
      <w:r>
        <w:rPr>
          <w:rFonts w:hint="eastAsia" w:cs="宋体" w:asciiTheme="minorEastAsia" w:hAnsiTheme="minorEastAsia" w:eastAsiaTheme="minorEastAsia"/>
          <w:color w:val="auto"/>
          <w:kern w:val="0"/>
          <w:sz w:val="24"/>
        </w:rPr>
        <w:t>应遵循国家相关保险的规定，依法办理采购需求范围内的相关法定保险，相关保险费用及相应责任由成交</w:t>
      </w:r>
      <w:r>
        <w:rPr>
          <w:rFonts w:hint="eastAsia" w:cs="宋体" w:asciiTheme="minorEastAsia" w:hAnsiTheme="minorEastAsia" w:eastAsiaTheme="minorEastAsia"/>
          <w:color w:val="auto"/>
          <w:kern w:val="0"/>
          <w:sz w:val="24"/>
          <w:lang w:eastAsia="zh-CN"/>
        </w:rPr>
        <w:t>投标人</w:t>
      </w:r>
      <w:r>
        <w:rPr>
          <w:rFonts w:hint="eastAsia" w:cs="宋体" w:asciiTheme="minorEastAsia" w:hAnsiTheme="minorEastAsia" w:eastAsiaTheme="minorEastAsia"/>
          <w:color w:val="auto"/>
          <w:kern w:val="0"/>
          <w:sz w:val="24"/>
        </w:rPr>
        <w:t>承担。</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在成交</w:t>
      </w:r>
      <w:r>
        <w:rPr>
          <w:rFonts w:hint="eastAsia" w:cs="宋体" w:asciiTheme="minorEastAsia" w:hAnsiTheme="minorEastAsia" w:eastAsiaTheme="minorEastAsia"/>
          <w:color w:val="auto"/>
          <w:kern w:val="0"/>
          <w:sz w:val="24"/>
          <w:lang w:eastAsia="zh-CN"/>
        </w:rPr>
        <w:t>投标人</w:t>
      </w:r>
      <w:r>
        <w:rPr>
          <w:rFonts w:hint="eastAsia" w:cs="宋体" w:asciiTheme="minorEastAsia" w:hAnsiTheme="minorEastAsia" w:eastAsiaTheme="minorEastAsia"/>
          <w:color w:val="auto"/>
          <w:kern w:val="0"/>
          <w:sz w:val="24"/>
        </w:rPr>
        <w:t>未按照合同规定的地点交验前，货物毁坏或灭失，人身、安全责任，均由成交</w:t>
      </w:r>
      <w:r>
        <w:rPr>
          <w:rFonts w:hint="eastAsia" w:cs="宋体" w:asciiTheme="minorEastAsia" w:hAnsiTheme="minorEastAsia" w:eastAsiaTheme="minorEastAsia"/>
          <w:color w:val="auto"/>
          <w:kern w:val="0"/>
          <w:sz w:val="24"/>
          <w:lang w:eastAsia="zh-CN"/>
        </w:rPr>
        <w:t>投标人</w:t>
      </w:r>
      <w:r>
        <w:rPr>
          <w:rFonts w:hint="eastAsia" w:cs="宋体" w:asciiTheme="minorEastAsia" w:hAnsiTheme="minorEastAsia" w:eastAsiaTheme="minorEastAsia"/>
          <w:color w:val="auto"/>
          <w:kern w:val="0"/>
          <w:sz w:val="24"/>
        </w:rPr>
        <w:t>承担责任。</w:t>
      </w:r>
      <w:r>
        <w:rPr>
          <w:rFonts w:hint="eastAsia" w:cs="宋体" w:asciiTheme="minorEastAsia" w:hAnsiTheme="minorEastAsia" w:eastAsiaTheme="minorEastAsia"/>
          <w:color w:val="auto"/>
          <w:kern w:val="0"/>
          <w:sz w:val="24"/>
          <w:lang w:eastAsia="zh-CN"/>
        </w:rPr>
        <w:t>投标人</w:t>
      </w:r>
      <w:r>
        <w:rPr>
          <w:rFonts w:hint="eastAsia" w:cs="宋体" w:asciiTheme="minorEastAsia" w:hAnsiTheme="minorEastAsia" w:eastAsiaTheme="minorEastAsia"/>
          <w:color w:val="auto"/>
          <w:kern w:val="0"/>
          <w:sz w:val="24"/>
        </w:rPr>
        <w:t>可以按照最有利于项目风险控制的原则，为项目办理货物、人身及第三方公众责任险。</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bookmarkStart w:id="50" w:name="_Toc14444"/>
      <w:r>
        <w:rPr>
          <w:rFonts w:hint="eastAsia" w:cs="宋体" w:asciiTheme="minorEastAsia" w:hAnsiTheme="minorEastAsia" w:eastAsiaTheme="minorEastAsia"/>
          <w:kern w:val="0"/>
          <w:sz w:val="24"/>
        </w:rPr>
        <w:t>2.9.2 货物包装：</w:t>
      </w:r>
      <w:bookmarkEnd w:id="50"/>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负责按国家相关标准进行货物包装，设备的包装均应有良好的防湿、防锈、防潮、 防雨、防腐及防碰撞的措施，凡由于包装不良造成的损失和由此产生的费用均由成交</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承担。</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2.10 采购标的的验收标准</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见“第三章 投标人须知 ” 第 8 条“验收 ”条款。</w:t>
      </w:r>
    </w:p>
    <w:p>
      <w:pPr>
        <w:pStyle w:val="4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2.11 采购标的的其他技术、服务等</w:t>
      </w:r>
      <w:r>
        <w:rPr>
          <w:rFonts w:hint="eastAsia" w:cs="宋体" w:asciiTheme="minorEastAsia" w:hAnsiTheme="minorEastAsia" w:eastAsiaTheme="minorEastAsia"/>
          <w:kern w:val="0"/>
          <w:sz w:val="24"/>
          <w:lang w:val="en-US" w:eastAsia="zh-CN"/>
        </w:rPr>
        <w:t>要</w:t>
      </w:r>
      <w:r>
        <w:rPr>
          <w:rFonts w:hint="eastAsia" w:cs="宋体" w:asciiTheme="minorEastAsia" w:hAnsiTheme="minorEastAsia" w:eastAsiaTheme="minorEastAsia"/>
          <w:kern w:val="0"/>
          <w:sz w:val="24"/>
        </w:rPr>
        <w:t xml:space="preserve">求 </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无</w:t>
      </w:r>
    </w:p>
    <w:p>
      <w:pPr>
        <w:jc w:val="center"/>
        <w:outlineLvl w:val="0"/>
        <w:rPr>
          <w:b/>
          <w:bCs/>
          <w:sz w:val="28"/>
          <w:szCs w:val="28"/>
        </w:rPr>
      </w:pPr>
      <w:bookmarkStart w:id="51" w:name="_Toc3510"/>
    </w:p>
    <w:p>
      <w:pPr>
        <w:jc w:val="center"/>
        <w:outlineLvl w:val="0"/>
        <w:rPr>
          <w:b/>
          <w:bCs/>
          <w:sz w:val="28"/>
          <w:szCs w:val="28"/>
        </w:rPr>
      </w:pPr>
    </w:p>
    <w:p>
      <w:pPr>
        <w:pStyle w:val="4"/>
        <w:rPr>
          <w:b/>
          <w:bCs/>
          <w:sz w:val="28"/>
          <w:szCs w:val="28"/>
        </w:rPr>
      </w:pPr>
    </w:p>
    <w:p/>
    <w:p>
      <w:pPr>
        <w:jc w:val="both"/>
        <w:outlineLvl w:val="0"/>
        <w:rPr>
          <w:b/>
          <w:bCs/>
          <w:sz w:val="28"/>
          <w:szCs w:val="28"/>
        </w:rPr>
      </w:pPr>
    </w:p>
    <w:p>
      <w:pPr>
        <w:rPr>
          <w:b/>
          <w:bCs/>
          <w:sz w:val="28"/>
          <w:szCs w:val="28"/>
        </w:rPr>
      </w:pPr>
      <w:r>
        <w:rPr>
          <w:b/>
          <w:bCs/>
          <w:sz w:val="28"/>
          <w:szCs w:val="28"/>
        </w:rPr>
        <w:br w:type="page"/>
      </w:r>
    </w:p>
    <w:p>
      <w:pPr>
        <w:jc w:val="center"/>
        <w:outlineLvl w:val="0"/>
        <w:rPr>
          <w:b/>
          <w:bCs/>
          <w:sz w:val="28"/>
          <w:szCs w:val="28"/>
        </w:rPr>
      </w:pPr>
      <w:r>
        <w:rPr>
          <w:b/>
          <w:bCs/>
          <w:sz w:val="28"/>
          <w:szCs w:val="28"/>
        </w:rPr>
        <w:t xml:space="preserve">第三章  </w:t>
      </w:r>
      <w:r>
        <w:rPr>
          <w:rFonts w:hint="eastAsia"/>
          <w:b/>
          <w:bCs/>
          <w:sz w:val="28"/>
          <w:szCs w:val="28"/>
          <w:lang w:eastAsia="zh-CN"/>
        </w:rPr>
        <w:t>投标人</w:t>
      </w:r>
      <w:r>
        <w:rPr>
          <w:b/>
          <w:bCs/>
          <w:sz w:val="28"/>
          <w:szCs w:val="28"/>
        </w:rPr>
        <w:t>须知</w:t>
      </w:r>
      <w:bookmarkEnd w:id="51"/>
    </w:p>
    <w:p>
      <w:pPr>
        <w:jc w:val="center"/>
        <w:outlineLvl w:val="1"/>
        <w:rPr>
          <w:b/>
          <w:bCs/>
          <w:sz w:val="28"/>
          <w:szCs w:val="28"/>
        </w:rPr>
      </w:pPr>
      <w:bookmarkStart w:id="52" w:name="_Toc22907"/>
      <w:bookmarkStart w:id="53" w:name="_Toc14940"/>
      <w:r>
        <w:rPr>
          <w:rFonts w:hint="eastAsia"/>
          <w:b/>
          <w:bCs/>
          <w:sz w:val="28"/>
          <w:szCs w:val="28"/>
          <w:lang w:eastAsia="zh-CN"/>
        </w:rPr>
        <w:t>投标人</w:t>
      </w:r>
      <w:r>
        <w:rPr>
          <w:b/>
          <w:bCs/>
          <w:sz w:val="28"/>
          <w:szCs w:val="28"/>
        </w:rPr>
        <w:t>须知前附表</w:t>
      </w:r>
      <w:bookmarkEnd w:id="52"/>
      <w:bookmarkEnd w:id="53"/>
    </w:p>
    <w:p/>
    <w:tbl>
      <w:tblPr>
        <w:tblStyle w:val="35"/>
        <w:tblW w:w="50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9"/>
        <w:gridCol w:w="762"/>
        <w:gridCol w:w="2291"/>
        <w:gridCol w:w="5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46" w:type="pct"/>
            <w:vAlign w:val="top"/>
          </w:tcPr>
          <w:p>
            <w:pPr>
              <w:spacing w:line="360" w:lineRule="auto"/>
              <w:jc w:val="center"/>
              <w:rPr>
                <w:color w:val="auto"/>
                <w:sz w:val="24"/>
                <w:szCs w:val="24"/>
                <w:highlight w:val="none"/>
              </w:rPr>
            </w:pPr>
            <w:r>
              <w:rPr>
                <w:color w:val="auto"/>
                <w:sz w:val="24"/>
                <w:szCs w:val="24"/>
                <w:highlight w:val="none"/>
              </w:rPr>
              <w:t>章节</w:t>
            </w:r>
          </w:p>
        </w:tc>
        <w:tc>
          <w:tcPr>
            <w:tcW w:w="387" w:type="pct"/>
            <w:vAlign w:val="top"/>
          </w:tcPr>
          <w:p>
            <w:pPr>
              <w:spacing w:line="360" w:lineRule="auto"/>
              <w:jc w:val="center"/>
              <w:rPr>
                <w:color w:val="auto"/>
                <w:sz w:val="24"/>
                <w:szCs w:val="24"/>
                <w:highlight w:val="none"/>
              </w:rPr>
            </w:pPr>
            <w:r>
              <w:rPr>
                <w:color w:val="auto"/>
                <w:sz w:val="24"/>
                <w:szCs w:val="24"/>
                <w:highlight w:val="none"/>
              </w:rPr>
              <w:t>条款号</w:t>
            </w:r>
          </w:p>
        </w:tc>
        <w:tc>
          <w:tcPr>
            <w:tcW w:w="1163" w:type="pct"/>
            <w:vAlign w:val="top"/>
          </w:tcPr>
          <w:p>
            <w:pPr>
              <w:spacing w:line="360" w:lineRule="auto"/>
              <w:jc w:val="center"/>
              <w:rPr>
                <w:color w:val="auto"/>
                <w:sz w:val="24"/>
                <w:szCs w:val="24"/>
                <w:highlight w:val="none"/>
              </w:rPr>
            </w:pPr>
            <w:r>
              <w:rPr>
                <w:color w:val="auto"/>
                <w:sz w:val="24"/>
                <w:szCs w:val="24"/>
                <w:highlight w:val="none"/>
              </w:rPr>
              <w:t>条款名称</w:t>
            </w:r>
          </w:p>
        </w:tc>
        <w:tc>
          <w:tcPr>
            <w:tcW w:w="3003" w:type="pct"/>
            <w:vAlign w:val="top"/>
          </w:tcPr>
          <w:p>
            <w:pPr>
              <w:spacing w:line="360" w:lineRule="auto"/>
              <w:jc w:val="center"/>
              <w:rPr>
                <w:color w:val="auto"/>
                <w:sz w:val="24"/>
                <w:szCs w:val="24"/>
                <w:highlight w:val="none"/>
              </w:rPr>
            </w:pPr>
            <w:r>
              <w:rPr>
                <w:color w:val="auto"/>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6" w:type="pct"/>
            <w:vMerge w:val="restart"/>
            <w:tcBorders>
              <w:bottom w:val="nil"/>
            </w:tcBorders>
            <w:textDirection w:val="tbRlV"/>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r>
              <w:rPr>
                <w:color w:val="auto"/>
                <w:sz w:val="24"/>
                <w:szCs w:val="24"/>
                <w:highlight w:val="none"/>
              </w:rPr>
              <w:t>第 一 章</w:t>
            </w:r>
          </w:p>
        </w:tc>
        <w:tc>
          <w:tcPr>
            <w:tcW w:w="387" w:type="pct"/>
            <w:vAlign w:val="top"/>
          </w:tcPr>
          <w:p>
            <w:pPr>
              <w:spacing w:line="240" w:lineRule="auto"/>
              <w:jc w:val="center"/>
              <w:rPr>
                <w:color w:val="auto"/>
                <w:sz w:val="24"/>
                <w:szCs w:val="24"/>
                <w:highlight w:val="none"/>
              </w:rPr>
            </w:pPr>
            <w:r>
              <w:rPr>
                <w:color w:val="auto"/>
                <w:sz w:val="24"/>
                <w:szCs w:val="24"/>
                <w:highlight w:val="none"/>
              </w:rPr>
              <w:t>1.2</w:t>
            </w:r>
          </w:p>
        </w:tc>
        <w:tc>
          <w:tcPr>
            <w:tcW w:w="1163" w:type="pct"/>
            <w:vAlign w:val="top"/>
          </w:tcPr>
          <w:p>
            <w:pPr>
              <w:spacing w:line="240" w:lineRule="auto"/>
              <w:jc w:val="center"/>
              <w:rPr>
                <w:color w:val="auto"/>
                <w:sz w:val="24"/>
                <w:szCs w:val="24"/>
                <w:highlight w:val="none"/>
              </w:rPr>
            </w:pPr>
            <w:r>
              <w:rPr>
                <w:color w:val="auto"/>
                <w:sz w:val="24"/>
                <w:szCs w:val="24"/>
                <w:highlight w:val="none"/>
              </w:rPr>
              <w:t>采购项目名称</w:t>
            </w:r>
          </w:p>
        </w:tc>
        <w:tc>
          <w:tcPr>
            <w:tcW w:w="3003" w:type="pct"/>
            <w:vAlign w:val="top"/>
          </w:tcPr>
          <w:p>
            <w:pPr>
              <w:spacing w:line="240" w:lineRule="auto"/>
              <w:rPr>
                <w:color w:val="auto"/>
                <w:sz w:val="24"/>
                <w:szCs w:val="24"/>
                <w:highlight w:val="none"/>
              </w:rPr>
            </w:pPr>
            <w:r>
              <w:rPr>
                <w:color w:val="auto"/>
                <w:sz w:val="24"/>
                <w:szCs w:val="24"/>
                <w:highlight w:val="none"/>
              </w:rPr>
              <w:t>见“第一章</w:t>
            </w:r>
            <w:r>
              <w:rPr>
                <w:rFonts w:hint="eastAsia"/>
                <w:color w:val="auto"/>
                <w:sz w:val="24"/>
                <w:szCs w:val="24"/>
                <w:highlight w:val="none"/>
                <w:lang w:eastAsia="zh-CN"/>
              </w:rPr>
              <w:t>招标公告</w:t>
            </w:r>
            <w:r>
              <w:rPr>
                <w:color w:val="auto"/>
                <w:sz w:val="24"/>
                <w:szCs w:val="24"/>
                <w:highlight w:val="none"/>
              </w:rPr>
              <w:t>”相应条款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r>
              <w:rPr>
                <w:color w:val="auto"/>
                <w:sz w:val="24"/>
                <w:szCs w:val="24"/>
                <w:highlight w:val="none"/>
              </w:rPr>
              <w:t>1.1</w:t>
            </w:r>
          </w:p>
        </w:tc>
        <w:tc>
          <w:tcPr>
            <w:tcW w:w="1163" w:type="pct"/>
            <w:vAlign w:val="top"/>
          </w:tcPr>
          <w:p>
            <w:pPr>
              <w:spacing w:line="240" w:lineRule="auto"/>
              <w:jc w:val="center"/>
              <w:rPr>
                <w:color w:val="auto"/>
                <w:sz w:val="24"/>
                <w:szCs w:val="24"/>
                <w:highlight w:val="none"/>
              </w:rPr>
            </w:pPr>
            <w:r>
              <w:rPr>
                <w:color w:val="auto"/>
                <w:sz w:val="24"/>
                <w:szCs w:val="24"/>
                <w:highlight w:val="none"/>
              </w:rPr>
              <w:t>项目编号</w:t>
            </w:r>
          </w:p>
        </w:tc>
        <w:tc>
          <w:tcPr>
            <w:tcW w:w="3003" w:type="pct"/>
            <w:vAlign w:val="top"/>
          </w:tcPr>
          <w:p>
            <w:pPr>
              <w:spacing w:line="240" w:lineRule="auto"/>
              <w:rPr>
                <w:color w:val="auto"/>
                <w:sz w:val="24"/>
                <w:szCs w:val="24"/>
                <w:highlight w:val="none"/>
              </w:rPr>
            </w:pPr>
            <w:r>
              <w:rPr>
                <w:rFonts w:hint="eastAsia"/>
                <w:color w:val="auto"/>
                <w:sz w:val="24"/>
                <w:szCs w:val="24"/>
                <w:highlight w:val="none"/>
              </w:rPr>
              <w:t>安文招标采购-2025-6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r>
              <w:rPr>
                <w:color w:val="auto"/>
                <w:sz w:val="24"/>
                <w:szCs w:val="24"/>
                <w:highlight w:val="none"/>
              </w:rPr>
              <w:t>1.3</w:t>
            </w:r>
          </w:p>
        </w:tc>
        <w:tc>
          <w:tcPr>
            <w:tcW w:w="1163" w:type="pct"/>
            <w:vAlign w:val="top"/>
          </w:tcPr>
          <w:p>
            <w:pPr>
              <w:spacing w:line="240" w:lineRule="auto"/>
              <w:jc w:val="center"/>
              <w:rPr>
                <w:color w:val="auto"/>
                <w:sz w:val="24"/>
                <w:szCs w:val="24"/>
                <w:highlight w:val="none"/>
              </w:rPr>
            </w:pPr>
            <w:r>
              <w:rPr>
                <w:color w:val="auto"/>
                <w:sz w:val="24"/>
                <w:szCs w:val="24"/>
                <w:highlight w:val="none"/>
              </w:rPr>
              <w:t>采购方式</w:t>
            </w:r>
          </w:p>
        </w:tc>
        <w:tc>
          <w:tcPr>
            <w:tcW w:w="3003" w:type="pct"/>
            <w:vAlign w:val="top"/>
          </w:tcPr>
          <w:p>
            <w:pPr>
              <w:spacing w:line="240" w:lineRule="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r>
              <w:rPr>
                <w:color w:val="auto"/>
                <w:sz w:val="24"/>
                <w:szCs w:val="24"/>
                <w:highlight w:val="none"/>
              </w:rPr>
              <w:t>1.4</w:t>
            </w:r>
          </w:p>
        </w:tc>
        <w:tc>
          <w:tcPr>
            <w:tcW w:w="1163"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r>
              <w:rPr>
                <w:color w:val="auto"/>
                <w:sz w:val="24"/>
                <w:szCs w:val="24"/>
                <w:highlight w:val="none"/>
              </w:rPr>
              <w:t>预算金额</w:t>
            </w:r>
          </w:p>
        </w:tc>
        <w:tc>
          <w:tcPr>
            <w:tcW w:w="3003" w:type="pct"/>
            <w:vAlign w:val="top"/>
          </w:tcPr>
          <w:p>
            <w:pPr>
              <w:spacing w:line="360" w:lineRule="auto"/>
              <w:rPr>
                <w:color w:val="auto"/>
                <w:sz w:val="24"/>
                <w:szCs w:val="24"/>
                <w:highlight w:val="none"/>
              </w:rPr>
            </w:pPr>
            <w:r>
              <w:rPr>
                <w:color w:val="auto"/>
                <w:sz w:val="24"/>
                <w:szCs w:val="24"/>
                <w:highlight w:val="none"/>
              </w:rPr>
              <w:t>见“第一章</w:t>
            </w:r>
            <w:r>
              <w:rPr>
                <w:rFonts w:hint="eastAsia"/>
                <w:color w:val="auto"/>
                <w:sz w:val="24"/>
                <w:szCs w:val="24"/>
                <w:highlight w:val="none"/>
                <w:lang w:eastAsia="zh-CN"/>
              </w:rPr>
              <w:t>招标公告</w:t>
            </w:r>
            <w:r>
              <w:rPr>
                <w:color w:val="auto"/>
                <w:sz w:val="24"/>
                <w:szCs w:val="24"/>
                <w:highlight w:val="none"/>
              </w:rPr>
              <w:t>”相应条款。</w:t>
            </w:r>
          </w:p>
          <w:p>
            <w:pPr>
              <w:spacing w:line="360" w:lineRule="auto"/>
              <w:rPr>
                <w:color w:val="auto"/>
                <w:sz w:val="24"/>
                <w:szCs w:val="24"/>
                <w:highlight w:val="none"/>
              </w:rPr>
            </w:pPr>
            <w:r>
              <w:rPr>
                <w:b/>
                <w:bCs/>
                <w:color w:val="auto"/>
                <w:sz w:val="24"/>
                <w:szCs w:val="24"/>
                <w:highlight w:val="none"/>
              </w:rPr>
              <w:t>注：</w:t>
            </w:r>
            <w:r>
              <w:rPr>
                <w:rFonts w:hint="eastAsia"/>
                <w:b/>
                <w:bCs/>
                <w:color w:val="auto"/>
                <w:sz w:val="24"/>
                <w:szCs w:val="24"/>
                <w:highlight w:val="none"/>
                <w:lang w:eastAsia="zh-CN"/>
              </w:rPr>
              <w:t>投标人</w:t>
            </w:r>
            <w:r>
              <w:rPr>
                <w:b/>
                <w:bCs/>
                <w:color w:val="auto"/>
                <w:sz w:val="24"/>
                <w:szCs w:val="24"/>
                <w:highlight w:val="none"/>
              </w:rPr>
              <w:t>的</w:t>
            </w:r>
            <w:r>
              <w:rPr>
                <w:rFonts w:hint="eastAsia"/>
                <w:b/>
                <w:bCs/>
                <w:color w:val="auto"/>
                <w:sz w:val="24"/>
                <w:szCs w:val="24"/>
                <w:highlight w:val="none"/>
                <w:lang w:val="en-US" w:eastAsia="zh-CN"/>
              </w:rPr>
              <w:t>投标</w:t>
            </w:r>
            <w:r>
              <w:rPr>
                <w:b/>
                <w:bCs/>
                <w:color w:val="auto"/>
                <w:sz w:val="24"/>
                <w:szCs w:val="24"/>
                <w:highlight w:val="none"/>
              </w:rPr>
              <w:t>报价未超过预算金额的不足三家时</w:t>
            </w:r>
            <w:r>
              <w:rPr>
                <w:rFonts w:hint="eastAsia"/>
                <w:b/>
                <w:bCs/>
                <w:color w:val="auto"/>
                <w:sz w:val="24"/>
                <w:szCs w:val="24"/>
                <w:highlight w:val="none"/>
                <w:lang w:val="en-US" w:eastAsia="zh-CN"/>
              </w:rPr>
              <w:t>,</w:t>
            </w:r>
            <w:r>
              <w:rPr>
                <w:b/>
                <w:bCs/>
                <w:color w:val="auto"/>
                <w:sz w:val="24"/>
                <w:szCs w:val="24"/>
                <w:highlight w:val="none"/>
              </w:rPr>
              <w:t>该项目（标段&lt;包&gt;）终止。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w:t>
            </w:r>
          </w:p>
        </w:tc>
        <w:tc>
          <w:tcPr>
            <w:tcW w:w="1163" w:type="pct"/>
            <w:vAlign w:val="top"/>
          </w:tcPr>
          <w:p>
            <w:pPr>
              <w:spacing w:line="360" w:lineRule="auto"/>
              <w:jc w:val="center"/>
              <w:rPr>
                <w:color w:val="auto"/>
                <w:sz w:val="24"/>
                <w:szCs w:val="24"/>
                <w:highlight w:val="none"/>
              </w:rPr>
            </w:pPr>
            <w:r>
              <w:rPr>
                <w:color w:val="auto"/>
                <w:sz w:val="24"/>
                <w:szCs w:val="24"/>
                <w:highlight w:val="none"/>
              </w:rPr>
              <w:t>申请人的资格要求及相关证明材料要求</w:t>
            </w:r>
          </w:p>
        </w:tc>
        <w:tc>
          <w:tcPr>
            <w:tcW w:w="3003" w:type="pct"/>
            <w:vAlign w:val="top"/>
          </w:tcPr>
          <w:p>
            <w:pPr>
              <w:spacing w:line="240" w:lineRule="auto"/>
              <w:jc w:val="left"/>
              <w:rPr>
                <w:color w:val="auto"/>
                <w:sz w:val="24"/>
                <w:szCs w:val="24"/>
                <w:highlight w:val="none"/>
              </w:rPr>
            </w:pPr>
          </w:p>
          <w:p>
            <w:pPr>
              <w:spacing w:line="240" w:lineRule="auto"/>
              <w:jc w:val="left"/>
              <w:rPr>
                <w:color w:val="auto"/>
                <w:sz w:val="24"/>
                <w:szCs w:val="24"/>
                <w:highlight w:val="none"/>
              </w:rPr>
            </w:pPr>
            <w:r>
              <w:rPr>
                <w:color w:val="auto"/>
                <w:sz w:val="24"/>
                <w:szCs w:val="24"/>
                <w:highlight w:val="none"/>
              </w:rPr>
              <w:t>见“第一章</w:t>
            </w:r>
            <w:r>
              <w:rPr>
                <w:rFonts w:hint="eastAsia"/>
                <w:color w:val="auto"/>
                <w:sz w:val="24"/>
                <w:szCs w:val="24"/>
                <w:highlight w:val="none"/>
                <w:lang w:eastAsia="zh-CN"/>
              </w:rPr>
              <w:t>招标公告</w:t>
            </w:r>
            <w:r>
              <w:rPr>
                <w:color w:val="auto"/>
                <w:sz w:val="24"/>
                <w:szCs w:val="24"/>
                <w:highlight w:val="none"/>
              </w:rPr>
              <w:t>”相应条款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8.1</w:t>
            </w:r>
          </w:p>
        </w:tc>
        <w:tc>
          <w:tcPr>
            <w:tcW w:w="1163" w:type="pct"/>
            <w:vAlign w:val="top"/>
          </w:tcPr>
          <w:p>
            <w:pPr>
              <w:spacing w:line="360" w:lineRule="auto"/>
              <w:jc w:val="center"/>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采购人</w:t>
            </w:r>
          </w:p>
        </w:tc>
        <w:tc>
          <w:tcPr>
            <w:tcW w:w="3003" w:type="pct"/>
            <w:vAlign w:val="top"/>
          </w:tcPr>
          <w:p>
            <w:pPr>
              <w:spacing w:line="360" w:lineRule="auto"/>
              <w:rPr>
                <w:color w:val="auto"/>
                <w:sz w:val="24"/>
                <w:szCs w:val="24"/>
                <w:highlight w:val="none"/>
              </w:rPr>
            </w:pPr>
            <w:r>
              <w:rPr>
                <w:color w:val="auto"/>
                <w:sz w:val="24"/>
                <w:szCs w:val="24"/>
                <w:highlight w:val="none"/>
              </w:rPr>
              <w:t>见“第一章</w:t>
            </w:r>
            <w:r>
              <w:rPr>
                <w:rFonts w:hint="eastAsia"/>
                <w:color w:val="auto"/>
                <w:sz w:val="24"/>
                <w:szCs w:val="24"/>
                <w:highlight w:val="none"/>
                <w:lang w:eastAsia="zh-CN"/>
              </w:rPr>
              <w:t>招标公告</w:t>
            </w:r>
            <w:r>
              <w:rPr>
                <w:color w:val="auto"/>
                <w:sz w:val="24"/>
                <w:szCs w:val="24"/>
                <w:highlight w:val="none"/>
              </w:rPr>
              <w:t>”相应条款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6" w:type="pct"/>
            <w:vMerge w:val="continue"/>
            <w:tcBorders>
              <w:top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8.2</w:t>
            </w:r>
          </w:p>
        </w:tc>
        <w:tc>
          <w:tcPr>
            <w:tcW w:w="1163" w:type="pct"/>
            <w:vAlign w:val="top"/>
          </w:tcPr>
          <w:p>
            <w:pPr>
              <w:spacing w:line="360" w:lineRule="auto"/>
              <w:jc w:val="center"/>
              <w:rPr>
                <w:color w:val="auto"/>
                <w:sz w:val="24"/>
                <w:szCs w:val="24"/>
                <w:highlight w:val="none"/>
              </w:rPr>
            </w:pPr>
            <w:r>
              <w:rPr>
                <w:rFonts w:hint="eastAsia"/>
                <w:color w:val="auto"/>
                <w:sz w:val="24"/>
                <w:szCs w:val="24"/>
                <w:highlight w:val="none"/>
                <w:lang w:val="en-US" w:eastAsia="zh-CN"/>
              </w:rPr>
              <w:t>采购</w:t>
            </w:r>
            <w:r>
              <w:rPr>
                <w:color w:val="auto"/>
                <w:sz w:val="24"/>
                <w:szCs w:val="24"/>
                <w:highlight w:val="none"/>
              </w:rPr>
              <w:t>代理机构</w:t>
            </w:r>
          </w:p>
        </w:tc>
        <w:tc>
          <w:tcPr>
            <w:tcW w:w="3003" w:type="pct"/>
            <w:vAlign w:val="top"/>
          </w:tcPr>
          <w:p>
            <w:pPr>
              <w:spacing w:line="360" w:lineRule="auto"/>
              <w:rPr>
                <w:color w:val="auto"/>
                <w:sz w:val="24"/>
                <w:szCs w:val="24"/>
                <w:highlight w:val="none"/>
              </w:rPr>
            </w:pPr>
            <w:r>
              <w:rPr>
                <w:color w:val="auto"/>
                <w:sz w:val="24"/>
                <w:szCs w:val="24"/>
                <w:highlight w:val="none"/>
              </w:rPr>
              <w:t>见“第一章</w:t>
            </w:r>
            <w:r>
              <w:rPr>
                <w:rFonts w:hint="eastAsia"/>
                <w:color w:val="auto"/>
                <w:sz w:val="24"/>
                <w:szCs w:val="24"/>
                <w:highlight w:val="none"/>
                <w:lang w:eastAsia="zh-CN"/>
              </w:rPr>
              <w:t>招标公告</w:t>
            </w:r>
            <w:r>
              <w:rPr>
                <w:color w:val="auto"/>
                <w:sz w:val="24"/>
                <w:szCs w:val="24"/>
                <w:highlight w:val="none"/>
              </w:rPr>
              <w:t>”相应条款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6" w:type="pct"/>
            <w:vMerge w:val="restart"/>
            <w:tcBorders>
              <w:bottom w:val="nil"/>
            </w:tcBorders>
            <w:textDirection w:val="tbRlV"/>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r>
              <w:rPr>
                <w:color w:val="auto"/>
                <w:sz w:val="24"/>
                <w:szCs w:val="24"/>
                <w:highlight w:val="none"/>
              </w:rPr>
              <w:t>第 二 章</w:t>
            </w:r>
          </w:p>
        </w:tc>
        <w:tc>
          <w:tcPr>
            <w:tcW w:w="387" w:type="pct"/>
            <w:vAlign w:val="top"/>
          </w:tcPr>
          <w:p>
            <w:pPr>
              <w:spacing w:line="360" w:lineRule="auto"/>
              <w:jc w:val="center"/>
              <w:rPr>
                <w:color w:val="auto"/>
                <w:sz w:val="24"/>
                <w:szCs w:val="24"/>
                <w:highlight w:val="none"/>
              </w:rPr>
            </w:pPr>
            <w:r>
              <w:rPr>
                <w:color w:val="auto"/>
                <w:sz w:val="24"/>
                <w:szCs w:val="24"/>
                <w:highlight w:val="none"/>
              </w:rPr>
              <w:t>1.2</w:t>
            </w:r>
          </w:p>
        </w:tc>
        <w:tc>
          <w:tcPr>
            <w:tcW w:w="1163" w:type="pct"/>
            <w:vAlign w:val="top"/>
          </w:tcPr>
          <w:p>
            <w:pPr>
              <w:spacing w:line="360" w:lineRule="auto"/>
              <w:jc w:val="center"/>
              <w:rPr>
                <w:color w:val="auto"/>
                <w:sz w:val="24"/>
                <w:szCs w:val="24"/>
                <w:highlight w:val="none"/>
              </w:rPr>
            </w:pPr>
            <w:r>
              <w:rPr>
                <w:color w:val="auto"/>
                <w:sz w:val="24"/>
                <w:szCs w:val="24"/>
                <w:highlight w:val="none"/>
              </w:rPr>
              <w:t>标段（包）划分</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1.2</w:t>
            </w:r>
          </w:p>
        </w:tc>
        <w:tc>
          <w:tcPr>
            <w:tcW w:w="1163" w:type="pct"/>
            <w:vAlign w:val="top"/>
          </w:tcPr>
          <w:p>
            <w:pPr>
              <w:spacing w:line="360" w:lineRule="auto"/>
              <w:jc w:val="center"/>
              <w:rPr>
                <w:rFonts w:hint="eastAsia" w:eastAsiaTheme="minorEastAsia"/>
                <w:color w:val="auto"/>
                <w:sz w:val="24"/>
                <w:szCs w:val="24"/>
                <w:highlight w:val="none"/>
                <w:lang w:eastAsia="zh-CN"/>
              </w:rPr>
            </w:pPr>
            <w:r>
              <w:rPr>
                <w:rFonts w:hint="eastAsia"/>
                <w:color w:val="auto"/>
                <w:sz w:val="24"/>
                <w:szCs w:val="24"/>
                <w:highlight w:val="none"/>
                <w:lang w:val="en-US" w:eastAsia="zh-CN"/>
              </w:rPr>
              <w:t>交付期</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1.2</w:t>
            </w:r>
          </w:p>
        </w:tc>
        <w:tc>
          <w:tcPr>
            <w:tcW w:w="1163" w:type="pct"/>
            <w:vAlign w:val="top"/>
          </w:tcPr>
          <w:p>
            <w:pPr>
              <w:spacing w:line="360" w:lineRule="auto"/>
              <w:jc w:val="center"/>
              <w:rPr>
                <w:rFonts w:hint="eastAsia" w:eastAsiaTheme="minorEastAsia"/>
                <w:color w:val="auto"/>
                <w:sz w:val="24"/>
                <w:szCs w:val="24"/>
                <w:highlight w:val="none"/>
                <w:lang w:eastAsia="zh-CN"/>
              </w:rPr>
            </w:pPr>
            <w:r>
              <w:rPr>
                <w:rFonts w:hint="eastAsia"/>
                <w:color w:val="auto"/>
                <w:sz w:val="24"/>
                <w:szCs w:val="24"/>
                <w:highlight w:val="none"/>
                <w:lang w:val="en-US" w:eastAsia="zh-CN"/>
              </w:rPr>
              <w:t>交付地</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1.3</w:t>
            </w:r>
          </w:p>
        </w:tc>
        <w:tc>
          <w:tcPr>
            <w:tcW w:w="1163" w:type="pct"/>
            <w:vAlign w:val="top"/>
          </w:tcPr>
          <w:p>
            <w:pPr>
              <w:spacing w:line="360" w:lineRule="auto"/>
              <w:jc w:val="center"/>
              <w:rPr>
                <w:color w:val="auto"/>
                <w:sz w:val="24"/>
                <w:szCs w:val="24"/>
                <w:highlight w:val="none"/>
              </w:rPr>
            </w:pPr>
            <w:r>
              <w:rPr>
                <w:rFonts w:hint="eastAsia"/>
                <w:color w:val="auto"/>
                <w:sz w:val="24"/>
                <w:szCs w:val="24"/>
                <w:highlight w:val="none"/>
                <w:lang w:val="en-US" w:eastAsia="zh-CN"/>
              </w:rPr>
              <w:t>投标</w:t>
            </w:r>
            <w:r>
              <w:rPr>
                <w:color w:val="auto"/>
                <w:sz w:val="24"/>
                <w:szCs w:val="24"/>
                <w:highlight w:val="none"/>
              </w:rPr>
              <w:t>报价</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w:t>
            </w:r>
          </w:p>
        </w:tc>
        <w:tc>
          <w:tcPr>
            <w:tcW w:w="1163" w:type="pct"/>
            <w:vAlign w:val="top"/>
          </w:tcPr>
          <w:p>
            <w:pPr>
              <w:spacing w:line="360" w:lineRule="auto"/>
              <w:jc w:val="center"/>
              <w:rPr>
                <w:color w:val="auto"/>
                <w:sz w:val="24"/>
                <w:szCs w:val="24"/>
                <w:highlight w:val="none"/>
              </w:rPr>
            </w:pPr>
            <w:r>
              <w:rPr>
                <w:color w:val="auto"/>
                <w:sz w:val="24"/>
                <w:szCs w:val="24"/>
                <w:highlight w:val="none"/>
              </w:rPr>
              <w:t>标段（包）内容（范围）及</w:t>
            </w:r>
            <w:r>
              <w:rPr>
                <w:rFonts w:hint="eastAsia"/>
                <w:color w:val="auto"/>
                <w:sz w:val="24"/>
                <w:szCs w:val="24"/>
                <w:highlight w:val="none"/>
                <w:lang w:val="en-US" w:eastAsia="zh-CN"/>
              </w:rPr>
              <w:t>采购需</w:t>
            </w:r>
            <w:r>
              <w:rPr>
                <w:color w:val="auto"/>
                <w:sz w:val="24"/>
                <w:szCs w:val="24"/>
                <w:highlight w:val="none"/>
              </w:rPr>
              <w:t>求</w:t>
            </w:r>
          </w:p>
        </w:tc>
        <w:tc>
          <w:tcPr>
            <w:tcW w:w="3003" w:type="pct"/>
            <w:vAlign w:val="top"/>
          </w:tcPr>
          <w:p>
            <w:pPr>
              <w:spacing w:line="240" w:lineRule="auto"/>
              <w:rPr>
                <w:color w:val="auto"/>
                <w:sz w:val="24"/>
                <w:szCs w:val="24"/>
                <w:highlight w:val="none"/>
              </w:rPr>
            </w:pPr>
          </w:p>
          <w:p>
            <w:pPr>
              <w:spacing w:line="24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46" w:type="pct"/>
            <w:vMerge w:val="continue"/>
            <w:tcBorders>
              <w:top w:val="nil"/>
              <w:bottom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2.7</w:t>
            </w:r>
          </w:p>
        </w:tc>
        <w:tc>
          <w:tcPr>
            <w:tcW w:w="1163" w:type="pct"/>
            <w:vAlign w:val="top"/>
          </w:tcPr>
          <w:p>
            <w:pPr>
              <w:spacing w:line="360" w:lineRule="auto"/>
              <w:jc w:val="center"/>
              <w:rPr>
                <w:color w:val="auto"/>
                <w:sz w:val="24"/>
                <w:szCs w:val="24"/>
                <w:highlight w:val="none"/>
              </w:rPr>
            </w:pPr>
            <w:r>
              <w:rPr>
                <w:color w:val="auto"/>
                <w:sz w:val="24"/>
                <w:szCs w:val="24"/>
                <w:highlight w:val="none"/>
              </w:rPr>
              <w:t>技术偏离</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6" w:type="pct"/>
            <w:vMerge w:val="continue"/>
            <w:tcBorders>
              <w:top w:val="nil"/>
            </w:tcBorders>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2.8</w:t>
            </w:r>
          </w:p>
        </w:tc>
        <w:tc>
          <w:tcPr>
            <w:tcW w:w="1163" w:type="pct"/>
            <w:vAlign w:val="top"/>
          </w:tcPr>
          <w:p>
            <w:pPr>
              <w:spacing w:line="360" w:lineRule="auto"/>
              <w:jc w:val="center"/>
              <w:rPr>
                <w:color w:val="auto"/>
                <w:sz w:val="24"/>
                <w:szCs w:val="24"/>
                <w:highlight w:val="none"/>
              </w:rPr>
            </w:pPr>
            <w:r>
              <w:rPr>
                <w:color w:val="auto"/>
                <w:sz w:val="24"/>
                <w:szCs w:val="24"/>
                <w:highlight w:val="none"/>
              </w:rPr>
              <w:t>售后服务</w:t>
            </w:r>
          </w:p>
        </w:tc>
        <w:tc>
          <w:tcPr>
            <w:tcW w:w="3003" w:type="pct"/>
            <w:vAlign w:val="top"/>
          </w:tcPr>
          <w:p>
            <w:pPr>
              <w:spacing w:line="360" w:lineRule="auto"/>
              <w:rPr>
                <w:color w:val="auto"/>
                <w:sz w:val="24"/>
                <w:szCs w:val="24"/>
                <w:highlight w:val="none"/>
              </w:rPr>
            </w:pPr>
            <w:r>
              <w:rPr>
                <w:color w:val="auto"/>
                <w:sz w:val="24"/>
                <w:szCs w:val="24"/>
                <w:highlight w:val="none"/>
              </w:rPr>
              <w:t>见“第二章招标项目要求及采购需求”相应条款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46" w:type="pct"/>
            <w:vMerge w:val="restart"/>
            <w:textDirection w:val="tbRlV"/>
            <w:vAlign w:val="top"/>
          </w:tcPr>
          <w:p>
            <w:pPr>
              <w:spacing w:line="360" w:lineRule="auto"/>
              <w:jc w:val="center"/>
              <w:rPr>
                <w:rFonts w:hint="eastAsia"/>
                <w:color w:val="auto"/>
                <w:sz w:val="24"/>
                <w:szCs w:val="24"/>
                <w:highlight w:val="none"/>
                <w:lang w:val="en-US" w:eastAsia="zh-CN"/>
              </w:rPr>
            </w:pPr>
          </w:p>
          <w:p>
            <w:pPr>
              <w:spacing w:line="360" w:lineRule="auto"/>
              <w:jc w:val="center"/>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第三章</w:t>
            </w:r>
          </w:p>
        </w:tc>
        <w:tc>
          <w:tcPr>
            <w:tcW w:w="387" w:type="pct"/>
            <w:vAlign w:val="top"/>
          </w:tcPr>
          <w:p>
            <w:pPr>
              <w:spacing w:line="360" w:lineRule="auto"/>
              <w:jc w:val="center"/>
              <w:rPr>
                <w:color w:val="auto"/>
                <w:sz w:val="24"/>
                <w:szCs w:val="24"/>
                <w:highlight w:val="none"/>
              </w:rPr>
            </w:pPr>
            <w:r>
              <w:rPr>
                <w:color w:val="auto"/>
                <w:sz w:val="24"/>
                <w:szCs w:val="24"/>
                <w:highlight w:val="none"/>
              </w:rPr>
              <w:t>1.4</w:t>
            </w:r>
          </w:p>
        </w:tc>
        <w:tc>
          <w:tcPr>
            <w:tcW w:w="1163" w:type="pct"/>
            <w:vAlign w:val="top"/>
          </w:tcPr>
          <w:p>
            <w:pPr>
              <w:spacing w:line="360" w:lineRule="auto"/>
              <w:jc w:val="center"/>
              <w:rPr>
                <w:color w:val="auto"/>
                <w:sz w:val="24"/>
                <w:szCs w:val="24"/>
                <w:highlight w:val="none"/>
              </w:rPr>
            </w:pPr>
            <w:r>
              <w:rPr>
                <w:color w:val="auto"/>
                <w:sz w:val="24"/>
                <w:szCs w:val="24"/>
                <w:highlight w:val="none"/>
              </w:rPr>
              <w:t>联合体投标</w:t>
            </w:r>
          </w:p>
        </w:tc>
        <w:tc>
          <w:tcPr>
            <w:tcW w:w="3003" w:type="pct"/>
            <w:vAlign w:val="top"/>
          </w:tcPr>
          <w:p>
            <w:pPr>
              <w:spacing w:line="360" w:lineRule="auto"/>
              <w:rPr>
                <w:color w:val="auto"/>
                <w:sz w:val="24"/>
                <w:szCs w:val="24"/>
                <w:highlight w:val="none"/>
              </w:rPr>
            </w:pPr>
            <w:r>
              <w:rPr>
                <w:color w:val="auto"/>
                <w:sz w:val="24"/>
                <w:szCs w:val="24"/>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1.10</w:t>
            </w:r>
          </w:p>
        </w:tc>
        <w:tc>
          <w:tcPr>
            <w:tcW w:w="1163" w:type="pct"/>
            <w:vAlign w:val="top"/>
          </w:tcPr>
          <w:p>
            <w:pPr>
              <w:spacing w:line="360" w:lineRule="auto"/>
              <w:jc w:val="center"/>
              <w:rPr>
                <w:color w:val="auto"/>
                <w:sz w:val="24"/>
                <w:szCs w:val="24"/>
                <w:highlight w:val="none"/>
              </w:rPr>
            </w:pPr>
            <w:r>
              <w:rPr>
                <w:color w:val="auto"/>
                <w:sz w:val="24"/>
                <w:szCs w:val="24"/>
                <w:highlight w:val="none"/>
              </w:rPr>
              <w:t>踏勘现场</w:t>
            </w:r>
          </w:p>
        </w:tc>
        <w:tc>
          <w:tcPr>
            <w:tcW w:w="3003" w:type="pct"/>
            <w:vAlign w:val="top"/>
          </w:tcPr>
          <w:p>
            <w:pPr>
              <w:spacing w:line="360" w:lineRule="auto"/>
              <w:rPr>
                <w:color w:val="auto"/>
                <w:sz w:val="24"/>
                <w:szCs w:val="24"/>
                <w:highlight w:val="none"/>
              </w:rPr>
            </w:pPr>
            <w:r>
              <w:rPr>
                <w:color w:val="auto"/>
                <w:sz w:val="24"/>
                <w:szCs w:val="24"/>
                <w:highlight w:val="none"/>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1.11</w:t>
            </w:r>
          </w:p>
        </w:tc>
        <w:tc>
          <w:tcPr>
            <w:tcW w:w="1163" w:type="pct"/>
            <w:vAlign w:val="top"/>
          </w:tcPr>
          <w:p>
            <w:pPr>
              <w:spacing w:line="360" w:lineRule="auto"/>
              <w:jc w:val="center"/>
              <w:rPr>
                <w:color w:val="auto"/>
                <w:sz w:val="24"/>
                <w:szCs w:val="24"/>
                <w:highlight w:val="none"/>
              </w:rPr>
            </w:pPr>
            <w:r>
              <w:rPr>
                <w:color w:val="auto"/>
                <w:sz w:val="24"/>
                <w:szCs w:val="24"/>
                <w:highlight w:val="none"/>
              </w:rPr>
              <w:t>投标预备会</w:t>
            </w:r>
          </w:p>
        </w:tc>
        <w:tc>
          <w:tcPr>
            <w:tcW w:w="3003" w:type="pct"/>
            <w:vAlign w:val="top"/>
          </w:tcPr>
          <w:p>
            <w:pPr>
              <w:spacing w:line="360" w:lineRule="auto"/>
              <w:rPr>
                <w:color w:val="auto"/>
                <w:sz w:val="24"/>
                <w:szCs w:val="24"/>
                <w:highlight w:val="none"/>
              </w:rPr>
            </w:pPr>
            <w:r>
              <w:rPr>
                <w:color w:val="auto"/>
                <w:sz w:val="24"/>
                <w:szCs w:val="24"/>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r>
              <w:rPr>
                <w:color w:val="auto"/>
                <w:sz w:val="24"/>
                <w:szCs w:val="24"/>
                <w:highlight w:val="none"/>
              </w:rPr>
              <w:t>1.12</w:t>
            </w:r>
          </w:p>
        </w:tc>
        <w:tc>
          <w:tcPr>
            <w:tcW w:w="1163" w:type="pct"/>
            <w:vAlign w:val="top"/>
          </w:tcPr>
          <w:p>
            <w:pPr>
              <w:spacing w:line="360" w:lineRule="auto"/>
              <w:jc w:val="center"/>
              <w:rPr>
                <w:color w:val="auto"/>
                <w:sz w:val="24"/>
                <w:szCs w:val="24"/>
                <w:highlight w:val="none"/>
              </w:rPr>
            </w:pPr>
            <w:r>
              <w:rPr>
                <w:color w:val="auto"/>
                <w:sz w:val="24"/>
                <w:szCs w:val="24"/>
                <w:highlight w:val="none"/>
              </w:rPr>
              <w:t>分包</w:t>
            </w:r>
          </w:p>
        </w:tc>
        <w:tc>
          <w:tcPr>
            <w:tcW w:w="3003" w:type="pct"/>
            <w:vAlign w:val="top"/>
          </w:tcPr>
          <w:p>
            <w:pPr>
              <w:spacing w:line="360" w:lineRule="auto"/>
              <w:rPr>
                <w:color w:val="auto"/>
                <w:sz w:val="24"/>
                <w:szCs w:val="24"/>
                <w:highlight w:val="none"/>
              </w:rPr>
            </w:pPr>
            <w:r>
              <w:rPr>
                <w:color w:val="auto"/>
                <w:sz w:val="24"/>
                <w:szCs w:val="24"/>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2.1</w:t>
            </w:r>
          </w:p>
        </w:tc>
        <w:tc>
          <w:tcPr>
            <w:tcW w:w="1163" w:type="pct"/>
            <w:vAlign w:val="top"/>
          </w:tcPr>
          <w:p>
            <w:pPr>
              <w:spacing w:line="360" w:lineRule="auto"/>
              <w:jc w:val="center"/>
              <w:rPr>
                <w:color w:val="auto"/>
                <w:sz w:val="24"/>
                <w:szCs w:val="24"/>
                <w:highlight w:val="none"/>
              </w:rPr>
            </w:pPr>
            <w:r>
              <w:rPr>
                <w:rFonts w:hint="eastAsia"/>
                <w:color w:val="auto"/>
                <w:sz w:val="24"/>
                <w:szCs w:val="24"/>
                <w:highlight w:val="none"/>
                <w:lang w:val="en-US" w:eastAsia="zh-CN"/>
              </w:rPr>
              <w:t xml:space="preserve"> </w:t>
            </w:r>
            <w:r>
              <w:rPr>
                <w:color w:val="auto"/>
                <w:sz w:val="24"/>
                <w:szCs w:val="24"/>
                <w:highlight w:val="none"/>
              </w:rPr>
              <w:t>构成《</w:t>
            </w:r>
            <w:r>
              <w:rPr>
                <w:rFonts w:hint="eastAsia"/>
                <w:color w:val="auto"/>
                <w:sz w:val="24"/>
                <w:szCs w:val="24"/>
                <w:highlight w:val="none"/>
                <w:lang w:val="en-US" w:eastAsia="zh-CN"/>
              </w:rPr>
              <w:t>招标</w:t>
            </w:r>
            <w:r>
              <w:rPr>
                <w:color w:val="auto"/>
                <w:sz w:val="24"/>
                <w:szCs w:val="24"/>
                <w:highlight w:val="none"/>
              </w:rPr>
              <w:t>文件》 的</w:t>
            </w:r>
          </w:p>
          <w:p>
            <w:pPr>
              <w:spacing w:line="360" w:lineRule="auto"/>
              <w:jc w:val="center"/>
              <w:rPr>
                <w:color w:val="auto"/>
                <w:sz w:val="24"/>
                <w:szCs w:val="24"/>
                <w:highlight w:val="none"/>
              </w:rPr>
            </w:pPr>
            <w:r>
              <w:rPr>
                <w:color w:val="auto"/>
                <w:sz w:val="24"/>
                <w:szCs w:val="24"/>
                <w:highlight w:val="none"/>
              </w:rPr>
              <w:t>其他材料</w:t>
            </w:r>
          </w:p>
        </w:tc>
        <w:tc>
          <w:tcPr>
            <w:tcW w:w="3003" w:type="pct"/>
            <w:vAlign w:val="top"/>
          </w:tcPr>
          <w:p>
            <w:pPr>
              <w:spacing w:line="240" w:lineRule="auto"/>
              <w:rPr>
                <w:color w:val="auto"/>
                <w:sz w:val="24"/>
                <w:szCs w:val="24"/>
                <w:highlight w:val="none"/>
              </w:rPr>
            </w:pPr>
          </w:p>
          <w:p>
            <w:pPr>
              <w:spacing w:line="240" w:lineRule="auto"/>
              <w:rPr>
                <w:color w:val="auto"/>
                <w:sz w:val="24"/>
                <w:szCs w:val="24"/>
                <w:highlight w:val="none"/>
              </w:rPr>
            </w:pPr>
            <w:r>
              <w:rPr>
                <w:color w:val="auto"/>
                <w:sz w:val="24"/>
                <w:szCs w:val="24"/>
                <w:highlight w:val="none"/>
              </w:rPr>
              <w:t xml:space="preserve">见“第三章 </w:t>
            </w:r>
            <w:r>
              <w:rPr>
                <w:rFonts w:hint="eastAsia"/>
                <w:color w:val="auto"/>
                <w:sz w:val="24"/>
                <w:szCs w:val="24"/>
                <w:highlight w:val="none"/>
                <w:lang w:eastAsia="zh-CN"/>
              </w:rPr>
              <w:t>投标人</w:t>
            </w:r>
            <w:r>
              <w:rPr>
                <w:color w:val="auto"/>
                <w:sz w:val="24"/>
                <w:szCs w:val="24"/>
                <w:highlight w:val="none"/>
              </w:rPr>
              <w:t>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2.2.1</w:t>
            </w:r>
          </w:p>
        </w:tc>
        <w:tc>
          <w:tcPr>
            <w:tcW w:w="1163" w:type="pct"/>
            <w:vAlign w:val="top"/>
          </w:tcPr>
          <w:p>
            <w:pPr>
              <w:spacing w:line="360" w:lineRule="auto"/>
              <w:jc w:val="center"/>
              <w:rPr>
                <w:color w:val="auto"/>
                <w:sz w:val="24"/>
                <w:szCs w:val="24"/>
                <w:highlight w:val="none"/>
              </w:rPr>
            </w:pPr>
            <w:r>
              <w:rPr>
                <w:rFonts w:hint="eastAsia"/>
                <w:color w:val="auto"/>
                <w:sz w:val="24"/>
                <w:szCs w:val="24"/>
                <w:highlight w:val="none"/>
                <w:lang w:val="en-US" w:eastAsia="zh-CN"/>
              </w:rPr>
              <w:t>投标人</w:t>
            </w:r>
            <w:r>
              <w:rPr>
                <w:color w:val="auto"/>
                <w:sz w:val="24"/>
                <w:szCs w:val="24"/>
                <w:highlight w:val="none"/>
              </w:rPr>
              <w:t>提出问题的</w:t>
            </w:r>
          </w:p>
          <w:p>
            <w:pPr>
              <w:spacing w:line="360" w:lineRule="auto"/>
              <w:jc w:val="center"/>
              <w:rPr>
                <w:color w:val="auto"/>
                <w:sz w:val="24"/>
                <w:szCs w:val="24"/>
                <w:highlight w:val="none"/>
              </w:rPr>
            </w:pPr>
            <w:r>
              <w:rPr>
                <w:color w:val="auto"/>
                <w:sz w:val="24"/>
                <w:szCs w:val="24"/>
                <w:highlight w:val="none"/>
              </w:rPr>
              <w:t>截止时间</w:t>
            </w:r>
          </w:p>
        </w:tc>
        <w:tc>
          <w:tcPr>
            <w:tcW w:w="3003" w:type="pct"/>
            <w:vAlign w:val="top"/>
          </w:tcPr>
          <w:p>
            <w:pPr>
              <w:spacing w:line="240" w:lineRule="auto"/>
              <w:rPr>
                <w:rFonts w:hint="eastAsia" w:ascii="宋体" w:hAnsi="宋体" w:eastAsia="宋体" w:cs="宋体"/>
                <w:color w:val="auto"/>
                <w:sz w:val="24"/>
                <w:szCs w:val="24"/>
                <w:highlight w:val="none"/>
                <w:lang w:eastAsia="zh-CN"/>
              </w:rPr>
            </w:pPr>
          </w:p>
          <w:p>
            <w:pPr>
              <w:spacing w:line="240" w:lineRule="auto"/>
              <w:rPr>
                <w:color w:val="auto"/>
                <w:sz w:val="24"/>
                <w:szCs w:val="24"/>
                <w:highlight w:val="none"/>
              </w:rPr>
            </w:pPr>
            <w:r>
              <w:rPr>
                <w:rFonts w:hint="eastAsia" w:ascii="宋体" w:hAnsi="宋体" w:eastAsia="宋体" w:cs="宋体"/>
                <w:color w:val="auto"/>
                <w:sz w:val="24"/>
                <w:szCs w:val="24"/>
                <w:highlight w:val="none"/>
                <w:lang w:eastAsia="zh-CN"/>
              </w:rPr>
              <w:t>递交投标文件的截止之日1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2.3</w:t>
            </w:r>
          </w:p>
        </w:tc>
        <w:tc>
          <w:tcPr>
            <w:tcW w:w="1163" w:type="pct"/>
            <w:vAlign w:val="top"/>
          </w:tcPr>
          <w:p>
            <w:pPr>
              <w:spacing w:line="360" w:lineRule="auto"/>
              <w:jc w:val="center"/>
              <w:rPr>
                <w:color w:val="auto"/>
                <w:sz w:val="24"/>
                <w:szCs w:val="24"/>
                <w:highlight w:val="none"/>
              </w:rPr>
            </w:pPr>
            <w:r>
              <w:rPr>
                <w:color w:val="auto"/>
                <w:sz w:val="24"/>
                <w:szCs w:val="24"/>
                <w:highlight w:val="none"/>
              </w:rPr>
              <w:t>招标文件的澄清修改补充告知方式</w:t>
            </w:r>
          </w:p>
        </w:tc>
        <w:tc>
          <w:tcPr>
            <w:tcW w:w="3003" w:type="pct"/>
            <w:vAlign w:val="top"/>
          </w:tcPr>
          <w:p>
            <w:pPr>
              <w:spacing w:line="240" w:lineRule="auto"/>
              <w:rPr>
                <w:color w:val="auto"/>
                <w:sz w:val="24"/>
                <w:szCs w:val="24"/>
                <w:highlight w:val="none"/>
              </w:rPr>
            </w:pPr>
          </w:p>
          <w:p>
            <w:pPr>
              <w:spacing w:line="240" w:lineRule="auto"/>
              <w:rPr>
                <w:color w:val="auto"/>
                <w:sz w:val="24"/>
                <w:szCs w:val="24"/>
                <w:highlight w:val="none"/>
              </w:rPr>
            </w:pPr>
            <w:r>
              <w:rPr>
                <w:color w:val="auto"/>
                <w:sz w:val="24"/>
                <w:szCs w:val="24"/>
                <w:highlight w:val="none"/>
              </w:rPr>
              <w:t>见“第三章 投标人须知”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2.4</w:t>
            </w:r>
          </w:p>
        </w:tc>
        <w:tc>
          <w:tcPr>
            <w:tcW w:w="1163" w:type="pct"/>
            <w:vAlign w:val="top"/>
          </w:tcPr>
          <w:p>
            <w:pPr>
              <w:spacing w:line="360" w:lineRule="auto"/>
              <w:jc w:val="center"/>
              <w:rPr>
                <w:color w:val="auto"/>
                <w:sz w:val="24"/>
                <w:szCs w:val="24"/>
                <w:highlight w:val="none"/>
              </w:rPr>
            </w:pPr>
            <w:r>
              <w:rPr>
                <w:color w:val="auto"/>
                <w:sz w:val="24"/>
                <w:szCs w:val="24"/>
                <w:highlight w:val="none"/>
              </w:rPr>
              <w:t>招标文件澄清修改补充时间</w:t>
            </w:r>
          </w:p>
        </w:tc>
        <w:tc>
          <w:tcPr>
            <w:tcW w:w="3003" w:type="pct"/>
            <w:vAlign w:val="top"/>
          </w:tcPr>
          <w:p>
            <w:pPr>
              <w:spacing w:line="240" w:lineRule="auto"/>
              <w:rPr>
                <w:rFonts w:hint="eastAsia" w:ascii="宋体" w:hAnsi="宋体" w:eastAsia="宋体" w:cs="宋体"/>
                <w:color w:val="auto"/>
                <w:sz w:val="24"/>
                <w:szCs w:val="24"/>
                <w:highlight w:val="none"/>
                <w:lang w:eastAsia="zh-CN"/>
              </w:rPr>
            </w:pPr>
          </w:p>
          <w:p>
            <w:pPr>
              <w:spacing w:line="240" w:lineRule="auto"/>
              <w:rPr>
                <w:color w:val="auto"/>
                <w:sz w:val="24"/>
                <w:szCs w:val="24"/>
                <w:highlight w:val="none"/>
              </w:rPr>
            </w:pPr>
            <w:r>
              <w:rPr>
                <w:rFonts w:hint="eastAsia" w:ascii="宋体" w:hAnsi="宋体" w:eastAsia="宋体" w:cs="宋体"/>
                <w:color w:val="auto"/>
                <w:sz w:val="24"/>
                <w:szCs w:val="24"/>
                <w:highlight w:val="none"/>
                <w:lang w:eastAsia="zh-CN"/>
              </w:rP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r>
              <w:rPr>
                <w:color w:val="auto"/>
                <w:sz w:val="24"/>
                <w:szCs w:val="24"/>
                <w:highlight w:val="none"/>
              </w:rPr>
              <w:t>3.2</w:t>
            </w:r>
          </w:p>
        </w:tc>
        <w:tc>
          <w:tcPr>
            <w:tcW w:w="1163" w:type="pct"/>
            <w:vAlign w:val="top"/>
          </w:tcPr>
          <w:p>
            <w:pPr>
              <w:spacing w:line="360" w:lineRule="auto"/>
              <w:jc w:val="center"/>
              <w:rPr>
                <w:color w:val="auto"/>
                <w:sz w:val="24"/>
                <w:szCs w:val="24"/>
                <w:highlight w:val="none"/>
              </w:rPr>
            </w:pPr>
            <w:r>
              <w:rPr>
                <w:color w:val="auto"/>
                <w:sz w:val="24"/>
                <w:szCs w:val="24"/>
                <w:highlight w:val="none"/>
              </w:rPr>
              <w:t>构成投标文件的其他材料</w:t>
            </w:r>
          </w:p>
        </w:tc>
        <w:tc>
          <w:tcPr>
            <w:tcW w:w="3003" w:type="pct"/>
            <w:vAlign w:val="top"/>
          </w:tcPr>
          <w:p>
            <w:pPr>
              <w:spacing w:line="240" w:lineRule="auto"/>
              <w:rPr>
                <w:color w:val="auto"/>
                <w:sz w:val="24"/>
                <w:szCs w:val="24"/>
                <w:highlight w:val="none"/>
              </w:rPr>
            </w:pPr>
          </w:p>
          <w:p>
            <w:pPr>
              <w:spacing w:line="240" w:lineRule="auto"/>
              <w:rPr>
                <w:color w:val="auto"/>
                <w:sz w:val="24"/>
                <w:szCs w:val="24"/>
                <w:highlight w:val="none"/>
              </w:rPr>
            </w:pPr>
            <w:r>
              <w:rPr>
                <w:color w:val="auto"/>
                <w:sz w:val="24"/>
                <w:szCs w:val="24"/>
                <w:highlight w:val="none"/>
              </w:rPr>
              <w:t>见“第三章 投标人须知”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3.4</w:t>
            </w:r>
          </w:p>
        </w:tc>
        <w:tc>
          <w:tcPr>
            <w:tcW w:w="1163"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投标有效期</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从开标之日起，投标有效期为90日历天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both"/>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3.5</w:t>
            </w:r>
          </w:p>
        </w:tc>
        <w:tc>
          <w:tcPr>
            <w:tcW w:w="1163"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投标承诺函（替代投 标保证金）</w:t>
            </w:r>
          </w:p>
        </w:tc>
        <w:tc>
          <w:tcPr>
            <w:tcW w:w="3003" w:type="pct"/>
            <w:vAlign w:val="top"/>
          </w:tcPr>
          <w:p>
            <w:pPr>
              <w:spacing w:line="360" w:lineRule="auto"/>
              <w:jc w:val="left"/>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 xml:space="preserve"> 依据河南省财政厅《关于优化政府采购营商环境有关问题的通知》 （豫财购〔2019〕4号）文件要求，本项目以投标承诺函的形式替代投标保证金，供应商按附件格式进行投标承诺，违背承诺的将承担相应的法律责任及违约责任。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3.7.3</w:t>
            </w:r>
          </w:p>
        </w:tc>
        <w:tc>
          <w:tcPr>
            <w:tcW w:w="1163"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偏差描述</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 xml:space="preserve">见“第三章 </w:t>
            </w:r>
            <w:r>
              <w:rPr>
                <w:rFonts w:hint="eastAsia"/>
                <w:color w:val="auto"/>
                <w:sz w:val="24"/>
                <w:szCs w:val="24"/>
                <w:highlight w:val="none"/>
                <w:lang w:eastAsia="zh-CN"/>
              </w:rPr>
              <w:t>投标人</w:t>
            </w:r>
            <w:r>
              <w:rPr>
                <w:color w:val="auto"/>
                <w:sz w:val="24"/>
                <w:szCs w:val="24"/>
                <w:highlight w:val="none"/>
              </w:rPr>
              <w:t>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3.7.4</w:t>
            </w:r>
          </w:p>
        </w:tc>
        <w:tc>
          <w:tcPr>
            <w:tcW w:w="1163"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签字或盖章要求</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 xml:space="preserve">见“第三章 </w:t>
            </w:r>
            <w:r>
              <w:rPr>
                <w:rFonts w:hint="eastAsia"/>
                <w:color w:val="auto"/>
                <w:sz w:val="24"/>
                <w:szCs w:val="24"/>
                <w:highlight w:val="none"/>
                <w:lang w:eastAsia="zh-CN"/>
              </w:rPr>
              <w:t>投标人</w:t>
            </w:r>
            <w:r>
              <w:rPr>
                <w:color w:val="auto"/>
                <w:sz w:val="24"/>
                <w:szCs w:val="24"/>
                <w:highlight w:val="none"/>
              </w:rPr>
              <w:t>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4.2.4</w:t>
            </w:r>
          </w:p>
        </w:tc>
        <w:tc>
          <w:tcPr>
            <w:tcW w:w="1163" w:type="pct"/>
            <w:vAlign w:val="top"/>
          </w:tcPr>
          <w:p>
            <w:pPr>
              <w:spacing w:line="360" w:lineRule="auto"/>
              <w:jc w:val="center"/>
              <w:rPr>
                <w:rFonts w:hint="default"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是否退还</w:t>
            </w:r>
            <w:r>
              <w:rPr>
                <w:rFonts w:hint="eastAsia"/>
                <w:color w:val="auto"/>
                <w:sz w:val="24"/>
                <w:szCs w:val="24"/>
                <w:highlight w:val="none"/>
                <w:lang w:val="en-US" w:eastAsia="zh-CN"/>
              </w:rPr>
              <w:t>投标文件</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6.1</w:t>
            </w:r>
          </w:p>
        </w:tc>
        <w:tc>
          <w:tcPr>
            <w:tcW w:w="1163" w:type="pct"/>
            <w:vAlign w:val="top"/>
          </w:tcPr>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评标委员会的组建</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见“第三章 投标人须知”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restart"/>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7.1</w:t>
            </w:r>
          </w:p>
        </w:tc>
        <w:tc>
          <w:tcPr>
            <w:tcW w:w="1163" w:type="pct"/>
            <w:vAlign w:val="top"/>
          </w:tcPr>
          <w:p>
            <w:pPr>
              <w:spacing w:line="360" w:lineRule="auto"/>
              <w:jc w:val="center"/>
              <w:rPr>
                <w:rFonts w:hint="eastAsia"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是否授权</w:t>
            </w:r>
            <w:r>
              <w:rPr>
                <w:rFonts w:hint="eastAsia"/>
                <w:color w:val="auto"/>
                <w:sz w:val="24"/>
                <w:szCs w:val="24"/>
                <w:highlight w:val="none"/>
                <w:lang w:eastAsia="zh-CN"/>
              </w:rPr>
              <w:t>评标委员会小组</w:t>
            </w:r>
            <w:r>
              <w:rPr>
                <w:color w:val="auto"/>
                <w:sz w:val="24"/>
                <w:szCs w:val="24"/>
                <w:highlight w:val="none"/>
              </w:rPr>
              <w:t>确定成交</w:t>
            </w:r>
            <w:r>
              <w:rPr>
                <w:rFonts w:hint="eastAsia"/>
                <w:color w:val="auto"/>
                <w:sz w:val="24"/>
                <w:szCs w:val="24"/>
                <w:highlight w:val="none"/>
                <w:lang w:eastAsia="zh-CN"/>
              </w:rPr>
              <w:t>投标人</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是。按照评审得分由高到低顺序推荐 3 名以上成交候选</w:t>
            </w:r>
            <w:r>
              <w:rPr>
                <w:rFonts w:hint="eastAsia"/>
                <w:color w:val="auto"/>
                <w:sz w:val="24"/>
                <w:szCs w:val="24"/>
                <w:highlight w:val="none"/>
                <w:lang w:eastAsia="zh-CN"/>
              </w:rPr>
              <w:t>投标人</w:t>
            </w:r>
            <w:r>
              <w:rPr>
                <w:color w:val="auto"/>
                <w:sz w:val="24"/>
                <w:szCs w:val="24"/>
                <w:highlight w:val="none"/>
              </w:rPr>
              <w:t>，并确定排名第一的成交候选人为成交</w:t>
            </w:r>
            <w:r>
              <w:rPr>
                <w:rFonts w:hint="eastAsia"/>
                <w:color w:val="auto"/>
                <w:sz w:val="24"/>
                <w:szCs w:val="24"/>
                <w:highlight w:val="none"/>
                <w:lang w:eastAsia="zh-CN"/>
              </w:rPr>
              <w:t>投标人</w:t>
            </w:r>
            <w:r>
              <w:rPr>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7.2</w:t>
            </w:r>
          </w:p>
        </w:tc>
        <w:tc>
          <w:tcPr>
            <w:tcW w:w="1163"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成交结果公告</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本次公开招标的中标结果将在中标人确定当天在招标公告所述媒介公告 1 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7.3</w:t>
            </w:r>
          </w:p>
        </w:tc>
        <w:tc>
          <w:tcPr>
            <w:tcW w:w="1163"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质疑</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参与本次采购活动的</w:t>
            </w:r>
            <w:r>
              <w:rPr>
                <w:rFonts w:hint="eastAsia"/>
                <w:color w:val="auto"/>
                <w:sz w:val="24"/>
                <w:szCs w:val="24"/>
                <w:highlight w:val="none"/>
                <w:lang w:eastAsia="zh-CN"/>
              </w:rPr>
              <w:t>投标人</w:t>
            </w:r>
            <w:r>
              <w:rPr>
                <w:color w:val="auto"/>
                <w:sz w:val="24"/>
                <w:szCs w:val="24"/>
                <w:highlight w:val="none"/>
              </w:rPr>
              <w:t>如有异议，可在各环节法定质疑期内向采购代理机构一次性提出针对该采购程序环节的书面质疑函，书面原件送达至</w:t>
            </w:r>
            <w:r>
              <w:rPr>
                <w:rFonts w:hint="eastAsia"/>
                <w:color w:val="auto"/>
                <w:sz w:val="24"/>
                <w:szCs w:val="24"/>
                <w:highlight w:val="none"/>
                <w:lang w:val="en-US" w:eastAsia="zh-CN"/>
              </w:rPr>
              <w:t>招标</w:t>
            </w:r>
            <w:r>
              <w:rPr>
                <w:color w:val="auto"/>
                <w:sz w:val="24"/>
                <w:szCs w:val="24"/>
                <w:highlight w:val="none"/>
              </w:rPr>
              <w:t>文件列示的采购代理机构及采购单位联系人处；依据法规规定</w:t>
            </w:r>
            <w:r>
              <w:rPr>
                <w:rFonts w:hint="eastAsia"/>
                <w:color w:val="auto"/>
                <w:sz w:val="24"/>
                <w:szCs w:val="24"/>
                <w:highlight w:val="none"/>
                <w:lang w:eastAsia="zh-CN"/>
              </w:rPr>
              <w:t>，</w:t>
            </w:r>
            <w:r>
              <w:rPr>
                <w:color w:val="auto"/>
                <w:sz w:val="24"/>
                <w:szCs w:val="24"/>
                <w:highlight w:val="none"/>
              </w:rPr>
              <w:t xml:space="preserve">质疑函应当有明确的请求和必要的证明材料，应当包括下列内容：1、 </w:t>
            </w:r>
            <w:r>
              <w:rPr>
                <w:rFonts w:hint="eastAsia"/>
                <w:color w:val="auto"/>
                <w:sz w:val="24"/>
                <w:szCs w:val="24"/>
                <w:highlight w:val="none"/>
                <w:lang w:eastAsia="zh-CN"/>
              </w:rPr>
              <w:t>投标人</w:t>
            </w:r>
            <w:r>
              <w:rPr>
                <w:color w:val="auto"/>
                <w:sz w:val="24"/>
                <w:szCs w:val="24"/>
                <w:highlight w:val="none"/>
              </w:rPr>
              <w:t>的姓名或者名称、地址、邮编、联系人及联系电话；2、质疑项目的名称、编号</w:t>
            </w:r>
            <w:r>
              <w:rPr>
                <w:rFonts w:hint="eastAsia"/>
                <w:color w:val="auto"/>
                <w:sz w:val="24"/>
                <w:szCs w:val="24"/>
                <w:highlight w:val="none"/>
                <w:lang w:eastAsia="zh-CN"/>
              </w:rPr>
              <w:t>；</w:t>
            </w:r>
            <w:r>
              <w:rPr>
                <w:color w:val="auto"/>
                <w:sz w:val="24"/>
                <w:szCs w:val="24"/>
                <w:highlight w:val="none"/>
              </w:rPr>
              <w:t>3、具体、明确的质疑事项和与质疑事项相关的请求； 4、事实依据；5、必要的法律依据；6、提出质疑的日期。</w:t>
            </w:r>
            <w:r>
              <w:rPr>
                <w:rFonts w:hint="eastAsia"/>
                <w:color w:val="auto"/>
                <w:sz w:val="24"/>
                <w:szCs w:val="24"/>
                <w:highlight w:val="none"/>
                <w:lang w:eastAsia="zh-CN"/>
              </w:rPr>
              <w:t>投标人</w:t>
            </w:r>
            <w:r>
              <w:rPr>
                <w:color w:val="auto"/>
                <w:sz w:val="24"/>
                <w:szCs w:val="24"/>
                <w:highlight w:val="none"/>
              </w:rPr>
              <w:t>为自然人的，应当由本人签字；</w:t>
            </w:r>
            <w:r>
              <w:rPr>
                <w:rFonts w:hint="eastAsia"/>
                <w:color w:val="auto"/>
                <w:sz w:val="24"/>
                <w:szCs w:val="24"/>
                <w:highlight w:val="none"/>
                <w:lang w:eastAsia="zh-CN"/>
              </w:rPr>
              <w:t>投标人</w:t>
            </w:r>
            <w:r>
              <w:rPr>
                <w:color w:val="auto"/>
                <w:sz w:val="24"/>
                <w:szCs w:val="24"/>
                <w:highlight w:val="none"/>
              </w:rPr>
              <w:t>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7.4</w:t>
            </w:r>
          </w:p>
        </w:tc>
        <w:tc>
          <w:tcPr>
            <w:tcW w:w="1163" w:type="pct"/>
            <w:vAlign w:val="top"/>
          </w:tcPr>
          <w:p>
            <w:pPr>
              <w:spacing w:line="240" w:lineRule="auto"/>
              <w:jc w:val="center"/>
              <w:rPr>
                <w:rFonts w:hint="eastAsia"/>
                <w:color w:val="auto"/>
                <w:sz w:val="24"/>
                <w:szCs w:val="24"/>
                <w:highlight w:val="none"/>
                <w:lang w:val="en-US" w:eastAsia="zh-CN"/>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lang w:val="en-US" w:eastAsia="zh-CN"/>
              </w:rPr>
              <w:t>中标</w:t>
            </w:r>
            <w:r>
              <w:rPr>
                <w:color w:val="auto"/>
                <w:sz w:val="24"/>
                <w:szCs w:val="24"/>
                <w:highlight w:val="none"/>
              </w:rPr>
              <w:t>通知书</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采购代理机构在</w:t>
            </w:r>
            <w:r>
              <w:rPr>
                <w:rFonts w:hint="eastAsia"/>
                <w:color w:val="auto"/>
                <w:sz w:val="24"/>
                <w:szCs w:val="24"/>
                <w:highlight w:val="none"/>
                <w:lang w:val="en-US" w:eastAsia="zh-CN"/>
              </w:rPr>
              <w:t>中标</w:t>
            </w:r>
            <w:r>
              <w:rPr>
                <w:rFonts w:hint="eastAsia"/>
                <w:color w:val="auto"/>
                <w:sz w:val="24"/>
                <w:szCs w:val="24"/>
                <w:highlight w:val="none"/>
                <w:lang w:eastAsia="zh-CN"/>
              </w:rPr>
              <w:t>人</w:t>
            </w:r>
            <w:r>
              <w:rPr>
                <w:color w:val="auto"/>
                <w:sz w:val="24"/>
                <w:szCs w:val="24"/>
                <w:highlight w:val="none"/>
              </w:rPr>
              <w:t>确定后 2 个工作日内，向</w:t>
            </w:r>
            <w:r>
              <w:rPr>
                <w:rFonts w:hint="eastAsia"/>
                <w:color w:val="auto"/>
                <w:sz w:val="24"/>
                <w:szCs w:val="24"/>
                <w:highlight w:val="none"/>
                <w:lang w:val="en-US" w:eastAsia="zh-CN"/>
              </w:rPr>
              <w:t>中标</w:t>
            </w:r>
            <w:r>
              <w:rPr>
                <w:rFonts w:hint="eastAsia"/>
                <w:color w:val="auto"/>
                <w:sz w:val="24"/>
                <w:szCs w:val="24"/>
                <w:highlight w:val="none"/>
                <w:lang w:eastAsia="zh-CN"/>
              </w:rPr>
              <w:t>人</w:t>
            </w:r>
            <w:r>
              <w:rPr>
                <w:color w:val="auto"/>
                <w:sz w:val="24"/>
                <w:szCs w:val="24"/>
                <w:highlight w:val="none"/>
              </w:rPr>
              <w:t>发出</w:t>
            </w:r>
            <w:r>
              <w:rPr>
                <w:rFonts w:hint="eastAsia"/>
                <w:color w:val="auto"/>
                <w:sz w:val="24"/>
                <w:szCs w:val="24"/>
                <w:highlight w:val="none"/>
                <w:lang w:val="en-US" w:eastAsia="zh-CN"/>
              </w:rPr>
              <w:t>中标</w:t>
            </w:r>
            <w:r>
              <w:rPr>
                <w:color w:val="auto"/>
                <w:sz w:val="24"/>
                <w:szCs w:val="24"/>
                <w:highlight w:val="none"/>
              </w:rPr>
              <w:t>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lang w:val="en-US" w:eastAsia="zh-CN"/>
              </w:rPr>
            </w:pPr>
            <w:r>
              <w:rPr>
                <w:color w:val="auto"/>
                <w:sz w:val="24"/>
                <w:szCs w:val="24"/>
                <w:highlight w:val="none"/>
              </w:rPr>
              <w:t>7.5</w:t>
            </w:r>
          </w:p>
        </w:tc>
        <w:tc>
          <w:tcPr>
            <w:tcW w:w="1163" w:type="pct"/>
            <w:vAlign w:val="top"/>
          </w:tcPr>
          <w:p>
            <w:pPr>
              <w:spacing w:line="240" w:lineRule="auto"/>
              <w:jc w:val="center"/>
              <w:rPr>
                <w:color w:val="auto"/>
                <w:sz w:val="24"/>
                <w:szCs w:val="24"/>
                <w:highlight w:val="none"/>
                <w:lang w:val="en-US" w:eastAsia="zh-CN"/>
              </w:rPr>
            </w:pPr>
            <w:r>
              <w:rPr>
                <w:color w:val="auto"/>
                <w:sz w:val="24"/>
                <w:szCs w:val="24"/>
                <w:highlight w:val="none"/>
              </w:rPr>
              <w:t>履约保函</w:t>
            </w:r>
          </w:p>
        </w:tc>
        <w:tc>
          <w:tcPr>
            <w:tcW w:w="3003" w:type="pct"/>
            <w:vAlign w:val="top"/>
          </w:tcPr>
          <w:p>
            <w:pPr>
              <w:spacing w:line="24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lang w:val="en-US" w:eastAsia="zh-CN"/>
              </w:rPr>
            </w:pPr>
            <w:r>
              <w:rPr>
                <w:color w:val="auto"/>
                <w:sz w:val="24"/>
                <w:szCs w:val="24"/>
                <w:highlight w:val="none"/>
              </w:rPr>
              <w:t>8</w:t>
            </w:r>
          </w:p>
        </w:tc>
        <w:tc>
          <w:tcPr>
            <w:tcW w:w="1163" w:type="pct"/>
            <w:vAlign w:val="top"/>
          </w:tcPr>
          <w:p>
            <w:pPr>
              <w:spacing w:line="240" w:lineRule="auto"/>
              <w:jc w:val="center"/>
              <w:rPr>
                <w:color w:val="auto"/>
                <w:sz w:val="24"/>
                <w:szCs w:val="24"/>
                <w:highlight w:val="none"/>
                <w:lang w:val="en-US" w:eastAsia="zh-CN"/>
              </w:rPr>
            </w:pPr>
            <w:r>
              <w:rPr>
                <w:color w:val="auto"/>
                <w:sz w:val="24"/>
                <w:szCs w:val="24"/>
                <w:highlight w:val="none"/>
              </w:rPr>
              <w:t>验收</w:t>
            </w:r>
          </w:p>
        </w:tc>
        <w:tc>
          <w:tcPr>
            <w:tcW w:w="3003" w:type="pct"/>
            <w:vAlign w:val="top"/>
          </w:tcPr>
          <w:p>
            <w:pPr>
              <w:spacing w:line="240" w:lineRule="auto"/>
              <w:jc w:val="left"/>
              <w:rPr>
                <w:color w:val="auto"/>
                <w:sz w:val="24"/>
                <w:szCs w:val="24"/>
                <w:highlight w:val="none"/>
                <w:lang w:val="en-US" w:eastAsia="zh-CN"/>
              </w:rPr>
            </w:pPr>
            <w:r>
              <w:rPr>
                <w:color w:val="auto"/>
                <w:sz w:val="24"/>
                <w:szCs w:val="24"/>
                <w:highlight w:val="none"/>
              </w:rPr>
              <w:t>见“第三章</w:t>
            </w:r>
            <w:r>
              <w:rPr>
                <w:rFonts w:hint="eastAsia"/>
                <w:color w:val="auto"/>
                <w:sz w:val="24"/>
                <w:szCs w:val="24"/>
                <w:highlight w:val="none"/>
                <w:lang w:eastAsia="zh-CN"/>
              </w:rPr>
              <w:t>投标人</w:t>
            </w:r>
            <w:r>
              <w:rPr>
                <w:color w:val="auto"/>
                <w:sz w:val="24"/>
                <w:szCs w:val="24"/>
                <w:highlight w:val="none"/>
              </w:rPr>
              <w:t>须知 ”相应条款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6"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9</w:t>
            </w:r>
          </w:p>
        </w:tc>
        <w:tc>
          <w:tcPr>
            <w:tcW w:w="1163" w:type="pct"/>
            <w:vAlign w:val="top"/>
          </w:tcPr>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付款</w:t>
            </w:r>
          </w:p>
        </w:tc>
        <w:tc>
          <w:tcPr>
            <w:tcW w:w="3003" w:type="pct"/>
            <w:vAlign w:val="top"/>
          </w:tcPr>
          <w:p>
            <w:pPr>
              <w:spacing w:line="360" w:lineRule="auto"/>
              <w:ind w:firstLine="480" w:firstLineChars="200"/>
              <w:rPr>
                <w:color w:val="auto"/>
                <w:sz w:val="24"/>
                <w:szCs w:val="24"/>
                <w:highlight w:val="none"/>
              </w:rPr>
            </w:pPr>
            <w:r>
              <w:rPr>
                <w:rFonts w:hint="eastAsia"/>
                <w:color w:val="auto"/>
                <w:sz w:val="24"/>
                <w:szCs w:val="24"/>
                <w:highlight w:val="none"/>
                <w:lang w:val="en-US" w:eastAsia="zh-CN"/>
              </w:rPr>
              <w:t>为优化政府采购营商环境，根据安财购﹝2019﹞8号文件落实政府采购预付款的规定，采购人可在政府采购合同履约前向中标人预付</w:t>
            </w:r>
            <w:r>
              <w:rPr>
                <w:rFonts w:hint="eastAsia"/>
                <w:color w:val="auto"/>
                <w:sz w:val="24"/>
                <w:szCs w:val="24"/>
                <w:highlight w:val="none"/>
                <w:u w:val="single"/>
                <w:lang w:val="en-US" w:eastAsia="zh-CN"/>
              </w:rPr>
              <w:t xml:space="preserve"> 30% </w:t>
            </w:r>
            <w:r>
              <w:rPr>
                <w:rFonts w:hint="eastAsia"/>
                <w:color w:val="auto"/>
                <w:sz w:val="24"/>
                <w:szCs w:val="24"/>
                <w:highlight w:val="none"/>
                <w:lang w:val="en-US" w:eastAsia="zh-CN"/>
              </w:rPr>
              <w:t xml:space="preserve">的合同资金，中标人应向采购人提交预付款保函，未提供保函的，视同其放弃项目预付款的支付。 </w:t>
            </w:r>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 xml:space="preserve">为进一步优化营商环境，根据安财购﹝2022﹞8号文件落实政府采购中小企业预付款的规定，采购人可在政府采购合同签订后，向中标人原则上预付不低于合同金额 </w:t>
            </w:r>
            <w:r>
              <w:rPr>
                <w:rFonts w:hint="eastAsia"/>
                <w:color w:val="auto"/>
                <w:sz w:val="24"/>
                <w:szCs w:val="24"/>
                <w:highlight w:val="none"/>
                <w:u w:val="single"/>
                <w:lang w:val="en-US" w:eastAsia="zh-CN"/>
              </w:rPr>
              <w:t xml:space="preserve">50% </w:t>
            </w:r>
            <w:r>
              <w:rPr>
                <w:rFonts w:hint="eastAsia"/>
                <w:color w:val="auto"/>
                <w:sz w:val="24"/>
                <w:szCs w:val="24"/>
                <w:highlight w:val="none"/>
                <w:lang w:val="en-US" w:eastAsia="zh-CN"/>
              </w:rPr>
              <w:t>的预付款，中标人应向采购人提交预付款保函，未提供保函的，视同其放弃项目预付款的支付。</w:t>
            </w:r>
          </w:p>
          <w:p>
            <w:pPr>
              <w:spacing w:line="360" w:lineRule="auto"/>
              <w:ind w:firstLine="480" w:firstLineChars="200"/>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lang w:val="en-US" w:eastAsia="zh-CN"/>
              </w:rPr>
              <w:t xml:space="preserve">中标人持采购人及专家等出具的《政府采购验收报告》及中标人填写的《政府采购资金支付申请书》，作为付款依据，报同级财政局政府。具体以合同签订为准。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10.1</w:t>
            </w:r>
          </w:p>
        </w:tc>
        <w:tc>
          <w:tcPr>
            <w:tcW w:w="1163" w:type="pct"/>
            <w:vAlign w:val="top"/>
          </w:tcPr>
          <w:p>
            <w:pPr>
              <w:spacing w:line="240" w:lineRule="auto"/>
              <w:jc w:val="center"/>
              <w:rPr>
                <w:color w:val="auto"/>
                <w:sz w:val="24"/>
                <w:szCs w:val="24"/>
                <w:highlight w:val="none"/>
              </w:rPr>
            </w:pPr>
          </w:p>
          <w:p>
            <w:pPr>
              <w:spacing w:line="24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代理服务费</w:t>
            </w:r>
          </w:p>
        </w:tc>
        <w:tc>
          <w:tcPr>
            <w:tcW w:w="3003" w:type="pct"/>
            <w:vAlign w:val="top"/>
          </w:tcPr>
          <w:p>
            <w:pPr>
              <w:spacing w:line="360" w:lineRule="auto"/>
              <w:rPr>
                <w:rFonts w:hint="default"/>
                <w:color w:val="auto"/>
                <w:highlight w:val="none"/>
                <w:lang w:val="en-US" w:eastAsia="zh-CN"/>
              </w:rPr>
            </w:pPr>
            <w:r>
              <w:rPr>
                <w:color w:val="auto"/>
                <w:sz w:val="24"/>
                <w:szCs w:val="24"/>
                <w:highlight w:val="none"/>
              </w:rPr>
              <w:t>参照豫招协[2023]002号文件的规定，招标代理服务费由中标（成交）</w:t>
            </w:r>
            <w:r>
              <w:rPr>
                <w:rFonts w:hint="eastAsia"/>
                <w:color w:val="auto"/>
                <w:sz w:val="24"/>
                <w:szCs w:val="24"/>
                <w:highlight w:val="none"/>
                <w:lang w:eastAsia="zh-CN"/>
              </w:rPr>
              <w:t>投标人</w:t>
            </w:r>
            <w:r>
              <w:rPr>
                <w:rFonts w:hint="eastAsia"/>
                <w:color w:val="auto"/>
                <w:sz w:val="24"/>
                <w:szCs w:val="24"/>
                <w:highlight w:val="none"/>
                <w:lang w:val="en-US" w:eastAsia="zh-CN"/>
              </w:rPr>
              <w:t>向代理机构缴纳</w:t>
            </w:r>
            <w:r>
              <w:rPr>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6" w:type="pct"/>
            <w:vMerge w:val="continue"/>
            <w:textDirection w:val="tbRlV"/>
            <w:vAlign w:val="top"/>
          </w:tcPr>
          <w:p>
            <w:pPr>
              <w:spacing w:line="360" w:lineRule="auto"/>
              <w:jc w:val="center"/>
              <w:rPr>
                <w:color w:val="auto"/>
                <w:sz w:val="24"/>
                <w:szCs w:val="24"/>
                <w:highlight w:val="none"/>
              </w:rPr>
            </w:pPr>
          </w:p>
        </w:tc>
        <w:tc>
          <w:tcPr>
            <w:tcW w:w="387" w:type="pct"/>
            <w:vAlign w:val="top"/>
          </w:tcPr>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10.2</w:t>
            </w:r>
          </w:p>
        </w:tc>
        <w:tc>
          <w:tcPr>
            <w:tcW w:w="1163" w:type="pct"/>
            <w:vAlign w:val="top"/>
          </w:tcPr>
          <w:p>
            <w:pPr>
              <w:spacing w:line="360" w:lineRule="auto"/>
              <w:jc w:val="center"/>
              <w:rPr>
                <w:color w:val="auto"/>
                <w:sz w:val="24"/>
                <w:szCs w:val="24"/>
                <w:highlight w:val="none"/>
              </w:rPr>
            </w:pPr>
          </w:p>
          <w:p>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中小企业划分标准所属行业</w:t>
            </w:r>
          </w:p>
        </w:tc>
        <w:tc>
          <w:tcPr>
            <w:tcW w:w="3003" w:type="pct"/>
            <w:vAlign w:val="top"/>
          </w:tcPr>
          <w:p>
            <w:pPr>
              <w:spacing w:line="360" w:lineRule="auto"/>
              <w:rPr>
                <w:rFonts w:asciiTheme="minorHAnsi" w:hAnsiTheme="minorHAnsi" w:eastAsiaTheme="minorEastAsia" w:cstheme="minorBidi"/>
                <w:color w:val="auto"/>
                <w:kern w:val="2"/>
                <w:sz w:val="24"/>
                <w:szCs w:val="24"/>
                <w:highlight w:val="none"/>
                <w:lang w:val="en-US" w:eastAsia="zh-CN" w:bidi="ar-SA"/>
              </w:rPr>
            </w:pPr>
            <w:r>
              <w:rPr>
                <w:color w:val="auto"/>
                <w:sz w:val="24"/>
                <w:szCs w:val="24"/>
                <w:highlight w:val="none"/>
              </w:rPr>
              <w:t>本次采购标的对应的中小企业划分标准所属行业为</w:t>
            </w:r>
            <w:r>
              <w:rPr>
                <w:rFonts w:hint="eastAsia"/>
                <w:color w:val="auto"/>
                <w:sz w:val="24"/>
                <w:szCs w:val="24"/>
                <w:highlight w:val="none"/>
                <w:lang w:eastAsia="zh-CN"/>
              </w:rPr>
              <w:t>：</w:t>
            </w:r>
            <w:r>
              <w:rPr>
                <w:color w:val="auto"/>
                <w:sz w:val="24"/>
                <w:szCs w:val="24"/>
                <w:highlight w:val="none"/>
                <w:u w:val="single"/>
              </w:rPr>
              <w:t>工业</w:t>
            </w:r>
            <w:r>
              <w:rPr>
                <w:color w:val="auto"/>
                <w:sz w:val="24"/>
                <w:szCs w:val="24"/>
                <w:highlight w:val="none"/>
              </w:rPr>
              <w:t>中小企业参加政府采购活动，应当出具财库[2020]46号规定的《中小企业声明函》，否则不得享受相关中小企业扶持政策；</w:t>
            </w:r>
          </w:p>
        </w:tc>
      </w:tr>
    </w:tbl>
    <w:p>
      <w:pPr>
        <w:spacing w:line="360" w:lineRule="auto"/>
        <w:rPr>
          <w:sz w:val="24"/>
          <w:szCs w:val="24"/>
        </w:rPr>
      </w:pPr>
    </w:p>
    <w:p>
      <w:pPr>
        <w:spacing w:line="360" w:lineRule="auto"/>
        <w:outlineLvl w:val="1"/>
        <w:rPr>
          <w:b/>
          <w:bCs/>
          <w:sz w:val="24"/>
          <w:szCs w:val="24"/>
        </w:rPr>
      </w:pPr>
      <w:bookmarkStart w:id="54" w:name="_Toc20314"/>
      <w:r>
        <w:rPr>
          <w:b/>
          <w:bCs/>
          <w:sz w:val="24"/>
          <w:szCs w:val="24"/>
        </w:rPr>
        <w:t>1 总则</w:t>
      </w:r>
      <w:bookmarkEnd w:id="54"/>
    </w:p>
    <w:p>
      <w:pPr>
        <w:spacing w:line="360" w:lineRule="auto"/>
        <w:ind w:firstLine="240" w:firstLineChars="100"/>
        <w:rPr>
          <w:sz w:val="24"/>
          <w:szCs w:val="24"/>
        </w:rPr>
      </w:pPr>
      <w:r>
        <w:rPr>
          <w:sz w:val="24"/>
          <w:szCs w:val="24"/>
        </w:rPr>
        <w:t>1.1 根据《中华人民共和国政府采购法》、《中华人民共和国政府采购法实施条例》、《政府采购货物和服务招标投标管理办法》及相关政府采购法律法规等制定本文件。</w:t>
      </w:r>
    </w:p>
    <w:p>
      <w:pPr>
        <w:spacing w:line="360" w:lineRule="auto"/>
        <w:ind w:firstLine="241" w:firstLineChars="100"/>
        <w:outlineLvl w:val="2"/>
        <w:rPr>
          <w:b/>
          <w:bCs/>
          <w:sz w:val="24"/>
          <w:szCs w:val="24"/>
        </w:rPr>
      </w:pPr>
      <w:bookmarkStart w:id="55" w:name="_Toc9593"/>
      <w:r>
        <w:rPr>
          <w:b/>
          <w:bCs/>
          <w:sz w:val="24"/>
          <w:szCs w:val="24"/>
        </w:rPr>
        <w:t>1.2 招标文件的法律适用及法律效力</w:t>
      </w:r>
      <w:bookmarkEnd w:id="55"/>
    </w:p>
    <w:p>
      <w:pPr>
        <w:spacing w:line="360" w:lineRule="auto"/>
        <w:ind w:firstLine="240" w:firstLineChars="100"/>
        <w:rPr>
          <w:sz w:val="24"/>
          <w:szCs w:val="24"/>
        </w:rPr>
      </w:pPr>
      <w:r>
        <w:rPr>
          <w:sz w:val="24"/>
          <w:szCs w:val="24"/>
        </w:rPr>
        <w:t>1.2.1 本招标文件所述内容，仅适用于本次项目采购。</w:t>
      </w:r>
    </w:p>
    <w:p>
      <w:pPr>
        <w:spacing w:line="360" w:lineRule="auto"/>
        <w:ind w:firstLine="240" w:firstLineChars="100"/>
        <w:rPr>
          <w:sz w:val="24"/>
          <w:szCs w:val="24"/>
        </w:rPr>
      </w:pPr>
      <w:r>
        <w:rPr>
          <w:sz w:val="24"/>
          <w:szCs w:val="24"/>
        </w:rPr>
        <w:t>1.2.2 招标文件的修改性文件、补充文件、澄清文件或说明具有同等法律效力。</w:t>
      </w:r>
    </w:p>
    <w:p>
      <w:pPr>
        <w:spacing w:line="360" w:lineRule="auto"/>
        <w:ind w:firstLine="240" w:firstLineChars="100"/>
        <w:rPr>
          <w:sz w:val="24"/>
          <w:szCs w:val="24"/>
        </w:rPr>
      </w:pPr>
      <w:r>
        <w:rPr>
          <w:sz w:val="24"/>
          <w:szCs w:val="24"/>
        </w:rPr>
        <w:t>1.2.3 本招标文件适用于并执行《政府采购法》和其它相关的法律、法规。</w:t>
      </w:r>
    </w:p>
    <w:p>
      <w:pPr>
        <w:spacing w:line="360" w:lineRule="auto"/>
        <w:ind w:firstLine="240" w:firstLineChars="100"/>
        <w:rPr>
          <w:sz w:val="24"/>
          <w:szCs w:val="24"/>
        </w:rPr>
      </w:pPr>
      <w:r>
        <w:rPr>
          <w:sz w:val="24"/>
          <w:szCs w:val="24"/>
        </w:rPr>
        <w:t>1.2.4 本招标文件的解释权属采购人及代理机构。</w:t>
      </w:r>
    </w:p>
    <w:p>
      <w:pPr>
        <w:spacing w:line="360" w:lineRule="auto"/>
        <w:ind w:firstLine="241" w:firstLineChars="100"/>
        <w:outlineLvl w:val="2"/>
        <w:rPr>
          <w:b/>
          <w:bCs/>
          <w:sz w:val="24"/>
          <w:szCs w:val="24"/>
        </w:rPr>
      </w:pPr>
      <w:bookmarkStart w:id="56" w:name="_Toc9353"/>
      <w:r>
        <w:rPr>
          <w:b/>
          <w:bCs/>
          <w:sz w:val="24"/>
          <w:szCs w:val="24"/>
        </w:rPr>
        <w:t>1.3 合格的投标人</w:t>
      </w:r>
      <w:bookmarkEnd w:id="56"/>
    </w:p>
    <w:p>
      <w:pPr>
        <w:spacing w:line="360" w:lineRule="auto"/>
        <w:ind w:firstLine="240" w:firstLineChars="100"/>
        <w:rPr>
          <w:rFonts w:hint="eastAsia"/>
          <w:sz w:val="24"/>
          <w:szCs w:val="24"/>
        </w:rPr>
      </w:pPr>
      <w:r>
        <w:rPr>
          <w:color w:val="auto"/>
          <w:sz w:val="24"/>
          <w:szCs w:val="24"/>
        </w:rPr>
        <w:t xml:space="preserve">1.3.1 </w:t>
      </w:r>
      <w:r>
        <w:rPr>
          <w:rFonts w:hint="eastAsia"/>
          <w:color w:val="auto"/>
          <w:sz w:val="24"/>
          <w:szCs w:val="24"/>
        </w:rPr>
        <w:t>在中</w:t>
      </w:r>
      <w:r>
        <w:rPr>
          <w:rFonts w:hint="eastAsia"/>
          <w:sz w:val="24"/>
          <w:szCs w:val="24"/>
        </w:rPr>
        <w:t>华人民共和国境内注册，具有本项目实施能力，符合、承认并承诺履行本招标文件各项规定的法人、其他组织或者自然人。</w:t>
      </w:r>
    </w:p>
    <w:p>
      <w:pPr>
        <w:spacing w:line="360" w:lineRule="auto"/>
        <w:ind w:firstLine="240" w:firstLineChars="100"/>
        <w:rPr>
          <w:sz w:val="24"/>
          <w:szCs w:val="24"/>
        </w:rPr>
      </w:pPr>
      <w:r>
        <w:rPr>
          <w:sz w:val="24"/>
          <w:szCs w:val="24"/>
        </w:rPr>
        <w:t>1.3.2 单位负责人为同一人或者存在直接控股、管理关系的不同</w:t>
      </w:r>
      <w:r>
        <w:rPr>
          <w:rFonts w:hint="eastAsia"/>
          <w:sz w:val="24"/>
          <w:szCs w:val="24"/>
          <w:lang w:eastAsia="zh-CN"/>
        </w:rPr>
        <w:t>投标人</w:t>
      </w:r>
      <w:r>
        <w:rPr>
          <w:sz w:val="24"/>
          <w:szCs w:val="24"/>
        </w:rPr>
        <w:t>，不得参加同一合同项下的政府采购活动。</w:t>
      </w:r>
    </w:p>
    <w:p>
      <w:pPr>
        <w:spacing w:line="360" w:lineRule="auto"/>
        <w:ind w:firstLine="240" w:firstLineChars="100"/>
        <w:rPr>
          <w:sz w:val="24"/>
          <w:szCs w:val="24"/>
        </w:rPr>
      </w:pPr>
      <w:r>
        <w:rPr>
          <w:sz w:val="24"/>
          <w:szCs w:val="24"/>
        </w:rPr>
        <w:t>1.3.3 为招标项目提供整体设计、规范编制或者项目管理、监理、检测等服务的</w:t>
      </w:r>
      <w:r>
        <w:rPr>
          <w:rFonts w:hint="eastAsia"/>
          <w:sz w:val="24"/>
          <w:szCs w:val="24"/>
          <w:lang w:eastAsia="zh-CN"/>
        </w:rPr>
        <w:t>投标人</w:t>
      </w:r>
      <w:r>
        <w:rPr>
          <w:sz w:val="24"/>
          <w:szCs w:val="24"/>
        </w:rPr>
        <w:t>，不得再参加该招标项目的其他采购活动。</w:t>
      </w:r>
    </w:p>
    <w:p>
      <w:pPr>
        <w:spacing w:line="360" w:lineRule="auto"/>
        <w:ind w:firstLine="240" w:firstLineChars="100"/>
        <w:rPr>
          <w:sz w:val="24"/>
          <w:szCs w:val="24"/>
        </w:rPr>
      </w:pPr>
      <w:r>
        <w:rPr>
          <w:sz w:val="24"/>
          <w:szCs w:val="24"/>
        </w:rPr>
        <w:t>1.3.4 投标人应遵守国家法律、法规和招标文件的规定。不得违背国家利益、社会公众利益。</w:t>
      </w:r>
    </w:p>
    <w:p>
      <w:pPr>
        <w:spacing w:line="360" w:lineRule="auto"/>
        <w:ind w:firstLine="241" w:firstLineChars="100"/>
        <w:outlineLvl w:val="2"/>
        <w:rPr>
          <w:rFonts w:hint="eastAsia" w:eastAsiaTheme="minorEastAsia"/>
          <w:b/>
          <w:bCs/>
          <w:sz w:val="24"/>
          <w:szCs w:val="24"/>
          <w:lang w:eastAsia="zh-CN"/>
        </w:rPr>
      </w:pPr>
      <w:bookmarkStart w:id="57" w:name="_Toc26950"/>
      <w:r>
        <w:rPr>
          <w:b/>
          <w:bCs/>
          <w:sz w:val="24"/>
          <w:szCs w:val="24"/>
        </w:rPr>
        <w:t>1.4 联合体</w:t>
      </w:r>
      <w:bookmarkEnd w:id="57"/>
      <w:r>
        <w:rPr>
          <w:rFonts w:hint="eastAsia"/>
          <w:b/>
          <w:bCs/>
          <w:sz w:val="24"/>
          <w:szCs w:val="24"/>
          <w:lang w:eastAsia="zh-CN"/>
        </w:rPr>
        <w:t>（</w:t>
      </w:r>
      <w:r>
        <w:rPr>
          <w:rFonts w:hint="eastAsia"/>
          <w:b/>
          <w:bCs/>
          <w:sz w:val="24"/>
          <w:szCs w:val="24"/>
          <w:lang w:val="en-US" w:eastAsia="zh-CN"/>
        </w:rPr>
        <w:t>本项目不接受联合体</w:t>
      </w:r>
      <w:r>
        <w:rPr>
          <w:rFonts w:hint="eastAsia"/>
          <w:b/>
          <w:bCs/>
          <w:sz w:val="24"/>
          <w:szCs w:val="24"/>
          <w:lang w:eastAsia="zh-CN"/>
        </w:rPr>
        <w:t>）</w:t>
      </w:r>
    </w:p>
    <w:p>
      <w:pPr>
        <w:spacing w:line="360" w:lineRule="auto"/>
        <w:ind w:firstLine="240" w:firstLineChars="100"/>
        <w:rPr>
          <w:sz w:val="24"/>
          <w:szCs w:val="24"/>
        </w:rPr>
      </w:pPr>
      <w:r>
        <w:rPr>
          <w:sz w:val="24"/>
          <w:szCs w:val="24"/>
        </w:rPr>
        <w:t>投标人须知前附表规定接受联合体投标的，应遵守以下规定：</w:t>
      </w:r>
    </w:p>
    <w:p>
      <w:pPr>
        <w:spacing w:line="360" w:lineRule="auto"/>
        <w:ind w:firstLine="240" w:firstLineChars="100"/>
        <w:rPr>
          <w:sz w:val="24"/>
          <w:szCs w:val="24"/>
        </w:rPr>
      </w:pPr>
      <w:r>
        <w:rPr>
          <w:sz w:val="24"/>
          <w:szCs w:val="24"/>
        </w:rPr>
        <w:t>（1）两个以上</w:t>
      </w:r>
      <w:r>
        <w:rPr>
          <w:rFonts w:hint="eastAsia"/>
          <w:sz w:val="24"/>
          <w:szCs w:val="24"/>
          <w:lang w:eastAsia="zh-CN"/>
        </w:rPr>
        <w:t>投标人</w:t>
      </w:r>
      <w:r>
        <w:rPr>
          <w:sz w:val="24"/>
          <w:szCs w:val="24"/>
        </w:rPr>
        <w:t>可以组成一个投标联合体，以一个投标人的身份投标，但必须确定其中一个单位为投标的全权代表参加投标活动，并承担投标及履约中应承担的全部责任和义务。</w:t>
      </w:r>
    </w:p>
    <w:p>
      <w:pPr>
        <w:spacing w:line="360" w:lineRule="auto"/>
        <w:ind w:firstLine="240" w:firstLineChars="100"/>
        <w:rPr>
          <w:sz w:val="24"/>
          <w:szCs w:val="24"/>
        </w:rPr>
      </w:pPr>
      <w:r>
        <w:rPr>
          <w:sz w:val="24"/>
          <w:szCs w:val="24"/>
        </w:rPr>
        <w:t>（2）以联合体形式参加投标的，将对所有的联合体成员进行信用记录查询，联合体成员存在不良信用记录的，视同联合体存在不良信用记录，为无效投标。</w:t>
      </w:r>
    </w:p>
    <w:p>
      <w:pPr>
        <w:spacing w:line="360" w:lineRule="auto"/>
        <w:ind w:firstLine="240" w:firstLineChars="100"/>
        <w:rPr>
          <w:sz w:val="24"/>
          <w:szCs w:val="24"/>
        </w:rPr>
      </w:pPr>
      <w:r>
        <w:rPr>
          <w:sz w:val="24"/>
          <w:szCs w:val="24"/>
        </w:rPr>
        <w:t>（3）以联合体形式参加投标的，应符投标人须知前附表的要求，联合体各方均应当符合政府采购法第二十二条第一款规定的条件，联合体各方均应当具备承担招标项目（标段&lt;包&gt;）的相应能力、具备规定的相应资格条件。</w:t>
      </w:r>
    </w:p>
    <w:p>
      <w:pPr>
        <w:spacing w:line="360" w:lineRule="auto"/>
        <w:ind w:firstLine="240" w:firstLineChars="100"/>
        <w:rPr>
          <w:sz w:val="24"/>
          <w:szCs w:val="24"/>
        </w:rPr>
      </w:pPr>
      <w:r>
        <w:rPr>
          <w:sz w:val="24"/>
          <w:szCs w:val="24"/>
        </w:rPr>
        <w:t>（4）联合体中有同类资质的</w:t>
      </w:r>
      <w:r>
        <w:rPr>
          <w:rFonts w:hint="eastAsia"/>
          <w:sz w:val="24"/>
          <w:szCs w:val="24"/>
          <w:lang w:eastAsia="zh-CN"/>
        </w:rPr>
        <w:t>投标人</w:t>
      </w:r>
      <w:r>
        <w:rPr>
          <w:sz w:val="24"/>
          <w:szCs w:val="24"/>
        </w:rPr>
        <w:t>按照联合体分工承担相同工作的，应当按照资质等级较低的</w:t>
      </w:r>
      <w:r>
        <w:rPr>
          <w:rFonts w:hint="eastAsia"/>
          <w:sz w:val="24"/>
          <w:szCs w:val="24"/>
          <w:lang w:eastAsia="zh-CN"/>
        </w:rPr>
        <w:t>投标人</w:t>
      </w:r>
      <w:r>
        <w:rPr>
          <w:sz w:val="24"/>
          <w:szCs w:val="24"/>
        </w:rPr>
        <w:t>确定资质等级。</w:t>
      </w:r>
    </w:p>
    <w:p>
      <w:pPr>
        <w:spacing w:line="360" w:lineRule="auto"/>
        <w:ind w:firstLine="240" w:firstLineChars="100"/>
        <w:rPr>
          <w:sz w:val="24"/>
          <w:szCs w:val="24"/>
        </w:rPr>
      </w:pPr>
      <w:r>
        <w:rPr>
          <w:sz w:val="24"/>
          <w:szCs w:val="24"/>
        </w:rPr>
        <w:t>（5）联合体各方之间应当签订联合投标协议，明确约定联合体各方承担的工作和相应的责任，并将联合投标协议连同投标文件一并提交采购代理机构。</w:t>
      </w:r>
    </w:p>
    <w:p>
      <w:pPr>
        <w:spacing w:line="360" w:lineRule="auto"/>
        <w:ind w:firstLine="240" w:firstLineChars="100"/>
        <w:rPr>
          <w:sz w:val="24"/>
          <w:szCs w:val="24"/>
        </w:rPr>
      </w:pPr>
      <w:r>
        <w:rPr>
          <w:sz w:val="24"/>
          <w:szCs w:val="24"/>
        </w:rPr>
        <w:t>（6）联合体各方签订联合投标协议后，不得再以自己名义单独在同一项目中投标，也不得组成新的联合体参加同一项目投标。</w:t>
      </w:r>
    </w:p>
    <w:p>
      <w:pPr>
        <w:spacing w:line="360" w:lineRule="auto"/>
        <w:ind w:firstLine="240" w:firstLineChars="100"/>
        <w:rPr>
          <w:sz w:val="24"/>
          <w:szCs w:val="24"/>
        </w:rPr>
      </w:pPr>
      <w:r>
        <w:rPr>
          <w:sz w:val="24"/>
          <w:szCs w:val="24"/>
        </w:rPr>
        <w:t>（7）联合体中标的，联合体各方应当共同与采购人签订合同，就中标项目（标段&lt;包&gt;）向采购人承担连带责任。</w:t>
      </w:r>
    </w:p>
    <w:p>
      <w:pPr>
        <w:spacing w:line="360" w:lineRule="auto"/>
        <w:ind w:firstLine="240" w:firstLineChars="100"/>
        <w:rPr>
          <w:sz w:val="24"/>
          <w:szCs w:val="24"/>
        </w:rPr>
      </w:pPr>
      <w:r>
        <w:rPr>
          <w:sz w:val="24"/>
          <w:szCs w:val="24"/>
        </w:rPr>
        <w:t>（8）预留中小企业份额项目中，组成联合体的中小企业与联合体内其他企业不得存在直接控股、管理关系。</w:t>
      </w:r>
    </w:p>
    <w:p>
      <w:pPr>
        <w:spacing w:line="360" w:lineRule="auto"/>
        <w:ind w:firstLine="241" w:firstLineChars="100"/>
        <w:outlineLvl w:val="2"/>
        <w:rPr>
          <w:b/>
          <w:bCs/>
          <w:sz w:val="24"/>
          <w:szCs w:val="24"/>
        </w:rPr>
      </w:pPr>
      <w:bookmarkStart w:id="58" w:name="_Toc9399"/>
      <w:r>
        <w:rPr>
          <w:b/>
          <w:bCs/>
          <w:sz w:val="24"/>
          <w:szCs w:val="24"/>
        </w:rPr>
        <w:t>1.5 知识产权</w:t>
      </w:r>
      <w:bookmarkEnd w:id="58"/>
    </w:p>
    <w:p>
      <w:pPr>
        <w:spacing w:line="360" w:lineRule="auto"/>
        <w:ind w:firstLine="240" w:firstLineChars="100"/>
        <w:rPr>
          <w:color w:val="auto"/>
          <w:sz w:val="24"/>
          <w:szCs w:val="24"/>
          <w:highlight w:val="none"/>
        </w:rPr>
      </w:pPr>
      <w:r>
        <w:rPr>
          <w:color w:val="auto"/>
          <w:sz w:val="24"/>
          <w:szCs w:val="24"/>
          <w:highlight w:val="none"/>
        </w:rPr>
        <w:t xml:space="preserve">1.5.1 </w:t>
      </w:r>
      <w:r>
        <w:rPr>
          <w:rFonts w:hint="eastAsia"/>
          <w:color w:val="auto"/>
          <w:sz w:val="24"/>
          <w:szCs w:val="24"/>
          <w:highlight w:val="none"/>
          <w:lang w:val="en-US" w:eastAsia="zh-CN"/>
        </w:rPr>
        <w:t>在投标文件中</w:t>
      </w:r>
      <w:r>
        <w:rPr>
          <w:color w:val="auto"/>
          <w:sz w:val="24"/>
          <w:szCs w:val="24"/>
          <w:highlight w:val="none"/>
        </w:rPr>
        <w:t>须</w:t>
      </w:r>
      <w:r>
        <w:rPr>
          <w:rFonts w:hint="eastAsia"/>
          <w:color w:val="auto"/>
          <w:sz w:val="24"/>
          <w:szCs w:val="24"/>
          <w:highlight w:val="none"/>
          <w:lang w:val="en-US" w:eastAsia="zh-CN"/>
        </w:rPr>
        <w:t>书面保证</w:t>
      </w:r>
      <w:r>
        <w:rPr>
          <w:color w:val="auto"/>
          <w:sz w:val="24"/>
          <w:szCs w:val="24"/>
          <w:highlight w:val="none"/>
        </w:rPr>
        <w:t>采购人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w:t>
      </w:r>
      <w:r>
        <w:rPr>
          <w:rFonts w:hint="eastAsia"/>
          <w:color w:val="auto"/>
          <w:sz w:val="24"/>
          <w:szCs w:val="24"/>
          <w:highlight w:val="none"/>
          <w:lang w:eastAsia="zh-CN"/>
        </w:rPr>
        <w:t>投标人</w:t>
      </w:r>
      <w:r>
        <w:rPr>
          <w:color w:val="auto"/>
          <w:sz w:val="24"/>
          <w:szCs w:val="24"/>
          <w:highlight w:val="none"/>
        </w:rPr>
        <w:t>承担所有相关责任。</w:t>
      </w:r>
    </w:p>
    <w:p>
      <w:pPr>
        <w:spacing w:line="360" w:lineRule="auto"/>
        <w:ind w:firstLine="480" w:firstLineChars="200"/>
        <w:rPr>
          <w:sz w:val="24"/>
          <w:szCs w:val="24"/>
        </w:rPr>
      </w:pPr>
      <w:r>
        <w:rPr>
          <w:sz w:val="24"/>
          <w:szCs w:val="24"/>
        </w:rPr>
        <w:t>如</w:t>
      </w:r>
      <w:r>
        <w:rPr>
          <w:rFonts w:hint="eastAsia"/>
          <w:sz w:val="24"/>
          <w:szCs w:val="24"/>
          <w:lang w:eastAsia="zh-CN"/>
        </w:rPr>
        <w:t>投标人</w:t>
      </w:r>
      <w:r>
        <w:rPr>
          <w:sz w:val="24"/>
          <w:szCs w:val="24"/>
        </w:rPr>
        <w:t>不拥有相应的知识产权，则在投标报价中必须包括合法获取该知识产权的一切相关费用</w:t>
      </w:r>
      <w:r>
        <w:rPr>
          <w:rFonts w:hint="eastAsia"/>
          <w:sz w:val="24"/>
          <w:szCs w:val="24"/>
          <w:lang w:eastAsia="zh-CN"/>
        </w:rPr>
        <w:t>。</w:t>
      </w:r>
      <w:r>
        <w:rPr>
          <w:sz w:val="24"/>
          <w:szCs w:val="24"/>
        </w:rPr>
        <w:t>如因此导致采购人损失的，</w:t>
      </w:r>
      <w:r>
        <w:rPr>
          <w:rFonts w:hint="eastAsia"/>
          <w:sz w:val="24"/>
          <w:szCs w:val="24"/>
          <w:lang w:eastAsia="zh-CN"/>
        </w:rPr>
        <w:t>投标人</w:t>
      </w:r>
      <w:r>
        <w:rPr>
          <w:sz w:val="24"/>
          <w:szCs w:val="24"/>
        </w:rPr>
        <w:t>须承担全部赔偿责任。</w:t>
      </w:r>
    </w:p>
    <w:p>
      <w:pPr>
        <w:spacing w:line="360" w:lineRule="auto"/>
        <w:ind w:firstLine="240" w:firstLineChars="100"/>
        <w:rPr>
          <w:sz w:val="24"/>
          <w:szCs w:val="24"/>
        </w:rPr>
      </w:pPr>
      <w:r>
        <w:rPr>
          <w:sz w:val="24"/>
          <w:szCs w:val="24"/>
        </w:rPr>
        <w:t xml:space="preserve">1.5.2 </w:t>
      </w:r>
      <w:r>
        <w:rPr>
          <w:rFonts w:hint="eastAsia"/>
          <w:sz w:val="24"/>
          <w:szCs w:val="24"/>
          <w:lang w:eastAsia="zh-CN"/>
        </w:rPr>
        <w:t>投标人</w:t>
      </w:r>
      <w:r>
        <w:rPr>
          <w:sz w:val="24"/>
          <w:szCs w:val="24"/>
        </w:rPr>
        <w:t>将在采购项目实施过程中采用自有或者第三方知识成果的，应当在投标文件中载明，并提供相关知识产权证明文件。使用该知识成果后，</w:t>
      </w:r>
      <w:r>
        <w:rPr>
          <w:rFonts w:hint="eastAsia"/>
          <w:sz w:val="24"/>
          <w:szCs w:val="24"/>
          <w:lang w:eastAsia="zh-CN"/>
        </w:rPr>
        <w:t>投标人</w:t>
      </w:r>
      <w:r>
        <w:rPr>
          <w:sz w:val="24"/>
          <w:szCs w:val="24"/>
        </w:rPr>
        <w:t>需提供开发接口和开发手册等技术资料，并承诺提供无限期支持，采购人享有使用权（含采购人委托第三方在该项目后续开发的使用权）。</w:t>
      </w:r>
    </w:p>
    <w:p>
      <w:pPr>
        <w:spacing w:line="360" w:lineRule="auto"/>
        <w:ind w:firstLine="240" w:firstLineChars="100"/>
        <w:rPr>
          <w:sz w:val="24"/>
          <w:szCs w:val="24"/>
        </w:rPr>
      </w:pPr>
      <w:r>
        <w:rPr>
          <w:sz w:val="24"/>
          <w:szCs w:val="24"/>
        </w:rPr>
        <w:t>1.5.3 除非招标文件特别规定，采购人享有本项目实施过程中产生的知识成果及知识产权。</w:t>
      </w:r>
    </w:p>
    <w:p>
      <w:pPr>
        <w:spacing w:line="360" w:lineRule="auto"/>
        <w:ind w:firstLine="241" w:firstLineChars="100"/>
        <w:outlineLvl w:val="2"/>
        <w:rPr>
          <w:b/>
          <w:bCs/>
          <w:sz w:val="24"/>
          <w:szCs w:val="24"/>
        </w:rPr>
      </w:pPr>
      <w:bookmarkStart w:id="59" w:name="_Toc10009"/>
      <w:r>
        <w:rPr>
          <w:b/>
          <w:bCs/>
          <w:sz w:val="24"/>
          <w:szCs w:val="24"/>
        </w:rPr>
        <w:t>1.6 投标费用</w:t>
      </w:r>
      <w:bookmarkEnd w:id="59"/>
    </w:p>
    <w:p>
      <w:pPr>
        <w:spacing w:line="360" w:lineRule="auto"/>
        <w:ind w:firstLine="480" w:firstLineChars="200"/>
        <w:rPr>
          <w:sz w:val="24"/>
          <w:szCs w:val="24"/>
        </w:rPr>
      </w:pPr>
      <w:r>
        <w:rPr>
          <w:sz w:val="24"/>
          <w:szCs w:val="24"/>
        </w:rPr>
        <w:t>无论投标过程中的做法和结果如何，无论何种原因的招标失败废标，投标人应自行承担所有与准备和参加投标有关的全部费用（类比商业采购中的客户洽谈费用），采购代理机构在任何情况下均无义务和责任承担投标人的任何费用。</w:t>
      </w:r>
    </w:p>
    <w:p>
      <w:pPr>
        <w:spacing w:line="360" w:lineRule="auto"/>
        <w:ind w:firstLine="241" w:firstLineChars="100"/>
        <w:outlineLvl w:val="2"/>
        <w:rPr>
          <w:sz w:val="24"/>
          <w:szCs w:val="24"/>
        </w:rPr>
      </w:pPr>
      <w:bookmarkStart w:id="60" w:name="_Toc19649"/>
      <w:r>
        <w:rPr>
          <w:b/>
          <w:bCs/>
          <w:sz w:val="24"/>
          <w:szCs w:val="24"/>
        </w:rPr>
        <w:t>1.7 保密</w:t>
      </w:r>
      <w:bookmarkEnd w:id="60"/>
    </w:p>
    <w:p>
      <w:pPr>
        <w:spacing w:line="360" w:lineRule="auto"/>
        <w:ind w:firstLine="240" w:firstLineChars="100"/>
        <w:rPr>
          <w:sz w:val="24"/>
          <w:szCs w:val="24"/>
        </w:rPr>
      </w:pPr>
      <w:r>
        <w:rPr>
          <w:sz w:val="24"/>
          <w:szCs w:val="24"/>
        </w:rPr>
        <w:t>1.7.1 参与公开招标活动的各方应对招标文件和投标文件中的商业和技术等秘密保密，投标人应在投标文件中对需保密事项予以书面声明，否则视为非保密事项。</w:t>
      </w:r>
    </w:p>
    <w:p>
      <w:pPr>
        <w:spacing w:line="360" w:lineRule="auto"/>
        <w:ind w:firstLine="240" w:firstLineChars="100"/>
        <w:rPr>
          <w:sz w:val="24"/>
          <w:szCs w:val="24"/>
        </w:rPr>
      </w:pPr>
      <w:r>
        <w:rPr>
          <w:sz w:val="24"/>
          <w:szCs w:val="24"/>
        </w:rPr>
        <w:t>1.7.2 依据政府采购中标结果及合同公告规定，中标（合同）标的名称、规格型号、单价及中标（合同）金额等内容不得作为商业秘密。</w:t>
      </w:r>
    </w:p>
    <w:p>
      <w:pPr>
        <w:spacing w:line="360" w:lineRule="auto"/>
        <w:ind w:firstLine="241" w:firstLineChars="100"/>
        <w:outlineLvl w:val="2"/>
        <w:rPr>
          <w:b/>
          <w:bCs/>
          <w:sz w:val="24"/>
          <w:szCs w:val="24"/>
        </w:rPr>
      </w:pPr>
      <w:bookmarkStart w:id="61" w:name="_Toc13454"/>
      <w:r>
        <w:rPr>
          <w:b/>
          <w:bCs/>
          <w:sz w:val="24"/>
          <w:szCs w:val="24"/>
        </w:rPr>
        <w:t>1.8 语言文字</w:t>
      </w:r>
      <w:bookmarkEnd w:id="61"/>
    </w:p>
    <w:p>
      <w:pPr>
        <w:spacing w:line="360" w:lineRule="auto"/>
        <w:ind w:firstLine="480" w:firstLineChars="200"/>
        <w:rPr>
          <w:sz w:val="24"/>
          <w:szCs w:val="24"/>
        </w:rPr>
      </w:pPr>
      <w:r>
        <w:rPr>
          <w:sz w:val="24"/>
          <w:szCs w:val="24"/>
        </w:rPr>
        <w:t>除专用术语外，与公开招标有关的语言均使用中文。必要时专用术语应附有中文注释。如果投标文件或与投标有关的其它文件、信件及来往函电以其它语言书写，投标人应将其译成中文，并对中文译稿的真实、准确、完整承担责任。</w:t>
      </w:r>
    </w:p>
    <w:p>
      <w:pPr>
        <w:spacing w:line="360" w:lineRule="auto"/>
        <w:ind w:firstLine="241" w:firstLineChars="100"/>
        <w:outlineLvl w:val="2"/>
        <w:rPr>
          <w:b/>
          <w:bCs/>
          <w:sz w:val="24"/>
          <w:szCs w:val="24"/>
        </w:rPr>
      </w:pPr>
      <w:bookmarkStart w:id="62" w:name="_Toc5446"/>
      <w:r>
        <w:rPr>
          <w:b/>
          <w:bCs/>
          <w:sz w:val="24"/>
          <w:szCs w:val="24"/>
        </w:rPr>
        <w:t>1.9 计量单位</w:t>
      </w:r>
      <w:bookmarkEnd w:id="62"/>
    </w:p>
    <w:p>
      <w:pPr>
        <w:spacing w:line="360" w:lineRule="auto"/>
        <w:ind w:firstLine="480" w:firstLineChars="200"/>
        <w:rPr>
          <w:sz w:val="24"/>
          <w:szCs w:val="24"/>
        </w:rPr>
      </w:pPr>
      <w:r>
        <w:rPr>
          <w:sz w:val="24"/>
          <w:szCs w:val="24"/>
        </w:rPr>
        <w:t>所有计量均采用中华人民共和国法定计量单位。</w:t>
      </w:r>
    </w:p>
    <w:p>
      <w:pPr>
        <w:spacing w:line="360" w:lineRule="auto"/>
        <w:ind w:firstLine="241" w:firstLineChars="100"/>
        <w:outlineLvl w:val="2"/>
        <w:rPr>
          <w:b/>
          <w:bCs/>
          <w:sz w:val="24"/>
          <w:szCs w:val="24"/>
        </w:rPr>
      </w:pPr>
      <w:bookmarkStart w:id="63" w:name="_Toc882"/>
      <w:r>
        <w:rPr>
          <w:b/>
          <w:bCs/>
          <w:sz w:val="24"/>
          <w:szCs w:val="24"/>
        </w:rPr>
        <w:t>1.10 踏勘现场</w:t>
      </w:r>
      <w:bookmarkEnd w:id="63"/>
    </w:p>
    <w:p>
      <w:pPr>
        <w:spacing w:line="360" w:lineRule="auto"/>
        <w:ind w:firstLine="240" w:firstLineChars="100"/>
        <w:rPr>
          <w:sz w:val="24"/>
          <w:szCs w:val="24"/>
        </w:rPr>
      </w:pPr>
      <w:r>
        <w:rPr>
          <w:sz w:val="24"/>
          <w:szCs w:val="24"/>
        </w:rPr>
        <w:t>1.10.1 投标人踏勘现场发生的费用自理，投标人自行负责在踏勘现场中所发生的人员伤亡和财产损失。</w:t>
      </w:r>
    </w:p>
    <w:p>
      <w:pPr>
        <w:spacing w:line="360" w:lineRule="auto"/>
        <w:ind w:firstLine="240" w:firstLineChars="100"/>
        <w:rPr>
          <w:sz w:val="24"/>
          <w:szCs w:val="24"/>
        </w:rPr>
      </w:pPr>
      <w:r>
        <w:rPr>
          <w:sz w:val="24"/>
          <w:szCs w:val="24"/>
        </w:rPr>
        <w:t>1.10.2 投标人须知前附表规定组织踏勘现场的，采购人及代理机构按投标人须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投标人据此作出的判断和决策负责。</w:t>
      </w:r>
    </w:p>
    <w:p>
      <w:pPr>
        <w:spacing w:line="360" w:lineRule="auto"/>
        <w:ind w:firstLine="240" w:firstLineChars="100"/>
        <w:rPr>
          <w:sz w:val="24"/>
          <w:szCs w:val="24"/>
        </w:rPr>
      </w:pPr>
      <w:r>
        <w:rPr>
          <w:sz w:val="24"/>
          <w:szCs w:val="24"/>
        </w:rPr>
        <w:t>1.10.3 不组织踏勘现场的，招标文件不单独提供交付（实施）地自然环境、气候条件、交验安装条件等情况说明，投标人被视为熟悉前述与履行合同有关的一切情况，投标人可自行踏勘现场并自行了解相关情况。</w:t>
      </w:r>
    </w:p>
    <w:p>
      <w:pPr>
        <w:spacing w:line="360" w:lineRule="auto"/>
        <w:ind w:firstLine="241" w:firstLineChars="100"/>
        <w:outlineLvl w:val="2"/>
        <w:rPr>
          <w:b/>
          <w:bCs/>
          <w:sz w:val="24"/>
          <w:szCs w:val="24"/>
        </w:rPr>
      </w:pPr>
      <w:bookmarkStart w:id="64" w:name="_Toc15840"/>
      <w:r>
        <w:rPr>
          <w:b/>
          <w:bCs/>
          <w:sz w:val="24"/>
          <w:szCs w:val="24"/>
        </w:rPr>
        <w:t>1.11 开标前答疑会</w:t>
      </w:r>
      <w:bookmarkEnd w:id="64"/>
    </w:p>
    <w:p>
      <w:pPr>
        <w:spacing w:line="360" w:lineRule="auto"/>
        <w:ind w:firstLine="240" w:firstLineChars="100"/>
        <w:rPr>
          <w:sz w:val="24"/>
          <w:szCs w:val="24"/>
        </w:rPr>
      </w:pPr>
      <w:r>
        <w:rPr>
          <w:sz w:val="24"/>
          <w:szCs w:val="24"/>
        </w:rPr>
        <w:t>1.11.1 采购人或者采购代理机构可以在招标文件提供期限截止后，组织已获取招标文件的潜在投标人召开开标前答疑会。</w:t>
      </w:r>
    </w:p>
    <w:p>
      <w:pPr>
        <w:spacing w:line="360" w:lineRule="auto"/>
        <w:ind w:firstLine="480" w:firstLineChars="200"/>
        <w:rPr>
          <w:sz w:val="24"/>
          <w:szCs w:val="24"/>
        </w:rPr>
      </w:pPr>
      <w:r>
        <w:rPr>
          <w:sz w:val="24"/>
          <w:szCs w:val="24"/>
        </w:rPr>
        <w:t>召开答疑会的，将在招标文件中载明，或者在招标文件提供期限截止后以书面形式通知所有获取招标文件的潜在投标人。</w:t>
      </w:r>
    </w:p>
    <w:p>
      <w:pPr>
        <w:spacing w:line="360" w:lineRule="auto"/>
        <w:ind w:firstLine="240" w:firstLineChars="100"/>
        <w:rPr>
          <w:sz w:val="24"/>
          <w:szCs w:val="24"/>
        </w:rPr>
      </w:pPr>
      <w:r>
        <w:rPr>
          <w:sz w:val="24"/>
          <w:szCs w:val="24"/>
        </w:rPr>
        <w:t>1.11.2 投标人应在投标人须知前附表或书面通知规定的时间前，以书面形式将提出的问题送达采购人及代理机构，以便采购人及代理机构在会议期间答疑说明。投标人需要采购人或者采购代理机构书面澄清的问题，应当书面明确标注。</w:t>
      </w:r>
    </w:p>
    <w:p>
      <w:pPr>
        <w:spacing w:line="360" w:lineRule="auto"/>
        <w:ind w:firstLine="240" w:firstLineChars="100"/>
        <w:rPr>
          <w:sz w:val="24"/>
          <w:szCs w:val="24"/>
        </w:rPr>
      </w:pPr>
      <w:r>
        <w:rPr>
          <w:sz w:val="24"/>
          <w:szCs w:val="24"/>
        </w:rPr>
        <w:t>1.11.3 答疑会后，采购人及代理机构在投标人须知前附表规定的时间内，将对投标人依法提出的重要问题的澄清，以本章2.3.2项方式通告潜在投标人。该澄清内容为招标文件的组成部分。</w:t>
      </w:r>
    </w:p>
    <w:p>
      <w:pPr>
        <w:spacing w:line="360" w:lineRule="auto"/>
        <w:ind w:firstLine="241" w:firstLineChars="100"/>
        <w:outlineLvl w:val="2"/>
        <w:rPr>
          <w:b/>
          <w:bCs/>
          <w:sz w:val="24"/>
          <w:szCs w:val="24"/>
        </w:rPr>
      </w:pPr>
      <w:bookmarkStart w:id="65" w:name="_Toc7666"/>
      <w:r>
        <w:rPr>
          <w:b/>
          <w:bCs/>
          <w:sz w:val="24"/>
          <w:szCs w:val="24"/>
        </w:rPr>
        <w:t>1.12 分包</w:t>
      </w:r>
      <w:bookmarkEnd w:id="65"/>
    </w:p>
    <w:p>
      <w:pPr>
        <w:spacing w:line="360" w:lineRule="auto"/>
        <w:ind w:firstLine="480" w:firstLineChars="200"/>
        <w:rPr>
          <w:sz w:val="24"/>
          <w:szCs w:val="24"/>
        </w:rPr>
      </w:pPr>
      <w:r>
        <w:rPr>
          <w:sz w:val="24"/>
          <w:szCs w:val="24"/>
        </w:rPr>
        <w:t>投标人拟中标后将中标项目（标段&lt;包&gt;）的部分非主体、非关键性工作进行分包的，应符合投标人须知前附表规定的分包内容、分包金额和接受分包的第三人资质要求等限制性条件。投标人应当在投标文件中载明分包承担主体，分包承担主体应当具备相应资质条件且不得再次分包。</w:t>
      </w:r>
    </w:p>
    <w:p>
      <w:pPr>
        <w:spacing w:line="360" w:lineRule="auto"/>
        <w:ind w:firstLine="480" w:firstLineChars="200"/>
        <w:rPr>
          <w:sz w:val="24"/>
          <w:szCs w:val="24"/>
        </w:rPr>
      </w:pPr>
      <w:r>
        <w:rPr>
          <w:sz w:val="24"/>
          <w:szCs w:val="24"/>
        </w:rPr>
        <w:t>预留中小企业份额项目中，接受分包合同的中小企业与分包企业之间不得存在直接控股、管理关系依法享受扶持政策获得政府采购合同的，小微企业不得将合同分包给大中型企业，中 型企业不得将合同分包给大型企业。</w:t>
      </w:r>
    </w:p>
    <w:p>
      <w:pPr>
        <w:spacing w:line="360" w:lineRule="auto"/>
        <w:ind w:firstLine="241" w:firstLineChars="100"/>
        <w:outlineLvl w:val="2"/>
        <w:rPr>
          <w:b/>
          <w:bCs/>
          <w:sz w:val="24"/>
          <w:szCs w:val="24"/>
        </w:rPr>
      </w:pPr>
      <w:bookmarkStart w:id="66" w:name="_Toc13596"/>
      <w:r>
        <w:rPr>
          <w:b/>
          <w:bCs/>
          <w:sz w:val="24"/>
          <w:szCs w:val="24"/>
        </w:rPr>
        <w:t>1.13 偏离</w:t>
      </w:r>
      <w:bookmarkEnd w:id="66"/>
    </w:p>
    <w:p>
      <w:pPr>
        <w:spacing w:line="360" w:lineRule="auto"/>
        <w:ind w:firstLine="480" w:firstLineChars="200"/>
        <w:rPr>
          <w:sz w:val="24"/>
          <w:szCs w:val="24"/>
        </w:rPr>
      </w:pPr>
      <w:r>
        <w:rPr>
          <w:sz w:val="24"/>
          <w:szCs w:val="24"/>
        </w:rPr>
        <w:t>招标文件允许投标文件偏离招标文件某些要求的，偏离应当符合招标文件规定的偏离范围和幅度。</w:t>
      </w:r>
    </w:p>
    <w:p>
      <w:pPr>
        <w:spacing w:line="360" w:lineRule="auto"/>
        <w:outlineLvl w:val="1"/>
        <w:rPr>
          <w:b/>
          <w:bCs/>
          <w:sz w:val="24"/>
          <w:szCs w:val="24"/>
        </w:rPr>
      </w:pPr>
      <w:bookmarkStart w:id="67" w:name="_Toc573"/>
      <w:r>
        <w:rPr>
          <w:b/>
          <w:bCs/>
          <w:sz w:val="24"/>
          <w:szCs w:val="24"/>
        </w:rPr>
        <w:t>2 招标文件</w:t>
      </w:r>
      <w:bookmarkEnd w:id="67"/>
    </w:p>
    <w:p>
      <w:pPr>
        <w:spacing w:line="360" w:lineRule="auto"/>
        <w:ind w:firstLine="241" w:firstLineChars="100"/>
        <w:outlineLvl w:val="2"/>
        <w:rPr>
          <w:b/>
          <w:bCs/>
          <w:sz w:val="24"/>
          <w:szCs w:val="24"/>
        </w:rPr>
      </w:pPr>
      <w:bookmarkStart w:id="68" w:name="_Toc16697"/>
      <w:r>
        <w:rPr>
          <w:b/>
          <w:bCs/>
          <w:sz w:val="24"/>
          <w:szCs w:val="24"/>
        </w:rPr>
        <w:t>2.1 招标文件的组成：</w:t>
      </w:r>
      <w:bookmarkEnd w:id="68"/>
    </w:p>
    <w:p>
      <w:pPr>
        <w:spacing w:line="360" w:lineRule="auto"/>
        <w:ind w:firstLine="240" w:firstLineChars="100"/>
        <w:rPr>
          <w:sz w:val="24"/>
          <w:szCs w:val="24"/>
        </w:rPr>
      </w:pPr>
      <w:r>
        <w:rPr>
          <w:sz w:val="24"/>
          <w:szCs w:val="24"/>
        </w:rPr>
        <w:t>2.1.1 招标文件用以阐明招标项目的内容、程序和合同主要条款。招标文件由下述部分组成：</w:t>
      </w:r>
    </w:p>
    <w:p>
      <w:pPr>
        <w:spacing w:line="360" w:lineRule="auto"/>
        <w:ind w:firstLine="480" w:firstLineChars="200"/>
        <w:rPr>
          <w:sz w:val="24"/>
          <w:szCs w:val="24"/>
        </w:rPr>
      </w:pPr>
      <w:r>
        <w:rPr>
          <w:sz w:val="24"/>
          <w:szCs w:val="24"/>
        </w:rPr>
        <w:t>（1）招标公告</w:t>
      </w:r>
    </w:p>
    <w:p>
      <w:pPr>
        <w:spacing w:line="360" w:lineRule="auto"/>
        <w:ind w:firstLine="480" w:firstLineChars="200"/>
        <w:rPr>
          <w:sz w:val="24"/>
          <w:szCs w:val="24"/>
        </w:rPr>
      </w:pPr>
      <w:r>
        <w:rPr>
          <w:sz w:val="24"/>
          <w:szCs w:val="24"/>
        </w:rPr>
        <w:t>（2）招标项目要求及采购需求</w:t>
      </w:r>
    </w:p>
    <w:p>
      <w:pPr>
        <w:spacing w:line="360" w:lineRule="auto"/>
        <w:ind w:firstLine="480" w:firstLineChars="200"/>
        <w:rPr>
          <w:sz w:val="24"/>
          <w:szCs w:val="24"/>
        </w:rPr>
      </w:pPr>
      <w:r>
        <w:rPr>
          <w:sz w:val="24"/>
          <w:szCs w:val="24"/>
        </w:rPr>
        <w:t>（3）投标人须知</w:t>
      </w:r>
    </w:p>
    <w:p>
      <w:pPr>
        <w:spacing w:line="360" w:lineRule="auto"/>
        <w:ind w:firstLine="480" w:firstLineChars="200"/>
        <w:rPr>
          <w:sz w:val="24"/>
          <w:szCs w:val="24"/>
        </w:rPr>
      </w:pPr>
      <w:r>
        <w:rPr>
          <w:sz w:val="24"/>
          <w:szCs w:val="24"/>
        </w:rPr>
        <w:t>（4）评标办法</w:t>
      </w:r>
    </w:p>
    <w:p>
      <w:pPr>
        <w:spacing w:line="360" w:lineRule="auto"/>
        <w:ind w:firstLine="480" w:firstLineChars="200"/>
        <w:rPr>
          <w:sz w:val="24"/>
          <w:szCs w:val="24"/>
        </w:rPr>
      </w:pPr>
      <w:r>
        <w:rPr>
          <w:sz w:val="24"/>
          <w:szCs w:val="24"/>
        </w:rPr>
        <w:t>（5）合同主要条款</w:t>
      </w:r>
    </w:p>
    <w:p>
      <w:pPr>
        <w:spacing w:line="360" w:lineRule="auto"/>
        <w:ind w:firstLine="480" w:firstLineChars="200"/>
        <w:rPr>
          <w:sz w:val="24"/>
          <w:szCs w:val="24"/>
        </w:rPr>
      </w:pPr>
      <w:r>
        <w:rPr>
          <w:sz w:val="24"/>
          <w:szCs w:val="24"/>
        </w:rPr>
        <w:t>（6）投标文件格式</w:t>
      </w:r>
    </w:p>
    <w:p>
      <w:pPr>
        <w:spacing w:line="360" w:lineRule="auto"/>
        <w:ind w:firstLine="240" w:firstLineChars="100"/>
        <w:rPr>
          <w:sz w:val="24"/>
          <w:szCs w:val="24"/>
        </w:rPr>
      </w:pPr>
      <w:r>
        <w:rPr>
          <w:sz w:val="24"/>
          <w:szCs w:val="24"/>
        </w:rPr>
        <w:t>2.1.2 根据本章第1.11款、第2.2款和第2.3款、对招标文件的澄清、修改、补充书构成招标文件的组成部分，并取代招标文件中被澄清、修改处</w:t>
      </w:r>
      <w:r>
        <w:rPr>
          <w:rFonts w:hint="eastAsia"/>
          <w:sz w:val="24"/>
          <w:szCs w:val="24"/>
          <w:lang w:eastAsia="zh-CN"/>
        </w:rPr>
        <w:t>，</w:t>
      </w:r>
      <w:r>
        <w:rPr>
          <w:sz w:val="24"/>
          <w:szCs w:val="24"/>
        </w:rPr>
        <w:t>对所有投标人均有约束力。</w:t>
      </w:r>
    </w:p>
    <w:p>
      <w:pPr>
        <w:spacing w:line="360" w:lineRule="auto"/>
        <w:ind w:firstLine="240" w:firstLineChars="100"/>
        <w:rPr>
          <w:color w:val="auto"/>
          <w:highlight w:val="none"/>
        </w:rPr>
      </w:pPr>
      <w:r>
        <w:rPr>
          <w:color w:val="auto"/>
          <w:sz w:val="24"/>
          <w:szCs w:val="24"/>
          <w:highlight w:val="none"/>
        </w:rPr>
        <w:t xml:space="preserve">2.1.3 </w:t>
      </w:r>
      <w:r>
        <w:rPr>
          <w:rFonts w:hint="eastAsia"/>
          <w:color w:val="auto"/>
          <w:sz w:val="24"/>
          <w:szCs w:val="24"/>
          <w:highlight w:val="none"/>
        </w:rPr>
        <w:t>构成本</w:t>
      </w:r>
      <w:r>
        <w:rPr>
          <w:rFonts w:hint="eastAsia"/>
          <w:color w:val="auto"/>
          <w:sz w:val="24"/>
          <w:szCs w:val="24"/>
          <w:highlight w:val="none"/>
          <w:lang w:val="en-US" w:eastAsia="zh-CN"/>
        </w:rPr>
        <w:t>招标</w:t>
      </w:r>
      <w:r>
        <w:rPr>
          <w:rFonts w:hint="eastAsia"/>
          <w:color w:val="auto"/>
          <w:sz w:val="24"/>
          <w:szCs w:val="24"/>
          <w:highlight w:val="none"/>
        </w:rPr>
        <w:t>文件的各个组成文件应互为解释，互为说明；如有不明确或不一致，按</w:t>
      </w:r>
      <w:r>
        <w:rPr>
          <w:rFonts w:hint="eastAsia"/>
          <w:color w:val="auto"/>
          <w:sz w:val="24"/>
          <w:szCs w:val="24"/>
          <w:highlight w:val="none"/>
          <w:lang w:val="en-US" w:eastAsia="zh-CN"/>
        </w:rPr>
        <w:t>招标</w:t>
      </w:r>
      <w:r>
        <w:rPr>
          <w:rFonts w:hint="eastAsia"/>
          <w:color w:val="auto"/>
          <w:sz w:val="24"/>
          <w:szCs w:val="24"/>
          <w:highlight w:val="none"/>
        </w:rPr>
        <w:t>公告、供应商须知、响应性文件格式的先后顺序解释；投标人格式自拟、</w:t>
      </w:r>
      <w:r>
        <w:rPr>
          <w:rFonts w:hint="eastAsia"/>
          <w:color w:val="auto"/>
          <w:sz w:val="24"/>
          <w:szCs w:val="24"/>
          <w:highlight w:val="none"/>
          <w:lang w:val="en-US" w:eastAsia="zh-CN"/>
        </w:rPr>
        <w:t>声明</w:t>
      </w:r>
      <w:r>
        <w:rPr>
          <w:rFonts w:hint="eastAsia"/>
          <w:color w:val="auto"/>
          <w:sz w:val="24"/>
          <w:szCs w:val="24"/>
          <w:highlight w:val="none"/>
        </w:rPr>
        <w:t>、承诺等均需</w:t>
      </w:r>
      <w:r>
        <w:rPr>
          <w:rFonts w:hint="eastAsia"/>
          <w:color w:val="auto"/>
          <w:sz w:val="24"/>
          <w:szCs w:val="24"/>
          <w:highlight w:val="none"/>
          <w:lang w:val="en-US" w:eastAsia="zh-CN"/>
        </w:rPr>
        <w:t>提供彩色原件扫描件</w:t>
      </w:r>
      <w:r>
        <w:rPr>
          <w:rFonts w:hint="eastAsia"/>
          <w:color w:val="auto"/>
          <w:sz w:val="24"/>
          <w:szCs w:val="24"/>
          <w:highlight w:val="none"/>
        </w:rPr>
        <w:t>否则视为不响应文件；同一组成文件中就同一事项的规定或约定不一致的，以编排顺序在后者为准；</w:t>
      </w:r>
      <w:r>
        <w:rPr>
          <w:color w:val="auto"/>
          <w:sz w:val="24"/>
          <w:szCs w:val="24"/>
          <w:highlight w:val="none"/>
        </w:rPr>
        <w:t>当招标文件、招标文件的澄清、修改、补充等在同一内容的表述上不一致时，以最后发出（发布）的文件为准。</w:t>
      </w:r>
    </w:p>
    <w:p>
      <w:pPr>
        <w:spacing w:line="360" w:lineRule="auto"/>
        <w:ind w:firstLine="240" w:firstLineChars="100"/>
        <w:rPr>
          <w:color w:val="auto"/>
          <w:sz w:val="24"/>
          <w:szCs w:val="24"/>
          <w:highlight w:val="none"/>
        </w:rPr>
      </w:pPr>
      <w:r>
        <w:rPr>
          <w:color w:val="auto"/>
          <w:sz w:val="24"/>
          <w:szCs w:val="24"/>
          <w:highlight w:val="none"/>
        </w:rPr>
        <w:t>2.1.4 投标人与任何人的口头协议不影响《招标文件》的任何条款和内容。</w:t>
      </w:r>
    </w:p>
    <w:p>
      <w:pPr>
        <w:spacing w:line="360" w:lineRule="auto"/>
        <w:ind w:firstLine="240" w:firstLineChars="100"/>
        <w:rPr>
          <w:rFonts w:ascii="宋体" w:hAnsi="宋体" w:cs="宋体"/>
          <w:color w:val="auto"/>
          <w:sz w:val="24"/>
          <w:highlight w:val="none"/>
        </w:rPr>
      </w:pPr>
      <w:r>
        <w:rPr>
          <w:color w:val="auto"/>
          <w:sz w:val="24"/>
          <w:szCs w:val="24"/>
          <w:highlight w:val="none"/>
        </w:rPr>
        <w:t>2.1.5</w:t>
      </w:r>
      <w:r>
        <w:rPr>
          <w:rFonts w:hint="eastAsia" w:ascii="宋体" w:hAnsi="宋体" w:cs="宋体"/>
          <w:color w:val="auto"/>
          <w:sz w:val="24"/>
          <w:highlight w:val="none"/>
        </w:rPr>
        <w:t>投标人应认真阅读招标文件中所有的事项、格式、条件、条款和规范等要求。</w:t>
      </w:r>
      <w:r>
        <w:rPr>
          <w:rFonts w:ascii="宋体" w:hAnsi="宋体" w:cs="宋体"/>
          <w:color w:val="auto"/>
          <w:spacing w:val="-2"/>
          <w:sz w:val="24"/>
          <w:highlight w:val="none"/>
        </w:rPr>
        <w:t>如果有异议在规定的时间内提出，没有异议需做出“无异议”承诺书，承诺书作为响应文</w:t>
      </w:r>
      <w:r>
        <w:rPr>
          <w:rFonts w:ascii="宋体" w:hAnsi="宋体" w:cs="宋体"/>
          <w:color w:val="auto"/>
          <w:sz w:val="24"/>
          <w:highlight w:val="none"/>
        </w:rPr>
        <w:t>件的组织部分，否则为</w:t>
      </w:r>
      <w:r>
        <w:rPr>
          <w:rFonts w:hint="eastAsia" w:ascii="宋体" w:hAnsi="宋体" w:cs="宋体"/>
          <w:color w:val="auto"/>
          <w:sz w:val="24"/>
          <w:highlight w:val="none"/>
          <w:lang w:val="en-US" w:eastAsia="zh-CN"/>
        </w:rPr>
        <w:t>不</w:t>
      </w:r>
      <w:r>
        <w:rPr>
          <w:rFonts w:ascii="宋体" w:hAnsi="宋体" w:cs="宋体"/>
          <w:color w:val="auto"/>
          <w:sz w:val="24"/>
          <w:highlight w:val="none"/>
        </w:rPr>
        <w:t>响应</w:t>
      </w:r>
      <w:r>
        <w:rPr>
          <w:rFonts w:hint="eastAsia" w:ascii="宋体" w:hAnsi="宋体" w:cs="宋体"/>
          <w:color w:val="auto"/>
          <w:sz w:val="24"/>
          <w:highlight w:val="none"/>
          <w:lang w:val="en-US" w:eastAsia="zh-CN"/>
        </w:rPr>
        <w:t>招标</w:t>
      </w:r>
      <w:r>
        <w:rPr>
          <w:rFonts w:ascii="宋体" w:hAnsi="宋体" w:cs="宋体"/>
          <w:color w:val="auto"/>
          <w:sz w:val="24"/>
          <w:highlight w:val="none"/>
        </w:rPr>
        <w:t>文件。</w:t>
      </w:r>
    </w:p>
    <w:p>
      <w:pPr>
        <w:spacing w:line="360" w:lineRule="auto"/>
        <w:ind w:firstLine="240" w:firstLineChars="100"/>
        <w:rPr>
          <w:rFonts w:hint="eastAsia"/>
          <w:color w:val="auto"/>
          <w:sz w:val="24"/>
          <w:szCs w:val="24"/>
          <w:highlight w:val="none"/>
          <w:lang w:eastAsia="zh-CN"/>
        </w:rPr>
      </w:pPr>
      <w:r>
        <w:rPr>
          <w:rFonts w:hint="eastAsia"/>
          <w:color w:val="auto"/>
          <w:sz w:val="24"/>
          <w:szCs w:val="24"/>
          <w:highlight w:val="none"/>
          <w:lang w:val="en-US" w:eastAsia="zh-CN"/>
        </w:rPr>
        <w:t>2.1.6</w:t>
      </w:r>
      <w:r>
        <w:rPr>
          <w:rFonts w:hint="eastAsia"/>
          <w:color w:val="auto"/>
          <w:sz w:val="24"/>
          <w:szCs w:val="24"/>
          <w:highlight w:val="none"/>
        </w:rPr>
        <w:t>投标人</w:t>
      </w:r>
      <w:r>
        <w:rPr>
          <w:rFonts w:hint="eastAsia"/>
          <w:color w:val="auto"/>
          <w:sz w:val="24"/>
          <w:szCs w:val="24"/>
          <w:highlight w:val="none"/>
          <w:lang w:eastAsia="zh-CN"/>
        </w:rPr>
        <w:t>应按</w:t>
      </w:r>
      <w:r>
        <w:rPr>
          <w:rFonts w:hint="eastAsia"/>
          <w:color w:val="auto"/>
          <w:sz w:val="24"/>
          <w:szCs w:val="24"/>
          <w:highlight w:val="none"/>
          <w:lang w:val="en-US" w:eastAsia="zh-CN"/>
        </w:rPr>
        <w:t>招标</w:t>
      </w:r>
      <w:r>
        <w:rPr>
          <w:rFonts w:hint="eastAsia"/>
          <w:color w:val="auto"/>
          <w:sz w:val="24"/>
          <w:szCs w:val="24"/>
          <w:highlight w:val="none"/>
          <w:lang w:eastAsia="zh-CN"/>
        </w:rPr>
        <w:t>文件规定的格式和顺序制作响应文件。除了响应文件封面以外，每个页面应在明显位置编制页码，</w:t>
      </w:r>
      <w:r>
        <w:rPr>
          <w:rFonts w:hint="eastAsia"/>
          <w:color w:val="auto"/>
          <w:sz w:val="24"/>
          <w:szCs w:val="24"/>
          <w:highlight w:val="none"/>
          <w:lang w:val="en-US" w:eastAsia="zh-CN"/>
        </w:rPr>
        <w:t>页码应连续不间断</w:t>
      </w:r>
      <w:r>
        <w:rPr>
          <w:rFonts w:hint="eastAsia"/>
          <w:color w:val="auto"/>
          <w:sz w:val="24"/>
          <w:szCs w:val="24"/>
          <w:highlight w:val="none"/>
          <w:lang w:eastAsia="zh-CN"/>
        </w:rPr>
        <w:t>，字迹必须清晰可认，响应文件的目录应编序，否则视为对</w:t>
      </w:r>
      <w:r>
        <w:rPr>
          <w:rFonts w:hint="eastAsia"/>
          <w:color w:val="auto"/>
          <w:sz w:val="24"/>
          <w:szCs w:val="24"/>
          <w:highlight w:val="none"/>
          <w:lang w:val="en-US" w:eastAsia="zh-CN"/>
        </w:rPr>
        <w:t>招标</w:t>
      </w:r>
      <w:r>
        <w:rPr>
          <w:rFonts w:hint="eastAsia"/>
          <w:color w:val="auto"/>
          <w:sz w:val="24"/>
          <w:szCs w:val="24"/>
          <w:highlight w:val="none"/>
          <w:lang w:eastAsia="zh-CN"/>
        </w:rPr>
        <w:t>文件未作出实质性响应。响应文件内容不完整、编排混乱导致被误读、漏读或者查找不到相关内容的，由供应商负责。</w:t>
      </w:r>
    </w:p>
    <w:p>
      <w:pPr>
        <w:spacing w:line="360" w:lineRule="auto"/>
        <w:ind w:firstLine="241" w:firstLineChars="100"/>
        <w:outlineLvl w:val="2"/>
        <w:rPr>
          <w:b/>
          <w:bCs/>
          <w:color w:val="auto"/>
          <w:sz w:val="24"/>
          <w:szCs w:val="24"/>
          <w:highlight w:val="none"/>
        </w:rPr>
      </w:pPr>
      <w:bookmarkStart w:id="69" w:name="_Toc6531"/>
      <w:r>
        <w:rPr>
          <w:b/>
          <w:bCs/>
          <w:color w:val="auto"/>
          <w:sz w:val="24"/>
          <w:szCs w:val="24"/>
          <w:highlight w:val="none"/>
        </w:rPr>
        <w:t>2.2 招标文件的澄清</w:t>
      </w:r>
      <w:bookmarkEnd w:id="69"/>
    </w:p>
    <w:p>
      <w:pPr>
        <w:spacing w:line="360" w:lineRule="auto"/>
        <w:ind w:firstLine="240" w:firstLineChars="100"/>
        <w:rPr>
          <w:sz w:val="24"/>
          <w:szCs w:val="24"/>
        </w:rPr>
      </w:pPr>
      <w:r>
        <w:rPr>
          <w:sz w:val="24"/>
          <w:szCs w:val="24"/>
        </w:rPr>
        <w:t>2.2.1 合规获取招标文件的所有潜在投标人对招标文件如有需澄清的疑问，应在投标人须知前附表规定的时间内，按投标人须知前附表规定通知到采购代理机构。在规定的时间内未提出疑问的，将视为对招标文件的完全认可。</w:t>
      </w:r>
    </w:p>
    <w:p>
      <w:pPr>
        <w:spacing w:line="360" w:lineRule="auto"/>
        <w:ind w:firstLine="240" w:firstLineChars="100"/>
        <w:rPr>
          <w:sz w:val="24"/>
          <w:szCs w:val="24"/>
        </w:rPr>
      </w:pPr>
      <w:r>
        <w:rPr>
          <w:sz w:val="24"/>
          <w:szCs w:val="24"/>
        </w:rPr>
        <w:t>2.2.2 采购代理机构对潜在投标人在规定的时间内提出的疑问，将按投标人须知前附表规定予以答复。</w:t>
      </w:r>
    </w:p>
    <w:p>
      <w:pPr>
        <w:spacing w:line="360" w:lineRule="auto"/>
        <w:ind w:firstLine="240" w:firstLineChars="100"/>
        <w:rPr>
          <w:sz w:val="24"/>
          <w:szCs w:val="24"/>
        </w:rPr>
      </w:pPr>
      <w:r>
        <w:rPr>
          <w:sz w:val="24"/>
          <w:szCs w:val="24"/>
        </w:rPr>
        <w:t>2.2.3 招标文件中如有不符合国家有关强制性规定、不符合国家标准及行业标准的，投标人应在投标阶段或中标实施阶段予以纠正或尽提醒义务。如作为有经验的投标人（中标人）应当知道而未尽提醒义务的，执行指令而造成的损失及风险由投标人（中标人）承担。</w:t>
      </w:r>
    </w:p>
    <w:p>
      <w:pPr>
        <w:spacing w:line="360" w:lineRule="auto"/>
        <w:ind w:firstLine="240" w:firstLineChars="100"/>
        <w:rPr>
          <w:sz w:val="24"/>
          <w:szCs w:val="24"/>
        </w:rPr>
      </w:pPr>
      <w:r>
        <w:rPr>
          <w:sz w:val="24"/>
          <w:szCs w:val="24"/>
        </w:rPr>
        <w:t>2.2.4 采购代理机构可视情况在投标截止前答疑。</w:t>
      </w:r>
    </w:p>
    <w:p>
      <w:pPr>
        <w:spacing w:line="360" w:lineRule="auto"/>
        <w:ind w:firstLine="241" w:firstLineChars="100"/>
        <w:outlineLvl w:val="2"/>
        <w:rPr>
          <w:b/>
          <w:bCs/>
          <w:sz w:val="24"/>
          <w:szCs w:val="24"/>
        </w:rPr>
      </w:pPr>
      <w:bookmarkStart w:id="70" w:name="_Toc30674"/>
      <w:r>
        <w:rPr>
          <w:b/>
          <w:bCs/>
          <w:sz w:val="24"/>
          <w:szCs w:val="24"/>
        </w:rPr>
        <w:t>2.3 招标文件的澄清、修改、补充</w:t>
      </w:r>
      <w:bookmarkEnd w:id="70"/>
    </w:p>
    <w:p>
      <w:pPr>
        <w:spacing w:line="360" w:lineRule="auto"/>
        <w:ind w:firstLine="480" w:firstLineChars="200"/>
        <w:rPr>
          <w:sz w:val="24"/>
          <w:szCs w:val="24"/>
        </w:rPr>
      </w:pPr>
      <w:r>
        <w:rPr>
          <w:sz w:val="24"/>
          <w:szCs w:val="24"/>
        </w:rPr>
        <w:t>采购人</w:t>
      </w:r>
      <w:r>
        <w:rPr>
          <w:rFonts w:hint="eastAsia"/>
          <w:sz w:val="24"/>
          <w:szCs w:val="24"/>
          <w:lang w:eastAsia="zh-CN"/>
        </w:rPr>
        <w:t>、</w:t>
      </w:r>
      <w:r>
        <w:rPr>
          <w:sz w:val="24"/>
          <w:szCs w:val="24"/>
        </w:rPr>
        <w:t>代理机构在投标截止时间前有权澄清修改、补充已发售的招标文件。</w:t>
      </w:r>
    </w:p>
    <w:p>
      <w:pPr>
        <w:spacing w:line="360" w:lineRule="auto"/>
        <w:ind w:firstLine="241" w:firstLineChars="100"/>
        <w:outlineLvl w:val="2"/>
        <w:rPr>
          <w:b/>
          <w:bCs/>
          <w:sz w:val="24"/>
          <w:szCs w:val="24"/>
        </w:rPr>
      </w:pPr>
      <w:bookmarkStart w:id="71" w:name="_Toc7691"/>
      <w:r>
        <w:rPr>
          <w:b/>
          <w:bCs/>
          <w:sz w:val="24"/>
          <w:szCs w:val="24"/>
        </w:rPr>
        <w:t>2.4 招标文件的澄清、修改、补充的通知，及相应时间变更</w:t>
      </w:r>
      <w:bookmarkEnd w:id="71"/>
    </w:p>
    <w:p>
      <w:pPr>
        <w:spacing w:line="360" w:lineRule="auto"/>
        <w:ind w:firstLine="240" w:firstLineChars="100"/>
        <w:rPr>
          <w:sz w:val="24"/>
          <w:szCs w:val="24"/>
        </w:rPr>
      </w:pPr>
      <w:r>
        <w:rPr>
          <w:sz w:val="24"/>
          <w:szCs w:val="24"/>
        </w:rPr>
        <w:t>2.4.1 招标文件在投标截止时间前的所有澄清、修改（包括时间变更等）、补充事项</w:t>
      </w:r>
      <w:r>
        <w:rPr>
          <w:rFonts w:hint="eastAsia"/>
          <w:sz w:val="24"/>
          <w:szCs w:val="24"/>
          <w:lang w:eastAsia="zh-CN"/>
        </w:rPr>
        <w:t>，</w:t>
      </w:r>
      <w:r>
        <w:rPr>
          <w:sz w:val="24"/>
          <w:szCs w:val="24"/>
        </w:rPr>
        <w:t>均在“招标公告 ”所述媒体予以公告。澄清或修改公告一经在法定网站以公告形式发布，依法视为书面通知，不再另行通知。</w:t>
      </w:r>
    </w:p>
    <w:p>
      <w:pPr>
        <w:spacing w:line="360" w:lineRule="auto"/>
        <w:ind w:firstLine="480" w:firstLineChars="200"/>
        <w:rPr>
          <w:sz w:val="24"/>
          <w:szCs w:val="24"/>
        </w:rPr>
      </w:pPr>
      <w:r>
        <w:rPr>
          <w:sz w:val="24"/>
          <w:szCs w:val="24"/>
        </w:rPr>
        <w:t>基于网上电子交易的特点—-无权限获知或通知潜在投标人，潜在投标人应随时关注 “招标公告 ”所述媒体相关项目信息（为免各部门网站出现维护等情况，潜在投标人应对 “招标公告 ”所述媒体逐一查阅），如有遗漏，后果自负。</w:t>
      </w:r>
    </w:p>
    <w:p>
      <w:pPr>
        <w:spacing w:line="360" w:lineRule="auto"/>
        <w:ind w:firstLine="240" w:firstLineChars="100"/>
        <w:rPr>
          <w:sz w:val="24"/>
          <w:szCs w:val="24"/>
        </w:rPr>
      </w:pPr>
      <w:r>
        <w:rPr>
          <w:sz w:val="24"/>
          <w:szCs w:val="24"/>
        </w:rPr>
        <w:t>2.4.2招标文件的澄清、修改、补充书构成招标文件的组成部分，并取代招标文件中被澄清、修改处，对所有投标人均有约束力。</w:t>
      </w:r>
    </w:p>
    <w:p>
      <w:pPr>
        <w:spacing w:line="360" w:lineRule="auto"/>
        <w:ind w:firstLine="240" w:firstLineChars="100"/>
        <w:rPr>
          <w:sz w:val="24"/>
          <w:szCs w:val="24"/>
        </w:rPr>
      </w:pPr>
      <w:r>
        <w:rPr>
          <w:sz w:val="24"/>
          <w:szCs w:val="24"/>
        </w:rPr>
        <w:t>2.4.3 如果投标截止时间前的澄清修改补充发出的时间不满足投标人须知前附表规定时间，并且澄清修改补充内容影响投标文件编制的，代理机构可视采购具体情况延长投标截止时间和开标时间，并将在“招标公告 ”所述媒体予以公告。</w:t>
      </w:r>
    </w:p>
    <w:p>
      <w:pPr>
        <w:spacing w:line="360" w:lineRule="auto"/>
        <w:outlineLvl w:val="1"/>
        <w:rPr>
          <w:b/>
          <w:bCs/>
          <w:sz w:val="24"/>
          <w:szCs w:val="24"/>
        </w:rPr>
      </w:pPr>
      <w:bookmarkStart w:id="72" w:name="_Toc3052"/>
      <w:r>
        <w:rPr>
          <w:b/>
          <w:bCs/>
          <w:sz w:val="24"/>
          <w:szCs w:val="24"/>
        </w:rPr>
        <w:t>3 投标文件</w:t>
      </w:r>
      <w:bookmarkEnd w:id="72"/>
    </w:p>
    <w:p>
      <w:pPr>
        <w:spacing w:line="360" w:lineRule="auto"/>
        <w:ind w:firstLine="241" w:firstLineChars="100"/>
        <w:rPr>
          <w:rFonts w:hint="eastAsia" w:ascii="宋体" w:hAnsi="宋体" w:cs="宋体"/>
          <w:sz w:val="24"/>
          <w:highlight w:val="none"/>
        </w:rPr>
      </w:pPr>
      <w:r>
        <w:rPr>
          <w:b/>
          <w:bCs/>
          <w:sz w:val="24"/>
          <w:szCs w:val="24"/>
        </w:rPr>
        <w:t>3.1</w:t>
      </w:r>
      <w:r>
        <w:rPr>
          <w:b/>
          <w:bCs/>
          <w:sz w:val="24"/>
          <w:szCs w:val="24"/>
          <w:highlight w:val="none"/>
        </w:rPr>
        <w:t xml:space="preserve"> </w:t>
      </w:r>
      <w:r>
        <w:rPr>
          <w:rFonts w:hint="eastAsia" w:ascii="宋体" w:hAnsi="宋体" w:cs="宋体"/>
          <w:sz w:val="24"/>
          <w:highlight w:val="none"/>
        </w:rPr>
        <w:t>投标文件须保证对招标文件载明的投标资格、技术、服务、报价等全部要求和条件做出实质性和完整的响应，如果投标文件填报的内容资料不详，或没有提供招标文件中所要求的</w:t>
      </w:r>
      <w:r>
        <w:rPr>
          <w:rFonts w:hint="eastAsia" w:ascii="宋体" w:hAnsi="宋体" w:cs="宋体"/>
          <w:sz w:val="24"/>
          <w:highlight w:val="none"/>
          <w:lang w:val="en-US" w:eastAsia="zh-CN"/>
        </w:rPr>
        <w:t>相关</w:t>
      </w:r>
      <w:r>
        <w:rPr>
          <w:rFonts w:hint="eastAsia" w:ascii="宋体" w:hAnsi="宋体" w:cs="宋体"/>
          <w:sz w:val="24"/>
          <w:highlight w:val="none"/>
        </w:rPr>
        <w:t>资料、证明及数据，将导致投标无效。</w:t>
      </w:r>
    </w:p>
    <w:p>
      <w:pPr>
        <w:spacing w:line="360" w:lineRule="auto"/>
        <w:ind w:firstLine="241" w:firstLineChars="100"/>
        <w:outlineLvl w:val="2"/>
        <w:rPr>
          <w:b/>
          <w:bCs/>
          <w:sz w:val="24"/>
          <w:szCs w:val="24"/>
        </w:rPr>
      </w:pPr>
      <w:bookmarkStart w:id="73" w:name="_Toc29868"/>
      <w:r>
        <w:rPr>
          <w:b/>
          <w:bCs/>
          <w:sz w:val="24"/>
          <w:szCs w:val="24"/>
        </w:rPr>
        <w:t>3.2 投标文件的组成</w:t>
      </w:r>
      <w:bookmarkEnd w:id="73"/>
    </w:p>
    <w:p>
      <w:pPr>
        <w:spacing w:line="360" w:lineRule="auto"/>
        <w:ind w:firstLine="240" w:firstLineChars="100"/>
        <w:rPr>
          <w:rFonts w:hint="eastAsia" w:eastAsiaTheme="minorEastAsia"/>
          <w:sz w:val="24"/>
          <w:szCs w:val="24"/>
          <w:lang w:eastAsia="zh-CN"/>
        </w:rPr>
      </w:pPr>
      <w:r>
        <w:rPr>
          <w:sz w:val="24"/>
          <w:szCs w:val="24"/>
        </w:rPr>
        <w:t>3.2.1 投标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r>
        <w:rPr>
          <w:rFonts w:hint="eastAsia"/>
          <w:sz w:val="24"/>
          <w:szCs w:val="24"/>
          <w:lang w:eastAsia="zh-CN"/>
        </w:rPr>
        <w:t>。</w:t>
      </w:r>
    </w:p>
    <w:p>
      <w:pPr>
        <w:keepNext w:val="0"/>
        <w:keepLines w:val="0"/>
        <w:widowControl/>
        <w:suppressLineNumbers w:val="0"/>
        <w:ind w:firstLine="240" w:firstLineChars="100"/>
        <w:jc w:val="left"/>
      </w:pPr>
      <w:r>
        <w:rPr>
          <w:sz w:val="24"/>
          <w:szCs w:val="24"/>
        </w:rPr>
        <w:t>3.2.2 投标文件应包括内容：</w:t>
      </w:r>
      <w:r>
        <w:rPr>
          <w:rFonts w:hint="eastAsia" w:ascii="宋体" w:hAnsi="宋体" w:eastAsia="宋体" w:cs="宋体"/>
          <w:color w:val="000000"/>
          <w:kern w:val="0"/>
          <w:sz w:val="24"/>
          <w:szCs w:val="24"/>
          <w:lang w:val="en-US" w:eastAsia="zh-CN" w:bidi="ar"/>
        </w:rPr>
        <w:t>（具体详见第六章投标文件格式）</w:t>
      </w:r>
    </w:p>
    <w:p>
      <w:pPr>
        <w:spacing w:line="360" w:lineRule="auto"/>
        <w:ind w:firstLine="240" w:firstLineChars="100"/>
        <w:rPr>
          <w:sz w:val="24"/>
          <w:szCs w:val="24"/>
        </w:rPr>
      </w:pPr>
      <w:r>
        <w:rPr>
          <w:sz w:val="24"/>
          <w:szCs w:val="24"/>
        </w:rPr>
        <w:t>3.2.3 按照本章第 4.3 款、第四章第 3.3 款规定，对投标文件的补充、修改、澄清、说明或者更正构成投标文件的组成部分，并取代投标文件中被澄清、修改处。</w:t>
      </w:r>
    </w:p>
    <w:p>
      <w:pPr>
        <w:spacing w:line="360" w:lineRule="auto"/>
        <w:ind w:firstLine="241" w:firstLineChars="100"/>
        <w:rPr>
          <w:b/>
          <w:bCs/>
          <w:sz w:val="24"/>
          <w:szCs w:val="24"/>
        </w:rPr>
      </w:pPr>
      <w:r>
        <w:rPr>
          <w:b/>
          <w:bCs/>
          <w:sz w:val="24"/>
          <w:szCs w:val="24"/>
        </w:rPr>
        <w:t>3.3 投标报价（价格构成）：见第二章 1.3 款。</w:t>
      </w:r>
    </w:p>
    <w:p>
      <w:pPr>
        <w:spacing w:line="360" w:lineRule="auto"/>
        <w:ind w:firstLine="241" w:firstLineChars="100"/>
        <w:rPr>
          <w:b/>
          <w:bCs/>
          <w:sz w:val="24"/>
          <w:szCs w:val="24"/>
        </w:rPr>
      </w:pPr>
      <w:r>
        <w:rPr>
          <w:b/>
          <w:bCs/>
          <w:sz w:val="24"/>
          <w:szCs w:val="24"/>
        </w:rPr>
        <w:t>3.4 投标有效期</w:t>
      </w:r>
    </w:p>
    <w:p>
      <w:pPr>
        <w:spacing w:line="360" w:lineRule="auto"/>
        <w:ind w:firstLine="240" w:firstLineChars="100"/>
        <w:rPr>
          <w:sz w:val="24"/>
          <w:szCs w:val="24"/>
        </w:rPr>
      </w:pPr>
      <w:r>
        <w:rPr>
          <w:sz w:val="24"/>
          <w:szCs w:val="24"/>
        </w:rPr>
        <w:t>3.4.1 投标有效期见投标人须知前附表。投标有效期从提交投标文件的截止之日起算</w:t>
      </w:r>
      <w:r>
        <w:rPr>
          <w:rFonts w:hint="eastAsia"/>
          <w:sz w:val="24"/>
          <w:szCs w:val="24"/>
          <w:lang w:eastAsia="zh-CN"/>
        </w:rPr>
        <w:t>。</w:t>
      </w:r>
      <w:r>
        <w:rPr>
          <w:sz w:val="24"/>
          <w:szCs w:val="24"/>
        </w:rPr>
        <w:t>投标文件中承诺的投标有效期应当不少于招标文件中载明的投标有效期。投标文件在投标有效期内保持不变（包括价格等投标文件各项条款）。</w:t>
      </w:r>
    </w:p>
    <w:p>
      <w:pPr>
        <w:spacing w:line="360" w:lineRule="auto"/>
        <w:ind w:firstLine="240" w:firstLineChars="100"/>
        <w:rPr>
          <w:sz w:val="24"/>
          <w:szCs w:val="24"/>
        </w:rPr>
      </w:pPr>
      <w:r>
        <w:rPr>
          <w:sz w:val="24"/>
          <w:szCs w:val="24"/>
        </w:rPr>
        <w:t>3.4.2 在投标有效期内，投标人撤销或修改其投标文件的，依据招标文件“第三章3.5.5违背承诺的责任追究措施 ”，投标人承担相应法律责任及违约责任。</w:t>
      </w:r>
    </w:p>
    <w:p>
      <w:pPr>
        <w:spacing w:line="360" w:lineRule="auto"/>
        <w:ind w:firstLine="241" w:firstLineChars="100"/>
        <w:outlineLvl w:val="2"/>
        <w:rPr>
          <w:b/>
          <w:bCs/>
          <w:sz w:val="24"/>
          <w:szCs w:val="24"/>
        </w:rPr>
      </w:pPr>
      <w:bookmarkStart w:id="74" w:name="_Toc2515"/>
      <w:r>
        <w:rPr>
          <w:b/>
          <w:bCs/>
          <w:sz w:val="24"/>
          <w:szCs w:val="24"/>
        </w:rPr>
        <w:t>3.5 投标承诺函（替代投标保证金）：</w:t>
      </w:r>
      <w:bookmarkEnd w:id="74"/>
    </w:p>
    <w:p>
      <w:pPr>
        <w:spacing w:line="360" w:lineRule="auto"/>
        <w:ind w:firstLine="240" w:firstLineChars="100"/>
        <w:rPr>
          <w:sz w:val="24"/>
          <w:szCs w:val="24"/>
        </w:rPr>
      </w:pPr>
      <w:r>
        <w:rPr>
          <w:sz w:val="24"/>
          <w:szCs w:val="24"/>
        </w:rPr>
        <w:t>3.5.1 依据河南省财政厅《关于优化政府采购营商环境有关问题的通知》（豫财购〔2019〕4号）文件要求，本项目以投标承诺函的形式替代投标保证金，供应商按附件格式进行投标承诺，违背承诺的将承担相应的法律责任及违约责任。</w:t>
      </w:r>
    </w:p>
    <w:p>
      <w:pPr>
        <w:spacing w:line="360" w:lineRule="auto"/>
        <w:ind w:firstLine="240" w:firstLineChars="100"/>
        <w:rPr>
          <w:sz w:val="24"/>
          <w:szCs w:val="24"/>
        </w:rPr>
      </w:pPr>
      <w:r>
        <w:rPr>
          <w:sz w:val="24"/>
          <w:szCs w:val="24"/>
        </w:rPr>
        <w:t>3.5.2 未提供投标承诺函的为无效投标。</w:t>
      </w:r>
    </w:p>
    <w:p>
      <w:pPr>
        <w:spacing w:line="360" w:lineRule="auto"/>
        <w:ind w:firstLine="240" w:firstLineChars="100"/>
        <w:rPr>
          <w:sz w:val="24"/>
          <w:szCs w:val="24"/>
        </w:rPr>
      </w:pPr>
      <w:r>
        <w:rPr>
          <w:sz w:val="24"/>
          <w:szCs w:val="24"/>
        </w:rPr>
        <w:t>3.5.3 投标人的投标承诺函包含投标人承诺的事项及违背承诺的责任追究措施。</w:t>
      </w:r>
    </w:p>
    <w:p>
      <w:pPr>
        <w:spacing w:line="360" w:lineRule="auto"/>
        <w:ind w:firstLine="240" w:firstLineChars="100"/>
        <w:rPr>
          <w:sz w:val="24"/>
          <w:szCs w:val="24"/>
        </w:rPr>
      </w:pPr>
      <w:r>
        <w:rPr>
          <w:sz w:val="24"/>
          <w:szCs w:val="24"/>
        </w:rPr>
        <w:t>3.5.4 承诺事项：</w:t>
      </w:r>
    </w:p>
    <w:p>
      <w:pPr>
        <w:spacing w:line="360" w:lineRule="auto"/>
        <w:ind w:firstLine="480" w:firstLineChars="200"/>
        <w:rPr>
          <w:sz w:val="24"/>
          <w:szCs w:val="24"/>
        </w:rPr>
      </w:pPr>
      <w:r>
        <w:rPr>
          <w:sz w:val="24"/>
          <w:szCs w:val="24"/>
        </w:rPr>
        <w:fldChar w:fldCharType="begin"/>
      </w:r>
      <w:r>
        <w:rPr>
          <w:sz w:val="24"/>
          <w:szCs w:val="24"/>
        </w:rPr>
        <w:instrText xml:space="preserve"> HYPERLINK "3.5.4.1" </w:instrText>
      </w:r>
      <w:r>
        <w:rPr>
          <w:sz w:val="24"/>
          <w:szCs w:val="24"/>
        </w:rPr>
        <w:fldChar w:fldCharType="separate"/>
      </w:r>
      <w:r>
        <w:rPr>
          <w:sz w:val="24"/>
          <w:szCs w:val="24"/>
        </w:rPr>
        <w:t>3.5.4.1</w:t>
      </w:r>
      <w:r>
        <w:rPr>
          <w:sz w:val="24"/>
          <w:szCs w:val="24"/>
        </w:rPr>
        <w:fldChar w:fldCharType="end"/>
      </w:r>
      <w:r>
        <w:rPr>
          <w:sz w:val="24"/>
          <w:szCs w:val="24"/>
        </w:rPr>
        <w:t>、投标人应遵循公开、公平、</w:t>
      </w:r>
      <w:r>
        <w:rPr>
          <w:sz w:val="24"/>
          <w:szCs w:val="24"/>
        </w:rPr>
        <w:fldChar w:fldCharType="begin"/>
      </w:r>
      <w:r>
        <w:rPr>
          <w:sz w:val="24"/>
          <w:szCs w:val="24"/>
        </w:rPr>
        <w:instrText xml:space="preserve"> HYPERLINK "http://www.so.com/s?q=%E8%AF%9A%E5%AE%9E%E4%BF%A1%E7%94%A8&amp;ie=utf-8&amp;src=internal_wenda_recommend_textn" </w:instrText>
      </w:r>
      <w:r>
        <w:rPr>
          <w:sz w:val="24"/>
          <w:szCs w:val="24"/>
        </w:rPr>
        <w:fldChar w:fldCharType="separate"/>
      </w:r>
      <w:r>
        <w:rPr>
          <w:sz w:val="24"/>
          <w:szCs w:val="24"/>
        </w:rPr>
        <w:t>公正和诚实信用</w:t>
      </w:r>
      <w:r>
        <w:rPr>
          <w:sz w:val="24"/>
          <w:szCs w:val="24"/>
        </w:rPr>
        <w:fldChar w:fldCharType="end"/>
      </w:r>
      <w:r>
        <w:rPr>
          <w:sz w:val="24"/>
          <w:szCs w:val="24"/>
        </w:rPr>
        <w:t>的原则自愿参加项目的投标；</w:t>
      </w:r>
    </w:p>
    <w:p>
      <w:pPr>
        <w:spacing w:line="360" w:lineRule="auto"/>
        <w:ind w:firstLine="480" w:firstLineChars="200"/>
        <w:rPr>
          <w:sz w:val="24"/>
          <w:szCs w:val="24"/>
        </w:rPr>
      </w:pPr>
      <w:r>
        <w:rPr>
          <w:sz w:val="24"/>
          <w:szCs w:val="24"/>
        </w:rPr>
        <w:fldChar w:fldCharType="begin"/>
      </w:r>
      <w:r>
        <w:rPr>
          <w:sz w:val="24"/>
          <w:szCs w:val="24"/>
        </w:rPr>
        <w:instrText xml:space="preserve"> HYPERLINK "3.5.4.2" </w:instrText>
      </w:r>
      <w:r>
        <w:rPr>
          <w:sz w:val="24"/>
          <w:szCs w:val="24"/>
        </w:rPr>
        <w:fldChar w:fldCharType="separate"/>
      </w:r>
      <w:r>
        <w:rPr>
          <w:sz w:val="24"/>
          <w:szCs w:val="24"/>
        </w:rPr>
        <w:t>3.5.4.2</w:t>
      </w:r>
      <w:r>
        <w:rPr>
          <w:sz w:val="24"/>
          <w:szCs w:val="24"/>
        </w:rPr>
        <w:fldChar w:fldCharType="end"/>
      </w:r>
      <w:r>
        <w:rPr>
          <w:sz w:val="24"/>
          <w:szCs w:val="24"/>
        </w:rPr>
        <w:t>、投标人在政府采购活动中应提供真实、准确、有效、合法的材料，不提供虚假材料；</w:t>
      </w:r>
    </w:p>
    <w:p>
      <w:pPr>
        <w:spacing w:line="360" w:lineRule="auto"/>
        <w:ind w:firstLine="480" w:firstLineChars="200"/>
        <w:rPr>
          <w:sz w:val="24"/>
          <w:szCs w:val="24"/>
        </w:rPr>
      </w:pPr>
      <w:r>
        <w:rPr>
          <w:sz w:val="24"/>
          <w:szCs w:val="24"/>
        </w:rPr>
        <w:fldChar w:fldCharType="begin"/>
      </w:r>
      <w:r>
        <w:rPr>
          <w:sz w:val="24"/>
          <w:szCs w:val="24"/>
        </w:rPr>
        <w:instrText xml:space="preserve"> HYPERLINK "3.5.4.3" </w:instrText>
      </w:r>
      <w:r>
        <w:rPr>
          <w:sz w:val="24"/>
          <w:szCs w:val="24"/>
        </w:rPr>
        <w:fldChar w:fldCharType="separate"/>
      </w:r>
      <w:r>
        <w:rPr>
          <w:sz w:val="24"/>
          <w:szCs w:val="24"/>
        </w:rPr>
        <w:t>3.5.4.3</w:t>
      </w:r>
      <w:r>
        <w:rPr>
          <w:sz w:val="24"/>
          <w:szCs w:val="24"/>
        </w:rPr>
        <w:fldChar w:fldCharType="end"/>
      </w:r>
      <w:r>
        <w:rPr>
          <w:sz w:val="24"/>
          <w:szCs w:val="24"/>
        </w:rPr>
        <w:t>、投标人按照招标文件规定，在提交投标文件截止时间后，在招标文件规定的投标有效期限内不应撤回投标文件；</w:t>
      </w:r>
    </w:p>
    <w:p>
      <w:pPr>
        <w:spacing w:line="360" w:lineRule="auto"/>
        <w:ind w:firstLine="480" w:firstLineChars="200"/>
        <w:rPr>
          <w:sz w:val="24"/>
          <w:szCs w:val="24"/>
        </w:rPr>
      </w:pPr>
      <w:r>
        <w:rPr>
          <w:sz w:val="24"/>
          <w:szCs w:val="24"/>
        </w:rPr>
        <w:fldChar w:fldCharType="begin"/>
      </w:r>
      <w:r>
        <w:rPr>
          <w:sz w:val="24"/>
          <w:szCs w:val="24"/>
        </w:rPr>
        <w:instrText xml:space="preserve"> HYPERLINK "3.5.4.4" </w:instrText>
      </w:r>
      <w:r>
        <w:rPr>
          <w:sz w:val="24"/>
          <w:szCs w:val="24"/>
        </w:rPr>
        <w:fldChar w:fldCharType="separate"/>
      </w:r>
      <w:r>
        <w:rPr>
          <w:sz w:val="24"/>
          <w:szCs w:val="24"/>
        </w:rPr>
        <w:t>3.5.4.4</w:t>
      </w:r>
      <w:r>
        <w:rPr>
          <w:sz w:val="24"/>
          <w:szCs w:val="24"/>
        </w:rPr>
        <w:fldChar w:fldCharType="end"/>
      </w:r>
      <w:r>
        <w:rPr>
          <w:sz w:val="24"/>
          <w:szCs w:val="24"/>
        </w:rPr>
        <w:t>、不应与其他投标人、采购人或采购代理机构串通或恶意串通。</w:t>
      </w:r>
    </w:p>
    <w:p>
      <w:pPr>
        <w:spacing w:line="360" w:lineRule="auto"/>
        <w:ind w:firstLine="480" w:firstLineChars="200"/>
        <w:rPr>
          <w:sz w:val="24"/>
          <w:szCs w:val="24"/>
        </w:rPr>
      </w:pPr>
      <w:r>
        <w:rPr>
          <w:sz w:val="24"/>
          <w:szCs w:val="24"/>
        </w:rPr>
        <w:fldChar w:fldCharType="begin"/>
      </w:r>
      <w:r>
        <w:rPr>
          <w:sz w:val="24"/>
          <w:szCs w:val="24"/>
        </w:rPr>
        <w:instrText xml:space="preserve"> HYPERLINK "3.5.4.5" </w:instrText>
      </w:r>
      <w:r>
        <w:rPr>
          <w:sz w:val="24"/>
          <w:szCs w:val="24"/>
        </w:rPr>
        <w:fldChar w:fldCharType="separate"/>
      </w:r>
      <w:r>
        <w:rPr>
          <w:sz w:val="24"/>
          <w:szCs w:val="24"/>
        </w:rPr>
        <w:t>3.5.4.5</w:t>
      </w:r>
      <w:r>
        <w:rPr>
          <w:sz w:val="24"/>
          <w:szCs w:val="24"/>
        </w:rPr>
        <w:fldChar w:fldCharType="end"/>
      </w:r>
      <w:r>
        <w:rPr>
          <w:sz w:val="24"/>
          <w:szCs w:val="24"/>
        </w:rPr>
        <w:t>、中标后除不可抗拒力或招标文件认可的情形外，投标人应及时领取中标通知书，在成交通知书规定时间、地点与采购人签订合同；</w:t>
      </w:r>
    </w:p>
    <w:p>
      <w:pPr>
        <w:spacing w:line="360" w:lineRule="auto"/>
        <w:ind w:firstLine="480" w:firstLineChars="200"/>
        <w:rPr>
          <w:sz w:val="24"/>
          <w:szCs w:val="24"/>
        </w:rPr>
      </w:pPr>
      <w:r>
        <w:rPr>
          <w:sz w:val="24"/>
          <w:szCs w:val="24"/>
        </w:rPr>
        <w:fldChar w:fldCharType="begin"/>
      </w:r>
      <w:r>
        <w:rPr>
          <w:sz w:val="24"/>
          <w:szCs w:val="24"/>
        </w:rPr>
        <w:instrText xml:space="preserve"> HYPERLINK "3.5.4.6" </w:instrText>
      </w:r>
      <w:r>
        <w:rPr>
          <w:sz w:val="24"/>
          <w:szCs w:val="24"/>
        </w:rPr>
        <w:fldChar w:fldCharType="separate"/>
      </w:r>
      <w:r>
        <w:rPr>
          <w:sz w:val="24"/>
          <w:szCs w:val="24"/>
        </w:rPr>
        <w:t>3.5.4.6</w:t>
      </w:r>
      <w:r>
        <w:rPr>
          <w:sz w:val="24"/>
          <w:szCs w:val="24"/>
        </w:rPr>
        <w:fldChar w:fldCharType="end"/>
      </w:r>
      <w:r>
        <w:rPr>
          <w:sz w:val="24"/>
          <w:szCs w:val="24"/>
        </w:rPr>
        <w:t>、投标人应遵守法律法规及招标文件规定的其他情况；</w:t>
      </w:r>
    </w:p>
    <w:p>
      <w:pPr>
        <w:spacing w:line="360" w:lineRule="auto"/>
        <w:ind w:firstLine="480" w:firstLineChars="200"/>
        <w:rPr>
          <w:sz w:val="24"/>
          <w:szCs w:val="24"/>
        </w:rPr>
      </w:pPr>
      <w:r>
        <w:rPr>
          <w:sz w:val="24"/>
          <w:szCs w:val="24"/>
        </w:rPr>
        <w:fldChar w:fldCharType="begin"/>
      </w:r>
      <w:r>
        <w:rPr>
          <w:sz w:val="24"/>
          <w:szCs w:val="24"/>
        </w:rPr>
        <w:instrText xml:space="preserve"> HYPERLINK "3.5.4.7" </w:instrText>
      </w:r>
      <w:r>
        <w:rPr>
          <w:sz w:val="24"/>
          <w:szCs w:val="24"/>
        </w:rPr>
        <w:fldChar w:fldCharType="separate"/>
      </w:r>
      <w:r>
        <w:rPr>
          <w:sz w:val="24"/>
          <w:szCs w:val="24"/>
        </w:rPr>
        <w:t>3.5.4.7</w:t>
      </w:r>
      <w:r>
        <w:rPr>
          <w:sz w:val="24"/>
          <w:szCs w:val="24"/>
        </w:rPr>
        <w:fldChar w:fldCharType="end"/>
      </w:r>
      <w:r>
        <w:rPr>
          <w:sz w:val="24"/>
          <w:szCs w:val="24"/>
        </w:rPr>
        <w:t>、投标人应按招标文件规定及时缴纳中标服务费。</w:t>
      </w:r>
    </w:p>
    <w:p>
      <w:pPr>
        <w:spacing w:line="360" w:lineRule="auto"/>
        <w:ind w:firstLine="240" w:firstLineChars="100"/>
        <w:rPr>
          <w:sz w:val="24"/>
          <w:szCs w:val="24"/>
        </w:rPr>
      </w:pPr>
      <w:r>
        <w:rPr>
          <w:sz w:val="24"/>
          <w:szCs w:val="24"/>
        </w:rPr>
        <w:t>3.5.5 违背承诺的责任追究措施</w:t>
      </w:r>
    </w:p>
    <w:p>
      <w:pPr>
        <w:spacing w:line="360" w:lineRule="auto"/>
        <w:ind w:firstLine="480" w:firstLineChars="200"/>
        <w:rPr>
          <w:sz w:val="24"/>
          <w:szCs w:val="24"/>
        </w:rPr>
      </w:pPr>
      <w:r>
        <w:rPr>
          <w:sz w:val="24"/>
          <w:szCs w:val="24"/>
        </w:rPr>
        <w:t>投标人如违背上述承诺事项，应无条件接受以下责任追究：</w:t>
      </w:r>
    </w:p>
    <w:p>
      <w:pPr>
        <w:spacing w:line="360" w:lineRule="auto"/>
        <w:ind w:firstLine="480" w:firstLineChars="200"/>
        <w:rPr>
          <w:sz w:val="24"/>
          <w:szCs w:val="24"/>
        </w:rPr>
      </w:pPr>
      <w:r>
        <w:rPr>
          <w:sz w:val="24"/>
          <w:szCs w:val="24"/>
        </w:rPr>
        <w:fldChar w:fldCharType="begin"/>
      </w:r>
      <w:r>
        <w:rPr>
          <w:sz w:val="24"/>
          <w:szCs w:val="24"/>
        </w:rPr>
        <w:instrText xml:space="preserve"> HYPERLINK "3.5.5.1" </w:instrText>
      </w:r>
      <w:r>
        <w:rPr>
          <w:sz w:val="24"/>
          <w:szCs w:val="24"/>
        </w:rPr>
        <w:fldChar w:fldCharType="separate"/>
      </w:r>
      <w:r>
        <w:rPr>
          <w:sz w:val="24"/>
          <w:szCs w:val="24"/>
        </w:rPr>
        <w:t>3.5.5.1</w:t>
      </w:r>
      <w:r>
        <w:rPr>
          <w:sz w:val="24"/>
          <w:szCs w:val="24"/>
        </w:rPr>
        <w:fldChar w:fldCharType="end"/>
      </w:r>
      <w:r>
        <w:rPr>
          <w:sz w:val="24"/>
          <w:szCs w:val="24"/>
        </w:rPr>
        <w:t xml:space="preserve"> 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给采购人及他人造成损失的，应承担相应的赔偿责任。</w:t>
      </w:r>
    </w:p>
    <w:p>
      <w:pPr>
        <w:spacing w:line="360" w:lineRule="auto"/>
        <w:ind w:firstLine="480" w:firstLineChars="200"/>
        <w:rPr>
          <w:sz w:val="24"/>
          <w:szCs w:val="24"/>
        </w:rPr>
      </w:pPr>
      <w:r>
        <w:rPr>
          <w:sz w:val="24"/>
          <w:szCs w:val="24"/>
        </w:rPr>
        <w:fldChar w:fldCharType="begin"/>
      </w:r>
      <w:r>
        <w:rPr>
          <w:sz w:val="24"/>
          <w:szCs w:val="24"/>
        </w:rPr>
        <w:instrText xml:space="preserve"> HYPERLINK "3.5.5.2" </w:instrText>
      </w:r>
      <w:r>
        <w:rPr>
          <w:sz w:val="24"/>
          <w:szCs w:val="24"/>
        </w:rPr>
        <w:fldChar w:fldCharType="separate"/>
      </w:r>
      <w:r>
        <w:rPr>
          <w:sz w:val="24"/>
          <w:szCs w:val="24"/>
        </w:rPr>
        <w:t>3.5.5.2</w:t>
      </w:r>
      <w:r>
        <w:rPr>
          <w:sz w:val="24"/>
          <w:szCs w:val="24"/>
        </w:rPr>
        <w:fldChar w:fldCharType="end"/>
      </w:r>
      <w:r>
        <w:rPr>
          <w:sz w:val="24"/>
          <w:szCs w:val="24"/>
        </w:rPr>
        <w:t xml:space="preserve"> 违约责任：</w:t>
      </w:r>
    </w:p>
    <w:p>
      <w:pPr>
        <w:spacing w:line="360" w:lineRule="auto"/>
        <w:ind w:firstLine="720" w:firstLineChars="300"/>
        <w:rPr>
          <w:sz w:val="24"/>
          <w:szCs w:val="24"/>
        </w:rPr>
      </w:pPr>
      <w:r>
        <w:rPr>
          <w:sz w:val="24"/>
          <w:szCs w:val="24"/>
        </w:rPr>
        <w:t>3.5.5.2.1 已中标的，中标（成交）无效；</w:t>
      </w:r>
    </w:p>
    <w:p>
      <w:pPr>
        <w:spacing w:line="360" w:lineRule="auto"/>
        <w:ind w:firstLine="720" w:firstLineChars="300"/>
        <w:rPr>
          <w:sz w:val="24"/>
          <w:szCs w:val="24"/>
        </w:rPr>
      </w:pPr>
      <w:r>
        <w:rPr>
          <w:sz w:val="24"/>
          <w:szCs w:val="24"/>
        </w:rPr>
        <w:t>3.5.5.2.2 支付采购人违约标的预算金额2%的违约金；</w:t>
      </w:r>
    </w:p>
    <w:p>
      <w:pPr>
        <w:spacing w:line="360" w:lineRule="auto"/>
        <w:ind w:firstLine="720" w:firstLineChars="300"/>
        <w:rPr>
          <w:sz w:val="24"/>
          <w:szCs w:val="24"/>
        </w:rPr>
      </w:pPr>
      <w:r>
        <w:rPr>
          <w:sz w:val="24"/>
          <w:szCs w:val="24"/>
        </w:rPr>
        <w:t>3.5.5.2.3 中标后未缴中标服务费的，作为违约及违背</w:t>
      </w:r>
      <w:r>
        <w:rPr>
          <w:sz w:val="24"/>
          <w:szCs w:val="24"/>
        </w:rPr>
        <w:fldChar w:fldCharType="begin"/>
      </w:r>
      <w:r>
        <w:rPr>
          <w:sz w:val="24"/>
          <w:szCs w:val="24"/>
        </w:rPr>
        <w:instrText xml:space="preserve"> HYPERLINK "http://www.so.com/s?q=%E8%AF%9A%E5%AE%9E%E4%BF%A1%E7%94%A8&amp;ie=utf-8&amp;src=internal_wenda_recommend_textn" </w:instrText>
      </w:r>
      <w:r>
        <w:rPr>
          <w:sz w:val="24"/>
          <w:szCs w:val="24"/>
        </w:rPr>
        <w:fldChar w:fldCharType="separate"/>
      </w:r>
      <w:r>
        <w:rPr>
          <w:sz w:val="24"/>
          <w:szCs w:val="24"/>
        </w:rPr>
        <w:t>诚实信用</w:t>
      </w:r>
      <w:r>
        <w:rPr>
          <w:sz w:val="24"/>
          <w:szCs w:val="24"/>
        </w:rPr>
        <w:fldChar w:fldCharType="end"/>
      </w:r>
      <w:r>
        <w:rPr>
          <w:sz w:val="24"/>
          <w:szCs w:val="24"/>
        </w:rPr>
        <w:t>原则，在履行承诺前，代理机构将视该单位为失信企业、不予办理其后相关业务。</w:t>
      </w:r>
    </w:p>
    <w:p>
      <w:pPr>
        <w:spacing w:line="360" w:lineRule="auto"/>
        <w:ind w:firstLine="241" w:firstLineChars="100"/>
        <w:rPr>
          <w:b/>
          <w:bCs/>
          <w:sz w:val="24"/>
          <w:szCs w:val="24"/>
        </w:rPr>
      </w:pPr>
      <w:r>
        <w:rPr>
          <w:b/>
          <w:bCs/>
          <w:sz w:val="24"/>
          <w:szCs w:val="24"/>
        </w:rPr>
        <w:t>3.6 投标资格文件：要求见招标公告</w:t>
      </w:r>
    </w:p>
    <w:p>
      <w:pPr>
        <w:spacing w:line="360" w:lineRule="auto"/>
        <w:ind w:firstLine="241" w:firstLineChars="100"/>
        <w:rPr>
          <w:b/>
          <w:bCs/>
          <w:sz w:val="24"/>
          <w:szCs w:val="24"/>
        </w:rPr>
      </w:pPr>
      <w:r>
        <w:rPr>
          <w:b/>
          <w:bCs/>
          <w:sz w:val="24"/>
          <w:szCs w:val="24"/>
        </w:rPr>
        <w:t>3.7 投标文件的编制</w:t>
      </w:r>
    </w:p>
    <w:p>
      <w:pPr>
        <w:spacing w:line="360" w:lineRule="auto"/>
        <w:ind w:firstLine="240" w:firstLineChars="100"/>
        <w:rPr>
          <w:sz w:val="24"/>
          <w:szCs w:val="24"/>
        </w:rPr>
      </w:pPr>
      <w:r>
        <w:rPr>
          <w:sz w:val="24"/>
          <w:szCs w:val="24"/>
        </w:rPr>
        <w:t>3.7.1 投标文件应按第六章“投标文件格式 ”进行编写，如有必要，可以增加附页，作为投标文件的组成部分。招标文件中未列明格式的，由投标人按一般通用格式自行设计编写。</w:t>
      </w:r>
    </w:p>
    <w:p>
      <w:pPr>
        <w:spacing w:line="360" w:lineRule="auto"/>
        <w:ind w:firstLine="482" w:firstLineChars="200"/>
        <w:rPr>
          <w:b/>
          <w:bCs/>
          <w:sz w:val="24"/>
          <w:szCs w:val="24"/>
        </w:rPr>
      </w:pPr>
      <w:r>
        <w:rPr>
          <w:rFonts w:hint="eastAsia"/>
          <w:b/>
          <w:bCs/>
          <w:sz w:val="24"/>
          <w:szCs w:val="24"/>
          <w:lang w:val="en-US" w:eastAsia="zh-CN"/>
        </w:rPr>
        <w:t>投标文件编制后，需录入导入招标公告所述 “新点投标文件编制系统”， 经电子签名并加密后、在投标文件提交截止时间前，上传至招标公告所述网上电子交易系统。</w:t>
      </w:r>
    </w:p>
    <w:p>
      <w:pPr>
        <w:spacing w:line="360" w:lineRule="auto"/>
        <w:ind w:firstLine="240" w:firstLineChars="100"/>
        <w:rPr>
          <w:sz w:val="24"/>
          <w:szCs w:val="24"/>
        </w:rPr>
      </w:pPr>
      <w:r>
        <w:rPr>
          <w:sz w:val="24"/>
          <w:szCs w:val="24"/>
        </w:rPr>
        <w:t>3.7.2 “投标文件格式 ”仅为对投标文件部分内容的格式化规范，并非投标文件所应具备的全部内容。投标人应按本章“3.2 投标文件的组成 ”列示内容编制投标文件。</w:t>
      </w:r>
    </w:p>
    <w:p>
      <w:pPr>
        <w:spacing w:line="360" w:lineRule="auto"/>
        <w:ind w:firstLine="240" w:firstLineChars="100"/>
        <w:rPr>
          <w:sz w:val="24"/>
          <w:szCs w:val="24"/>
        </w:rPr>
      </w:pPr>
      <w:r>
        <w:rPr>
          <w:sz w:val="24"/>
          <w:szCs w:val="24"/>
        </w:rPr>
        <w:t>3.7.3 投标文件应当对招标文件有关标段（包）内容（范围）、采购需求（技术要求、售后服务、交付（实施）期等）、投标有效期等实质性内容作出响应。在满足招标文件实质性要求的基础上，可以提出比招标文件要求更有利于采购人的承诺。</w:t>
      </w:r>
    </w:p>
    <w:p>
      <w:pPr>
        <w:spacing w:line="360" w:lineRule="auto"/>
        <w:ind w:firstLine="480" w:firstLineChars="200"/>
        <w:rPr>
          <w:color w:val="auto"/>
          <w:sz w:val="24"/>
          <w:szCs w:val="24"/>
          <w:highlight w:val="none"/>
        </w:rPr>
      </w:pPr>
      <w:r>
        <w:rPr>
          <w:color w:val="auto"/>
          <w:sz w:val="24"/>
          <w:szCs w:val="24"/>
          <w:highlight w:val="none"/>
        </w:rPr>
        <w:t>投标文件的所有条款与招标文件要求有任何不同之处，应按《偏差表》格式逐一填列。</w:t>
      </w:r>
      <w:r>
        <w:rPr>
          <w:rFonts w:hint="eastAsia" w:cs="宋体" w:asciiTheme="minorEastAsia" w:hAnsiTheme="minorEastAsia" w:eastAsiaTheme="minorEastAsia"/>
          <w:color w:val="auto"/>
          <w:kern w:val="0"/>
          <w:sz w:val="24"/>
          <w:highlight w:val="none"/>
          <w:lang w:val="en-US" w:eastAsia="zh-CN"/>
        </w:rPr>
        <w:t>投标人提供等于或优于的产品</w:t>
      </w:r>
      <w:r>
        <w:rPr>
          <w:rFonts w:hint="eastAsia" w:cs="宋体" w:asciiTheme="minorEastAsia" w:hAnsiTheme="minorEastAsia"/>
          <w:color w:val="auto"/>
          <w:kern w:val="0"/>
          <w:sz w:val="24"/>
          <w:highlight w:val="none"/>
          <w:lang w:val="en-US" w:eastAsia="zh-CN"/>
        </w:rPr>
        <w:t>也应在偏差描述中逐条响应，</w:t>
      </w:r>
      <w:r>
        <w:rPr>
          <w:color w:val="auto"/>
          <w:sz w:val="24"/>
          <w:szCs w:val="24"/>
          <w:highlight w:val="none"/>
        </w:rPr>
        <w:t>投标文件与招标文件所有要求存在偏差而未</w:t>
      </w:r>
      <w:r>
        <w:rPr>
          <w:rFonts w:hint="eastAsia"/>
          <w:color w:val="auto"/>
          <w:sz w:val="24"/>
          <w:szCs w:val="24"/>
          <w:highlight w:val="none"/>
          <w:lang w:val="en-US" w:eastAsia="zh-CN"/>
        </w:rPr>
        <w:t>按要求</w:t>
      </w:r>
      <w:r>
        <w:rPr>
          <w:color w:val="auto"/>
          <w:sz w:val="24"/>
          <w:szCs w:val="24"/>
          <w:highlight w:val="none"/>
        </w:rPr>
        <w:t>填列的，评标委员会有权按照实质性判断原则（实质性要求和实质性响应两因素）评定其为无效投标。投标人应认真编制投标文件并自负此项风险。</w:t>
      </w:r>
    </w:p>
    <w:p>
      <w:pPr>
        <w:spacing w:line="360" w:lineRule="auto"/>
        <w:ind w:firstLine="240" w:firstLineChars="100"/>
        <w:rPr>
          <w:sz w:val="24"/>
          <w:szCs w:val="24"/>
        </w:rPr>
      </w:pPr>
      <w:r>
        <w:rPr>
          <w:sz w:val="24"/>
          <w:szCs w:val="24"/>
        </w:rPr>
        <w:t>3.7.4 投标文件应按招标文件相关要求（含格式上标注的要求）、使用</w:t>
      </w:r>
      <w:r>
        <w:rPr>
          <w:rFonts w:hint="eastAsia"/>
          <w:sz w:val="24"/>
          <w:szCs w:val="24"/>
          <w:lang w:eastAsia="zh-CN"/>
        </w:rPr>
        <w:t>投标人</w:t>
      </w:r>
      <w:r>
        <w:rPr>
          <w:sz w:val="24"/>
          <w:szCs w:val="24"/>
        </w:rPr>
        <w:t>企业数字证书进行电子签章和</w:t>
      </w:r>
      <w:r>
        <w:rPr>
          <w:rFonts w:hint="eastAsia"/>
          <w:sz w:val="24"/>
          <w:szCs w:val="24"/>
          <w:lang w:eastAsia="zh-CN"/>
        </w:rPr>
        <w:t>投标人</w:t>
      </w:r>
      <w:r>
        <w:rPr>
          <w:sz w:val="24"/>
          <w:szCs w:val="24"/>
        </w:rPr>
        <w:t>法定代表人数字证书进行电子签名（签章）、并加密，没有使用</w:t>
      </w:r>
      <w:r>
        <w:rPr>
          <w:rFonts w:hint="eastAsia"/>
          <w:sz w:val="24"/>
          <w:szCs w:val="24"/>
          <w:lang w:eastAsia="zh-CN"/>
        </w:rPr>
        <w:t>投标人</w:t>
      </w:r>
      <w:r>
        <w:rPr>
          <w:sz w:val="24"/>
          <w:szCs w:val="24"/>
        </w:rPr>
        <w:t>企业数字证书和</w:t>
      </w:r>
      <w:r>
        <w:rPr>
          <w:rFonts w:hint="eastAsia"/>
          <w:sz w:val="24"/>
          <w:szCs w:val="24"/>
          <w:lang w:eastAsia="zh-CN"/>
        </w:rPr>
        <w:t>投标人</w:t>
      </w:r>
      <w:r>
        <w:rPr>
          <w:sz w:val="24"/>
          <w:szCs w:val="24"/>
        </w:rPr>
        <w:t>法定代表人数字证书进行电子签名（签章）并加密的投标文件，属于未按照招标文件要求进行签署。</w:t>
      </w:r>
    </w:p>
    <w:p>
      <w:pPr>
        <w:spacing w:line="360" w:lineRule="auto"/>
        <w:ind w:firstLine="480" w:firstLineChars="200"/>
        <w:rPr>
          <w:sz w:val="24"/>
          <w:szCs w:val="24"/>
        </w:rPr>
      </w:pPr>
      <w:r>
        <w:rPr>
          <w:sz w:val="24"/>
          <w:szCs w:val="24"/>
        </w:rPr>
        <w:t>根据《中华人民共和国电子签名法》规定，可靠的电子签名与手写签名或者盖章具有同等的法律效力。本次采购活动中，</w:t>
      </w:r>
      <w:r>
        <w:rPr>
          <w:rFonts w:hint="eastAsia"/>
          <w:sz w:val="24"/>
          <w:szCs w:val="24"/>
          <w:lang w:eastAsia="zh-CN"/>
        </w:rPr>
        <w:t>投标人</w:t>
      </w:r>
      <w:r>
        <w:rPr>
          <w:sz w:val="24"/>
          <w:szCs w:val="24"/>
        </w:rPr>
        <w:t>使用有效的企业数字证书对投标文件进行电子签章与加盖投标人公章具有同等法律效力；</w:t>
      </w:r>
      <w:r>
        <w:rPr>
          <w:rFonts w:hint="eastAsia"/>
          <w:sz w:val="24"/>
          <w:szCs w:val="24"/>
          <w:lang w:eastAsia="zh-CN"/>
        </w:rPr>
        <w:t>投标人</w:t>
      </w:r>
      <w:r>
        <w:rPr>
          <w:sz w:val="24"/>
          <w:szCs w:val="24"/>
        </w:rPr>
        <w:t>法定代表人使用有效的个人数字证书对投标文件进行签名（签章）与法人签章具有同等法律效力。</w:t>
      </w:r>
    </w:p>
    <w:p>
      <w:pPr>
        <w:spacing w:line="360" w:lineRule="auto"/>
        <w:ind w:firstLine="240" w:firstLineChars="100"/>
        <w:rPr>
          <w:sz w:val="24"/>
          <w:szCs w:val="24"/>
        </w:rPr>
      </w:pPr>
      <w:r>
        <w:rPr>
          <w:sz w:val="24"/>
          <w:szCs w:val="24"/>
        </w:rPr>
        <w:t>3.7.</w:t>
      </w:r>
      <w:r>
        <w:rPr>
          <w:rFonts w:hint="eastAsia"/>
          <w:sz w:val="24"/>
          <w:szCs w:val="24"/>
          <w:lang w:val="en-US" w:eastAsia="zh-CN"/>
        </w:rPr>
        <w:t>5</w:t>
      </w:r>
      <w:r>
        <w:rPr>
          <w:sz w:val="24"/>
          <w:szCs w:val="24"/>
        </w:rPr>
        <w:t xml:space="preserve"> 投标文件因字迹或表述不清所引起的后果由投标人自行负责。</w:t>
      </w:r>
    </w:p>
    <w:p>
      <w:pPr>
        <w:spacing w:line="360" w:lineRule="auto"/>
        <w:ind w:firstLine="240" w:firstLineChars="100"/>
        <w:rPr>
          <w:sz w:val="24"/>
          <w:szCs w:val="24"/>
        </w:rPr>
      </w:pPr>
      <w:r>
        <w:rPr>
          <w:sz w:val="24"/>
          <w:szCs w:val="24"/>
        </w:rPr>
        <w:t>3.7.</w:t>
      </w:r>
      <w:r>
        <w:rPr>
          <w:rFonts w:hint="eastAsia"/>
          <w:sz w:val="24"/>
          <w:szCs w:val="24"/>
          <w:lang w:val="en-US" w:eastAsia="zh-CN"/>
        </w:rPr>
        <w:t>6</w:t>
      </w:r>
      <w:r>
        <w:rPr>
          <w:sz w:val="24"/>
          <w:szCs w:val="24"/>
        </w:rPr>
        <w:t xml:space="preserve"> 未按上述要求提供的投标文件将视为无效投标。</w:t>
      </w:r>
    </w:p>
    <w:p>
      <w:pPr>
        <w:spacing w:line="360" w:lineRule="auto"/>
        <w:outlineLvl w:val="1"/>
        <w:rPr>
          <w:b/>
          <w:bCs/>
          <w:sz w:val="24"/>
          <w:szCs w:val="24"/>
        </w:rPr>
      </w:pPr>
      <w:bookmarkStart w:id="75" w:name="_Toc24583"/>
      <w:r>
        <w:rPr>
          <w:b/>
          <w:bCs/>
          <w:sz w:val="24"/>
          <w:szCs w:val="24"/>
        </w:rPr>
        <w:t>4 投标</w:t>
      </w:r>
      <w:bookmarkEnd w:id="75"/>
    </w:p>
    <w:p>
      <w:pPr>
        <w:spacing w:line="360" w:lineRule="auto"/>
        <w:ind w:firstLine="241" w:firstLineChars="100"/>
        <w:outlineLvl w:val="2"/>
        <w:rPr>
          <w:b/>
          <w:bCs/>
          <w:sz w:val="24"/>
          <w:szCs w:val="24"/>
        </w:rPr>
      </w:pPr>
      <w:bookmarkStart w:id="76" w:name="_Toc31474"/>
      <w:r>
        <w:rPr>
          <w:b/>
          <w:bCs/>
          <w:sz w:val="24"/>
          <w:szCs w:val="24"/>
        </w:rPr>
        <w:t>4.1 投标文件的密封和标记：</w:t>
      </w:r>
      <w:bookmarkEnd w:id="76"/>
    </w:p>
    <w:p>
      <w:pPr>
        <w:spacing w:line="360" w:lineRule="auto"/>
        <w:ind w:firstLine="240" w:firstLineChars="100"/>
        <w:rPr>
          <w:sz w:val="24"/>
          <w:szCs w:val="24"/>
        </w:rPr>
      </w:pPr>
      <w:r>
        <w:rPr>
          <w:sz w:val="24"/>
          <w:szCs w:val="24"/>
        </w:rPr>
        <w:t>4.1.1 投标文件应当按网上电子交易系统要求进行加密和标记，在投标文件提交截止时间前，将加密的投标文件上传至招标公告所述网上电子交易系统。</w:t>
      </w:r>
    </w:p>
    <w:p>
      <w:pPr>
        <w:spacing w:line="360" w:lineRule="auto"/>
        <w:ind w:firstLine="240" w:firstLineChars="100"/>
        <w:rPr>
          <w:sz w:val="24"/>
          <w:szCs w:val="24"/>
        </w:rPr>
      </w:pPr>
      <w:r>
        <w:rPr>
          <w:sz w:val="24"/>
          <w:szCs w:val="24"/>
        </w:rPr>
        <w:t>4.1.2 投标文件没有按照上述要求进行加密和标记的、网上电子交易系统将据系统设定拒收其投标文件，投标人应自负该项风险，采购代理机构对可能产生的误投或提前启封概不负责。</w:t>
      </w:r>
    </w:p>
    <w:p>
      <w:pPr>
        <w:spacing w:line="360" w:lineRule="auto"/>
        <w:ind w:firstLine="241" w:firstLineChars="100"/>
        <w:outlineLvl w:val="2"/>
        <w:rPr>
          <w:b/>
          <w:bCs/>
          <w:sz w:val="24"/>
          <w:szCs w:val="24"/>
        </w:rPr>
      </w:pPr>
      <w:bookmarkStart w:id="77" w:name="_Toc3799"/>
      <w:r>
        <w:rPr>
          <w:b/>
          <w:bCs/>
          <w:sz w:val="24"/>
          <w:szCs w:val="24"/>
        </w:rPr>
        <w:t>4.2 投标文件的递交</w:t>
      </w:r>
      <w:bookmarkEnd w:id="77"/>
    </w:p>
    <w:p>
      <w:pPr>
        <w:spacing w:line="360" w:lineRule="auto"/>
        <w:ind w:firstLine="240" w:firstLineChars="100"/>
        <w:rPr>
          <w:sz w:val="24"/>
          <w:szCs w:val="24"/>
        </w:rPr>
      </w:pPr>
      <w:r>
        <w:rPr>
          <w:sz w:val="24"/>
          <w:szCs w:val="24"/>
        </w:rPr>
        <w:t>4.2.1投标人应在投标截止时间前上传加密的电子投标文件到安阳市公共资源交易系统平台。请投标人在上传时认真检查上传投标文件是否完整、正确。投标人应充分考虑上传文件时的不可预见因素，未在投标截止时间前完成上传的，视为逾期送达，安阳市公共资源交易系统平台将拒绝接收。</w:t>
      </w:r>
    </w:p>
    <w:p>
      <w:pPr>
        <w:spacing w:line="360" w:lineRule="auto"/>
        <w:ind w:firstLine="240" w:firstLineChars="100"/>
        <w:rPr>
          <w:sz w:val="24"/>
          <w:szCs w:val="24"/>
        </w:rPr>
      </w:pPr>
      <w:r>
        <w:rPr>
          <w:sz w:val="24"/>
          <w:szCs w:val="24"/>
        </w:rPr>
        <w:t>4.2.2 由于不可抗拒的原因，代理机构对投标文件的遗失和损坏不负任何责任。</w:t>
      </w:r>
    </w:p>
    <w:p>
      <w:pPr>
        <w:spacing w:line="360" w:lineRule="auto"/>
        <w:ind w:firstLine="240" w:firstLineChars="100"/>
        <w:rPr>
          <w:sz w:val="24"/>
          <w:szCs w:val="24"/>
        </w:rPr>
      </w:pPr>
      <w:r>
        <w:rPr>
          <w:sz w:val="24"/>
          <w:szCs w:val="24"/>
        </w:rPr>
        <w:t>4.2.3 除投标人须知前附表另有规定外，投标人所递交的投标文件不予退还。</w:t>
      </w:r>
    </w:p>
    <w:p>
      <w:pPr>
        <w:spacing w:line="360" w:lineRule="auto"/>
        <w:ind w:firstLine="240" w:firstLineChars="100"/>
        <w:rPr>
          <w:sz w:val="24"/>
          <w:szCs w:val="24"/>
        </w:rPr>
      </w:pPr>
      <w:r>
        <w:rPr>
          <w:sz w:val="24"/>
          <w:szCs w:val="24"/>
        </w:rPr>
        <w:t>4.2.4 基于网上电子交易的系统要求及特点，只接受基于符合网上电子交易系统要求的投标，其他如纸制、送达、电报、电话、电子邮件等形式的投标概不接受。</w:t>
      </w:r>
    </w:p>
    <w:p>
      <w:pPr>
        <w:spacing w:line="360" w:lineRule="auto"/>
        <w:ind w:firstLine="241" w:firstLineChars="100"/>
        <w:outlineLvl w:val="2"/>
        <w:rPr>
          <w:b/>
          <w:bCs/>
          <w:sz w:val="24"/>
          <w:szCs w:val="24"/>
        </w:rPr>
      </w:pPr>
      <w:bookmarkStart w:id="78" w:name="_Toc11662"/>
      <w:r>
        <w:rPr>
          <w:b/>
          <w:bCs/>
          <w:sz w:val="24"/>
          <w:szCs w:val="24"/>
        </w:rPr>
        <w:t>4.3 投标文件的修改与撤回：</w:t>
      </w:r>
      <w:bookmarkEnd w:id="78"/>
    </w:p>
    <w:p>
      <w:pPr>
        <w:spacing w:line="360" w:lineRule="auto"/>
        <w:ind w:firstLine="240" w:firstLineChars="100"/>
        <w:rPr>
          <w:sz w:val="24"/>
          <w:szCs w:val="24"/>
        </w:rPr>
      </w:pPr>
      <w:r>
        <w:rPr>
          <w:sz w:val="24"/>
          <w:szCs w:val="24"/>
        </w:rPr>
        <w:t>4.3.1 投标人于提交投标文件截止时间前如对投标文件进行补充、修改，可以上传新的投标文件进行覆盖。</w:t>
      </w:r>
    </w:p>
    <w:p>
      <w:pPr>
        <w:spacing w:line="360" w:lineRule="auto"/>
        <w:ind w:firstLine="240" w:firstLineChars="100"/>
        <w:rPr>
          <w:sz w:val="24"/>
          <w:szCs w:val="24"/>
        </w:rPr>
      </w:pPr>
      <w:r>
        <w:rPr>
          <w:sz w:val="24"/>
          <w:szCs w:val="24"/>
        </w:rPr>
        <w:t>4.3.2 投标人在投标文件提交截止时间后不得自行修改或撤回其投标，否则依据招标文件“第三章3.5.5 违背承诺的责任追究措施 ”，投标人承担相应法律责任及违约责任。</w:t>
      </w:r>
    </w:p>
    <w:p>
      <w:pPr>
        <w:spacing w:line="360" w:lineRule="auto"/>
        <w:outlineLvl w:val="1"/>
        <w:rPr>
          <w:b/>
          <w:bCs/>
          <w:sz w:val="24"/>
          <w:szCs w:val="24"/>
        </w:rPr>
      </w:pPr>
      <w:bookmarkStart w:id="79" w:name="_Toc18352"/>
      <w:r>
        <w:rPr>
          <w:b/>
          <w:bCs/>
          <w:sz w:val="24"/>
          <w:szCs w:val="24"/>
        </w:rPr>
        <w:t>5 开标</w:t>
      </w:r>
      <w:bookmarkEnd w:id="79"/>
    </w:p>
    <w:p>
      <w:pPr>
        <w:spacing w:line="360" w:lineRule="auto"/>
        <w:ind w:firstLine="241" w:firstLineChars="100"/>
        <w:outlineLvl w:val="2"/>
        <w:rPr>
          <w:b/>
          <w:bCs/>
          <w:sz w:val="24"/>
          <w:szCs w:val="24"/>
        </w:rPr>
      </w:pPr>
      <w:bookmarkStart w:id="80" w:name="_Toc25195"/>
      <w:r>
        <w:rPr>
          <w:b/>
          <w:bCs/>
          <w:sz w:val="24"/>
          <w:szCs w:val="24"/>
        </w:rPr>
        <w:t>5.1 开标时间和地点、开标程序</w:t>
      </w:r>
      <w:bookmarkEnd w:id="80"/>
    </w:p>
    <w:p>
      <w:pPr>
        <w:spacing w:line="360" w:lineRule="auto"/>
        <w:ind w:firstLine="240" w:firstLineChars="100"/>
        <w:rPr>
          <w:rFonts w:hint="eastAsia"/>
          <w:sz w:val="24"/>
          <w:szCs w:val="24"/>
          <w:lang w:val="en-US" w:eastAsia="zh-CN"/>
        </w:rPr>
      </w:pPr>
      <w:r>
        <w:rPr>
          <w:sz w:val="24"/>
          <w:szCs w:val="24"/>
        </w:rPr>
        <w:t>5.1.1本项目采用远程不见面交易的模式，</w:t>
      </w:r>
      <w:r>
        <w:rPr>
          <w:rFonts w:hint="eastAsia"/>
          <w:color w:val="auto"/>
          <w:sz w:val="24"/>
          <w:szCs w:val="24"/>
          <w:highlight w:val="none"/>
          <w:lang w:val="en-US" w:eastAsia="zh-CN"/>
        </w:rPr>
        <w:t>投标人不再提供原件，投标人应在投标文件中附承诺书，承诺投标文件所有原件扫描件真实有效，法人签字盖章同时盖投标单位的公章，</w:t>
      </w:r>
      <w:r>
        <w:rPr>
          <w:color w:val="auto"/>
          <w:sz w:val="24"/>
          <w:szCs w:val="24"/>
          <w:highlight w:val="none"/>
        </w:rPr>
        <w:t>开标</w:t>
      </w:r>
      <w:r>
        <w:rPr>
          <w:sz w:val="24"/>
          <w:szCs w:val="24"/>
        </w:rPr>
        <w:t xml:space="preserve">当日，投标人无需到开标现场参加开标会议，投标人应当在投标截止时间前，登录到安阳市公共资源交易不见面开标大厅 </w:t>
      </w:r>
      <w:r>
        <w:rPr>
          <w:rFonts w:hint="default"/>
          <w:sz w:val="24"/>
          <w:szCs w:val="24"/>
        </w:rPr>
        <w:t>（https://ggzy.anyang.gov.cn/BidOpening）</w:t>
      </w:r>
      <w:r>
        <w:rPr>
          <w:sz w:val="24"/>
          <w:szCs w:val="24"/>
        </w:rPr>
        <w:t>，在线准时参加开标活动并进行投标文件解密等。因投标人原因未能解密、解密失败或解密超时的将被拒绝</w:t>
      </w:r>
      <w:r>
        <w:rPr>
          <w:rFonts w:hint="eastAsia"/>
          <w:sz w:val="24"/>
          <w:szCs w:val="24"/>
          <w:lang w:eastAsia="zh-CN"/>
        </w:rPr>
        <w:t>，</w:t>
      </w:r>
      <w:r>
        <w:rPr>
          <w:rFonts w:hint="eastAsia"/>
          <w:sz w:val="24"/>
          <w:szCs w:val="24"/>
          <w:lang w:val="en-US" w:eastAsia="zh-CN"/>
        </w:rPr>
        <w:t>解密完成后，投标人的报价将在系统界面上显示。鉴于网上电子交易方式的特点，管理员将根据系统情况下达解密指令。</w:t>
      </w:r>
    </w:p>
    <w:p>
      <w:pPr>
        <w:spacing w:line="360" w:lineRule="auto"/>
        <w:ind w:firstLine="240" w:firstLineChars="100"/>
        <w:rPr>
          <w:rFonts w:hint="eastAsia"/>
          <w:sz w:val="24"/>
          <w:szCs w:val="24"/>
          <w:lang w:val="en-US" w:eastAsia="zh-CN"/>
        </w:rPr>
      </w:pPr>
      <w:r>
        <w:rPr>
          <w:rFonts w:hint="eastAsia"/>
          <w:sz w:val="24"/>
          <w:szCs w:val="24"/>
          <w:lang w:val="en-US" w:eastAsia="zh-CN"/>
        </w:rPr>
        <w:t>5.1.2 投标人对开标过程和开标记录有疑义，以及认为采购人、采购代理机构相关工作人员有需要回避的情形的，应在系统中提出询问或者回避申请，否则，视为对开标无异议</w:t>
      </w:r>
    </w:p>
    <w:p>
      <w:pPr>
        <w:spacing w:line="360" w:lineRule="auto"/>
        <w:ind w:firstLine="240" w:firstLineChars="100"/>
        <w:rPr>
          <w:sz w:val="24"/>
          <w:szCs w:val="24"/>
        </w:rPr>
      </w:pPr>
      <w:r>
        <w:rPr>
          <w:sz w:val="24"/>
          <w:szCs w:val="24"/>
        </w:rPr>
        <w:t>5.1.</w:t>
      </w:r>
      <w:r>
        <w:rPr>
          <w:rFonts w:hint="eastAsia"/>
          <w:sz w:val="24"/>
          <w:szCs w:val="24"/>
          <w:lang w:val="en-US" w:eastAsia="zh-CN"/>
        </w:rPr>
        <w:t>3</w:t>
      </w:r>
      <w:r>
        <w:rPr>
          <w:sz w:val="24"/>
          <w:szCs w:val="24"/>
        </w:rPr>
        <w:t xml:space="preserve">  投标人不足3家的，将不予开标。</w:t>
      </w:r>
    </w:p>
    <w:p>
      <w:pPr>
        <w:spacing w:line="360" w:lineRule="auto"/>
        <w:outlineLvl w:val="1"/>
        <w:rPr>
          <w:b/>
          <w:bCs/>
          <w:sz w:val="24"/>
          <w:szCs w:val="24"/>
        </w:rPr>
      </w:pPr>
      <w:bookmarkStart w:id="81" w:name="_Toc32375"/>
      <w:r>
        <w:rPr>
          <w:b/>
          <w:bCs/>
          <w:sz w:val="24"/>
          <w:szCs w:val="24"/>
        </w:rPr>
        <w:t>6 资格性审查</w:t>
      </w:r>
      <w:bookmarkEnd w:id="81"/>
    </w:p>
    <w:p>
      <w:pPr>
        <w:spacing w:line="360" w:lineRule="auto"/>
        <w:ind w:firstLine="241" w:firstLineChars="100"/>
        <w:outlineLvl w:val="2"/>
        <w:rPr>
          <w:b/>
          <w:bCs/>
          <w:sz w:val="24"/>
          <w:szCs w:val="24"/>
        </w:rPr>
      </w:pPr>
      <w:bookmarkStart w:id="82" w:name="_Toc2806"/>
      <w:r>
        <w:rPr>
          <w:b/>
          <w:bCs/>
          <w:sz w:val="24"/>
          <w:szCs w:val="24"/>
        </w:rPr>
        <w:t>6.1 资格性审查环节</w:t>
      </w:r>
      <w:bookmarkEnd w:id="82"/>
    </w:p>
    <w:p>
      <w:pPr>
        <w:spacing w:line="360" w:lineRule="auto"/>
        <w:ind w:firstLine="480" w:firstLineChars="200"/>
        <w:rPr>
          <w:sz w:val="24"/>
          <w:szCs w:val="24"/>
        </w:rPr>
      </w:pPr>
      <w:r>
        <w:rPr>
          <w:sz w:val="24"/>
          <w:szCs w:val="24"/>
        </w:rPr>
        <w:t>公开招标采购项目开标结束后，采购人或者采购代理机构将依法对投标人的资格进行审查。</w:t>
      </w:r>
    </w:p>
    <w:p>
      <w:pPr>
        <w:spacing w:line="360" w:lineRule="auto"/>
        <w:ind w:firstLine="241" w:firstLineChars="100"/>
        <w:outlineLvl w:val="2"/>
        <w:rPr>
          <w:b/>
          <w:bCs/>
          <w:sz w:val="24"/>
          <w:szCs w:val="24"/>
        </w:rPr>
      </w:pPr>
      <w:bookmarkStart w:id="83" w:name="_Toc17178"/>
      <w:r>
        <w:rPr>
          <w:b/>
          <w:bCs/>
          <w:sz w:val="24"/>
          <w:szCs w:val="24"/>
        </w:rPr>
        <w:t>6.2 资格性审查内容</w:t>
      </w:r>
      <w:bookmarkEnd w:id="83"/>
    </w:p>
    <w:p>
      <w:pPr>
        <w:spacing w:line="360" w:lineRule="auto"/>
        <w:ind w:firstLine="240" w:firstLineChars="100"/>
        <w:rPr>
          <w:sz w:val="24"/>
          <w:szCs w:val="24"/>
        </w:rPr>
      </w:pPr>
      <w:r>
        <w:rPr>
          <w:sz w:val="24"/>
          <w:szCs w:val="24"/>
        </w:rPr>
        <w:t>（1）按照第一章“招标公告 ”第2条各项资格要求规定，审查投标人是否符合第一章 “招标公告 ”第2条各项资格要求及所需证件材料、证明材料要求，不符合的、投标无效。</w:t>
      </w:r>
    </w:p>
    <w:p>
      <w:pPr>
        <w:spacing w:line="360" w:lineRule="auto"/>
        <w:ind w:firstLine="240" w:firstLineChars="100"/>
        <w:rPr>
          <w:sz w:val="24"/>
          <w:szCs w:val="24"/>
        </w:rPr>
      </w:pPr>
      <w:r>
        <w:rPr>
          <w:sz w:val="24"/>
          <w:szCs w:val="24"/>
        </w:rPr>
        <w:t>（2）投标承诺函（替代投标保证金）。按照招标文件第三章“投标人须知 ”3.5款规定审查，不符合的、投标无效。</w:t>
      </w:r>
    </w:p>
    <w:p>
      <w:pPr>
        <w:spacing w:line="360" w:lineRule="auto"/>
        <w:ind w:firstLine="240" w:firstLineChars="100"/>
        <w:rPr>
          <w:sz w:val="24"/>
          <w:szCs w:val="24"/>
        </w:rPr>
      </w:pPr>
      <w:r>
        <w:rPr>
          <w:sz w:val="24"/>
          <w:szCs w:val="24"/>
        </w:rPr>
        <w:t>（3）招标公告、资格预审公告或者投标邀请书中载明接受联合体投标的，按照招标文件第三章“投标人须知 ”1.4款规定进行审查，不符合的、投标无效。</w:t>
      </w:r>
    </w:p>
    <w:p>
      <w:pPr>
        <w:spacing w:line="360" w:lineRule="auto"/>
        <w:ind w:firstLine="241" w:firstLineChars="100"/>
        <w:outlineLvl w:val="2"/>
        <w:rPr>
          <w:b/>
          <w:bCs/>
          <w:sz w:val="24"/>
          <w:szCs w:val="24"/>
        </w:rPr>
      </w:pPr>
      <w:bookmarkStart w:id="84" w:name="_Toc17204"/>
      <w:r>
        <w:rPr>
          <w:b/>
          <w:bCs/>
          <w:sz w:val="24"/>
          <w:szCs w:val="24"/>
        </w:rPr>
        <w:t>6.3 资格性审查结果</w:t>
      </w:r>
      <w:bookmarkEnd w:id="84"/>
    </w:p>
    <w:p>
      <w:pPr>
        <w:spacing w:line="360" w:lineRule="auto"/>
        <w:ind w:firstLine="240" w:firstLineChars="100"/>
        <w:rPr>
          <w:sz w:val="24"/>
          <w:szCs w:val="24"/>
        </w:rPr>
      </w:pPr>
      <w:r>
        <w:rPr>
          <w:sz w:val="24"/>
          <w:szCs w:val="24"/>
        </w:rPr>
        <w:t>6.3.1 对未通过资格审查的投标人，将告知其未通过的原因。</w:t>
      </w:r>
    </w:p>
    <w:p>
      <w:pPr>
        <w:spacing w:line="360" w:lineRule="auto"/>
        <w:ind w:firstLine="240" w:firstLineChars="100"/>
        <w:rPr>
          <w:sz w:val="24"/>
          <w:szCs w:val="24"/>
        </w:rPr>
      </w:pPr>
      <w:r>
        <w:rPr>
          <w:sz w:val="24"/>
          <w:szCs w:val="24"/>
        </w:rPr>
        <w:t>6.3.2 资格性审查合格投标人不足3家的，将不再评标。</w:t>
      </w:r>
    </w:p>
    <w:p>
      <w:pPr>
        <w:spacing w:line="360" w:lineRule="auto"/>
        <w:outlineLvl w:val="1"/>
        <w:rPr>
          <w:b/>
          <w:bCs/>
          <w:sz w:val="24"/>
          <w:szCs w:val="24"/>
        </w:rPr>
      </w:pPr>
      <w:bookmarkStart w:id="85" w:name="_Toc976"/>
      <w:r>
        <w:rPr>
          <w:b/>
          <w:bCs/>
          <w:sz w:val="24"/>
          <w:szCs w:val="24"/>
        </w:rPr>
        <w:t>7 评审</w:t>
      </w:r>
      <w:bookmarkEnd w:id="85"/>
    </w:p>
    <w:p>
      <w:pPr>
        <w:spacing w:line="360" w:lineRule="auto"/>
        <w:ind w:firstLine="241" w:firstLineChars="100"/>
        <w:outlineLvl w:val="2"/>
        <w:rPr>
          <w:b/>
          <w:bCs/>
          <w:sz w:val="24"/>
          <w:szCs w:val="24"/>
        </w:rPr>
      </w:pPr>
      <w:bookmarkStart w:id="86" w:name="_Toc16427"/>
      <w:r>
        <w:rPr>
          <w:b/>
          <w:bCs/>
          <w:sz w:val="24"/>
          <w:szCs w:val="24"/>
        </w:rPr>
        <w:t>7.1 评标委员会</w:t>
      </w:r>
      <w:bookmarkEnd w:id="86"/>
    </w:p>
    <w:p>
      <w:pPr>
        <w:spacing w:line="360" w:lineRule="auto"/>
        <w:ind w:firstLine="240" w:firstLineChars="100"/>
        <w:rPr>
          <w:sz w:val="24"/>
          <w:szCs w:val="24"/>
          <w:highlight w:val="none"/>
        </w:rPr>
      </w:pPr>
      <w:r>
        <w:rPr>
          <w:rFonts w:hint="eastAsia"/>
          <w:sz w:val="24"/>
          <w:szCs w:val="24"/>
          <w:highlight w:val="none"/>
        </w:rPr>
        <w:t>依据《中华人民共和国政府采购法》及有关法规组建评委会，评委会由采购人代表和评审专家</w:t>
      </w:r>
      <w:r>
        <w:rPr>
          <w:rFonts w:hint="eastAsia"/>
          <w:color w:val="auto"/>
          <w:sz w:val="24"/>
          <w:szCs w:val="24"/>
          <w:highlight w:val="none"/>
          <w:lang w:val="en-US" w:eastAsia="zh-CN"/>
        </w:rPr>
        <w:t>共 5 人以</w:t>
      </w:r>
      <w:r>
        <w:rPr>
          <w:rFonts w:hint="eastAsia"/>
          <w:sz w:val="24"/>
          <w:szCs w:val="24"/>
          <w:highlight w:val="none"/>
          <w:lang w:val="en-US" w:eastAsia="zh-CN"/>
        </w:rPr>
        <w:t>上单数组成，其中评审专家人数不少于评标委员会成员总数的 2/3，</w:t>
      </w:r>
      <w:r>
        <w:rPr>
          <w:sz w:val="24"/>
          <w:szCs w:val="24"/>
          <w:highlight w:val="none"/>
        </w:rPr>
        <w:t>评审专家是在监督部门监督下从政府采购专家库中随机抽取产生。技术复杂、专业性强的采购项目，通过随机方式难以确定合适评审专家的，经主管预算单位同意，报经批准后，采购人自行选定相应专业领域的评审专家。</w:t>
      </w:r>
    </w:p>
    <w:p>
      <w:pPr>
        <w:spacing w:line="360" w:lineRule="auto"/>
        <w:ind w:firstLine="241" w:firstLineChars="100"/>
        <w:outlineLvl w:val="2"/>
        <w:rPr>
          <w:b/>
          <w:bCs/>
          <w:sz w:val="24"/>
          <w:szCs w:val="24"/>
        </w:rPr>
      </w:pPr>
      <w:bookmarkStart w:id="87" w:name="_Toc23196"/>
      <w:r>
        <w:rPr>
          <w:b/>
          <w:bCs/>
          <w:sz w:val="24"/>
          <w:szCs w:val="24"/>
        </w:rPr>
        <w:t>7.2 评审原则</w:t>
      </w:r>
      <w:bookmarkEnd w:id="87"/>
    </w:p>
    <w:p>
      <w:pPr>
        <w:spacing w:line="360" w:lineRule="auto"/>
        <w:ind w:firstLine="240" w:firstLineChars="100"/>
        <w:rPr>
          <w:sz w:val="24"/>
          <w:szCs w:val="24"/>
        </w:rPr>
      </w:pPr>
      <w:r>
        <w:rPr>
          <w:sz w:val="24"/>
          <w:szCs w:val="24"/>
        </w:rPr>
        <w:t>7.2.1 坚持公开、公平、公正地对待所有投标人。</w:t>
      </w:r>
    </w:p>
    <w:p>
      <w:pPr>
        <w:spacing w:line="360" w:lineRule="auto"/>
        <w:ind w:firstLine="240" w:firstLineChars="100"/>
        <w:rPr>
          <w:sz w:val="24"/>
          <w:szCs w:val="24"/>
        </w:rPr>
      </w:pPr>
      <w:r>
        <w:rPr>
          <w:sz w:val="24"/>
          <w:szCs w:val="24"/>
        </w:rPr>
        <w:t>7.2.2 按照同一评审程序及方法审查所有投标人的投标文件。</w:t>
      </w:r>
    </w:p>
    <w:p>
      <w:pPr>
        <w:spacing w:line="360" w:lineRule="auto"/>
        <w:ind w:firstLine="240" w:firstLineChars="100"/>
        <w:rPr>
          <w:sz w:val="24"/>
          <w:szCs w:val="24"/>
        </w:rPr>
      </w:pPr>
      <w:r>
        <w:rPr>
          <w:sz w:val="24"/>
          <w:szCs w:val="24"/>
        </w:rPr>
        <w:t>7.2.3 反对不正当竞争</w:t>
      </w:r>
    </w:p>
    <w:p>
      <w:pPr>
        <w:spacing w:line="360" w:lineRule="auto"/>
        <w:ind w:firstLine="241" w:firstLineChars="100"/>
        <w:outlineLvl w:val="2"/>
        <w:rPr>
          <w:b/>
          <w:bCs/>
          <w:sz w:val="24"/>
          <w:szCs w:val="24"/>
        </w:rPr>
      </w:pPr>
      <w:bookmarkStart w:id="88" w:name="_Toc32398"/>
      <w:r>
        <w:rPr>
          <w:b/>
          <w:bCs/>
          <w:sz w:val="24"/>
          <w:szCs w:val="24"/>
        </w:rPr>
        <w:t>7.3 评审</w:t>
      </w:r>
      <w:bookmarkEnd w:id="88"/>
    </w:p>
    <w:p>
      <w:pPr>
        <w:spacing w:line="360" w:lineRule="auto"/>
        <w:ind w:firstLine="240" w:firstLineChars="100"/>
        <w:rPr>
          <w:sz w:val="24"/>
          <w:szCs w:val="24"/>
        </w:rPr>
      </w:pPr>
      <w:r>
        <w:rPr>
          <w:sz w:val="24"/>
          <w:szCs w:val="24"/>
        </w:rPr>
        <w:t>7.3.1评审工作在评标委员会内独立进行。评标委员会按照第四章“评标办法 ”规定的方法、评标因素、标准和程序对投标文件进行评审。第四章“评标办法 ”没有规定的方法、评标因素和标准，不作为评审依据。</w:t>
      </w:r>
    </w:p>
    <w:p>
      <w:pPr>
        <w:spacing w:line="360" w:lineRule="auto"/>
        <w:ind w:firstLine="240" w:firstLineChars="100"/>
        <w:rPr>
          <w:sz w:val="24"/>
          <w:szCs w:val="24"/>
        </w:rPr>
      </w:pPr>
      <w:r>
        <w:rPr>
          <w:sz w:val="24"/>
          <w:szCs w:val="24"/>
        </w:rPr>
        <w:t>7.3.2 评标中因评标委员会成员缺席、回避或者健康等特殊原因导致评标委员会组成不符政府采购法规规定的，无法及时补足评标委员会成员的，采购代理机构将停止评标活动，封存所有投标文件和开标、评标资料，依法重新组建评标委员会进行评标。原评标委员会所作出的评标意见无效。</w:t>
      </w:r>
    </w:p>
    <w:p>
      <w:pPr>
        <w:spacing w:line="360" w:lineRule="auto"/>
        <w:ind w:firstLine="240" w:firstLineChars="100"/>
        <w:rPr>
          <w:sz w:val="24"/>
          <w:szCs w:val="24"/>
        </w:rPr>
      </w:pPr>
      <w:r>
        <w:rPr>
          <w:sz w:val="24"/>
          <w:szCs w:val="24"/>
        </w:rPr>
        <w:t>7.3.3 在开标、评审期间，投标人不得向评标委员会成员询问情况，不得进行旨在影响评审结果的活动。</w:t>
      </w:r>
    </w:p>
    <w:p>
      <w:pPr>
        <w:spacing w:line="360" w:lineRule="auto"/>
        <w:outlineLvl w:val="1"/>
        <w:rPr>
          <w:b/>
          <w:bCs/>
          <w:sz w:val="24"/>
          <w:szCs w:val="24"/>
        </w:rPr>
      </w:pPr>
      <w:bookmarkStart w:id="89" w:name="_Toc24037"/>
      <w:r>
        <w:rPr>
          <w:b/>
          <w:bCs/>
          <w:sz w:val="24"/>
          <w:szCs w:val="24"/>
        </w:rPr>
        <w:t>8 授予合同</w:t>
      </w:r>
      <w:bookmarkEnd w:id="89"/>
    </w:p>
    <w:p>
      <w:pPr>
        <w:spacing w:line="360" w:lineRule="auto"/>
        <w:ind w:firstLine="241" w:firstLineChars="100"/>
        <w:outlineLvl w:val="2"/>
        <w:rPr>
          <w:b/>
          <w:bCs/>
          <w:sz w:val="24"/>
          <w:szCs w:val="24"/>
        </w:rPr>
      </w:pPr>
      <w:bookmarkStart w:id="90" w:name="_Toc7080"/>
      <w:r>
        <w:rPr>
          <w:b/>
          <w:bCs/>
          <w:sz w:val="24"/>
          <w:szCs w:val="24"/>
        </w:rPr>
        <w:t>8.1 确定中标人方式</w:t>
      </w:r>
      <w:bookmarkEnd w:id="90"/>
    </w:p>
    <w:p>
      <w:pPr>
        <w:spacing w:line="360" w:lineRule="auto"/>
        <w:ind w:firstLine="480" w:firstLineChars="200"/>
        <w:rPr>
          <w:sz w:val="24"/>
          <w:szCs w:val="24"/>
        </w:rPr>
      </w:pPr>
      <w:r>
        <w:rPr>
          <w:sz w:val="24"/>
          <w:szCs w:val="24"/>
        </w:rPr>
        <w:t>除投标人须知前附表规定授权评标委员会直接确定中标人外，采购人应当自收到评标报告之日起5个工作日内在评标报告推荐的中标候选人中按顺序确定中标人。若排名第一的中标候选人放弃中标，或者因不可抗力不能履行合同，或者被查实存在影响中标结果的违法行为等情形、不符合中标条件的，采购人可以按照评标委员会提出的中标候选人名单排序依次确定其他中标候选人为中标人，也可以重新采购。</w:t>
      </w:r>
    </w:p>
    <w:p>
      <w:pPr>
        <w:spacing w:line="360" w:lineRule="auto"/>
        <w:ind w:firstLine="241" w:firstLineChars="100"/>
        <w:outlineLvl w:val="2"/>
        <w:rPr>
          <w:b/>
          <w:bCs/>
          <w:sz w:val="24"/>
          <w:szCs w:val="24"/>
        </w:rPr>
      </w:pPr>
      <w:bookmarkStart w:id="91" w:name="_Toc10886"/>
      <w:r>
        <w:rPr>
          <w:b/>
          <w:bCs/>
          <w:sz w:val="24"/>
          <w:szCs w:val="24"/>
        </w:rPr>
        <w:t>8.2 中标结果公告</w:t>
      </w:r>
      <w:bookmarkEnd w:id="91"/>
    </w:p>
    <w:p>
      <w:pPr>
        <w:spacing w:line="360" w:lineRule="auto"/>
        <w:ind w:firstLine="480" w:firstLineChars="200"/>
        <w:rPr>
          <w:sz w:val="24"/>
          <w:szCs w:val="24"/>
        </w:rPr>
      </w:pPr>
      <w:r>
        <w:rPr>
          <w:sz w:val="24"/>
          <w:szCs w:val="24"/>
        </w:rPr>
        <w:t>采购代理机构在中标人确定后当天在招标公告所述媒体公告中标结果。同时向中标人发出中标通知书。中标结果公告期限为1个工作日。</w:t>
      </w:r>
    </w:p>
    <w:p>
      <w:pPr>
        <w:spacing w:line="360" w:lineRule="auto"/>
        <w:ind w:firstLine="241" w:firstLineChars="100"/>
        <w:outlineLvl w:val="2"/>
        <w:rPr>
          <w:b/>
          <w:bCs/>
          <w:sz w:val="24"/>
          <w:szCs w:val="24"/>
        </w:rPr>
      </w:pPr>
      <w:bookmarkStart w:id="92" w:name="_Toc21224"/>
      <w:r>
        <w:rPr>
          <w:b/>
          <w:bCs/>
          <w:sz w:val="24"/>
          <w:szCs w:val="24"/>
        </w:rPr>
        <w:t>8.3 质疑、投诉：</w:t>
      </w:r>
      <w:bookmarkEnd w:id="92"/>
    </w:p>
    <w:p>
      <w:pPr>
        <w:spacing w:line="360" w:lineRule="auto"/>
        <w:ind w:firstLine="240" w:firstLineChars="100"/>
        <w:rPr>
          <w:sz w:val="24"/>
          <w:szCs w:val="24"/>
        </w:rPr>
      </w:pPr>
      <w:r>
        <w:rPr>
          <w:sz w:val="24"/>
          <w:szCs w:val="24"/>
        </w:rPr>
        <w:t>8.3.1 见投标人须知前附表</w:t>
      </w:r>
    </w:p>
    <w:p>
      <w:pPr>
        <w:spacing w:line="360" w:lineRule="auto"/>
        <w:ind w:firstLine="240" w:firstLineChars="100"/>
        <w:rPr>
          <w:sz w:val="24"/>
          <w:szCs w:val="24"/>
        </w:rPr>
      </w:pPr>
      <w:r>
        <w:rPr>
          <w:sz w:val="24"/>
          <w:szCs w:val="24"/>
        </w:rPr>
        <w:t>8.3.2 依据政府采购法规规定，招标公告、资格预审公告的公告期限为5个工作日，中标公告期限为1个工作日，投标人应在法定期限内提出质疑，逾期提交或未按照要求提交的质疑函将不予受理。</w:t>
      </w:r>
    </w:p>
    <w:p>
      <w:pPr>
        <w:spacing w:line="360" w:lineRule="auto"/>
        <w:ind w:firstLine="240" w:firstLineChars="100"/>
        <w:rPr>
          <w:sz w:val="24"/>
          <w:szCs w:val="24"/>
        </w:rPr>
      </w:pPr>
      <w:r>
        <w:rPr>
          <w:sz w:val="24"/>
          <w:szCs w:val="24"/>
        </w:rPr>
        <w:t>8.3.3 询问或者质疑事项可能影响中标结果的，采购人应当暂停签订合同，已经签订合同的，应当中止履行合同。</w:t>
      </w:r>
    </w:p>
    <w:p>
      <w:pPr>
        <w:spacing w:line="360" w:lineRule="auto"/>
        <w:ind w:firstLine="241" w:firstLineChars="100"/>
        <w:rPr>
          <w:b/>
          <w:bCs/>
          <w:sz w:val="24"/>
          <w:szCs w:val="24"/>
        </w:rPr>
      </w:pPr>
      <w:r>
        <w:rPr>
          <w:b/>
          <w:bCs/>
          <w:sz w:val="24"/>
          <w:szCs w:val="24"/>
        </w:rPr>
        <w:t>8.4 中标通知：见投标人须知前附表</w:t>
      </w:r>
    </w:p>
    <w:p>
      <w:pPr>
        <w:spacing w:line="360" w:lineRule="auto"/>
        <w:ind w:firstLine="241" w:firstLineChars="100"/>
        <w:rPr>
          <w:rFonts w:hint="eastAsia" w:eastAsiaTheme="minorEastAsia"/>
          <w:b/>
          <w:bCs/>
          <w:sz w:val="24"/>
          <w:szCs w:val="24"/>
          <w:lang w:eastAsia="zh-CN"/>
        </w:rPr>
      </w:pPr>
      <w:r>
        <w:rPr>
          <w:b/>
          <w:bCs/>
          <w:sz w:val="24"/>
          <w:szCs w:val="24"/>
        </w:rPr>
        <w:t>8.5 履约保证金</w:t>
      </w:r>
      <w:r>
        <w:rPr>
          <w:rFonts w:hint="eastAsia"/>
          <w:b/>
          <w:bCs/>
          <w:sz w:val="24"/>
          <w:szCs w:val="24"/>
          <w:lang w:eastAsia="zh-CN"/>
        </w:rPr>
        <w:t>（</w:t>
      </w:r>
      <w:r>
        <w:rPr>
          <w:rFonts w:hint="eastAsia"/>
          <w:b/>
          <w:bCs/>
          <w:sz w:val="24"/>
          <w:szCs w:val="24"/>
          <w:lang w:val="en-US" w:eastAsia="zh-CN"/>
        </w:rPr>
        <w:t>本项目不需缴纳</w:t>
      </w:r>
      <w:r>
        <w:rPr>
          <w:rFonts w:hint="eastAsia"/>
          <w:b/>
          <w:bCs/>
          <w:sz w:val="24"/>
          <w:szCs w:val="24"/>
          <w:lang w:eastAsia="zh-CN"/>
        </w:rPr>
        <w:t>）</w:t>
      </w:r>
    </w:p>
    <w:p>
      <w:pPr>
        <w:spacing w:line="360" w:lineRule="auto"/>
        <w:ind w:firstLine="480" w:firstLineChars="200"/>
        <w:rPr>
          <w:sz w:val="24"/>
          <w:szCs w:val="24"/>
        </w:rPr>
      </w:pPr>
      <w:r>
        <w:rPr>
          <w:sz w:val="24"/>
          <w:szCs w:val="24"/>
        </w:rPr>
        <w:t>8.5.1在签订合同时，中标人应按投标人须知前附表规定向采购人提交履约保证金。</w:t>
      </w:r>
    </w:p>
    <w:p>
      <w:pPr>
        <w:spacing w:line="360" w:lineRule="auto"/>
        <w:ind w:firstLine="480" w:firstLineChars="200"/>
        <w:rPr>
          <w:sz w:val="24"/>
          <w:szCs w:val="24"/>
        </w:rPr>
      </w:pPr>
      <w:r>
        <w:rPr>
          <w:sz w:val="24"/>
          <w:szCs w:val="24"/>
        </w:rPr>
        <w:t>8.5.2 中标人不能按本章第8.5.1项要求提交履约保证金的，视为放弃中标资格，依据招标文件“第三章3.5.5 违背承诺的责任追究措施 ”，投标人承担相应法律责任及违约责任。给采购人及采购代理机构造成的损失，中标人应当予以赔偿。</w:t>
      </w:r>
    </w:p>
    <w:p>
      <w:pPr>
        <w:spacing w:line="360" w:lineRule="auto"/>
        <w:ind w:firstLine="241" w:firstLineChars="100"/>
        <w:outlineLvl w:val="2"/>
        <w:rPr>
          <w:b/>
          <w:bCs/>
          <w:sz w:val="24"/>
          <w:szCs w:val="24"/>
        </w:rPr>
      </w:pPr>
      <w:bookmarkStart w:id="93" w:name="_Toc21823"/>
      <w:r>
        <w:rPr>
          <w:b/>
          <w:bCs/>
          <w:sz w:val="24"/>
          <w:szCs w:val="24"/>
        </w:rPr>
        <w:t>8.6 签订合同</w:t>
      </w:r>
      <w:bookmarkEnd w:id="93"/>
    </w:p>
    <w:p>
      <w:pPr>
        <w:spacing w:line="360" w:lineRule="auto"/>
        <w:ind w:firstLine="240" w:firstLineChars="100"/>
        <w:rPr>
          <w:sz w:val="24"/>
          <w:szCs w:val="24"/>
        </w:rPr>
      </w:pPr>
      <w:r>
        <w:rPr>
          <w:sz w:val="24"/>
          <w:szCs w:val="24"/>
        </w:rPr>
        <w:t>8.6.1 据优化营商环境精神，中标人应在《中标通知书》发出后2个工作日内，按照招标文件确定的合同文本以及中标标的、技术和服务等事项与采购人签订书面政府采购合同。</w:t>
      </w:r>
    </w:p>
    <w:p>
      <w:pPr>
        <w:spacing w:line="360" w:lineRule="auto"/>
        <w:ind w:firstLine="240" w:firstLineChars="100"/>
        <w:rPr>
          <w:sz w:val="24"/>
          <w:szCs w:val="24"/>
        </w:rPr>
      </w:pPr>
      <w:r>
        <w:rPr>
          <w:sz w:val="24"/>
          <w:szCs w:val="24"/>
        </w:rPr>
        <w:t>8.6.2 如中标人不按时签订合同、拒签合同的，取消其中标资格，依据招标文件“第三章3.5.5 违背承诺的责任追究措施 ”，投标人承担相应法律责任及违约责任。</w:t>
      </w:r>
    </w:p>
    <w:p>
      <w:pPr>
        <w:spacing w:line="360" w:lineRule="auto"/>
        <w:ind w:firstLine="240" w:firstLineChars="100"/>
        <w:rPr>
          <w:sz w:val="24"/>
          <w:szCs w:val="24"/>
        </w:rPr>
      </w:pPr>
      <w:r>
        <w:rPr>
          <w:sz w:val="24"/>
          <w:szCs w:val="24"/>
        </w:rPr>
        <w:t>8.6.3 合同生效：中标人与采购人签订的合同，双方签字后盖章生效。采购人要在合同签订后 1 个工作日内登陆安阳市政府采购网进行备案并公告。</w:t>
      </w:r>
    </w:p>
    <w:p>
      <w:pPr>
        <w:spacing w:line="360" w:lineRule="auto"/>
        <w:ind w:firstLine="240" w:firstLineChars="100"/>
        <w:rPr>
          <w:sz w:val="24"/>
          <w:szCs w:val="24"/>
        </w:rPr>
      </w:pPr>
      <w:r>
        <w:rPr>
          <w:sz w:val="24"/>
          <w:szCs w:val="24"/>
        </w:rPr>
        <w:t>8.6.4 《中标通知书》、招标文件及其修改补充澄清 、中标人的投标文件及其修改补充澄清等，均为签订合同的依据。所定合同不得对招标文件和中标人的投标文件作实质性修改，采购人和中标人不得私下订立背离合同实质性内容的协议。</w:t>
      </w:r>
    </w:p>
    <w:p>
      <w:pPr>
        <w:spacing w:line="360" w:lineRule="auto"/>
        <w:ind w:firstLine="240" w:firstLineChars="100"/>
        <w:rPr>
          <w:sz w:val="24"/>
          <w:szCs w:val="24"/>
        </w:rPr>
      </w:pPr>
      <w:r>
        <w:rPr>
          <w:sz w:val="24"/>
          <w:szCs w:val="24"/>
        </w:rPr>
        <w:t>8.6.5 评审会后，中标人、采购人之间擅自私下谈判、变更中标标的、价格及招投标文件实质性内容的，有关部门将按《中华人民共和国政府采购法》及相关法规的规定处理。</w:t>
      </w:r>
    </w:p>
    <w:p>
      <w:pPr>
        <w:spacing w:line="360" w:lineRule="auto"/>
        <w:ind w:firstLine="240" w:firstLineChars="100"/>
        <w:rPr>
          <w:sz w:val="24"/>
          <w:szCs w:val="24"/>
        </w:rPr>
      </w:pPr>
      <w:r>
        <w:rPr>
          <w:sz w:val="24"/>
          <w:szCs w:val="24"/>
        </w:rPr>
        <w:t>8.6.6 采购人与中标人签订《政府采购合同》后，合同履行中产生的纠纷、争议，由采购人与中标人按合同条款及《中华人民共和国民法典</w:t>
      </w:r>
      <w:r>
        <w:rPr>
          <w:rFonts w:hint="eastAsia"/>
          <w:sz w:val="24"/>
          <w:szCs w:val="24"/>
          <w:lang w:eastAsia="zh-CN"/>
        </w:rPr>
        <w:t>》</w:t>
      </w:r>
      <w:r>
        <w:rPr>
          <w:sz w:val="24"/>
          <w:szCs w:val="24"/>
        </w:rPr>
        <w:t>处理。</w:t>
      </w:r>
    </w:p>
    <w:p>
      <w:pPr>
        <w:spacing w:line="360" w:lineRule="auto"/>
        <w:ind w:firstLine="241" w:firstLineChars="100"/>
        <w:outlineLvl w:val="2"/>
        <w:rPr>
          <w:b/>
          <w:bCs/>
          <w:sz w:val="24"/>
          <w:szCs w:val="24"/>
        </w:rPr>
      </w:pPr>
      <w:bookmarkStart w:id="94" w:name="_Toc11382"/>
      <w:r>
        <w:rPr>
          <w:b/>
          <w:bCs/>
          <w:sz w:val="24"/>
          <w:szCs w:val="24"/>
        </w:rPr>
        <w:t>8.7 合同补充变更</w:t>
      </w:r>
      <w:bookmarkEnd w:id="94"/>
    </w:p>
    <w:p>
      <w:pPr>
        <w:spacing w:line="360" w:lineRule="auto"/>
        <w:ind w:firstLine="240" w:firstLineChars="100"/>
        <w:rPr>
          <w:b w:val="0"/>
          <w:bCs w:val="0"/>
          <w:sz w:val="24"/>
          <w:szCs w:val="24"/>
          <w:lang w:val="en-US" w:eastAsia="zh-CN"/>
        </w:rPr>
      </w:pPr>
      <w:r>
        <w:rPr>
          <w:sz w:val="24"/>
          <w:szCs w:val="24"/>
        </w:rPr>
        <w:t xml:space="preserve">8.7.1 </w:t>
      </w:r>
      <w:r>
        <w:rPr>
          <w:b w:val="0"/>
          <w:bCs w:val="0"/>
          <w:sz w:val="24"/>
          <w:szCs w:val="24"/>
          <w:lang w:val="en-US" w:eastAsia="zh-CN"/>
        </w:rPr>
        <w:t>政府采购合同履行中，采购人需追加与合同标的相同的货物、工程和服务的（即追加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pPr>
        <w:spacing w:line="360" w:lineRule="auto"/>
        <w:ind w:firstLine="240" w:firstLineChars="100"/>
        <w:outlineLvl w:val="2"/>
        <w:rPr>
          <w:rFonts w:asciiTheme="minorHAnsi" w:hAnsiTheme="minorHAnsi" w:eastAsiaTheme="minorEastAsia" w:cstheme="minorBidi"/>
          <w:b w:val="0"/>
          <w:bCs w:val="0"/>
          <w:color w:val="auto"/>
          <w:kern w:val="2"/>
          <w:sz w:val="24"/>
          <w:szCs w:val="24"/>
          <w:lang w:val="en-US" w:eastAsia="zh-CN" w:bidi="ar-SA"/>
        </w:rPr>
      </w:pPr>
      <w:r>
        <w:rPr>
          <w:b w:val="0"/>
          <w:bCs w:val="0"/>
          <w:sz w:val="24"/>
          <w:szCs w:val="24"/>
        </w:rPr>
        <w:t>8.7.2</w:t>
      </w:r>
      <w:r>
        <w:rPr>
          <w:rFonts w:asciiTheme="minorHAnsi" w:hAnsiTheme="minorHAnsi" w:eastAsiaTheme="minorEastAsia" w:cstheme="minorBidi"/>
          <w:b w:val="0"/>
          <w:bCs w:val="0"/>
          <w:color w:val="auto"/>
          <w:kern w:val="2"/>
          <w:sz w:val="24"/>
          <w:szCs w:val="24"/>
          <w:lang w:val="en-US" w:eastAsia="zh-CN" w:bidi="ar-SA"/>
        </w:rPr>
        <w:t>采购人需追加的货物、工程和服务的金额达到50万元以上（含50万元）、且超过中标价3%的，采购人应当自确定变更之日起5个工作日内将变更情况及事由报送同级监察机关。</w:t>
      </w:r>
    </w:p>
    <w:p>
      <w:pPr>
        <w:spacing w:line="360" w:lineRule="auto"/>
        <w:ind w:firstLine="480" w:firstLineChars="200"/>
        <w:rPr>
          <w:sz w:val="24"/>
          <w:szCs w:val="24"/>
        </w:rPr>
      </w:pPr>
      <w:r>
        <w:rPr>
          <w:sz w:val="24"/>
          <w:szCs w:val="24"/>
        </w:rPr>
        <w:t>招标项目在中标后经有关行政机关批准变更的，批准的行政机关应当自批准之日起 3 个工作日内将批准文件抄送同级监察机关备案。</w:t>
      </w:r>
    </w:p>
    <w:p>
      <w:pPr>
        <w:spacing w:line="360" w:lineRule="auto"/>
        <w:outlineLvl w:val="1"/>
        <w:rPr>
          <w:b/>
          <w:bCs/>
          <w:sz w:val="24"/>
          <w:szCs w:val="24"/>
        </w:rPr>
      </w:pPr>
      <w:bookmarkStart w:id="95" w:name="_Toc7094"/>
      <w:r>
        <w:rPr>
          <w:b/>
          <w:bCs/>
          <w:sz w:val="24"/>
          <w:szCs w:val="24"/>
        </w:rPr>
        <w:t>9 验收</w:t>
      </w:r>
      <w:bookmarkEnd w:id="95"/>
    </w:p>
    <w:p>
      <w:pPr>
        <w:spacing w:line="360" w:lineRule="auto"/>
        <w:ind w:firstLine="241" w:firstLineChars="100"/>
        <w:rPr>
          <w:sz w:val="24"/>
          <w:szCs w:val="24"/>
        </w:rPr>
      </w:pPr>
      <w:r>
        <w:rPr>
          <w:b/>
          <w:bCs/>
          <w:sz w:val="24"/>
          <w:szCs w:val="24"/>
        </w:rPr>
        <w:t>9.1 验收时间</w:t>
      </w:r>
      <w:r>
        <w:rPr>
          <w:sz w:val="24"/>
          <w:szCs w:val="24"/>
        </w:rPr>
        <w:t>：项目具备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spacing w:line="360" w:lineRule="auto"/>
        <w:ind w:firstLine="241" w:firstLineChars="100"/>
        <w:rPr>
          <w:sz w:val="24"/>
          <w:szCs w:val="24"/>
        </w:rPr>
      </w:pPr>
      <w:r>
        <w:rPr>
          <w:b/>
          <w:bCs/>
          <w:sz w:val="24"/>
          <w:szCs w:val="24"/>
        </w:rPr>
        <w:t>9.2 验收工作组</w:t>
      </w:r>
      <w:r>
        <w:rPr>
          <w:sz w:val="24"/>
          <w:szCs w:val="24"/>
        </w:rPr>
        <w:t>：合同履约验收工作应成立验收工作组专门负责。</w:t>
      </w:r>
    </w:p>
    <w:p>
      <w:pPr>
        <w:spacing w:line="360" w:lineRule="auto"/>
        <w:ind w:firstLine="480" w:firstLineChars="200"/>
        <w:rPr>
          <w:sz w:val="24"/>
          <w:szCs w:val="24"/>
        </w:rPr>
      </w:pPr>
      <w:r>
        <w:rPr>
          <w:sz w:val="24"/>
          <w:szCs w:val="24"/>
        </w:rPr>
        <w:t>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pPr>
        <w:spacing w:line="360" w:lineRule="auto"/>
        <w:ind w:firstLine="240" w:firstLineChars="100"/>
        <w:rPr>
          <w:sz w:val="24"/>
          <w:szCs w:val="24"/>
        </w:rPr>
      </w:pPr>
      <w:r>
        <w:rPr>
          <w:sz w:val="24"/>
          <w:szCs w:val="24"/>
        </w:rPr>
        <w:t>9.2.1 政府采购合同金额在 10 万元以下（含 10 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pPr>
        <w:spacing w:line="360" w:lineRule="auto"/>
        <w:ind w:firstLine="240" w:firstLineChars="100"/>
        <w:rPr>
          <w:sz w:val="24"/>
          <w:szCs w:val="24"/>
        </w:rPr>
      </w:pPr>
      <w:r>
        <w:rPr>
          <w:sz w:val="24"/>
          <w:szCs w:val="24"/>
        </w:rPr>
        <w:t>9.2.2 政府采购合同金额 50 万元以下的（含 50 万元）的项目，验收工作组应不少于三人；政府采购合同金额 50 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pPr>
        <w:spacing w:line="360" w:lineRule="auto"/>
        <w:ind w:firstLine="241" w:firstLineChars="100"/>
        <w:rPr>
          <w:sz w:val="24"/>
          <w:szCs w:val="24"/>
        </w:rPr>
      </w:pPr>
      <w:r>
        <w:rPr>
          <w:b/>
          <w:bCs/>
          <w:sz w:val="24"/>
          <w:szCs w:val="24"/>
        </w:rPr>
        <w:t>9.3 验收时</w:t>
      </w:r>
      <w:r>
        <w:rPr>
          <w:sz w:val="24"/>
          <w:szCs w:val="24"/>
        </w:rPr>
        <w:t>，验收小组按照采购合同的约定对每一项技术、服务、安全标准的履约情况进行确认。验收时需要进行破坏性试验的，</w:t>
      </w:r>
      <w:r>
        <w:rPr>
          <w:rFonts w:hint="eastAsia"/>
          <w:sz w:val="24"/>
          <w:szCs w:val="24"/>
          <w:lang w:eastAsia="zh-CN"/>
        </w:rPr>
        <w:t>投标人</w:t>
      </w:r>
      <w:r>
        <w:rPr>
          <w:sz w:val="24"/>
          <w:szCs w:val="24"/>
        </w:rPr>
        <w:t>应进行充分的配合并提供备品备件。</w:t>
      </w:r>
    </w:p>
    <w:p>
      <w:pPr>
        <w:spacing w:line="360" w:lineRule="auto"/>
        <w:ind w:firstLine="241" w:firstLineChars="100"/>
        <w:rPr>
          <w:sz w:val="24"/>
          <w:szCs w:val="24"/>
        </w:rPr>
      </w:pPr>
      <w:r>
        <w:rPr>
          <w:b/>
          <w:bCs/>
          <w:sz w:val="24"/>
          <w:szCs w:val="24"/>
        </w:rPr>
        <w:t>9.4 验收报告</w:t>
      </w:r>
      <w:r>
        <w:rPr>
          <w:sz w:val="24"/>
          <w:szCs w:val="24"/>
        </w:rPr>
        <w:t>：验收后，由采购人及专家等出具验收报告（自行验收的，由采购人出具），国家规定强制性检测的采购项目应附国家认可的专业检测机构出具的验收报告。</w:t>
      </w:r>
    </w:p>
    <w:p>
      <w:pPr>
        <w:spacing w:line="360" w:lineRule="auto"/>
        <w:ind w:firstLine="241" w:firstLineChars="100"/>
        <w:rPr>
          <w:sz w:val="24"/>
          <w:szCs w:val="24"/>
        </w:rPr>
      </w:pPr>
      <w:r>
        <w:rPr>
          <w:b/>
          <w:bCs/>
          <w:sz w:val="24"/>
          <w:szCs w:val="24"/>
        </w:rPr>
        <w:t xml:space="preserve">9.5 </w:t>
      </w:r>
      <w:r>
        <w:rPr>
          <w:sz w:val="24"/>
          <w:szCs w:val="24"/>
        </w:rPr>
        <w:t>验收中发现中标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spacing w:line="360" w:lineRule="auto"/>
        <w:ind w:firstLine="241" w:firstLineChars="100"/>
        <w:rPr>
          <w:rFonts w:hint="default" w:eastAsia="宋体"/>
          <w:color w:val="auto"/>
          <w:sz w:val="24"/>
          <w:szCs w:val="24"/>
          <w:lang w:val="en-US" w:eastAsia="zh-CN"/>
        </w:rPr>
      </w:pPr>
      <w:r>
        <w:rPr>
          <w:b/>
          <w:bCs/>
          <w:color w:val="auto"/>
          <w:sz w:val="24"/>
          <w:szCs w:val="24"/>
        </w:rPr>
        <w:t xml:space="preserve">9.6 </w:t>
      </w:r>
      <w:r>
        <w:rPr>
          <w:rFonts w:hint="eastAsia" w:ascii="宋体" w:hAnsi="宋体" w:eastAsia="宋体" w:cs="楷体_GB2312"/>
          <w:color w:val="auto"/>
          <w:sz w:val="24"/>
          <w:lang w:val="en-US" w:eastAsia="zh-CN"/>
        </w:rPr>
        <w:t>由采购人</w:t>
      </w:r>
      <w:r>
        <w:rPr>
          <w:rFonts w:hint="eastAsia" w:ascii="宋体" w:hAnsi="宋体" w:eastAsia="宋体" w:cs="楷体_GB2312"/>
          <w:color w:val="auto"/>
          <w:sz w:val="24"/>
          <w:lang w:val="zh-CN" w:eastAsia="zh-CN"/>
        </w:rPr>
        <w:t>委托</w:t>
      </w:r>
      <w:r>
        <w:rPr>
          <w:rFonts w:hint="eastAsia" w:ascii="宋体" w:hAnsi="宋体" w:eastAsia="宋体" w:cs="楷体_GB2312"/>
          <w:color w:val="auto"/>
          <w:sz w:val="24"/>
          <w:lang w:val="zh-CN"/>
        </w:rPr>
        <w:t>第三方专业机构验收。</w:t>
      </w:r>
    </w:p>
    <w:p>
      <w:pPr>
        <w:spacing w:line="360" w:lineRule="auto"/>
        <w:outlineLvl w:val="1"/>
        <w:rPr>
          <w:b/>
          <w:bCs/>
          <w:sz w:val="24"/>
          <w:szCs w:val="24"/>
        </w:rPr>
      </w:pPr>
      <w:bookmarkStart w:id="96" w:name="_Toc7874"/>
      <w:r>
        <w:rPr>
          <w:b/>
          <w:bCs/>
          <w:sz w:val="24"/>
          <w:szCs w:val="24"/>
        </w:rPr>
        <w:t>10 付款</w:t>
      </w:r>
      <w:bookmarkEnd w:id="96"/>
    </w:p>
    <w:p>
      <w:pPr>
        <w:spacing w:line="360" w:lineRule="auto"/>
        <w:ind w:firstLine="240" w:firstLineChars="100"/>
        <w:rPr>
          <w:sz w:val="24"/>
          <w:szCs w:val="24"/>
        </w:rPr>
      </w:pPr>
      <w:r>
        <w:rPr>
          <w:sz w:val="24"/>
          <w:szCs w:val="24"/>
        </w:rPr>
        <w:t>见投标人须知前附表</w:t>
      </w:r>
    </w:p>
    <w:p>
      <w:pPr>
        <w:spacing w:line="360" w:lineRule="auto"/>
        <w:outlineLvl w:val="1"/>
        <w:rPr>
          <w:b/>
          <w:bCs/>
          <w:sz w:val="24"/>
          <w:szCs w:val="24"/>
        </w:rPr>
      </w:pPr>
      <w:bookmarkStart w:id="97" w:name="_Toc15892"/>
      <w:r>
        <w:rPr>
          <w:b/>
          <w:bCs/>
          <w:sz w:val="24"/>
          <w:szCs w:val="24"/>
        </w:rPr>
        <w:t>11 其他</w:t>
      </w:r>
      <w:bookmarkEnd w:id="97"/>
    </w:p>
    <w:p>
      <w:pPr>
        <w:spacing w:line="360" w:lineRule="auto"/>
        <w:ind w:firstLine="241" w:firstLineChars="100"/>
        <w:outlineLvl w:val="2"/>
        <w:rPr>
          <w:b/>
          <w:bCs/>
          <w:sz w:val="24"/>
          <w:szCs w:val="24"/>
        </w:rPr>
      </w:pPr>
      <w:bookmarkStart w:id="98" w:name="_Toc8863"/>
      <w:r>
        <w:rPr>
          <w:b/>
          <w:bCs/>
          <w:sz w:val="24"/>
          <w:szCs w:val="24"/>
        </w:rPr>
        <w:t>11.1 中标服务费等：见投标人须知前附表</w:t>
      </w:r>
      <w:bookmarkEnd w:id="98"/>
    </w:p>
    <w:p>
      <w:pPr>
        <w:spacing w:line="360" w:lineRule="auto"/>
        <w:ind w:firstLine="241" w:firstLineChars="100"/>
        <w:rPr>
          <w:sz w:val="24"/>
          <w:szCs w:val="24"/>
        </w:rPr>
      </w:pPr>
      <w:r>
        <w:rPr>
          <w:b/>
          <w:bCs/>
          <w:sz w:val="24"/>
          <w:szCs w:val="24"/>
        </w:rPr>
        <w:t xml:space="preserve">11.2 </w:t>
      </w:r>
      <w:r>
        <w:rPr>
          <w:sz w:val="24"/>
          <w:szCs w:val="24"/>
        </w:rPr>
        <w:t>投标人资格条件中包含非法人单位的，招标文件中法定代表人一词相应包含表示证照标示的负责人；投标人资格条件中包含自然人的，招标文件中法定代表人一词相应包含表示自然人，自然人应由其本人签署投标文件、参加投标，不应再授权他人。</w:t>
      </w:r>
    </w:p>
    <w:p>
      <w:pPr>
        <w:spacing w:line="360" w:lineRule="auto"/>
        <w:ind w:firstLine="241" w:firstLineChars="100"/>
        <w:rPr>
          <w:sz w:val="24"/>
          <w:szCs w:val="24"/>
        </w:rPr>
      </w:pPr>
      <w:r>
        <w:rPr>
          <w:b/>
          <w:bCs/>
          <w:sz w:val="24"/>
          <w:szCs w:val="24"/>
        </w:rPr>
        <w:t xml:space="preserve">11.3 </w:t>
      </w:r>
      <w:r>
        <w:rPr>
          <w:sz w:val="24"/>
          <w:szCs w:val="24"/>
        </w:rPr>
        <w:t>招标文件第一章至第四章各章中，用序号标示条、款、项、目，例如：1为第1 条， 1.1为第1条第1款（简称1.1款），1.1.1为第1条第1款第1项（简称1.1.1项）。“条 ”包含款、项、目；“款 ”包含项、目；“项 ”包含目。</w:t>
      </w:r>
    </w:p>
    <w:p>
      <w:pPr>
        <w:spacing w:line="360" w:lineRule="auto"/>
        <w:outlineLvl w:val="1"/>
        <w:rPr>
          <w:b/>
          <w:bCs/>
          <w:sz w:val="24"/>
          <w:szCs w:val="24"/>
        </w:rPr>
      </w:pPr>
      <w:bookmarkStart w:id="99" w:name="_Toc3313"/>
      <w:r>
        <w:rPr>
          <w:b/>
          <w:bCs/>
          <w:sz w:val="24"/>
          <w:szCs w:val="24"/>
        </w:rPr>
        <w:t>12 河南省政府采购合同融资政策告知函</w:t>
      </w:r>
      <w:bookmarkEnd w:id="99"/>
    </w:p>
    <w:p>
      <w:pPr>
        <w:spacing w:line="360" w:lineRule="auto"/>
        <w:ind w:firstLine="482" w:firstLineChars="200"/>
        <w:rPr>
          <w:b/>
          <w:bCs/>
          <w:sz w:val="24"/>
          <w:szCs w:val="24"/>
        </w:rPr>
      </w:pPr>
      <w:r>
        <w:rPr>
          <w:b/>
          <w:bCs/>
          <w:sz w:val="24"/>
          <w:szCs w:val="24"/>
        </w:rPr>
        <w:t>各</w:t>
      </w:r>
      <w:r>
        <w:rPr>
          <w:rFonts w:hint="eastAsia"/>
          <w:b/>
          <w:bCs/>
          <w:sz w:val="24"/>
          <w:szCs w:val="24"/>
          <w:lang w:eastAsia="zh-CN"/>
        </w:rPr>
        <w:t>投标人</w:t>
      </w:r>
      <w:r>
        <w:rPr>
          <w:b/>
          <w:bCs/>
          <w:sz w:val="24"/>
          <w:szCs w:val="24"/>
        </w:rPr>
        <w:t>：</w:t>
      </w:r>
    </w:p>
    <w:p>
      <w:pPr>
        <w:spacing w:line="360" w:lineRule="auto"/>
        <w:ind w:firstLine="480" w:firstLineChars="200"/>
        <w:outlineLvl w:val="0"/>
        <w:rPr>
          <w:sz w:val="24"/>
          <w:szCs w:val="24"/>
        </w:rPr>
      </w:pPr>
      <w:bookmarkStart w:id="100" w:name="_Toc31716"/>
      <w:bookmarkStart w:id="101" w:name="_Toc26445"/>
      <w:r>
        <w:rPr>
          <w:sz w:val="24"/>
          <w:szCs w:val="24"/>
        </w:rPr>
        <w:t>欢迎贵公司参与河南省政府采购活动！</w:t>
      </w:r>
      <w:bookmarkEnd w:id="100"/>
      <w:bookmarkEnd w:id="101"/>
    </w:p>
    <w:p>
      <w:pPr>
        <w:spacing w:line="360" w:lineRule="auto"/>
        <w:ind w:firstLine="480" w:firstLineChars="200"/>
        <w:rPr>
          <w:sz w:val="24"/>
          <w:szCs w:val="24"/>
        </w:rPr>
      </w:pPr>
      <w:r>
        <w:rPr>
          <w:sz w:val="24"/>
          <w:szCs w:val="24"/>
        </w:rPr>
        <w:t>政府采购合同融资是河南省财政厅支持中小微企业发展，针对参与政府采购活动的供应商融资难、融资贵问题推出的一项融资政策。贵公司若成为本次政府采购项目的中标成交</w:t>
      </w:r>
      <w:r>
        <w:rPr>
          <w:rFonts w:hint="eastAsia"/>
          <w:sz w:val="24"/>
          <w:szCs w:val="24"/>
          <w:lang w:eastAsia="zh-CN"/>
        </w:rPr>
        <w:t>投标人</w:t>
      </w:r>
      <w:r>
        <w:rPr>
          <w:sz w:val="24"/>
          <w:szCs w:val="24"/>
        </w:rPr>
        <w:t>，可持政府采购合同向金融机构申请贷款，无需抵押、担保，融资机构将根据《河南省政府采购合同融资工作实施方案》（豫财购〔2017〕10 号），按照双方自愿的原则提供便捷、优惠的贷款服务。</w:t>
      </w:r>
    </w:p>
    <w:p>
      <w:pPr>
        <w:spacing w:line="360" w:lineRule="auto"/>
        <w:ind w:firstLine="480" w:firstLineChars="200"/>
        <w:rPr>
          <w:sz w:val="24"/>
          <w:szCs w:val="24"/>
        </w:rPr>
      </w:pPr>
      <w:r>
        <w:rPr>
          <w:sz w:val="24"/>
          <w:szCs w:val="24"/>
        </w:rPr>
        <w:t>贷款渠道和提供贷款的金融机构，可在河南省政府采购网“河南省政府采购合同融资平台 ”查询联系。</w:t>
      </w:r>
    </w:p>
    <w:p>
      <w:pPr>
        <w:spacing w:line="360" w:lineRule="auto"/>
        <w:outlineLvl w:val="1"/>
        <w:rPr>
          <w:rFonts w:hint="default"/>
          <w:b/>
          <w:bCs/>
          <w:sz w:val="24"/>
          <w:szCs w:val="24"/>
          <w:lang w:val="en-US" w:eastAsia="zh-CN"/>
        </w:rPr>
      </w:pPr>
      <w:r>
        <w:rPr>
          <w:rFonts w:hint="eastAsia"/>
          <w:b/>
          <w:bCs/>
          <w:sz w:val="24"/>
          <w:szCs w:val="24"/>
          <w:lang w:val="en-US" w:eastAsia="zh-CN"/>
        </w:rPr>
        <w:t>13其他</w:t>
      </w:r>
    </w:p>
    <w:p>
      <w:pPr>
        <w:spacing w:line="360" w:lineRule="auto"/>
        <w:ind w:firstLine="480" w:firstLineChars="200"/>
        <w:rPr>
          <w:rFonts w:hint="eastAsia"/>
          <w:sz w:val="24"/>
          <w:szCs w:val="24"/>
          <w:lang w:eastAsia="zh-CN"/>
        </w:rPr>
      </w:pPr>
      <w:bookmarkStart w:id="102" w:name="_Toc23315"/>
      <w:r>
        <w:rPr>
          <w:rFonts w:hint="eastAsia"/>
          <w:sz w:val="24"/>
          <w:szCs w:val="24"/>
        </w:rPr>
        <w:t>各供应商应熟练掌握政府采购交易系统的操作流程。评审过程中询问</w:t>
      </w:r>
      <w:r>
        <w:rPr>
          <w:rFonts w:hint="eastAsia"/>
          <w:sz w:val="24"/>
          <w:szCs w:val="24"/>
          <w:lang w:eastAsia="zh-CN"/>
        </w:rPr>
        <w:t>（</w:t>
      </w:r>
      <w:r>
        <w:rPr>
          <w:rFonts w:hint="eastAsia"/>
          <w:sz w:val="24"/>
          <w:szCs w:val="24"/>
        </w:rPr>
        <w:t>澄清</w:t>
      </w:r>
      <w:r>
        <w:rPr>
          <w:rFonts w:hint="eastAsia"/>
          <w:sz w:val="24"/>
          <w:szCs w:val="24"/>
          <w:lang w:eastAsia="zh-CN"/>
        </w:rPr>
        <w:t>）</w:t>
      </w:r>
      <w:r>
        <w:rPr>
          <w:rFonts w:hint="eastAsia"/>
          <w:sz w:val="24"/>
          <w:szCs w:val="24"/>
        </w:rPr>
        <w:t>发起后，系统会自动向供应商发出通知，各供应商须保持在线，及时关注系统提醒，并在规定的时间内完成相关工作</w:t>
      </w:r>
      <w:r>
        <w:rPr>
          <w:rFonts w:hint="eastAsia"/>
          <w:sz w:val="24"/>
          <w:szCs w:val="24"/>
          <w:lang w:eastAsia="zh-CN"/>
        </w:rPr>
        <w:t>。</w:t>
      </w:r>
    </w:p>
    <w:p>
      <w:pPr>
        <w:spacing w:line="360" w:lineRule="auto"/>
        <w:ind w:firstLine="480" w:firstLineChars="200"/>
        <w:rPr>
          <w:sz w:val="24"/>
          <w:szCs w:val="24"/>
        </w:rPr>
      </w:pPr>
      <w:r>
        <w:rPr>
          <w:rFonts w:hint="eastAsia"/>
          <w:sz w:val="24"/>
          <w:szCs w:val="24"/>
        </w:rPr>
        <w:t>各供应商因自身原因导致未能及时响应评审小组发起的询问（澄清）等要求的，其不利后果自行承担。</w:t>
      </w:r>
    </w:p>
    <w:p>
      <w:pPr>
        <w:jc w:val="both"/>
        <w:outlineLvl w:val="0"/>
        <w:rPr>
          <w:b/>
          <w:bCs/>
          <w:sz w:val="28"/>
          <w:szCs w:val="28"/>
        </w:rPr>
      </w:pPr>
    </w:p>
    <w:p>
      <w:pPr>
        <w:jc w:val="center"/>
        <w:outlineLvl w:val="0"/>
        <w:rPr>
          <w:b/>
          <w:bCs/>
          <w:sz w:val="28"/>
          <w:szCs w:val="28"/>
        </w:rPr>
      </w:pPr>
      <w:r>
        <w:rPr>
          <w:b/>
          <w:bCs/>
          <w:sz w:val="28"/>
          <w:szCs w:val="28"/>
        </w:rPr>
        <w:t>第四章  评审办法</w:t>
      </w:r>
      <w:bookmarkEnd w:id="102"/>
    </w:p>
    <w:p>
      <w:pPr>
        <w:jc w:val="center"/>
        <w:rPr>
          <w:b/>
          <w:bCs/>
          <w:sz w:val="28"/>
          <w:szCs w:val="28"/>
        </w:rPr>
      </w:pPr>
      <w:r>
        <w:rPr>
          <w:b/>
          <w:bCs/>
          <w:sz w:val="28"/>
          <w:szCs w:val="28"/>
        </w:rPr>
        <w:t>评审办法前附表</w:t>
      </w:r>
    </w:p>
    <w:tbl>
      <w:tblPr>
        <w:tblStyle w:val="35"/>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464"/>
        <w:gridCol w:w="545"/>
        <w:gridCol w:w="2223"/>
        <w:gridCol w:w="5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827" w:type="dxa"/>
            <w:gridSpan w:val="4"/>
            <w:vAlign w:val="top"/>
          </w:tcPr>
          <w:p>
            <w:pPr>
              <w:jc w:val="center"/>
              <w:rPr>
                <w:sz w:val="24"/>
                <w:szCs w:val="24"/>
              </w:rPr>
            </w:pPr>
            <w:r>
              <w:rPr>
                <w:sz w:val="24"/>
                <w:szCs w:val="24"/>
              </w:rPr>
              <w:t>评审因素</w:t>
            </w:r>
          </w:p>
        </w:tc>
        <w:tc>
          <w:tcPr>
            <w:tcW w:w="5801" w:type="dxa"/>
            <w:vAlign w:val="top"/>
          </w:tcPr>
          <w:p>
            <w:pPr>
              <w:jc w:val="center"/>
              <w:rPr>
                <w:sz w:val="24"/>
                <w:szCs w:val="24"/>
              </w:rPr>
            </w:pPr>
            <w:r>
              <w:rPr>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595" w:type="dxa"/>
            <w:vMerge w:val="restart"/>
            <w:tcBorders>
              <w:top w:val="single" w:color="auto" w:sz="4" w:space="0"/>
              <w:left w:val="single" w:color="auto" w:sz="4" w:space="0"/>
              <w:bottom w:val="nil"/>
            </w:tcBorders>
            <w:vAlign w:val="top"/>
          </w:tcPr>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default"/>
                <w:sz w:val="24"/>
                <w:szCs w:val="24"/>
                <w:lang w:val="en-US" w:eastAsia="zh-CN"/>
              </w:rPr>
            </w:pPr>
            <w:r>
              <w:rPr>
                <w:rFonts w:hint="eastAsia"/>
                <w:sz w:val="24"/>
                <w:szCs w:val="24"/>
                <w:lang w:val="en-US" w:eastAsia="zh-CN"/>
              </w:rPr>
              <w:t>2.1.1</w:t>
            </w:r>
          </w:p>
        </w:tc>
        <w:tc>
          <w:tcPr>
            <w:tcW w:w="464" w:type="dxa"/>
            <w:vMerge w:val="restart"/>
            <w:tcBorders>
              <w:top w:val="single" w:color="auto" w:sz="4" w:space="0"/>
            </w:tcBorders>
            <w:vAlign w:val="top"/>
          </w:tcPr>
          <w:p>
            <w:pPr>
              <w:spacing w:line="240" w:lineRule="auto"/>
              <w:jc w:val="center"/>
              <w:rPr>
                <w:rFonts w:hint="default"/>
                <w:sz w:val="24"/>
                <w:szCs w:val="24"/>
                <w:lang w:val="en-US" w:eastAsia="zh-CN"/>
              </w:rPr>
            </w:pPr>
            <w:r>
              <w:rPr>
                <w:rFonts w:hint="eastAsia"/>
                <w:sz w:val="24"/>
                <w:szCs w:val="24"/>
                <w:lang w:val="en-US" w:eastAsia="zh-CN"/>
              </w:rPr>
              <w:t>资格项审查</w:t>
            </w:r>
          </w:p>
        </w:tc>
        <w:tc>
          <w:tcPr>
            <w:tcW w:w="2768" w:type="dxa"/>
            <w:gridSpan w:val="2"/>
            <w:tcBorders>
              <w:top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第一章“招标公告”第2条各项资格要求</w:t>
            </w:r>
          </w:p>
        </w:tc>
        <w:tc>
          <w:tcPr>
            <w:tcW w:w="5801" w:type="dxa"/>
            <w:tcBorders>
              <w:left w:val="single" w:color="auto" w:sz="4" w:space="0"/>
            </w:tcBorders>
            <w:vAlign w:val="center"/>
          </w:tcPr>
          <w:p>
            <w:pPr>
              <w:spacing w:line="240" w:lineRule="auto"/>
              <w:jc w:val="center"/>
              <w:rPr>
                <w:sz w:val="24"/>
                <w:szCs w:val="24"/>
              </w:rPr>
            </w:pPr>
            <w:r>
              <w:rPr>
                <w:sz w:val="24"/>
                <w:szCs w:val="24"/>
              </w:rPr>
              <w:t>符合第一章“</w:t>
            </w:r>
            <w:r>
              <w:rPr>
                <w:rFonts w:hint="eastAsia"/>
                <w:sz w:val="24"/>
                <w:szCs w:val="24"/>
                <w:lang w:eastAsia="zh-CN"/>
              </w:rPr>
              <w:t>招标</w:t>
            </w:r>
            <w:r>
              <w:rPr>
                <w:sz w:val="24"/>
                <w:szCs w:val="24"/>
              </w:rPr>
              <w:t>公告”第 2 条各项资格要求所需证件材料及证明材料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95" w:type="dxa"/>
            <w:vMerge w:val="continue"/>
            <w:tcBorders>
              <w:top w:val="nil"/>
              <w:left w:val="single" w:color="auto" w:sz="4" w:space="0"/>
              <w:bottom w:val="nil"/>
            </w:tcBorders>
            <w:vAlign w:val="top"/>
          </w:tcPr>
          <w:p>
            <w:pPr>
              <w:spacing w:line="240" w:lineRule="auto"/>
              <w:jc w:val="center"/>
              <w:rPr>
                <w:rFonts w:hint="eastAsia"/>
                <w:sz w:val="24"/>
                <w:szCs w:val="24"/>
                <w:lang w:val="en-US" w:eastAsia="zh-CN"/>
              </w:rPr>
            </w:pPr>
          </w:p>
        </w:tc>
        <w:tc>
          <w:tcPr>
            <w:tcW w:w="464" w:type="dxa"/>
            <w:vMerge w:val="restart"/>
            <w:vAlign w:val="top"/>
          </w:tcPr>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default"/>
                <w:sz w:val="24"/>
                <w:szCs w:val="24"/>
                <w:lang w:val="en-US" w:eastAsia="zh-CN"/>
              </w:rPr>
            </w:pPr>
            <w:r>
              <w:rPr>
                <w:rFonts w:hint="eastAsia"/>
                <w:sz w:val="24"/>
                <w:szCs w:val="24"/>
                <w:lang w:val="en-US" w:eastAsia="zh-CN"/>
              </w:rPr>
              <w:t>符合性审查</w:t>
            </w:r>
          </w:p>
        </w:tc>
        <w:tc>
          <w:tcPr>
            <w:tcW w:w="545" w:type="dxa"/>
            <w:vMerge w:val="restart"/>
            <w:vAlign w:val="center"/>
          </w:tcPr>
          <w:p>
            <w:pPr>
              <w:spacing w:line="240" w:lineRule="auto"/>
              <w:jc w:val="center"/>
              <w:rPr>
                <w:rFonts w:hint="eastAsia"/>
                <w:sz w:val="24"/>
                <w:szCs w:val="24"/>
                <w:lang w:val="en-US" w:eastAsia="zh-CN"/>
              </w:rPr>
            </w:pPr>
            <w:r>
              <w:rPr>
                <w:rFonts w:hint="eastAsia"/>
                <w:sz w:val="24"/>
                <w:szCs w:val="24"/>
                <w:lang w:val="en-US" w:eastAsia="zh-CN"/>
              </w:rPr>
              <w:t>完</w:t>
            </w:r>
          </w:p>
          <w:p>
            <w:pPr>
              <w:spacing w:line="240" w:lineRule="auto"/>
              <w:jc w:val="center"/>
              <w:rPr>
                <w:rFonts w:hint="eastAsia"/>
                <w:sz w:val="24"/>
                <w:szCs w:val="24"/>
                <w:lang w:val="en-US" w:eastAsia="zh-CN"/>
              </w:rPr>
            </w:pPr>
            <w:r>
              <w:rPr>
                <w:rFonts w:hint="eastAsia"/>
                <w:sz w:val="24"/>
                <w:szCs w:val="24"/>
                <w:lang w:val="en-US" w:eastAsia="zh-CN"/>
              </w:rPr>
              <w:t>整</w:t>
            </w:r>
          </w:p>
          <w:p>
            <w:pPr>
              <w:spacing w:line="240" w:lineRule="auto"/>
              <w:jc w:val="center"/>
              <w:rPr>
                <w:rFonts w:hint="eastAsia"/>
                <w:sz w:val="24"/>
                <w:szCs w:val="24"/>
                <w:lang w:val="en-US" w:eastAsia="zh-CN"/>
              </w:rPr>
            </w:pPr>
            <w:r>
              <w:rPr>
                <w:rFonts w:hint="eastAsia"/>
                <w:sz w:val="24"/>
                <w:szCs w:val="24"/>
                <w:lang w:val="en-US" w:eastAsia="zh-CN"/>
              </w:rPr>
              <w:t>性</w:t>
            </w:r>
          </w:p>
        </w:tc>
        <w:tc>
          <w:tcPr>
            <w:tcW w:w="2223" w:type="dxa"/>
            <w:tcBorders>
              <w:right w:val="single" w:color="auto" w:sz="4" w:space="0"/>
            </w:tcBorders>
            <w:vAlign w:val="center"/>
          </w:tcPr>
          <w:p>
            <w:pPr>
              <w:spacing w:line="240" w:lineRule="auto"/>
              <w:jc w:val="center"/>
              <w:rPr>
                <w:sz w:val="24"/>
                <w:szCs w:val="24"/>
              </w:rPr>
            </w:pPr>
            <w:r>
              <w:rPr>
                <w:sz w:val="24"/>
                <w:szCs w:val="24"/>
              </w:rPr>
              <w:t>《</w:t>
            </w:r>
            <w:r>
              <w:rPr>
                <w:rFonts w:hint="eastAsia"/>
                <w:sz w:val="24"/>
                <w:szCs w:val="24"/>
                <w:lang w:val="en-US" w:eastAsia="zh-CN"/>
              </w:rPr>
              <w:t>投标</w:t>
            </w:r>
            <w:r>
              <w:rPr>
                <w:sz w:val="24"/>
                <w:szCs w:val="24"/>
              </w:rPr>
              <w:t>文件》组成</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须知”3.2款规定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5" w:type="dxa"/>
            <w:vMerge w:val="continue"/>
            <w:tcBorders>
              <w:top w:val="nil"/>
              <w:left w:val="single" w:color="auto" w:sz="4" w:space="0"/>
              <w:bottom w:val="nil"/>
            </w:tcBorders>
            <w:vAlign w:val="top"/>
          </w:tcPr>
          <w:p>
            <w:pPr>
              <w:spacing w:line="240" w:lineRule="auto"/>
              <w:jc w:val="center"/>
              <w:rPr>
                <w:rFonts w:hint="eastAsia"/>
                <w:sz w:val="24"/>
                <w:szCs w:val="24"/>
                <w:lang w:val="en-US" w:eastAsia="zh-CN"/>
              </w:rPr>
            </w:pPr>
          </w:p>
        </w:tc>
        <w:tc>
          <w:tcPr>
            <w:tcW w:w="464" w:type="dxa"/>
            <w:vMerge w:val="continue"/>
            <w:vAlign w:val="top"/>
          </w:tcPr>
          <w:p>
            <w:pPr>
              <w:spacing w:line="240" w:lineRule="auto"/>
              <w:jc w:val="center"/>
              <w:rPr>
                <w:rFonts w:hint="eastAsia"/>
                <w:sz w:val="24"/>
                <w:szCs w:val="24"/>
                <w:lang w:val="en-US" w:eastAsia="zh-CN"/>
              </w:rPr>
            </w:pPr>
          </w:p>
        </w:tc>
        <w:tc>
          <w:tcPr>
            <w:tcW w:w="545" w:type="dxa"/>
            <w:vMerge w:val="continue"/>
            <w:vAlign w:val="center"/>
          </w:tcPr>
          <w:p>
            <w:pPr>
              <w:spacing w:line="240" w:lineRule="auto"/>
              <w:jc w:val="center"/>
              <w:rPr>
                <w:rFonts w:hint="eastAsia"/>
                <w:sz w:val="24"/>
                <w:szCs w:val="24"/>
                <w:lang w:val="en-US" w:eastAsia="zh-CN"/>
              </w:rPr>
            </w:pPr>
          </w:p>
        </w:tc>
        <w:tc>
          <w:tcPr>
            <w:tcW w:w="2223" w:type="dxa"/>
            <w:tcBorders>
              <w:right w:val="single" w:color="auto" w:sz="4" w:space="0"/>
            </w:tcBorders>
            <w:vAlign w:val="center"/>
          </w:tcPr>
          <w:p>
            <w:pPr>
              <w:spacing w:line="240" w:lineRule="auto"/>
              <w:jc w:val="center"/>
              <w:rPr>
                <w:sz w:val="24"/>
                <w:szCs w:val="24"/>
              </w:rPr>
            </w:pPr>
            <w:r>
              <w:rPr>
                <w:sz w:val="24"/>
                <w:szCs w:val="24"/>
              </w:rPr>
              <w:t>签字或盖章</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spacing w:line="240" w:lineRule="auto"/>
              <w:jc w:val="center"/>
              <w:rPr>
                <w:rFonts w:hint="eastAsia"/>
                <w:sz w:val="24"/>
                <w:szCs w:val="24"/>
                <w:lang w:val="en-US" w:eastAsia="zh-CN"/>
              </w:rPr>
            </w:pPr>
          </w:p>
        </w:tc>
        <w:tc>
          <w:tcPr>
            <w:tcW w:w="464" w:type="dxa"/>
            <w:vMerge w:val="continue"/>
            <w:vAlign w:val="top"/>
          </w:tcPr>
          <w:p>
            <w:pPr>
              <w:spacing w:line="240" w:lineRule="auto"/>
              <w:jc w:val="center"/>
              <w:rPr>
                <w:rFonts w:hint="eastAsia"/>
                <w:sz w:val="24"/>
                <w:szCs w:val="24"/>
                <w:lang w:val="en-US" w:eastAsia="zh-CN"/>
              </w:rPr>
            </w:pPr>
          </w:p>
        </w:tc>
        <w:tc>
          <w:tcPr>
            <w:tcW w:w="545" w:type="dxa"/>
            <w:vMerge w:val="restart"/>
            <w:tcBorders>
              <w:bottom w:val="nil"/>
            </w:tcBorders>
            <w:vAlign w:val="center"/>
          </w:tcPr>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p>
          <w:p>
            <w:pPr>
              <w:spacing w:line="240" w:lineRule="auto"/>
              <w:jc w:val="center"/>
              <w:rPr>
                <w:rFonts w:hint="eastAsia"/>
                <w:sz w:val="24"/>
                <w:szCs w:val="24"/>
                <w:lang w:val="en-US" w:eastAsia="zh-CN"/>
              </w:rPr>
            </w:pPr>
            <w:r>
              <w:rPr>
                <w:rFonts w:hint="eastAsia"/>
                <w:sz w:val="24"/>
                <w:szCs w:val="24"/>
                <w:lang w:val="en-US" w:eastAsia="zh-CN"/>
              </w:rPr>
              <w:t>响</w:t>
            </w:r>
          </w:p>
          <w:p>
            <w:pPr>
              <w:spacing w:line="240" w:lineRule="auto"/>
              <w:jc w:val="center"/>
              <w:rPr>
                <w:rFonts w:hint="eastAsia"/>
                <w:sz w:val="24"/>
                <w:szCs w:val="24"/>
                <w:lang w:val="en-US" w:eastAsia="zh-CN"/>
              </w:rPr>
            </w:pPr>
            <w:r>
              <w:rPr>
                <w:rFonts w:hint="eastAsia"/>
                <w:sz w:val="24"/>
                <w:szCs w:val="24"/>
                <w:lang w:val="en-US" w:eastAsia="zh-CN"/>
              </w:rPr>
              <w:t>应</w:t>
            </w:r>
          </w:p>
          <w:p>
            <w:pPr>
              <w:spacing w:line="240" w:lineRule="auto"/>
              <w:jc w:val="center"/>
              <w:rPr>
                <w:rFonts w:hint="eastAsia"/>
                <w:sz w:val="24"/>
                <w:szCs w:val="24"/>
                <w:lang w:val="en-US" w:eastAsia="zh-CN"/>
              </w:rPr>
            </w:pPr>
            <w:r>
              <w:rPr>
                <w:rFonts w:hint="eastAsia"/>
                <w:sz w:val="24"/>
                <w:szCs w:val="24"/>
                <w:lang w:val="en-US" w:eastAsia="zh-CN"/>
              </w:rPr>
              <w:t>程</w:t>
            </w:r>
          </w:p>
          <w:p>
            <w:pPr>
              <w:spacing w:line="240" w:lineRule="auto"/>
              <w:jc w:val="center"/>
              <w:rPr>
                <w:rFonts w:hint="eastAsia"/>
                <w:sz w:val="24"/>
                <w:szCs w:val="24"/>
                <w:lang w:val="en-US" w:eastAsia="zh-CN"/>
              </w:rPr>
            </w:pPr>
            <w:r>
              <w:rPr>
                <w:rFonts w:hint="eastAsia"/>
                <w:sz w:val="24"/>
                <w:szCs w:val="24"/>
                <w:lang w:val="en-US" w:eastAsia="zh-CN"/>
              </w:rPr>
              <w:t>度</w:t>
            </w:r>
          </w:p>
        </w:tc>
        <w:tc>
          <w:tcPr>
            <w:tcW w:w="2223" w:type="dxa"/>
            <w:tcBorders>
              <w:right w:val="single" w:color="auto" w:sz="4" w:space="0"/>
            </w:tcBorders>
            <w:vAlign w:val="center"/>
          </w:tcPr>
          <w:p>
            <w:pPr>
              <w:spacing w:line="24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投标承诺函</w:t>
            </w:r>
          </w:p>
        </w:tc>
        <w:tc>
          <w:tcPr>
            <w:tcW w:w="5801" w:type="dxa"/>
            <w:tcBorders>
              <w:left w:val="single" w:color="auto" w:sz="4" w:space="0"/>
            </w:tcBorders>
            <w:vAlign w:val="center"/>
          </w:tcPr>
          <w:p>
            <w:pPr>
              <w:spacing w:line="240" w:lineRule="auto"/>
              <w:jc w:val="center"/>
              <w:rPr>
                <w:rFonts w:asciiTheme="minorHAnsi" w:hAnsiTheme="minorHAnsi" w:eastAsiaTheme="minorEastAsia" w:cstheme="minorBidi"/>
                <w:kern w:val="2"/>
                <w:sz w:val="24"/>
                <w:szCs w:val="24"/>
                <w:lang w:val="en-US" w:eastAsia="zh-CN" w:bidi="ar-SA"/>
              </w:rPr>
            </w:pPr>
            <w:r>
              <w:rPr>
                <w:sz w:val="24"/>
                <w:szCs w:val="24"/>
              </w:rPr>
              <w:t>符合第三章“</w:t>
            </w:r>
            <w:r>
              <w:rPr>
                <w:rFonts w:hint="eastAsia"/>
                <w:sz w:val="24"/>
                <w:szCs w:val="24"/>
                <w:lang w:eastAsia="zh-CN"/>
              </w:rPr>
              <w:t>投标人</w:t>
            </w:r>
            <w:r>
              <w:rPr>
                <w:sz w:val="24"/>
                <w:szCs w:val="24"/>
              </w:rPr>
              <w:t>须知”3.5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spacing w:line="240" w:lineRule="auto"/>
              <w:jc w:val="center"/>
              <w:rPr>
                <w:rFonts w:hint="eastAsia"/>
                <w:sz w:val="24"/>
                <w:szCs w:val="24"/>
                <w:lang w:val="en-US" w:eastAsia="zh-CN"/>
              </w:rPr>
            </w:pPr>
          </w:p>
        </w:tc>
        <w:tc>
          <w:tcPr>
            <w:tcW w:w="464" w:type="dxa"/>
            <w:vMerge w:val="continue"/>
            <w:vAlign w:val="top"/>
          </w:tcPr>
          <w:p>
            <w:pPr>
              <w:spacing w:line="240" w:lineRule="auto"/>
              <w:jc w:val="center"/>
              <w:rPr>
                <w:rFonts w:hint="eastAsia"/>
                <w:sz w:val="24"/>
                <w:szCs w:val="24"/>
                <w:lang w:val="en-US" w:eastAsia="zh-CN"/>
              </w:rPr>
            </w:pPr>
          </w:p>
        </w:tc>
        <w:tc>
          <w:tcPr>
            <w:tcW w:w="545" w:type="dxa"/>
            <w:vMerge w:val="continue"/>
            <w:vAlign w:val="center"/>
          </w:tcPr>
          <w:p>
            <w:pPr>
              <w:spacing w:line="240" w:lineRule="auto"/>
              <w:jc w:val="center"/>
              <w:rPr>
                <w:rFonts w:hint="eastAsia"/>
                <w:sz w:val="24"/>
                <w:szCs w:val="24"/>
                <w:lang w:val="en-US" w:eastAsia="zh-CN"/>
              </w:rPr>
            </w:pPr>
          </w:p>
        </w:tc>
        <w:tc>
          <w:tcPr>
            <w:tcW w:w="2223" w:type="dxa"/>
            <w:tcBorders>
              <w:right w:val="single" w:color="auto" w:sz="4" w:space="0"/>
            </w:tcBorders>
            <w:vAlign w:val="center"/>
          </w:tcPr>
          <w:p>
            <w:pPr>
              <w:spacing w:line="24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中小企业声明函</w:t>
            </w:r>
          </w:p>
        </w:tc>
        <w:tc>
          <w:tcPr>
            <w:tcW w:w="5801" w:type="dxa"/>
            <w:tcBorders>
              <w:left w:val="single" w:color="auto" w:sz="4" w:space="0"/>
            </w:tcBorders>
            <w:vAlign w:val="center"/>
          </w:tcPr>
          <w:p>
            <w:pPr>
              <w:spacing w:line="240" w:lineRule="auto"/>
              <w:jc w:val="center"/>
              <w:rPr>
                <w:rFonts w:asciiTheme="minorHAnsi" w:hAnsiTheme="minorHAnsi" w:eastAsiaTheme="minorEastAsia" w:cstheme="minorBidi"/>
                <w:kern w:val="2"/>
                <w:sz w:val="24"/>
                <w:szCs w:val="24"/>
                <w:highlight w:val="none"/>
                <w:lang w:val="en-US" w:eastAsia="zh-CN" w:bidi="ar-SA"/>
              </w:rPr>
            </w:pPr>
            <w:r>
              <w:rPr>
                <w:sz w:val="24"/>
                <w:szCs w:val="24"/>
                <w:highlight w:val="none"/>
              </w:rPr>
              <w:t>符合第三章“</w:t>
            </w:r>
            <w:r>
              <w:rPr>
                <w:rFonts w:hint="eastAsia"/>
                <w:sz w:val="24"/>
                <w:szCs w:val="24"/>
                <w:highlight w:val="none"/>
                <w:lang w:eastAsia="zh-CN"/>
              </w:rPr>
              <w:t>投标人</w:t>
            </w:r>
            <w:r>
              <w:rPr>
                <w:sz w:val="24"/>
                <w:szCs w:val="24"/>
                <w:highlight w:val="none"/>
              </w:rPr>
              <w:t>须知”</w:t>
            </w:r>
            <w:r>
              <w:rPr>
                <w:rFonts w:hint="eastAsia"/>
                <w:sz w:val="24"/>
                <w:szCs w:val="24"/>
                <w:highlight w:val="none"/>
                <w:lang w:val="en-US" w:eastAsia="zh-CN"/>
              </w:rPr>
              <w:t>10.2</w:t>
            </w:r>
            <w:r>
              <w:rPr>
                <w:sz w:val="24"/>
                <w:szCs w:val="24"/>
                <w:highlight w:val="none"/>
              </w:rPr>
              <w:t xml:space="preserve">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spacing w:line="240" w:lineRule="auto"/>
              <w:jc w:val="center"/>
              <w:rPr>
                <w:rFonts w:hint="eastAsia"/>
                <w:sz w:val="24"/>
                <w:szCs w:val="24"/>
                <w:lang w:val="en-US" w:eastAsia="zh-CN"/>
              </w:rPr>
            </w:pPr>
          </w:p>
        </w:tc>
        <w:tc>
          <w:tcPr>
            <w:tcW w:w="464" w:type="dxa"/>
            <w:vMerge w:val="continue"/>
            <w:vAlign w:val="top"/>
          </w:tcPr>
          <w:p>
            <w:pPr>
              <w:spacing w:line="240" w:lineRule="auto"/>
              <w:jc w:val="center"/>
              <w:rPr>
                <w:rFonts w:hint="eastAsia"/>
                <w:sz w:val="24"/>
                <w:szCs w:val="24"/>
                <w:lang w:val="en-US" w:eastAsia="zh-CN"/>
              </w:rPr>
            </w:pPr>
          </w:p>
        </w:tc>
        <w:tc>
          <w:tcPr>
            <w:tcW w:w="545" w:type="dxa"/>
            <w:vMerge w:val="continue"/>
            <w:vAlign w:val="center"/>
          </w:tcPr>
          <w:p>
            <w:pPr>
              <w:spacing w:line="240" w:lineRule="auto"/>
              <w:jc w:val="center"/>
              <w:rPr>
                <w:rFonts w:hint="eastAsia"/>
                <w:sz w:val="24"/>
                <w:szCs w:val="24"/>
                <w:lang w:val="en-US" w:eastAsia="zh-CN"/>
              </w:rPr>
            </w:pPr>
          </w:p>
        </w:tc>
        <w:tc>
          <w:tcPr>
            <w:tcW w:w="2223" w:type="dxa"/>
            <w:tcBorders>
              <w:right w:val="single" w:color="auto" w:sz="4" w:space="0"/>
            </w:tcBorders>
            <w:vAlign w:val="center"/>
          </w:tcPr>
          <w:p>
            <w:pPr>
              <w:spacing w:line="24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投标</w:t>
            </w:r>
            <w:r>
              <w:rPr>
                <w:sz w:val="24"/>
                <w:szCs w:val="24"/>
              </w:rPr>
              <w:t>报价</w:t>
            </w:r>
          </w:p>
        </w:tc>
        <w:tc>
          <w:tcPr>
            <w:tcW w:w="5801" w:type="dxa"/>
            <w:tcBorders>
              <w:left w:val="single" w:color="auto" w:sz="4" w:space="0"/>
            </w:tcBorders>
            <w:vAlign w:val="center"/>
          </w:tcPr>
          <w:p>
            <w:pPr>
              <w:spacing w:line="240" w:lineRule="auto"/>
              <w:jc w:val="center"/>
              <w:rPr>
                <w:rFonts w:asciiTheme="minorHAnsi" w:hAnsiTheme="minorHAnsi" w:eastAsiaTheme="minorEastAsia" w:cstheme="minorBidi"/>
                <w:kern w:val="2"/>
                <w:sz w:val="24"/>
                <w:szCs w:val="24"/>
                <w:lang w:val="en-US" w:eastAsia="zh-CN" w:bidi="ar-SA"/>
              </w:rPr>
            </w:pPr>
            <w:r>
              <w:rPr>
                <w:sz w:val="24"/>
                <w:szCs w:val="24"/>
              </w:rPr>
              <w:t>符合第二章“</w:t>
            </w:r>
            <w:r>
              <w:rPr>
                <w:rFonts w:hint="eastAsia"/>
                <w:sz w:val="24"/>
                <w:szCs w:val="24"/>
                <w:lang w:eastAsia="zh-CN"/>
              </w:rPr>
              <w:t>招标项目要求及采购需求</w:t>
            </w:r>
            <w:r>
              <w:rPr>
                <w:sz w:val="24"/>
                <w:szCs w:val="24"/>
              </w:rPr>
              <w:t>”1.3款规定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rFonts w:hint="eastAsia"/>
                <w:sz w:val="24"/>
                <w:szCs w:val="24"/>
                <w:lang w:val="en-US" w:eastAsia="zh-CN"/>
              </w:rPr>
              <w:t>交付</w:t>
            </w:r>
            <w:r>
              <w:rPr>
                <w:sz w:val="24"/>
                <w:szCs w:val="24"/>
              </w:rPr>
              <w:t>期</w:t>
            </w:r>
          </w:p>
        </w:tc>
        <w:tc>
          <w:tcPr>
            <w:tcW w:w="5801" w:type="dxa"/>
            <w:tcBorders>
              <w:left w:val="single" w:color="auto" w:sz="4" w:space="0"/>
            </w:tcBorders>
            <w:vAlign w:val="center"/>
          </w:tcPr>
          <w:p>
            <w:pPr>
              <w:spacing w:line="240" w:lineRule="auto"/>
              <w:jc w:val="center"/>
              <w:rPr>
                <w:sz w:val="24"/>
                <w:szCs w:val="24"/>
              </w:rPr>
            </w:pPr>
            <w:r>
              <w:rPr>
                <w:sz w:val="24"/>
                <w:szCs w:val="24"/>
              </w:rPr>
              <w:t>符合第二章“</w:t>
            </w:r>
            <w:r>
              <w:rPr>
                <w:rFonts w:hint="eastAsia"/>
                <w:sz w:val="24"/>
                <w:szCs w:val="24"/>
                <w:lang w:eastAsia="zh-CN"/>
              </w:rPr>
              <w:t>招标项目要求及采购需求</w:t>
            </w:r>
            <w:r>
              <w:rPr>
                <w:sz w:val="24"/>
                <w:szCs w:val="24"/>
              </w:rPr>
              <w:t>”1.2款规定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rFonts w:hint="eastAsia"/>
                <w:sz w:val="24"/>
                <w:szCs w:val="24"/>
                <w:lang w:val="en-US" w:eastAsia="zh-CN"/>
              </w:rPr>
              <w:t>交付</w:t>
            </w:r>
            <w:r>
              <w:rPr>
                <w:sz w:val="24"/>
                <w:szCs w:val="24"/>
              </w:rPr>
              <w:t>地</w:t>
            </w:r>
          </w:p>
        </w:tc>
        <w:tc>
          <w:tcPr>
            <w:tcW w:w="5801" w:type="dxa"/>
            <w:tcBorders>
              <w:left w:val="single" w:color="auto" w:sz="4" w:space="0"/>
            </w:tcBorders>
            <w:vAlign w:val="center"/>
          </w:tcPr>
          <w:p>
            <w:pPr>
              <w:spacing w:line="240" w:lineRule="auto"/>
              <w:jc w:val="center"/>
              <w:rPr>
                <w:sz w:val="24"/>
                <w:szCs w:val="24"/>
              </w:rPr>
            </w:pPr>
            <w:r>
              <w:rPr>
                <w:sz w:val="24"/>
                <w:szCs w:val="24"/>
              </w:rPr>
              <w:t>符合第二章“</w:t>
            </w:r>
            <w:r>
              <w:rPr>
                <w:rFonts w:hint="eastAsia"/>
                <w:sz w:val="24"/>
                <w:szCs w:val="24"/>
                <w:lang w:eastAsia="zh-CN"/>
              </w:rPr>
              <w:t>招标项目要求及采购需求</w:t>
            </w:r>
            <w:r>
              <w:rPr>
                <w:sz w:val="24"/>
                <w:szCs w:val="24"/>
              </w:rPr>
              <w:t>”1.2款规定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rFonts w:hint="eastAsia"/>
                <w:sz w:val="24"/>
                <w:szCs w:val="24"/>
                <w:lang w:val="en-US" w:eastAsia="zh-CN"/>
              </w:rPr>
              <w:t>标段内容（范围）及</w:t>
            </w:r>
            <w:r>
              <w:rPr>
                <w:sz w:val="24"/>
                <w:szCs w:val="24"/>
              </w:rPr>
              <w:t>技术要求</w:t>
            </w:r>
          </w:p>
        </w:tc>
        <w:tc>
          <w:tcPr>
            <w:tcW w:w="5801" w:type="dxa"/>
            <w:tcBorders>
              <w:left w:val="single" w:color="auto" w:sz="4" w:space="0"/>
            </w:tcBorders>
            <w:vAlign w:val="center"/>
          </w:tcPr>
          <w:p>
            <w:pPr>
              <w:spacing w:line="240" w:lineRule="auto"/>
              <w:jc w:val="center"/>
              <w:rPr>
                <w:rFonts w:hint="default" w:eastAsiaTheme="minorEastAsia"/>
                <w:sz w:val="24"/>
                <w:szCs w:val="24"/>
                <w:lang w:val="en-US" w:eastAsia="zh-CN"/>
              </w:rPr>
            </w:pPr>
            <w:r>
              <w:rPr>
                <w:sz w:val="24"/>
                <w:szCs w:val="24"/>
              </w:rPr>
              <w:t>符合第二章“</w:t>
            </w:r>
            <w:r>
              <w:rPr>
                <w:rFonts w:hint="eastAsia"/>
                <w:sz w:val="24"/>
                <w:szCs w:val="24"/>
                <w:lang w:eastAsia="zh-CN"/>
              </w:rPr>
              <w:t>招标项目要求及采购需求</w:t>
            </w:r>
            <w:r>
              <w:rPr>
                <w:sz w:val="24"/>
                <w:szCs w:val="24"/>
              </w:rPr>
              <w:t>”</w:t>
            </w:r>
            <w:r>
              <w:rPr>
                <w:rFonts w:hint="eastAsia"/>
                <w:sz w:val="24"/>
                <w:szCs w:val="24"/>
                <w:lang w:val="en-US" w:eastAsia="zh-CN"/>
              </w:rPr>
              <w:t>相应条款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rFonts w:hint="eastAsia"/>
                <w:sz w:val="24"/>
                <w:szCs w:val="24"/>
                <w:lang w:val="en-US" w:eastAsia="zh-CN"/>
              </w:rPr>
              <w:t>投标</w:t>
            </w:r>
            <w:r>
              <w:rPr>
                <w:sz w:val="24"/>
                <w:szCs w:val="24"/>
              </w:rPr>
              <w:t>有效期</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须知”3.4款规定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sz w:val="24"/>
                <w:szCs w:val="24"/>
              </w:rPr>
              <w:t>付款</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须知”第</w:t>
            </w:r>
            <w:r>
              <w:rPr>
                <w:rFonts w:hint="eastAsia"/>
                <w:sz w:val="24"/>
                <w:szCs w:val="24"/>
                <w:lang w:val="en-US" w:eastAsia="zh-CN"/>
              </w:rPr>
              <w:t>9</w:t>
            </w:r>
            <w:r>
              <w:rPr>
                <w:sz w:val="24"/>
                <w:szCs w:val="24"/>
              </w:rPr>
              <w:t>条规定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95" w:type="dxa"/>
            <w:vMerge w:val="continue"/>
            <w:tcBorders>
              <w:top w:val="nil"/>
              <w:left w:val="single" w:color="auto" w:sz="4" w:space="0"/>
              <w:bottom w:val="nil"/>
            </w:tcBorders>
            <w:vAlign w:val="top"/>
          </w:tcPr>
          <w:p>
            <w:pPr>
              <w:jc w:val="center"/>
              <w:rPr>
                <w:sz w:val="24"/>
                <w:szCs w:val="24"/>
              </w:rPr>
            </w:pPr>
          </w:p>
        </w:tc>
        <w:tc>
          <w:tcPr>
            <w:tcW w:w="464" w:type="dxa"/>
            <w:vMerge w:val="continue"/>
            <w:vAlign w:val="top"/>
          </w:tcPr>
          <w:p>
            <w:pPr>
              <w:spacing w:line="480" w:lineRule="auto"/>
              <w:jc w:val="center"/>
              <w:rPr>
                <w:sz w:val="24"/>
                <w:szCs w:val="24"/>
              </w:rPr>
            </w:pPr>
          </w:p>
        </w:tc>
        <w:tc>
          <w:tcPr>
            <w:tcW w:w="545" w:type="dxa"/>
            <w:vMerge w:val="continue"/>
            <w:tcBorders>
              <w:top w:val="nil"/>
              <w:bottom w:val="nil"/>
            </w:tcBorders>
            <w:vAlign w:val="center"/>
          </w:tcPr>
          <w:p>
            <w:pPr>
              <w:spacing w:line="240" w:lineRule="auto"/>
              <w:jc w:val="center"/>
              <w:rPr>
                <w:sz w:val="24"/>
                <w:szCs w:val="24"/>
              </w:rPr>
            </w:pPr>
          </w:p>
        </w:tc>
        <w:tc>
          <w:tcPr>
            <w:tcW w:w="2223" w:type="dxa"/>
            <w:tcBorders>
              <w:right w:val="single" w:color="auto" w:sz="4" w:space="0"/>
            </w:tcBorders>
            <w:vAlign w:val="center"/>
          </w:tcPr>
          <w:p>
            <w:pPr>
              <w:spacing w:line="240" w:lineRule="auto"/>
              <w:jc w:val="center"/>
              <w:rPr>
                <w:sz w:val="24"/>
                <w:szCs w:val="24"/>
              </w:rPr>
            </w:pPr>
            <w:r>
              <w:rPr>
                <w:sz w:val="24"/>
                <w:szCs w:val="24"/>
              </w:rPr>
              <w:t>偏差描述</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须知”3.7.3项规定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95" w:type="dxa"/>
            <w:vMerge w:val="continue"/>
            <w:tcBorders>
              <w:top w:val="nil"/>
              <w:left w:val="single" w:color="auto" w:sz="4" w:space="0"/>
              <w:bottom w:val="single" w:color="auto" w:sz="4" w:space="0"/>
            </w:tcBorders>
            <w:vAlign w:val="top"/>
          </w:tcPr>
          <w:p>
            <w:pPr>
              <w:jc w:val="center"/>
              <w:rPr>
                <w:sz w:val="24"/>
                <w:szCs w:val="24"/>
              </w:rPr>
            </w:pPr>
          </w:p>
        </w:tc>
        <w:tc>
          <w:tcPr>
            <w:tcW w:w="464" w:type="dxa"/>
            <w:vMerge w:val="continue"/>
            <w:tcBorders>
              <w:bottom w:val="single" w:color="auto" w:sz="4" w:space="0"/>
            </w:tcBorders>
            <w:vAlign w:val="top"/>
          </w:tcPr>
          <w:p>
            <w:pPr>
              <w:spacing w:line="480" w:lineRule="auto"/>
              <w:jc w:val="center"/>
              <w:rPr>
                <w:sz w:val="24"/>
                <w:szCs w:val="24"/>
              </w:rPr>
            </w:pPr>
          </w:p>
        </w:tc>
        <w:tc>
          <w:tcPr>
            <w:tcW w:w="545" w:type="dxa"/>
            <w:vMerge w:val="continue"/>
            <w:tcBorders>
              <w:top w:val="nil"/>
              <w:bottom w:val="single" w:color="auto" w:sz="4" w:space="0"/>
            </w:tcBorders>
            <w:vAlign w:val="center"/>
          </w:tcPr>
          <w:p>
            <w:pPr>
              <w:spacing w:line="240" w:lineRule="auto"/>
              <w:jc w:val="center"/>
              <w:rPr>
                <w:sz w:val="24"/>
                <w:szCs w:val="24"/>
              </w:rPr>
            </w:pPr>
          </w:p>
        </w:tc>
        <w:tc>
          <w:tcPr>
            <w:tcW w:w="2223" w:type="dxa"/>
            <w:tcBorders>
              <w:bottom w:val="single" w:color="auto" w:sz="4" w:space="0"/>
              <w:right w:val="single" w:color="auto" w:sz="4" w:space="0"/>
            </w:tcBorders>
            <w:vAlign w:val="center"/>
          </w:tcPr>
          <w:p>
            <w:pPr>
              <w:spacing w:line="240" w:lineRule="auto"/>
              <w:jc w:val="center"/>
              <w:rPr>
                <w:sz w:val="24"/>
                <w:szCs w:val="24"/>
              </w:rPr>
            </w:pPr>
            <w:r>
              <w:rPr>
                <w:rFonts w:hint="eastAsia"/>
                <w:sz w:val="24"/>
                <w:szCs w:val="24"/>
                <w:lang w:val="en-US" w:eastAsia="zh-CN"/>
              </w:rPr>
              <w:t>投标</w:t>
            </w:r>
            <w:r>
              <w:rPr>
                <w:sz w:val="24"/>
                <w:szCs w:val="24"/>
              </w:rPr>
              <w:t>文件总体响应</w:t>
            </w:r>
          </w:p>
        </w:tc>
        <w:tc>
          <w:tcPr>
            <w:tcW w:w="5801" w:type="dxa"/>
            <w:tcBorders>
              <w:left w:val="single" w:color="auto" w:sz="4" w:space="0"/>
            </w:tcBorders>
            <w:vAlign w:val="center"/>
          </w:tcPr>
          <w:p>
            <w:pPr>
              <w:spacing w:line="240" w:lineRule="auto"/>
              <w:jc w:val="center"/>
              <w:rPr>
                <w:sz w:val="24"/>
                <w:szCs w:val="24"/>
              </w:rPr>
            </w:pPr>
            <w:r>
              <w:rPr>
                <w:sz w:val="24"/>
                <w:szCs w:val="24"/>
              </w:rPr>
              <w:t>符合第三章“</w:t>
            </w:r>
            <w:r>
              <w:rPr>
                <w:rFonts w:hint="eastAsia"/>
                <w:sz w:val="24"/>
                <w:szCs w:val="24"/>
                <w:lang w:eastAsia="zh-CN"/>
              </w:rPr>
              <w:t>投标人</w:t>
            </w:r>
            <w:r>
              <w:rPr>
                <w:sz w:val="24"/>
                <w:szCs w:val="24"/>
              </w:rPr>
              <w:t>须知”1.3项规定</w:t>
            </w:r>
          </w:p>
        </w:tc>
      </w:tr>
    </w:tbl>
    <w:p>
      <w:pPr>
        <w:jc w:val="center"/>
        <w:rPr>
          <w:sz w:val="24"/>
          <w:szCs w:val="24"/>
        </w:rPr>
      </w:pPr>
    </w:p>
    <w:p>
      <w:pPr>
        <w:rPr>
          <w:sz w:val="24"/>
          <w:szCs w:val="24"/>
        </w:rPr>
        <w:sectPr>
          <w:footerReference r:id="rId3" w:type="default"/>
          <w:pgSz w:w="11905" w:h="16837"/>
          <w:pgMar w:top="1440" w:right="1080" w:bottom="1440" w:left="1080" w:header="1077" w:footer="567" w:gutter="0"/>
          <w:pgNumType w:fmt="decimal"/>
          <w:cols w:space="720" w:num="1"/>
        </w:sectPr>
      </w:pPr>
    </w:p>
    <w:p>
      <w:pPr>
        <w:jc w:val="center"/>
        <w:outlineLvl w:val="1"/>
        <w:rPr>
          <w:sz w:val="24"/>
          <w:szCs w:val="24"/>
        </w:rPr>
      </w:pPr>
      <w:bookmarkStart w:id="103" w:name="_Toc12322"/>
      <w:r>
        <w:rPr>
          <w:b/>
          <w:bCs/>
          <w:sz w:val="24"/>
          <w:szCs w:val="24"/>
        </w:rPr>
        <w:t>评审办法前附表-----分值构成与评分标准</w:t>
      </w:r>
      <w:bookmarkEnd w:id="103"/>
    </w:p>
    <w:tbl>
      <w:tblPr>
        <w:tblStyle w:val="35"/>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72"/>
        <w:gridCol w:w="820"/>
        <w:gridCol w:w="925"/>
        <w:gridCol w:w="6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650" w:type="dxa"/>
            <w:gridSpan w:val="3"/>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分值构成（总分100分）</w:t>
            </w:r>
          </w:p>
        </w:tc>
        <w:tc>
          <w:tcPr>
            <w:tcW w:w="7073" w:type="dxa"/>
            <w:gridSpan w:val="2"/>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投标报价：30分</w:t>
            </w: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技术部分：45分</w:t>
            </w: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商务部分：25分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8" w:type="dxa"/>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条款号</w:t>
            </w:r>
          </w:p>
        </w:tc>
        <w:tc>
          <w:tcPr>
            <w:tcW w:w="1792" w:type="dxa"/>
            <w:gridSpan w:val="2"/>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评分因素</w:t>
            </w:r>
          </w:p>
        </w:tc>
        <w:tc>
          <w:tcPr>
            <w:tcW w:w="925" w:type="dxa"/>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标准分</w:t>
            </w:r>
          </w:p>
        </w:tc>
        <w:tc>
          <w:tcPr>
            <w:tcW w:w="6148" w:type="dxa"/>
            <w:vAlign w:val="top"/>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858" w:type="dxa"/>
            <w:tcBorders>
              <w:bottom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2.2.2（1）</w:t>
            </w:r>
          </w:p>
        </w:tc>
        <w:tc>
          <w:tcPr>
            <w:tcW w:w="972" w:type="dxa"/>
            <w:tcBorders>
              <w:bottom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投标报价评分标准 ( 30分）</w:t>
            </w:r>
          </w:p>
        </w:tc>
        <w:tc>
          <w:tcPr>
            <w:tcW w:w="820" w:type="dxa"/>
            <w:tcBorders>
              <w:bottom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w:t>
            </w:r>
          </w:p>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报价</w:t>
            </w:r>
          </w:p>
        </w:tc>
        <w:tc>
          <w:tcPr>
            <w:tcW w:w="925" w:type="dxa"/>
            <w:tcBorders>
              <w:bottom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30分</w:t>
            </w:r>
          </w:p>
        </w:tc>
        <w:tc>
          <w:tcPr>
            <w:tcW w:w="6148" w:type="dxa"/>
            <w:tcBorders>
              <w:bottom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价格分应当采用低价优先法计算，即满足招标文件要求且投标价格最低的投标报价为评标基准价，其价格分为满分。其他投标人的价格分统一按照下列公式计算：投标报价得分=(评标基准价／投标报价)×30。</w:t>
            </w:r>
          </w:p>
          <w:p>
            <w:pPr>
              <w:pStyle w:val="31"/>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为贯彻落实《政府采购促进中小企业发展管理办法》（财库﹝2020﹞46 号），本项目专门面向中小企业采购，不再对供应商报价进行价格扣除。参加本项目的小微企业应当提供《中小企业声明函》；</w:t>
            </w: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w:t>
            </w: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1、为防范供应商恶意低价中标、成交。对于供应商成交后不履约且中标成交供应商报价比预算价低30%以上的，将视同恶意低价中标成交，扰乱采购活动，将对其违规违法行为进行处理。（安财购[2021]24号文件）</w:t>
            </w:r>
          </w:p>
          <w:p>
            <w:pPr>
              <w:autoSpaceDE/>
              <w:autoSpaceDN/>
              <w:spacing w:beforeLines="0" w:afterLines="0" w:line="360" w:lineRule="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在评审过程中评审小组认为供应商的投标报价明显低于其他通过符合性审查供应商的报价，有可能影响产品质量或者不能诚信履约的，应当在其规定时间内提供书面说明，必要时提交相关证明材料，供应商不能在规定时间证明其报价合理性的，评审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58" w:type="dxa"/>
            <w:vMerge w:val="restart"/>
            <w:tcBorders>
              <w:top w:val="single" w:color="auto" w:sz="4" w:space="0"/>
              <w:left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both"/>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2.2.2（2）</w:t>
            </w:r>
          </w:p>
        </w:tc>
        <w:tc>
          <w:tcPr>
            <w:tcW w:w="972" w:type="dxa"/>
            <w:vMerge w:val="restart"/>
            <w:tcBorders>
              <w:top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技术部分评分标准 (45分）</w:t>
            </w:r>
          </w:p>
        </w:tc>
        <w:tc>
          <w:tcPr>
            <w:tcW w:w="820" w:type="dxa"/>
            <w:tcBorders>
              <w:top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技术参数</w:t>
            </w:r>
          </w:p>
        </w:tc>
        <w:tc>
          <w:tcPr>
            <w:tcW w:w="925" w:type="dxa"/>
            <w:tcBorders>
              <w:top w:val="single" w:color="auto" w:sz="4" w:space="0"/>
              <w:right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30分</w:t>
            </w:r>
          </w:p>
        </w:tc>
        <w:tc>
          <w:tcPr>
            <w:tcW w:w="6148" w:type="dxa"/>
            <w:tcBorders>
              <w:top w:val="single" w:color="auto" w:sz="4" w:space="0"/>
              <w:left w:val="single" w:color="auto" w:sz="4" w:space="0"/>
              <w:right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评标委员会根据投标文件和相关证明材料对招标文件的响应情况，对照判断所投产品是否满足招标文件的要求：</w:t>
            </w:r>
          </w:p>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所投产品各项技术参数均满足招标文件中产品技术参数要求的得30分，除带“★”技术参数外，其它技术参数每有一项出现负偏离扣2分，扣完为止。如有技术参数遗漏处，视为不满足项，得分参照本项规定。注：重要技术指标需提供有效证明材料加盖供应商公章，评标委员会根据投标人提供的技术证明文件对技术参数进行评判，未提供技术证明文件的此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8" w:type="dxa"/>
            <w:vMerge w:val="continue"/>
            <w:tcBorders>
              <w:left w:val="single" w:color="auto" w:sz="4" w:space="0"/>
            </w:tcBorders>
            <w:vAlign w:val="top"/>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top"/>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tc>
        <w:tc>
          <w:tcPr>
            <w:tcW w:w="820" w:type="dxa"/>
            <w:tcBorders>
              <w:top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质量保证措施</w:t>
            </w:r>
          </w:p>
        </w:tc>
        <w:tc>
          <w:tcPr>
            <w:tcW w:w="925" w:type="dxa"/>
            <w:tcBorders>
              <w:top w:val="single" w:color="auto" w:sz="4" w:space="0"/>
              <w:right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4分</w:t>
            </w:r>
          </w:p>
        </w:tc>
        <w:tc>
          <w:tcPr>
            <w:tcW w:w="614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对供应商制定的质量保证措施（包含但不限于</w:t>
            </w:r>
            <w:bookmarkStart w:id="104" w:name="OLE_LINK5"/>
            <w:r>
              <w:rPr>
                <w:rFonts w:hint="eastAsia" w:ascii="仿宋" w:hAnsi="仿宋" w:eastAsia="仿宋" w:cs="仿宋"/>
                <w:color w:val="auto"/>
                <w:kern w:val="0"/>
                <w:sz w:val="24"/>
                <w:szCs w:val="24"/>
                <w:lang w:val="en-US" w:eastAsia="zh-CN" w:bidi="ar"/>
              </w:rPr>
              <w:t>所投产品生产工艺即冲压、焊接、机械加工、</w:t>
            </w:r>
            <w:r>
              <w:rPr>
                <w:rFonts w:hint="eastAsia" w:ascii="仿宋" w:hAnsi="仿宋" w:eastAsia="仿宋" w:cs="仿宋"/>
                <w:color w:val="auto"/>
                <w:kern w:val="0"/>
                <w:sz w:val="24"/>
                <w:szCs w:val="24"/>
                <w:highlight w:val="none"/>
                <w:lang w:val="en-US" w:eastAsia="zh-CN" w:bidi="ar"/>
              </w:rPr>
              <w:t>防锈、</w:t>
            </w:r>
            <w:r>
              <w:rPr>
                <w:rFonts w:hint="eastAsia" w:ascii="仿宋" w:hAnsi="仿宋" w:eastAsia="仿宋" w:cs="仿宋"/>
                <w:color w:val="auto"/>
                <w:kern w:val="0"/>
                <w:sz w:val="24"/>
                <w:szCs w:val="24"/>
                <w:lang w:val="en-US" w:eastAsia="zh-CN" w:bidi="ar"/>
              </w:rPr>
              <w:t>涂漆、装配等方面的工艺、技术性能描述及响应程度、原材料及关键部件的进货渠道</w:t>
            </w:r>
            <w:bookmarkEnd w:id="104"/>
            <w:r>
              <w:rPr>
                <w:rFonts w:hint="eastAsia" w:ascii="仿宋" w:hAnsi="仿宋" w:eastAsia="仿宋" w:cs="仿宋"/>
                <w:color w:val="auto"/>
                <w:kern w:val="0"/>
                <w:sz w:val="24"/>
                <w:szCs w:val="24"/>
                <w:lang w:val="en-US" w:eastAsia="zh-CN" w:bidi="ar"/>
              </w:rPr>
              <w:t>等）进行综合评价</w:t>
            </w:r>
          </w:p>
          <w:p>
            <w:pPr>
              <w:spacing w:line="360" w:lineRule="auto"/>
              <w:rPr>
                <w:rFonts w:hint="eastAsia" w:ascii="仿宋" w:hAnsi="仿宋" w:eastAsia="仿宋" w:cs="仿宋"/>
                <w:color w:val="auto"/>
                <w:kern w:val="0"/>
                <w:sz w:val="24"/>
                <w:szCs w:val="24"/>
                <w:lang w:val="en-US" w:eastAsia="zh-CN" w:bidi="ar"/>
              </w:rPr>
            </w:pPr>
            <w:bookmarkStart w:id="105" w:name="OLE_LINK7"/>
            <w:r>
              <w:rPr>
                <w:rFonts w:hint="eastAsia" w:ascii="仿宋" w:hAnsi="仿宋" w:eastAsia="仿宋" w:cs="仿宋"/>
                <w:color w:val="auto"/>
                <w:kern w:val="0"/>
                <w:sz w:val="24"/>
                <w:szCs w:val="24"/>
                <w:lang w:val="en-US" w:eastAsia="zh-CN" w:bidi="ar"/>
              </w:rPr>
              <w:t>①</w:t>
            </w:r>
            <w:bookmarkEnd w:id="105"/>
            <w:r>
              <w:rPr>
                <w:rFonts w:hint="eastAsia" w:ascii="仿宋" w:hAnsi="仿宋" w:eastAsia="仿宋" w:cs="仿宋"/>
                <w:color w:val="auto"/>
                <w:kern w:val="0"/>
                <w:sz w:val="24"/>
                <w:szCs w:val="24"/>
                <w:lang w:val="en-US" w:eastAsia="zh-CN" w:bidi="ar"/>
              </w:rPr>
              <w:t>内容科学、详尽、全面、切合实际得4分；</w:t>
            </w:r>
          </w:p>
          <w:p>
            <w:pPr>
              <w:spacing w:line="360" w:lineRule="auto"/>
              <w:rPr>
                <w:rFonts w:hint="eastAsia" w:ascii="仿宋" w:hAnsi="仿宋" w:eastAsia="仿宋" w:cs="仿宋"/>
                <w:color w:val="auto"/>
                <w:kern w:val="0"/>
                <w:sz w:val="24"/>
                <w:szCs w:val="24"/>
                <w:lang w:val="en-US" w:eastAsia="zh-CN" w:bidi="ar"/>
              </w:rPr>
            </w:pPr>
            <w:bookmarkStart w:id="106" w:name="OLE_LINK8"/>
            <w:r>
              <w:rPr>
                <w:rFonts w:hint="eastAsia" w:ascii="仿宋" w:hAnsi="仿宋" w:eastAsia="仿宋" w:cs="仿宋"/>
                <w:color w:val="auto"/>
                <w:kern w:val="0"/>
                <w:sz w:val="24"/>
                <w:szCs w:val="24"/>
                <w:lang w:val="en-US" w:eastAsia="zh-CN" w:bidi="ar"/>
              </w:rPr>
              <w:t>②</w:t>
            </w:r>
            <w:bookmarkEnd w:id="106"/>
            <w:r>
              <w:rPr>
                <w:rFonts w:hint="eastAsia" w:ascii="仿宋" w:hAnsi="仿宋" w:eastAsia="仿宋" w:cs="仿宋"/>
                <w:color w:val="auto"/>
                <w:kern w:val="0"/>
                <w:sz w:val="24"/>
                <w:szCs w:val="24"/>
                <w:lang w:val="en-US" w:eastAsia="zh-CN" w:bidi="ar"/>
              </w:rPr>
              <w:t>内容合理详尽、完整无缺陷的得2分；</w:t>
            </w:r>
          </w:p>
          <w:p>
            <w:pPr>
              <w:spacing w:line="360" w:lineRule="auto"/>
              <w:rPr>
                <w:rFonts w:hint="eastAsia" w:ascii="仿宋" w:hAnsi="仿宋" w:eastAsia="仿宋" w:cs="仿宋"/>
                <w:color w:val="auto"/>
                <w:kern w:val="0"/>
                <w:sz w:val="24"/>
                <w:szCs w:val="24"/>
                <w:lang w:val="en-US" w:eastAsia="zh-CN" w:bidi="ar"/>
              </w:rPr>
            </w:pPr>
            <w:bookmarkStart w:id="107" w:name="OLE_LINK9"/>
            <w:r>
              <w:rPr>
                <w:rFonts w:hint="eastAsia" w:ascii="仿宋" w:hAnsi="仿宋" w:eastAsia="仿宋" w:cs="仿宋"/>
                <w:color w:val="auto"/>
                <w:kern w:val="0"/>
                <w:sz w:val="24"/>
                <w:szCs w:val="24"/>
                <w:lang w:val="en-US" w:eastAsia="zh-CN" w:bidi="ar"/>
              </w:rPr>
              <w:t>③</w:t>
            </w:r>
            <w:bookmarkEnd w:id="107"/>
            <w:r>
              <w:rPr>
                <w:rFonts w:hint="eastAsia" w:ascii="仿宋" w:hAnsi="仿宋" w:eastAsia="仿宋" w:cs="仿宋"/>
                <w:color w:val="auto"/>
                <w:kern w:val="0"/>
                <w:sz w:val="24"/>
                <w:szCs w:val="24"/>
                <w:lang w:val="en-US" w:eastAsia="zh-CN" w:bidi="ar"/>
              </w:rPr>
              <w:t>内容基本合理、能满足项目要求的得1分；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④内容能满足项目、有一定缺项或瑕疵的得0.5分；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8" w:type="dxa"/>
            <w:vMerge w:val="continue"/>
            <w:tcBorders>
              <w:left w:val="single" w:color="auto" w:sz="4" w:space="0"/>
            </w:tcBorders>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820" w:type="dxa"/>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实施</w:t>
            </w: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方案</w:t>
            </w:r>
          </w:p>
        </w:tc>
        <w:tc>
          <w:tcPr>
            <w:tcW w:w="925" w:type="dxa"/>
            <w:tcBorders>
              <w:right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4分</w:t>
            </w:r>
          </w:p>
        </w:tc>
        <w:tc>
          <w:tcPr>
            <w:tcW w:w="6148" w:type="dxa"/>
            <w:tcBorders>
              <w:top w:val="single" w:color="auto" w:sz="4" w:space="0"/>
              <w:left w:val="single" w:color="auto" w:sz="4" w:space="0"/>
              <w:bottom w:val="single" w:color="auto" w:sz="4" w:space="0"/>
              <w:right w:val="single" w:color="auto" w:sz="4" w:space="0"/>
            </w:tcBorders>
            <w:vAlign w:val="top"/>
          </w:tcPr>
          <w:p>
            <w:pPr>
              <w:pStyle w:val="5"/>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对供应商制定的实施方案（包含但不限于所投产品进行</w:t>
            </w:r>
            <w:r>
              <w:rPr>
                <w:rFonts w:hint="eastAsia" w:ascii="仿宋" w:hAnsi="仿宋" w:eastAsia="仿宋" w:cs="仿宋"/>
                <w:color w:val="auto"/>
                <w:kern w:val="0"/>
                <w:sz w:val="24"/>
                <w:szCs w:val="24"/>
                <w:highlight w:val="none"/>
                <w:lang w:val="en-US" w:eastAsia="zh-CN" w:bidi="ar"/>
              </w:rPr>
              <w:t>运输安装、调试、培训、救援、保养等）进行综合评价</w:t>
            </w:r>
          </w:p>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①内容科学、详尽、全面、切合实际得4分；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②内容合理详尽、完整无缺陷的得2分；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③内容基本合理、能满足项目要求的得1分；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④内容能满足项目、有一定缺项或瑕疵的得0.5分；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858" w:type="dxa"/>
            <w:vMerge w:val="continue"/>
            <w:tcBorders>
              <w:left w:val="single" w:color="auto" w:sz="4" w:space="0"/>
            </w:tcBorders>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820" w:type="dxa"/>
            <w:vAlign w:val="center"/>
          </w:tcPr>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备品</w:t>
            </w:r>
          </w:p>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备件</w:t>
            </w:r>
          </w:p>
        </w:tc>
        <w:tc>
          <w:tcPr>
            <w:tcW w:w="925" w:type="dxa"/>
            <w:tcBorders>
              <w:right w:val="single" w:color="auto" w:sz="4" w:space="0"/>
            </w:tcBorders>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4分</w:t>
            </w:r>
          </w:p>
        </w:tc>
        <w:tc>
          <w:tcPr>
            <w:tcW w:w="6148" w:type="dxa"/>
            <w:tcBorders>
              <w:top w:val="single" w:color="auto" w:sz="4" w:space="0"/>
              <w:left w:val="single" w:color="auto" w:sz="4" w:space="0"/>
              <w:bottom w:val="single" w:color="auto" w:sz="4" w:space="0"/>
              <w:right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对供应商所制定的备品备件 （包含备品备件的种类、数量、质量、</w:t>
            </w:r>
            <w:r>
              <w:rPr>
                <w:rFonts w:hint="eastAsia" w:ascii="仿宋" w:hAnsi="仿宋" w:eastAsia="仿宋" w:cs="仿宋"/>
                <w:color w:val="auto"/>
                <w:kern w:val="0"/>
                <w:sz w:val="24"/>
                <w:szCs w:val="24"/>
                <w:highlight w:val="none"/>
                <w:lang w:val="en-US" w:eastAsia="zh-CN" w:bidi="ar"/>
              </w:rPr>
              <w:t>响应速度等情况</w:t>
            </w:r>
            <w:r>
              <w:rPr>
                <w:rFonts w:hint="eastAsia" w:ascii="仿宋" w:hAnsi="仿宋" w:eastAsia="仿宋" w:cs="仿宋"/>
                <w:color w:val="auto"/>
                <w:kern w:val="0"/>
                <w:sz w:val="24"/>
                <w:szCs w:val="24"/>
                <w:lang w:val="en-US" w:eastAsia="zh-CN" w:bidi="ar"/>
              </w:rPr>
              <w:t>）进行综合评价</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①内容科学、详尽、全面、切合实际得4分；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②内容合理详尽、完整无缺陷的得2分；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③内容基本合理、能满足项目要求的得1分；</w:t>
            </w:r>
          </w:p>
          <w:p>
            <w:pPr>
              <w:spacing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④内容能满足项目、有一定缺项或瑕疵的得0.5分；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858" w:type="dxa"/>
            <w:vMerge w:val="continue"/>
            <w:tcBorders>
              <w:left w:val="single" w:color="auto" w:sz="4" w:space="0"/>
            </w:tcBorders>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top"/>
          </w:tcPr>
          <w:p>
            <w:pPr>
              <w:spacing w:line="360" w:lineRule="auto"/>
              <w:jc w:val="center"/>
              <w:rPr>
                <w:rFonts w:hint="eastAsia" w:ascii="仿宋" w:hAnsi="仿宋" w:eastAsia="仿宋" w:cs="仿宋"/>
                <w:color w:val="auto"/>
                <w:kern w:val="0"/>
                <w:sz w:val="24"/>
                <w:szCs w:val="24"/>
                <w:lang w:val="en-US" w:eastAsia="zh-CN" w:bidi="ar"/>
              </w:rPr>
            </w:pPr>
          </w:p>
        </w:tc>
        <w:tc>
          <w:tcPr>
            <w:tcW w:w="820" w:type="dxa"/>
            <w:tcBorders>
              <w:bottom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专业</w:t>
            </w:r>
          </w:p>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团队</w:t>
            </w:r>
          </w:p>
        </w:tc>
        <w:tc>
          <w:tcPr>
            <w:tcW w:w="925" w:type="dxa"/>
            <w:tcBorders>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3分</w:t>
            </w:r>
          </w:p>
        </w:tc>
        <w:tc>
          <w:tcPr>
            <w:tcW w:w="6148" w:type="dxa"/>
            <w:tcBorders>
              <w:top w:val="single" w:color="auto" w:sz="4" w:space="0"/>
              <w:left w:val="single" w:color="auto" w:sz="4" w:space="0"/>
              <w:bottom w:val="single" w:color="auto" w:sz="4" w:space="0"/>
              <w:right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对供应商专业团队人员配备情况进行综合评价</w:t>
            </w:r>
          </w:p>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①内容科学、详尽、全面、切合实际得3分；</w:t>
            </w:r>
          </w:p>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②内容合理详尽、完整无缺陷的得2分；</w:t>
            </w:r>
          </w:p>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③内容基本合理、能满足项目要求的得1分；</w:t>
            </w:r>
          </w:p>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④内容能满足项目、有一定缺项或瑕疵的得0.5分；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858" w:type="dxa"/>
            <w:vMerge w:val="restart"/>
            <w:tcBorders>
              <w:top w:val="single" w:color="auto" w:sz="4" w:space="0"/>
              <w:left w:val="single" w:color="auto" w:sz="4" w:space="0"/>
            </w:tcBorders>
            <w:vAlign w:val="center"/>
          </w:tcPr>
          <w:p>
            <w:pPr>
              <w:tabs>
                <w:tab w:val="left" w:pos="314"/>
              </w:tabs>
              <w:spacing w:line="360" w:lineRule="auto"/>
              <w:jc w:val="left"/>
              <w:rPr>
                <w:rFonts w:hint="eastAsia" w:ascii="仿宋" w:hAnsi="仿宋" w:eastAsia="仿宋" w:cs="仿宋"/>
                <w:color w:val="auto"/>
                <w:kern w:val="0"/>
                <w:sz w:val="24"/>
                <w:szCs w:val="24"/>
                <w:lang w:val="en-US" w:eastAsia="zh-CN" w:bidi="ar"/>
              </w:rPr>
            </w:pPr>
          </w:p>
          <w:p>
            <w:pPr>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2.2.2（3）</w:t>
            </w:r>
          </w:p>
        </w:tc>
        <w:tc>
          <w:tcPr>
            <w:tcW w:w="972" w:type="dxa"/>
            <w:vMerge w:val="restart"/>
            <w:tcBorders>
              <w:top w:val="single" w:color="auto" w:sz="4" w:space="0"/>
            </w:tcBorders>
            <w:vAlign w:val="center"/>
          </w:tcPr>
          <w:p>
            <w:pPr>
              <w:autoSpaceDE/>
              <w:autoSpaceDN/>
              <w:spacing w:beforeLines="0" w:afterLines="0" w:line="360" w:lineRule="auto"/>
              <w:jc w:val="both"/>
              <w:rPr>
                <w:rFonts w:hint="eastAsia" w:ascii="仿宋" w:hAnsi="仿宋" w:eastAsia="仿宋" w:cs="仿宋"/>
                <w:color w:val="auto"/>
                <w:kern w:val="0"/>
                <w:sz w:val="24"/>
                <w:szCs w:val="24"/>
                <w:lang w:val="en-US" w:eastAsia="zh-CN" w:bidi="ar"/>
              </w:rPr>
            </w:pPr>
          </w:p>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商务部分评分标准 ( 25分）</w:t>
            </w:r>
          </w:p>
        </w:tc>
        <w:tc>
          <w:tcPr>
            <w:tcW w:w="820" w:type="dxa"/>
            <w:tcBorders>
              <w:top w:val="single" w:color="auto" w:sz="4" w:space="0"/>
            </w:tcBorders>
            <w:vAlign w:val="center"/>
          </w:tcPr>
          <w:p>
            <w:pPr>
              <w:autoSpaceDE/>
              <w:autoSpaceDN/>
              <w:spacing w:beforeLines="0" w:afterLines="0" w:line="360" w:lineRule="auto"/>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业绩</w:t>
            </w:r>
          </w:p>
        </w:tc>
        <w:tc>
          <w:tcPr>
            <w:tcW w:w="925" w:type="dxa"/>
            <w:tcBorders>
              <w:top w:val="single" w:color="auto" w:sz="4" w:space="0"/>
            </w:tcBorders>
            <w:vAlign w:val="center"/>
          </w:tcPr>
          <w:p>
            <w:pPr>
              <w:autoSpaceDE/>
              <w:autoSpaceDN/>
              <w:spacing w:beforeLines="0" w:afterLines="0" w:line="360" w:lineRule="auto"/>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6分</w:t>
            </w:r>
          </w:p>
        </w:tc>
        <w:tc>
          <w:tcPr>
            <w:tcW w:w="6148" w:type="dxa"/>
            <w:tcBorders>
              <w:top w:val="single" w:color="auto" w:sz="4" w:space="0"/>
              <w:bottom w:val="single" w:color="auto" w:sz="4" w:space="0"/>
              <w:right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供应商(投标人)或所投产品制造商提供 2021年1月1日(以合同签订日期为准)以来承担过纯电动类环卫车辆项目业绩的，每份得3分，最高得 6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58" w:type="dxa"/>
            <w:vMerge w:val="continue"/>
            <w:tcBorders>
              <w:left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tc>
        <w:tc>
          <w:tcPr>
            <w:tcW w:w="820" w:type="dxa"/>
            <w:vAlign w:val="center"/>
          </w:tcPr>
          <w:p>
            <w:pPr>
              <w:autoSpaceDE/>
              <w:autoSpaceDN/>
              <w:spacing w:beforeLines="0" w:afterLines="0" w:line="360" w:lineRule="auto"/>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体系认证</w:t>
            </w:r>
          </w:p>
        </w:tc>
        <w:tc>
          <w:tcPr>
            <w:tcW w:w="925" w:type="dxa"/>
            <w:vAlign w:val="center"/>
          </w:tcPr>
          <w:p>
            <w:pPr>
              <w:autoSpaceDE/>
              <w:autoSpaceDN/>
              <w:spacing w:beforeLines="0" w:afterLines="0" w:line="360" w:lineRule="auto"/>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9分</w:t>
            </w:r>
          </w:p>
        </w:tc>
        <w:tc>
          <w:tcPr>
            <w:tcW w:w="6148" w:type="dxa"/>
            <w:tcBorders>
              <w:top w:val="single" w:color="auto" w:sz="4" w:space="0"/>
              <w:bottom w:val="single" w:color="auto" w:sz="4" w:space="0"/>
              <w:right w:val="single" w:color="auto" w:sz="4" w:space="0"/>
            </w:tcBorders>
            <w:vAlign w:val="top"/>
          </w:tcPr>
          <w:p>
            <w:pPr>
              <w:autoSpaceDE/>
              <w:autoSpaceDN/>
              <w:spacing w:beforeLines="0" w:afterLines="0" w:line="36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投标人或所投产品制造商具有效的质量体系证书、环境体系证书、职业健康安全体系认证，每项得 3 分，满分9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58" w:type="dxa"/>
            <w:vMerge w:val="continue"/>
            <w:tcBorders>
              <w:left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tc>
        <w:tc>
          <w:tcPr>
            <w:tcW w:w="820" w:type="dxa"/>
            <w:shd w:val="clear" w:color="auto" w:fill="auto"/>
            <w:vAlign w:val="center"/>
          </w:tcPr>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质保期内外承诺</w:t>
            </w:r>
          </w:p>
        </w:tc>
        <w:tc>
          <w:tcPr>
            <w:tcW w:w="925" w:type="dxa"/>
            <w:shd w:val="clear" w:color="auto" w:fill="auto"/>
            <w:vAlign w:val="center"/>
          </w:tcPr>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3分</w:t>
            </w:r>
          </w:p>
        </w:tc>
        <w:tc>
          <w:tcPr>
            <w:tcW w:w="6148" w:type="dxa"/>
            <w:tcBorders>
              <w:top w:val="single" w:color="auto" w:sz="4" w:space="0"/>
              <w:bottom w:val="single" w:color="auto" w:sz="4" w:space="0"/>
              <w:right w:val="single" w:color="auto" w:sz="4" w:space="0"/>
            </w:tcBorders>
            <w:shd w:val="clear" w:color="auto" w:fill="auto"/>
            <w:vAlign w:val="top"/>
          </w:tcPr>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在满足招标文件基本要求的基础上提供质保期内、外服务承诺，从质保期内（整车维修、定期巡检、核心部件质保、保养、技术支持）和质保期外（有偿维修服务、紧急救援服务、备件供给政策、升级与改造服务）服务承诺全面详细的，得 3 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58" w:type="dxa"/>
            <w:vMerge w:val="continue"/>
            <w:tcBorders>
              <w:left w:val="single" w:color="auto" w:sz="4" w:space="0"/>
            </w:tcBorders>
            <w:vAlign w:val="center"/>
          </w:tcPr>
          <w:p>
            <w:pPr>
              <w:spacing w:line="360" w:lineRule="auto"/>
              <w:jc w:val="center"/>
              <w:rPr>
                <w:rFonts w:hint="eastAsia" w:ascii="仿宋" w:hAnsi="仿宋" w:eastAsia="仿宋" w:cs="仿宋"/>
                <w:color w:val="auto"/>
                <w:kern w:val="0"/>
                <w:sz w:val="24"/>
                <w:szCs w:val="24"/>
                <w:lang w:val="en-US" w:eastAsia="zh-CN" w:bidi="ar"/>
              </w:rPr>
            </w:pPr>
          </w:p>
        </w:tc>
        <w:tc>
          <w:tcPr>
            <w:tcW w:w="972" w:type="dxa"/>
            <w:vMerge w:val="continue"/>
            <w:vAlign w:val="center"/>
          </w:tcPr>
          <w:p>
            <w:pPr>
              <w:autoSpaceDE/>
              <w:autoSpaceDN/>
              <w:spacing w:beforeLines="0" w:afterLines="0" w:line="360" w:lineRule="auto"/>
              <w:jc w:val="center"/>
              <w:rPr>
                <w:rFonts w:hint="eastAsia" w:ascii="仿宋" w:hAnsi="仿宋" w:eastAsia="仿宋" w:cs="仿宋"/>
                <w:color w:val="auto"/>
                <w:kern w:val="0"/>
                <w:sz w:val="24"/>
                <w:szCs w:val="24"/>
                <w:lang w:val="en-US" w:eastAsia="zh-CN" w:bidi="ar"/>
              </w:rPr>
            </w:pPr>
          </w:p>
        </w:tc>
        <w:tc>
          <w:tcPr>
            <w:tcW w:w="820" w:type="dxa"/>
            <w:vAlign w:val="center"/>
          </w:tcPr>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质量服务承诺及优惠承诺</w:t>
            </w:r>
          </w:p>
        </w:tc>
        <w:tc>
          <w:tcPr>
            <w:tcW w:w="925" w:type="dxa"/>
            <w:vAlign w:val="center"/>
          </w:tcPr>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7分</w:t>
            </w:r>
          </w:p>
        </w:tc>
        <w:tc>
          <w:tcPr>
            <w:tcW w:w="6148" w:type="dxa"/>
            <w:tcBorders>
              <w:top w:val="single" w:color="auto" w:sz="4" w:space="0"/>
              <w:bottom w:val="single" w:color="auto" w:sz="4" w:space="0"/>
              <w:right w:val="single" w:color="auto" w:sz="4" w:space="0"/>
            </w:tcBorders>
            <w:vAlign w:val="top"/>
          </w:tcPr>
          <w:p>
            <w:pPr>
              <w:pageBreakBefore w:val="0"/>
              <w:widowControl/>
              <w:numPr>
                <w:ilvl w:val="0"/>
                <w:numId w:val="0"/>
              </w:numPr>
              <w:kinsoku/>
              <w:wordWrap/>
              <w:overflowPunct/>
              <w:topLinePunct w:val="0"/>
              <w:bidi w:val="0"/>
              <w:spacing w:beforeAutospacing="0" w:afterAutospacing="0" w:line="360" w:lineRule="auto"/>
              <w:ind w:left="0"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（1）投标人承诺出现任何质量问题，无条件负责的得2分，不提供不得分。</w:t>
            </w:r>
          </w:p>
          <w:p>
            <w:pPr>
              <w:pageBreakBefore w:val="0"/>
              <w:widowControl/>
              <w:numPr>
                <w:ilvl w:val="0"/>
                <w:numId w:val="0"/>
              </w:numPr>
              <w:kinsoku/>
              <w:wordWrap/>
              <w:overflowPunct/>
              <w:topLinePunct w:val="0"/>
              <w:bidi w:val="0"/>
              <w:spacing w:beforeAutospacing="0" w:afterAutospacing="0" w:line="360" w:lineRule="auto"/>
              <w:ind w:left="0" w:lef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（2）投标人提供投标产品完整的检测报告的得2分，不提供不得分。</w:t>
            </w:r>
          </w:p>
          <w:p>
            <w:pPr>
              <w:pageBreakBefore w:val="0"/>
              <w:widowControl/>
              <w:numPr>
                <w:ilvl w:val="0"/>
                <w:numId w:val="0"/>
              </w:numPr>
              <w:kinsoku/>
              <w:wordWrap/>
              <w:overflowPunct/>
              <w:topLinePunct w:val="0"/>
              <w:bidi w:val="0"/>
              <w:spacing w:beforeAutospacing="0" w:afterAutospacing="0" w:line="360" w:lineRule="auto"/>
              <w:ind w:left="0" w:lef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在满足招标文件基本要求的基础上投标人提供其他更有利采购人优惠的承诺，优惠（保修期限与范围、保养、定期巡检、季节性专项服务、配件供应与价格优惠、车辆更换、增值服务等）承诺全面详细的，得3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723" w:type="dxa"/>
            <w:gridSpan w:val="5"/>
            <w:tcBorders>
              <w:left w:val="single" w:color="auto" w:sz="4" w:space="0"/>
              <w:right w:val="single" w:color="auto" w:sz="4" w:space="0"/>
            </w:tcBorders>
            <w:vAlign w:val="top"/>
          </w:tcPr>
          <w:p>
            <w:pPr>
              <w:pStyle w:val="34"/>
              <w:numPr>
                <w:ilvl w:val="0"/>
                <w:numId w:val="10"/>
              </w:numPr>
              <w:spacing w:before="143" w:line="360" w:lineRule="auto"/>
              <w:ind w:firstLine="240" w:firstLineChars="1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业绩需在投标文件中须附合同、中标通知书原件的扫描件及政府网上中标公示截图和网址。</w:t>
            </w:r>
          </w:p>
          <w:p>
            <w:pPr>
              <w:pStyle w:val="34"/>
              <w:numPr>
                <w:ilvl w:val="0"/>
                <w:numId w:val="10"/>
              </w:numPr>
              <w:spacing w:before="143" w:line="360" w:lineRule="auto"/>
              <w:ind w:firstLine="240" w:firstLineChars="1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体系认证须提供认证证书原件扫描件和国家市场监督管理总局信息中心“全国认证认可信息公共服务平台”查询截图）</w:t>
            </w:r>
          </w:p>
          <w:p>
            <w:pPr>
              <w:pStyle w:val="34"/>
              <w:numPr>
                <w:ilvl w:val="0"/>
                <w:numId w:val="10"/>
              </w:numPr>
              <w:spacing w:before="143" w:line="360" w:lineRule="auto"/>
              <w:ind w:left="0" w:leftChars="0" w:firstLine="240" w:firstLineChars="1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评委在评分办法规定的分值范围内打分，超出范围的，评分无效。未提供的不得分。</w:t>
            </w:r>
          </w:p>
          <w:p>
            <w:pPr>
              <w:pStyle w:val="34"/>
              <w:numPr>
                <w:ilvl w:val="0"/>
                <w:numId w:val="10"/>
              </w:numPr>
              <w:spacing w:before="143" w:line="360" w:lineRule="auto"/>
              <w:ind w:firstLine="240" w:firstLineChars="100"/>
              <w:rPr>
                <w:sz w:val="22"/>
                <w:szCs w:val="22"/>
              </w:rPr>
            </w:pPr>
            <w:r>
              <w:rPr>
                <w:rFonts w:hint="eastAsia" w:ascii="仿宋" w:hAnsi="仿宋" w:eastAsia="仿宋" w:cs="仿宋"/>
                <w:color w:val="auto"/>
                <w:kern w:val="0"/>
                <w:sz w:val="24"/>
                <w:szCs w:val="24"/>
                <w:lang w:val="en-US" w:eastAsia="en-US" w:bidi="ar"/>
              </w:rPr>
              <w:t>本办法计算过程中分值按四舍五入保留两位小数，结果按四舍五入保留两位小数。所有评委的算术平均值即为该投标人</w:t>
            </w:r>
            <w:r>
              <w:rPr>
                <w:rFonts w:hint="eastAsia" w:ascii="仿宋" w:hAnsi="仿宋" w:eastAsia="仿宋" w:cs="仿宋"/>
                <w:b w:val="0"/>
                <w:bCs w:val="0"/>
                <w:kern w:val="2"/>
                <w:sz w:val="24"/>
                <w:szCs w:val="24"/>
                <w:lang w:val="en-US" w:eastAsia="en-US" w:bidi="ar-SA"/>
              </w:rPr>
              <w:t>的最终得分。</w:t>
            </w:r>
          </w:p>
        </w:tc>
      </w:tr>
    </w:tbl>
    <w:p>
      <w:pPr>
        <w:pStyle w:val="33"/>
        <w:ind w:left="0" w:leftChars="0" w:firstLine="0" w:firstLineChars="0"/>
        <w:rPr>
          <w:sz w:val="24"/>
          <w:szCs w:val="24"/>
        </w:rPr>
      </w:pPr>
    </w:p>
    <w:p>
      <w:pPr>
        <w:spacing w:line="360" w:lineRule="auto"/>
        <w:ind w:firstLine="241" w:firstLineChars="100"/>
        <w:outlineLvl w:val="1"/>
        <w:rPr>
          <w:b/>
          <w:bCs/>
          <w:sz w:val="24"/>
          <w:szCs w:val="24"/>
        </w:rPr>
      </w:pPr>
      <w:bookmarkStart w:id="108" w:name="_Toc13562"/>
    </w:p>
    <w:p>
      <w:pPr>
        <w:spacing w:line="360" w:lineRule="auto"/>
        <w:ind w:firstLine="241" w:firstLineChars="100"/>
        <w:outlineLvl w:val="1"/>
        <w:rPr>
          <w:b/>
          <w:bCs/>
          <w:sz w:val="24"/>
          <w:szCs w:val="24"/>
        </w:rPr>
      </w:pPr>
      <w:r>
        <w:rPr>
          <w:b/>
          <w:bCs/>
          <w:sz w:val="24"/>
          <w:szCs w:val="24"/>
        </w:rPr>
        <w:t>1. 评标方法</w:t>
      </w:r>
      <w:bookmarkEnd w:id="108"/>
    </w:p>
    <w:p>
      <w:pPr>
        <w:spacing w:line="360" w:lineRule="auto"/>
        <w:ind w:firstLine="480" w:firstLineChars="200"/>
        <w:rPr>
          <w:sz w:val="24"/>
          <w:szCs w:val="24"/>
        </w:rPr>
      </w:pPr>
      <w:r>
        <w:rPr>
          <w:sz w:val="24"/>
          <w:szCs w:val="24"/>
        </w:rPr>
        <w:t>本次招标项目（标段&lt;包&gt;）的评标方法采用《政府采购货物和服务招标投标管理办法》 中的“综合评分法 ”。</w:t>
      </w:r>
    </w:p>
    <w:p>
      <w:pPr>
        <w:spacing w:line="360" w:lineRule="auto"/>
        <w:ind w:firstLine="480" w:firstLineChars="200"/>
        <w:rPr>
          <w:sz w:val="24"/>
          <w:szCs w:val="24"/>
        </w:rPr>
      </w:pPr>
      <w:r>
        <w:rPr>
          <w:sz w:val="24"/>
          <w:szCs w:val="24"/>
        </w:rPr>
        <w:t>投标文件满足招标文件全部实质性要求的，评标委员会按照“评标办法前附表 ”列示的各项评审因素进行评价、打分，投标人的各项评审因素得分的汇总分值即为投标人该项目（标段&lt;包&gt;）的评审得分，评审得分最高的投标人为该项目（标段&lt;包&gt;）的中标候选人。如有两个投标人评审得分相同、并列第一的，以投标报价得分高者为该项目（标段&lt;包&gt; ）的中标候选人。</w:t>
      </w:r>
    </w:p>
    <w:p>
      <w:pPr>
        <w:spacing w:line="360" w:lineRule="auto"/>
        <w:ind w:firstLine="241" w:firstLineChars="100"/>
        <w:outlineLvl w:val="1"/>
        <w:rPr>
          <w:b/>
          <w:bCs/>
          <w:sz w:val="24"/>
          <w:szCs w:val="24"/>
        </w:rPr>
      </w:pPr>
      <w:bookmarkStart w:id="109" w:name="bookmark43"/>
      <w:bookmarkEnd w:id="109"/>
      <w:bookmarkStart w:id="110" w:name="bookmark44"/>
      <w:bookmarkEnd w:id="110"/>
      <w:bookmarkStart w:id="111" w:name="_Toc6867"/>
      <w:r>
        <w:rPr>
          <w:b/>
          <w:bCs/>
          <w:sz w:val="24"/>
          <w:szCs w:val="24"/>
        </w:rPr>
        <w:t>2. 评标标准</w:t>
      </w:r>
      <w:bookmarkEnd w:id="111"/>
    </w:p>
    <w:p>
      <w:pPr>
        <w:spacing w:line="360" w:lineRule="auto"/>
        <w:ind w:firstLine="480" w:firstLineChars="200"/>
        <w:rPr>
          <w:sz w:val="24"/>
          <w:szCs w:val="24"/>
        </w:rPr>
      </w:pPr>
      <w:r>
        <w:rPr>
          <w:sz w:val="24"/>
          <w:szCs w:val="24"/>
        </w:rPr>
        <w:t>2.1 符合性审查标准：见评标办法前附表</w:t>
      </w:r>
    </w:p>
    <w:p>
      <w:pPr>
        <w:spacing w:line="360" w:lineRule="auto"/>
        <w:ind w:firstLine="480" w:firstLineChars="200"/>
        <w:rPr>
          <w:sz w:val="24"/>
          <w:szCs w:val="24"/>
        </w:rPr>
      </w:pPr>
      <w:r>
        <w:rPr>
          <w:sz w:val="24"/>
          <w:szCs w:val="24"/>
        </w:rPr>
        <w:t>2.2 详细评审标准</w:t>
      </w:r>
    </w:p>
    <w:p>
      <w:pPr>
        <w:spacing w:line="360" w:lineRule="auto"/>
        <w:ind w:firstLine="720" w:firstLineChars="300"/>
        <w:rPr>
          <w:sz w:val="24"/>
          <w:szCs w:val="24"/>
        </w:rPr>
      </w:pPr>
      <w:r>
        <w:rPr>
          <w:sz w:val="24"/>
          <w:szCs w:val="24"/>
        </w:rPr>
        <w:t>2.2.1 分值构成：见评标办法前附表</w:t>
      </w:r>
    </w:p>
    <w:p>
      <w:pPr>
        <w:spacing w:line="360" w:lineRule="auto"/>
        <w:ind w:firstLine="720" w:firstLineChars="300"/>
        <w:rPr>
          <w:sz w:val="24"/>
          <w:szCs w:val="24"/>
        </w:rPr>
      </w:pPr>
      <w:r>
        <w:rPr>
          <w:sz w:val="24"/>
          <w:szCs w:val="24"/>
        </w:rPr>
        <w:t>2.2.2 评分标准：见评标办法前附表</w:t>
      </w:r>
    </w:p>
    <w:p>
      <w:pPr>
        <w:spacing w:line="360" w:lineRule="auto"/>
        <w:ind w:firstLine="241" w:firstLineChars="100"/>
        <w:outlineLvl w:val="1"/>
        <w:rPr>
          <w:b/>
          <w:bCs/>
          <w:sz w:val="24"/>
          <w:szCs w:val="24"/>
        </w:rPr>
      </w:pPr>
      <w:bookmarkStart w:id="112" w:name="bookmark46"/>
      <w:bookmarkEnd w:id="112"/>
      <w:bookmarkStart w:id="113" w:name="bookmark45"/>
      <w:bookmarkEnd w:id="113"/>
      <w:bookmarkStart w:id="114" w:name="_Toc19162"/>
      <w:r>
        <w:rPr>
          <w:b/>
          <w:bCs/>
          <w:sz w:val="24"/>
          <w:szCs w:val="24"/>
        </w:rPr>
        <w:t>3. 评标程序</w:t>
      </w:r>
      <w:bookmarkEnd w:id="114"/>
    </w:p>
    <w:p>
      <w:pPr>
        <w:spacing w:line="360" w:lineRule="auto"/>
        <w:ind w:firstLine="480" w:firstLineChars="200"/>
        <w:rPr>
          <w:sz w:val="24"/>
          <w:szCs w:val="24"/>
        </w:rPr>
      </w:pPr>
      <w:r>
        <w:rPr>
          <w:sz w:val="24"/>
          <w:szCs w:val="24"/>
        </w:rPr>
        <w:t>评标委员会按标段（包）进行评审</w:t>
      </w:r>
    </w:p>
    <w:p>
      <w:pPr>
        <w:spacing w:line="360" w:lineRule="auto"/>
        <w:ind w:firstLine="241" w:firstLineChars="100"/>
        <w:rPr>
          <w:b/>
          <w:bCs/>
          <w:sz w:val="24"/>
          <w:szCs w:val="24"/>
        </w:rPr>
      </w:pPr>
      <w:r>
        <w:rPr>
          <w:b/>
          <w:bCs/>
          <w:sz w:val="24"/>
          <w:szCs w:val="24"/>
        </w:rPr>
        <w:t>3.1 审阅招标文件</w:t>
      </w:r>
    </w:p>
    <w:p>
      <w:pPr>
        <w:spacing w:line="360" w:lineRule="auto"/>
        <w:ind w:firstLine="480" w:firstLineChars="200"/>
        <w:rPr>
          <w:sz w:val="24"/>
          <w:szCs w:val="24"/>
        </w:rPr>
      </w:pPr>
      <w:r>
        <w:rPr>
          <w:sz w:val="24"/>
          <w:szCs w:val="24"/>
        </w:rPr>
        <w:t>3.1.1评标委员会发现招标文件存在歧义、重大缺陷导致评标工作无法进行，或者招标文件内容违反国家有关强制性规定的，应当停止评标工作，与采购人或者采购代理机构沟通并作书面记录。采购人或者采购代理机构确认后，将修改招标文件，重新组织采购活动。</w:t>
      </w:r>
    </w:p>
    <w:p>
      <w:pPr>
        <w:spacing w:line="360" w:lineRule="auto"/>
        <w:ind w:firstLine="480" w:firstLineChars="200"/>
        <w:rPr>
          <w:sz w:val="24"/>
          <w:szCs w:val="24"/>
        </w:rPr>
      </w:pPr>
      <w:r>
        <w:rPr>
          <w:sz w:val="24"/>
          <w:szCs w:val="24"/>
        </w:rPr>
        <w:t>3.1.2 评标委员会要求解释招标文件的</w:t>
      </w:r>
      <w:r>
        <w:rPr>
          <w:rFonts w:hint="eastAsia"/>
          <w:sz w:val="24"/>
          <w:szCs w:val="24"/>
          <w:lang w:eastAsia="zh-CN"/>
        </w:rPr>
        <w:t>，</w:t>
      </w:r>
      <w:r>
        <w:rPr>
          <w:sz w:val="24"/>
          <w:szCs w:val="24"/>
        </w:rPr>
        <w:t>书面提出需解释的相关招标文件的具体内容后、由采购代理机构或者采购人进行书面解释。</w:t>
      </w:r>
    </w:p>
    <w:p>
      <w:pPr>
        <w:spacing w:line="360" w:lineRule="auto"/>
        <w:rPr>
          <w:sz w:val="24"/>
          <w:szCs w:val="24"/>
        </w:rPr>
      </w:pPr>
    </w:p>
    <w:p>
      <w:pPr>
        <w:spacing w:line="360" w:lineRule="auto"/>
        <w:ind w:firstLine="482" w:firstLineChars="200"/>
        <w:rPr>
          <w:b/>
          <w:bCs/>
          <w:sz w:val="24"/>
          <w:szCs w:val="24"/>
        </w:rPr>
      </w:pPr>
      <w:r>
        <w:rPr>
          <w:b/>
          <w:bCs/>
          <w:sz w:val="24"/>
          <w:szCs w:val="24"/>
          <w:lang w:val="en-US" w:eastAsia="zh-CN"/>
        </w:rPr>
        <w:t xml:space="preserve">3.2 初步评审 </w:t>
      </w:r>
    </w:p>
    <w:p>
      <w:pPr>
        <w:spacing w:line="360" w:lineRule="auto"/>
        <w:ind w:firstLine="480" w:firstLineChars="200"/>
        <w:rPr>
          <w:sz w:val="24"/>
          <w:szCs w:val="24"/>
        </w:rPr>
      </w:pPr>
      <w:r>
        <w:rPr>
          <w:rFonts w:hint="eastAsia"/>
          <w:sz w:val="24"/>
          <w:szCs w:val="24"/>
          <w:lang w:val="en-US" w:eastAsia="zh-CN"/>
        </w:rPr>
        <w:t>3.2.1 评标委员会（采购人代表）依据本章第 2.1.1、2.1.2 款规定的标准对投标文件进行资格性、符合性评审。有一项不符合评审标准的，作无效投标处理。</w:t>
      </w:r>
    </w:p>
    <w:p>
      <w:pPr>
        <w:spacing w:line="360" w:lineRule="auto"/>
        <w:ind w:firstLine="480" w:firstLineChars="200"/>
        <w:rPr>
          <w:sz w:val="24"/>
          <w:szCs w:val="24"/>
        </w:rPr>
      </w:pPr>
      <w:r>
        <w:rPr>
          <w:sz w:val="24"/>
          <w:szCs w:val="24"/>
        </w:rPr>
        <w:t>3.2.2 投标人有以下情形之一的，其投标作无效投标处理：</w:t>
      </w:r>
    </w:p>
    <w:p>
      <w:pPr>
        <w:spacing w:line="360" w:lineRule="auto"/>
        <w:ind w:firstLine="480" w:firstLineChars="200"/>
        <w:rPr>
          <w:sz w:val="24"/>
          <w:szCs w:val="24"/>
        </w:rPr>
      </w:pPr>
      <w:r>
        <w:rPr>
          <w:sz w:val="24"/>
          <w:szCs w:val="24"/>
        </w:rPr>
        <w:t>（1）投标人不符合国家或者招标文件规定的资格条件；</w:t>
      </w:r>
    </w:p>
    <w:p>
      <w:pPr>
        <w:spacing w:line="360" w:lineRule="auto"/>
        <w:ind w:firstLine="480" w:firstLineChars="200"/>
        <w:rPr>
          <w:sz w:val="24"/>
          <w:szCs w:val="24"/>
        </w:rPr>
      </w:pPr>
      <w:r>
        <w:rPr>
          <w:sz w:val="24"/>
          <w:szCs w:val="24"/>
        </w:rPr>
        <w:t>（2）投标人没有按照招标文件要求提供投标承诺函</w:t>
      </w:r>
      <w:r>
        <w:rPr>
          <w:rFonts w:hint="eastAsia"/>
          <w:sz w:val="24"/>
          <w:szCs w:val="24"/>
          <w:lang w:val="en-US" w:eastAsia="zh-CN"/>
        </w:rPr>
        <w:t>和相关要求的</w:t>
      </w:r>
      <w:r>
        <w:rPr>
          <w:sz w:val="24"/>
          <w:szCs w:val="24"/>
        </w:rPr>
        <w:t>；</w:t>
      </w:r>
    </w:p>
    <w:p>
      <w:pPr>
        <w:spacing w:line="360" w:lineRule="auto"/>
        <w:ind w:firstLine="480" w:firstLineChars="200"/>
        <w:rPr>
          <w:sz w:val="24"/>
          <w:szCs w:val="24"/>
        </w:rPr>
      </w:pPr>
      <w:r>
        <w:rPr>
          <w:sz w:val="24"/>
          <w:szCs w:val="24"/>
        </w:rPr>
        <w:t>（3）投标联合体不符合招标文件规定；</w:t>
      </w:r>
    </w:p>
    <w:p>
      <w:pPr>
        <w:spacing w:line="360" w:lineRule="auto"/>
        <w:ind w:firstLine="480" w:firstLineChars="200"/>
        <w:rPr>
          <w:sz w:val="24"/>
          <w:szCs w:val="24"/>
        </w:rPr>
      </w:pPr>
      <w:r>
        <w:rPr>
          <w:sz w:val="24"/>
          <w:szCs w:val="24"/>
        </w:rPr>
        <w:t>（4）投标文件的签字盖章不符合招标文件规定；</w:t>
      </w:r>
    </w:p>
    <w:p>
      <w:pPr>
        <w:spacing w:line="360" w:lineRule="auto"/>
        <w:ind w:firstLine="480" w:firstLineChars="200"/>
        <w:rPr>
          <w:sz w:val="24"/>
          <w:szCs w:val="24"/>
        </w:rPr>
      </w:pPr>
      <w:r>
        <w:rPr>
          <w:sz w:val="24"/>
          <w:szCs w:val="24"/>
        </w:rPr>
        <w:t>（5）投标报价超过招标文件中规定的预算金额或者最高限价的；</w:t>
      </w:r>
    </w:p>
    <w:p>
      <w:pPr>
        <w:spacing w:line="360" w:lineRule="auto"/>
        <w:ind w:firstLine="480" w:firstLineChars="200"/>
        <w:rPr>
          <w:sz w:val="24"/>
          <w:szCs w:val="24"/>
        </w:rPr>
      </w:pPr>
      <w:r>
        <w:rPr>
          <w:sz w:val="24"/>
          <w:szCs w:val="24"/>
        </w:rPr>
        <w:t>（6）同一投标人提交两个以上不同的投标文件或者投标报价，投标文件的每种报价有两个报价或其他选择性报价的。</w:t>
      </w:r>
    </w:p>
    <w:p>
      <w:pPr>
        <w:spacing w:line="360" w:lineRule="auto"/>
        <w:ind w:firstLine="480" w:firstLineChars="200"/>
        <w:rPr>
          <w:sz w:val="24"/>
          <w:szCs w:val="24"/>
        </w:rPr>
      </w:pPr>
      <w:r>
        <w:rPr>
          <w:sz w:val="24"/>
          <w:szCs w:val="24"/>
        </w:rPr>
        <w:t>（7）投标文件没有对招标文件的实质性要求和条件作出实质性响应，或不符合招标文件的实质性要求和条件；</w:t>
      </w:r>
    </w:p>
    <w:p>
      <w:pPr>
        <w:spacing w:line="360" w:lineRule="auto"/>
        <w:ind w:firstLine="480" w:firstLineChars="200"/>
        <w:rPr>
          <w:sz w:val="24"/>
          <w:szCs w:val="24"/>
        </w:rPr>
      </w:pPr>
      <w:r>
        <w:rPr>
          <w:sz w:val="24"/>
          <w:szCs w:val="24"/>
        </w:rPr>
        <w:t>（8）投标文件附有招标项目不能接受的条件或不符合国家强制性规定的；</w:t>
      </w:r>
    </w:p>
    <w:p>
      <w:pPr>
        <w:spacing w:line="360" w:lineRule="auto"/>
        <w:ind w:firstLine="480" w:firstLineChars="200"/>
        <w:rPr>
          <w:sz w:val="24"/>
          <w:szCs w:val="24"/>
        </w:rPr>
      </w:pPr>
      <w:r>
        <w:rPr>
          <w:sz w:val="24"/>
          <w:szCs w:val="24"/>
        </w:rPr>
        <w:t>（9）单位负责人为同一人或者存在控股、管理关系的不同单位，参加同一项目（标段&lt;包&gt;）投标的；</w:t>
      </w:r>
    </w:p>
    <w:p>
      <w:pPr>
        <w:spacing w:line="360" w:lineRule="auto"/>
        <w:ind w:firstLine="480" w:firstLineChars="200"/>
        <w:rPr>
          <w:sz w:val="24"/>
          <w:szCs w:val="24"/>
        </w:rPr>
      </w:pPr>
      <w:r>
        <w:rPr>
          <w:sz w:val="24"/>
          <w:szCs w:val="24"/>
        </w:rPr>
        <w:t>（10）为招标项目提供整体设计、规范编制或者项目管理、监理、检测等服务的供应商，不得再参加该招标项目的其他采购活动。</w:t>
      </w:r>
    </w:p>
    <w:p>
      <w:pPr>
        <w:spacing w:line="360" w:lineRule="auto"/>
        <w:ind w:firstLine="480" w:firstLineChars="200"/>
        <w:rPr>
          <w:sz w:val="24"/>
          <w:szCs w:val="24"/>
        </w:rPr>
      </w:pPr>
      <w:r>
        <w:rPr>
          <w:sz w:val="24"/>
          <w:szCs w:val="24"/>
        </w:rPr>
        <w:t>（11）组成联合体或者接受分包的小微企业与联合体内其他企业、分包企业之间存在直接控股、管理关系的。</w:t>
      </w:r>
    </w:p>
    <w:p>
      <w:pPr>
        <w:spacing w:line="360" w:lineRule="auto"/>
        <w:ind w:firstLine="480" w:firstLineChars="200"/>
        <w:rPr>
          <w:sz w:val="24"/>
          <w:szCs w:val="24"/>
        </w:rPr>
      </w:pPr>
      <w:r>
        <w:rPr>
          <w:sz w:val="24"/>
          <w:szCs w:val="24"/>
        </w:rPr>
        <w:t>（12）提供虚假材料谋取中标的；</w:t>
      </w:r>
    </w:p>
    <w:p>
      <w:pPr>
        <w:spacing w:line="360" w:lineRule="auto"/>
        <w:ind w:firstLine="480" w:firstLineChars="200"/>
        <w:rPr>
          <w:sz w:val="24"/>
          <w:szCs w:val="24"/>
        </w:rPr>
      </w:pPr>
      <w:r>
        <w:rPr>
          <w:sz w:val="24"/>
          <w:szCs w:val="24"/>
        </w:rPr>
        <w:t>（13）不确认本章3.4.1项对投标报价的算术修正的；</w:t>
      </w:r>
    </w:p>
    <w:p>
      <w:pPr>
        <w:spacing w:line="360" w:lineRule="auto"/>
        <w:ind w:firstLine="549"/>
        <w:rPr>
          <w:color w:val="auto"/>
          <w:sz w:val="24"/>
          <w:szCs w:val="24"/>
          <w:highlight w:val="none"/>
        </w:rPr>
      </w:pPr>
      <w:r>
        <w:rPr>
          <w:color w:val="auto"/>
          <w:sz w:val="24"/>
          <w:szCs w:val="24"/>
          <w:highlight w:val="none"/>
        </w:rPr>
        <w:t>（14）</w:t>
      </w:r>
      <w:r>
        <w:rPr>
          <w:rFonts w:hint="eastAsia" w:ascii="宋体" w:hAnsi="宋体" w:cs="宋体"/>
          <w:color w:val="auto"/>
          <w:sz w:val="24"/>
          <w:highlight w:val="none"/>
        </w:rPr>
        <w:t>投标人须书面保证不得相互串通投标报价，</w:t>
      </w:r>
      <w:r>
        <w:rPr>
          <w:color w:val="auto"/>
          <w:sz w:val="24"/>
          <w:szCs w:val="24"/>
          <w:highlight w:val="none"/>
        </w:rPr>
        <w:t>应当遵循公平竞争的原则，不得恶意串通</w:t>
      </w:r>
      <w:r>
        <w:rPr>
          <w:rFonts w:hint="eastAsia"/>
          <w:color w:val="auto"/>
          <w:sz w:val="24"/>
          <w:szCs w:val="24"/>
          <w:highlight w:val="none"/>
          <w:lang w:eastAsia="zh-CN"/>
        </w:rPr>
        <w:t>，</w:t>
      </w:r>
      <w:r>
        <w:rPr>
          <w:rFonts w:hint="eastAsia" w:ascii="宋体" w:hAnsi="宋体" w:cs="宋体"/>
          <w:color w:val="auto"/>
          <w:sz w:val="24"/>
          <w:highlight w:val="none"/>
        </w:rPr>
        <w:t>不得妨碍其他投标人的公平竞争，不得损害采购人或其他投标人的合法权益，投标人不得以向采购人、评委会成员行贿或者采取其他不正当手段谋取中标。</w:t>
      </w:r>
      <w:r>
        <w:rPr>
          <w:color w:val="auto"/>
          <w:sz w:val="24"/>
          <w:szCs w:val="24"/>
          <w:highlight w:val="none"/>
        </w:rPr>
        <w:t>在评标过程中发现投标人有上述情形的，评标委员会应当认定其投标无效，并书面报告本级财政部门。</w:t>
      </w:r>
    </w:p>
    <w:p>
      <w:pPr>
        <w:spacing w:line="360" w:lineRule="auto"/>
        <w:ind w:firstLine="480" w:firstLineChars="200"/>
        <w:rPr>
          <w:sz w:val="24"/>
          <w:szCs w:val="24"/>
        </w:rPr>
      </w:pPr>
      <w:r>
        <w:rPr>
          <w:sz w:val="24"/>
          <w:szCs w:val="24"/>
        </w:rPr>
        <w:t>（15）投标人有串通投标、行贿等违法行为。其中，有下列情形之一的，视为投标人相互串通投标：</w:t>
      </w:r>
    </w:p>
    <w:p>
      <w:pPr>
        <w:spacing w:line="360" w:lineRule="auto"/>
        <w:ind w:firstLine="720" w:firstLineChars="300"/>
        <w:rPr>
          <w:sz w:val="24"/>
          <w:szCs w:val="24"/>
        </w:rPr>
      </w:pPr>
      <w:r>
        <w:rPr>
          <w:sz w:val="24"/>
          <w:szCs w:val="24"/>
        </w:rPr>
        <w:t>◆不同投标人的投标文件由同一单位或者个人编制；</w:t>
      </w:r>
    </w:p>
    <w:p>
      <w:pPr>
        <w:spacing w:line="360" w:lineRule="auto"/>
        <w:ind w:firstLine="720" w:firstLineChars="300"/>
        <w:rPr>
          <w:sz w:val="24"/>
          <w:szCs w:val="24"/>
        </w:rPr>
      </w:pPr>
      <w:r>
        <w:rPr>
          <w:sz w:val="24"/>
          <w:szCs w:val="24"/>
        </w:rPr>
        <w:t>◆不同投标人委托同一单位或者个人办理投标事宜；</w:t>
      </w:r>
    </w:p>
    <w:p>
      <w:pPr>
        <w:spacing w:line="360" w:lineRule="auto"/>
        <w:ind w:firstLine="720" w:firstLineChars="300"/>
        <w:rPr>
          <w:sz w:val="24"/>
          <w:szCs w:val="24"/>
        </w:rPr>
      </w:pPr>
      <w:r>
        <w:rPr>
          <w:sz w:val="24"/>
          <w:szCs w:val="24"/>
        </w:rPr>
        <w:t>◆不同投标人的投标文件载明的项目管理成员为同一人；</w:t>
      </w:r>
    </w:p>
    <w:p>
      <w:pPr>
        <w:spacing w:line="360" w:lineRule="auto"/>
        <w:ind w:firstLine="720" w:firstLineChars="300"/>
        <w:rPr>
          <w:sz w:val="24"/>
          <w:szCs w:val="24"/>
        </w:rPr>
      </w:pPr>
      <w:r>
        <w:rPr>
          <w:sz w:val="24"/>
          <w:szCs w:val="24"/>
        </w:rPr>
        <w:t>◆不同投标人的投标文件异常一致或者投标报价呈规律性差异；</w:t>
      </w:r>
    </w:p>
    <w:p>
      <w:pPr>
        <w:spacing w:line="360" w:lineRule="auto"/>
        <w:ind w:firstLine="720" w:firstLineChars="300"/>
        <w:rPr>
          <w:sz w:val="24"/>
          <w:szCs w:val="24"/>
        </w:rPr>
      </w:pPr>
      <w:r>
        <w:rPr>
          <w:sz w:val="24"/>
          <w:szCs w:val="24"/>
        </w:rPr>
        <w:t>◆不同投标人的投标文件相互混装；</w:t>
      </w:r>
    </w:p>
    <w:p>
      <w:pPr>
        <w:spacing w:line="360" w:lineRule="auto"/>
        <w:ind w:firstLine="480" w:firstLineChars="200"/>
        <w:rPr>
          <w:sz w:val="24"/>
          <w:szCs w:val="24"/>
        </w:rPr>
      </w:pPr>
      <w:r>
        <w:rPr>
          <w:sz w:val="24"/>
          <w:szCs w:val="24"/>
        </w:rPr>
        <w:t>（16）根据豫财购〔2021〕6号文件，参与同一个标段(包)的供应商存在下列情形之一的，其投标(响应)文件无效:</w:t>
      </w:r>
    </w:p>
    <w:p>
      <w:pPr>
        <w:spacing w:line="360" w:lineRule="auto"/>
        <w:ind w:firstLine="720" w:firstLineChars="300"/>
        <w:rPr>
          <w:sz w:val="24"/>
          <w:szCs w:val="24"/>
        </w:rPr>
      </w:pPr>
      <w:r>
        <w:rPr>
          <w:sz w:val="24"/>
          <w:szCs w:val="24"/>
        </w:rPr>
        <w:t>◆不同供应商的电子投标(响应)文件上传计算机的网卡MAC地址、CPU序列号和硬盘序列号等硬件信息相同的；</w:t>
      </w:r>
    </w:p>
    <w:p>
      <w:pPr>
        <w:spacing w:line="360" w:lineRule="auto"/>
        <w:ind w:firstLine="720" w:firstLineChars="300"/>
        <w:rPr>
          <w:sz w:val="24"/>
          <w:szCs w:val="24"/>
        </w:rPr>
      </w:pPr>
      <w:r>
        <w:rPr>
          <w:sz w:val="24"/>
          <w:szCs w:val="24"/>
        </w:rPr>
        <w:t>◆不同供应商的投标(响应)文件由同一电子设备编制、打印加密或者上传；</w:t>
      </w:r>
    </w:p>
    <w:p>
      <w:pPr>
        <w:spacing w:line="360" w:lineRule="auto"/>
        <w:ind w:firstLine="720" w:firstLineChars="300"/>
        <w:rPr>
          <w:sz w:val="24"/>
          <w:szCs w:val="24"/>
        </w:rPr>
      </w:pPr>
      <w:r>
        <w:rPr>
          <w:sz w:val="24"/>
          <w:szCs w:val="24"/>
        </w:rPr>
        <w:t>◆不同供应商的投标(响应)文件由同一电子设备打印、复印；</w:t>
      </w:r>
    </w:p>
    <w:p>
      <w:pPr>
        <w:spacing w:line="360" w:lineRule="auto"/>
        <w:ind w:firstLine="720" w:firstLineChars="300"/>
        <w:rPr>
          <w:sz w:val="24"/>
          <w:szCs w:val="24"/>
        </w:rPr>
      </w:pPr>
      <w:r>
        <w:rPr>
          <w:sz w:val="24"/>
          <w:szCs w:val="24"/>
        </w:rPr>
        <w:t>◆不同供应商的投标(响应)文件由同一人送达或者分发</w:t>
      </w:r>
      <w:r>
        <w:rPr>
          <w:rFonts w:hint="eastAsia"/>
          <w:sz w:val="24"/>
          <w:szCs w:val="24"/>
          <w:lang w:eastAsia="zh-CN"/>
        </w:rPr>
        <w:t>，</w:t>
      </w:r>
      <w:r>
        <w:rPr>
          <w:sz w:val="24"/>
          <w:szCs w:val="24"/>
        </w:rPr>
        <w:t>或者不同供应商联系人为同一人或不同联系人的联系电话一致的；</w:t>
      </w:r>
    </w:p>
    <w:p>
      <w:pPr>
        <w:spacing w:line="360" w:lineRule="auto"/>
        <w:ind w:firstLine="720" w:firstLineChars="300"/>
        <w:rPr>
          <w:sz w:val="24"/>
          <w:szCs w:val="24"/>
        </w:rPr>
      </w:pPr>
      <w:r>
        <w:rPr>
          <w:sz w:val="24"/>
          <w:szCs w:val="24"/>
        </w:rPr>
        <w:t>◆不同供应商的投标(响应)文件的内容存在两处以上细节错误一致；</w:t>
      </w:r>
    </w:p>
    <w:p>
      <w:pPr>
        <w:spacing w:line="360" w:lineRule="auto"/>
        <w:ind w:firstLine="720" w:firstLineChars="300"/>
        <w:rPr>
          <w:sz w:val="24"/>
          <w:szCs w:val="24"/>
        </w:rPr>
      </w:pPr>
      <w:r>
        <w:rPr>
          <w:sz w:val="24"/>
          <w:szCs w:val="24"/>
        </w:rPr>
        <w:t>◆不同供应商的法定代表人、委托代理人、项目经理、项目负责人等由同一个单位缴纳社会保险或者领取报酬的；</w:t>
      </w:r>
    </w:p>
    <w:p>
      <w:pPr>
        <w:spacing w:line="360" w:lineRule="auto"/>
        <w:ind w:firstLine="720" w:firstLineChars="300"/>
        <w:rPr>
          <w:sz w:val="24"/>
          <w:szCs w:val="24"/>
        </w:rPr>
      </w:pPr>
      <w:r>
        <w:rPr>
          <w:sz w:val="24"/>
          <w:szCs w:val="24"/>
        </w:rPr>
        <w:t>◆不同供应商投标(响应)文件中法定代表人或者负责人签字出自同一人之手；</w:t>
      </w:r>
    </w:p>
    <w:p>
      <w:pPr>
        <w:spacing w:line="360" w:lineRule="auto"/>
        <w:ind w:firstLine="720" w:firstLineChars="300"/>
        <w:rPr>
          <w:sz w:val="24"/>
          <w:szCs w:val="24"/>
        </w:rPr>
      </w:pPr>
      <w:r>
        <w:rPr>
          <w:sz w:val="24"/>
          <w:szCs w:val="24"/>
        </w:rPr>
        <w:t>◆其它涉嫌串通的情形。</w:t>
      </w:r>
    </w:p>
    <w:p>
      <w:pPr>
        <w:spacing w:line="360" w:lineRule="auto"/>
        <w:ind w:firstLine="480" w:firstLineChars="200"/>
        <w:rPr>
          <w:sz w:val="24"/>
          <w:szCs w:val="24"/>
        </w:rPr>
      </w:pPr>
      <w:r>
        <w:rPr>
          <w:sz w:val="24"/>
          <w:szCs w:val="24"/>
        </w:rPr>
        <w:t>(17)据豫财购〔2021〕6号文件精神，工程领域招标投标行政主管部门对供应商串通投标等予以市场禁入的，在本次政府采购活动中，该供应商投标(响应)文件无效。</w:t>
      </w:r>
    </w:p>
    <w:p>
      <w:pPr>
        <w:spacing w:line="360" w:lineRule="auto"/>
        <w:ind w:firstLine="480" w:firstLineChars="200"/>
        <w:rPr>
          <w:sz w:val="24"/>
          <w:szCs w:val="24"/>
        </w:rPr>
      </w:pPr>
      <w:r>
        <w:rPr>
          <w:sz w:val="24"/>
          <w:szCs w:val="24"/>
        </w:rPr>
        <w:t>3.2.3 未实质性响应招标文件的投标文件按无效处理，评标委员会应当告知有关供应商。</w:t>
      </w:r>
    </w:p>
    <w:p>
      <w:pPr>
        <w:spacing w:line="360" w:lineRule="auto"/>
        <w:ind w:firstLine="480" w:firstLineChars="200"/>
        <w:rPr>
          <w:sz w:val="24"/>
          <w:szCs w:val="24"/>
        </w:rPr>
      </w:pPr>
      <w:r>
        <w:rPr>
          <w:sz w:val="24"/>
          <w:szCs w:val="24"/>
        </w:rPr>
        <w:t>3.2.4 评标委员会负责审查确定每一投标项目是否对招标文件的实质性要求作出了实质性的响应，而没有重大偏离和保留。实质性响应的投标是指投标符合招标文件的所有条款、条件和规定且没有重大偏离和保留（重大偏离和保留是指影响到招标文件和投标人义务的规定，而纠正这些偏离将影响到其他提交实质性响应投标人的公平竞争地位）。</w:t>
      </w:r>
    </w:p>
    <w:p>
      <w:pPr>
        <w:spacing w:line="360" w:lineRule="auto"/>
        <w:ind w:firstLine="480" w:firstLineChars="200"/>
        <w:rPr>
          <w:sz w:val="24"/>
          <w:szCs w:val="24"/>
        </w:rPr>
      </w:pPr>
      <w:r>
        <w:rPr>
          <w:sz w:val="24"/>
          <w:szCs w:val="24"/>
        </w:rPr>
        <w:t>3.2.5 评标委员会判断投标文件的响应性仅基于投标文件本身而不靠外部证据。</w:t>
      </w:r>
    </w:p>
    <w:p>
      <w:pPr>
        <w:spacing w:line="360" w:lineRule="auto"/>
        <w:ind w:firstLine="480" w:firstLineChars="200"/>
        <w:rPr>
          <w:sz w:val="24"/>
          <w:szCs w:val="24"/>
        </w:rPr>
      </w:pPr>
      <w:r>
        <w:rPr>
          <w:sz w:val="24"/>
          <w:szCs w:val="24"/>
        </w:rPr>
        <w:t>3.2.6 评标委员会拒绝被确定为非实质性响应的投标人，投标人不得通过修正或撤销不符之处而使其投标成为实质性响应的投标。</w:t>
      </w:r>
    </w:p>
    <w:p>
      <w:pPr>
        <w:spacing w:line="360" w:lineRule="auto"/>
        <w:ind w:firstLine="480" w:firstLineChars="200"/>
        <w:rPr>
          <w:sz w:val="24"/>
          <w:szCs w:val="24"/>
        </w:rPr>
      </w:pPr>
      <w:r>
        <w:rPr>
          <w:sz w:val="24"/>
          <w:szCs w:val="24"/>
        </w:rPr>
        <w:t>3.2.7 允许投标人修改投标中不构成重大偏离的、微小的、非正规、不一致或不规则的地方。</w:t>
      </w:r>
    </w:p>
    <w:p>
      <w:pPr>
        <w:spacing w:line="360" w:lineRule="auto"/>
        <w:ind w:firstLine="241" w:firstLineChars="100"/>
        <w:rPr>
          <w:b/>
          <w:bCs/>
          <w:sz w:val="24"/>
          <w:szCs w:val="24"/>
        </w:rPr>
      </w:pPr>
      <w:r>
        <w:rPr>
          <w:b/>
          <w:bCs/>
          <w:sz w:val="24"/>
          <w:szCs w:val="24"/>
        </w:rPr>
        <w:t>3.3 投标文件的澄清</w:t>
      </w:r>
    </w:p>
    <w:p>
      <w:pPr>
        <w:spacing w:line="360" w:lineRule="auto"/>
        <w:ind w:firstLine="480" w:firstLineChars="200"/>
        <w:rPr>
          <w:sz w:val="24"/>
          <w:szCs w:val="24"/>
        </w:rPr>
      </w:pPr>
      <w:r>
        <w:rPr>
          <w:sz w:val="24"/>
          <w:szCs w:val="24"/>
        </w:rPr>
        <w:t>投标文件的澄清在招标公告所述网上电子交易系统进行。</w:t>
      </w:r>
    </w:p>
    <w:p>
      <w:pPr>
        <w:spacing w:line="360" w:lineRule="auto"/>
        <w:ind w:firstLine="480" w:firstLineChars="200"/>
        <w:rPr>
          <w:b w:val="0"/>
          <w:bCs w:val="0"/>
          <w:sz w:val="24"/>
          <w:szCs w:val="24"/>
        </w:rPr>
      </w:pPr>
      <w:r>
        <w:rPr>
          <w:b w:val="0"/>
          <w:bCs w:val="0"/>
          <w:sz w:val="24"/>
          <w:szCs w:val="24"/>
        </w:rPr>
        <w:t>3.3.1 评审期间，投标人法定代表人须时刻关注电子开标室并保持通讯畅通。如因通讯不畅导致投标人无法及时澄清而被认定为无效响应等后果的，由投标人自行承担。</w:t>
      </w:r>
    </w:p>
    <w:p>
      <w:pPr>
        <w:spacing w:line="360" w:lineRule="auto"/>
        <w:ind w:firstLine="480" w:firstLineChars="200"/>
        <w:rPr>
          <w:sz w:val="24"/>
          <w:szCs w:val="24"/>
        </w:rPr>
      </w:pPr>
      <w:r>
        <w:rPr>
          <w:sz w:val="24"/>
          <w:szCs w:val="24"/>
        </w:rPr>
        <w:t>3.3.2 为有助于对投标文件进行审查、评估和比较，评标委员会有权个别的向投标人提出质疑，请投标人澄清其投标内容。</w:t>
      </w:r>
    </w:p>
    <w:p>
      <w:pPr>
        <w:spacing w:line="360" w:lineRule="auto"/>
        <w:ind w:firstLine="480" w:firstLineChars="200"/>
        <w:rPr>
          <w:sz w:val="24"/>
          <w:szCs w:val="24"/>
        </w:rPr>
      </w:pPr>
      <w:r>
        <w:rPr>
          <w:sz w:val="24"/>
          <w:szCs w:val="24"/>
        </w:rPr>
        <w:t>3.3.3 评标委员会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spacing w:line="360" w:lineRule="auto"/>
        <w:ind w:firstLine="480" w:firstLineChars="200"/>
        <w:rPr>
          <w:sz w:val="24"/>
          <w:szCs w:val="24"/>
        </w:rPr>
      </w:pPr>
      <w:r>
        <w:rPr>
          <w:sz w:val="24"/>
          <w:szCs w:val="24"/>
        </w:rPr>
        <w:t>3.3.4 投标人的澄清、说明或者更正应当采用书面形式，应加盖投标人电子签章或其法定代表人电子签名（签章），并将澄清等内容作为附件上传至系统中。</w:t>
      </w:r>
    </w:p>
    <w:p>
      <w:pPr>
        <w:spacing w:line="360" w:lineRule="auto"/>
        <w:ind w:firstLine="480" w:firstLineChars="200"/>
        <w:rPr>
          <w:sz w:val="24"/>
          <w:szCs w:val="24"/>
        </w:rPr>
      </w:pPr>
      <w:r>
        <w:rPr>
          <w:sz w:val="24"/>
          <w:szCs w:val="24"/>
        </w:rPr>
        <w:t>3.3.5 投标人的澄清文件是投标文件的组成部分，并取代投标文件中被澄清的部分。</w:t>
      </w:r>
    </w:p>
    <w:p>
      <w:pPr>
        <w:spacing w:line="360" w:lineRule="auto"/>
        <w:ind w:firstLine="480" w:firstLineChars="200"/>
        <w:rPr>
          <w:sz w:val="24"/>
          <w:szCs w:val="24"/>
        </w:rPr>
      </w:pPr>
      <w:r>
        <w:rPr>
          <w:sz w:val="24"/>
          <w:szCs w:val="24"/>
        </w:rPr>
        <w:t>3.3.6 澄清文件应按评标委员会规定的时间提交。</w:t>
      </w:r>
    </w:p>
    <w:p>
      <w:pPr>
        <w:spacing w:line="360" w:lineRule="auto"/>
        <w:ind w:firstLine="241" w:firstLineChars="100"/>
        <w:rPr>
          <w:b/>
          <w:bCs/>
          <w:sz w:val="24"/>
          <w:szCs w:val="24"/>
        </w:rPr>
      </w:pPr>
      <w:r>
        <w:rPr>
          <w:b/>
          <w:bCs/>
          <w:sz w:val="24"/>
          <w:szCs w:val="24"/>
        </w:rPr>
        <w:t>3.4 详细评审</w:t>
      </w:r>
    </w:p>
    <w:p>
      <w:pPr>
        <w:spacing w:line="360" w:lineRule="auto"/>
        <w:ind w:firstLine="480" w:firstLineChars="200"/>
        <w:rPr>
          <w:sz w:val="24"/>
          <w:szCs w:val="24"/>
        </w:rPr>
      </w:pPr>
      <w:r>
        <w:rPr>
          <w:sz w:val="24"/>
          <w:szCs w:val="24"/>
        </w:rPr>
        <w:t>3.4.1 投标文件报价出现前后不一致的，按照下列规定修正：</w:t>
      </w:r>
    </w:p>
    <w:p>
      <w:pPr>
        <w:spacing w:line="360" w:lineRule="auto"/>
        <w:ind w:firstLine="480" w:firstLineChars="200"/>
        <w:rPr>
          <w:sz w:val="24"/>
          <w:szCs w:val="24"/>
        </w:rPr>
      </w:pPr>
      <w:r>
        <w:rPr>
          <w:sz w:val="24"/>
          <w:szCs w:val="24"/>
        </w:rPr>
        <w:t>（1）“安阳市公共资源交易系统平台 ”系统中开标一览表（报价表）内容与投标文件中相应内容不一致的，以开标一览表（报价表）为准；</w:t>
      </w:r>
    </w:p>
    <w:p>
      <w:pPr>
        <w:spacing w:line="360" w:lineRule="auto"/>
        <w:ind w:firstLine="480" w:firstLineChars="200"/>
        <w:rPr>
          <w:sz w:val="24"/>
          <w:szCs w:val="24"/>
        </w:rPr>
      </w:pPr>
      <w:r>
        <w:rPr>
          <w:sz w:val="24"/>
          <w:szCs w:val="24"/>
        </w:rPr>
        <w:t>（2）大写金额和小写金额不一致的，以大写金额为准；</w:t>
      </w:r>
    </w:p>
    <w:p>
      <w:pPr>
        <w:spacing w:line="360" w:lineRule="auto"/>
        <w:ind w:firstLine="480" w:firstLineChars="200"/>
        <w:rPr>
          <w:sz w:val="24"/>
          <w:szCs w:val="24"/>
        </w:rPr>
      </w:pPr>
      <w:r>
        <w:rPr>
          <w:sz w:val="24"/>
          <w:szCs w:val="24"/>
        </w:rPr>
        <w:t>（3）单价金额小数点或者百分比有明显错位的，以开标一览表的总价为准，并修改单价；</w:t>
      </w:r>
    </w:p>
    <w:p>
      <w:pPr>
        <w:spacing w:line="360" w:lineRule="auto"/>
        <w:ind w:firstLine="480" w:firstLineChars="200"/>
        <w:rPr>
          <w:sz w:val="24"/>
          <w:szCs w:val="24"/>
        </w:rPr>
      </w:pPr>
      <w:r>
        <w:rPr>
          <w:sz w:val="24"/>
          <w:szCs w:val="24"/>
        </w:rPr>
        <w:t>（4）总价金额与按单价汇总金额不一致的，以单价金额计算结果为准。</w:t>
      </w:r>
    </w:p>
    <w:p>
      <w:pPr>
        <w:spacing w:line="360" w:lineRule="auto"/>
        <w:ind w:firstLine="480" w:firstLineChars="200"/>
        <w:rPr>
          <w:sz w:val="24"/>
          <w:szCs w:val="24"/>
        </w:rPr>
      </w:pPr>
      <w:r>
        <w:rPr>
          <w:sz w:val="24"/>
          <w:szCs w:val="24"/>
        </w:rPr>
        <w:t>同时出现两种以上不一致的，按照前款规定的顺序修正。修正后的报价按照本章3.3.4 项规定经投标人确认后产生约束力，投标人不确认的，其投标无效。</w:t>
      </w:r>
    </w:p>
    <w:p>
      <w:pPr>
        <w:spacing w:line="360" w:lineRule="auto"/>
        <w:ind w:firstLine="480" w:firstLineChars="200"/>
        <w:rPr>
          <w:sz w:val="24"/>
          <w:szCs w:val="24"/>
        </w:rPr>
      </w:pPr>
      <w:r>
        <w:rPr>
          <w:sz w:val="24"/>
          <w:szCs w:val="24"/>
        </w:rPr>
        <w:t>3.4.2 按本章第4 条规定执行促进中小企业发展扶持政策，用扣除后的价格参与评审。</w:t>
      </w:r>
    </w:p>
    <w:p>
      <w:pPr>
        <w:spacing w:line="360" w:lineRule="auto"/>
        <w:ind w:firstLine="480" w:firstLineChars="200"/>
        <w:rPr>
          <w:sz w:val="24"/>
          <w:szCs w:val="24"/>
        </w:rPr>
      </w:pPr>
      <w:r>
        <w:rPr>
          <w:sz w:val="24"/>
          <w:szCs w:val="24"/>
        </w:rPr>
        <w:t>3.4.3评标委员会按本章第2.2款规定的量化因素和分值进行打分，并计算出综合评标得分。</w:t>
      </w:r>
    </w:p>
    <w:p>
      <w:pPr>
        <w:spacing w:line="360" w:lineRule="auto"/>
        <w:ind w:firstLine="480" w:firstLineChars="200"/>
        <w:rPr>
          <w:sz w:val="24"/>
          <w:szCs w:val="24"/>
        </w:rPr>
      </w:pPr>
      <w:r>
        <w:rPr>
          <w:sz w:val="24"/>
          <w:szCs w:val="24"/>
        </w:rPr>
        <w:t>3.4.4 评分计算保留 2 位小数，第三位小数四舍五入。评分计算中出现中间值时按插入法计算得分。</w:t>
      </w:r>
    </w:p>
    <w:p>
      <w:pPr>
        <w:spacing w:line="360" w:lineRule="auto"/>
        <w:ind w:firstLine="480" w:firstLineChars="200"/>
        <w:rPr>
          <w:sz w:val="24"/>
          <w:szCs w:val="24"/>
        </w:rPr>
      </w:pPr>
      <w:r>
        <w:rPr>
          <w:sz w:val="24"/>
          <w:szCs w:val="24"/>
        </w:rPr>
        <w:t>3.4.5评标委员会认为投标人的报价明显低于其他通过符合性审查投标人的报价，有可能影响产品质量或者不能诚信履约的，应当要求其在合理的时间内提供书面说明，必要时提交相关证明材料</w:t>
      </w:r>
      <w:r>
        <w:rPr>
          <w:rFonts w:hint="eastAsia"/>
          <w:sz w:val="24"/>
          <w:szCs w:val="24"/>
          <w:lang w:eastAsia="zh-CN"/>
        </w:rPr>
        <w:t>；</w:t>
      </w:r>
      <w:r>
        <w:rPr>
          <w:sz w:val="24"/>
          <w:szCs w:val="24"/>
        </w:rPr>
        <w:t>投标人不能证明其报价合理性的，评标委员会应当将其作为无效投标处理。</w:t>
      </w:r>
    </w:p>
    <w:p>
      <w:pPr>
        <w:spacing w:line="360" w:lineRule="auto"/>
        <w:ind w:firstLine="480" w:firstLineChars="200"/>
        <w:rPr>
          <w:sz w:val="24"/>
          <w:szCs w:val="24"/>
        </w:rPr>
      </w:pPr>
      <w:r>
        <w:rPr>
          <w:sz w:val="24"/>
          <w:szCs w:val="24"/>
        </w:rPr>
        <w:t>3.4.6 在评标过程中，凡遇到《招标文件》中无界定或界定不清，前后不一致，使评委成员意见有分歧且又难于协商一致的问题，均由评委予以表决。</w:t>
      </w:r>
    </w:p>
    <w:p>
      <w:pPr>
        <w:spacing w:line="360" w:lineRule="auto"/>
        <w:ind w:firstLine="480" w:firstLineChars="200"/>
        <w:rPr>
          <w:sz w:val="24"/>
          <w:szCs w:val="24"/>
        </w:rPr>
      </w:pPr>
      <w:r>
        <w:rPr>
          <w:sz w:val="24"/>
          <w:szCs w:val="24"/>
        </w:rPr>
        <w:t>3.4.7 除了算术修正和落实政府采购政策需进行的价格扣除外，评标委员会不对投标人的投标价格进行任何调整。</w:t>
      </w:r>
    </w:p>
    <w:p>
      <w:pPr>
        <w:spacing w:line="360" w:lineRule="auto"/>
        <w:ind w:firstLine="241" w:firstLineChars="100"/>
        <w:rPr>
          <w:b/>
          <w:bCs/>
          <w:sz w:val="24"/>
          <w:szCs w:val="24"/>
        </w:rPr>
      </w:pPr>
      <w:r>
        <w:rPr>
          <w:b/>
          <w:bCs/>
          <w:sz w:val="24"/>
          <w:szCs w:val="24"/>
        </w:rPr>
        <w:t>3.5 复核：</w:t>
      </w:r>
    </w:p>
    <w:p>
      <w:pPr>
        <w:spacing w:line="360" w:lineRule="auto"/>
        <w:ind w:firstLine="480" w:firstLineChars="200"/>
        <w:rPr>
          <w:sz w:val="24"/>
          <w:szCs w:val="24"/>
        </w:rPr>
      </w:pPr>
      <w:r>
        <w:rPr>
          <w:sz w:val="24"/>
          <w:szCs w:val="24"/>
        </w:rPr>
        <w:t>3.5.1 评标委员会对供应商的价格分等客观评分项的评分应当一致，对其他需要借助专业知识评判的主观评分项，应当严格按照评分细则公正评分，不得超出评分标准范围，对畸高、畸低的重大差异评分书面说明理由。</w:t>
      </w:r>
    </w:p>
    <w:p>
      <w:pPr>
        <w:spacing w:line="360" w:lineRule="auto"/>
        <w:ind w:firstLine="480" w:firstLineChars="200"/>
        <w:rPr>
          <w:sz w:val="24"/>
          <w:szCs w:val="24"/>
        </w:rPr>
      </w:pPr>
      <w:r>
        <w:rPr>
          <w:sz w:val="24"/>
          <w:szCs w:val="24"/>
        </w:rPr>
        <w:t>3.5.2 评标委员会要对评分汇总情况进行复核，特别是对排名第一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pPr>
        <w:spacing w:line="360" w:lineRule="auto"/>
        <w:ind w:firstLine="241" w:firstLineChars="100"/>
        <w:rPr>
          <w:b/>
          <w:bCs/>
          <w:sz w:val="24"/>
          <w:szCs w:val="24"/>
        </w:rPr>
      </w:pPr>
      <w:r>
        <w:rPr>
          <w:b/>
          <w:bCs/>
          <w:sz w:val="24"/>
          <w:szCs w:val="24"/>
        </w:rPr>
        <w:t>3.6 评标结果</w:t>
      </w:r>
    </w:p>
    <w:p>
      <w:pPr>
        <w:spacing w:line="360" w:lineRule="auto"/>
        <w:ind w:firstLine="480" w:firstLineChars="200"/>
        <w:rPr>
          <w:sz w:val="24"/>
          <w:szCs w:val="24"/>
        </w:rPr>
      </w:pPr>
      <w:r>
        <w:rPr>
          <w:sz w:val="24"/>
          <w:szCs w:val="24"/>
        </w:rPr>
        <w:t>3.6.1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sz w:val="24"/>
          <w:szCs w:val="24"/>
        </w:rPr>
      </w:pPr>
      <w:r>
        <w:rPr>
          <w:sz w:val="24"/>
          <w:szCs w:val="24"/>
        </w:rPr>
        <w:t>3.6.2 评标委员会按照评审得分由高到低的顺序提出3名中标候选人，并编写书面评标报告。</w:t>
      </w:r>
    </w:p>
    <w:p>
      <w:pPr>
        <w:spacing w:line="360" w:lineRule="auto"/>
        <w:ind w:firstLine="480" w:firstLineChars="200"/>
        <w:rPr>
          <w:sz w:val="24"/>
          <w:szCs w:val="24"/>
        </w:rPr>
      </w:pPr>
      <w:r>
        <w:rPr>
          <w:sz w:val="24"/>
          <w:szCs w:val="24"/>
        </w:rPr>
        <w:t>3.6.3 确定中标人：按第三章“投标人须知前附表 ”</w:t>
      </w:r>
      <w:r>
        <w:rPr>
          <w:rFonts w:hint="eastAsia"/>
          <w:sz w:val="24"/>
          <w:szCs w:val="24"/>
          <w:lang w:val="en-US" w:eastAsia="zh-CN"/>
        </w:rPr>
        <w:t>7</w:t>
      </w:r>
      <w:r>
        <w:rPr>
          <w:sz w:val="24"/>
          <w:szCs w:val="24"/>
        </w:rPr>
        <w:t>.1款规定及本章第1条规定。</w:t>
      </w:r>
    </w:p>
    <w:p>
      <w:pPr>
        <w:spacing w:line="360" w:lineRule="auto"/>
        <w:ind w:firstLine="241" w:firstLineChars="100"/>
        <w:rPr>
          <w:b/>
          <w:bCs/>
          <w:sz w:val="24"/>
          <w:szCs w:val="24"/>
        </w:rPr>
      </w:pPr>
      <w:r>
        <w:rPr>
          <w:b/>
          <w:bCs/>
          <w:sz w:val="24"/>
          <w:szCs w:val="24"/>
        </w:rPr>
        <w:t>3.7 废标</w:t>
      </w:r>
    </w:p>
    <w:p>
      <w:pPr>
        <w:spacing w:line="360" w:lineRule="auto"/>
        <w:ind w:firstLine="480" w:firstLineChars="200"/>
        <w:rPr>
          <w:sz w:val="24"/>
          <w:szCs w:val="24"/>
        </w:rPr>
      </w:pPr>
      <w:r>
        <w:rPr>
          <w:sz w:val="24"/>
          <w:szCs w:val="24"/>
        </w:rPr>
        <w:t>3.7.1 出现下列情形之一的，应予废标：</w:t>
      </w:r>
    </w:p>
    <w:p>
      <w:pPr>
        <w:spacing w:line="360" w:lineRule="auto"/>
        <w:ind w:firstLine="480" w:firstLineChars="200"/>
        <w:rPr>
          <w:sz w:val="24"/>
          <w:szCs w:val="24"/>
        </w:rPr>
      </w:pPr>
      <w:r>
        <w:rPr>
          <w:sz w:val="24"/>
          <w:szCs w:val="24"/>
        </w:rPr>
        <w:t>（1）符合专业条件的供应商或者对招标文件作实质响应的供应商不足三家的；</w:t>
      </w:r>
    </w:p>
    <w:p>
      <w:pPr>
        <w:spacing w:line="360" w:lineRule="auto"/>
        <w:ind w:firstLine="480" w:firstLineChars="200"/>
        <w:rPr>
          <w:sz w:val="24"/>
          <w:szCs w:val="24"/>
        </w:rPr>
      </w:pPr>
      <w:r>
        <w:rPr>
          <w:sz w:val="24"/>
          <w:szCs w:val="24"/>
        </w:rPr>
        <w:t>（2）出现影响采购公正的违法、违规行为的；</w:t>
      </w:r>
    </w:p>
    <w:p>
      <w:pPr>
        <w:spacing w:line="360" w:lineRule="auto"/>
        <w:ind w:firstLine="480" w:firstLineChars="200"/>
        <w:rPr>
          <w:sz w:val="24"/>
          <w:szCs w:val="24"/>
        </w:rPr>
      </w:pPr>
      <w:r>
        <w:rPr>
          <w:sz w:val="24"/>
          <w:szCs w:val="24"/>
        </w:rPr>
        <w:t>（3）未超过预算金额的供应商不足3家的；</w:t>
      </w:r>
    </w:p>
    <w:p>
      <w:pPr>
        <w:spacing w:line="360" w:lineRule="auto"/>
        <w:ind w:firstLine="480" w:firstLineChars="200"/>
        <w:rPr>
          <w:sz w:val="24"/>
          <w:szCs w:val="24"/>
        </w:rPr>
      </w:pPr>
      <w:r>
        <w:rPr>
          <w:sz w:val="24"/>
          <w:szCs w:val="24"/>
        </w:rPr>
        <w:t>（4）因重大变故，采购任务取消的。</w:t>
      </w:r>
    </w:p>
    <w:p>
      <w:pPr>
        <w:spacing w:line="360" w:lineRule="auto"/>
        <w:ind w:firstLine="480" w:firstLineChars="200"/>
        <w:rPr>
          <w:sz w:val="24"/>
          <w:szCs w:val="24"/>
        </w:rPr>
      </w:pPr>
      <w:r>
        <w:rPr>
          <w:sz w:val="24"/>
          <w:szCs w:val="24"/>
        </w:rPr>
        <w:t>3.7.2 评标委员会要在废标时，出具招标文件是否存在不合理条款的论证意见，要协助采购人、采购代理机构、财政部门答复质疑或处理投诉事项。</w:t>
      </w:r>
    </w:p>
    <w:p>
      <w:pPr>
        <w:spacing w:line="360" w:lineRule="auto"/>
        <w:ind w:firstLine="241" w:firstLineChars="100"/>
        <w:outlineLvl w:val="1"/>
        <w:rPr>
          <w:b/>
          <w:bCs/>
          <w:sz w:val="24"/>
          <w:szCs w:val="24"/>
        </w:rPr>
      </w:pPr>
      <w:bookmarkStart w:id="115" w:name="bookmark47"/>
      <w:bookmarkEnd w:id="115"/>
      <w:bookmarkStart w:id="116" w:name="bookmark48"/>
      <w:bookmarkEnd w:id="116"/>
      <w:bookmarkStart w:id="117" w:name="_Toc6659"/>
      <w:r>
        <w:rPr>
          <w:b/>
          <w:bCs/>
          <w:sz w:val="24"/>
          <w:szCs w:val="24"/>
        </w:rPr>
        <w:t>4. 政府采购促进中小企业发展扶持政策</w:t>
      </w:r>
      <w:bookmarkEnd w:id="117"/>
    </w:p>
    <w:p>
      <w:pPr>
        <w:spacing w:line="360" w:lineRule="auto"/>
        <w:ind w:firstLine="480" w:firstLineChars="200"/>
        <w:rPr>
          <w:sz w:val="24"/>
          <w:szCs w:val="24"/>
        </w:rPr>
      </w:pPr>
      <w:r>
        <w:rPr>
          <w:sz w:val="24"/>
          <w:szCs w:val="24"/>
        </w:rPr>
        <w:t>4.1在政府采购活动中，供应商提供的货物、工程或者服务符合下列情形的，享受《政府采购促进中小企业发展管理办法》规定的中小企业扶持政策：</w:t>
      </w:r>
    </w:p>
    <w:p>
      <w:pPr>
        <w:spacing w:line="360" w:lineRule="auto"/>
        <w:ind w:firstLine="480" w:firstLineChars="200"/>
        <w:rPr>
          <w:sz w:val="24"/>
          <w:szCs w:val="24"/>
        </w:rPr>
      </w:pPr>
      <w:r>
        <w:rPr>
          <w:sz w:val="24"/>
          <w:szCs w:val="24"/>
        </w:rPr>
        <w:t>（一） 在货物采购项目中，货物由中小企业制造，即货物由中小企业生产且使用该中小企业商号或者注册商标；</w:t>
      </w:r>
    </w:p>
    <w:p>
      <w:pPr>
        <w:spacing w:line="360" w:lineRule="auto"/>
        <w:ind w:firstLine="480" w:firstLineChars="200"/>
        <w:rPr>
          <w:sz w:val="24"/>
          <w:szCs w:val="24"/>
        </w:rPr>
      </w:pPr>
      <w:r>
        <w:rPr>
          <w:sz w:val="24"/>
          <w:szCs w:val="24"/>
        </w:rPr>
        <w:t>（二）在工程采购项目中，工程由中小企业承建，即工程施工单位为中小企业；</w:t>
      </w:r>
    </w:p>
    <w:p>
      <w:pPr>
        <w:spacing w:line="360" w:lineRule="auto"/>
        <w:ind w:firstLine="480" w:firstLineChars="200"/>
        <w:rPr>
          <w:sz w:val="24"/>
          <w:szCs w:val="24"/>
        </w:rPr>
      </w:pPr>
      <w:r>
        <w:rPr>
          <w:sz w:val="24"/>
          <w:szCs w:val="24"/>
        </w:rPr>
        <w:t>（三）在服务采购项目中，服务由中小企业承接，即提供服务的人员为中小企业依照《中 华人民共和国劳动合同法》订立劳动合同的从业人员。</w:t>
      </w:r>
    </w:p>
    <w:p>
      <w:pPr>
        <w:spacing w:line="360" w:lineRule="auto"/>
        <w:ind w:firstLine="480" w:firstLineChars="200"/>
        <w:rPr>
          <w:sz w:val="24"/>
          <w:szCs w:val="24"/>
        </w:rPr>
      </w:pPr>
      <w:r>
        <w:rPr>
          <w:sz w:val="24"/>
          <w:szCs w:val="24"/>
        </w:rPr>
        <w:t>在货物采购项目中，供应商提供的货物既有中小企业制造货物，也有大型企业制造货物的，不享受中小企业扶持政策。</w:t>
      </w:r>
    </w:p>
    <w:p>
      <w:pPr>
        <w:spacing w:line="360" w:lineRule="auto"/>
        <w:ind w:firstLine="480" w:firstLineChars="200"/>
        <w:rPr>
          <w:sz w:val="24"/>
          <w:szCs w:val="24"/>
        </w:rPr>
      </w:pPr>
      <w:r>
        <w:rPr>
          <w:sz w:val="24"/>
          <w:szCs w:val="24"/>
        </w:rPr>
        <w:t>以联合体形式参加政府采购活动，联合体各方均为中小企业的，联合体视同中小企业。 其中，联合体各方均为小微企业的，联合体视同小微企业。</w:t>
      </w:r>
    </w:p>
    <w:p>
      <w:pPr>
        <w:spacing w:line="360" w:lineRule="auto"/>
        <w:ind w:firstLine="480" w:firstLineChars="200"/>
        <w:rPr>
          <w:sz w:val="24"/>
          <w:szCs w:val="24"/>
        </w:rPr>
      </w:pPr>
      <w:r>
        <w:rPr>
          <w:sz w:val="24"/>
          <w:szCs w:val="24"/>
        </w:rPr>
        <w:t>4.2 符合中小企业划分标准的个体工商户，在政府采购活动中视同中小企业。</w:t>
      </w:r>
    </w:p>
    <w:p>
      <w:pPr>
        <w:spacing w:line="360" w:lineRule="auto"/>
        <w:ind w:firstLine="480" w:firstLineChars="200"/>
        <w:rPr>
          <w:sz w:val="24"/>
          <w:szCs w:val="24"/>
        </w:rPr>
      </w:pPr>
      <w:r>
        <w:rPr>
          <w:sz w:val="24"/>
          <w:szCs w:val="24"/>
        </w:rPr>
        <w:t>4.3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 号规定的《残疾人福利性单位声明函》，残疾人福利性单位属于小型、微型企业的，不重复享受政策。</w:t>
      </w:r>
    </w:p>
    <w:p>
      <w:pPr>
        <w:spacing w:line="360" w:lineRule="auto"/>
        <w:ind w:firstLine="720" w:firstLineChars="300"/>
        <w:rPr>
          <w:sz w:val="24"/>
          <w:szCs w:val="24"/>
        </w:rPr>
      </w:pPr>
      <w:r>
        <w:rPr>
          <w:sz w:val="24"/>
          <w:szCs w:val="24"/>
        </w:rPr>
        <w:t>4.3.1 享受政府采购支持政策的残疾人福利性单位应当同时满足以下条件：</w:t>
      </w:r>
    </w:p>
    <w:p>
      <w:pPr>
        <w:spacing w:line="360" w:lineRule="auto"/>
        <w:ind w:firstLine="480" w:firstLineChars="200"/>
        <w:rPr>
          <w:sz w:val="24"/>
          <w:szCs w:val="24"/>
        </w:rPr>
      </w:pPr>
      <w:r>
        <w:rPr>
          <w:sz w:val="24"/>
          <w:szCs w:val="24"/>
        </w:rPr>
        <w:t>（1）安置的残疾人占本单位在职职工人数的比例不低于 25%（含 25%），并且安置的残疾人人数不少于 10 人（含 10 人）；</w:t>
      </w:r>
    </w:p>
    <w:p>
      <w:pPr>
        <w:spacing w:line="360" w:lineRule="auto"/>
        <w:ind w:firstLine="480" w:firstLineChars="200"/>
        <w:rPr>
          <w:sz w:val="24"/>
          <w:szCs w:val="24"/>
        </w:rPr>
      </w:pPr>
      <w:r>
        <w:rPr>
          <w:sz w:val="24"/>
          <w:szCs w:val="24"/>
        </w:rPr>
        <w:t>（2）依法与安置的每位残疾人签订了一年以上（含一年）的劳动合同或服务协议；</w:t>
      </w:r>
    </w:p>
    <w:p>
      <w:pPr>
        <w:spacing w:line="360" w:lineRule="auto"/>
        <w:ind w:firstLine="480" w:firstLineChars="200"/>
        <w:rPr>
          <w:sz w:val="24"/>
          <w:szCs w:val="24"/>
        </w:rPr>
      </w:pPr>
      <w:r>
        <w:rPr>
          <w:sz w:val="24"/>
          <w:szCs w:val="24"/>
        </w:rPr>
        <w:t>（3）为安置的每位残疾人按月足额缴纳了基本养老保险、基本医疗保险、失业保险、工伤保险和生育保险等社会保险费；</w:t>
      </w:r>
    </w:p>
    <w:p>
      <w:pPr>
        <w:spacing w:line="360" w:lineRule="auto"/>
        <w:ind w:firstLine="480" w:firstLineChars="200"/>
        <w:rPr>
          <w:sz w:val="24"/>
          <w:szCs w:val="24"/>
        </w:rPr>
      </w:pPr>
      <w:r>
        <w:rPr>
          <w:sz w:val="24"/>
          <w:szCs w:val="24"/>
        </w:rPr>
        <w:t>（4）通过银行等金融机构向安置的每位残疾人，按月支付了不低于单位所在区县适用的经省级人民政府批准的月最低工资标准的工资；</w:t>
      </w:r>
    </w:p>
    <w:p>
      <w:pPr>
        <w:spacing w:line="360" w:lineRule="auto"/>
        <w:ind w:firstLine="480" w:firstLineChars="200"/>
        <w:rPr>
          <w:sz w:val="24"/>
          <w:szCs w:val="24"/>
        </w:rPr>
      </w:pPr>
      <w:r>
        <w:rPr>
          <w:sz w:val="24"/>
          <w:szCs w:val="24"/>
        </w:rPr>
        <w:t>（5）提供本单位制造的货物、承担的工程或者服务（以下简称产品），或者提供其他残疾人福利性单位制造的货物（不包括使用非残疾人福利性单位注册商标的货物）。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sz w:val="24"/>
          <w:szCs w:val="24"/>
        </w:rPr>
      </w:pPr>
      <w:r>
        <w:rPr>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sz w:val="24"/>
          <w:szCs w:val="24"/>
        </w:rPr>
      </w:pPr>
      <w:r>
        <w:rPr>
          <w:sz w:val="24"/>
          <w:szCs w:val="24"/>
        </w:rPr>
        <w:t>4.4 参加本次政府招标项目的中小企业应按附件格式提供《中小企业声明函》。如招标文件接受以联合体形式参加投标的，联合体各方均应按附件格式提供《中小企业声明函》。</w:t>
      </w:r>
    </w:p>
    <w:p>
      <w:pPr>
        <w:spacing w:line="360" w:lineRule="auto"/>
        <w:rPr>
          <w:sz w:val="24"/>
          <w:szCs w:val="24"/>
        </w:rPr>
      </w:pPr>
      <w:r>
        <w:rPr>
          <w:sz w:val="24"/>
          <w:szCs w:val="24"/>
        </w:rPr>
        <w:t>供应商按照财库〔2020〕46号规定及招标文件要求提供声明函内容不实的，属于提供虚假材料谋取中标、成交，依照《中华人民共和国政府采购法》等国家有关规定追究相应责任。</w:t>
      </w:r>
    </w:p>
    <w:p>
      <w:pPr>
        <w:spacing w:line="360" w:lineRule="auto"/>
        <w:ind w:firstLine="480" w:firstLineChars="200"/>
        <w:rPr>
          <w:sz w:val="24"/>
          <w:szCs w:val="24"/>
        </w:rPr>
      </w:pPr>
      <w:r>
        <w:rPr>
          <w:sz w:val="24"/>
          <w:szCs w:val="24"/>
        </w:rPr>
        <w:t>4.5 《政府采购促进中小企业发展管理办法》各项中小企业扶持政策中，价格扣除扶持政策仅小型、微型企业适用。</w:t>
      </w:r>
    </w:p>
    <w:p>
      <w:pPr>
        <w:spacing w:line="360" w:lineRule="auto"/>
        <w:ind w:firstLine="480" w:firstLineChars="200"/>
        <w:rPr>
          <w:sz w:val="24"/>
          <w:szCs w:val="24"/>
        </w:rPr>
      </w:pPr>
      <w:r>
        <w:rPr>
          <w:sz w:val="24"/>
          <w:szCs w:val="24"/>
        </w:rPr>
        <w:t>4.6 小微企业价格扣除扶持政策：</w:t>
      </w:r>
    </w:p>
    <w:p>
      <w:pPr>
        <w:spacing w:line="360" w:lineRule="auto"/>
        <w:ind w:firstLine="720" w:firstLineChars="300"/>
        <w:rPr>
          <w:sz w:val="24"/>
          <w:szCs w:val="24"/>
        </w:rPr>
      </w:pPr>
      <w:r>
        <w:rPr>
          <w:sz w:val="24"/>
          <w:szCs w:val="24"/>
        </w:rPr>
        <w:t>4.6.1 本次政府招标项目对符合《政府采购促进中小企业发展管理办法》小型和微型企业的报价给予20%的扣除，用扣除后的价格参与评审。</w:t>
      </w:r>
    </w:p>
    <w:p>
      <w:pPr>
        <w:spacing w:line="360" w:lineRule="auto"/>
        <w:ind w:firstLine="723" w:firstLineChars="300"/>
        <w:rPr>
          <w:rFonts w:hint="eastAsia"/>
          <w:b/>
          <w:bCs/>
          <w:sz w:val="24"/>
          <w:szCs w:val="24"/>
          <w:lang w:val="en-US" w:eastAsia="zh-CN"/>
        </w:rPr>
      </w:pPr>
      <w:r>
        <w:rPr>
          <w:rFonts w:hint="eastAsia"/>
          <w:b/>
          <w:bCs/>
          <w:sz w:val="24"/>
          <w:szCs w:val="24"/>
          <w:lang w:val="en-US" w:eastAsia="zh-CN"/>
        </w:rPr>
        <w:t>注：</w:t>
      </w:r>
      <w:r>
        <w:rPr>
          <w:rFonts w:ascii="宋体" w:hAnsi="宋体" w:eastAsia="宋体" w:cs="宋体"/>
          <w:b/>
          <w:bCs/>
          <w:sz w:val="24"/>
          <w:szCs w:val="24"/>
        </w:rPr>
        <w:t>本项目专门面向中小企业采购，不再对供应商报价进行价格扣除。</w:t>
      </w:r>
    </w:p>
    <w:p>
      <w:pPr>
        <w:spacing w:line="360" w:lineRule="auto"/>
        <w:ind w:firstLine="480" w:firstLineChars="200"/>
        <w:rPr>
          <w:sz w:val="24"/>
          <w:szCs w:val="24"/>
        </w:rPr>
      </w:pPr>
      <w:r>
        <w:rPr>
          <w:rFonts w:hint="eastAsia"/>
          <w:sz w:val="24"/>
          <w:szCs w:val="24"/>
          <w:lang w:val="en-US" w:eastAsia="zh-CN"/>
        </w:rPr>
        <w:t>（1）投标人所投货物均由小型和微型企业制造，享受小微企业价格扣除扶持政策。</w:t>
      </w:r>
    </w:p>
    <w:p>
      <w:pPr>
        <w:spacing w:line="360" w:lineRule="auto"/>
        <w:ind w:firstLine="480" w:firstLineChars="200"/>
        <w:rPr>
          <w:rFonts w:hint="eastAsia"/>
          <w:sz w:val="24"/>
          <w:szCs w:val="24"/>
          <w:lang w:val="en-US" w:eastAsia="zh-CN"/>
        </w:rPr>
      </w:pPr>
      <w:r>
        <w:rPr>
          <w:rFonts w:hint="eastAsia"/>
          <w:sz w:val="24"/>
          <w:szCs w:val="24"/>
          <w:lang w:val="en-US" w:eastAsia="zh-CN"/>
        </w:rPr>
        <w:t>（2）投标人所投货物既有小型和微型企业制造，也有中型企业制造或大型企业制造的，不享受小微企业价格扣除扶持政策。</w:t>
      </w:r>
    </w:p>
    <w:p>
      <w:pPr>
        <w:spacing w:line="360" w:lineRule="auto"/>
        <w:ind w:firstLine="720" w:firstLineChars="300"/>
        <w:rPr>
          <w:sz w:val="24"/>
          <w:szCs w:val="24"/>
        </w:rPr>
      </w:pPr>
      <w:r>
        <w:rPr>
          <w:sz w:val="24"/>
          <w:szCs w:val="24"/>
        </w:rPr>
        <w:t>4.6.2 如招标文件接受大中型企业与小微企业组成联合体或者允许大中型企业向一家或者多家小微企业分包时，联合协议或分包意向协议约定小微型企业的合同份额占到合同总金额30%以上的，给予联合体或大中型企业6%的价格扣除，用扣除后的价格参加评审。</w:t>
      </w:r>
    </w:p>
    <w:p>
      <w:pPr>
        <w:spacing w:line="360" w:lineRule="auto"/>
        <w:ind w:firstLine="480" w:firstLineChars="200"/>
        <w:rPr>
          <w:sz w:val="24"/>
          <w:szCs w:val="24"/>
        </w:rPr>
      </w:pPr>
      <w:r>
        <w:rPr>
          <w:sz w:val="24"/>
          <w:szCs w:val="24"/>
        </w:rPr>
        <w:t>组成联合体或者接受分包合同的中小企业与联合体内其他企业、分包企业之间不得存在直接控股、管理关系。</w:t>
      </w:r>
    </w:p>
    <w:p>
      <w:pPr>
        <w:spacing w:line="360" w:lineRule="auto"/>
        <w:ind w:firstLine="720" w:firstLineChars="300"/>
        <w:rPr>
          <w:sz w:val="24"/>
          <w:szCs w:val="24"/>
        </w:rPr>
      </w:pPr>
      <w:r>
        <w:rPr>
          <w:sz w:val="24"/>
          <w:szCs w:val="24"/>
        </w:rPr>
        <w:t>4.6.3 价格扣除比例或者价格分加分比例对小型企业和微型企业同等对待</w:t>
      </w:r>
      <w:r>
        <w:rPr>
          <w:rFonts w:hint="eastAsia"/>
          <w:sz w:val="24"/>
          <w:szCs w:val="24"/>
          <w:lang w:eastAsia="zh-CN"/>
        </w:rPr>
        <w:t>，</w:t>
      </w:r>
      <w:r>
        <w:rPr>
          <w:sz w:val="24"/>
          <w:szCs w:val="24"/>
        </w:rPr>
        <w:t>不作区分。</w:t>
      </w:r>
    </w:p>
    <w:p>
      <w:pPr>
        <w:spacing w:line="360" w:lineRule="auto"/>
        <w:ind w:firstLine="480" w:firstLineChars="200"/>
        <w:rPr>
          <w:sz w:val="24"/>
          <w:szCs w:val="24"/>
        </w:rPr>
      </w:pPr>
      <w:r>
        <w:rPr>
          <w:sz w:val="24"/>
          <w:szCs w:val="24"/>
        </w:rPr>
        <w:t>4.7 评标委员会对投标人申报的小型和微型企业价格扣除事项进行评审。鉴于小微企业价格扣除政策与合同执行价格无关，为避免投标人申报价格扣除事项的随意性，故特别规定：</w:t>
      </w:r>
    </w:p>
    <w:p>
      <w:pPr>
        <w:spacing w:line="360" w:lineRule="auto"/>
        <w:ind w:firstLine="480" w:firstLineChars="200"/>
        <w:rPr>
          <w:sz w:val="24"/>
          <w:szCs w:val="24"/>
        </w:rPr>
      </w:pPr>
      <w:r>
        <w:rPr>
          <w:sz w:val="24"/>
          <w:szCs w:val="24"/>
        </w:rPr>
        <w:t>（1）评标委员会对投标人申报的小型和微型企业价格扣除事项的评审结论，分为合格与不合格。</w:t>
      </w:r>
    </w:p>
    <w:p>
      <w:pPr>
        <w:spacing w:line="360" w:lineRule="auto"/>
        <w:ind w:firstLine="480" w:firstLineChars="200"/>
        <w:rPr>
          <w:sz w:val="24"/>
          <w:szCs w:val="24"/>
        </w:rPr>
      </w:pPr>
      <w:r>
        <w:rPr>
          <w:sz w:val="24"/>
          <w:szCs w:val="24"/>
        </w:rPr>
        <w:t>（2）经评审，申报的小微价格扣除事项缺失中小企业声明函、联合协议或分包意向协议不符合中小企业价格扣除规定、未按招标文件确定的价格扣除比例填列等任一不符合政策要求及不准确的事项，评标委员会小组均将评审为不合格，该投标人申报的价格扣除事项不予接受、为0；评标委员会小组应当告知相关投标人。</w:t>
      </w:r>
    </w:p>
    <w:p>
      <w:pPr>
        <w:spacing w:line="360" w:lineRule="auto"/>
        <w:ind w:firstLine="480" w:firstLineChars="200"/>
        <w:rPr>
          <w:sz w:val="24"/>
          <w:szCs w:val="24"/>
        </w:rPr>
      </w:pPr>
      <w:r>
        <w:rPr>
          <w:sz w:val="24"/>
          <w:szCs w:val="24"/>
        </w:rPr>
        <w:t>提供虚假材料的为无效投标、并承担相应的法律责任。</w:t>
      </w:r>
    </w:p>
    <w:p>
      <w:pPr>
        <w:spacing w:line="360" w:lineRule="auto"/>
        <w:ind w:firstLine="480" w:firstLineChars="200"/>
        <w:rPr>
          <w:sz w:val="24"/>
          <w:szCs w:val="24"/>
        </w:rPr>
      </w:pPr>
      <w:r>
        <w:rPr>
          <w:sz w:val="24"/>
          <w:szCs w:val="24"/>
        </w:rPr>
        <w:t>（3）评审合格的，接受其申报的小型和微型企业价格扣除，用扣除后的价格参与评审。</w:t>
      </w:r>
    </w:p>
    <w:p>
      <w:pPr>
        <w:spacing w:line="360" w:lineRule="auto"/>
        <w:ind w:firstLine="480" w:firstLineChars="200"/>
        <w:rPr>
          <w:sz w:val="24"/>
          <w:szCs w:val="24"/>
        </w:rPr>
      </w:pPr>
      <w:r>
        <w:rPr>
          <w:sz w:val="24"/>
          <w:szCs w:val="24"/>
        </w:rPr>
        <w:t>（4）评审不合格的，不接受其小微企业价格扣除，其开标一览表价格扣除视为0，但将不作为无效投标。</w:t>
      </w:r>
    </w:p>
    <w:p>
      <w:pPr>
        <w:spacing w:line="360" w:lineRule="auto"/>
        <w:ind w:firstLine="480" w:firstLineChars="200"/>
        <w:rPr>
          <w:sz w:val="24"/>
          <w:szCs w:val="24"/>
        </w:rPr>
      </w:pPr>
      <w:r>
        <w:rPr>
          <w:sz w:val="24"/>
          <w:szCs w:val="24"/>
        </w:rPr>
        <w:t>（5）在电子交易系统，投标人填选后，扣除后的价格将由电子交易系统自动生成。</w:t>
      </w:r>
    </w:p>
    <w:p>
      <w:pPr>
        <w:spacing w:line="360" w:lineRule="auto"/>
        <w:ind w:firstLine="723" w:firstLineChars="300"/>
        <w:rPr>
          <w:b/>
          <w:bCs/>
          <w:sz w:val="24"/>
          <w:szCs w:val="24"/>
        </w:rPr>
      </w:pPr>
      <w:r>
        <w:rPr>
          <w:b/>
          <w:bCs/>
          <w:sz w:val="24"/>
          <w:szCs w:val="24"/>
        </w:rPr>
        <w:t>注：</w:t>
      </w:r>
      <w:r>
        <w:rPr>
          <w:rFonts w:ascii="宋体" w:hAnsi="宋体" w:eastAsia="宋体" w:cs="宋体"/>
          <w:b/>
          <w:bCs/>
          <w:sz w:val="24"/>
          <w:szCs w:val="24"/>
        </w:rPr>
        <w:t>本项目专门面向中小企业采购，不再对供应商报价进行价格扣除。</w:t>
      </w:r>
    </w:p>
    <w:p>
      <w:pPr>
        <w:spacing w:line="360" w:lineRule="auto"/>
        <w:ind w:firstLine="480" w:firstLineChars="200"/>
        <w:rPr>
          <w:sz w:val="24"/>
          <w:szCs w:val="24"/>
        </w:rPr>
      </w:pPr>
      <w:r>
        <w:rPr>
          <w:sz w:val="24"/>
          <w:szCs w:val="24"/>
        </w:rPr>
        <w:t>4.8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spacing w:line="360" w:lineRule="auto"/>
        <w:ind w:firstLine="480" w:firstLineChars="200"/>
        <w:rPr>
          <w:sz w:val="24"/>
          <w:szCs w:val="24"/>
        </w:rPr>
      </w:pPr>
      <w:r>
        <w:rPr>
          <w:sz w:val="24"/>
          <w:szCs w:val="24"/>
        </w:rPr>
        <w:t>4.9 中标、成交供应商享受本办法规定的中小企业扶持政策的，中标、成交供应商的《中小企业声明函》将随中标、成交结果公开。</w:t>
      </w:r>
    </w:p>
    <w:p>
      <w:pPr>
        <w:spacing w:line="360" w:lineRule="auto"/>
        <w:ind w:firstLine="480" w:firstLineChars="200"/>
        <w:rPr>
          <w:sz w:val="24"/>
          <w:szCs w:val="24"/>
        </w:rPr>
      </w:pPr>
      <w:r>
        <w:rPr>
          <w:sz w:val="24"/>
          <w:szCs w:val="24"/>
        </w:rPr>
        <w:t>4.10 依法享受扶持政策获得政府采购合同的，小微企业不得将合同分包给大中型企业，中型企业不得将合同分包给大型企业。</w:t>
      </w:r>
    </w:p>
    <w:p>
      <w:pPr>
        <w:spacing w:line="360" w:lineRule="auto"/>
        <w:ind w:firstLine="480" w:firstLineChars="200"/>
        <w:rPr>
          <w:sz w:val="24"/>
          <w:szCs w:val="24"/>
        </w:rPr>
      </w:pPr>
      <w:r>
        <w:rPr>
          <w:sz w:val="24"/>
          <w:szCs w:val="24"/>
        </w:rPr>
        <w:t>4.11 政府采购监督检查、投诉处理及政府采购行政处罚中对中小企业的认定，由货物制造商或者工程、服务供应商注册登记所在地的县级以上人民政府中小企业主管部门负责。</w:t>
      </w:r>
    </w:p>
    <w:p>
      <w:pPr>
        <w:jc w:val="center"/>
        <w:outlineLvl w:val="0"/>
        <w:rPr>
          <w:b/>
          <w:bCs/>
          <w:sz w:val="28"/>
          <w:szCs w:val="28"/>
        </w:rPr>
        <w:sectPr>
          <w:headerReference r:id="rId4" w:type="default"/>
          <w:footerReference r:id="rId5" w:type="default"/>
          <w:pgSz w:w="11906" w:h="16838"/>
          <w:pgMar w:top="1440" w:right="1080" w:bottom="1440" w:left="1080" w:header="1077" w:footer="567" w:gutter="0"/>
          <w:pgBorders>
            <w:top w:val="none" w:sz="0" w:space="0"/>
            <w:left w:val="none" w:sz="0" w:space="0"/>
            <w:bottom w:val="none" w:sz="0" w:space="0"/>
            <w:right w:val="none" w:sz="0" w:space="0"/>
          </w:pgBorders>
          <w:pgNumType w:fmt="decimal"/>
          <w:cols w:space="720" w:num="1"/>
          <w:docGrid w:type="lines" w:linePitch="312" w:charSpace="0"/>
        </w:sectPr>
      </w:pPr>
      <w:bookmarkStart w:id="118" w:name="_Toc17145"/>
    </w:p>
    <w:p>
      <w:pPr>
        <w:jc w:val="center"/>
        <w:outlineLvl w:val="0"/>
        <w:rPr>
          <w:b/>
          <w:bCs/>
          <w:sz w:val="28"/>
          <w:szCs w:val="28"/>
        </w:rPr>
      </w:pPr>
      <w:r>
        <w:rPr>
          <w:b/>
          <w:bCs/>
          <w:sz w:val="28"/>
          <w:szCs w:val="28"/>
        </w:rPr>
        <w:t>第五章  合同主要条款</w:t>
      </w:r>
      <w:bookmarkEnd w:id="118"/>
    </w:p>
    <w:p>
      <w:pPr>
        <w:pStyle w:val="4"/>
        <w:spacing w:after="0"/>
        <w:jc w:val="center"/>
        <w:rPr>
          <w:rFonts w:ascii="宋体" w:hAnsi="宋体" w:cs="宋体"/>
          <w:b/>
          <w:bCs/>
          <w:spacing w:val="-20"/>
          <w:kern w:val="44"/>
          <w:sz w:val="48"/>
          <w:szCs w:val="48"/>
        </w:rPr>
      </w:pPr>
    </w:p>
    <w:p/>
    <w:p>
      <w:pPr>
        <w:pStyle w:val="4"/>
        <w:spacing w:after="0"/>
        <w:jc w:val="center"/>
        <w:rPr>
          <w:rFonts w:ascii="宋体" w:hAnsi="宋体" w:cs="宋体"/>
          <w:b/>
          <w:bCs/>
          <w:spacing w:val="-20"/>
          <w:kern w:val="44"/>
          <w:sz w:val="48"/>
          <w:szCs w:val="48"/>
        </w:rPr>
      </w:pPr>
    </w:p>
    <w:p>
      <w:pPr>
        <w:pStyle w:val="4"/>
        <w:spacing w:after="0"/>
        <w:jc w:val="center"/>
        <w:outlineLvl w:val="1"/>
        <w:rPr>
          <w:rFonts w:hint="eastAsia" w:ascii="宋体" w:hAnsi="宋体" w:cs="宋体"/>
          <w:b/>
          <w:bCs/>
          <w:spacing w:val="-20"/>
          <w:kern w:val="44"/>
          <w:sz w:val="48"/>
          <w:szCs w:val="48"/>
        </w:rPr>
      </w:pPr>
      <w:bookmarkStart w:id="119" w:name="_Toc10289"/>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bookmarkEnd w:id="119"/>
    </w:p>
    <w:p>
      <w:pPr>
        <w:pStyle w:val="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footerReference r:id="rId6" w:type="default"/>
          <w:pgSz w:w="11906" w:h="16838"/>
          <w:pgMar w:top="1440" w:right="1080" w:bottom="1440" w:left="1080" w:header="1077" w:footer="567" w:gutter="0"/>
          <w:pgBorders>
            <w:top w:val="none" w:sz="0" w:space="0"/>
            <w:left w:val="none" w:sz="0" w:space="0"/>
            <w:bottom w:val="none" w:sz="0" w:space="0"/>
            <w:right w:val="none" w:sz="0" w:space="0"/>
          </w:pgBorders>
          <w:pgNumType w:fmt="decimal"/>
          <w:cols w:space="720" w:num="1"/>
          <w:docGrid w:type="lines" w:linePitch="312" w:charSpace="0"/>
        </w:sectPr>
      </w:pPr>
    </w:p>
    <w:p>
      <w:pPr>
        <w:pStyle w:val="2"/>
        <w:adjustRightInd w:val="0"/>
        <w:snapToGrid w:val="0"/>
        <w:spacing w:beforeLines="0" w:line="400" w:lineRule="exact"/>
        <w:jc w:val="center"/>
        <w:outlineLvl w:val="9"/>
        <w:rPr>
          <w:rFonts w:hint="eastAsia" w:ascii="黑体" w:hAnsi="黑体" w:eastAsia="黑体"/>
          <w:sz w:val="28"/>
          <w:szCs w:val="28"/>
        </w:rPr>
      </w:pPr>
      <w:bookmarkStart w:id="120" w:name="_Toc22209"/>
    </w:p>
    <w:p>
      <w:pPr>
        <w:pStyle w:val="2"/>
        <w:adjustRightInd w:val="0"/>
        <w:snapToGrid w:val="0"/>
        <w:spacing w:beforeLines="0" w:line="400" w:lineRule="exact"/>
        <w:jc w:val="center"/>
        <w:rPr>
          <w:rFonts w:hint="eastAsia" w:ascii="黑体" w:hAnsi="华文中宋" w:eastAsia="黑体"/>
          <w:b w:val="0"/>
          <w:bCs w:val="0"/>
          <w:sz w:val="28"/>
          <w:szCs w:val="28"/>
        </w:rPr>
      </w:pPr>
      <w:bookmarkStart w:id="121" w:name="_Toc11757"/>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20"/>
      <w:bookmarkEnd w:id="121"/>
    </w:p>
    <w:p>
      <w:pPr>
        <w:pStyle w:val="2"/>
        <w:adjustRightInd w:val="0"/>
        <w:snapToGrid w:val="0"/>
        <w:spacing w:beforeLines="0" w:line="400" w:lineRule="exact"/>
        <w:jc w:val="center"/>
        <w:outlineLvl w:val="9"/>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6"/>
        <w:numPr>
          <w:ilvl w:val="0"/>
          <w:numId w:val="1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6"/>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w w:val="100"/>
          <w:szCs w:val="21"/>
          <w:lang w:val="en-US" w:eastAsia="zh-CN"/>
        </w:rPr>
        <w:sectPr>
          <w:footerReference r:id="rId7" w:type="default"/>
          <w:pgSz w:w="11910" w:h="16840"/>
          <w:pgMar w:top="1380" w:right="399" w:bottom="1180" w:left="860" w:header="924" w:footer="988" w:gutter="0"/>
          <w:pgNumType w:fmt="decimal" w:start="44"/>
          <w:cols w:space="720" w:num="1"/>
        </w:sectPr>
      </w:pP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3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9"/>
        <w:spacing w:beforeLines="0" w:line="400" w:lineRule="exact"/>
      </w:pPr>
    </w:p>
    <w:p>
      <w:pPr>
        <w:pStyle w:val="2"/>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9"/>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22" w:name="_Toc27624"/>
      <w:bookmarkStart w:id="123" w:name="_Toc15232"/>
      <w:r>
        <w:rPr>
          <w:rFonts w:hint="eastAsia" w:ascii="黑体" w:hAnsi="黑体" w:eastAsia="黑体"/>
          <w:b w:val="0"/>
          <w:bCs w:val="0"/>
          <w:sz w:val="28"/>
          <w:szCs w:val="28"/>
        </w:rPr>
        <w:t>第二节 政府采购合同通用条款</w:t>
      </w:r>
      <w:bookmarkEnd w:id="122"/>
      <w:bookmarkEnd w:id="123"/>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14"/>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4"/>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4"/>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numPr>
          <w:ilvl w:val="0"/>
          <w:numId w:val="15"/>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2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24"/>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2"/>
        <w:spacing w:line="400" w:lineRule="exact"/>
        <w:ind w:firstLine="420" w:firstLineChars="200"/>
        <w:rPr>
          <w:rFonts w:hint="eastAsia" w:eastAsia="宋体"/>
          <w:color w:val="auto"/>
          <w:highlight w:val="none"/>
          <w:lang w:eastAsia="zh-CN"/>
        </w:rPr>
      </w:pPr>
      <w:bookmarkStart w:id="125" w:name="_Toc14754"/>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125"/>
    </w:p>
    <w:p>
      <w:pPr>
        <w:pStyle w:val="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4"/>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26"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2"/>
        <w:adjustRightInd w:val="0"/>
        <w:snapToGrid w:val="0"/>
        <w:jc w:val="center"/>
        <w:rPr>
          <w:rFonts w:ascii="黑体" w:hAnsi="华文中宋" w:eastAsia="黑体"/>
          <w:b w:val="0"/>
          <w:bCs w:val="0"/>
          <w:sz w:val="28"/>
          <w:szCs w:val="28"/>
        </w:rPr>
      </w:pPr>
      <w:bookmarkStart w:id="127" w:name="_Toc283"/>
      <w:r>
        <w:rPr>
          <w:rFonts w:hint="eastAsia" w:ascii="黑体" w:hAnsi="华文中宋" w:eastAsia="黑体"/>
          <w:b w:val="0"/>
          <w:bCs w:val="0"/>
          <w:sz w:val="28"/>
          <w:szCs w:val="28"/>
        </w:rPr>
        <w:t>第三节 政府采购合同专用条款</w:t>
      </w:r>
      <w:bookmarkEnd w:id="126"/>
      <w:bookmarkEnd w:id="127"/>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
      <w:pPr>
        <w:spacing w:line="360" w:lineRule="auto"/>
        <w:ind w:firstLine="480" w:firstLineChars="200"/>
        <w:rPr>
          <w:sz w:val="24"/>
          <w:szCs w:val="24"/>
        </w:rPr>
      </w:pPr>
    </w:p>
    <w:p>
      <w:pPr>
        <w:ind w:firstLine="400" w:firstLineChars="200"/>
        <w:jc w:val="both"/>
        <w:rPr>
          <w:rFonts w:hint="default" w:ascii="Times New Roman" w:hAnsi="Times New Roman" w:eastAsia="Times New Roman" w:cs="Times New Roman"/>
          <w:sz w:val="20"/>
          <w:szCs w:val="20"/>
          <w:lang w:val="en-US" w:eastAsia="zh-CN"/>
        </w:rPr>
      </w:pPr>
    </w:p>
    <w:p>
      <w:pPr>
        <w:jc w:val="center"/>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p>
    <w:p>
      <w:pPr>
        <w:spacing w:before="114" w:line="227" w:lineRule="auto"/>
        <w:outlineLvl w:val="9"/>
        <w:rPr>
          <w:rFonts w:ascii="黑体" w:hAnsi="黑体" w:eastAsia="黑体" w:cs="黑体"/>
          <w:b/>
          <w:bCs/>
          <w:spacing w:val="5"/>
          <w:sz w:val="35"/>
          <w:szCs w:val="35"/>
        </w:rPr>
      </w:pPr>
    </w:p>
    <w:p>
      <w:pPr>
        <w:spacing w:before="114" w:line="227" w:lineRule="auto"/>
        <w:outlineLvl w:val="9"/>
        <w:rPr>
          <w:rFonts w:ascii="黑体" w:hAnsi="黑体" w:eastAsia="黑体" w:cs="黑体"/>
          <w:b/>
          <w:bCs/>
          <w:spacing w:val="5"/>
          <w:sz w:val="35"/>
          <w:szCs w:val="35"/>
        </w:rPr>
      </w:pPr>
    </w:p>
    <w:p>
      <w:pPr>
        <w:spacing w:before="114" w:line="227" w:lineRule="auto"/>
        <w:ind w:left="2885"/>
        <w:outlineLvl w:val="9"/>
        <w:rPr>
          <w:rFonts w:ascii="黑体" w:hAnsi="黑体" w:eastAsia="黑体" w:cs="黑体"/>
          <w:b/>
          <w:bCs/>
          <w:spacing w:val="5"/>
          <w:sz w:val="35"/>
          <w:szCs w:val="35"/>
        </w:rPr>
      </w:pPr>
    </w:p>
    <w:p>
      <w:pPr>
        <w:jc w:val="center"/>
        <w:outlineLvl w:val="0"/>
        <w:rPr>
          <w:b/>
          <w:bCs/>
          <w:sz w:val="28"/>
          <w:szCs w:val="28"/>
        </w:rPr>
      </w:pPr>
      <w:bookmarkStart w:id="128" w:name="_Toc450"/>
      <w:r>
        <w:rPr>
          <w:b/>
          <w:bCs/>
          <w:sz w:val="28"/>
          <w:szCs w:val="28"/>
        </w:rPr>
        <w:t>第六章  投标文件格式</w:t>
      </w:r>
      <w:bookmarkEnd w:id="128"/>
    </w:p>
    <w:p/>
    <w:p>
      <w:pPr>
        <w:spacing w:line="360" w:lineRule="auto"/>
        <w:ind w:firstLine="420" w:firstLineChars="200"/>
      </w:pPr>
      <w:r>
        <w:t>投标人应按“投标人须知--投标文件的组成 ”列示内容编制投标文件，本章“投标文件格式 ”仅为对投标文件部分内容的格式化规范，并非投标文件所应具备的全部内容 。</w:t>
      </w:r>
    </w:p>
    <w:p>
      <w:pPr>
        <w:ind w:firstLine="0" w:firstLineChars="0"/>
        <w:jc w:val="left"/>
        <w:rPr>
          <w:rFonts w:hint="eastAsia"/>
          <w:sz w:val="28"/>
          <w:szCs w:val="36"/>
          <w:u w:val="single"/>
          <w:lang w:eastAsia="zh-CN"/>
        </w:rPr>
      </w:pPr>
    </w:p>
    <w:p>
      <w:pPr>
        <w:ind w:firstLine="0" w:firstLineChars="0"/>
        <w:jc w:val="left"/>
        <w:rPr>
          <w:rFonts w:hint="eastAsia"/>
          <w:sz w:val="28"/>
          <w:szCs w:val="36"/>
          <w:u w:val="single"/>
          <w:lang w:eastAsia="zh-CN"/>
        </w:rPr>
      </w:pPr>
    </w:p>
    <w:p>
      <w:pPr>
        <w:ind w:firstLine="0" w:firstLineChars="0"/>
        <w:jc w:val="center"/>
        <w:outlineLvl w:val="1"/>
        <w:rPr>
          <w:rFonts w:hint="default" w:eastAsiaTheme="minorEastAsia"/>
          <w:b/>
          <w:bCs/>
          <w:sz w:val="40"/>
          <w:szCs w:val="48"/>
          <w:u w:val="none"/>
          <w:lang w:val="en-US" w:eastAsia="zh-CN"/>
        </w:rPr>
      </w:pPr>
      <w:bookmarkStart w:id="129" w:name="_Toc25735"/>
      <w:r>
        <w:rPr>
          <w:rFonts w:hint="eastAsia"/>
          <w:b/>
          <w:bCs/>
          <w:sz w:val="40"/>
          <w:szCs w:val="48"/>
          <w:u w:val="none"/>
          <w:lang w:val="en-US" w:eastAsia="zh-CN"/>
        </w:rPr>
        <w:t>项目名称</w:t>
      </w:r>
      <w:bookmarkEnd w:id="129"/>
    </w:p>
    <w:p>
      <w:pPr>
        <w:jc w:val="center"/>
        <w:rPr>
          <w:rFonts w:hint="eastAsia" w:eastAsiaTheme="minorEastAsia"/>
          <w:lang w:val="en-US" w:eastAsia="zh-CN"/>
        </w:rPr>
      </w:pPr>
      <w:r>
        <w:rPr>
          <w:rFonts w:hint="eastAsia"/>
          <w:lang w:val="en-US" w:eastAsia="zh-CN"/>
        </w:rPr>
        <w:t xml:space="preserve"> </w:t>
      </w:r>
    </w:p>
    <w:p>
      <w:pPr>
        <w:spacing w:line="360" w:lineRule="auto"/>
        <w:jc w:val="center"/>
        <w:rPr>
          <w:b/>
          <w:bCs/>
          <w:sz w:val="72"/>
          <w:szCs w:val="144"/>
        </w:rPr>
      </w:pPr>
      <w:bookmarkStart w:id="130" w:name="bookmark52"/>
      <w:bookmarkEnd w:id="130"/>
    </w:p>
    <w:p>
      <w:pPr>
        <w:spacing w:line="360" w:lineRule="auto"/>
        <w:jc w:val="center"/>
        <w:rPr>
          <w:sz w:val="40"/>
          <w:szCs w:val="48"/>
        </w:rPr>
      </w:pPr>
      <w:r>
        <w:rPr>
          <w:b/>
          <w:bCs/>
          <w:sz w:val="72"/>
          <w:szCs w:val="144"/>
        </w:rPr>
        <w:t>投标文件</w:t>
      </w:r>
    </w:p>
    <w:p>
      <w:pPr>
        <w:spacing w:line="480" w:lineRule="auto"/>
        <w:jc w:val="center"/>
      </w:pPr>
      <w:r>
        <w:rPr>
          <w:b/>
          <w:bCs/>
          <w:sz w:val="28"/>
          <w:szCs w:val="36"/>
        </w:rPr>
        <w:t>项目编号：</w:t>
      </w:r>
    </w:p>
    <w:p/>
    <w:p/>
    <w:p/>
    <w:p/>
    <w:p/>
    <w:p/>
    <w:p/>
    <w:p/>
    <w:p>
      <w:pPr>
        <w:rPr>
          <w:b/>
          <w:bCs/>
          <w:sz w:val="24"/>
          <w:szCs w:val="32"/>
        </w:rPr>
      </w:pPr>
      <w:r>
        <w:rPr>
          <w:b/>
          <w:bCs/>
          <w:sz w:val="24"/>
          <w:szCs w:val="32"/>
        </w:rPr>
        <w:t>投标人：</w:t>
      </w:r>
      <w:r>
        <w:rPr>
          <w:b/>
          <w:bCs/>
          <w:sz w:val="24"/>
          <w:szCs w:val="32"/>
          <w:u w:val="single"/>
        </w:rPr>
        <w:t xml:space="preserve">                                   </w:t>
      </w:r>
      <w:r>
        <w:rPr>
          <w:b/>
          <w:bCs/>
          <w:sz w:val="24"/>
          <w:szCs w:val="32"/>
        </w:rPr>
        <w:t>（加盖电子签章）</w:t>
      </w:r>
    </w:p>
    <w:p>
      <w:pPr>
        <w:rPr>
          <w:b/>
          <w:bCs/>
          <w:sz w:val="24"/>
          <w:szCs w:val="32"/>
        </w:rPr>
      </w:pPr>
    </w:p>
    <w:p>
      <w:pPr>
        <w:rPr>
          <w:b/>
          <w:bCs/>
          <w:sz w:val="24"/>
          <w:szCs w:val="32"/>
        </w:rPr>
      </w:pPr>
    </w:p>
    <w:p>
      <w:pPr>
        <w:rPr>
          <w:b/>
          <w:bCs/>
          <w:sz w:val="24"/>
          <w:szCs w:val="32"/>
        </w:rPr>
      </w:pPr>
      <w:r>
        <w:rPr>
          <w:b/>
          <w:bCs/>
          <w:sz w:val="24"/>
          <w:szCs w:val="32"/>
        </w:rPr>
        <w:t>法定代表人：</w:t>
      </w:r>
      <w:r>
        <w:rPr>
          <w:b/>
          <w:bCs/>
          <w:sz w:val="24"/>
          <w:szCs w:val="32"/>
          <w:u w:val="single"/>
        </w:rPr>
        <w:t xml:space="preserve">                               </w:t>
      </w:r>
      <w:r>
        <w:rPr>
          <w:b/>
          <w:bCs/>
          <w:sz w:val="24"/>
          <w:szCs w:val="32"/>
        </w:rPr>
        <w:t>（加盖电子签名或签章）</w:t>
      </w:r>
    </w:p>
    <w:p>
      <w:pPr>
        <w:rPr>
          <w:b/>
          <w:bCs/>
          <w:sz w:val="24"/>
          <w:szCs w:val="32"/>
        </w:rPr>
      </w:pPr>
    </w:p>
    <w:p>
      <w:pPr>
        <w:rPr>
          <w:b/>
          <w:bCs/>
          <w:sz w:val="24"/>
          <w:szCs w:val="32"/>
        </w:rPr>
      </w:pPr>
    </w:p>
    <w:p>
      <w:pPr>
        <w:rPr>
          <w:rFonts w:hint="eastAsia" w:eastAsiaTheme="minorEastAsia"/>
          <w:b/>
          <w:bCs/>
          <w:i w:val="0"/>
          <w:iCs w:val="0"/>
          <w:sz w:val="24"/>
          <w:szCs w:val="32"/>
          <w:u w:val="none"/>
          <w:lang w:val="en-US" w:eastAsia="zh-CN"/>
        </w:rPr>
      </w:pPr>
      <w:r>
        <w:rPr>
          <w:b/>
          <w:bCs/>
          <w:sz w:val="24"/>
          <w:szCs w:val="32"/>
        </w:rPr>
        <w:t>投标日期：</w:t>
      </w:r>
      <w:r>
        <w:rPr>
          <w:b/>
          <w:bCs/>
          <w:i w:val="0"/>
          <w:iCs w:val="0"/>
          <w:sz w:val="24"/>
          <w:szCs w:val="32"/>
          <w:u w:val="none"/>
        </w:rPr>
        <w:t xml:space="preserve">            年           月          </w:t>
      </w:r>
      <w:r>
        <w:rPr>
          <w:rFonts w:hint="eastAsia"/>
          <w:b/>
          <w:bCs/>
          <w:i w:val="0"/>
          <w:iCs w:val="0"/>
          <w:sz w:val="24"/>
          <w:szCs w:val="32"/>
          <w:u w:val="none"/>
          <w:lang w:val="en-US" w:eastAsia="zh-CN"/>
        </w:rPr>
        <w:t>日</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4"/>
          <w:szCs w:val="24"/>
        </w:rPr>
      </w:pPr>
      <w:r>
        <w:rPr>
          <w:sz w:val="28"/>
          <w:szCs w:val="28"/>
        </w:rPr>
        <w:t>目 录</w:t>
      </w:r>
    </w:p>
    <w:p>
      <w:pPr>
        <w:rPr>
          <w:sz w:val="24"/>
          <w:szCs w:val="24"/>
        </w:rPr>
      </w:pPr>
    </w:p>
    <w:p>
      <w:pPr>
        <w:spacing w:before="149" w:line="360" w:lineRule="auto"/>
        <w:ind w:left="562"/>
        <w:rPr>
          <w:rFonts w:ascii="宋体" w:hAnsi="宋体" w:eastAsia="宋体" w:cs="宋体"/>
          <w:sz w:val="24"/>
          <w:szCs w:val="24"/>
        </w:rPr>
      </w:pPr>
      <w:r>
        <w:rPr>
          <w:rFonts w:ascii="宋体" w:hAnsi="宋体" w:eastAsia="宋体" w:cs="宋体"/>
          <w:spacing w:val="4"/>
          <w:sz w:val="24"/>
          <w:szCs w:val="24"/>
        </w:rPr>
        <w:t>（1）投标书</w:t>
      </w:r>
    </w:p>
    <w:p>
      <w:pPr>
        <w:spacing w:before="169" w:line="360" w:lineRule="auto"/>
        <w:ind w:left="562"/>
        <w:rPr>
          <w:rFonts w:ascii="宋体" w:hAnsi="宋体" w:eastAsia="宋体" w:cs="宋体"/>
          <w:sz w:val="24"/>
          <w:szCs w:val="24"/>
        </w:rPr>
      </w:pPr>
      <w:r>
        <w:rPr>
          <w:rFonts w:ascii="宋体" w:hAnsi="宋体" w:eastAsia="宋体" w:cs="宋体"/>
          <w:spacing w:val="5"/>
          <w:sz w:val="24"/>
          <w:szCs w:val="24"/>
        </w:rPr>
        <w:t>（2）开标一览表（报价一览表）</w:t>
      </w:r>
    </w:p>
    <w:p>
      <w:pPr>
        <w:spacing w:before="173" w:line="360" w:lineRule="auto"/>
        <w:ind w:left="562"/>
        <w:rPr>
          <w:rFonts w:ascii="宋体" w:hAnsi="宋体" w:eastAsia="宋体" w:cs="宋体"/>
          <w:sz w:val="24"/>
          <w:szCs w:val="24"/>
        </w:rPr>
      </w:pPr>
      <w:r>
        <w:rPr>
          <w:rFonts w:ascii="宋体" w:hAnsi="宋体" w:eastAsia="宋体" w:cs="宋体"/>
          <w:spacing w:val="5"/>
          <w:sz w:val="24"/>
          <w:szCs w:val="24"/>
        </w:rPr>
        <w:t>（3）投标报价明细表</w:t>
      </w:r>
    </w:p>
    <w:p>
      <w:pPr>
        <w:spacing w:before="170" w:line="360" w:lineRule="auto"/>
        <w:ind w:left="562"/>
        <w:rPr>
          <w:rFonts w:ascii="宋体" w:hAnsi="宋体" w:eastAsia="宋体" w:cs="宋体"/>
          <w:sz w:val="24"/>
          <w:szCs w:val="24"/>
        </w:rPr>
      </w:pPr>
      <w:r>
        <w:rPr>
          <w:rFonts w:ascii="宋体" w:hAnsi="宋体" w:eastAsia="宋体" w:cs="宋体"/>
          <w:spacing w:val="6"/>
          <w:sz w:val="24"/>
          <w:szCs w:val="24"/>
        </w:rPr>
        <w:t>（4）响应产品清单及具体技术参数</w:t>
      </w:r>
    </w:p>
    <w:p>
      <w:pPr>
        <w:spacing w:before="168" w:line="360" w:lineRule="auto"/>
        <w:ind w:left="562"/>
        <w:rPr>
          <w:rFonts w:ascii="宋体" w:hAnsi="宋体" w:eastAsia="宋体" w:cs="宋体"/>
          <w:sz w:val="24"/>
          <w:szCs w:val="24"/>
        </w:rPr>
      </w:pPr>
      <w:r>
        <w:rPr>
          <w:rFonts w:ascii="宋体" w:hAnsi="宋体" w:eastAsia="宋体" w:cs="宋体"/>
          <w:spacing w:val="5"/>
          <w:sz w:val="24"/>
          <w:szCs w:val="24"/>
        </w:rPr>
        <w:t>（5）技术偏差表</w:t>
      </w:r>
    </w:p>
    <w:p>
      <w:pPr>
        <w:spacing w:before="168" w:line="360" w:lineRule="auto"/>
        <w:ind w:left="562"/>
        <w:rPr>
          <w:rFonts w:ascii="宋体" w:hAnsi="宋体" w:eastAsia="宋体" w:cs="宋体"/>
          <w:sz w:val="24"/>
          <w:szCs w:val="24"/>
        </w:rPr>
      </w:pPr>
      <w:r>
        <w:rPr>
          <w:rFonts w:ascii="宋体" w:hAnsi="宋体" w:eastAsia="宋体" w:cs="宋体"/>
          <w:spacing w:val="5"/>
          <w:sz w:val="24"/>
          <w:szCs w:val="24"/>
        </w:rPr>
        <w:t>（6）其他偏差表</w:t>
      </w:r>
    </w:p>
    <w:p>
      <w:pPr>
        <w:spacing w:before="171" w:line="360" w:lineRule="auto"/>
        <w:ind w:left="562"/>
        <w:rPr>
          <w:rFonts w:ascii="宋体" w:hAnsi="宋体" w:eastAsia="宋体" w:cs="宋体"/>
          <w:sz w:val="24"/>
          <w:szCs w:val="24"/>
        </w:rPr>
      </w:pPr>
      <w:r>
        <w:rPr>
          <w:rFonts w:ascii="宋体" w:hAnsi="宋体" w:eastAsia="宋体" w:cs="宋体"/>
          <w:spacing w:val="5"/>
          <w:sz w:val="24"/>
          <w:szCs w:val="24"/>
        </w:rPr>
        <w:t>（7）售后服务及其它</w:t>
      </w:r>
    </w:p>
    <w:p>
      <w:pPr>
        <w:spacing w:before="166" w:line="360" w:lineRule="auto"/>
        <w:ind w:left="562"/>
        <w:rPr>
          <w:rFonts w:ascii="宋体" w:hAnsi="宋体" w:eastAsia="宋体" w:cs="宋体"/>
          <w:sz w:val="24"/>
          <w:szCs w:val="24"/>
        </w:rPr>
      </w:pPr>
      <w:r>
        <w:rPr>
          <w:rFonts w:ascii="宋体" w:hAnsi="宋体" w:eastAsia="宋体" w:cs="宋体"/>
          <w:spacing w:val="5"/>
          <w:sz w:val="24"/>
          <w:szCs w:val="24"/>
        </w:rPr>
        <w:t>（8）关于资格的声明函</w:t>
      </w:r>
    </w:p>
    <w:p>
      <w:pPr>
        <w:spacing w:before="171" w:line="360" w:lineRule="auto"/>
        <w:ind w:left="562"/>
        <w:rPr>
          <w:rFonts w:ascii="宋体" w:hAnsi="宋体" w:eastAsia="宋体" w:cs="宋体"/>
          <w:sz w:val="24"/>
          <w:szCs w:val="24"/>
        </w:rPr>
      </w:pPr>
      <w:r>
        <w:rPr>
          <w:rFonts w:ascii="宋体" w:hAnsi="宋体" w:eastAsia="宋体" w:cs="宋体"/>
          <w:spacing w:val="5"/>
          <w:sz w:val="24"/>
          <w:szCs w:val="24"/>
        </w:rPr>
        <w:t>（9）反商业贿赂承诺书</w:t>
      </w:r>
    </w:p>
    <w:p>
      <w:pPr>
        <w:spacing w:before="169" w:line="360" w:lineRule="auto"/>
        <w:ind w:left="562"/>
        <w:rPr>
          <w:rFonts w:ascii="宋体" w:hAnsi="宋体" w:eastAsia="宋体" w:cs="宋体"/>
          <w:sz w:val="24"/>
          <w:szCs w:val="24"/>
        </w:rPr>
      </w:pPr>
      <w:r>
        <w:rPr>
          <w:rFonts w:ascii="宋体" w:hAnsi="宋体" w:eastAsia="宋体" w:cs="宋体"/>
          <w:spacing w:val="4"/>
          <w:sz w:val="24"/>
          <w:szCs w:val="24"/>
        </w:rPr>
        <w:t>（10）履约承诺书</w:t>
      </w:r>
    </w:p>
    <w:p>
      <w:pPr>
        <w:spacing w:before="169" w:line="360" w:lineRule="auto"/>
        <w:ind w:left="562"/>
        <w:rPr>
          <w:rFonts w:ascii="宋体" w:hAnsi="宋体" w:eastAsia="宋体" w:cs="宋体"/>
          <w:sz w:val="24"/>
          <w:szCs w:val="24"/>
        </w:rPr>
      </w:pPr>
      <w:r>
        <w:rPr>
          <w:rFonts w:ascii="宋体" w:hAnsi="宋体" w:eastAsia="宋体" w:cs="宋体"/>
          <w:spacing w:val="6"/>
          <w:sz w:val="24"/>
          <w:szCs w:val="24"/>
        </w:rPr>
        <w:t>（11）资格要求相关证明材料（文件）</w:t>
      </w:r>
    </w:p>
    <w:p>
      <w:pPr>
        <w:spacing w:before="169" w:line="360" w:lineRule="auto"/>
        <w:ind w:left="562"/>
        <w:rPr>
          <w:rFonts w:ascii="宋体" w:hAnsi="宋体" w:eastAsia="宋体" w:cs="宋体"/>
          <w:sz w:val="24"/>
          <w:szCs w:val="24"/>
        </w:rPr>
      </w:pPr>
      <w:r>
        <w:rPr>
          <w:rFonts w:ascii="宋体" w:hAnsi="宋体" w:eastAsia="宋体" w:cs="宋体"/>
          <w:spacing w:val="7"/>
          <w:sz w:val="24"/>
          <w:szCs w:val="24"/>
        </w:rPr>
        <w:t>（12）采购项目及技术服务要求所需的其他</w:t>
      </w:r>
      <w:r>
        <w:rPr>
          <w:rFonts w:ascii="宋体" w:hAnsi="宋体" w:eastAsia="宋体" w:cs="宋体"/>
          <w:spacing w:val="6"/>
          <w:sz w:val="24"/>
          <w:szCs w:val="24"/>
        </w:rPr>
        <w:t>材料（按条款需要）</w:t>
      </w:r>
    </w:p>
    <w:p>
      <w:pPr>
        <w:spacing w:before="170" w:line="360" w:lineRule="auto"/>
        <w:ind w:left="562"/>
        <w:rPr>
          <w:rFonts w:ascii="宋体" w:hAnsi="宋体" w:eastAsia="宋体" w:cs="宋体"/>
          <w:sz w:val="24"/>
          <w:szCs w:val="24"/>
        </w:rPr>
      </w:pPr>
      <w:r>
        <w:rPr>
          <w:rFonts w:ascii="宋体" w:hAnsi="宋体" w:eastAsia="宋体" w:cs="宋体"/>
          <w:spacing w:val="6"/>
          <w:sz w:val="24"/>
          <w:szCs w:val="24"/>
        </w:rPr>
        <w:t>（13）</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须知所需的其他材料（按条款需要）</w:t>
      </w:r>
    </w:p>
    <w:p>
      <w:pPr>
        <w:spacing w:before="171" w:line="360" w:lineRule="auto"/>
        <w:ind w:left="562"/>
        <w:rPr>
          <w:rFonts w:ascii="宋体" w:hAnsi="宋体" w:eastAsia="宋体" w:cs="宋体"/>
          <w:sz w:val="24"/>
          <w:szCs w:val="24"/>
        </w:rPr>
      </w:pPr>
      <w:r>
        <w:rPr>
          <w:rFonts w:ascii="宋体" w:hAnsi="宋体" w:eastAsia="宋体" w:cs="宋体"/>
          <w:spacing w:val="6"/>
          <w:sz w:val="24"/>
          <w:szCs w:val="24"/>
        </w:rPr>
        <w:t>（14）评审办法所需的其他材料（按条款需要）</w:t>
      </w:r>
    </w:p>
    <w:p>
      <w:pPr>
        <w:spacing w:before="170" w:line="360" w:lineRule="auto"/>
        <w:ind w:left="562"/>
        <w:rPr>
          <w:rFonts w:ascii="宋体" w:hAnsi="宋体" w:eastAsia="宋体" w:cs="宋体"/>
          <w:sz w:val="20"/>
          <w:szCs w:val="20"/>
        </w:rPr>
      </w:pPr>
      <w:r>
        <w:rPr>
          <w:rFonts w:ascii="宋体" w:hAnsi="宋体" w:eastAsia="宋体" w:cs="宋体"/>
          <w:spacing w:val="6"/>
          <w:sz w:val="24"/>
          <w:szCs w:val="24"/>
        </w:rPr>
        <w:t>（15）</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认为有必要提交的其它材料</w:t>
      </w:r>
    </w:p>
    <w:p/>
    <w:p/>
    <w:p/>
    <w:p/>
    <w:p/>
    <w:p/>
    <w:p/>
    <w:p/>
    <w:p>
      <w:pPr>
        <w:jc w:val="center"/>
      </w:pPr>
    </w:p>
    <w:p>
      <w:pPr>
        <w:jc w:val="center"/>
      </w:pPr>
    </w:p>
    <w:p>
      <w:pPr>
        <w:jc w:val="center"/>
      </w:pPr>
    </w:p>
    <w:p>
      <w:pPr>
        <w:jc w:val="center"/>
      </w:pPr>
    </w:p>
    <w:p>
      <w:pPr>
        <w:jc w:val="center"/>
      </w:pPr>
    </w:p>
    <w:p/>
    <w:p>
      <w:pPr>
        <w:pStyle w:val="33"/>
        <w:tabs>
          <w:tab w:val="left" w:pos="4438"/>
        </w:tabs>
        <w:ind w:left="0" w:leftChars="0" w:firstLine="0" w:firstLineChars="0"/>
        <w:rPr>
          <w:rFonts w:hint="eastAsia" w:eastAsia="华文楷体"/>
          <w:b/>
          <w:bCs/>
          <w:sz w:val="28"/>
          <w:szCs w:val="28"/>
          <w:lang w:eastAsia="zh-CN"/>
        </w:rPr>
      </w:pPr>
      <w:bookmarkStart w:id="131" w:name="_Toc4153"/>
    </w:p>
    <w:p>
      <w:pPr>
        <w:spacing w:line="360" w:lineRule="auto"/>
        <w:jc w:val="center"/>
        <w:outlineLvl w:val="1"/>
        <w:rPr>
          <w:b/>
          <w:bCs/>
          <w:sz w:val="28"/>
          <w:szCs w:val="28"/>
        </w:rPr>
      </w:pPr>
      <w:r>
        <w:rPr>
          <w:b/>
          <w:bCs/>
          <w:sz w:val="28"/>
          <w:szCs w:val="28"/>
        </w:rPr>
        <w:t>1 、 投 标 书</w:t>
      </w:r>
      <w:bookmarkEnd w:id="131"/>
    </w:p>
    <w:p>
      <w:pPr>
        <w:spacing w:line="360" w:lineRule="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rFonts w:hint="eastAsia"/>
          <w:color w:val="auto"/>
          <w:sz w:val="24"/>
          <w:szCs w:val="24"/>
          <w:highlight w:val="none"/>
          <w:lang w:val="en-US" w:eastAsia="zh-CN"/>
        </w:rPr>
        <w:t>采购人</w:t>
      </w:r>
      <w:r>
        <w:rPr>
          <w:rFonts w:hint="eastAsia"/>
          <w:color w:val="auto"/>
          <w:sz w:val="24"/>
          <w:szCs w:val="24"/>
          <w:highlight w:val="none"/>
          <w:lang w:eastAsia="zh-CN"/>
        </w:rPr>
        <w:t>）</w:t>
      </w:r>
      <w:r>
        <w:rPr>
          <w:color w:val="auto"/>
          <w:sz w:val="24"/>
          <w:szCs w:val="24"/>
          <w:highlight w:val="none"/>
        </w:rPr>
        <w:t>：</w:t>
      </w:r>
    </w:p>
    <w:p>
      <w:pPr>
        <w:spacing w:line="360" w:lineRule="auto"/>
        <w:ind w:firstLine="480" w:firstLineChars="200"/>
        <w:rPr>
          <w:sz w:val="24"/>
          <w:szCs w:val="24"/>
        </w:rPr>
      </w:pPr>
      <w:r>
        <w:rPr>
          <w:sz w:val="24"/>
          <w:szCs w:val="24"/>
        </w:rPr>
        <w:t>根据贵方公开招标</w:t>
      </w:r>
      <w:r>
        <w:rPr>
          <w:sz w:val="24"/>
          <w:szCs w:val="24"/>
          <w:u w:val="single"/>
        </w:rPr>
        <w:t xml:space="preserve">（项目名称）                </w:t>
      </w:r>
      <w:r>
        <w:rPr>
          <w:sz w:val="24"/>
          <w:szCs w:val="24"/>
        </w:rPr>
        <w:t>的招标文件</w:t>
      </w:r>
      <w:r>
        <w:rPr>
          <w:sz w:val="24"/>
          <w:szCs w:val="24"/>
          <w:u w:val="single"/>
        </w:rPr>
        <w:t>（项目编号：          ）</w:t>
      </w:r>
      <w:r>
        <w:rPr>
          <w:sz w:val="24"/>
          <w:szCs w:val="24"/>
        </w:rPr>
        <w:t>，经详细研究，我们决定参加该项目的采购活动并按要求提交投标文件。我们郑重声明对我单位提交的所有投标资料的真实准确完整承担完全责任、并对之负法律责任。</w:t>
      </w:r>
    </w:p>
    <w:p>
      <w:pPr>
        <w:spacing w:line="360" w:lineRule="auto"/>
        <w:rPr>
          <w:sz w:val="24"/>
          <w:szCs w:val="24"/>
        </w:rPr>
      </w:pPr>
      <w:r>
        <w:rPr>
          <w:sz w:val="24"/>
          <w:szCs w:val="24"/>
        </w:rPr>
        <w:t>符合性响应文件</w:t>
      </w:r>
    </w:p>
    <w:p>
      <w:pPr>
        <w:spacing w:before="149" w:line="240" w:lineRule="auto"/>
        <w:ind w:left="562"/>
        <w:rPr>
          <w:rFonts w:ascii="宋体" w:hAnsi="宋体" w:eastAsia="宋体" w:cs="宋体"/>
          <w:sz w:val="24"/>
          <w:szCs w:val="24"/>
        </w:rPr>
      </w:pPr>
      <w:r>
        <w:rPr>
          <w:rFonts w:ascii="宋体" w:hAnsi="宋体" w:eastAsia="宋体" w:cs="宋体"/>
          <w:spacing w:val="4"/>
          <w:sz w:val="24"/>
          <w:szCs w:val="24"/>
        </w:rPr>
        <w:t>（1）投标书</w:t>
      </w:r>
    </w:p>
    <w:p>
      <w:pPr>
        <w:spacing w:before="169" w:line="240" w:lineRule="auto"/>
        <w:ind w:left="562"/>
        <w:rPr>
          <w:rFonts w:ascii="宋体" w:hAnsi="宋体" w:eastAsia="宋体" w:cs="宋体"/>
          <w:sz w:val="24"/>
          <w:szCs w:val="24"/>
        </w:rPr>
      </w:pPr>
      <w:r>
        <w:rPr>
          <w:rFonts w:ascii="宋体" w:hAnsi="宋体" w:eastAsia="宋体" w:cs="宋体"/>
          <w:spacing w:val="5"/>
          <w:sz w:val="24"/>
          <w:szCs w:val="24"/>
        </w:rPr>
        <w:t>（2）开标一览表（报价一览表）</w:t>
      </w:r>
    </w:p>
    <w:p>
      <w:pPr>
        <w:spacing w:before="173" w:line="240" w:lineRule="auto"/>
        <w:ind w:left="562"/>
        <w:rPr>
          <w:rFonts w:ascii="宋体" w:hAnsi="宋体" w:eastAsia="宋体" w:cs="宋体"/>
          <w:sz w:val="24"/>
          <w:szCs w:val="24"/>
        </w:rPr>
      </w:pPr>
      <w:r>
        <w:rPr>
          <w:rFonts w:ascii="宋体" w:hAnsi="宋体" w:eastAsia="宋体" w:cs="宋体"/>
          <w:spacing w:val="5"/>
          <w:sz w:val="24"/>
          <w:szCs w:val="24"/>
        </w:rPr>
        <w:t>（3）投标报价明细表</w:t>
      </w:r>
    </w:p>
    <w:p>
      <w:pPr>
        <w:spacing w:before="170" w:line="240" w:lineRule="auto"/>
        <w:ind w:left="562"/>
        <w:rPr>
          <w:rFonts w:ascii="宋体" w:hAnsi="宋体" w:eastAsia="宋体" w:cs="宋体"/>
          <w:sz w:val="24"/>
          <w:szCs w:val="24"/>
        </w:rPr>
      </w:pPr>
      <w:r>
        <w:rPr>
          <w:rFonts w:ascii="宋体" w:hAnsi="宋体" w:eastAsia="宋体" w:cs="宋体"/>
          <w:spacing w:val="6"/>
          <w:sz w:val="24"/>
          <w:szCs w:val="24"/>
        </w:rPr>
        <w:t>（4）响应产品清单及具体技术参数</w:t>
      </w:r>
    </w:p>
    <w:p>
      <w:pPr>
        <w:spacing w:before="168" w:line="240" w:lineRule="auto"/>
        <w:ind w:left="562"/>
        <w:rPr>
          <w:rFonts w:ascii="宋体" w:hAnsi="宋体" w:eastAsia="宋体" w:cs="宋体"/>
          <w:sz w:val="24"/>
          <w:szCs w:val="24"/>
        </w:rPr>
      </w:pPr>
      <w:r>
        <w:rPr>
          <w:rFonts w:ascii="宋体" w:hAnsi="宋体" w:eastAsia="宋体" w:cs="宋体"/>
          <w:spacing w:val="5"/>
          <w:sz w:val="24"/>
          <w:szCs w:val="24"/>
        </w:rPr>
        <w:t>（5）技术偏差表</w:t>
      </w:r>
    </w:p>
    <w:p>
      <w:pPr>
        <w:spacing w:before="168" w:line="240" w:lineRule="auto"/>
        <w:ind w:left="562"/>
        <w:rPr>
          <w:rFonts w:ascii="宋体" w:hAnsi="宋体" w:eastAsia="宋体" w:cs="宋体"/>
          <w:sz w:val="24"/>
          <w:szCs w:val="24"/>
        </w:rPr>
      </w:pPr>
      <w:r>
        <w:rPr>
          <w:rFonts w:ascii="宋体" w:hAnsi="宋体" w:eastAsia="宋体" w:cs="宋体"/>
          <w:spacing w:val="5"/>
          <w:sz w:val="24"/>
          <w:szCs w:val="24"/>
        </w:rPr>
        <w:t>（6）其他偏差表</w:t>
      </w:r>
    </w:p>
    <w:p>
      <w:pPr>
        <w:spacing w:before="171" w:line="240" w:lineRule="auto"/>
        <w:ind w:left="562"/>
        <w:rPr>
          <w:rFonts w:ascii="宋体" w:hAnsi="宋体" w:eastAsia="宋体" w:cs="宋体"/>
          <w:sz w:val="24"/>
          <w:szCs w:val="24"/>
        </w:rPr>
      </w:pPr>
      <w:r>
        <w:rPr>
          <w:rFonts w:ascii="宋体" w:hAnsi="宋体" w:eastAsia="宋体" w:cs="宋体"/>
          <w:spacing w:val="5"/>
          <w:sz w:val="24"/>
          <w:szCs w:val="24"/>
        </w:rPr>
        <w:t>（7）售后服务及其它</w:t>
      </w:r>
    </w:p>
    <w:p>
      <w:pPr>
        <w:spacing w:before="166" w:line="240" w:lineRule="auto"/>
        <w:ind w:left="562"/>
        <w:rPr>
          <w:rFonts w:ascii="宋体" w:hAnsi="宋体" w:eastAsia="宋体" w:cs="宋体"/>
          <w:sz w:val="24"/>
          <w:szCs w:val="24"/>
        </w:rPr>
      </w:pPr>
      <w:r>
        <w:rPr>
          <w:rFonts w:ascii="宋体" w:hAnsi="宋体" w:eastAsia="宋体" w:cs="宋体"/>
          <w:spacing w:val="5"/>
          <w:sz w:val="24"/>
          <w:szCs w:val="24"/>
        </w:rPr>
        <w:t>（8）关于资格的声明函</w:t>
      </w:r>
    </w:p>
    <w:p>
      <w:pPr>
        <w:spacing w:before="171" w:line="240" w:lineRule="auto"/>
        <w:ind w:left="562"/>
        <w:rPr>
          <w:rFonts w:ascii="宋体" w:hAnsi="宋体" w:eastAsia="宋体" w:cs="宋体"/>
          <w:sz w:val="24"/>
          <w:szCs w:val="24"/>
        </w:rPr>
      </w:pPr>
      <w:r>
        <w:rPr>
          <w:rFonts w:ascii="宋体" w:hAnsi="宋体" w:eastAsia="宋体" w:cs="宋体"/>
          <w:spacing w:val="5"/>
          <w:sz w:val="24"/>
          <w:szCs w:val="24"/>
        </w:rPr>
        <w:t>（9）反商业贿赂承诺书</w:t>
      </w:r>
    </w:p>
    <w:p>
      <w:pPr>
        <w:spacing w:before="169" w:line="240" w:lineRule="auto"/>
        <w:ind w:left="562"/>
        <w:rPr>
          <w:rFonts w:ascii="宋体" w:hAnsi="宋体" w:eastAsia="宋体" w:cs="宋体"/>
          <w:sz w:val="24"/>
          <w:szCs w:val="24"/>
        </w:rPr>
      </w:pPr>
      <w:r>
        <w:rPr>
          <w:rFonts w:ascii="宋体" w:hAnsi="宋体" w:eastAsia="宋体" w:cs="宋体"/>
          <w:spacing w:val="4"/>
          <w:sz w:val="24"/>
          <w:szCs w:val="24"/>
        </w:rPr>
        <w:t>（10）履约承诺书</w:t>
      </w:r>
    </w:p>
    <w:p>
      <w:pPr>
        <w:spacing w:before="169" w:line="240" w:lineRule="auto"/>
        <w:ind w:left="562"/>
        <w:rPr>
          <w:rFonts w:ascii="宋体" w:hAnsi="宋体" w:eastAsia="宋体" w:cs="宋体"/>
          <w:sz w:val="24"/>
          <w:szCs w:val="24"/>
        </w:rPr>
      </w:pPr>
      <w:r>
        <w:rPr>
          <w:rFonts w:ascii="宋体" w:hAnsi="宋体" w:eastAsia="宋体" w:cs="宋体"/>
          <w:spacing w:val="6"/>
          <w:sz w:val="24"/>
          <w:szCs w:val="24"/>
        </w:rPr>
        <w:t>（11）资格要求相关证明材料（文件）</w:t>
      </w:r>
    </w:p>
    <w:p>
      <w:pPr>
        <w:spacing w:before="169" w:line="240" w:lineRule="auto"/>
        <w:ind w:left="562"/>
        <w:rPr>
          <w:rFonts w:ascii="宋体" w:hAnsi="宋体" w:eastAsia="宋体" w:cs="宋体"/>
          <w:sz w:val="24"/>
          <w:szCs w:val="24"/>
        </w:rPr>
      </w:pPr>
      <w:r>
        <w:rPr>
          <w:rFonts w:ascii="宋体" w:hAnsi="宋体" w:eastAsia="宋体" w:cs="宋体"/>
          <w:spacing w:val="7"/>
          <w:sz w:val="24"/>
          <w:szCs w:val="24"/>
        </w:rPr>
        <w:t>（12）采购项目及技术服务要求所需的其他</w:t>
      </w:r>
      <w:r>
        <w:rPr>
          <w:rFonts w:ascii="宋体" w:hAnsi="宋体" w:eastAsia="宋体" w:cs="宋体"/>
          <w:spacing w:val="6"/>
          <w:sz w:val="24"/>
          <w:szCs w:val="24"/>
        </w:rPr>
        <w:t>材料（按条款需要）</w:t>
      </w:r>
    </w:p>
    <w:p>
      <w:pPr>
        <w:spacing w:before="170" w:line="240" w:lineRule="auto"/>
        <w:ind w:left="562"/>
        <w:rPr>
          <w:rFonts w:ascii="宋体" w:hAnsi="宋体" w:eastAsia="宋体" w:cs="宋体"/>
          <w:sz w:val="24"/>
          <w:szCs w:val="24"/>
        </w:rPr>
      </w:pPr>
      <w:r>
        <w:rPr>
          <w:rFonts w:ascii="宋体" w:hAnsi="宋体" w:eastAsia="宋体" w:cs="宋体"/>
          <w:spacing w:val="6"/>
          <w:sz w:val="24"/>
          <w:szCs w:val="24"/>
        </w:rPr>
        <w:t>（13）</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须知所需的其他材料（按条款需要）</w:t>
      </w:r>
    </w:p>
    <w:p>
      <w:pPr>
        <w:spacing w:before="171" w:line="240" w:lineRule="auto"/>
        <w:ind w:left="562"/>
        <w:rPr>
          <w:rFonts w:ascii="宋体" w:hAnsi="宋体" w:eastAsia="宋体" w:cs="宋体"/>
          <w:sz w:val="24"/>
          <w:szCs w:val="24"/>
        </w:rPr>
      </w:pPr>
      <w:r>
        <w:rPr>
          <w:rFonts w:ascii="宋体" w:hAnsi="宋体" w:eastAsia="宋体" w:cs="宋体"/>
          <w:spacing w:val="6"/>
          <w:sz w:val="24"/>
          <w:szCs w:val="24"/>
        </w:rPr>
        <w:t>（14）评审办法所需的其他材料（按条款需要）</w:t>
      </w:r>
    </w:p>
    <w:p>
      <w:pPr>
        <w:spacing w:before="170" w:line="360" w:lineRule="auto"/>
        <w:ind w:left="562"/>
        <w:rPr>
          <w:sz w:val="24"/>
          <w:szCs w:val="24"/>
        </w:rPr>
      </w:pPr>
      <w:r>
        <w:rPr>
          <w:rFonts w:ascii="宋体" w:hAnsi="宋体" w:eastAsia="宋体" w:cs="宋体"/>
          <w:spacing w:val="6"/>
          <w:sz w:val="24"/>
          <w:szCs w:val="24"/>
        </w:rPr>
        <w:t>（15）</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认为有必要提交的其它材料</w:t>
      </w:r>
    </w:p>
    <w:p>
      <w:pPr>
        <w:spacing w:line="360" w:lineRule="auto"/>
        <w:ind w:firstLine="480" w:firstLineChars="200"/>
        <w:rPr>
          <w:sz w:val="24"/>
          <w:szCs w:val="24"/>
        </w:rPr>
      </w:pPr>
      <w:r>
        <w:rPr>
          <w:sz w:val="24"/>
          <w:szCs w:val="24"/>
        </w:rPr>
        <w:t xml:space="preserve">1. 愿按照招标文件中规定的条款和要求，提供完成招标文件规定的全部工作， </w:t>
      </w:r>
      <w:r>
        <w:rPr>
          <w:sz w:val="24"/>
          <w:szCs w:val="24"/>
          <w:u w:val="single"/>
        </w:rPr>
        <w:t xml:space="preserve">包   </w:t>
      </w:r>
      <w:r>
        <w:rPr>
          <w:sz w:val="24"/>
          <w:szCs w:val="24"/>
        </w:rPr>
        <w:t>投标总价为人民币</w:t>
      </w:r>
      <w:r>
        <w:rPr>
          <w:sz w:val="24"/>
          <w:szCs w:val="24"/>
          <w:u w:val="single"/>
        </w:rPr>
        <w:t xml:space="preserve">（大写）              </w:t>
      </w:r>
      <w:r>
        <w:rPr>
          <w:sz w:val="24"/>
          <w:szCs w:val="24"/>
        </w:rPr>
        <w:t>，（</w:t>
      </w:r>
      <w:r>
        <w:rPr>
          <w:sz w:val="24"/>
          <w:szCs w:val="24"/>
          <w:u w:val="single"/>
        </w:rPr>
        <w:t xml:space="preserve"> RMB¥：       元 </w:t>
      </w:r>
      <w:r>
        <w:rPr>
          <w:sz w:val="24"/>
          <w:szCs w:val="24"/>
        </w:rPr>
        <w:t>）， 交付（实施）期</w:t>
      </w:r>
      <w:r>
        <w:rPr>
          <w:sz w:val="24"/>
          <w:szCs w:val="24"/>
          <w:u w:val="none"/>
        </w:rPr>
        <w:t>：</w:t>
      </w:r>
      <w:r>
        <w:rPr>
          <w:sz w:val="24"/>
          <w:szCs w:val="24"/>
          <w:u w:val="single"/>
        </w:rPr>
        <w:t xml:space="preserve">            </w:t>
      </w:r>
      <w:r>
        <w:rPr>
          <w:sz w:val="24"/>
          <w:szCs w:val="24"/>
        </w:rPr>
        <w:t xml:space="preserve"> ，交付（实施）地点：</w:t>
      </w:r>
      <w:r>
        <w:rPr>
          <w:sz w:val="24"/>
          <w:szCs w:val="24"/>
          <w:u w:val="single"/>
        </w:rPr>
        <w:t xml:space="preserve">               </w:t>
      </w:r>
      <w:r>
        <w:rPr>
          <w:sz w:val="24"/>
          <w:szCs w:val="24"/>
        </w:rPr>
        <w:t>。</w:t>
      </w:r>
    </w:p>
    <w:p>
      <w:pPr>
        <w:spacing w:line="360" w:lineRule="auto"/>
        <w:ind w:firstLine="480" w:firstLineChars="200"/>
        <w:rPr>
          <w:sz w:val="24"/>
          <w:szCs w:val="24"/>
        </w:rPr>
      </w:pPr>
      <w:r>
        <w:rPr>
          <w:sz w:val="24"/>
          <w:szCs w:val="24"/>
        </w:rPr>
        <w:t>2.</w:t>
      </w:r>
      <w:r>
        <w:rPr>
          <w:rFonts w:hint="eastAsia"/>
          <w:sz w:val="24"/>
          <w:szCs w:val="24"/>
        </w:rPr>
        <w:t>如果我们的投标文件被接受，我们将履行招标文件中规定的每一项要求，按期、按质、按量履行合同。</w:t>
      </w:r>
    </w:p>
    <w:p>
      <w:pPr>
        <w:spacing w:line="360" w:lineRule="auto"/>
        <w:ind w:firstLine="480" w:firstLineChars="200"/>
        <w:rPr>
          <w:sz w:val="24"/>
          <w:szCs w:val="24"/>
        </w:rPr>
      </w:pPr>
      <w:r>
        <w:rPr>
          <w:sz w:val="24"/>
          <w:szCs w:val="24"/>
        </w:rPr>
        <w:t>3.我们已详细阅读全部招标文件，包括修改文件以及全部参考资料和有关附件。我们完全理解并同意放弃对这方面有不明及误解的权力。</w:t>
      </w:r>
    </w:p>
    <w:p>
      <w:pPr>
        <w:spacing w:line="360" w:lineRule="auto"/>
        <w:ind w:firstLine="480" w:firstLineChars="200"/>
        <w:rPr>
          <w:sz w:val="24"/>
          <w:szCs w:val="24"/>
        </w:rPr>
      </w:pPr>
      <w:r>
        <w:rPr>
          <w:sz w:val="24"/>
          <w:szCs w:val="24"/>
        </w:rPr>
        <w:t>4.我们同意提供按照贵方可能要求的与其投标有关的一切数据或资料，理解贵方不一定要接受最低价的投标或收到的任何投标。</w:t>
      </w:r>
    </w:p>
    <w:p>
      <w:pPr>
        <w:spacing w:line="360" w:lineRule="auto"/>
        <w:ind w:firstLine="480" w:firstLineChars="200"/>
        <w:rPr>
          <w:sz w:val="24"/>
          <w:szCs w:val="24"/>
        </w:rPr>
      </w:pPr>
      <w:r>
        <w:rPr>
          <w:sz w:val="24"/>
          <w:szCs w:val="24"/>
        </w:rPr>
        <w:t>5.本投标自开标日起有效期</w:t>
      </w:r>
      <w:r>
        <w:rPr>
          <w:color w:val="auto"/>
          <w:sz w:val="24"/>
          <w:szCs w:val="24"/>
          <w:highlight w:val="none"/>
        </w:rPr>
        <w:t>为</w:t>
      </w:r>
      <w:r>
        <w:rPr>
          <w:rFonts w:hint="eastAsia"/>
          <w:color w:val="auto"/>
          <w:sz w:val="24"/>
          <w:szCs w:val="24"/>
          <w:highlight w:val="none"/>
          <w:lang w:val="en-US" w:eastAsia="zh-CN"/>
        </w:rPr>
        <w:t>90</w:t>
      </w:r>
      <w:r>
        <w:rPr>
          <w:color w:val="auto"/>
          <w:sz w:val="24"/>
          <w:szCs w:val="24"/>
          <w:highlight w:val="none"/>
        </w:rPr>
        <w:t>日</w:t>
      </w:r>
      <w:r>
        <w:rPr>
          <w:sz w:val="24"/>
          <w:szCs w:val="24"/>
        </w:rPr>
        <w:t>历天。</w:t>
      </w:r>
    </w:p>
    <w:p>
      <w:pPr>
        <w:spacing w:line="360" w:lineRule="auto"/>
        <w:ind w:firstLine="480" w:firstLineChars="200"/>
        <w:rPr>
          <w:sz w:val="24"/>
          <w:szCs w:val="24"/>
        </w:rPr>
      </w:pPr>
      <w:r>
        <w:rPr>
          <w:sz w:val="24"/>
          <w:szCs w:val="24"/>
        </w:rPr>
        <w:t>6.我们愿按《中华人民共和国民法典》履行其的全部责任。</w:t>
      </w:r>
    </w:p>
    <w:p>
      <w:pPr>
        <w:spacing w:line="360" w:lineRule="auto"/>
        <w:ind w:firstLine="480" w:firstLineChars="200"/>
        <w:rPr>
          <w:sz w:val="24"/>
          <w:szCs w:val="24"/>
        </w:rPr>
      </w:pPr>
      <w:r>
        <w:rPr>
          <w:sz w:val="24"/>
          <w:szCs w:val="24"/>
        </w:rPr>
        <w:t>7. 我们承诺按照《招标文件》规定的付款方式执行。</w:t>
      </w:r>
    </w:p>
    <w:p>
      <w:pPr>
        <w:spacing w:line="360" w:lineRule="auto"/>
        <w:ind w:firstLine="480" w:firstLineChars="200"/>
        <w:rPr>
          <w:sz w:val="24"/>
          <w:szCs w:val="24"/>
        </w:rPr>
      </w:pPr>
      <w:r>
        <w:rPr>
          <w:sz w:val="24"/>
          <w:szCs w:val="24"/>
        </w:rPr>
        <w:t>8.如果在规定的开标时间后，我单位在投标有效期内撤回投标的，依据招标文件“第三章 3.5.5违背承诺的责任追究措施 ”，我单位承担相应法律责任及违约责任。</w:t>
      </w:r>
    </w:p>
    <w:p>
      <w:pPr>
        <w:spacing w:line="360" w:lineRule="auto"/>
        <w:ind w:firstLine="480" w:firstLineChars="200"/>
        <w:rPr>
          <w:sz w:val="24"/>
          <w:szCs w:val="24"/>
        </w:rPr>
      </w:pPr>
      <w:r>
        <w:rPr>
          <w:sz w:val="24"/>
          <w:szCs w:val="24"/>
        </w:rPr>
        <w:t>与本投标有关的一切正式往来请寄：</w:t>
      </w: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地址：                             邮政编码：</w:t>
      </w:r>
    </w:p>
    <w:p>
      <w:pPr>
        <w:spacing w:line="360" w:lineRule="auto"/>
        <w:rPr>
          <w:sz w:val="24"/>
          <w:szCs w:val="24"/>
        </w:rPr>
      </w:pPr>
      <w:r>
        <w:rPr>
          <w:sz w:val="24"/>
          <w:szCs w:val="24"/>
        </w:rPr>
        <w:t>电话：                             传真：</w:t>
      </w:r>
    </w:p>
    <w:p>
      <w:pPr>
        <w:spacing w:line="360" w:lineRule="auto"/>
        <w:rPr>
          <w:sz w:val="24"/>
          <w:szCs w:val="24"/>
        </w:rPr>
      </w:pPr>
      <w:r>
        <w:rPr>
          <w:sz w:val="24"/>
          <w:szCs w:val="24"/>
        </w:rPr>
        <w:t>日期：</w:t>
      </w: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投标人（电子签章）：</w:t>
      </w:r>
    </w:p>
    <w:p>
      <w:pPr>
        <w:spacing w:line="360" w:lineRule="auto"/>
        <w:rPr>
          <w:sz w:val="24"/>
          <w:szCs w:val="24"/>
        </w:rPr>
      </w:pPr>
      <w:r>
        <w:rPr>
          <w:sz w:val="24"/>
          <w:szCs w:val="24"/>
        </w:rPr>
        <w:t xml:space="preserve">法定代表人（电子签名或签章）： </w:t>
      </w:r>
    </w:p>
    <w:p>
      <w:pPr>
        <w:spacing w:line="360" w:lineRule="auto"/>
        <w:rPr>
          <w:sz w:val="24"/>
          <w:szCs w:val="24"/>
        </w:rPr>
      </w:pPr>
      <w:r>
        <w:rPr>
          <w:sz w:val="24"/>
          <w:szCs w:val="24"/>
        </w:rPr>
        <w:t>日期：  年   月   日</w:t>
      </w:r>
    </w:p>
    <w:p>
      <w:pPr>
        <w:rPr>
          <w:rFonts w:hint="eastAsia" w:asciiTheme="minorEastAsia" w:hAnsiTheme="minorEastAsia" w:eastAsiaTheme="minorEastAsia" w:cstheme="minorEastAsia"/>
          <w:b/>
          <w:bCs/>
          <w:i w:val="0"/>
          <w:iCs w:val="0"/>
          <w:caps w:val="0"/>
          <w:color w:val="444444"/>
          <w:spacing w:val="0"/>
          <w:sz w:val="48"/>
          <w:szCs w:val="48"/>
          <w:shd w:val="clear" w:fill="F9F9F9"/>
          <w:lang w:eastAsia="en-US"/>
        </w:rPr>
      </w:pPr>
      <w:r>
        <w:rPr>
          <w:rFonts w:hint="eastAsia" w:asciiTheme="minorEastAsia" w:hAnsiTheme="minorEastAsia" w:eastAsiaTheme="minorEastAsia" w:cstheme="minorEastAsia"/>
          <w:b/>
          <w:bCs/>
          <w:i w:val="0"/>
          <w:iCs w:val="0"/>
          <w:caps w:val="0"/>
          <w:color w:val="444444"/>
          <w:spacing w:val="0"/>
          <w:sz w:val="48"/>
          <w:szCs w:val="48"/>
          <w:shd w:val="clear" w:fill="F9F9F9"/>
          <w:lang w:eastAsia="en-US"/>
        </w:rPr>
        <w:br w:type="page"/>
      </w:r>
    </w:p>
    <w:p>
      <w:pPr>
        <w:jc w:val="center"/>
        <w:outlineLvl w:val="1"/>
        <w:rPr>
          <w:b/>
          <w:bCs/>
          <w:sz w:val="28"/>
          <w:szCs w:val="28"/>
        </w:rPr>
      </w:pPr>
      <w:bookmarkStart w:id="132" w:name="_Toc19091"/>
    </w:p>
    <w:p>
      <w:pPr>
        <w:jc w:val="center"/>
        <w:outlineLvl w:val="1"/>
        <w:rPr>
          <w:b/>
          <w:bCs/>
          <w:sz w:val="28"/>
          <w:szCs w:val="28"/>
        </w:rPr>
      </w:pPr>
      <w:r>
        <w:rPr>
          <w:b/>
          <w:bCs/>
          <w:sz w:val="28"/>
          <w:szCs w:val="28"/>
        </w:rPr>
        <w:t>2 、开标一览表</w:t>
      </w:r>
      <w:bookmarkEnd w:id="132"/>
    </w:p>
    <w:p/>
    <w:p>
      <w:pPr>
        <w:spacing w:line="360" w:lineRule="auto"/>
        <w:ind w:firstLine="480" w:firstLineChars="200"/>
        <w:rPr>
          <w:sz w:val="24"/>
          <w:szCs w:val="24"/>
        </w:rPr>
      </w:pPr>
      <w:r>
        <w:rPr>
          <w:sz w:val="24"/>
          <w:szCs w:val="24"/>
        </w:rPr>
        <w:t>注：1 、投标人需在</w:t>
      </w:r>
      <w:r>
        <w:rPr>
          <w:rFonts w:hint="eastAsia"/>
          <w:sz w:val="24"/>
          <w:szCs w:val="24"/>
          <w:lang w:eastAsia="zh-CN"/>
        </w:rPr>
        <w:t>安阳市公共资源交易系统平台</w:t>
      </w:r>
      <w:r>
        <w:rPr>
          <w:sz w:val="24"/>
          <w:szCs w:val="24"/>
        </w:rPr>
        <w:t>系统投标文件制作工具中、按系统要求填列开标一览表（报价一览表），系统中填列的开标一览表（报价一览表）为投标人《投标文件》（响应文件）的一部分。</w:t>
      </w:r>
    </w:p>
    <w:p>
      <w:pPr>
        <w:spacing w:line="360" w:lineRule="auto"/>
        <w:ind w:firstLine="480" w:firstLineChars="200"/>
        <w:rPr>
          <w:sz w:val="24"/>
          <w:szCs w:val="24"/>
        </w:rPr>
      </w:pPr>
      <w:r>
        <w:rPr>
          <w:sz w:val="24"/>
          <w:szCs w:val="24"/>
        </w:rPr>
        <w:t>2 、投标人的投标报价（价格构成）应包括招标文件所述投标报价的所有内容。</w:t>
      </w:r>
    </w:p>
    <w:p>
      <w:pPr>
        <w:spacing w:line="360" w:lineRule="auto"/>
        <w:ind w:firstLine="480" w:firstLineChars="200"/>
        <w:rPr>
          <w:sz w:val="24"/>
          <w:szCs w:val="24"/>
        </w:rPr>
      </w:pPr>
      <w:r>
        <w:rPr>
          <w:rFonts w:hint="eastAsia"/>
          <w:sz w:val="24"/>
          <w:szCs w:val="24"/>
          <w:lang w:val="en-US" w:eastAsia="zh-CN"/>
        </w:rPr>
        <w:t>3</w:t>
      </w:r>
      <w:r>
        <w:rPr>
          <w:sz w:val="24"/>
          <w:szCs w:val="24"/>
        </w:rPr>
        <w:t xml:space="preserve"> 、开标一览表与报价明细表有差别时，以开标一览表为准；大写文字表示的数据与小写数字表示的有差别时，以大写文字表示的数据为准。</w:t>
      </w:r>
    </w:p>
    <w:p>
      <w:pPr>
        <w:spacing w:line="360" w:lineRule="auto"/>
        <w:ind w:firstLine="480" w:firstLineChars="200"/>
        <w:rPr>
          <w:b/>
          <w:bCs/>
          <w:color w:val="auto"/>
          <w:sz w:val="24"/>
          <w:szCs w:val="24"/>
        </w:rPr>
      </w:pPr>
      <w:r>
        <w:rPr>
          <w:rFonts w:hint="eastAsia"/>
          <w:color w:val="auto"/>
          <w:sz w:val="24"/>
          <w:szCs w:val="24"/>
          <w:lang w:val="en-US" w:eastAsia="zh-CN"/>
        </w:rPr>
        <w:t>4</w:t>
      </w:r>
      <w:r>
        <w:rPr>
          <w:color w:val="auto"/>
          <w:sz w:val="24"/>
          <w:szCs w:val="24"/>
        </w:rPr>
        <w:t xml:space="preserve"> 、</w:t>
      </w:r>
      <w:r>
        <w:rPr>
          <w:rFonts w:ascii="宋体" w:hAnsi="宋体" w:eastAsia="宋体" w:cs="宋体"/>
          <w:sz w:val="24"/>
          <w:szCs w:val="24"/>
        </w:rPr>
        <w:t>根据《政府采购促进中小企业发展管理办法》(财库〔2020〕46 号)的规定，本项目属于专门面向中小企业采购的项目，不再对供应商报价进行价格扣除。参加本项目的小微企业应当提供《中小企业声明函》；</w:t>
      </w:r>
    </w:p>
    <w:p>
      <w:pPr>
        <w:spacing w:line="360" w:lineRule="auto"/>
        <w:ind w:firstLine="482" w:firstLineChars="200"/>
        <w:rPr>
          <w:b/>
          <w:bCs/>
          <w:color w:val="auto"/>
          <w:sz w:val="24"/>
          <w:szCs w:val="24"/>
        </w:rPr>
      </w:pPr>
    </w:p>
    <w:p>
      <w:pPr>
        <w:spacing w:line="360" w:lineRule="auto"/>
        <w:ind w:firstLine="482" w:firstLineChars="200"/>
        <w:rPr>
          <w:b/>
          <w:bCs/>
          <w:color w:val="auto"/>
          <w:sz w:val="24"/>
          <w:szCs w:val="24"/>
        </w:rPr>
      </w:pP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40" w:firstLineChars="100"/>
        <w:rPr>
          <w:sz w:val="24"/>
          <w:szCs w:val="24"/>
        </w:rPr>
      </w:pPr>
      <w:r>
        <w:rPr>
          <w:sz w:val="24"/>
          <w:szCs w:val="24"/>
        </w:rPr>
        <w:t>投标人（电子签章）：</w:t>
      </w:r>
    </w:p>
    <w:p>
      <w:pPr>
        <w:spacing w:line="360" w:lineRule="auto"/>
        <w:ind w:firstLine="240" w:firstLineChars="100"/>
        <w:rPr>
          <w:sz w:val="24"/>
          <w:szCs w:val="24"/>
        </w:rPr>
      </w:pPr>
      <w:r>
        <w:rPr>
          <w:sz w:val="24"/>
          <w:szCs w:val="24"/>
        </w:rPr>
        <w:t xml:space="preserve">法定代表人（电子签名或签章）： </w:t>
      </w:r>
    </w:p>
    <w:p>
      <w:pPr>
        <w:spacing w:line="360" w:lineRule="auto"/>
        <w:ind w:firstLine="240" w:firstLineChars="100"/>
        <w:rPr>
          <w:sz w:val="24"/>
          <w:szCs w:val="24"/>
        </w:rPr>
      </w:pPr>
      <w:r>
        <w:rPr>
          <w:sz w:val="24"/>
          <w:szCs w:val="24"/>
        </w:rPr>
        <w:t>日期：   年   月   日</w:t>
      </w:r>
    </w:p>
    <w:p>
      <w:pPr>
        <w:rPr>
          <w:sz w:val="24"/>
          <w:szCs w:val="24"/>
        </w:rPr>
      </w:pPr>
      <w:r>
        <w:rPr>
          <w:sz w:val="24"/>
          <w:szCs w:val="24"/>
        </w:rPr>
        <w:br w:type="page"/>
      </w:r>
    </w:p>
    <w:p>
      <w:pPr>
        <w:spacing w:before="98" w:line="221" w:lineRule="auto"/>
        <w:ind w:left="3529"/>
        <w:outlineLvl w:val="1"/>
        <w:rPr>
          <w:rFonts w:ascii="黑体" w:hAnsi="黑体" w:eastAsia="黑体" w:cs="黑体"/>
          <w:b/>
          <w:bCs/>
          <w:spacing w:val="-4"/>
          <w:sz w:val="30"/>
          <w:szCs w:val="30"/>
        </w:rPr>
      </w:pPr>
      <w:bookmarkStart w:id="133" w:name="_Toc30434"/>
    </w:p>
    <w:p>
      <w:pPr>
        <w:spacing w:before="98" w:line="221" w:lineRule="auto"/>
        <w:ind w:left="3529"/>
        <w:outlineLvl w:val="1"/>
        <w:rPr>
          <w:rFonts w:ascii="黑体" w:hAnsi="黑体" w:eastAsia="黑体" w:cs="黑体"/>
          <w:sz w:val="30"/>
          <w:szCs w:val="30"/>
        </w:rPr>
      </w:pPr>
      <w:r>
        <w:rPr>
          <w:rFonts w:ascii="黑体" w:hAnsi="黑体" w:eastAsia="黑体" w:cs="黑体"/>
          <w:b/>
          <w:bCs/>
          <w:spacing w:val="-4"/>
          <w:sz w:val="30"/>
          <w:szCs w:val="30"/>
        </w:rPr>
        <w:t>3、投标报价明细表</w:t>
      </w:r>
      <w:bookmarkEnd w:id="133"/>
    </w:p>
    <w:p>
      <w:pPr>
        <w:pStyle w:val="4"/>
        <w:spacing w:line="432" w:lineRule="auto"/>
      </w:pPr>
    </w:p>
    <w:p>
      <w:pPr>
        <w:spacing w:before="78" w:line="226" w:lineRule="auto"/>
        <w:ind w:left="120" w:right="4612"/>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pPr>
        <w:spacing w:before="78" w:line="226" w:lineRule="auto"/>
        <w:ind w:left="120" w:right="461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35"/>
        <w:tblW w:w="92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907"/>
        <w:gridCol w:w="3823"/>
        <w:gridCol w:w="778"/>
        <w:gridCol w:w="539"/>
        <w:gridCol w:w="719"/>
        <w:gridCol w:w="1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4" w:type="dxa"/>
            <w:tcBorders>
              <w:top w:val="single" w:color="000000" w:sz="6" w:space="0"/>
              <w:left w:val="single" w:color="000000" w:sz="6" w:space="0"/>
            </w:tcBorders>
            <w:vAlign w:val="top"/>
          </w:tcPr>
          <w:p>
            <w:pPr>
              <w:spacing w:line="402" w:lineRule="auto"/>
              <w:rPr>
                <w:rFonts w:ascii="Arial"/>
                <w:sz w:val="21"/>
              </w:rPr>
            </w:pPr>
          </w:p>
          <w:p>
            <w:pPr>
              <w:pStyle w:val="34"/>
              <w:spacing w:before="65" w:line="229" w:lineRule="auto"/>
              <w:ind w:left="55" w:leftChars="0"/>
              <w:rPr>
                <w:sz w:val="20"/>
                <w:szCs w:val="20"/>
              </w:rPr>
            </w:pPr>
            <w:r>
              <w:rPr>
                <w:spacing w:val="8"/>
              </w:rPr>
              <w:t>序号</w:t>
            </w:r>
          </w:p>
        </w:tc>
        <w:tc>
          <w:tcPr>
            <w:tcW w:w="1907" w:type="dxa"/>
            <w:tcBorders>
              <w:top w:val="single" w:color="000000" w:sz="6" w:space="0"/>
            </w:tcBorders>
            <w:vAlign w:val="top"/>
          </w:tcPr>
          <w:p>
            <w:pPr>
              <w:spacing w:line="399" w:lineRule="auto"/>
              <w:rPr>
                <w:rFonts w:ascii="Arial"/>
                <w:sz w:val="21"/>
              </w:rPr>
            </w:pPr>
          </w:p>
          <w:p>
            <w:pPr>
              <w:pStyle w:val="34"/>
              <w:spacing w:before="65" w:line="227" w:lineRule="auto"/>
              <w:ind w:left="585" w:leftChars="0"/>
              <w:rPr>
                <w:sz w:val="20"/>
                <w:szCs w:val="20"/>
              </w:rPr>
            </w:pPr>
            <w:r>
              <w:rPr>
                <w:spacing w:val="10"/>
              </w:rPr>
              <w:t>货物名称</w:t>
            </w:r>
          </w:p>
        </w:tc>
        <w:tc>
          <w:tcPr>
            <w:tcW w:w="3823" w:type="dxa"/>
            <w:tcBorders>
              <w:top w:val="single" w:color="000000" w:sz="6" w:space="0"/>
              <w:right w:val="single" w:color="000000" w:sz="4" w:space="0"/>
            </w:tcBorders>
            <w:vAlign w:val="top"/>
          </w:tcPr>
          <w:p>
            <w:pPr>
              <w:spacing w:line="399" w:lineRule="auto"/>
              <w:rPr>
                <w:rFonts w:ascii="Arial"/>
                <w:sz w:val="21"/>
              </w:rPr>
            </w:pPr>
          </w:p>
          <w:p>
            <w:pPr>
              <w:pStyle w:val="34"/>
              <w:spacing w:before="65" w:line="228" w:lineRule="auto"/>
              <w:ind w:left="753" w:leftChars="0"/>
              <w:rPr>
                <w:sz w:val="20"/>
                <w:szCs w:val="20"/>
              </w:rPr>
            </w:pPr>
            <w:r>
              <w:rPr>
                <w:spacing w:val="9"/>
              </w:rPr>
              <w:t>品牌型号规格</w:t>
            </w:r>
          </w:p>
        </w:tc>
        <w:tc>
          <w:tcPr>
            <w:tcW w:w="778" w:type="dxa"/>
            <w:tcBorders>
              <w:top w:val="single" w:color="000000" w:sz="6" w:space="0"/>
              <w:left w:val="single" w:color="000000" w:sz="4" w:space="0"/>
            </w:tcBorders>
            <w:vAlign w:val="top"/>
          </w:tcPr>
          <w:p>
            <w:pPr>
              <w:spacing w:line="402" w:lineRule="auto"/>
              <w:rPr>
                <w:rFonts w:ascii="Arial"/>
                <w:sz w:val="21"/>
              </w:rPr>
            </w:pPr>
          </w:p>
          <w:p>
            <w:pPr>
              <w:pStyle w:val="34"/>
              <w:spacing w:before="65" w:line="228" w:lineRule="auto"/>
              <w:rPr>
                <w:sz w:val="20"/>
                <w:szCs w:val="20"/>
              </w:rPr>
            </w:pPr>
            <w:r>
              <w:rPr>
                <w:spacing w:val="6"/>
              </w:rPr>
              <w:t>单位</w:t>
            </w:r>
          </w:p>
        </w:tc>
        <w:tc>
          <w:tcPr>
            <w:tcW w:w="539" w:type="dxa"/>
            <w:tcBorders>
              <w:top w:val="single" w:color="000000" w:sz="6" w:space="0"/>
            </w:tcBorders>
            <w:vAlign w:val="top"/>
          </w:tcPr>
          <w:p>
            <w:pPr>
              <w:spacing w:line="399" w:lineRule="auto"/>
              <w:rPr>
                <w:rFonts w:ascii="Arial"/>
                <w:sz w:val="21"/>
              </w:rPr>
            </w:pPr>
          </w:p>
          <w:p>
            <w:pPr>
              <w:pStyle w:val="34"/>
              <w:spacing w:before="65" w:line="228" w:lineRule="auto"/>
              <w:ind w:left="107" w:leftChars="0"/>
              <w:rPr>
                <w:sz w:val="20"/>
                <w:szCs w:val="20"/>
              </w:rPr>
            </w:pPr>
            <w:r>
              <w:rPr>
                <w:spacing w:val="6"/>
              </w:rPr>
              <w:t>数量</w:t>
            </w:r>
          </w:p>
        </w:tc>
        <w:tc>
          <w:tcPr>
            <w:tcW w:w="719" w:type="dxa"/>
            <w:tcBorders>
              <w:top w:val="single" w:color="000000" w:sz="6" w:space="0"/>
            </w:tcBorders>
            <w:vAlign w:val="top"/>
          </w:tcPr>
          <w:p>
            <w:pPr>
              <w:spacing w:line="399" w:lineRule="auto"/>
              <w:rPr>
                <w:rFonts w:ascii="Arial"/>
                <w:sz w:val="21"/>
              </w:rPr>
            </w:pPr>
          </w:p>
          <w:p>
            <w:pPr>
              <w:pStyle w:val="34"/>
              <w:spacing w:before="65" w:line="226" w:lineRule="auto"/>
              <w:ind w:left="224" w:leftChars="0"/>
              <w:rPr>
                <w:sz w:val="20"/>
                <w:szCs w:val="20"/>
              </w:rPr>
            </w:pPr>
            <w:r>
              <w:rPr>
                <w:spacing w:val="6"/>
              </w:rPr>
              <w:t>单价</w:t>
            </w:r>
          </w:p>
        </w:tc>
        <w:tc>
          <w:tcPr>
            <w:tcW w:w="1008" w:type="dxa"/>
            <w:tcBorders>
              <w:top w:val="single" w:color="000000" w:sz="6" w:space="0"/>
              <w:right w:val="single" w:color="000000" w:sz="6" w:space="0"/>
            </w:tcBorders>
            <w:vAlign w:val="top"/>
          </w:tcPr>
          <w:p>
            <w:pPr>
              <w:spacing w:line="402" w:lineRule="auto"/>
              <w:rPr>
                <w:rFonts w:ascii="Arial"/>
                <w:sz w:val="21"/>
              </w:rPr>
            </w:pPr>
          </w:p>
          <w:p>
            <w:pPr>
              <w:pStyle w:val="34"/>
              <w:spacing w:before="65" w:line="229" w:lineRule="auto"/>
              <w:ind w:firstLine="246" w:firstLineChars="100"/>
              <w:rPr>
                <w:sz w:val="20"/>
                <w:szCs w:val="20"/>
              </w:rPr>
            </w:pPr>
            <w:r>
              <w:rPr>
                <w:spacing w:val="3"/>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74" w:type="dxa"/>
            <w:tcBorders>
              <w:left w:val="single" w:color="000000" w:sz="6" w:space="0"/>
            </w:tcBorders>
            <w:vAlign w:val="top"/>
          </w:tcPr>
          <w:p>
            <w:pPr>
              <w:spacing w:line="297" w:lineRule="auto"/>
              <w:rPr>
                <w:rFonts w:ascii="Arial"/>
                <w:sz w:val="21"/>
              </w:rPr>
            </w:pPr>
          </w:p>
          <w:p>
            <w:pPr>
              <w:pStyle w:val="34"/>
              <w:spacing w:before="65" w:line="188" w:lineRule="auto"/>
              <w:ind w:left="244" w:leftChars="0"/>
              <w:rPr>
                <w:rFonts w:ascii="Times New Roman" w:hAnsi="Times New Roman" w:eastAsia="Times New Roman" w:cs="Times New Roman"/>
                <w:sz w:val="20"/>
                <w:szCs w:val="20"/>
              </w:rPr>
            </w:pPr>
            <w:r>
              <w:t>1</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74" w:type="dxa"/>
            <w:tcBorders>
              <w:left w:val="single" w:color="000000" w:sz="6" w:space="0"/>
            </w:tcBorders>
            <w:vAlign w:val="top"/>
          </w:tcPr>
          <w:p>
            <w:pPr>
              <w:spacing w:line="303" w:lineRule="auto"/>
              <w:rPr>
                <w:rFonts w:ascii="Arial"/>
                <w:sz w:val="21"/>
              </w:rPr>
            </w:pPr>
          </w:p>
          <w:p>
            <w:pPr>
              <w:pStyle w:val="34"/>
              <w:spacing w:before="65" w:line="189" w:lineRule="auto"/>
              <w:ind w:left="209" w:leftChars="0"/>
              <w:rPr>
                <w:rFonts w:ascii="Times New Roman" w:hAnsi="Times New Roman" w:eastAsia="Times New Roman" w:cs="Times New Roman"/>
                <w:sz w:val="20"/>
                <w:szCs w:val="20"/>
              </w:rPr>
            </w:pPr>
            <w:r>
              <w:t>2</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4" w:type="dxa"/>
            <w:tcBorders>
              <w:left w:val="single" w:color="000000" w:sz="6" w:space="0"/>
            </w:tcBorders>
            <w:vAlign w:val="top"/>
          </w:tcPr>
          <w:p>
            <w:pPr>
              <w:spacing w:line="325" w:lineRule="auto"/>
              <w:rPr>
                <w:rFonts w:ascii="Arial"/>
                <w:sz w:val="21"/>
              </w:rPr>
            </w:pPr>
          </w:p>
          <w:p>
            <w:pPr>
              <w:pStyle w:val="34"/>
              <w:spacing w:before="65" w:line="189" w:lineRule="auto"/>
              <w:ind w:left="216" w:leftChars="0"/>
              <w:rPr>
                <w:rFonts w:ascii="Times New Roman" w:hAnsi="Times New Roman" w:eastAsia="Times New Roman" w:cs="Times New Roman"/>
                <w:sz w:val="20"/>
                <w:szCs w:val="20"/>
              </w:rPr>
            </w:pPr>
            <w:r>
              <w:t>3</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4" w:type="dxa"/>
            <w:tcBorders>
              <w:left w:val="single" w:color="000000" w:sz="6" w:space="0"/>
            </w:tcBorders>
            <w:vAlign w:val="top"/>
          </w:tcPr>
          <w:p>
            <w:pPr>
              <w:spacing w:line="327" w:lineRule="auto"/>
              <w:rPr>
                <w:rFonts w:ascii="Arial"/>
                <w:sz w:val="21"/>
              </w:rPr>
            </w:pPr>
          </w:p>
          <w:p>
            <w:pPr>
              <w:pStyle w:val="34"/>
              <w:spacing w:before="65" w:line="189" w:lineRule="auto"/>
              <w:ind w:left="206" w:leftChars="0"/>
              <w:rPr>
                <w:rFonts w:ascii="Times New Roman" w:hAnsi="Times New Roman" w:eastAsia="Times New Roman" w:cs="Times New Roman"/>
                <w:sz w:val="20"/>
                <w:szCs w:val="20"/>
              </w:rPr>
            </w:pPr>
            <w:r>
              <w:t>4</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74" w:type="dxa"/>
            <w:tcBorders>
              <w:left w:val="single" w:color="000000" w:sz="6" w:space="0"/>
            </w:tcBorders>
            <w:vAlign w:val="top"/>
          </w:tcPr>
          <w:p>
            <w:pPr>
              <w:spacing w:line="313" w:lineRule="auto"/>
              <w:rPr>
                <w:rFonts w:ascii="Arial"/>
                <w:sz w:val="21"/>
              </w:rPr>
            </w:pPr>
          </w:p>
          <w:p>
            <w:pPr>
              <w:pStyle w:val="34"/>
              <w:spacing w:before="65" w:line="187" w:lineRule="auto"/>
              <w:ind w:left="216" w:leftChars="0"/>
              <w:rPr>
                <w:rFonts w:ascii="Times New Roman" w:hAnsi="Times New Roman" w:eastAsia="Times New Roman" w:cs="Times New Roman"/>
                <w:sz w:val="20"/>
                <w:szCs w:val="20"/>
              </w:rPr>
            </w:pPr>
            <w:r>
              <w:t>5</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74" w:type="dxa"/>
            <w:tcBorders>
              <w:left w:val="single" w:color="000000" w:sz="6" w:space="0"/>
            </w:tcBorders>
            <w:vAlign w:val="top"/>
          </w:tcPr>
          <w:p>
            <w:pPr>
              <w:spacing w:line="295" w:lineRule="auto"/>
              <w:rPr>
                <w:rFonts w:ascii="Arial"/>
                <w:sz w:val="21"/>
              </w:rPr>
            </w:pPr>
          </w:p>
          <w:p>
            <w:pPr>
              <w:pStyle w:val="34"/>
              <w:spacing w:before="65" w:line="178" w:lineRule="auto"/>
              <w:ind w:left="213" w:leftChars="0"/>
              <w:rPr>
                <w:rFonts w:ascii="Times New Roman" w:hAnsi="Times New Roman" w:eastAsia="Times New Roman" w:cs="Times New Roman"/>
                <w:sz w:val="20"/>
                <w:szCs w:val="20"/>
              </w:rPr>
            </w:pPr>
            <w:r>
              <w:t>6</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74" w:type="dxa"/>
            <w:tcBorders>
              <w:left w:val="single" w:color="000000" w:sz="6" w:space="0"/>
            </w:tcBorders>
            <w:vAlign w:val="top"/>
          </w:tcPr>
          <w:p>
            <w:pPr>
              <w:spacing w:line="314" w:lineRule="auto"/>
              <w:rPr>
                <w:rFonts w:ascii="Arial"/>
                <w:sz w:val="21"/>
              </w:rPr>
            </w:pPr>
          </w:p>
          <w:p>
            <w:pPr>
              <w:pStyle w:val="34"/>
              <w:spacing w:before="65" w:line="181" w:lineRule="auto"/>
              <w:ind w:left="217" w:leftChars="0"/>
              <w:rPr>
                <w:rFonts w:ascii="Times New Roman" w:hAnsi="Times New Roman" w:eastAsia="Times New Roman" w:cs="Times New Roman"/>
                <w:sz w:val="20"/>
                <w:szCs w:val="20"/>
              </w:rPr>
            </w:pPr>
            <w:r>
              <w:t>7</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74" w:type="dxa"/>
            <w:tcBorders>
              <w:left w:val="single" w:color="000000" w:sz="6" w:space="0"/>
            </w:tcBorders>
            <w:vAlign w:val="top"/>
          </w:tcPr>
          <w:p>
            <w:pPr>
              <w:spacing w:line="296" w:lineRule="auto"/>
              <w:rPr>
                <w:rFonts w:ascii="Arial"/>
                <w:sz w:val="21"/>
              </w:rPr>
            </w:pPr>
          </w:p>
          <w:p>
            <w:pPr>
              <w:pStyle w:val="34"/>
              <w:spacing w:before="65" w:line="177" w:lineRule="auto"/>
              <w:ind w:left="217" w:leftChars="0"/>
              <w:rPr>
                <w:rFonts w:ascii="Times New Roman" w:hAnsi="Times New Roman" w:eastAsia="Times New Roman" w:cs="Times New Roman"/>
                <w:sz w:val="20"/>
                <w:szCs w:val="20"/>
              </w:rPr>
            </w:pPr>
            <w:r>
              <w:t>8</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74" w:type="dxa"/>
            <w:tcBorders>
              <w:left w:val="single" w:color="000000" w:sz="6" w:space="0"/>
            </w:tcBorders>
            <w:vAlign w:val="top"/>
          </w:tcPr>
          <w:p>
            <w:pPr>
              <w:spacing w:line="352" w:lineRule="auto"/>
              <w:rPr>
                <w:rFonts w:ascii="Arial"/>
                <w:sz w:val="21"/>
              </w:rPr>
            </w:pPr>
          </w:p>
          <w:p>
            <w:pPr>
              <w:pStyle w:val="34"/>
              <w:spacing w:before="65" w:line="189" w:lineRule="auto"/>
              <w:ind w:left="212" w:leftChars="0"/>
              <w:rPr>
                <w:rFonts w:ascii="Times New Roman" w:hAnsi="Times New Roman" w:eastAsia="Times New Roman" w:cs="Times New Roman"/>
                <w:sz w:val="20"/>
                <w:szCs w:val="20"/>
              </w:rPr>
            </w:pPr>
            <w:r>
              <w:t>9</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74" w:type="dxa"/>
            <w:tcBorders>
              <w:left w:val="single" w:color="000000" w:sz="6" w:space="0"/>
            </w:tcBorders>
            <w:vAlign w:val="top"/>
          </w:tcPr>
          <w:p>
            <w:pPr>
              <w:pStyle w:val="34"/>
              <w:spacing w:before="65" w:line="50" w:lineRule="exact"/>
              <w:ind w:left="121" w:leftChars="0" w:right="79" w:rightChars="0"/>
              <w:rPr>
                <w:rFonts w:hint="eastAsia" w:ascii="Times New Roman" w:hAnsi="Times New Roman" w:eastAsia="宋体" w:cs="Times New Roman"/>
                <w:sz w:val="20"/>
                <w:szCs w:val="20"/>
                <w:lang w:val="en-US" w:eastAsia="zh-CN"/>
              </w:rPr>
            </w:pPr>
          </w:p>
          <w:p>
            <w:pPr>
              <w:pStyle w:val="34"/>
              <w:spacing w:before="65" w:line="50" w:lineRule="exact"/>
              <w:ind w:left="121" w:leftChars="0" w:right="79" w:rightChars="0"/>
              <w:rPr>
                <w:rFonts w:hint="eastAsia" w:ascii="Times New Roman" w:hAnsi="Times New Roman" w:eastAsia="宋体" w:cs="Times New Roman"/>
                <w:sz w:val="20"/>
                <w:szCs w:val="20"/>
                <w:lang w:val="en-US" w:eastAsia="zh-CN"/>
              </w:rPr>
            </w:pPr>
          </w:p>
          <w:p>
            <w:pPr>
              <w:pStyle w:val="34"/>
              <w:spacing w:before="65" w:line="50" w:lineRule="exact"/>
              <w:ind w:left="121" w:leftChars="0" w:right="79" w:rightChars="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w:t>
            </w:r>
          </w:p>
        </w:tc>
        <w:tc>
          <w:tcPr>
            <w:tcW w:w="1907" w:type="dxa"/>
            <w:vAlign w:val="top"/>
          </w:tcPr>
          <w:p>
            <w:pPr>
              <w:rPr>
                <w:rFonts w:ascii="Arial"/>
                <w:sz w:val="21"/>
              </w:rPr>
            </w:pPr>
          </w:p>
        </w:tc>
        <w:tc>
          <w:tcPr>
            <w:tcW w:w="3823" w:type="dxa"/>
            <w:vAlign w:val="top"/>
          </w:tcPr>
          <w:p>
            <w:pPr>
              <w:rPr>
                <w:rFonts w:ascii="Arial"/>
                <w:sz w:val="21"/>
              </w:rPr>
            </w:pPr>
          </w:p>
        </w:tc>
        <w:tc>
          <w:tcPr>
            <w:tcW w:w="778" w:type="dxa"/>
            <w:vAlign w:val="top"/>
          </w:tcPr>
          <w:p>
            <w:pPr>
              <w:rPr>
                <w:rFonts w:ascii="Arial"/>
                <w:sz w:val="21"/>
              </w:rPr>
            </w:pPr>
          </w:p>
        </w:tc>
        <w:tc>
          <w:tcPr>
            <w:tcW w:w="539" w:type="dxa"/>
            <w:vAlign w:val="top"/>
          </w:tcPr>
          <w:p>
            <w:pPr>
              <w:rPr>
                <w:rFonts w:ascii="Arial"/>
                <w:sz w:val="21"/>
              </w:rPr>
            </w:pPr>
          </w:p>
        </w:tc>
        <w:tc>
          <w:tcPr>
            <w:tcW w:w="719" w:type="dxa"/>
            <w:vAlign w:val="top"/>
          </w:tcPr>
          <w:p>
            <w:pPr>
              <w:rPr>
                <w:rFonts w:ascii="Arial"/>
                <w:sz w:val="21"/>
              </w:rPr>
            </w:pPr>
          </w:p>
        </w:tc>
        <w:tc>
          <w:tcPr>
            <w:tcW w:w="1008" w:type="dxa"/>
            <w:tcBorders>
              <w:right w:val="single" w:color="000000" w:sz="6" w:space="0"/>
            </w:tcBorders>
            <w:vAlign w:val="top"/>
          </w:tcPr>
          <w:p>
            <w:pPr>
              <w:rPr>
                <w:rFonts w:ascii="Arial"/>
                <w:sz w:val="21"/>
              </w:rPr>
            </w:pPr>
          </w:p>
        </w:tc>
      </w:tr>
    </w:tbl>
    <w:p>
      <w:pPr>
        <w:pStyle w:val="4"/>
        <w:spacing w:line="328" w:lineRule="auto"/>
      </w:pPr>
    </w:p>
    <w:p>
      <w:pPr>
        <w:pStyle w:val="4"/>
        <w:spacing w:line="329" w:lineRule="auto"/>
      </w:pP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spacing w:before="183" w:line="345" w:lineRule="auto"/>
        <w:ind w:left="157" w:right="5751" w:hanging="40"/>
        <w:rPr>
          <w:rFonts w:ascii="宋体" w:hAnsi="宋体" w:eastAsia="宋体" w:cs="宋体"/>
          <w:b/>
          <w:bCs/>
          <w:spacing w:val="-9"/>
          <w:sz w:val="30"/>
          <w:szCs w:val="30"/>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before="60" w:line="219" w:lineRule="auto"/>
        <w:ind w:left="3722"/>
        <w:outlineLvl w:val="9"/>
        <w:rPr>
          <w:rFonts w:ascii="宋体" w:hAnsi="宋体" w:eastAsia="宋体" w:cs="宋体"/>
          <w:b/>
          <w:bCs/>
          <w:spacing w:val="-9"/>
          <w:sz w:val="30"/>
          <w:szCs w:val="30"/>
        </w:rPr>
      </w:pPr>
    </w:p>
    <w:p>
      <w:pPr>
        <w:spacing w:before="60" w:line="219" w:lineRule="auto"/>
        <w:ind w:left="3722"/>
        <w:outlineLvl w:val="9"/>
        <w:rPr>
          <w:rFonts w:ascii="宋体" w:hAnsi="宋体" w:eastAsia="宋体" w:cs="宋体"/>
          <w:b/>
          <w:bCs/>
          <w:spacing w:val="-9"/>
          <w:sz w:val="30"/>
          <w:szCs w:val="30"/>
        </w:rPr>
      </w:pPr>
    </w:p>
    <w:p>
      <w:pPr>
        <w:spacing w:before="60" w:line="219" w:lineRule="auto"/>
        <w:ind w:left="3722"/>
        <w:outlineLvl w:val="9"/>
        <w:rPr>
          <w:rFonts w:ascii="宋体" w:hAnsi="宋体" w:eastAsia="宋体" w:cs="宋体"/>
          <w:b/>
          <w:bCs/>
          <w:spacing w:val="-9"/>
          <w:sz w:val="30"/>
          <w:szCs w:val="30"/>
        </w:rPr>
      </w:pPr>
    </w:p>
    <w:p>
      <w:pPr>
        <w:spacing w:before="60" w:line="219" w:lineRule="auto"/>
        <w:ind w:left="3722"/>
        <w:outlineLvl w:val="9"/>
        <w:rPr>
          <w:rFonts w:ascii="宋体" w:hAnsi="宋体" w:eastAsia="宋体" w:cs="宋体"/>
          <w:b/>
          <w:bCs/>
          <w:spacing w:val="-9"/>
          <w:sz w:val="30"/>
          <w:szCs w:val="30"/>
        </w:rPr>
      </w:pPr>
    </w:p>
    <w:p>
      <w:pPr>
        <w:pStyle w:val="3"/>
        <w:spacing w:before="91"/>
        <w:rPr>
          <w:rFonts w:asciiTheme="minorHAnsi" w:hAnsiTheme="minorHAnsi" w:eastAsiaTheme="minorEastAsia" w:cstheme="minorBidi"/>
          <w:b/>
          <w:bCs/>
          <w:kern w:val="2"/>
          <w:sz w:val="28"/>
          <w:szCs w:val="28"/>
          <w:lang w:val="en-US" w:eastAsia="zh-CN" w:bidi="ar-SA"/>
        </w:rPr>
      </w:pPr>
    </w:p>
    <w:p>
      <w:pPr>
        <w:pStyle w:val="3"/>
        <w:spacing w:before="91"/>
        <w:rPr>
          <w:rFonts w:hint="eastAsia" w:asciiTheme="minorHAnsi" w:hAnsiTheme="minorHAnsi" w:eastAsiaTheme="minorEastAsia" w:cstheme="minorBidi"/>
          <w:b/>
          <w:bCs/>
          <w:kern w:val="2"/>
          <w:sz w:val="28"/>
          <w:szCs w:val="28"/>
          <w:lang w:val="en-US" w:eastAsia="zh-CN" w:bidi="ar-SA"/>
        </w:rPr>
      </w:pPr>
      <w:r>
        <w:rPr>
          <w:rFonts w:asciiTheme="minorHAnsi" w:hAnsiTheme="minorHAnsi" w:eastAsiaTheme="minorEastAsia" w:cstheme="minorBidi"/>
          <w:b/>
          <w:bCs/>
          <w:kern w:val="2"/>
          <w:sz w:val="28"/>
          <w:szCs w:val="28"/>
          <w:lang w:val="en-US" w:eastAsia="zh-CN" w:bidi="ar-SA"/>
        </w:rPr>
        <w:t>4</w:t>
      </w:r>
      <w:r>
        <w:rPr>
          <w:rFonts w:hint="eastAsia" w:asciiTheme="minorHAnsi" w:hAnsiTheme="minorHAnsi" w:eastAsiaTheme="minorEastAsia" w:cstheme="minorBidi"/>
          <w:b/>
          <w:bCs/>
          <w:kern w:val="2"/>
          <w:sz w:val="28"/>
          <w:szCs w:val="28"/>
          <w:lang w:val="en-US" w:eastAsia="zh-CN" w:bidi="ar-SA"/>
        </w:rPr>
        <w:t>、响应产品清单及具体技术参数</w:t>
      </w:r>
    </w:p>
    <w:p>
      <w:pPr>
        <w:pStyle w:val="4"/>
        <w:spacing w:before="11"/>
        <w:rPr>
          <w:b/>
          <w:sz w:val="21"/>
        </w:rPr>
      </w:pPr>
    </w:p>
    <w:p>
      <w:pPr>
        <w:ind w:firstLine="210" w:firstLineChars="100"/>
      </w:pPr>
      <w:r>
        <w:t>项目名称：</w:t>
      </w:r>
    </w:p>
    <w:p>
      <w:r>
        <w:t xml:space="preserve"> </w:t>
      </w:r>
      <w:r>
        <w:rPr>
          <w:rFonts w:hint="eastAsia"/>
          <w:lang w:val="en-US" w:eastAsia="zh-CN"/>
        </w:rPr>
        <w:t xml:space="preserve"> </w:t>
      </w:r>
      <w:r>
        <w:t>项目编号：</w:t>
      </w:r>
    </w:p>
    <w:tbl>
      <w:tblPr>
        <w:tblStyle w:val="17"/>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0"/>
        <w:gridCol w:w="1625"/>
        <w:gridCol w:w="540"/>
        <w:gridCol w:w="540"/>
        <w:gridCol w:w="1046"/>
        <w:gridCol w:w="2085"/>
        <w:gridCol w:w="1515"/>
        <w:gridCol w:w="794"/>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480"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9"/>
              <w:jc w:val="center"/>
              <w:rPr>
                <w:sz w:val="21"/>
              </w:rPr>
            </w:pPr>
            <w:r>
              <w:rPr>
                <w:sz w:val="21"/>
              </w:rPr>
              <w:t>序号</w:t>
            </w:r>
          </w:p>
        </w:tc>
        <w:tc>
          <w:tcPr>
            <w:tcW w:w="1625"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390"/>
              <w:rPr>
                <w:sz w:val="21"/>
              </w:rPr>
            </w:pPr>
            <w:r>
              <w:rPr>
                <w:sz w:val="21"/>
              </w:rPr>
              <w:t>产品名称</w:t>
            </w:r>
          </w:p>
        </w:tc>
        <w:tc>
          <w:tcPr>
            <w:tcW w:w="540"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59"/>
              <w:rPr>
                <w:sz w:val="21"/>
              </w:rPr>
            </w:pPr>
            <w:r>
              <w:rPr>
                <w:sz w:val="21"/>
              </w:rPr>
              <w:t>单位</w:t>
            </w:r>
          </w:p>
        </w:tc>
        <w:tc>
          <w:tcPr>
            <w:tcW w:w="540"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59"/>
              <w:rPr>
                <w:sz w:val="21"/>
              </w:rPr>
            </w:pPr>
            <w:r>
              <w:rPr>
                <w:sz w:val="21"/>
              </w:rPr>
              <w:t>数量</w:t>
            </w:r>
          </w:p>
        </w:tc>
        <w:tc>
          <w:tcPr>
            <w:tcW w:w="1046"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102"/>
              <w:rPr>
                <w:sz w:val="21"/>
              </w:rPr>
            </w:pPr>
            <w:r>
              <w:rPr>
                <w:sz w:val="21"/>
              </w:rPr>
              <w:t>品牌型号</w:t>
            </w:r>
          </w:p>
        </w:tc>
        <w:tc>
          <w:tcPr>
            <w:tcW w:w="2085"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621"/>
              <w:rPr>
                <w:sz w:val="21"/>
              </w:rPr>
            </w:pPr>
            <w:r>
              <w:rPr>
                <w:sz w:val="21"/>
              </w:rPr>
              <w:t>技术参数</w:t>
            </w:r>
          </w:p>
        </w:tc>
        <w:tc>
          <w:tcPr>
            <w:tcW w:w="1515" w:type="dxa"/>
            <w:tcBorders>
              <w:left w:val="single" w:color="000000" w:sz="4" w:space="0"/>
              <w:bottom w:val="single" w:color="000000" w:sz="4" w:space="0"/>
              <w:right w:val="single" w:color="000000" w:sz="4" w:space="0"/>
            </w:tcBorders>
          </w:tcPr>
          <w:p>
            <w:pPr>
              <w:pStyle w:val="44"/>
              <w:rPr>
                <w:sz w:val="20"/>
              </w:rPr>
            </w:pPr>
          </w:p>
          <w:p>
            <w:pPr>
              <w:pStyle w:val="44"/>
              <w:spacing w:before="2"/>
              <w:rPr>
                <w:sz w:val="14"/>
              </w:rPr>
            </w:pPr>
          </w:p>
          <w:p>
            <w:pPr>
              <w:pStyle w:val="44"/>
              <w:ind w:left="21"/>
              <w:rPr>
                <w:sz w:val="21"/>
              </w:rPr>
            </w:pPr>
            <w:r>
              <w:rPr>
                <w:sz w:val="21"/>
              </w:rPr>
              <w:t>原产地及制造商</w:t>
            </w:r>
          </w:p>
        </w:tc>
        <w:tc>
          <w:tcPr>
            <w:tcW w:w="794" w:type="dxa"/>
            <w:tcBorders>
              <w:left w:val="single" w:color="000000" w:sz="4" w:space="0"/>
              <w:bottom w:val="single" w:color="000000" w:sz="4" w:space="0"/>
            </w:tcBorders>
          </w:tcPr>
          <w:p>
            <w:pPr>
              <w:pStyle w:val="44"/>
              <w:rPr>
                <w:sz w:val="20"/>
              </w:rPr>
            </w:pPr>
          </w:p>
          <w:p>
            <w:pPr>
              <w:pStyle w:val="44"/>
              <w:spacing w:before="2"/>
              <w:rPr>
                <w:sz w:val="14"/>
              </w:rPr>
            </w:pPr>
          </w:p>
          <w:p>
            <w:pPr>
              <w:pStyle w:val="44"/>
              <w:ind w:left="184"/>
              <w:rPr>
                <w:sz w:val="21"/>
              </w:rPr>
            </w:pPr>
            <w:r>
              <w:rPr>
                <w:sz w:val="21"/>
              </w:rPr>
              <w:t>附件</w:t>
            </w:r>
          </w:p>
        </w:tc>
        <w:tc>
          <w:tcPr>
            <w:tcW w:w="1418" w:type="dxa"/>
            <w:tcBorders>
              <w:bottom w:val="single" w:color="000000" w:sz="4" w:space="0"/>
            </w:tcBorders>
          </w:tcPr>
          <w:p>
            <w:pPr>
              <w:pStyle w:val="44"/>
              <w:spacing w:line="360" w:lineRule="exact"/>
              <w:ind w:left="74" w:right="-15" w:hanging="70"/>
              <w:jc w:val="both"/>
              <w:rPr>
                <w:rFonts w:ascii="Times New Roman" w:eastAsia="Times New Roman"/>
                <w:sz w:val="21"/>
              </w:rPr>
            </w:pPr>
            <w:r>
              <w:rPr>
                <w:spacing w:val="-12"/>
                <w:sz w:val="21"/>
              </w:rPr>
              <w:t>节能产品、环境标志产品的标注</w:t>
            </w:r>
            <w:r>
              <w:rPr>
                <w:rFonts w:ascii="Times New Roman" w:eastAsia="Times New Roman"/>
                <w:spacing w:val="-12"/>
                <w:sz w:val="21"/>
              </w:rPr>
              <w:t>(</w:t>
            </w:r>
            <w:r>
              <w:rPr>
                <w:spacing w:val="-12"/>
                <w:sz w:val="21"/>
              </w:rPr>
              <w:t>按需填列</w:t>
            </w:r>
            <w:r>
              <w:rPr>
                <w:rFonts w:ascii="Times New Roman" w:eastAsia="Times New Roman"/>
                <w:spacing w:val="-12"/>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3" w:hRule="atLeast"/>
        </w:trPr>
        <w:tc>
          <w:tcPr>
            <w:tcW w:w="480" w:type="dxa"/>
            <w:tcBorders>
              <w:top w:val="single" w:color="000000" w:sz="4" w:space="0"/>
              <w:left w:val="single" w:color="000000" w:sz="4" w:space="0"/>
              <w:bottom w:val="single" w:color="000000" w:sz="4" w:space="0"/>
              <w:right w:val="single" w:color="000000" w:sz="4" w:space="0"/>
            </w:tcBorders>
          </w:tcPr>
          <w:p>
            <w:pPr>
              <w:pStyle w:val="44"/>
              <w:rPr>
                <w:sz w:val="22"/>
              </w:rPr>
            </w:pPr>
          </w:p>
          <w:p>
            <w:pPr>
              <w:pStyle w:val="44"/>
              <w:spacing w:before="7"/>
              <w:rPr>
                <w:sz w:val="31"/>
              </w:rPr>
            </w:pPr>
          </w:p>
          <w:p>
            <w:pPr>
              <w:pStyle w:val="44"/>
              <w:ind w:left="8"/>
              <w:jc w:val="center"/>
              <w:rPr>
                <w:rFonts w:ascii="Times New Roman"/>
                <w:sz w:val="21"/>
              </w:rPr>
            </w:pPr>
            <w:r>
              <w:rPr>
                <w:rFonts w:ascii="Times New Roman"/>
                <w:w w:val="99"/>
                <w:sz w:val="21"/>
              </w:rPr>
              <w:t>1</w:t>
            </w:r>
          </w:p>
        </w:tc>
        <w:tc>
          <w:tcPr>
            <w:tcW w:w="162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208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51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794" w:type="dxa"/>
            <w:tcBorders>
              <w:top w:val="single" w:color="000000" w:sz="4" w:space="0"/>
              <w:left w:val="single" w:color="000000" w:sz="4" w:space="0"/>
              <w:bottom w:val="single" w:color="000000" w:sz="4" w:space="0"/>
            </w:tcBorders>
          </w:tcPr>
          <w:p>
            <w:pPr>
              <w:pStyle w:val="44"/>
              <w:rPr>
                <w:rFonts w:ascii="Times New Roman"/>
                <w:sz w:val="20"/>
              </w:rPr>
            </w:pPr>
          </w:p>
        </w:tc>
        <w:tc>
          <w:tcPr>
            <w:tcW w:w="1418" w:type="dxa"/>
            <w:tcBorders>
              <w:top w:val="single" w:color="000000" w:sz="4" w:space="0"/>
              <w:bottom w:val="single" w:color="000000" w:sz="4" w:space="0"/>
            </w:tcBorders>
          </w:tcPr>
          <w:p>
            <w:pPr>
              <w:pStyle w:val="4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8" w:hRule="atLeast"/>
        </w:trPr>
        <w:tc>
          <w:tcPr>
            <w:tcW w:w="480" w:type="dxa"/>
            <w:tcBorders>
              <w:top w:val="single" w:color="000000" w:sz="4" w:space="0"/>
              <w:left w:val="single" w:color="000000" w:sz="4" w:space="0"/>
              <w:bottom w:val="single" w:color="000000" w:sz="4" w:space="0"/>
              <w:right w:val="single" w:color="000000" w:sz="4" w:space="0"/>
            </w:tcBorders>
          </w:tcPr>
          <w:p>
            <w:pPr>
              <w:pStyle w:val="44"/>
              <w:rPr>
                <w:sz w:val="22"/>
              </w:rPr>
            </w:pPr>
          </w:p>
          <w:p>
            <w:pPr>
              <w:pStyle w:val="44"/>
              <w:spacing w:before="7"/>
              <w:rPr>
                <w:sz w:val="27"/>
              </w:rPr>
            </w:pPr>
          </w:p>
          <w:p>
            <w:pPr>
              <w:pStyle w:val="44"/>
              <w:spacing w:before="1"/>
              <w:ind w:left="8"/>
              <w:jc w:val="center"/>
              <w:rPr>
                <w:rFonts w:ascii="Times New Roman"/>
                <w:sz w:val="21"/>
              </w:rPr>
            </w:pPr>
            <w:r>
              <w:rPr>
                <w:rFonts w:ascii="Times New Roman"/>
                <w:w w:val="99"/>
                <w:sz w:val="21"/>
              </w:rPr>
              <w:t>2</w:t>
            </w:r>
          </w:p>
        </w:tc>
        <w:tc>
          <w:tcPr>
            <w:tcW w:w="162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208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51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794" w:type="dxa"/>
            <w:tcBorders>
              <w:top w:val="single" w:color="000000" w:sz="4" w:space="0"/>
              <w:left w:val="single" w:color="000000" w:sz="4" w:space="0"/>
              <w:bottom w:val="single" w:color="000000" w:sz="4" w:space="0"/>
            </w:tcBorders>
          </w:tcPr>
          <w:p>
            <w:pPr>
              <w:pStyle w:val="44"/>
              <w:rPr>
                <w:rFonts w:ascii="Times New Roman"/>
                <w:sz w:val="20"/>
              </w:rPr>
            </w:pPr>
          </w:p>
        </w:tc>
        <w:tc>
          <w:tcPr>
            <w:tcW w:w="1418" w:type="dxa"/>
            <w:tcBorders>
              <w:top w:val="single" w:color="000000" w:sz="4" w:space="0"/>
              <w:bottom w:val="single" w:color="000000" w:sz="4" w:space="0"/>
            </w:tcBorders>
          </w:tcPr>
          <w:p>
            <w:pPr>
              <w:pStyle w:val="4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8" w:hRule="atLeast"/>
        </w:trPr>
        <w:tc>
          <w:tcPr>
            <w:tcW w:w="480" w:type="dxa"/>
            <w:tcBorders>
              <w:top w:val="single" w:color="000000" w:sz="4" w:space="0"/>
              <w:left w:val="single" w:color="000000" w:sz="4" w:space="0"/>
              <w:bottom w:val="single" w:color="000000" w:sz="4" w:space="0"/>
              <w:right w:val="single" w:color="000000" w:sz="4" w:space="0"/>
            </w:tcBorders>
          </w:tcPr>
          <w:p>
            <w:pPr>
              <w:pStyle w:val="44"/>
              <w:rPr>
                <w:sz w:val="22"/>
              </w:rPr>
            </w:pPr>
          </w:p>
          <w:p>
            <w:pPr>
              <w:pStyle w:val="44"/>
              <w:spacing w:before="9"/>
              <w:rPr>
                <w:sz w:val="28"/>
              </w:rPr>
            </w:pPr>
          </w:p>
          <w:p>
            <w:pPr>
              <w:pStyle w:val="44"/>
              <w:ind w:left="8"/>
              <w:jc w:val="center"/>
              <w:rPr>
                <w:rFonts w:ascii="Times New Roman"/>
                <w:sz w:val="21"/>
              </w:rPr>
            </w:pPr>
            <w:r>
              <w:rPr>
                <w:rFonts w:ascii="Times New Roman"/>
                <w:w w:val="99"/>
                <w:sz w:val="21"/>
              </w:rPr>
              <w:t>3</w:t>
            </w:r>
          </w:p>
        </w:tc>
        <w:tc>
          <w:tcPr>
            <w:tcW w:w="162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208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51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794" w:type="dxa"/>
            <w:tcBorders>
              <w:top w:val="single" w:color="000000" w:sz="4" w:space="0"/>
              <w:left w:val="single" w:color="000000" w:sz="4" w:space="0"/>
              <w:bottom w:val="single" w:color="000000" w:sz="4" w:space="0"/>
            </w:tcBorders>
          </w:tcPr>
          <w:p>
            <w:pPr>
              <w:pStyle w:val="44"/>
              <w:rPr>
                <w:rFonts w:ascii="Times New Roman"/>
                <w:sz w:val="20"/>
              </w:rPr>
            </w:pPr>
          </w:p>
        </w:tc>
        <w:tc>
          <w:tcPr>
            <w:tcW w:w="1418" w:type="dxa"/>
            <w:tcBorders>
              <w:top w:val="single" w:color="000000" w:sz="4" w:space="0"/>
              <w:bottom w:val="single" w:color="000000" w:sz="4" w:space="0"/>
            </w:tcBorders>
          </w:tcPr>
          <w:p>
            <w:pPr>
              <w:pStyle w:val="4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8" w:hRule="atLeast"/>
        </w:trPr>
        <w:tc>
          <w:tcPr>
            <w:tcW w:w="480" w:type="dxa"/>
            <w:tcBorders>
              <w:top w:val="single" w:color="000000" w:sz="4" w:space="0"/>
              <w:left w:val="single" w:color="000000" w:sz="4" w:space="0"/>
              <w:bottom w:val="single" w:color="000000" w:sz="4" w:space="0"/>
              <w:right w:val="single" w:color="000000" w:sz="4" w:space="0"/>
            </w:tcBorders>
          </w:tcPr>
          <w:p>
            <w:pPr>
              <w:pStyle w:val="44"/>
              <w:rPr>
                <w:sz w:val="20"/>
              </w:rPr>
            </w:pPr>
          </w:p>
          <w:p>
            <w:pPr>
              <w:pStyle w:val="44"/>
              <w:spacing w:before="7"/>
              <w:rPr>
                <w:sz w:val="29"/>
              </w:rPr>
            </w:pPr>
          </w:p>
          <w:p>
            <w:pPr>
              <w:pStyle w:val="44"/>
              <w:ind w:left="9"/>
              <w:jc w:val="center"/>
              <w:rPr>
                <w:sz w:val="21"/>
              </w:rPr>
            </w:pPr>
            <w:r>
              <w:rPr>
                <w:sz w:val="21"/>
              </w:rPr>
              <w:t>……</w:t>
            </w:r>
          </w:p>
        </w:tc>
        <w:tc>
          <w:tcPr>
            <w:tcW w:w="162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540"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208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1515" w:type="dxa"/>
            <w:tcBorders>
              <w:top w:val="single" w:color="000000" w:sz="4" w:space="0"/>
              <w:left w:val="single" w:color="000000" w:sz="4" w:space="0"/>
              <w:bottom w:val="single" w:color="000000" w:sz="4" w:space="0"/>
              <w:right w:val="single" w:color="000000" w:sz="4" w:space="0"/>
            </w:tcBorders>
          </w:tcPr>
          <w:p>
            <w:pPr>
              <w:pStyle w:val="44"/>
              <w:rPr>
                <w:rFonts w:ascii="Times New Roman"/>
                <w:sz w:val="20"/>
              </w:rPr>
            </w:pPr>
          </w:p>
        </w:tc>
        <w:tc>
          <w:tcPr>
            <w:tcW w:w="794" w:type="dxa"/>
            <w:tcBorders>
              <w:top w:val="single" w:color="000000" w:sz="4" w:space="0"/>
              <w:left w:val="single" w:color="000000" w:sz="4" w:space="0"/>
              <w:bottom w:val="single" w:color="000000" w:sz="4" w:space="0"/>
            </w:tcBorders>
          </w:tcPr>
          <w:p>
            <w:pPr>
              <w:pStyle w:val="44"/>
              <w:rPr>
                <w:rFonts w:ascii="Times New Roman"/>
                <w:sz w:val="20"/>
              </w:rPr>
            </w:pPr>
          </w:p>
        </w:tc>
        <w:tc>
          <w:tcPr>
            <w:tcW w:w="1418" w:type="dxa"/>
            <w:tcBorders>
              <w:top w:val="single" w:color="000000" w:sz="4" w:space="0"/>
              <w:bottom w:val="single" w:color="000000" w:sz="4" w:space="0"/>
            </w:tcBorders>
          </w:tcPr>
          <w:p>
            <w:pPr>
              <w:pStyle w:val="44"/>
              <w:rPr>
                <w:rFonts w:ascii="Times New Roman"/>
                <w:sz w:val="20"/>
              </w:rPr>
            </w:pPr>
          </w:p>
        </w:tc>
      </w:tr>
    </w:tbl>
    <w:p>
      <w:pPr>
        <w:spacing w:line="360" w:lineRule="auto"/>
        <w:rPr>
          <w:color w:val="auto"/>
          <w:sz w:val="24"/>
          <w:szCs w:val="24"/>
          <w:highlight w:val="none"/>
        </w:rPr>
      </w:pPr>
      <w:r>
        <w:rPr>
          <w:color w:val="auto"/>
          <w:sz w:val="24"/>
          <w:szCs w:val="24"/>
          <w:highlight w:val="none"/>
        </w:rPr>
        <w:t>注：1、投标人应详细填写投标产品具体技术参数。包括产品的品牌、规格、型号、产地等技术参数</w:t>
      </w:r>
      <w:r>
        <w:rPr>
          <w:rFonts w:hint="eastAsia"/>
          <w:color w:val="auto"/>
          <w:sz w:val="24"/>
          <w:szCs w:val="24"/>
          <w:highlight w:val="none"/>
          <w:lang w:eastAsia="zh-CN"/>
        </w:rPr>
        <w:t>，</w:t>
      </w:r>
      <w:r>
        <w:rPr>
          <w:rFonts w:hint="eastAsia"/>
          <w:color w:val="auto"/>
          <w:sz w:val="24"/>
          <w:szCs w:val="24"/>
          <w:highlight w:val="none"/>
          <w:lang w:val="en-US" w:eastAsia="zh-CN"/>
        </w:rPr>
        <w:t>提供产品</w:t>
      </w:r>
      <w:r>
        <w:rPr>
          <w:rFonts w:hint="eastAsia" w:cs="宋体" w:asciiTheme="minorEastAsia" w:hAnsiTheme="minorEastAsia" w:eastAsiaTheme="minorEastAsia"/>
          <w:color w:val="auto"/>
          <w:kern w:val="0"/>
          <w:sz w:val="24"/>
          <w:highlight w:val="none"/>
          <w:lang w:val="en-US" w:eastAsia="zh-CN"/>
        </w:rPr>
        <w:t>印刷品图册</w:t>
      </w:r>
      <w:r>
        <w:rPr>
          <w:rFonts w:hint="eastAsia" w:cs="宋体" w:asciiTheme="minorEastAsia" w:hAnsiTheme="minorEastAsia"/>
          <w:color w:val="auto"/>
          <w:kern w:val="0"/>
          <w:sz w:val="24"/>
          <w:highlight w:val="none"/>
          <w:lang w:val="en-US" w:eastAsia="zh-CN"/>
        </w:rPr>
        <w:t>原件扫描件</w:t>
      </w:r>
      <w:r>
        <w:rPr>
          <w:color w:val="auto"/>
          <w:sz w:val="24"/>
          <w:szCs w:val="24"/>
          <w:highlight w:val="none"/>
        </w:rPr>
        <w:t>。</w:t>
      </w:r>
    </w:p>
    <w:p>
      <w:pPr>
        <w:spacing w:line="360" w:lineRule="auto"/>
        <w:rPr>
          <w:color w:val="auto"/>
          <w:sz w:val="24"/>
          <w:szCs w:val="24"/>
        </w:rPr>
      </w:pPr>
      <w:r>
        <w:rPr>
          <w:color w:val="auto"/>
          <w:sz w:val="24"/>
          <w:szCs w:val="24"/>
          <w:highlight w:val="none"/>
        </w:rPr>
        <w:t>2、如采购产品属于政府强制采购品目清单的，投标</w:t>
      </w:r>
      <w:r>
        <w:rPr>
          <w:color w:val="auto"/>
          <w:sz w:val="24"/>
          <w:szCs w:val="24"/>
        </w:rPr>
        <w:t>人须在本表对应栏中标明 “为节能产品，节能产品认证证书后附”，认证证书应当为国家确定的认证机构出具、且应处于有效期之内。不符合的按招标文件规定为无效投标。</w:t>
      </w:r>
    </w:p>
    <w:p>
      <w:pPr>
        <w:spacing w:line="360" w:lineRule="auto"/>
        <w:rPr>
          <w:color w:val="auto"/>
          <w:sz w:val="24"/>
          <w:szCs w:val="24"/>
        </w:rPr>
      </w:pPr>
      <w:r>
        <w:rPr>
          <w:color w:val="auto"/>
          <w:sz w:val="24"/>
          <w:szCs w:val="24"/>
        </w:rPr>
        <w:t>3、如采购产品不属于政府强制采购品目清单的，投标人自主填列。</w:t>
      </w:r>
    </w:p>
    <w:p>
      <w:pPr>
        <w:pStyle w:val="4"/>
        <w:rPr>
          <w:color w:val="auto"/>
          <w:sz w:val="20"/>
        </w:rPr>
      </w:pPr>
    </w:p>
    <w:p>
      <w:pPr>
        <w:pStyle w:val="4"/>
        <w:rPr>
          <w:sz w:val="20"/>
        </w:rPr>
      </w:pPr>
    </w:p>
    <w:p>
      <w:pPr>
        <w:pStyle w:val="4"/>
        <w:rPr>
          <w:sz w:val="20"/>
        </w:rPr>
      </w:pPr>
    </w:p>
    <w:p>
      <w:pPr>
        <w:pStyle w:val="4"/>
        <w:rPr>
          <w:sz w:val="20"/>
        </w:rPr>
      </w:pPr>
    </w:p>
    <w:p>
      <w:pPr>
        <w:pStyle w:val="4"/>
        <w:rPr>
          <w:sz w:val="27"/>
        </w:rPr>
      </w:pPr>
    </w:p>
    <w:p>
      <w:pPr>
        <w:spacing w:line="360" w:lineRule="auto"/>
        <w:ind w:firstLine="240" w:firstLineChars="100"/>
        <w:rPr>
          <w:sz w:val="24"/>
          <w:szCs w:val="24"/>
        </w:rPr>
      </w:pPr>
      <w:r>
        <w:rPr>
          <w:sz w:val="24"/>
          <w:szCs w:val="24"/>
        </w:rPr>
        <w:t>投标人（电子签章）：</w:t>
      </w:r>
    </w:p>
    <w:p>
      <w:pPr>
        <w:spacing w:line="360" w:lineRule="auto"/>
        <w:ind w:firstLine="240" w:firstLineChars="100"/>
        <w:rPr>
          <w:sz w:val="24"/>
          <w:szCs w:val="24"/>
        </w:rPr>
      </w:pPr>
      <w:r>
        <w:rPr>
          <w:sz w:val="24"/>
          <w:szCs w:val="24"/>
        </w:rPr>
        <w:t xml:space="preserve">法定代表人（电子签名或签章）： </w:t>
      </w:r>
    </w:p>
    <w:p>
      <w:pPr>
        <w:spacing w:line="360" w:lineRule="auto"/>
        <w:ind w:firstLine="240" w:firstLineChars="100"/>
        <w:rPr>
          <w:sz w:val="24"/>
          <w:szCs w:val="24"/>
        </w:rPr>
      </w:pPr>
      <w:r>
        <w:rPr>
          <w:sz w:val="24"/>
          <w:szCs w:val="24"/>
        </w:rPr>
        <w:t>日期：   年   月   日</w:t>
      </w:r>
    </w:p>
    <w:p>
      <w:pPr>
        <w:spacing w:before="60" w:line="219" w:lineRule="auto"/>
        <w:outlineLvl w:val="9"/>
        <w:rPr>
          <w:rFonts w:ascii="宋体" w:hAnsi="宋体" w:eastAsia="宋体" w:cs="宋体"/>
          <w:b/>
          <w:bCs/>
          <w:spacing w:val="-9"/>
          <w:sz w:val="30"/>
          <w:szCs w:val="30"/>
        </w:rPr>
      </w:pPr>
    </w:p>
    <w:p>
      <w:pPr>
        <w:spacing w:before="60" w:line="219" w:lineRule="auto"/>
        <w:ind w:left="3722"/>
        <w:outlineLvl w:val="9"/>
        <w:rPr>
          <w:rFonts w:ascii="宋体" w:hAnsi="宋体" w:eastAsia="宋体" w:cs="宋体"/>
          <w:b/>
          <w:bCs/>
          <w:spacing w:val="-9"/>
          <w:sz w:val="30"/>
          <w:szCs w:val="30"/>
        </w:rPr>
      </w:pPr>
    </w:p>
    <w:p>
      <w:pPr>
        <w:spacing w:before="60" w:line="219" w:lineRule="auto"/>
        <w:ind w:left="3722"/>
        <w:outlineLvl w:val="1"/>
        <w:rPr>
          <w:rFonts w:ascii="宋体" w:hAnsi="宋体" w:eastAsia="宋体" w:cs="宋体"/>
          <w:sz w:val="30"/>
          <w:szCs w:val="30"/>
        </w:rPr>
      </w:pPr>
      <w:bookmarkStart w:id="134" w:name="_Toc25808"/>
      <w:r>
        <w:rPr>
          <w:rFonts w:hint="eastAsia" w:ascii="宋体" w:hAnsi="宋体" w:eastAsia="宋体" w:cs="宋体"/>
          <w:b/>
          <w:bCs/>
          <w:spacing w:val="-9"/>
          <w:sz w:val="30"/>
          <w:szCs w:val="30"/>
          <w:lang w:val="en-US" w:eastAsia="zh-CN"/>
        </w:rPr>
        <w:t>5</w:t>
      </w:r>
      <w:r>
        <w:rPr>
          <w:rFonts w:ascii="宋体" w:hAnsi="宋体" w:eastAsia="宋体" w:cs="宋体"/>
          <w:b/>
          <w:bCs/>
          <w:spacing w:val="-9"/>
          <w:sz w:val="30"/>
          <w:szCs w:val="30"/>
        </w:rPr>
        <w:t>、技术偏差表</w:t>
      </w:r>
      <w:bookmarkEnd w:id="134"/>
    </w:p>
    <w:p>
      <w:pPr>
        <w:spacing w:before="78" w:line="226" w:lineRule="auto"/>
        <w:ind w:left="120" w:right="4612"/>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pPr>
        <w:spacing w:before="78" w:line="226" w:lineRule="auto"/>
        <w:ind w:left="120" w:right="4612"/>
        <w:rPr>
          <w:rFonts w:ascii="宋体" w:hAnsi="宋体" w:eastAsia="宋体" w:cs="宋体"/>
          <w:sz w:val="20"/>
          <w:szCs w:val="20"/>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35"/>
        <w:tblW w:w="947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1635"/>
        <w:gridCol w:w="2196"/>
        <w:gridCol w:w="1869"/>
        <w:gridCol w:w="1364"/>
        <w:gridCol w:w="1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464" w:type="dxa"/>
            <w:tcBorders>
              <w:top w:val="single" w:color="000000" w:sz="4" w:space="0"/>
              <w:left w:val="single" w:color="000000" w:sz="4" w:space="0"/>
            </w:tcBorders>
            <w:vAlign w:val="top"/>
          </w:tcPr>
          <w:p>
            <w:pPr>
              <w:pStyle w:val="34"/>
              <w:spacing w:before="65" w:line="229" w:lineRule="auto"/>
              <w:ind w:left="24"/>
              <w:rPr>
                <w:sz w:val="24"/>
                <w:szCs w:val="24"/>
              </w:rPr>
            </w:pPr>
            <w:r>
              <w:rPr>
                <w:spacing w:val="5"/>
                <w:sz w:val="24"/>
                <w:szCs w:val="24"/>
              </w:rPr>
              <w:t>序号</w:t>
            </w:r>
          </w:p>
        </w:tc>
        <w:tc>
          <w:tcPr>
            <w:tcW w:w="1635" w:type="dxa"/>
            <w:tcBorders>
              <w:top w:val="single" w:color="000000" w:sz="4" w:space="0"/>
            </w:tcBorders>
            <w:vAlign w:val="top"/>
          </w:tcPr>
          <w:p>
            <w:pPr>
              <w:spacing w:line="396" w:lineRule="auto"/>
              <w:rPr>
                <w:rFonts w:ascii="Arial"/>
                <w:sz w:val="24"/>
                <w:szCs w:val="24"/>
              </w:rPr>
            </w:pPr>
          </w:p>
          <w:p>
            <w:pPr>
              <w:pStyle w:val="34"/>
              <w:spacing w:before="65" w:line="228" w:lineRule="auto"/>
              <w:ind w:left="387"/>
              <w:rPr>
                <w:sz w:val="24"/>
                <w:szCs w:val="24"/>
              </w:rPr>
            </w:pPr>
            <w:r>
              <w:rPr>
                <w:spacing w:val="12"/>
                <w:sz w:val="24"/>
                <w:szCs w:val="24"/>
              </w:rPr>
              <w:t>产品名称</w:t>
            </w:r>
          </w:p>
        </w:tc>
        <w:tc>
          <w:tcPr>
            <w:tcW w:w="2196" w:type="dxa"/>
            <w:tcBorders>
              <w:top w:val="single" w:color="000000" w:sz="4" w:space="0"/>
            </w:tcBorders>
            <w:vAlign w:val="top"/>
          </w:tcPr>
          <w:p>
            <w:pPr>
              <w:spacing w:line="425" w:lineRule="auto"/>
              <w:rPr>
                <w:rFonts w:ascii="Arial"/>
                <w:sz w:val="24"/>
                <w:szCs w:val="24"/>
              </w:rPr>
            </w:pPr>
          </w:p>
          <w:p>
            <w:pPr>
              <w:pStyle w:val="34"/>
              <w:spacing w:before="65" w:line="228" w:lineRule="auto"/>
              <w:rPr>
                <w:rFonts w:hint="eastAsia" w:eastAsia="宋体"/>
                <w:sz w:val="24"/>
                <w:szCs w:val="24"/>
                <w:lang w:eastAsia="zh-CN"/>
              </w:rPr>
            </w:pPr>
            <w:r>
              <w:rPr>
                <w:spacing w:val="13"/>
                <w:sz w:val="24"/>
                <w:szCs w:val="24"/>
              </w:rPr>
              <w:t>《</w:t>
            </w:r>
            <w:r>
              <w:rPr>
                <w:rFonts w:hint="eastAsia"/>
                <w:spacing w:val="13"/>
                <w:sz w:val="24"/>
                <w:szCs w:val="24"/>
                <w:lang w:val="en-US" w:eastAsia="zh-CN"/>
              </w:rPr>
              <w:t>招标</w:t>
            </w:r>
            <w:r>
              <w:rPr>
                <w:spacing w:val="13"/>
                <w:sz w:val="24"/>
                <w:szCs w:val="24"/>
              </w:rPr>
              <w:t>文件要求</w:t>
            </w:r>
            <w:r>
              <w:rPr>
                <w:rFonts w:hint="eastAsia"/>
                <w:spacing w:val="13"/>
                <w:sz w:val="24"/>
                <w:szCs w:val="24"/>
                <w:lang w:eastAsia="zh-CN"/>
              </w:rPr>
              <w:t>》</w:t>
            </w:r>
          </w:p>
        </w:tc>
        <w:tc>
          <w:tcPr>
            <w:tcW w:w="1869" w:type="dxa"/>
            <w:tcBorders>
              <w:top w:val="single" w:color="000000" w:sz="4" w:space="0"/>
            </w:tcBorders>
            <w:vAlign w:val="top"/>
          </w:tcPr>
          <w:p>
            <w:pPr>
              <w:spacing w:line="425" w:lineRule="auto"/>
              <w:rPr>
                <w:rFonts w:ascii="Arial"/>
                <w:sz w:val="24"/>
                <w:szCs w:val="24"/>
              </w:rPr>
            </w:pPr>
          </w:p>
          <w:p>
            <w:pPr>
              <w:pStyle w:val="34"/>
              <w:spacing w:before="65" w:line="228" w:lineRule="auto"/>
              <w:rPr>
                <w:sz w:val="24"/>
                <w:szCs w:val="24"/>
              </w:rPr>
            </w:pPr>
            <w:r>
              <w:rPr>
                <w:spacing w:val="10"/>
                <w:sz w:val="24"/>
                <w:szCs w:val="24"/>
              </w:rPr>
              <w:t>响应产品参数</w:t>
            </w:r>
          </w:p>
        </w:tc>
        <w:tc>
          <w:tcPr>
            <w:tcW w:w="1364" w:type="dxa"/>
            <w:tcBorders>
              <w:top w:val="single" w:color="000000" w:sz="4" w:space="0"/>
              <w:right w:val="single" w:color="000000" w:sz="4" w:space="0"/>
            </w:tcBorders>
            <w:vAlign w:val="top"/>
          </w:tcPr>
          <w:p>
            <w:pPr>
              <w:spacing w:line="425" w:lineRule="auto"/>
              <w:rPr>
                <w:rFonts w:ascii="Arial"/>
                <w:sz w:val="24"/>
                <w:szCs w:val="24"/>
              </w:rPr>
            </w:pPr>
          </w:p>
          <w:p>
            <w:pPr>
              <w:pStyle w:val="34"/>
              <w:spacing w:before="65" w:line="228" w:lineRule="auto"/>
              <w:rPr>
                <w:sz w:val="24"/>
                <w:szCs w:val="24"/>
              </w:rPr>
            </w:pPr>
            <w:r>
              <w:rPr>
                <w:spacing w:val="12"/>
                <w:sz w:val="24"/>
                <w:szCs w:val="24"/>
              </w:rPr>
              <w:t>偏差描述</w:t>
            </w:r>
          </w:p>
        </w:tc>
        <w:tc>
          <w:tcPr>
            <w:tcW w:w="1948" w:type="dxa"/>
            <w:tcBorders>
              <w:top w:val="single" w:color="000000" w:sz="4" w:space="0"/>
              <w:left w:val="single" w:color="000000" w:sz="4" w:space="0"/>
              <w:right w:val="single" w:color="000000" w:sz="4" w:space="0"/>
            </w:tcBorders>
            <w:vAlign w:val="top"/>
          </w:tcPr>
          <w:p>
            <w:pPr>
              <w:pStyle w:val="34"/>
              <w:spacing w:before="209" w:line="228" w:lineRule="auto"/>
              <w:ind w:left="24"/>
              <w:jc w:val="center"/>
              <w:rPr>
                <w:sz w:val="24"/>
                <w:szCs w:val="24"/>
              </w:rPr>
            </w:pPr>
            <w:r>
              <w:rPr>
                <w:spacing w:val="5"/>
                <w:sz w:val="24"/>
                <w:szCs w:val="24"/>
              </w:rPr>
              <w:t>所对应的产品证明材料的页</w:t>
            </w:r>
            <w:r>
              <w:rPr>
                <w:spacing w:val="1"/>
                <w:sz w:val="24"/>
                <w:szCs w:val="24"/>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64" w:type="dxa"/>
            <w:tcBorders>
              <w:left w:val="single" w:color="000000" w:sz="4" w:space="0"/>
            </w:tcBorders>
            <w:vAlign w:val="top"/>
          </w:tcPr>
          <w:p>
            <w:pPr>
              <w:pStyle w:val="34"/>
              <w:spacing w:before="258" w:line="189" w:lineRule="auto"/>
              <w:ind w:left="199"/>
              <w:rPr>
                <w:sz w:val="24"/>
                <w:szCs w:val="24"/>
              </w:rPr>
            </w:pPr>
            <w:r>
              <w:rPr>
                <w:sz w:val="24"/>
                <w:szCs w:val="24"/>
              </w:rPr>
              <w:t>1</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64" w:type="dxa"/>
            <w:tcBorders>
              <w:left w:val="single" w:color="000000" w:sz="4" w:space="0"/>
            </w:tcBorders>
            <w:vAlign w:val="top"/>
          </w:tcPr>
          <w:p>
            <w:pPr>
              <w:pStyle w:val="34"/>
              <w:spacing w:before="256" w:line="189" w:lineRule="auto"/>
              <w:ind w:left="186"/>
              <w:rPr>
                <w:sz w:val="24"/>
                <w:szCs w:val="24"/>
              </w:rPr>
            </w:pPr>
            <w:r>
              <w:rPr>
                <w:sz w:val="24"/>
                <w:szCs w:val="24"/>
              </w:rPr>
              <w:t>2</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64" w:type="dxa"/>
            <w:tcBorders>
              <w:left w:val="single" w:color="000000" w:sz="4" w:space="0"/>
            </w:tcBorders>
            <w:vAlign w:val="top"/>
          </w:tcPr>
          <w:p>
            <w:pPr>
              <w:pStyle w:val="34"/>
              <w:spacing w:before="258" w:line="189" w:lineRule="auto"/>
              <w:ind w:left="187"/>
              <w:rPr>
                <w:sz w:val="24"/>
                <w:szCs w:val="24"/>
              </w:rPr>
            </w:pPr>
            <w:r>
              <w:rPr>
                <w:sz w:val="24"/>
                <w:szCs w:val="24"/>
              </w:rPr>
              <w:t>3</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64" w:type="dxa"/>
            <w:tcBorders>
              <w:left w:val="single" w:color="000000" w:sz="4" w:space="0"/>
            </w:tcBorders>
            <w:vAlign w:val="top"/>
          </w:tcPr>
          <w:p>
            <w:pPr>
              <w:pStyle w:val="34"/>
              <w:spacing w:before="258" w:line="189" w:lineRule="auto"/>
              <w:ind w:left="182"/>
              <w:rPr>
                <w:sz w:val="24"/>
                <w:szCs w:val="24"/>
              </w:rPr>
            </w:pPr>
            <w:r>
              <w:rPr>
                <w:sz w:val="24"/>
                <w:szCs w:val="24"/>
              </w:rPr>
              <w:t>4</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64" w:type="dxa"/>
            <w:tcBorders>
              <w:left w:val="single" w:color="000000" w:sz="4" w:space="0"/>
            </w:tcBorders>
            <w:vAlign w:val="top"/>
          </w:tcPr>
          <w:p>
            <w:pPr>
              <w:pStyle w:val="34"/>
              <w:spacing w:before="288" w:line="187" w:lineRule="auto"/>
              <w:ind w:left="187"/>
              <w:rPr>
                <w:sz w:val="24"/>
                <w:szCs w:val="24"/>
              </w:rPr>
            </w:pPr>
            <w:r>
              <w:rPr>
                <w:sz w:val="24"/>
                <w:szCs w:val="24"/>
              </w:rPr>
              <w:t>5</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4" w:type="dxa"/>
            <w:tcBorders>
              <w:left w:val="single" w:color="000000" w:sz="4" w:space="0"/>
            </w:tcBorders>
            <w:vAlign w:val="top"/>
          </w:tcPr>
          <w:p>
            <w:pPr>
              <w:pStyle w:val="34"/>
              <w:spacing w:before="270" w:line="189" w:lineRule="auto"/>
              <w:ind w:left="185"/>
              <w:rPr>
                <w:sz w:val="24"/>
                <w:szCs w:val="24"/>
              </w:rPr>
            </w:pPr>
            <w:r>
              <w:rPr>
                <w:sz w:val="24"/>
                <w:szCs w:val="24"/>
              </w:rPr>
              <w:t>6</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64" w:type="dxa"/>
            <w:tcBorders>
              <w:left w:val="single" w:color="000000" w:sz="4" w:space="0"/>
            </w:tcBorders>
            <w:vAlign w:val="top"/>
          </w:tcPr>
          <w:p>
            <w:pPr>
              <w:pStyle w:val="34"/>
              <w:spacing w:before="281" w:line="187" w:lineRule="auto"/>
              <w:ind w:left="188"/>
              <w:rPr>
                <w:sz w:val="24"/>
                <w:szCs w:val="24"/>
              </w:rPr>
            </w:pPr>
            <w:r>
              <w:rPr>
                <w:sz w:val="24"/>
                <w:szCs w:val="24"/>
              </w:rPr>
              <w:t>7</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464" w:type="dxa"/>
            <w:tcBorders>
              <w:left w:val="single" w:color="000000" w:sz="4" w:space="0"/>
            </w:tcBorders>
            <w:vAlign w:val="top"/>
          </w:tcPr>
          <w:p>
            <w:pPr>
              <w:pStyle w:val="34"/>
              <w:spacing w:before="280" w:line="189" w:lineRule="auto"/>
              <w:ind w:left="184"/>
              <w:rPr>
                <w:sz w:val="24"/>
                <w:szCs w:val="24"/>
              </w:rPr>
            </w:pPr>
            <w:r>
              <w:rPr>
                <w:sz w:val="24"/>
                <w:szCs w:val="24"/>
              </w:rPr>
              <w:t>8</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464" w:type="dxa"/>
            <w:tcBorders>
              <w:left w:val="single" w:color="000000" w:sz="4" w:space="0"/>
            </w:tcBorders>
            <w:vAlign w:val="top"/>
          </w:tcPr>
          <w:p>
            <w:pPr>
              <w:pStyle w:val="34"/>
              <w:spacing w:before="269" w:line="189" w:lineRule="auto"/>
              <w:ind w:left="184"/>
              <w:rPr>
                <w:sz w:val="24"/>
                <w:szCs w:val="24"/>
              </w:rPr>
            </w:pPr>
            <w:r>
              <w:rPr>
                <w:sz w:val="24"/>
                <w:szCs w:val="24"/>
              </w:rPr>
              <w:t>9</w:t>
            </w:r>
          </w:p>
        </w:tc>
        <w:tc>
          <w:tcPr>
            <w:tcW w:w="1635" w:type="dxa"/>
            <w:vAlign w:val="top"/>
          </w:tcPr>
          <w:p>
            <w:pPr>
              <w:rPr>
                <w:rFonts w:ascii="Arial"/>
                <w:sz w:val="24"/>
                <w:szCs w:val="24"/>
              </w:rPr>
            </w:pPr>
          </w:p>
        </w:tc>
        <w:tc>
          <w:tcPr>
            <w:tcW w:w="2196" w:type="dxa"/>
            <w:vAlign w:val="top"/>
          </w:tcPr>
          <w:p>
            <w:pPr>
              <w:rPr>
                <w:rFonts w:ascii="Arial"/>
                <w:sz w:val="24"/>
                <w:szCs w:val="24"/>
              </w:rPr>
            </w:pPr>
          </w:p>
        </w:tc>
        <w:tc>
          <w:tcPr>
            <w:tcW w:w="1869" w:type="dxa"/>
            <w:vAlign w:val="top"/>
          </w:tcPr>
          <w:p>
            <w:pPr>
              <w:rPr>
                <w:rFonts w:ascii="Arial"/>
                <w:sz w:val="24"/>
                <w:szCs w:val="24"/>
              </w:rPr>
            </w:pPr>
          </w:p>
        </w:tc>
        <w:tc>
          <w:tcPr>
            <w:tcW w:w="1364" w:type="dxa"/>
            <w:tcBorders>
              <w:right w:val="single" w:color="000000" w:sz="4" w:space="0"/>
            </w:tcBorders>
            <w:vAlign w:val="top"/>
          </w:tcPr>
          <w:p>
            <w:pPr>
              <w:rPr>
                <w:rFonts w:ascii="Arial"/>
                <w:sz w:val="24"/>
                <w:szCs w:val="24"/>
              </w:rPr>
            </w:pPr>
          </w:p>
        </w:tc>
        <w:tc>
          <w:tcPr>
            <w:tcW w:w="1948" w:type="dxa"/>
            <w:tcBorders>
              <w:left w:val="single" w:color="000000" w:sz="4" w:space="0"/>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464" w:type="dxa"/>
            <w:tcBorders>
              <w:left w:val="single" w:color="000000" w:sz="4" w:space="0"/>
              <w:bottom w:val="single" w:color="000000" w:sz="4" w:space="0"/>
            </w:tcBorders>
            <w:vAlign w:val="top"/>
          </w:tcPr>
          <w:p>
            <w:pPr>
              <w:rPr>
                <w:rFonts w:ascii="Arial"/>
                <w:sz w:val="24"/>
                <w:szCs w:val="24"/>
              </w:rPr>
            </w:pPr>
          </w:p>
        </w:tc>
        <w:tc>
          <w:tcPr>
            <w:tcW w:w="1635" w:type="dxa"/>
            <w:tcBorders>
              <w:bottom w:val="single" w:color="000000" w:sz="4" w:space="0"/>
            </w:tcBorders>
            <w:vAlign w:val="top"/>
          </w:tcPr>
          <w:p>
            <w:pPr>
              <w:rPr>
                <w:rFonts w:ascii="Arial"/>
                <w:sz w:val="24"/>
                <w:szCs w:val="24"/>
              </w:rPr>
            </w:pPr>
          </w:p>
        </w:tc>
        <w:tc>
          <w:tcPr>
            <w:tcW w:w="2196" w:type="dxa"/>
            <w:tcBorders>
              <w:bottom w:val="single" w:color="000000" w:sz="4" w:space="0"/>
            </w:tcBorders>
            <w:vAlign w:val="top"/>
          </w:tcPr>
          <w:p>
            <w:pPr>
              <w:rPr>
                <w:rFonts w:ascii="Arial"/>
                <w:sz w:val="24"/>
                <w:szCs w:val="24"/>
              </w:rPr>
            </w:pPr>
          </w:p>
        </w:tc>
        <w:tc>
          <w:tcPr>
            <w:tcW w:w="1869" w:type="dxa"/>
            <w:tcBorders>
              <w:bottom w:val="single" w:color="000000" w:sz="4" w:space="0"/>
            </w:tcBorders>
            <w:vAlign w:val="top"/>
          </w:tcPr>
          <w:p>
            <w:pPr>
              <w:rPr>
                <w:rFonts w:ascii="Arial"/>
                <w:sz w:val="24"/>
                <w:szCs w:val="24"/>
              </w:rPr>
            </w:pPr>
          </w:p>
        </w:tc>
        <w:tc>
          <w:tcPr>
            <w:tcW w:w="1364" w:type="dxa"/>
            <w:tcBorders>
              <w:bottom w:val="single" w:color="000000" w:sz="4" w:space="0"/>
              <w:right w:val="single" w:color="000000" w:sz="4" w:space="0"/>
            </w:tcBorders>
            <w:vAlign w:val="top"/>
          </w:tcPr>
          <w:p>
            <w:pPr>
              <w:rPr>
                <w:rFonts w:ascii="Arial"/>
                <w:sz w:val="24"/>
                <w:szCs w:val="24"/>
              </w:rPr>
            </w:pPr>
          </w:p>
        </w:tc>
        <w:tc>
          <w:tcPr>
            <w:tcW w:w="1948" w:type="dxa"/>
            <w:tcBorders>
              <w:left w:val="single" w:color="000000" w:sz="4" w:space="0"/>
              <w:bottom w:val="single" w:color="000000" w:sz="4" w:space="0"/>
              <w:right w:val="single" w:color="000000" w:sz="4" w:space="0"/>
            </w:tcBorders>
            <w:vAlign w:val="top"/>
          </w:tcPr>
          <w:p>
            <w:pPr>
              <w:rPr>
                <w:rFonts w:ascii="Arial"/>
                <w:sz w:val="24"/>
                <w:szCs w:val="24"/>
              </w:rPr>
            </w:pPr>
          </w:p>
        </w:tc>
      </w:tr>
    </w:tbl>
    <w:p>
      <w:pPr>
        <w:spacing w:before="100" w:line="295" w:lineRule="auto"/>
        <w:ind w:left="217" w:right="247" w:firstLine="540"/>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58"/>
          <w:sz w:val="24"/>
          <w:szCs w:val="24"/>
        </w:rPr>
        <w:t xml:space="preserve"> </w:t>
      </w:r>
      <w:r>
        <w:rPr>
          <w:rFonts w:ascii="宋体" w:hAnsi="宋体" w:eastAsia="宋体" w:cs="宋体"/>
          <w:spacing w:val="16"/>
          <w:sz w:val="24"/>
          <w:szCs w:val="24"/>
        </w:rPr>
        <w:t>1、</w:t>
      </w:r>
      <w:r>
        <w:rPr>
          <w:rFonts w:ascii="宋体" w:hAnsi="宋体" w:eastAsia="宋体" w:cs="宋体"/>
          <w:spacing w:val="-74"/>
          <w:sz w:val="24"/>
          <w:szCs w:val="24"/>
        </w:rPr>
        <w:t xml:space="preserve"> </w:t>
      </w:r>
      <w:r>
        <w:rPr>
          <w:rFonts w:ascii="宋体" w:hAnsi="宋体" w:eastAsia="宋体" w:cs="宋体"/>
          <w:spacing w:val="16"/>
          <w:sz w:val="24"/>
          <w:szCs w:val="24"/>
        </w:rPr>
        <w:t>“偏差</w:t>
      </w:r>
      <w:r>
        <w:rPr>
          <w:rFonts w:ascii="宋体" w:hAnsi="宋体" w:eastAsia="宋体" w:cs="宋体"/>
          <w:spacing w:val="-60"/>
          <w:sz w:val="24"/>
          <w:szCs w:val="24"/>
        </w:rPr>
        <w:t xml:space="preserve"> </w:t>
      </w:r>
      <w:r>
        <w:rPr>
          <w:rFonts w:ascii="宋体" w:hAnsi="宋体" w:eastAsia="宋体" w:cs="宋体"/>
          <w:spacing w:val="16"/>
          <w:sz w:val="24"/>
          <w:szCs w:val="24"/>
        </w:rPr>
        <w:t>”栏中详细注明响应产品参数与《</w:t>
      </w:r>
      <w:r>
        <w:rPr>
          <w:rFonts w:hint="eastAsia" w:ascii="宋体" w:hAnsi="宋体" w:eastAsia="宋体" w:cs="宋体"/>
          <w:spacing w:val="16"/>
          <w:sz w:val="24"/>
          <w:szCs w:val="24"/>
          <w:lang w:val="en-US" w:eastAsia="zh-CN"/>
        </w:rPr>
        <w:t>招标</w:t>
      </w:r>
      <w:r>
        <w:rPr>
          <w:rFonts w:ascii="宋体" w:hAnsi="宋体" w:eastAsia="宋体" w:cs="宋体"/>
          <w:spacing w:val="16"/>
          <w:sz w:val="24"/>
          <w:szCs w:val="24"/>
        </w:rPr>
        <w:t>文件</w:t>
      </w:r>
      <w:r>
        <w:rPr>
          <w:rFonts w:ascii="宋体" w:hAnsi="宋体" w:eastAsia="宋体" w:cs="宋体"/>
          <w:spacing w:val="15"/>
          <w:sz w:val="24"/>
          <w:szCs w:val="24"/>
        </w:rPr>
        <w:t>》</w:t>
      </w:r>
      <w:r>
        <w:rPr>
          <w:rFonts w:ascii="宋体" w:hAnsi="宋体" w:eastAsia="宋体" w:cs="宋体"/>
          <w:spacing w:val="-40"/>
          <w:sz w:val="24"/>
          <w:szCs w:val="24"/>
        </w:rPr>
        <w:t xml:space="preserve"> </w:t>
      </w:r>
      <w:r>
        <w:rPr>
          <w:rFonts w:ascii="宋体" w:hAnsi="宋体" w:eastAsia="宋体" w:cs="宋体"/>
          <w:spacing w:val="15"/>
          <w:sz w:val="24"/>
          <w:szCs w:val="24"/>
        </w:rPr>
        <w:t>中要求有何不同，并说明其</w:t>
      </w:r>
      <w:r>
        <w:rPr>
          <w:rFonts w:ascii="宋体" w:hAnsi="宋体" w:eastAsia="宋体" w:cs="宋体"/>
          <w:spacing w:val="14"/>
          <w:sz w:val="24"/>
          <w:szCs w:val="24"/>
        </w:rPr>
        <w:t>符合性</w:t>
      </w:r>
      <w:r>
        <w:rPr>
          <w:rFonts w:ascii="宋体" w:hAnsi="宋体" w:eastAsia="宋体" w:cs="宋体"/>
          <w:spacing w:val="-46"/>
          <w:sz w:val="24"/>
          <w:szCs w:val="24"/>
        </w:rPr>
        <w:t xml:space="preserve"> </w:t>
      </w:r>
      <w:r>
        <w:rPr>
          <w:rFonts w:ascii="宋体" w:hAnsi="宋体" w:eastAsia="宋体" w:cs="宋体"/>
          <w:spacing w:val="14"/>
          <w:sz w:val="24"/>
          <w:szCs w:val="24"/>
        </w:rPr>
        <w:t>。</w:t>
      </w:r>
    </w:p>
    <w:p>
      <w:pPr>
        <w:spacing w:before="103" w:line="295" w:lineRule="auto"/>
        <w:ind w:left="217" w:right="247" w:firstLine="543"/>
        <w:rPr>
          <w:rFonts w:ascii="宋体" w:hAnsi="宋体" w:eastAsia="宋体" w:cs="宋体"/>
          <w:sz w:val="24"/>
          <w:szCs w:val="24"/>
        </w:rPr>
      </w:pPr>
      <w:r>
        <w:rPr>
          <w:rFonts w:ascii="宋体" w:hAnsi="宋体" w:eastAsia="宋体" w:cs="宋体"/>
          <w:spacing w:val="19"/>
          <w:sz w:val="24"/>
          <w:szCs w:val="24"/>
        </w:rPr>
        <w:t>2、如所投产品配置及技术参数与“技术要求</w:t>
      </w:r>
      <w:r>
        <w:rPr>
          <w:rFonts w:ascii="宋体" w:hAnsi="宋体" w:eastAsia="宋体" w:cs="宋体"/>
          <w:spacing w:val="-60"/>
          <w:sz w:val="24"/>
          <w:szCs w:val="24"/>
        </w:rPr>
        <w:t xml:space="preserve"> </w:t>
      </w:r>
      <w:r>
        <w:rPr>
          <w:rFonts w:ascii="宋体" w:hAnsi="宋体" w:eastAsia="宋体" w:cs="宋体"/>
          <w:spacing w:val="19"/>
          <w:sz w:val="24"/>
          <w:szCs w:val="24"/>
        </w:rPr>
        <w:t>”一致的部分，仍需在本表填列“</w:t>
      </w:r>
      <w:r>
        <w:rPr>
          <w:rFonts w:ascii="宋体" w:hAnsi="宋体" w:eastAsia="宋体" w:cs="宋体"/>
          <w:spacing w:val="18"/>
          <w:sz w:val="24"/>
          <w:szCs w:val="24"/>
        </w:rPr>
        <w:t>与《</w:t>
      </w:r>
      <w:r>
        <w:rPr>
          <w:rFonts w:hint="eastAsia" w:ascii="宋体" w:hAnsi="宋体" w:eastAsia="宋体" w:cs="宋体"/>
          <w:spacing w:val="18"/>
          <w:sz w:val="24"/>
          <w:szCs w:val="24"/>
          <w:lang w:val="en-US" w:eastAsia="zh-CN"/>
        </w:rPr>
        <w:t>招标</w:t>
      </w:r>
      <w:r>
        <w:rPr>
          <w:rFonts w:ascii="宋体" w:hAnsi="宋体" w:eastAsia="宋体" w:cs="宋体"/>
          <w:spacing w:val="14"/>
          <w:sz w:val="24"/>
          <w:szCs w:val="24"/>
        </w:rPr>
        <w:t>文件》技术要求一致</w:t>
      </w:r>
      <w:r>
        <w:rPr>
          <w:rFonts w:ascii="宋体" w:hAnsi="宋体" w:eastAsia="宋体" w:cs="宋体"/>
          <w:spacing w:val="-59"/>
          <w:sz w:val="24"/>
          <w:szCs w:val="24"/>
        </w:rPr>
        <w:t xml:space="preserve"> </w:t>
      </w:r>
      <w:r>
        <w:rPr>
          <w:rFonts w:ascii="宋体" w:hAnsi="宋体" w:eastAsia="宋体" w:cs="宋体"/>
          <w:spacing w:val="14"/>
          <w:sz w:val="24"/>
          <w:szCs w:val="24"/>
        </w:rPr>
        <w:t>”等相似表述。</w:t>
      </w: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spacing w:before="183" w:line="345" w:lineRule="auto"/>
        <w:ind w:left="157" w:right="5751" w:hanging="40"/>
        <w:rPr>
          <w:rFonts w:ascii="宋体" w:hAnsi="宋体" w:eastAsia="宋体" w:cs="宋体"/>
          <w:b/>
          <w:bCs/>
          <w:spacing w:val="-7"/>
          <w:sz w:val="30"/>
          <w:szCs w:val="30"/>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before="60" w:line="219" w:lineRule="auto"/>
        <w:ind w:left="2453"/>
        <w:outlineLvl w:val="1"/>
        <w:rPr>
          <w:rFonts w:ascii="宋体" w:hAnsi="宋体" w:eastAsia="宋体" w:cs="宋体"/>
          <w:sz w:val="30"/>
          <w:szCs w:val="30"/>
        </w:rPr>
      </w:pPr>
      <w:bookmarkStart w:id="135" w:name="_Toc29607"/>
      <w:r>
        <w:rPr>
          <w:rFonts w:hint="eastAsia" w:ascii="宋体" w:hAnsi="宋体" w:eastAsia="宋体" w:cs="宋体"/>
          <w:b/>
          <w:bCs/>
          <w:spacing w:val="-7"/>
          <w:sz w:val="30"/>
          <w:szCs w:val="30"/>
          <w:lang w:val="en-US" w:eastAsia="zh-CN"/>
        </w:rPr>
        <w:t>6</w:t>
      </w:r>
      <w:r>
        <w:rPr>
          <w:rFonts w:ascii="宋体" w:hAnsi="宋体" w:eastAsia="宋体" w:cs="宋体"/>
          <w:b/>
          <w:bCs/>
          <w:spacing w:val="-7"/>
          <w:sz w:val="30"/>
          <w:szCs w:val="30"/>
        </w:rPr>
        <w:t>、其他偏差表（除技术偏差外）</w:t>
      </w:r>
      <w:bookmarkEnd w:id="135"/>
    </w:p>
    <w:p>
      <w:pPr>
        <w:spacing w:before="78" w:line="226" w:lineRule="auto"/>
        <w:ind w:left="120" w:right="4612"/>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pPr>
        <w:spacing w:before="78" w:line="226" w:lineRule="auto"/>
        <w:ind w:left="120" w:right="4612"/>
        <w:rPr>
          <w:rFonts w:ascii="宋体" w:hAnsi="宋体" w:eastAsia="宋体" w:cs="宋体"/>
          <w:sz w:val="20"/>
          <w:szCs w:val="20"/>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35"/>
        <w:tblW w:w="932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3090"/>
        <w:gridCol w:w="2939"/>
        <w:gridCol w:w="2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652" w:type="dxa"/>
            <w:tcBorders>
              <w:top w:val="single" w:color="000000" w:sz="4" w:space="0"/>
              <w:left w:val="single" w:color="000000" w:sz="4" w:space="0"/>
            </w:tcBorders>
            <w:vAlign w:val="top"/>
          </w:tcPr>
          <w:p>
            <w:pPr>
              <w:spacing w:line="422" w:lineRule="auto"/>
              <w:rPr>
                <w:rFonts w:ascii="Arial"/>
                <w:sz w:val="24"/>
                <w:szCs w:val="24"/>
              </w:rPr>
            </w:pPr>
          </w:p>
          <w:p>
            <w:pPr>
              <w:pStyle w:val="34"/>
              <w:spacing w:before="65" w:line="229" w:lineRule="auto"/>
              <w:ind w:left="111"/>
              <w:rPr>
                <w:sz w:val="24"/>
                <w:szCs w:val="24"/>
              </w:rPr>
            </w:pPr>
            <w:r>
              <w:rPr>
                <w:b/>
                <w:bCs/>
                <w:spacing w:val="6"/>
                <w:sz w:val="24"/>
                <w:szCs w:val="24"/>
              </w:rPr>
              <w:t>序号</w:t>
            </w:r>
          </w:p>
        </w:tc>
        <w:tc>
          <w:tcPr>
            <w:tcW w:w="3090" w:type="dxa"/>
            <w:tcBorders>
              <w:top w:val="single" w:color="000000" w:sz="4" w:space="0"/>
            </w:tcBorders>
            <w:vAlign w:val="top"/>
          </w:tcPr>
          <w:p>
            <w:pPr>
              <w:spacing w:line="422" w:lineRule="auto"/>
              <w:rPr>
                <w:rFonts w:ascii="Arial"/>
                <w:sz w:val="24"/>
                <w:szCs w:val="24"/>
              </w:rPr>
            </w:pPr>
          </w:p>
          <w:p>
            <w:pPr>
              <w:pStyle w:val="34"/>
              <w:spacing w:before="65" w:line="228" w:lineRule="auto"/>
              <w:ind w:left="687"/>
              <w:rPr>
                <w:sz w:val="24"/>
                <w:szCs w:val="24"/>
              </w:rPr>
            </w:pPr>
            <w:r>
              <w:rPr>
                <w:b/>
                <w:bCs/>
                <w:spacing w:val="11"/>
                <w:sz w:val="24"/>
                <w:szCs w:val="24"/>
              </w:rPr>
              <w:t>《</w:t>
            </w:r>
            <w:r>
              <w:rPr>
                <w:rFonts w:hint="eastAsia"/>
                <w:b/>
                <w:bCs/>
                <w:spacing w:val="11"/>
                <w:sz w:val="24"/>
                <w:szCs w:val="24"/>
                <w:lang w:val="en-US" w:eastAsia="zh-CN"/>
              </w:rPr>
              <w:t>招标</w:t>
            </w:r>
            <w:r>
              <w:rPr>
                <w:b/>
                <w:bCs/>
                <w:spacing w:val="11"/>
                <w:sz w:val="24"/>
                <w:szCs w:val="24"/>
              </w:rPr>
              <w:t>文件》要求</w:t>
            </w:r>
          </w:p>
        </w:tc>
        <w:tc>
          <w:tcPr>
            <w:tcW w:w="2939" w:type="dxa"/>
            <w:tcBorders>
              <w:top w:val="single" w:color="000000" w:sz="4" w:space="0"/>
            </w:tcBorders>
            <w:vAlign w:val="top"/>
          </w:tcPr>
          <w:p>
            <w:pPr>
              <w:spacing w:line="422" w:lineRule="auto"/>
              <w:rPr>
                <w:rFonts w:ascii="Arial"/>
                <w:sz w:val="24"/>
                <w:szCs w:val="24"/>
              </w:rPr>
            </w:pPr>
          </w:p>
          <w:p>
            <w:pPr>
              <w:pStyle w:val="34"/>
              <w:spacing w:before="65" w:line="228" w:lineRule="auto"/>
              <w:ind w:left="613"/>
              <w:rPr>
                <w:sz w:val="24"/>
                <w:szCs w:val="24"/>
              </w:rPr>
            </w:pPr>
            <w:r>
              <w:rPr>
                <w:b/>
                <w:bCs/>
                <w:spacing w:val="6"/>
                <w:sz w:val="24"/>
                <w:szCs w:val="24"/>
              </w:rPr>
              <w:t>《</w:t>
            </w:r>
            <w:r>
              <w:rPr>
                <w:rFonts w:hint="eastAsia"/>
                <w:b/>
                <w:bCs/>
                <w:spacing w:val="6"/>
                <w:sz w:val="24"/>
                <w:szCs w:val="24"/>
                <w:lang w:val="en-US" w:eastAsia="zh-CN"/>
              </w:rPr>
              <w:t>投标</w:t>
            </w:r>
            <w:r>
              <w:rPr>
                <w:b/>
                <w:bCs/>
                <w:spacing w:val="6"/>
                <w:sz w:val="24"/>
                <w:szCs w:val="24"/>
              </w:rPr>
              <w:t>文件》</w:t>
            </w:r>
            <w:r>
              <w:rPr>
                <w:spacing w:val="-54"/>
                <w:sz w:val="24"/>
                <w:szCs w:val="24"/>
              </w:rPr>
              <w:t xml:space="preserve"> </w:t>
            </w:r>
            <w:r>
              <w:rPr>
                <w:b/>
                <w:bCs/>
                <w:spacing w:val="6"/>
                <w:sz w:val="24"/>
                <w:szCs w:val="24"/>
              </w:rPr>
              <w:t>响应</w:t>
            </w:r>
          </w:p>
        </w:tc>
        <w:tc>
          <w:tcPr>
            <w:tcW w:w="2647" w:type="dxa"/>
            <w:tcBorders>
              <w:top w:val="single" w:color="000000" w:sz="4" w:space="0"/>
              <w:right w:val="single" w:color="000000" w:sz="4" w:space="0"/>
            </w:tcBorders>
            <w:vAlign w:val="top"/>
          </w:tcPr>
          <w:p>
            <w:pPr>
              <w:spacing w:line="422" w:lineRule="auto"/>
              <w:rPr>
                <w:rFonts w:ascii="Arial"/>
                <w:sz w:val="24"/>
                <w:szCs w:val="24"/>
              </w:rPr>
            </w:pPr>
          </w:p>
          <w:p>
            <w:pPr>
              <w:pStyle w:val="34"/>
              <w:spacing w:before="65" w:line="228" w:lineRule="auto"/>
              <w:ind w:left="892"/>
              <w:rPr>
                <w:sz w:val="24"/>
                <w:szCs w:val="24"/>
              </w:rPr>
            </w:pPr>
            <w:r>
              <w:rPr>
                <w:b/>
                <w:bCs/>
                <w:spacing w:val="10"/>
                <w:sz w:val="24"/>
                <w:szCs w:val="24"/>
              </w:rPr>
              <w:t>偏差描述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52" w:type="dxa"/>
            <w:tcBorders>
              <w:left w:val="single" w:color="000000" w:sz="4" w:space="0"/>
            </w:tcBorders>
            <w:vAlign w:val="top"/>
          </w:tcPr>
          <w:p>
            <w:pPr>
              <w:pStyle w:val="34"/>
              <w:spacing w:before="269" w:line="189" w:lineRule="auto"/>
              <w:ind w:left="293"/>
              <w:rPr>
                <w:sz w:val="24"/>
                <w:szCs w:val="24"/>
              </w:rPr>
            </w:pPr>
            <w:r>
              <w:rPr>
                <w:sz w:val="24"/>
                <w:szCs w:val="24"/>
              </w:rPr>
              <w:t>1</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52" w:type="dxa"/>
            <w:tcBorders>
              <w:left w:val="single" w:color="000000" w:sz="4" w:space="0"/>
            </w:tcBorders>
            <w:vAlign w:val="top"/>
          </w:tcPr>
          <w:p>
            <w:pPr>
              <w:pStyle w:val="34"/>
              <w:spacing w:before="270" w:line="189" w:lineRule="auto"/>
              <w:ind w:left="280"/>
              <w:rPr>
                <w:sz w:val="24"/>
                <w:szCs w:val="24"/>
              </w:rPr>
            </w:pPr>
            <w:r>
              <w:rPr>
                <w:sz w:val="24"/>
                <w:szCs w:val="24"/>
              </w:rPr>
              <w:t>2</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52" w:type="dxa"/>
            <w:tcBorders>
              <w:left w:val="single" w:color="000000" w:sz="4" w:space="0"/>
            </w:tcBorders>
            <w:vAlign w:val="top"/>
          </w:tcPr>
          <w:p>
            <w:pPr>
              <w:pStyle w:val="34"/>
              <w:spacing w:before="272" w:line="189" w:lineRule="auto"/>
              <w:ind w:left="281"/>
              <w:rPr>
                <w:sz w:val="24"/>
                <w:szCs w:val="24"/>
              </w:rPr>
            </w:pPr>
            <w:r>
              <w:rPr>
                <w:sz w:val="24"/>
                <w:szCs w:val="24"/>
              </w:rPr>
              <w:t>3</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52" w:type="dxa"/>
            <w:tcBorders>
              <w:left w:val="single" w:color="000000" w:sz="4" w:space="0"/>
            </w:tcBorders>
            <w:vAlign w:val="top"/>
          </w:tcPr>
          <w:p>
            <w:pPr>
              <w:pStyle w:val="34"/>
              <w:spacing w:before="269" w:line="189" w:lineRule="auto"/>
              <w:ind w:left="276"/>
              <w:rPr>
                <w:sz w:val="24"/>
                <w:szCs w:val="24"/>
              </w:rPr>
            </w:pPr>
            <w:r>
              <w:rPr>
                <w:sz w:val="24"/>
                <w:szCs w:val="24"/>
              </w:rPr>
              <w:t>4</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52" w:type="dxa"/>
            <w:tcBorders>
              <w:left w:val="single" w:color="000000" w:sz="4" w:space="0"/>
            </w:tcBorders>
            <w:vAlign w:val="top"/>
          </w:tcPr>
          <w:p>
            <w:pPr>
              <w:pStyle w:val="34"/>
              <w:spacing w:before="299" w:line="187" w:lineRule="auto"/>
              <w:ind w:left="281"/>
              <w:rPr>
                <w:sz w:val="24"/>
                <w:szCs w:val="24"/>
              </w:rPr>
            </w:pPr>
            <w:r>
              <w:rPr>
                <w:sz w:val="24"/>
                <w:szCs w:val="24"/>
              </w:rPr>
              <w:t>5</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52" w:type="dxa"/>
            <w:tcBorders>
              <w:left w:val="single" w:color="000000" w:sz="4" w:space="0"/>
            </w:tcBorders>
            <w:vAlign w:val="top"/>
          </w:tcPr>
          <w:p>
            <w:pPr>
              <w:pStyle w:val="34"/>
              <w:spacing w:before="282" w:line="189" w:lineRule="auto"/>
              <w:ind w:left="279"/>
              <w:rPr>
                <w:sz w:val="24"/>
                <w:szCs w:val="24"/>
              </w:rPr>
            </w:pPr>
            <w:r>
              <w:rPr>
                <w:sz w:val="24"/>
                <w:szCs w:val="24"/>
              </w:rPr>
              <w:t>6</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52" w:type="dxa"/>
            <w:tcBorders>
              <w:left w:val="single" w:color="000000" w:sz="4" w:space="0"/>
            </w:tcBorders>
            <w:vAlign w:val="top"/>
          </w:tcPr>
          <w:p>
            <w:pPr>
              <w:pStyle w:val="34"/>
              <w:spacing w:before="292" w:line="187" w:lineRule="auto"/>
              <w:ind w:left="282"/>
              <w:rPr>
                <w:sz w:val="24"/>
                <w:szCs w:val="24"/>
              </w:rPr>
            </w:pPr>
            <w:r>
              <w:rPr>
                <w:sz w:val="24"/>
                <w:szCs w:val="24"/>
              </w:rPr>
              <w:t>7</w:t>
            </w:r>
          </w:p>
        </w:tc>
        <w:tc>
          <w:tcPr>
            <w:tcW w:w="3090" w:type="dxa"/>
            <w:vAlign w:val="top"/>
          </w:tcPr>
          <w:p>
            <w:pPr>
              <w:rPr>
                <w:rFonts w:ascii="Arial"/>
                <w:sz w:val="24"/>
                <w:szCs w:val="24"/>
              </w:rPr>
            </w:pPr>
          </w:p>
        </w:tc>
        <w:tc>
          <w:tcPr>
            <w:tcW w:w="2939" w:type="dxa"/>
            <w:vAlign w:val="top"/>
          </w:tcPr>
          <w:p>
            <w:pPr>
              <w:rPr>
                <w:rFonts w:ascii="Arial"/>
                <w:sz w:val="24"/>
                <w:szCs w:val="24"/>
              </w:rPr>
            </w:pPr>
          </w:p>
        </w:tc>
        <w:tc>
          <w:tcPr>
            <w:tcW w:w="2647" w:type="dxa"/>
            <w:tcBorders>
              <w:right w:val="single" w:color="000000"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652" w:type="dxa"/>
            <w:tcBorders>
              <w:left w:val="single" w:color="000000" w:sz="4" w:space="0"/>
              <w:bottom w:val="single" w:color="000000" w:sz="4" w:space="0"/>
            </w:tcBorders>
            <w:vAlign w:val="top"/>
          </w:tcPr>
          <w:p>
            <w:pPr>
              <w:rPr>
                <w:rFonts w:ascii="Arial"/>
                <w:sz w:val="24"/>
                <w:szCs w:val="24"/>
              </w:rPr>
            </w:pPr>
          </w:p>
        </w:tc>
        <w:tc>
          <w:tcPr>
            <w:tcW w:w="3090" w:type="dxa"/>
            <w:tcBorders>
              <w:bottom w:val="single" w:color="000000" w:sz="4" w:space="0"/>
            </w:tcBorders>
            <w:vAlign w:val="top"/>
          </w:tcPr>
          <w:p>
            <w:pPr>
              <w:rPr>
                <w:rFonts w:ascii="Arial"/>
                <w:sz w:val="24"/>
                <w:szCs w:val="24"/>
              </w:rPr>
            </w:pPr>
          </w:p>
        </w:tc>
        <w:tc>
          <w:tcPr>
            <w:tcW w:w="2939" w:type="dxa"/>
            <w:tcBorders>
              <w:bottom w:val="single" w:color="000000" w:sz="4" w:space="0"/>
            </w:tcBorders>
            <w:vAlign w:val="top"/>
          </w:tcPr>
          <w:p>
            <w:pPr>
              <w:rPr>
                <w:rFonts w:ascii="Arial"/>
                <w:sz w:val="24"/>
                <w:szCs w:val="24"/>
              </w:rPr>
            </w:pPr>
          </w:p>
        </w:tc>
        <w:tc>
          <w:tcPr>
            <w:tcW w:w="2647" w:type="dxa"/>
            <w:tcBorders>
              <w:bottom w:val="single" w:color="000000" w:sz="4" w:space="0"/>
              <w:right w:val="single" w:color="000000" w:sz="4" w:space="0"/>
            </w:tcBorders>
            <w:vAlign w:val="top"/>
          </w:tcPr>
          <w:p>
            <w:pPr>
              <w:rPr>
                <w:rFonts w:ascii="Arial"/>
                <w:sz w:val="24"/>
                <w:szCs w:val="24"/>
              </w:rPr>
            </w:pPr>
          </w:p>
        </w:tc>
      </w:tr>
    </w:tbl>
    <w:p>
      <w:pPr>
        <w:spacing w:before="184" w:line="269" w:lineRule="auto"/>
        <w:ind w:left="142" w:right="380" w:firstLine="452"/>
        <w:rPr>
          <w:rFonts w:ascii="宋体" w:hAnsi="宋体" w:eastAsia="宋体" w:cs="宋体"/>
          <w:sz w:val="24"/>
          <w:szCs w:val="24"/>
        </w:rPr>
      </w:pPr>
      <w:r>
        <w:rPr>
          <w:rFonts w:ascii="宋体" w:hAnsi="宋体" w:eastAsia="宋体" w:cs="宋体"/>
          <w:spacing w:val="19"/>
          <w:sz w:val="24"/>
          <w:szCs w:val="24"/>
        </w:rPr>
        <w:t>注</w:t>
      </w:r>
      <w:r>
        <w:rPr>
          <w:rFonts w:ascii="宋体" w:hAnsi="宋体" w:eastAsia="宋体" w:cs="宋体"/>
          <w:spacing w:val="-53"/>
          <w:sz w:val="24"/>
          <w:szCs w:val="24"/>
        </w:rPr>
        <w:t xml:space="preserve"> </w:t>
      </w:r>
      <w:r>
        <w:rPr>
          <w:rFonts w:ascii="宋体" w:hAnsi="宋体" w:eastAsia="宋体" w:cs="宋体"/>
          <w:spacing w:val="19"/>
          <w:sz w:val="24"/>
          <w:szCs w:val="24"/>
        </w:rPr>
        <w:t>：</w:t>
      </w:r>
      <w:r>
        <w:rPr>
          <w:rFonts w:ascii="宋体" w:hAnsi="宋体" w:eastAsia="宋体" w:cs="宋体"/>
          <w:spacing w:val="-48"/>
          <w:sz w:val="24"/>
          <w:szCs w:val="24"/>
        </w:rPr>
        <w:t xml:space="preserve"> </w:t>
      </w:r>
      <w:r>
        <w:rPr>
          <w:rFonts w:ascii="宋体" w:hAnsi="宋体" w:eastAsia="宋体" w:cs="宋体"/>
          <w:spacing w:val="19"/>
          <w:sz w:val="24"/>
          <w:szCs w:val="24"/>
        </w:rPr>
        <w:t>1</w:t>
      </w:r>
      <w:r>
        <w:rPr>
          <w:rFonts w:ascii="宋体" w:hAnsi="宋体" w:eastAsia="宋体" w:cs="宋体"/>
          <w:spacing w:val="-60"/>
          <w:sz w:val="24"/>
          <w:szCs w:val="24"/>
        </w:rPr>
        <w:t xml:space="preserve"> </w:t>
      </w:r>
      <w:r>
        <w:rPr>
          <w:rFonts w:ascii="宋体" w:hAnsi="宋体" w:eastAsia="宋体" w:cs="宋体"/>
          <w:spacing w:val="19"/>
          <w:sz w:val="24"/>
          <w:szCs w:val="24"/>
        </w:rPr>
        <w:t>、</w:t>
      </w:r>
      <w:r>
        <w:rPr>
          <w:rFonts w:ascii="宋体" w:hAnsi="宋体" w:eastAsia="宋体" w:cs="宋体"/>
          <w:spacing w:val="-63"/>
          <w:sz w:val="24"/>
          <w:szCs w:val="24"/>
        </w:rPr>
        <w:t xml:space="preserve"> </w:t>
      </w:r>
      <w:r>
        <w:rPr>
          <w:rFonts w:ascii="宋体" w:hAnsi="宋体" w:eastAsia="宋体" w:cs="宋体"/>
          <w:spacing w:val="19"/>
          <w:sz w:val="24"/>
          <w:szCs w:val="24"/>
        </w:rPr>
        <w:t>“</w:t>
      </w:r>
      <w:r>
        <w:rPr>
          <w:rFonts w:ascii="宋体" w:hAnsi="宋体" w:eastAsia="宋体" w:cs="宋体"/>
          <w:spacing w:val="-41"/>
          <w:sz w:val="24"/>
          <w:szCs w:val="24"/>
        </w:rPr>
        <w:t xml:space="preserve"> </w:t>
      </w:r>
      <w:r>
        <w:rPr>
          <w:rFonts w:ascii="宋体" w:hAnsi="宋体" w:eastAsia="宋体" w:cs="宋体"/>
          <w:spacing w:val="19"/>
          <w:sz w:val="24"/>
          <w:szCs w:val="24"/>
        </w:rPr>
        <w:t>其他偏差表</w:t>
      </w:r>
      <w:r>
        <w:rPr>
          <w:rFonts w:ascii="宋体" w:hAnsi="宋体" w:eastAsia="宋体" w:cs="宋体"/>
          <w:spacing w:val="-53"/>
          <w:sz w:val="24"/>
          <w:szCs w:val="24"/>
        </w:rPr>
        <w:t xml:space="preserve"> </w:t>
      </w:r>
      <w:r>
        <w:rPr>
          <w:rFonts w:ascii="宋体" w:hAnsi="宋体" w:eastAsia="宋体" w:cs="宋体"/>
          <w:spacing w:val="19"/>
          <w:sz w:val="24"/>
          <w:szCs w:val="24"/>
        </w:rPr>
        <w:t>”应详细注明与《</w:t>
      </w:r>
      <w:r>
        <w:rPr>
          <w:rFonts w:hint="eastAsia" w:ascii="宋体" w:hAnsi="宋体" w:eastAsia="宋体" w:cs="宋体"/>
          <w:spacing w:val="19"/>
          <w:sz w:val="24"/>
          <w:szCs w:val="24"/>
          <w:lang w:val="en-US" w:eastAsia="zh-CN"/>
        </w:rPr>
        <w:t>投标</w:t>
      </w:r>
      <w:r>
        <w:rPr>
          <w:rFonts w:ascii="宋体" w:hAnsi="宋体" w:eastAsia="宋体" w:cs="宋体"/>
          <w:spacing w:val="19"/>
          <w:sz w:val="24"/>
          <w:szCs w:val="24"/>
        </w:rPr>
        <w:t>文件》</w:t>
      </w:r>
      <w:r>
        <w:rPr>
          <w:rFonts w:ascii="宋体" w:hAnsi="宋体" w:eastAsia="宋体" w:cs="宋体"/>
          <w:spacing w:val="-23"/>
          <w:sz w:val="24"/>
          <w:szCs w:val="24"/>
        </w:rPr>
        <w:t xml:space="preserve"> </w:t>
      </w:r>
      <w:r>
        <w:rPr>
          <w:rFonts w:ascii="宋体" w:hAnsi="宋体" w:eastAsia="宋体" w:cs="宋体"/>
          <w:spacing w:val="19"/>
          <w:sz w:val="24"/>
          <w:szCs w:val="24"/>
        </w:rPr>
        <w:t>中各项要求（除技术条款外的所有条款）</w:t>
      </w:r>
      <w:r>
        <w:rPr>
          <w:rFonts w:ascii="宋体" w:hAnsi="宋体" w:eastAsia="宋体" w:cs="宋体"/>
          <w:spacing w:val="-44"/>
          <w:sz w:val="24"/>
          <w:szCs w:val="24"/>
        </w:rPr>
        <w:t xml:space="preserve"> </w:t>
      </w:r>
      <w:r>
        <w:rPr>
          <w:rFonts w:ascii="宋体" w:hAnsi="宋体" w:eastAsia="宋体" w:cs="宋体"/>
          <w:spacing w:val="19"/>
          <w:sz w:val="24"/>
          <w:szCs w:val="24"/>
        </w:rPr>
        <w:t>有何不同</w:t>
      </w:r>
      <w:r>
        <w:rPr>
          <w:rFonts w:hint="eastAsia" w:ascii="宋体" w:hAnsi="宋体" w:eastAsia="宋体" w:cs="宋体"/>
          <w:spacing w:val="19"/>
          <w:sz w:val="24"/>
          <w:szCs w:val="24"/>
          <w:lang w:eastAsia="zh-CN"/>
        </w:rPr>
        <w:t>，</w:t>
      </w:r>
      <w:r>
        <w:rPr>
          <w:rFonts w:ascii="宋体" w:hAnsi="宋体" w:eastAsia="宋体" w:cs="宋体"/>
          <w:spacing w:val="19"/>
          <w:sz w:val="24"/>
          <w:szCs w:val="24"/>
        </w:rPr>
        <w:t>并说明其符合性（优于</w:t>
      </w:r>
      <w:r>
        <w:rPr>
          <w:rFonts w:ascii="宋体" w:hAnsi="宋体" w:eastAsia="宋体" w:cs="宋体"/>
          <w:spacing w:val="-56"/>
          <w:sz w:val="24"/>
          <w:szCs w:val="24"/>
        </w:rPr>
        <w:t xml:space="preserve"> </w:t>
      </w:r>
      <w:r>
        <w:rPr>
          <w:rFonts w:ascii="宋体" w:hAnsi="宋体" w:eastAsia="宋体" w:cs="宋体"/>
          <w:spacing w:val="19"/>
          <w:sz w:val="24"/>
          <w:szCs w:val="24"/>
        </w:rPr>
        <w:t>、或低于《</w:t>
      </w:r>
      <w:r>
        <w:rPr>
          <w:rFonts w:hint="eastAsia" w:ascii="宋体" w:hAnsi="宋体" w:eastAsia="宋体" w:cs="宋体"/>
          <w:spacing w:val="19"/>
          <w:sz w:val="24"/>
          <w:szCs w:val="24"/>
          <w:lang w:val="en-US" w:eastAsia="zh-CN"/>
        </w:rPr>
        <w:t>招标</w:t>
      </w:r>
      <w:r>
        <w:rPr>
          <w:rFonts w:ascii="宋体" w:hAnsi="宋体" w:eastAsia="宋体" w:cs="宋体"/>
          <w:spacing w:val="18"/>
          <w:sz w:val="24"/>
          <w:szCs w:val="24"/>
        </w:rPr>
        <w:t>文件》 要求）</w:t>
      </w:r>
      <w:r>
        <w:rPr>
          <w:rFonts w:ascii="宋体" w:hAnsi="宋体" w:eastAsia="宋体" w:cs="宋体"/>
          <w:spacing w:val="-49"/>
          <w:sz w:val="24"/>
          <w:szCs w:val="24"/>
        </w:rPr>
        <w:t xml:space="preserve"> </w:t>
      </w:r>
      <w:r>
        <w:rPr>
          <w:rFonts w:ascii="宋体" w:hAnsi="宋体" w:eastAsia="宋体" w:cs="宋体"/>
          <w:spacing w:val="18"/>
          <w:sz w:val="24"/>
          <w:szCs w:val="24"/>
        </w:rPr>
        <w:t>。</w:t>
      </w:r>
    </w:p>
    <w:p>
      <w:pPr>
        <w:spacing w:before="243" w:line="271" w:lineRule="auto"/>
        <w:ind w:left="150" w:right="255" w:firstLine="449"/>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2</w:t>
      </w:r>
      <w:r>
        <w:rPr>
          <w:rFonts w:ascii="宋体" w:hAnsi="宋体" w:eastAsia="宋体" w:cs="宋体"/>
          <w:color w:val="auto"/>
          <w:spacing w:val="-46"/>
          <w:sz w:val="24"/>
          <w:szCs w:val="24"/>
          <w:highlight w:val="none"/>
        </w:rPr>
        <w:t xml:space="preserve"> </w:t>
      </w:r>
      <w:r>
        <w:rPr>
          <w:rFonts w:ascii="宋体" w:hAnsi="宋体" w:eastAsia="宋体" w:cs="宋体"/>
          <w:color w:val="auto"/>
          <w:spacing w:val="19"/>
          <w:sz w:val="24"/>
          <w:szCs w:val="24"/>
          <w:highlight w:val="none"/>
        </w:rPr>
        <w:t>、如《</w:t>
      </w:r>
      <w:r>
        <w:rPr>
          <w:rFonts w:hint="eastAsia" w:ascii="宋体" w:hAnsi="宋体" w:eastAsia="宋体" w:cs="宋体"/>
          <w:color w:val="auto"/>
          <w:spacing w:val="19"/>
          <w:sz w:val="24"/>
          <w:szCs w:val="24"/>
          <w:highlight w:val="none"/>
          <w:lang w:val="en-US" w:eastAsia="zh-CN"/>
        </w:rPr>
        <w:t>投标</w:t>
      </w:r>
      <w:r>
        <w:rPr>
          <w:rFonts w:ascii="宋体" w:hAnsi="宋体" w:eastAsia="宋体" w:cs="宋体"/>
          <w:color w:val="auto"/>
          <w:spacing w:val="19"/>
          <w:sz w:val="24"/>
          <w:szCs w:val="24"/>
          <w:highlight w:val="none"/>
        </w:rPr>
        <w:t>文件》与《</w:t>
      </w:r>
      <w:r>
        <w:rPr>
          <w:rFonts w:hint="eastAsia" w:ascii="宋体" w:hAnsi="宋体" w:eastAsia="宋体" w:cs="宋体"/>
          <w:color w:val="auto"/>
          <w:spacing w:val="19"/>
          <w:sz w:val="24"/>
          <w:szCs w:val="24"/>
          <w:highlight w:val="none"/>
          <w:lang w:val="en-US" w:eastAsia="zh-CN"/>
        </w:rPr>
        <w:t>招标</w:t>
      </w:r>
      <w:r>
        <w:rPr>
          <w:rFonts w:ascii="宋体" w:hAnsi="宋体" w:eastAsia="宋体" w:cs="宋体"/>
          <w:color w:val="auto"/>
          <w:spacing w:val="19"/>
          <w:sz w:val="24"/>
          <w:szCs w:val="24"/>
          <w:highlight w:val="none"/>
        </w:rPr>
        <w:t>文件》其他要求一致 ，仍需</w:t>
      </w:r>
      <w:r>
        <w:rPr>
          <w:rFonts w:hint="eastAsia" w:ascii="宋体" w:hAnsi="宋体" w:eastAsia="宋体" w:cs="宋体"/>
          <w:color w:val="auto"/>
          <w:spacing w:val="19"/>
          <w:sz w:val="24"/>
          <w:szCs w:val="24"/>
          <w:highlight w:val="none"/>
          <w:lang w:val="en-US" w:eastAsia="zh-CN"/>
        </w:rPr>
        <w:t>逐条</w:t>
      </w:r>
      <w:r>
        <w:rPr>
          <w:rFonts w:ascii="宋体" w:hAnsi="宋体" w:eastAsia="宋体" w:cs="宋体"/>
          <w:color w:val="auto"/>
          <w:spacing w:val="19"/>
          <w:sz w:val="24"/>
          <w:szCs w:val="24"/>
          <w:highlight w:val="none"/>
        </w:rPr>
        <w:t>在本表填列</w:t>
      </w:r>
      <w:r>
        <w:rPr>
          <w:rFonts w:ascii="宋体" w:hAnsi="宋体" w:eastAsia="宋体" w:cs="宋体"/>
          <w:color w:val="auto"/>
          <w:spacing w:val="-72"/>
          <w:sz w:val="24"/>
          <w:szCs w:val="24"/>
          <w:highlight w:val="none"/>
        </w:rPr>
        <w:t xml:space="preserve"> </w:t>
      </w:r>
      <w:r>
        <w:rPr>
          <w:rFonts w:ascii="宋体" w:hAnsi="宋体" w:eastAsia="宋体" w:cs="宋体"/>
          <w:color w:val="auto"/>
          <w:spacing w:val="19"/>
          <w:sz w:val="24"/>
          <w:szCs w:val="24"/>
          <w:highlight w:val="none"/>
        </w:rPr>
        <w:t>“</w:t>
      </w:r>
      <w:r>
        <w:rPr>
          <w:rFonts w:ascii="宋体" w:hAnsi="宋体" w:eastAsia="宋体" w:cs="宋体"/>
          <w:color w:val="auto"/>
          <w:spacing w:val="-60"/>
          <w:sz w:val="24"/>
          <w:szCs w:val="24"/>
          <w:highlight w:val="none"/>
        </w:rPr>
        <w:t xml:space="preserve"> </w:t>
      </w:r>
      <w:r>
        <w:rPr>
          <w:rFonts w:ascii="宋体" w:hAnsi="宋体" w:eastAsia="宋体" w:cs="宋体"/>
          <w:color w:val="auto"/>
          <w:spacing w:val="19"/>
          <w:sz w:val="24"/>
          <w:szCs w:val="24"/>
          <w:highlight w:val="none"/>
        </w:rPr>
        <w:t>除技术条款外</w:t>
      </w:r>
      <w:r>
        <w:rPr>
          <w:rFonts w:ascii="宋体" w:hAnsi="宋体" w:eastAsia="宋体" w:cs="宋体"/>
          <w:color w:val="auto"/>
          <w:spacing w:val="20"/>
          <w:sz w:val="24"/>
          <w:szCs w:val="24"/>
          <w:highlight w:val="none"/>
        </w:rPr>
        <w:t>与《</w:t>
      </w:r>
      <w:r>
        <w:rPr>
          <w:rFonts w:hint="eastAsia" w:ascii="宋体" w:hAnsi="宋体" w:eastAsia="宋体" w:cs="宋体"/>
          <w:color w:val="auto"/>
          <w:spacing w:val="20"/>
          <w:sz w:val="24"/>
          <w:szCs w:val="24"/>
          <w:highlight w:val="none"/>
          <w:lang w:val="en-US" w:eastAsia="zh-CN"/>
        </w:rPr>
        <w:t>投标</w:t>
      </w:r>
      <w:r>
        <w:rPr>
          <w:rFonts w:ascii="宋体" w:hAnsi="宋体" w:eastAsia="宋体" w:cs="宋体"/>
          <w:color w:val="auto"/>
          <w:spacing w:val="20"/>
          <w:sz w:val="24"/>
          <w:szCs w:val="24"/>
          <w:highlight w:val="none"/>
        </w:rPr>
        <w:t>文件》所有条款要求一致</w:t>
      </w:r>
      <w:r>
        <w:rPr>
          <w:rFonts w:ascii="宋体" w:hAnsi="宋体" w:eastAsia="宋体" w:cs="宋体"/>
          <w:color w:val="auto"/>
          <w:spacing w:val="-6"/>
          <w:sz w:val="24"/>
          <w:szCs w:val="24"/>
          <w:highlight w:val="none"/>
        </w:rPr>
        <w:t xml:space="preserve"> </w:t>
      </w:r>
      <w:r>
        <w:rPr>
          <w:rFonts w:ascii="宋体" w:hAnsi="宋体" w:eastAsia="宋体" w:cs="宋体"/>
          <w:color w:val="auto"/>
          <w:spacing w:val="-55"/>
          <w:sz w:val="24"/>
          <w:szCs w:val="24"/>
          <w:highlight w:val="none"/>
        </w:rPr>
        <w:t xml:space="preserve"> </w:t>
      </w:r>
      <w:r>
        <w:rPr>
          <w:rFonts w:ascii="宋体" w:hAnsi="宋体" w:eastAsia="宋体" w:cs="宋体"/>
          <w:color w:val="auto"/>
          <w:spacing w:val="20"/>
          <w:sz w:val="24"/>
          <w:szCs w:val="24"/>
          <w:highlight w:val="none"/>
        </w:rPr>
        <w:t>”等相似表述。</w:t>
      </w:r>
    </w:p>
    <w:p>
      <w:pPr>
        <w:pStyle w:val="4"/>
        <w:spacing w:line="242" w:lineRule="auto"/>
        <w:rPr>
          <w:sz w:val="24"/>
          <w:szCs w:val="24"/>
        </w:rPr>
      </w:pPr>
    </w:p>
    <w:p>
      <w:pPr>
        <w:spacing w:before="78" w:line="219" w:lineRule="auto"/>
        <w:ind w:left="119"/>
        <w:rPr>
          <w:rFonts w:ascii="宋体" w:hAnsi="宋体" w:eastAsia="宋体" w:cs="宋体"/>
          <w:spacing w:val="-2"/>
          <w:sz w:val="24"/>
          <w:szCs w:val="24"/>
        </w:rPr>
      </w:pP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spacing w:before="183" w:line="345" w:lineRule="auto"/>
        <w:ind w:left="157" w:right="5751"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r>
        <w:br w:type="page"/>
      </w:r>
    </w:p>
    <w:p>
      <w:pPr>
        <w:spacing w:before="60" w:line="219" w:lineRule="auto"/>
        <w:ind w:left="3199"/>
        <w:outlineLvl w:val="1"/>
        <w:rPr>
          <w:rFonts w:ascii="宋体" w:hAnsi="宋体" w:eastAsia="宋体" w:cs="宋体"/>
          <w:b/>
          <w:bCs/>
          <w:spacing w:val="-7"/>
          <w:sz w:val="30"/>
          <w:szCs w:val="30"/>
        </w:rPr>
      </w:pPr>
      <w:bookmarkStart w:id="136" w:name="_Toc27055"/>
    </w:p>
    <w:p>
      <w:pPr>
        <w:spacing w:before="60" w:line="219" w:lineRule="auto"/>
        <w:ind w:left="3199"/>
        <w:outlineLvl w:val="1"/>
        <w:rPr>
          <w:rFonts w:ascii="宋体" w:hAnsi="宋体" w:eastAsia="宋体" w:cs="宋体"/>
          <w:sz w:val="30"/>
          <w:szCs w:val="30"/>
        </w:rPr>
      </w:pPr>
      <w:r>
        <w:rPr>
          <w:rFonts w:hint="eastAsia" w:ascii="宋体" w:hAnsi="宋体" w:eastAsia="宋体" w:cs="宋体"/>
          <w:b/>
          <w:bCs/>
          <w:spacing w:val="-7"/>
          <w:sz w:val="30"/>
          <w:szCs w:val="30"/>
          <w:lang w:val="en-US" w:eastAsia="zh-CN"/>
        </w:rPr>
        <w:t>7</w:t>
      </w:r>
      <w:r>
        <w:rPr>
          <w:rFonts w:ascii="宋体" w:hAnsi="宋体" w:eastAsia="宋体" w:cs="宋体"/>
          <w:b/>
          <w:bCs/>
          <w:spacing w:val="-7"/>
          <w:sz w:val="30"/>
          <w:szCs w:val="30"/>
        </w:rPr>
        <w:t>、售后服务及其它</w:t>
      </w:r>
      <w:bookmarkEnd w:id="136"/>
    </w:p>
    <w:p>
      <w:pPr>
        <w:pStyle w:val="4"/>
        <w:spacing w:line="343" w:lineRule="auto"/>
      </w:pPr>
    </w:p>
    <w:p>
      <w:pPr>
        <w:pStyle w:val="4"/>
        <w:spacing w:line="343" w:lineRule="auto"/>
      </w:pPr>
    </w:p>
    <w:p>
      <w:pPr>
        <w:spacing w:before="65" w:line="360" w:lineRule="auto"/>
        <w:ind w:left="13"/>
        <w:outlineLvl w:val="1"/>
        <w:rPr>
          <w:sz w:val="24"/>
          <w:szCs w:val="24"/>
        </w:rPr>
      </w:pPr>
      <w:bookmarkStart w:id="137" w:name="_Toc23194"/>
      <w:r>
        <w:rPr>
          <w:rFonts w:ascii="宋体" w:hAnsi="宋体" w:eastAsia="宋体" w:cs="宋体"/>
          <w:spacing w:val="6"/>
          <w:sz w:val="24"/>
          <w:szCs w:val="24"/>
        </w:rPr>
        <w:t>1、</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应按要求详细制定出所列条款。</w:t>
      </w:r>
      <w:bookmarkEnd w:id="137"/>
    </w:p>
    <w:p>
      <w:pPr>
        <w:spacing w:before="65" w:line="360" w:lineRule="auto"/>
        <w:rPr>
          <w:rFonts w:ascii="宋体" w:hAnsi="宋体" w:eastAsia="宋体" w:cs="宋体"/>
          <w:sz w:val="24"/>
          <w:szCs w:val="24"/>
        </w:rPr>
      </w:pPr>
      <w:r>
        <w:rPr>
          <w:rFonts w:ascii="宋体" w:hAnsi="宋体" w:eastAsia="宋体" w:cs="宋体"/>
          <w:spacing w:val="7"/>
          <w:sz w:val="24"/>
          <w:szCs w:val="24"/>
        </w:rPr>
        <w:t>2、“售后服务及其它 ”按</w:t>
      </w:r>
      <w:r>
        <w:rPr>
          <w:rFonts w:hint="eastAsia" w:ascii="宋体" w:hAnsi="宋体" w:eastAsia="宋体" w:cs="宋体"/>
          <w:spacing w:val="7"/>
          <w:sz w:val="24"/>
          <w:szCs w:val="24"/>
          <w:lang w:val="en-US" w:eastAsia="zh-CN"/>
        </w:rPr>
        <w:t>招标</w:t>
      </w:r>
      <w:r>
        <w:rPr>
          <w:rFonts w:ascii="宋体" w:hAnsi="宋体" w:eastAsia="宋体" w:cs="宋体"/>
          <w:spacing w:val="7"/>
          <w:sz w:val="24"/>
          <w:szCs w:val="24"/>
        </w:rPr>
        <w:t>文件相应条款要求电子签名&lt;签章&gt;，未作明确要求的，由法定代表</w:t>
      </w:r>
      <w:r>
        <w:rPr>
          <w:rFonts w:ascii="宋体" w:hAnsi="宋体" w:eastAsia="宋体" w:cs="宋体"/>
          <w:spacing w:val="6"/>
          <w:sz w:val="24"/>
          <w:szCs w:val="24"/>
        </w:rPr>
        <w:t>人电子签名&lt;签章&gt;或</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电子签章。</w:t>
      </w:r>
    </w:p>
    <w:p>
      <w:pPr>
        <w:spacing w:line="360" w:lineRule="auto"/>
        <w:rPr>
          <w:rFonts w:ascii="宋体" w:hAnsi="宋体" w:eastAsia="宋体" w:cs="宋体"/>
          <w:sz w:val="24"/>
          <w:szCs w:val="24"/>
        </w:rPr>
        <w:sectPr>
          <w:footerReference r:id="rId8" w:type="default"/>
          <w:pgSz w:w="11905" w:h="16837"/>
          <w:pgMar w:top="1440" w:right="1080" w:bottom="1440" w:left="1080" w:header="1077" w:footer="567" w:gutter="0"/>
          <w:pgNumType w:fmt="decimal"/>
          <w:cols w:space="720" w:num="1"/>
        </w:sectPr>
      </w:pPr>
    </w:p>
    <w:p/>
    <w:p>
      <w:pPr>
        <w:spacing w:before="60" w:line="219" w:lineRule="auto"/>
        <w:ind w:left="3062"/>
        <w:outlineLvl w:val="1"/>
        <w:rPr>
          <w:rFonts w:ascii="宋体" w:hAnsi="宋体" w:eastAsia="宋体" w:cs="宋体"/>
          <w:sz w:val="30"/>
          <w:szCs w:val="30"/>
        </w:rPr>
      </w:pPr>
      <w:bookmarkStart w:id="138" w:name="_Toc7871"/>
      <w:r>
        <w:rPr>
          <w:rFonts w:hint="eastAsia" w:ascii="宋体" w:hAnsi="宋体" w:eastAsia="宋体" w:cs="宋体"/>
          <w:b/>
          <w:bCs/>
          <w:spacing w:val="-7"/>
          <w:sz w:val="30"/>
          <w:szCs w:val="30"/>
          <w:lang w:val="en-US" w:eastAsia="zh-CN"/>
        </w:rPr>
        <w:t>8</w:t>
      </w:r>
      <w:r>
        <w:rPr>
          <w:rFonts w:ascii="宋体" w:hAnsi="宋体" w:eastAsia="宋体" w:cs="宋体"/>
          <w:b/>
          <w:bCs/>
          <w:spacing w:val="-7"/>
          <w:sz w:val="30"/>
          <w:szCs w:val="30"/>
        </w:rPr>
        <w:t>、关于资格的声明函</w:t>
      </w:r>
      <w:bookmarkEnd w:id="138"/>
    </w:p>
    <w:p>
      <w:pPr>
        <w:pStyle w:val="4"/>
        <w:spacing w:line="267" w:lineRule="auto"/>
      </w:pPr>
    </w:p>
    <w:p>
      <w:pPr>
        <w:pStyle w:val="4"/>
        <w:spacing w:line="268" w:lineRule="auto"/>
      </w:pPr>
    </w:p>
    <w:p>
      <w:pPr>
        <w:pStyle w:val="4"/>
        <w:spacing w:line="268" w:lineRule="auto"/>
      </w:pPr>
    </w:p>
    <w:p>
      <w:pPr>
        <w:tabs>
          <w:tab w:val="left" w:pos="1055"/>
        </w:tabs>
        <w:spacing w:before="65" w:line="227"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（采购人名称</w:t>
      </w:r>
      <w:r>
        <w:rPr>
          <w:rFonts w:ascii="宋体" w:hAnsi="宋体" w:eastAsia="宋体" w:cs="宋体"/>
          <w:sz w:val="24"/>
          <w:szCs w:val="24"/>
          <w:u w:val="single" w:color="auto"/>
        </w:rPr>
        <w:t>）</w:t>
      </w:r>
      <w:r>
        <w:rPr>
          <w:rFonts w:ascii="宋体" w:hAnsi="宋体" w:eastAsia="宋体" w:cs="宋体"/>
          <w:sz w:val="24"/>
          <w:szCs w:val="24"/>
        </w:rPr>
        <w:t>：</w:t>
      </w:r>
    </w:p>
    <w:p>
      <w:pPr>
        <w:pStyle w:val="4"/>
        <w:spacing w:line="283" w:lineRule="auto"/>
        <w:rPr>
          <w:sz w:val="24"/>
          <w:szCs w:val="24"/>
        </w:rPr>
      </w:pPr>
    </w:p>
    <w:p>
      <w:pPr>
        <w:pStyle w:val="4"/>
        <w:spacing w:line="283" w:lineRule="auto"/>
        <w:rPr>
          <w:sz w:val="24"/>
          <w:szCs w:val="24"/>
        </w:rPr>
      </w:pPr>
    </w:p>
    <w:p>
      <w:pPr>
        <w:spacing w:before="65" w:line="415" w:lineRule="auto"/>
        <w:ind w:left="8" w:firstLine="419"/>
        <w:rPr>
          <w:rFonts w:ascii="宋体" w:hAnsi="宋体" w:eastAsia="宋体" w:cs="宋体"/>
          <w:sz w:val="24"/>
          <w:szCs w:val="24"/>
        </w:rPr>
      </w:pPr>
      <w:r>
        <w:rPr>
          <w:rFonts w:ascii="宋体" w:hAnsi="宋体" w:eastAsia="宋体" w:cs="宋体"/>
          <w:spacing w:val="10"/>
          <w:sz w:val="24"/>
          <w:szCs w:val="24"/>
        </w:rPr>
        <w:t>关于贵方项目编号为</w:t>
      </w:r>
      <w:r>
        <w:rPr>
          <w:rFonts w:ascii="宋体" w:hAnsi="宋体" w:eastAsia="宋体" w:cs="宋体"/>
          <w:spacing w:val="10"/>
          <w:sz w:val="24"/>
          <w:szCs w:val="24"/>
          <w:u w:val="single" w:color="auto"/>
        </w:rPr>
        <w:t xml:space="preserve">   （项目编号）</w:t>
      </w:r>
      <w:r>
        <w:rPr>
          <w:rFonts w:ascii="宋体" w:hAnsi="宋体" w:eastAsia="宋体" w:cs="宋体"/>
          <w:spacing w:val="10"/>
          <w:sz w:val="24"/>
          <w:szCs w:val="24"/>
        </w:rPr>
        <w:t>的</w:t>
      </w:r>
      <w:r>
        <w:rPr>
          <w:rFonts w:ascii="宋体" w:hAnsi="宋体" w:eastAsia="宋体" w:cs="宋体"/>
          <w:spacing w:val="10"/>
          <w:sz w:val="24"/>
          <w:szCs w:val="24"/>
          <w:u w:val="single" w:color="auto"/>
        </w:rPr>
        <w:t xml:space="preserve">   （项目</w:t>
      </w:r>
      <w:r>
        <w:rPr>
          <w:rFonts w:ascii="宋体" w:hAnsi="宋体" w:eastAsia="宋体" w:cs="宋体"/>
          <w:spacing w:val="9"/>
          <w:sz w:val="24"/>
          <w:szCs w:val="24"/>
          <w:u w:val="single" w:color="auto"/>
        </w:rPr>
        <w:t>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9"/>
          <w:sz w:val="24"/>
          <w:szCs w:val="24"/>
        </w:rPr>
        <w:t>本</w:t>
      </w:r>
      <w:r>
        <w:rPr>
          <w:rFonts w:hint="eastAsia" w:ascii="宋体" w:hAnsi="宋体" w:eastAsia="宋体" w:cs="宋体"/>
          <w:spacing w:val="9"/>
          <w:sz w:val="24"/>
          <w:szCs w:val="24"/>
          <w:lang w:val="en-US" w:eastAsia="zh-CN"/>
        </w:rPr>
        <w:t>签字人</w:t>
      </w:r>
      <w:r>
        <w:rPr>
          <w:rFonts w:ascii="宋体" w:hAnsi="宋体" w:eastAsia="宋体" w:cs="宋体"/>
          <w:spacing w:val="9"/>
          <w:sz w:val="24"/>
          <w:szCs w:val="24"/>
        </w:rPr>
        <w:t>愿意参加投标，提供《</w:t>
      </w:r>
      <w:r>
        <w:rPr>
          <w:rFonts w:hint="eastAsia" w:ascii="宋体" w:hAnsi="宋体" w:eastAsia="宋体" w:cs="宋体"/>
          <w:spacing w:val="9"/>
          <w:sz w:val="24"/>
          <w:szCs w:val="24"/>
          <w:lang w:val="en-US" w:eastAsia="zh-CN"/>
        </w:rPr>
        <w:t>招标</w:t>
      </w:r>
      <w:r>
        <w:rPr>
          <w:rFonts w:ascii="宋体" w:hAnsi="宋体" w:eastAsia="宋体" w:cs="宋体"/>
          <w:spacing w:val="9"/>
          <w:sz w:val="24"/>
          <w:szCs w:val="24"/>
        </w:rPr>
        <w:t>文件》中规定的产品及服务，并声明提交下列文件是准确的、真实的和有效的。</w:t>
      </w:r>
    </w:p>
    <w:p>
      <w:pPr>
        <w:spacing w:before="108" w:line="330" w:lineRule="auto"/>
        <w:ind w:left="4" w:firstLine="435"/>
        <w:rPr>
          <w:rFonts w:hint="eastAsia" w:ascii="宋体" w:hAnsi="宋体" w:eastAsia="宋体" w:cs="宋体"/>
          <w:sz w:val="24"/>
          <w:szCs w:val="24"/>
          <w:lang w:eastAsia="zh-CN"/>
        </w:rPr>
      </w:pPr>
      <w:r>
        <w:rPr>
          <w:rFonts w:ascii="宋体" w:hAnsi="宋体" w:eastAsia="宋体" w:cs="宋体"/>
          <w:spacing w:val="12"/>
          <w:sz w:val="24"/>
          <w:szCs w:val="24"/>
        </w:rPr>
        <w:t>1</w:t>
      </w:r>
      <w:r>
        <w:rPr>
          <w:rFonts w:hint="eastAsia" w:ascii="宋体" w:hAnsi="宋体" w:eastAsia="宋体" w:cs="宋体"/>
          <w:spacing w:val="12"/>
          <w:sz w:val="24"/>
          <w:szCs w:val="24"/>
          <w:lang w:eastAsia="zh-CN"/>
        </w:rPr>
        <w:t>.</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招标</w:t>
      </w:r>
      <w:r>
        <w:rPr>
          <w:rFonts w:ascii="宋体" w:hAnsi="宋体" w:eastAsia="宋体" w:cs="宋体"/>
          <w:spacing w:val="12"/>
          <w:sz w:val="24"/>
          <w:szCs w:val="24"/>
        </w:rPr>
        <w:t>文件》第一章“</w:t>
      </w:r>
      <w:r>
        <w:rPr>
          <w:rFonts w:hint="eastAsia" w:ascii="宋体" w:hAnsi="宋体" w:eastAsia="宋体" w:cs="宋体"/>
          <w:spacing w:val="12"/>
          <w:sz w:val="24"/>
          <w:szCs w:val="24"/>
          <w:lang w:val="en-US" w:eastAsia="zh-CN"/>
        </w:rPr>
        <w:t>招标</w:t>
      </w:r>
      <w:r>
        <w:rPr>
          <w:rFonts w:ascii="宋体" w:hAnsi="宋体" w:eastAsia="宋体" w:cs="宋体"/>
          <w:spacing w:val="12"/>
          <w:sz w:val="24"/>
          <w:szCs w:val="24"/>
        </w:rPr>
        <w:t>公告</w:t>
      </w:r>
      <w:r>
        <w:rPr>
          <w:rFonts w:ascii="宋体" w:hAnsi="宋体" w:eastAsia="宋体" w:cs="宋体"/>
          <w:spacing w:val="-67"/>
          <w:sz w:val="24"/>
          <w:szCs w:val="24"/>
        </w:rPr>
        <w:t xml:space="preserve"> </w:t>
      </w:r>
      <w:r>
        <w:rPr>
          <w:rFonts w:ascii="宋体" w:hAnsi="宋体" w:eastAsia="宋体" w:cs="宋体"/>
          <w:spacing w:val="12"/>
          <w:sz w:val="24"/>
          <w:szCs w:val="24"/>
        </w:rPr>
        <w:t>”第二条所要求的资格</w:t>
      </w:r>
      <w:r>
        <w:rPr>
          <w:rFonts w:ascii="宋体" w:hAnsi="宋体" w:eastAsia="宋体" w:cs="宋体"/>
          <w:spacing w:val="11"/>
          <w:sz w:val="24"/>
          <w:szCs w:val="24"/>
        </w:rPr>
        <w:t>性证明文件（证件或证明资</w:t>
      </w:r>
      <w:r>
        <w:rPr>
          <w:rFonts w:ascii="宋体" w:hAnsi="宋体" w:eastAsia="宋体" w:cs="宋体"/>
          <w:spacing w:val="5"/>
          <w:sz w:val="24"/>
          <w:szCs w:val="24"/>
        </w:rPr>
        <w:t>料或承诺）</w:t>
      </w:r>
      <w:r>
        <w:rPr>
          <w:rFonts w:hint="eastAsia" w:ascii="宋体" w:hAnsi="宋体" w:eastAsia="宋体" w:cs="宋体"/>
          <w:spacing w:val="5"/>
          <w:sz w:val="24"/>
          <w:szCs w:val="24"/>
          <w:lang w:eastAsia="zh-CN"/>
        </w:rPr>
        <w:t>。</w:t>
      </w:r>
    </w:p>
    <w:p>
      <w:pPr>
        <w:spacing w:before="295" w:line="227" w:lineRule="auto"/>
        <w:ind w:left="426"/>
        <w:rPr>
          <w:rFonts w:ascii="宋体" w:hAnsi="宋体" w:eastAsia="宋体" w:cs="宋体"/>
          <w:sz w:val="24"/>
          <w:szCs w:val="24"/>
        </w:rPr>
      </w:pPr>
      <w:r>
        <w:rPr>
          <w:rFonts w:ascii="宋体" w:hAnsi="宋体" w:eastAsia="宋体" w:cs="宋体"/>
          <w:spacing w:val="7"/>
          <w:sz w:val="24"/>
          <w:szCs w:val="24"/>
        </w:rPr>
        <w:t>2.采购项目中必须的其他证件。</w:t>
      </w:r>
    </w:p>
    <w:p>
      <w:pPr>
        <w:spacing w:before="299" w:line="227" w:lineRule="auto"/>
        <w:ind w:left="428"/>
        <w:rPr>
          <w:rFonts w:ascii="宋体" w:hAnsi="宋体" w:eastAsia="宋体" w:cs="宋体"/>
          <w:sz w:val="24"/>
          <w:szCs w:val="24"/>
        </w:rPr>
      </w:pPr>
      <w:r>
        <w:rPr>
          <w:rFonts w:ascii="宋体" w:hAnsi="宋体" w:eastAsia="宋体" w:cs="宋体"/>
          <w:spacing w:val="8"/>
          <w:sz w:val="24"/>
          <w:szCs w:val="24"/>
        </w:rPr>
        <w:t>3.本签字人确认资格文件中的说明是真实的、准确的。</w:t>
      </w:r>
    </w:p>
    <w:p>
      <w:pPr>
        <w:pStyle w:val="4"/>
        <w:spacing w:line="308" w:lineRule="auto"/>
        <w:rPr>
          <w:sz w:val="24"/>
          <w:szCs w:val="24"/>
        </w:rPr>
      </w:pPr>
    </w:p>
    <w:p>
      <w:pPr>
        <w:pStyle w:val="4"/>
        <w:spacing w:line="308" w:lineRule="auto"/>
        <w:rPr>
          <w:sz w:val="24"/>
          <w:szCs w:val="24"/>
        </w:rPr>
      </w:pPr>
    </w:p>
    <w:p>
      <w:pPr>
        <w:pStyle w:val="4"/>
        <w:spacing w:line="308" w:lineRule="auto"/>
        <w:rPr>
          <w:sz w:val="24"/>
          <w:szCs w:val="24"/>
        </w:rPr>
      </w:pPr>
    </w:p>
    <w:p>
      <w:pPr>
        <w:pStyle w:val="4"/>
        <w:spacing w:line="308" w:lineRule="auto"/>
        <w:rPr>
          <w:sz w:val="24"/>
          <w:szCs w:val="24"/>
        </w:rPr>
      </w:pP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spacing w:before="183" w:line="345" w:lineRule="auto"/>
        <w:ind w:left="157" w:right="5751"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sectPr>
          <w:pgSz w:w="11906" w:h="16838"/>
          <w:pgMar w:top="1440" w:right="1080" w:bottom="1440" w:left="1080" w:header="1077" w:footer="567" w:gutter="0"/>
          <w:pgNumType w:fmt="decimal"/>
          <w:cols w:space="425" w:num="1"/>
          <w:docGrid w:type="lines" w:linePitch="312" w:charSpace="0"/>
        </w:sectPr>
      </w:pPr>
    </w:p>
    <w:p>
      <w:pPr>
        <w:spacing w:before="59" w:line="219" w:lineRule="auto"/>
        <w:jc w:val="center"/>
        <w:outlineLvl w:val="1"/>
        <w:rPr>
          <w:rFonts w:ascii="宋体" w:hAnsi="宋体" w:eastAsia="宋体" w:cs="宋体"/>
          <w:sz w:val="30"/>
          <w:szCs w:val="30"/>
        </w:rPr>
      </w:pPr>
      <w:bookmarkStart w:id="139" w:name="_Toc7629"/>
      <w:r>
        <w:rPr>
          <w:rFonts w:hint="eastAsia" w:ascii="宋体" w:hAnsi="宋体" w:eastAsia="宋体" w:cs="宋体"/>
          <w:b/>
          <w:bCs/>
          <w:spacing w:val="-9"/>
          <w:sz w:val="30"/>
          <w:szCs w:val="30"/>
          <w:lang w:val="en-US" w:eastAsia="zh-CN"/>
        </w:rPr>
        <w:t>9</w:t>
      </w:r>
      <w:r>
        <w:rPr>
          <w:rFonts w:ascii="宋体" w:hAnsi="宋体" w:eastAsia="宋体" w:cs="宋体"/>
          <w:b/>
          <w:bCs/>
          <w:spacing w:val="-9"/>
          <w:sz w:val="30"/>
          <w:szCs w:val="30"/>
        </w:rPr>
        <w:t>、反商业贿赂承诺书</w:t>
      </w:r>
      <w:bookmarkEnd w:id="139"/>
    </w:p>
    <w:p>
      <w:pPr>
        <w:pStyle w:val="4"/>
        <w:spacing w:line="286" w:lineRule="auto"/>
      </w:pPr>
    </w:p>
    <w:p>
      <w:pPr>
        <w:pStyle w:val="4"/>
        <w:spacing w:line="286" w:lineRule="auto"/>
      </w:pPr>
    </w:p>
    <w:p>
      <w:pPr>
        <w:pStyle w:val="4"/>
        <w:spacing w:line="287" w:lineRule="auto"/>
      </w:pPr>
    </w:p>
    <w:p>
      <w:pPr>
        <w:spacing w:before="239" w:line="360" w:lineRule="auto"/>
        <w:ind w:left="1" w:firstLine="414"/>
        <w:rPr>
          <w:rFonts w:hint="eastAsia" w:ascii="宋体" w:hAnsi="宋体" w:eastAsia="宋体" w:cs="宋体"/>
          <w:spacing w:val="8"/>
          <w:sz w:val="24"/>
          <w:szCs w:val="24"/>
          <w:u w:val="single"/>
          <w:lang w:val="en-US" w:eastAsia="zh-CN"/>
        </w:rPr>
      </w:pPr>
      <w:r>
        <w:rPr>
          <w:rFonts w:hint="eastAsia" w:ascii="宋体" w:hAnsi="宋体" w:eastAsia="宋体" w:cs="宋体"/>
          <w:spacing w:val="8"/>
          <w:sz w:val="24"/>
          <w:szCs w:val="24"/>
          <w:lang w:val="en-US" w:eastAsia="zh-CN"/>
        </w:rPr>
        <w:t>致：</w:t>
      </w:r>
      <w:r>
        <w:rPr>
          <w:rFonts w:hint="eastAsia" w:ascii="宋体" w:hAnsi="宋体" w:eastAsia="宋体" w:cs="宋体"/>
          <w:spacing w:val="8"/>
          <w:sz w:val="24"/>
          <w:szCs w:val="24"/>
          <w:u w:val="single"/>
          <w:lang w:val="en-US" w:eastAsia="zh-CN"/>
        </w:rPr>
        <w:t xml:space="preserve"> (采购人名称）</w:t>
      </w:r>
    </w:p>
    <w:p>
      <w:pPr>
        <w:spacing w:before="239" w:line="360" w:lineRule="auto"/>
        <w:ind w:left="1" w:firstLine="414"/>
        <w:rPr>
          <w:rFonts w:ascii="宋体" w:hAnsi="宋体" w:eastAsia="宋体" w:cs="宋体"/>
          <w:spacing w:val="8"/>
          <w:sz w:val="24"/>
          <w:szCs w:val="24"/>
        </w:rPr>
      </w:pPr>
      <w:r>
        <w:rPr>
          <w:rFonts w:hint="eastAsia" w:ascii="宋体" w:hAnsi="宋体" w:eastAsia="宋体" w:cs="宋体"/>
          <w:spacing w:val="8"/>
          <w:sz w:val="24"/>
          <w:szCs w:val="24"/>
          <w:lang w:val="en-US" w:eastAsia="zh-CN"/>
        </w:rPr>
        <w:t xml:space="preserve"> 在项目编号为</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lang w:val="en-US" w:eastAsia="zh-CN"/>
        </w:rPr>
        <w:t>的</w:t>
      </w:r>
      <w:r>
        <w:rPr>
          <w:rFonts w:hint="eastAsia" w:ascii="宋体" w:hAnsi="宋体" w:eastAsia="宋体" w:cs="宋体"/>
          <w:spacing w:val="8"/>
          <w:sz w:val="24"/>
          <w:szCs w:val="24"/>
          <w:u w:val="single"/>
          <w:lang w:val="en-US" w:eastAsia="zh-CN"/>
        </w:rPr>
        <w:t xml:space="preserve"> （项目名称） </w:t>
      </w:r>
      <w:r>
        <w:rPr>
          <w:rFonts w:hint="eastAsia" w:ascii="宋体" w:hAnsi="宋体" w:eastAsia="宋体" w:cs="宋体"/>
          <w:spacing w:val="8"/>
          <w:sz w:val="24"/>
          <w:szCs w:val="24"/>
          <w:lang w:val="en-US" w:eastAsia="zh-CN"/>
        </w:rPr>
        <w:t>招标活动中，我公司保证做到：</w:t>
      </w:r>
    </w:p>
    <w:p>
      <w:pPr>
        <w:spacing w:before="239" w:line="360" w:lineRule="auto"/>
        <w:ind w:left="1" w:firstLine="414"/>
        <w:rPr>
          <w:rFonts w:ascii="宋体" w:hAnsi="宋体" w:eastAsia="宋体" w:cs="宋体"/>
          <w:spacing w:val="8"/>
          <w:sz w:val="24"/>
          <w:szCs w:val="24"/>
        </w:rPr>
      </w:pPr>
      <w:r>
        <w:rPr>
          <w:rFonts w:ascii="宋体" w:hAnsi="宋体" w:eastAsia="宋体" w:cs="宋体"/>
          <w:spacing w:val="8"/>
          <w:sz w:val="24"/>
          <w:szCs w:val="24"/>
        </w:rPr>
        <w:t>一、公平竞争参加本次采购活动。</w:t>
      </w:r>
    </w:p>
    <w:p>
      <w:pPr>
        <w:spacing w:before="239" w:line="360" w:lineRule="auto"/>
        <w:ind w:left="1" w:firstLine="414"/>
        <w:rPr>
          <w:rFonts w:ascii="宋体" w:hAnsi="宋体" w:eastAsia="宋体" w:cs="宋体"/>
          <w:sz w:val="24"/>
          <w:szCs w:val="24"/>
        </w:rPr>
      </w:pPr>
      <w:r>
        <w:rPr>
          <w:rFonts w:ascii="宋体" w:hAnsi="宋体" w:eastAsia="宋体" w:cs="宋体"/>
          <w:spacing w:val="8"/>
          <w:sz w:val="24"/>
          <w:szCs w:val="24"/>
        </w:rPr>
        <w:t>二、杜绝任何形式的商业贿赂行为。不向国家工作人员</w:t>
      </w:r>
      <w:r>
        <w:rPr>
          <w:rFonts w:ascii="宋体" w:hAnsi="宋体" w:eastAsia="宋体" w:cs="宋体"/>
          <w:spacing w:val="7"/>
          <w:sz w:val="24"/>
          <w:szCs w:val="24"/>
        </w:rPr>
        <w:t>、政府采购代理机构工作人员、评审专</w:t>
      </w:r>
      <w:r>
        <w:rPr>
          <w:rFonts w:ascii="宋体" w:hAnsi="宋体" w:eastAsia="宋体" w:cs="宋体"/>
          <w:spacing w:val="8"/>
          <w:sz w:val="24"/>
          <w:szCs w:val="24"/>
        </w:rPr>
        <w:t>家及其亲属提供礼品礼金、有价证券、购物券、回扣、</w:t>
      </w:r>
      <w:r>
        <w:rPr>
          <w:rFonts w:ascii="宋体" w:hAnsi="宋体" w:eastAsia="宋体" w:cs="宋体"/>
          <w:spacing w:val="7"/>
          <w:sz w:val="24"/>
          <w:szCs w:val="24"/>
        </w:rPr>
        <w:t>佣金、咨询费、劳务费、赞助费、宣传费、宴请；不为其报销各种消费凭证，不支付其旅游、娱乐等费用。</w:t>
      </w:r>
    </w:p>
    <w:p>
      <w:pPr>
        <w:spacing w:before="237" w:line="360" w:lineRule="auto"/>
        <w:ind w:right="100" w:firstLine="411"/>
        <w:rPr>
          <w:rFonts w:ascii="宋体" w:hAnsi="宋体" w:eastAsia="宋体" w:cs="宋体"/>
          <w:sz w:val="24"/>
          <w:szCs w:val="24"/>
        </w:rPr>
      </w:pPr>
      <w:r>
        <w:rPr>
          <w:rFonts w:ascii="宋体" w:hAnsi="宋体" w:eastAsia="宋体" w:cs="宋体"/>
          <w:spacing w:val="8"/>
          <w:sz w:val="24"/>
          <w:szCs w:val="24"/>
        </w:rPr>
        <w:t>三、若出现上述行为，我公司及其参与投标的工作人员愿意接受按照国家法</w:t>
      </w:r>
      <w:r>
        <w:rPr>
          <w:rFonts w:ascii="宋体" w:hAnsi="宋体" w:eastAsia="宋体" w:cs="宋体"/>
          <w:spacing w:val="7"/>
          <w:sz w:val="24"/>
          <w:szCs w:val="24"/>
        </w:rPr>
        <w:t>律法规等有关规定</w:t>
      </w:r>
      <w:r>
        <w:rPr>
          <w:rFonts w:ascii="宋体" w:hAnsi="宋体" w:eastAsia="宋体" w:cs="宋体"/>
          <w:sz w:val="24"/>
          <w:szCs w:val="24"/>
        </w:rPr>
        <w:t xml:space="preserve"> </w:t>
      </w:r>
      <w:r>
        <w:rPr>
          <w:rFonts w:ascii="宋体" w:hAnsi="宋体" w:eastAsia="宋体" w:cs="宋体"/>
          <w:spacing w:val="5"/>
          <w:sz w:val="24"/>
          <w:szCs w:val="24"/>
        </w:rPr>
        <w:t>给予的处罚。</w:t>
      </w: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pStyle w:val="4"/>
        <w:spacing w:line="360" w:lineRule="auto"/>
        <w:rPr>
          <w:sz w:val="24"/>
          <w:szCs w:val="24"/>
        </w:rPr>
      </w:pP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spacing w:before="183" w:line="345" w:lineRule="auto"/>
        <w:ind w:left="157" w:right="5751"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pStyle w:val="33"/>
        <w:rPr>
          <w:rFonts w:hint="eastAsia" w:asciiTheme="minorEastAsia" w:hAnsiTheme="minorEastAsia" w:eastAsiaTheme="minorEastAsia" w:cstheme="minorEastAsia"/>
          <w:b/>
          <w:bCs/>
          <w:i w:val="0"/>
          <w:iCs w:val="0"/>
          <w:caps w:val="0"/>
          <w:color w:val="444444"/>
          <w:spacing w:val="0"/>
          <w:sz w:val="48"/>
          <w:szCs w:val="48"/>
          <w:shd w:val="clear" w:fill="F9F9F9"/>
          <w:lang w:eastAsia="en-US"/>
        </w:rPr>
        <w:sectPr>
          <w:pgSz w:w="11906" w:h="16838"/>
          <w:pgMar w:top="1440" w:right="1080" w:bottom="1440" w:left="1080" w:header="1077" w:footer="510" w:gutter="0"/>
          <w:pgNumType w:fmt="decimal"/>
          <w:cols w:space="425" w:num="1"/>
          <w:docGrid w:type="lines" w:linePitch="312" w:charSpace="0"/>
        </w:sectPr>
      </w:pPr>
    </w:p>
    <w:p>
      <w:pPr>
        <w:spacing w:before="59" w:line="219" w:lineRule="auto"/>
        <w:ind w:left="3505"/>
        <w:rPr>
          <w:rFonts w:ascii="宋体" w:hAnsi="宋体" w:eastAsia="宋体" w:cs="宋体"/>
          <w:sz w:val="30"/>
          <w:szCs w:val="30"/>
        </w:rPr>
      </w:pPr>
      <w:r>
        <w:rPr>
          <w:rFonts w:hint="eastAsia" w:ascii="宋体" w:hAnsi="宋体" w:eastAsia="宋体" w:cs="宋体"/>
          <w:b/>
          <w:bCs/>
          <w:spacing w:val="-8"/>
          <w:sz w:val="30"/>
          <w:szCs w:val="30"/>
          <w:lang w:val="en-US" w:eastAsia="zh-CN"/>
        </w:rPr>
        <w:t>10</w:t>
      </w:r>
      <w:r>
        <w:rPr>
          <w:rFonts w:ascii="宋体" w:hAnsi="宋体" w:eastAsia="宋体" w:cs="宋体"/>
          <w:b/>
          <w:bCs/>
          <w:spacing w:val="-8"/>
          <w:sz w:val="30"/>
          <w:szCs w:val="30"/>
        </w:rPr>
        <w:t>、履约承诺书</w:t>
      </w:r>
    </w:p>
    <w:p>
      <w:pPr>
        <w:spacing w:before="92" w:line="360" w:lineRule="auto"/>
        <w:ind w:left="417"/>
        <w:rPr>
          <w:rFonts w:ascii="宋体" w:hAnsi="宋体" w:eastAsia="宋体" w:cs="宋体"/>
          <w:sz w:val="24"/>
          <w:szCs w:val="24"/>
        </w:rPr>
      </w:pPr>
      <w:r>
        <w:rPr>
          <w:rFonts w:ascii="宋体" w:hAnsi="宋体" w:eastAsia="宋体" w:cs="宋体"/>
          <w:spacing w:val="5"/>
          <w:sz w:val="24"/>
          <w:szCs w:val="24"/>
        </w:rPr>
        <w:t>一、我单位承诺：</w:t>
      </w:r>
    </w:p>
    <w:p>
      <w:pPr>
        <w:spacing w:before="237" w:line="360" w:lineRule="auto"/>
        <w:ind w:left="1" w:right="150" w:firstLine="422"/>
        <w:jc w:val="both"/>
        <w:rPr>
          <w:rFonts w:ascii="宋体" w:hAnsi="宋体" w:eastAsia="宋体" w:cs="宋体"/>
          <w:sz w:val="24"/>
          <w:szCs w:val="24"/>
        </w:rPr>
      </w:pPr>
      <w:r>
        <w:rPr>
          <w:rFonts w:ascii="宋体" w:hAnsi="宋体" w:eastAsia="宋体" w:cs="宋体"/>
          <w:spacing w:val="8"/>
          <w:sz w:val="24"/>
          <w:szCs w:val="24"/>
        </w:rPr>
        <w:t>（一）我单位已详细阅读并完全理解、同意《</w:t>
      </w:r>
      <w:r>
        <w:rPr>
          <w:rFonts w:hint="eastAsia" w:ascii="宋体" w:hAnsi="宋体" w:eastAsia="宋体" w:cs="宋体"/>
          <w:spacing w:val="8"/>
          <w:sz w:val="24"/>
          <w:szCs w:val="24"/>
          <w:lang w:val="en-US" w:eastAsia="zh-CN"/>
        </w:rPr>
        <w:t>招标</w:t>
      </w:r>
      <w:r>
        <w:rPr>
          <w:rFonts w:ascii="宋体" w:hAnsi="宋体" w:eastAsia="宋体" w:cs="宋体"/>
          <w:spacing w:val="8"/>
          <w:sz w:val="24"/>
          <w:szCs w:val="24"/>
        </w:rPr>
        <w:t>文</w:t>
      </w:r>
      <w:r>
        <w:rPr>
          <w:rFonts w:ascii="宋体" w:hAnsi="宋体" w:eastAsia="宋体" w:cs="宋体"/>
          <w:spacing w:val="7"/>
          <w:sz w:val="24"/>
          <w:szCs w:val="24"/>
        </w:rPr>
        <w:t>件》的全部内容，包括修改补充文件以及</w:t>
      </w:r>
      <w:r>
        <w:rPr>
          <w:rFonts w:ascii="宋体" w:hAnsi="宋体" w:eastAsia="宋体" w:cs="宋体"/>
          <w:spacing w:val="8"/>
          <w:sz w:val="24"/>
          <w:szCs w:val="24"/>
        </w:rPr>
        <w:t>全部参考资料和有关附件；除我单位在《</w:t>
      </w:r>
      <w:r>
        <w:rPr>
          <w:rFonts w:hint="eastAsia" w:ascii="宋体" w:hAnsi="宋体" w:eastAsia="宋体" w:cs="宋体"/>
          <w:spacing w:val="8"/>
          <w:sz w:val="24"/>
          <w:szCs w:val="24"/>
          <w:lang w:val="en-US" w:eastAsia="zh-CN"/>
        </w:rPr>
        <w:t>招标</w:t>
      </w:r>
      <w:r>
        <w:rPr>
          <w:rFonts w:ascii="宋体" w:hAnsi="宋体" w:eastAsia="宋体" w:cs="宋体"/>
          <w:spacing w:val="8"/>
          <w:sz w:val="24"/>
          <w:szCs w:val="24"/>
        </w:rPr>
        <w:t>文件》规定期间内书面提</w:t>
      </w:r>
      <w:r>
        <w:rPr>
          <w:rFonts w:ascii="宋体" w:hAnsi="宋体" w:eastAsia="宋体" w:cs="宋体"/>
          <w:spacing w:val="7"/>
          <w:sz w:val="24"/>
          <w:szCs w:val="24"/>
        </w:rPr>
        <w:t>出的疑问外，我单位放弃对这方面不明及误解的权力，并严格按采购人确定的技术及商务要求等履行。</w:t>
      </w:r>
    </w:p>
    <w:p>
      <w:pPr>
        <w:spacing w:before="108" w:line="360" w:lineRule="auto"/>
        <w:ind w:right="253" w:firstLine="424"/>
        <w:jc w:val="both"/>
        <w:rPr>
          <w:rFonts w:ascii="宋体" w:hAnsi="宋体" w:eastAsia="宋体" w:cs="宋体"/>
          <w:sz w:val="24"/>
          <w:szCs w:val="24"/>
        </w:rPr>
      </w:pPr>
      <w:r>
        <w:rPr>
          <w:rFonts w:ascii="宋体" w:hAnsi="宋体" w:eastAsia="宋体" w:cs="宋体"/>
          <w:spacing w:val="8"/>
          <w:sz w:val="24"/>
          <w:szCs w:val="24"/>
        </w:rPr>
        <w:t>（二）我单位《</w:t>
      </w:r>
      <w:r>
        <w:rPr>
          <w:rFonts w:hint="eastAsia" w:ascii="宋体" w:hAnsi="宋体" w:eastAsia="宋体" w:cs="宋体"/>
          <w:spacing w:val="8"/>
          <w:sz w:val="24"/>
          <w:szCs w:val="24"/>
          <w:lang w:val="en-US" w:eastAsia="zh-CN"/>
        </w:rPr>
        <w:t>投标</w:t>
      </w:r>
      <w:r>
        <w:rPr>
          <w:rFonts w:ascii="宋体" w:hAnsi="宋体" w:eastAsia="宋体" w:cs="宋体"/>
          <w:spacing w:val="8"/>
          <w:sz w:val="24"/>
          <w:szCs w:val="24"/>
        </w:rPr>
        <w:t>文件》开启前已详细勘察现场，</w:t>
      </w:r>
      <w:r>
        <w:rPr>
          <w:rFonts w:ascii="宋体" w:hAnsi="宋体" w:eastAsia="宋体" w:cs="宋体"/>
          <w:spacing w:val="7"/>
          <w:sz w:val="24"/>
          <w:szCs w:val="24"/>
        </w:rPr>
        <w:t>并按</w:t>
      </w:r>
      <w:r>
        <w:rPr>
          <w:rFonts w:hint="eastAsia" w:ascii="宋体" w:hAnsi="宋体" w:eastAsia="宋体" w:cs="宋体"/>
          <w:spacing w:val="7"/>
          <w:sz w:val="24"/>
          <w:szCs w:val="24"/>
          <w:lang w:val="en-US" w:eastAsia="zh-CN"/>
        </w:rPr>
        <w:t>招标人</w:t>
      </w:r>
      <w:r>
        <w:rPr>
          <w:rFonts w:ascii="宋体" w:hAnsi="宋体" w:eastAsia="宋体" w:cs="宋体"/>
          <w:spacing w:val="7"/>
          <w:sz w:val="24"/>
          <w:szCs w:val="24"/>
        </w:rPr>
        <w:t>现场条件及采购要求编制</w:t>
      </w:r>
      <w:r>
        <w:rPr>
          <w:rFonts w:hint="eastAsia" w:ascii="宋体" w:hAnsi="宋体" w:eastAsia="宋体" w:cs="宋体"/>
          <w:spacing w:val="7"/>
          <w:sz w:val="24"/>
          <w:szCs w:val="24"/>
          <w:lang w:val="en-US" w:eastAsia="zh-CN"/>
        </w:rPr>
        <w:t>投标</w:t>
      </w:r>
      <w:r>
        <w:rPr>
          <w:rFonts w:ascii="宋体" w:hAnsi="宋体" w:eastAsia="宋体" w:cs="宋体"/>
          <w:spacing w:val="8"/>
          <w:sz w:val="24"/>
          <w:szCs w:val="24"/>
        </w:rPr>
        <w:t>报价；我单位的</w:t>
      </w:r>
      <w:r>
        <w:rPr>
          <w:rFonts w:hint="eastAsia" w:ascii="宋体" w:hAnsi="宋体" w:eastAsia="宋体" w:cs="宋体"/>
          <w:spacing w:val="8"/>
          <w:sz w:val="24"/>
          <w:szCs w:val="24"/>
          <w:lang w:val="en-US" w:eastAsia="zh-CN"/>
        </w:rPr>
        <w:t>投标</w:t>
      </w:r>
      <w:r>
        <w:rPr>
          <w:rFonts w:ascii="宋体" w:hAnsi="宋体" w:eastAsia="宋体" w:cs="宋体"/>
          <w:spacing w:val="8"/>
          <w:sz w:val="24"/>
          <w:szCs w:val="24"/>
        </w:rPr>
        <w:t>报价</w:t>
      </w:r>
      <w:r>
        <w:rPr>
          <w:rFonts w:hint="eastAsia" w:ascii="宋体" w:hAnsi="宋体" w:eastAsia="宋体" w:cs="宋体"/>
          <w:spacing w:val="8"/>
          <w:sz w:val="24"/>
          <w:szCs w:val="24"/>
          <w:lang w:val="en-US" w:eastAsia="zh-CN"/>
        </w:rPr>
        <w:t>包</w:t>
      </w:r>
      <w:r>
        <w:rPr>
          <w:rFonts w:ascii="宋体" w:hAnsi="宋体" w:eastAsia="宋体" w:cs="宋体"/>
          <w:spacing w:val="8"/>
          <w:sz w:val="24"/>
          <w:szCs w:val="24"/>
        </w:rPr>
        <w:t>括《</w:t>
      </w:r>
      <w:r>
        <w:rPr>
          <w:rFonts w:hint="eastAsia" w:ascii="宋体" w:hAnsi="宋体" w:eastAsia="宋体" w:cs="宋体"/>
          <w:spacing w:val="8"/>
          <w:sz w:val="24"/>
          <w:szCs w:val="24"/>
          <w:lang w:val="en-US" w:eastAsia="zh-CN"/>
        </w:rPr>
        <w:t>招标</w:t>
      </w:r>
      <w:r>
        <w:rPr>
          <w:rFonts w:ascii="宋体" w:hAnsi="宋体" w:eastAsia="宋体" w:cs="宋体"/>
          <w:spacing w:val="8"/>
          <w:sz w:val="24"/>
          <w:szCs w:val="24"/>
        </w:rPr>
        <w:t>文件》所述报价组成的所有内容、并包括《</w:t>
      </w:r>
      <w:r>
        <w:rPr>
          <w:rFonts w:hint="eastAsia" w:ascii="宋体" w:hAnsi="宋体" w:eastAsia="宋体" w:cs="宋体"/>
          <w:spacing w:val="8"/>
          <w:sz w:val="24"/>
          <w:szCs w:val="24"/>
          <w:lang w:val="en-US" w:eastAsia="zh-CN"/>
        </w:rPr>
        <w:t>招标</w:t>
      </w:r>
      <w:r>
        <w:rPr>
          <w:rFonts w:ascii="宋体" w:hAnsi="宋体" w:eastAsia="宋体" w:cs="宋体"/>
          <w:spacing w:val="7"/>
          <w:sz w:val="24"/>
          <w:szCs w:val="24"/>
        </w:rPr>
        <w:t>文件》未列明而</w:t>
      </w:r>
      <w:r>
        <w:rPr>
          <w:rFonts w:ascii="宋体" w:hAnsi="宋体" w:eastAsia="宋体" w:cs="宋体"/>
          <w:spacing w:val="8"/>
          <w:sz w:val="24"/>
          <w:szCs w:val="24"/>
        </w:rPr>
        <w:t>与采购项目相关的、必须的所有款项及费用等达到交付使用及验收条件的所有一切</w:t>
      </w:r>
      <w:r>
        <w:rPr>
          <w:rFonts w:ascii="宋体" w:hAnsi="宋体" w:eastAsia="宋体" w:cs="宋体"/>
          <w:spacing w:val="7"/>
          <w:sz w:val="24"/>
          <w:szCs w:val="24"/>
        </w:rPr>
        <w:t>风险、责任和义</w:t>
      </w:r>
      <w:r>
        <w:rPr>
          <w:rFonts w:ascii="宋体" w:hAnsi="宋体" w:eastAsia="宋体" w:cs="宋体"/>
          <w:spacing w:val="5"/>
          <w:sz w:val="24"/>
          <w:szCs w:val="24"/>
        </w:rPr>
        <w:t>务的费用。</w:t>
      </w:r>
    </w:p>
    <w:p>
      <w:pPr>
        <w:spacing w:before="109" w:line="360" w:lineRule="auto"/>
        <w:ind w:left="416"/>
        <w:rPr>
          <w:rFonts w:ascii="宋体" w:hAnsi="宋体" w:eastAsia="宋体" w:cs="宋体"/>
          <w:sz w:val="24"/>
          <w:szCs w:val="24"/>
        </w:rPr>
      </w:pPr>
      <w:r>
        <w:rPr>
          <w:rFonts w:ascii="宋体" w:hAnsi="宋体" w:eastAsia="宋体" w:cs="宋体"/>
          <w:spacing w:val="7"/>
          <w:sz w:val="24"/>
          <w:szCs w:val="24"/>
        </w:rPr>
        <w:t>我单位保证按《</w:t>
      </w:r>
      <w:r>
        <w:rPr>
          <w:rFonts w:hint="eastAsia" w:ascii="宋体" w:hAnsi="宋体" w:eastAsia="宋体" w:cs="宋体"/>
          <w:spacing w:val="7"/>
          <w:sz w:val="24"/>
          <w:szCs w:val="24"/>
          <w:lang w:val="en-US" w:eastAsia="zh-CN"/>
        </w:rPr>
        <w:t>招标</w:t>
      </w:r>
      <w:r>
        <w:rPr>
          <w:rFonts w:ascii="宋体" w:hAnsi="宋体" w:eastAsia="宋体" w:cs="宋体"/>
          <w:spacing w:val="7"/>
          <w:sz w:val="24"/>
          <w:szCs w:val="24"/>
        </w:rPr>
        <w:t>文件》要求及投标承诺的质量诚信履约。</w:t>
      </w:r>
    </w:p>
    <w:p>
      <w:pPr>
        <w:spacing w:before="239" w:line="360" w:lineRule="auto"/>
        <w:ind w:left="1" w:right="253" w:firstLine="422"/>
        <w:rPr>
          <w:rFonts w:ascii="宋体" w:hAnsi="宋体" w:eastAsia="宋体" w:cs="宋体"/>
          <w:sz w:val="24"/>
          <w:szCs w:val="24"/>
        </w:rPr>
      </w:pPr>
      <w:r>
        <w:rPr>
          <w:rFonts w:ascii="宋体" w:hAnsi="宋体" w:eastAsia="宋体" w:cs="宋体"/>
          <w:spacing w:val="8"/>
          <w:sz w:val="24"/>
          <w:szCs w:val="24"/>
        </w:rPr>
        <w:t>（三）我单位保证在《</w:t>
      </w:r>
      <w:r>
        <w:rPr>
          <w:rFonts w:hint="eastAsia" w:ascii="宋体" w:hAnsi="宋体" w:eastAsia="宋体" w:cs="宋体"/>
          <w:spacing w:val="8"/>
          <w:sz w:val="24"/>
          <w:szCs w:val="24"/>
          <w:lang w:val="en-US" w:eastAsia="zh-CN"/>
        </w:rPr>
        <w:t>招标</w:t>
      </w:r>
      <w:r>
        <w:rPr>
          <w:rFonts w:ascii="宋体" w:hAnsi="宋体" w:eastAsia="宋体" w:cs="宋体"/>
          <w:spacing w:val="8"/>
          <w:sz w:val="24"/>
          <w:szCs w:val="24"/>
        </w:rPr>
        <w:t>文件》要求的时间内按期</w:t>
      </w:r>
      <w:r>
        <w:rPr>
          <w:rFonts w:ascii="宋体" w:hAnsi="宋体" w:eastAsia="宋体" w:cs="宋体"/>
          <w:spacing w:val="7"/>
          <w:sz w:val="24"/>
          <w:szCs w:val="24"/>
        </w:rPr>
        <w:t>、保质完成中标项目。我单位在推荐中标</w:t>
      </w:r>
      <w:r>
        <w:rPr>
          <w:rFonts w:ascii="宋体" w:hAnsi="宋体" w:eastAsia="宋体" w:cs="宋体"/>
          <w:spacing w:val="8"/>
          <w:sz w:val="24"/>
          <w:szCs w:val="24"/>
        </w:rPr>
        <w:t>结果公示后，将积极、主动的与</w:t>
      </w:r>
      <w:r>
        <w:rPr>
          <w:rFonts w:hint="eastAsia" w:ascii="宋体" w:hAnsi="宋体" w:eastAsia="宋体" w:cs="宋体"/>
          <w:spacing w:val="8"/>
          <w:sz w:val="24"/>
          <w:szCs w:val="24"/>
          <w:lang w:val="en-US" w:eastAsia="zh-CN"/>
        </w:rPr>
        <w:t>招标人</w:t>
      </w:r>
      <w:r>
        <w:rPr>
          <w:rFonts w:ascii="宋体" w:hAnsi="宋体" w:eastAsia="宋体" w:cs="宋体"/>
          <w:spacing w:val="8"/>
          <w:sz w:val="24"/>
          <w:szCs w:val="24"/>
        </w:rPr>
        <w:t>联系合同签订事宜，合同签订中如有任</w:t>
      </w:r>
      <w:r>
        <w:rPr>
          <w:rFonts w:ascii="宋体" w:hAnsi="宋体" w:eastAsia="宋体" w:cs="宋体"/>
          <w:spacing w:val="7"/>
          <w:sz w:val="24"/>
          <w:szCs w:val="24"/>
        </w:rPr>
        <w:t>何的问题，我单位保证及时书面反映情况，否则视为我单位责任、按违约处理。</w:t>
      </w:r>
    </w:p>
    <w:p>
      <w:pPr>
        <w:spacing w:before="111" w:line="360" w:lineRule="auto"/>
        <w:ind w:left="417"/>
        <w:rPr>
          <w:rFonts w:ascii="宋体" w:hAnsi="宋体" w:eastAsia="宋体" w:cs="宋体"/>
          <w:sz w:val="24"/>
          <w:szCs w:val="24"/>
        </w:rPr>
      </w:pPr>
      <w:r>
        <w:rPr>
          <w:rFonts w:ascii="宋体" w:hAnsi="宋体" w:eastAsia="宋体" w:cs="宋体"/>
          <w:spacing w:val="5"/>
          <w:sz w:val="24"/>
          <w:szCs w:val="24"/>
        </w:rPr>
        <w:t>二、我单位承诺：</w:t>
      </w:r>
    </w:p>
    <w:p>
      <w:pPr>
        <w:spacing w:before="241" w:line="360" w:lineRule="auto"/>
        <w:ind w:firstLine="425"/>
        <w:rPr>
          <w:sz w:val="24"/>
          <w:szCs w:val="24"/>
        </w:rPr>
      </w:pPr>
      <w:r>
        <w:rPr>
          <w:rFonts w:ascii="宋体" w:hAnsi="宋体" w:eastAsia="宋体" w:cs="宋体"/>
          <w:spacing w:val="8"/>
          <w:sz w:val="24"/>
          <w:szCs w:val="24"/>
        </w:rPr>
        <w:t>除法律规定的不可抗力因素外，我单位中标后以</w:t>
      </w:r>
      <w:r>
        <w:rPr>
          <w:rFonts w:ascii="宋体" w:hAnsi="宋体" w:eastAsia="宋体" w:cs="宋体"/>
          <w:spacing w:val="7"/>
          <w:sz w:val="24"/>
          <w:szCs w:val="24"/>
        </w:rPr>
        <w:t>任何理由（包括违背上述承诺的事项）提出不</w:t>
      </w:r>
      <w:r>
        <w:rPr>
          <w:rFonts w:ascii="宋体" w:hAnsi="宋体" w:eastAsia="宋体" w:cs="宋体"/>
          <w:spacing w:val="8"/>
          <w:sz w:val="24"/>
          <w:szCs w:val="24"/>
        </w:rPr>
        <w:t>能满足《</w:t>
      </w:r>
      <w:r>
        <w:rPr>
          <w:rFonts w:hint="eastAsia" w:ascii="宋体" w:hAnsi="宋体" w:eastAsia="宋体" w:cs="宋体"/>
          <w:spacing w:val="8"/>
          <w:sz w:val="24"/>
          <w:szCs w:val="24"/>
          <w:lang w:val="en-US" w:eastAsia="zh-CN"/>
        </w:rPr>
        <w:t>招标</w:t>
      </w:r>
      <w:r>
        <w:rPr>
          <w:rFonts w:ascii="宋体" w:hAnsi="宋体" w:eastAsia="宋体" w:cs="宋体"/>
          <w:spacing w:val="8"/>
          <w:sz w:val="24"/>
          <w:szCs w:val="24"/>
        </w:rPr>
        <w:t>文件》技术、交验期等要求或不能实现投标承诺的或提出变更的，</w:t>
      </w:r>
      <w:r>
        <w:rPr>
          <w:rFonts w:ascii="宋体" w:hAnsi="宋体" w:eastAsia="宋体" w:cs="宋体"/>
          <w:spacing w:val="7"/>
          <w:sz w:val="24"/>
          <w:szCs w:val="24"/>
        </w:rPr>
        <w:t>我单位将无条件接</w:t>
      </w:r>
      <w:r>
        <w:rPr>
          <w:rFonts w:ascii="宋体" w:hAnsi="宋体" w:eastAsia="宋体" w:cs="宋体"/>
          <w:spacing w:val="8"/>
          <w:sz w:val="24"/>
          <w:szCs w:val="24"/>
        </w:rPr>
        <w:t>受违约处理、并放弃我单位中标资格。我单位知悉违约责任及其处理，并无条件</w:t>
      </w:r>
      <w:r>
        <w:rPr>
          <w:rFonts w:ascii="宋体" w:hAnsi="宋体" w:eastAsia="宋体" w:cs="宋体"/>
          <w:spacing w:val="7"/>
          <w:sz w:val="24"/>
          <w:szCs w:val="24"/>
        </w:rPr>
        <w:t>接受：依据</w:t>
      </w:r>
      <w:r>
        <w:rPr>
          <w:rFonts w:hint="eastAsia" w:ascii="宋体" w:hAnsi="宋体" w:eastAsia="宋体" w:cs="宋体"/>
          <w:spacing w:val="7"/>
          <w:sz w:val="24"/>
          <w:szCs w:val="24"/>
          <w:lang w:val="en-US" w:eastAsia="zh-CN"/>
        </w:rPr>
        <w:t>招标</w:t>
      </w:r>
      <w:r>
        <w:rPr>
          <w:rFonts w:ascii="宋体" w:hAnsi="宋体" w:eastAsia="宋体" w:cs="宋体"/>
          <w:spacing w:val="7"/>
          <w:sz w:val="24"/>
          <w:szCs w:val="24"/>
        </w:rPr>
        <w:t>文</w:t>
      </w:r>
      <w:r>
        <w:rPr>
          <w:rFonts w:ascii="宋体" w:hAnsi="宋体" w:eastAsia="宋体" w:cs="宋体"/>
          <w:spacing w:val="6"/>
          <w:sz w:val="24"/>
          <w:szCs w:val="24"/>
        </w:rPr>
        <w:t>件“第三章 3.5.5 违背承诺的责任追究措施”</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投标人</w:t>
      </w:r>
      <w:r>
        <w:rPr>
          <w:rFonts w:ascii="宋体" w:hAnsi="宋体" w:eastAsia="宋体" w:cs="宋体"/>
          <w:spacing w:val="6"/>
          <w:sz w:val="24"/>
          <w:szCs w:val="24"/>
        </w:rPr>
        <w:t>承担相应法律责任及违约责任；情节严重的，</w:t>
      </w:r>
      <w:r>
        <w:rPr>
          <w:rFonts w:ascii="宋体" w:hAnsi="宋体" w:eastAsia="宋体" w:cs="宋体"/>
          <w:spacing w:val="8"/>
          <w:sz w:val="24"/>
          <w:szCs w:val="24"/>
        </w:rPr>
        <w:t>由财政部门列入不良行为记录名单，在一至三年内禁止参加政府采购活动，并予以通报，处以罚金，</w:t>
      </w:r>
      <w:r>
        <w:rPr>
          <w:rFonts w:ascii="宋体" w:hAnsi="宋体" w:eastAsia="宋体" w:cs="宋体"/>
          <w:spacing w:val="9"/>
          <w:sz w:val="24"/>
          <w:szCs w:val="24"/>
        </w:rPr>
        <w:t xml:space="preserve"> </w:t>
      </w:r>
      <w:r>
        <w:rPr>
          <w:rFonts w:ascii="宋体" w:hAnsi="宋体" w:eastAsia="宋体" w:cs="宋体"/>
          <w:spacing w:val="7"/>
          <w:sz w:val="24"/>
          <w:szCs w:val="24"/>
        </w:rPr>
        <w:t>给</w:t>
      </w:r>
      <w:r>
        <w:rPr>
          <w:rFonts w:hint="eastAsia" w:ascii="宋体" w:hAnsi="宋体" w:eastAsia="宋体" w:cs="宋体"/>
          <w:spacing w:val="7"/>
          <w:sz w:val="24"/>
          <w:szCs w:val="24"/>
          <w:lang w:val="en-US" w:eastAsia="zh-CN"/>
        </w:rPr>
        <w:t>采购人</w:t>
      </w:r>
      <w:r>
        <w:rPr>
          <w:rFonts w:ascii="宋体" w:hAnsi="宋体" w:eastAsia="宋体" w:cs="宋体"/>
          <w:spacing w:val="7"/>
          <w:sz w:val="24"/>
          <w:szCs w:val="24"/>
        </w:rPr>
        <w:t>及他人造成损失的，承担相应的赔偿责任。</w:t>
      </w:r>
    </w:p>
    <w:p>
      <w:pPr>
        <w:pStyle w:val="4"/>
        <w:spacing w:line="360" w:lineRule="auto"/>
        <w:rPr>
          <w:sz w:val="24"/>
          <w:szCs w:val="24"/>
        </w:rPr>
      </w:pPr>
    </w:p>
    <w:p>
      <w:pPr>
        <w:spacing w:before="78" w:line="219" w:lineRule="auto"/>
        <w:ind w:left="119"/>
        <w:rPr>
          <w:rFonts w:ascii="宋体" w:hAnsi="宋体" w:eastAsia="宋体" w:cs="宋体"/>
          <w:sz w:val="24"/>
          <w:szCs w:val="24"/>
        </w:rPr>
      </w:pPr>
      <w:r>
        <w:rPr>
          <w:rFonts w:ascii="宋体" w:hAnsi="宋体" w:eastAsia="宋体" w:cs="宋体"/>
          <w:spacing w:val="-2"/>
          <w:sz w:val="24"/>
          <w:szCs w:val="24"/>
        </w:rPr>
        <w:t>投标人（电子签章</w:t>
      </w:r>
      <w:r>
        <w:rPr>
          <w:rFonts w:ascii="宋体" w:hAnsi="宋体" w:eastAsia="宋体" w:cs="宋体"/>
          <w:spacing w:val="1"/>
          <w:sz w:val="24"/>
          <w:szCs w:val="24"/>
        </w:rPr>
        <w:t>）：</w:t>
      </w:r>
    </w:p>
    <w:p>
      <w:pPr>
        <w:spacing w:before="183" w:line="345" w:lineRule="auto"/>
        <w:ind w:left="157" w:right="5751" w:hanging="40"/>
        <w:rPr>
          <w:rFonts w:ascii="宋体" w:hAnsi="宋体" w:eastAsia="宋体" w:cs="宋体"/>
          <w:spacing w:val="1"/>
          <w:sz w:val="24"/>
          <w:szCs w:val="24"/>
        </w:rPr>
      </w:pPr>
      <w:r>
        <w:rPr>
          <w:rFonts w:ascii="宋体" w:hAnsi="宋体" w:eastAsia="宋体" w:cs="宋体"/>
          <w:spacing w:val="-1"/>
          <w:sz w:val="24"/>
          <w:szCs w:val="24"/>
        </w:rPr>
        <w:t>法定代表人（电子签名或签章</w:t>
      </w:r>
      <w:r>
        <w:rPr>
          <w:rFonts w:ascii="宋体" w:hAnsi="宋体" w:eastAsia="宋体" w:cs="宋体"/>
          <w:spacing w:val="-30"/>
          <w:sz w:val="24"/>
          <w:szCs w:val="24"/>
        </w:rPr>
        <w:t>）：</w:t>
      </w:r>
      <w:r>
        <w:rPr>
          <w:rFonts w:ascii="宋体" w:hAnsi="宋体" w:eastAsia="宋体" w:cs="宋体"/>
          <w:spacing w:val="1"/>
          <w:sz w:val="24"/>
          <w:szCs w:val="24"/>
        </w:rPr>
        <w:t xml:space="preserve"> </w:t>
      </w:r>
    </w:p>
    <w:p>
      <w:pPr>
        <w:pStyle w:val="33"/>
        <w:ind w:left="0" w:leftChars="0" w:firstLine="214" w:firstLineChars="100"/>
        <w:rPr>
          <w:rFonts w:ascii="宋体" w:hAnsi="宋体" w:eastAsia="宋体" w:cs="宋体"/>
          <w:spacing w:val="-13"/>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rPr>
          <w:rFonts w:ascii="宋体" w:hAnsi="宋体" w:eastAsia="宋体" w:cs="宋体"/>
          <w:spacing w:val="-13"/>
          <w:sz w:val="24"/>
          <w:szCs w:val="24"/>
        </w:rPr>
      </w:pPr>
      <w:r>
        <w:rPr>
          <w:rFonts w:ascii="宋体" w:hAnsi="宋体" w:eastAsia="宋体" w:cs="宋体"/>
          <w:spacing w:val="-13"/>
          <w:sz w:val="24"/>
          <w:szCs w:val="24"/>
        </w:rPr>
        <w:br w:type="page"/>
      </w:r>
    </w:p>
    <w:p>
      <w:pPr>
        <w:pStyle w:val="33"/>
        <w:jc w:val="center"/>
        <w:rPr>
          <w:rFonts w:ascii="宋体" w:hAnsi="宋体" w:eastAsia="宋体" w:cs="宋体"/>
          <w:b/>
          <w:bCs/>
          <w:spacing w:val="-7"/>
          <w:sz w:val="30"/>
          <w:szCs w:val="30"/>
        </w:rPr>
      </w:pPr>
      <w:r>
        <w:rPr>
          <w:rFonts w:hint="eastAsia" w:ascii="宋体" w:hAnsi="宋体" w:eastAsia="宋体" w:cs="宋体"/>
          <w:b/>
          <w:bCs/>
          <w:spacing w:val="-7"/>
          <w:sz w:val="30"/>
          <w:szCs w:val="30"/>
          <w:lang w:val="en-US" w:eastAsia="zh-CN"/>
        </w:rPr>
        <w:t>11</w:t>
      </w:r>
      <w:r>
        <w:rPr>
          <w:rFonts w:ascii="宋体" w:hAnsi="宋体" w:eastAsia="宋体" w:cs="宋体"/>
          <w:b/>
          <w:bCs/>
          <w:spacing w:val="-7"/>
          <w:sz w:val="30"/>
          <w:szCs w:val="30"/>
        </w:rPr>
        <w:t>、资格要求相关证明材料（文件）</w:t>
      </w:r>
    </w:p>
    <w:p>
      <w:pPr>
        <w:rPr>
          <w:rFonts w:ascii="宋体" w:hAnsi="宋体" w:eastAsia="宋体" w:cs="宋体"/>
          <w:b/>
          <w:bCs/>
          <w:spacing w:val="-7"/>
          <w:sz w:val="30"/>
          <w:szCs w:val="30"/>
        </w:rPr>
      </w:pPr>
      <w:r>
        <w:rPr>
          <w:rFonts w:ascii="宋体" w:hAnsi="宋体" w:eastAsia="宋体" w:cs="宋体"/>
          <w:b/>
          <w:bCs/>
          <w:spacing w:val="-7"/>
          <w:sz w:val="30"/>
          <w:szCs w:val="30"/>
        </w:rPr>
        <w:br w:type="page"/>
      </w:r>
    </w:p>
    <w:p>
      <w:pPr>
        <w:spacing w:before="125" w:line="284" w:lineRule="auto"/>
        <w:ind w:right="475"/>
        <w:jc w:val="center"/>
        <w:rPr>
          <w:rFonts w:ascii="宋体" w:hAnsi="宋体" w:eastAsia="宋体" w:cs="宋体"/>
          <w:spacing w:val="15"/>
          <w:sz w:val="30"/>
          <w:szCs w:val="30"/>
        </w:rPr>
      </w:pPr>
      <w:r>
        <w:rPr>
          <w:rFonts w:ascii="宋体" w:hAnsi="宋体" w:eastAsia="宋体" w:cs="宋体"/>
          <w:b/>
          <w:bCs/>
          <w:spacing w:val="-11"/>
          <w:sz w:val="30"/>
          <w:szCs w:val="30"/>
        </w:rPr>
        <w:t>《政府采购法》第二十二条第一款规定的基础性资格的</w:t>
      </w:r>
    </w:p>
    <w:p>
      <w:pPr>
        <w:spacing w:before="125" w:line="284" w:lineRule="auto"/>
        <w:ind w:left="4101" w:right="475" w:hanging="3512"/>
        <w:jc w:val="center"/>
        <w:rPr>
          <w:sz w:val="24"/>
          <w:szCs w:val="24"/>
        </w:rPr>
      </w:pPr>
      <w:r>
        <w:rPr>
          <w:rFonts w:ascii="宋体" w:hAnsi="宋体" w:eastAsia="宋体" w:cs="宋体"/>
          <w:b/>
          <w:bCs/>
          <w:spacing w:val="-10"/>
          <w:sz w:val="30"/>
          <w:szCs w:val="30"/>
        </w:rPr>
        <w:t>承诺函</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一、我公司郑重承诺，我公司符合《政府采购法》第二十二条第一款规定的基础性资格条件，具体如下：</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1、我公司承诺具有独立承担民事责任能力；</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2、我公司承诺具有良好的商业信誉和健全的财务会计制度；</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3、我公司承诺具备履行合同所必需的设备和专业技术能力；</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4、我公司承诺具有依法缴纳税收和社会保障资金的良好记录；</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5、我公司承诺在参加政府采购活动前三年内，在经营活动中没有重大违法记录。</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二、我公司保证上述承诺事项的真实性，如有虚假或其他违规违法行为，我公司愿意按《政府采购法》提供虚假材料的有关规定承担法律责任，并承担因此造成的一切损失。</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三、 我公司认同按照《</w:t>
      </w:r>
      <w:r>
        <w:rPr>
          <w:rFonts w:hint="eastAsia" w:ascii="宋体" w:hAnsi="宋体" w:eastAsia="宋体" w:cs="宋体"/>
          <w:spacing w:val="2"/>
          <w:sz w:val="20"/>
          <w:szCs w:val="20"/>
          <w:lang w:val="en-US" w:eastAsia="zh-CN"/>
        </w:rPr>
        <w:t>招标</w:t>
      </w:r>
      <w:r>
        <w:rPr>
          <w:rFonts w:ascii="宋体" w:hAnsi="宋体" w:eastAsia="宋体" w:cs="宋体"/>
          <w:spacing w:val="2"/>
          <w:sz w:val="20"/>
          <w:szCs w:val="20"/>
        </w:rPr>
        <w:t>文件》“《政府采购法》第二十二条第一款规定的基础性资格的承诺认定标准 ”对我公司或其他公司进行的</w:t>
      </w:r>
      <w:r>
        <w:rPr>
          <w:rFonts w:hint="eastAsia" w:ascii="宋体" w:hAnsi="宋体" w:eastAsia="宋体" w:cs="宋体"/>
          <w:spacing w:val="2"/>
          <w:sz w:val="20"/>
          <w:szCs w:val="20"/>
          <w:lang w:val="en-US" w:eastAsia="zh-CN"/>
        </w:rPr>
        <w:t>投标人</w:t>
      </w:r>
      <w:r>
        <w:rPr>
          <w:rFonts w:ascii="宋体" w:hAnsi="宋体" w:eastAsia="宋体" w:cs="宋体"/>
          <w:spacing w:val="2"/>
          <w:sz w:val="20"/>
          <w:szCs w:val="20"/>
        </w:rPr>
        <w:t>基础性资格的审查，对按照认定标准得出的审查结果无异议。</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四、我公司</w:t>
      </w:r>
      <w:r>
        <w:rPr>
          <w:rFonts w:hint="eastAsia" w:ascii="宋体" w:hAnsi="宋体" w:eastAsia="宋体" w:cs="宋体"/>
          <w:spacing w:val="2"/>
          <w:sz w:val="20"/>
          <w:szCs w:val="20"/>
          <w:lang w:val="en-US" w:eastAsia="zh-CN"/>
        </w:rPr>
        <w:t>投标</w:t>
      </w:r>
      <w:r>
        <w:rPr>
          <w:rFonts w:ascii="宋体" w:hAnsi="宋体" w:eastAsia="宋体" w:cs="宋体"/>
          <w:spacing w:val="2"/>
          <w:sz w:val="20"/>
          <w:szCs w:val="20"/>
        </w:rPr>
        <w:t>文件或公开资料或备案资料中，有不符合《</w:t>
      </w:r>
      <w:r>
        <w:rPr>
          <w:rFonts w:hint="eastAsia" w:ascii="宋体" w:hAnsi="宋体" w:eastAsia="宋体" w:cs="宋体"/>
          <w:spacing w:val="2"/>
          <w:sz w:val="20"/>
          <w:szCs w:val="20"/>
          <w:lang w:val="en-US" w:eastAsia="zh-CN"/>
        </w:rPr>
        <w:t>招标</w:t>
      </w:r>
      <w:r>
        <w:rPr>
          <w:rFonts w:ascii="宋体" w:hAnsi="宋体" w:eastAsia="宋体" w:cs="宋体"/>
          <w:spacing w:val="2"/>
          <w:sz w:val="20"/>
          <w:szCs w:val="20"/>
        </w:rPr>
        <w:t>文件》“《政府采购法》第二十二条第一款规定的</w:t>
      </w:r>
      <w:r>
        <w:rPr>
          <w:rFonts w:hint="eastAsia" w:ascii="宋体" w:hAnsi="宋体" w:eastAsia="宋体" w:cs="宋体"/>
          <w:spacing w:val="2"/>
          <w:sz w:val="20"/>
          <w:szCs w:val="20"/>
          <w:lang w:val="en-US" w:eastAsia="zh-CN"/>
        </w:rPr>
        <w:t>投标人</w:t>
      </w:r>
      <w:r>
        <w:rPr>
          <w:rFonts w:ascii="宋体" w:hAnsi="宋体" w:eastAsia="宋体" w:cs="宋体"/>
          <w:spacing w:val="2"/>
          <w:sz w:val="20"/>
          <w:szCs w:val="20"/>
        </w:rPr>
        <w:t>基础性资格的承诺认定标准”的，我公司认同判定为无效投标、承担虚假承诺责任。</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五、我公司在没有有效的证明材料，以证明其他</w:t>
      </w:r>
      <w:r>
        <w:rPr>
          <w:rFonts w:hint="eastAsia" w:ascii="宋体" w:hAnsi="宋体" w:eastAsia="宋体" w:cs="宋体"/>
          <w:spacing w:val="2"/>
          <w:sz w:val="20"/>
          <w:szCs w:val="20"/>
          <w:lang w:val="en-US" w:eastAsia="zh-CN"/>
        </w:rPr>
        <w:t>投标人</w:t>
      </w:r>
      <w:r>
        <w:rPr>
          <w:rFonts w:ascii="宋体" w:hAnsi="宋体" w:eastAsia="宋体" w:cs="宋体"/>
          <w:spacing w:val="2"/>
          <w:sz w:val="20"/>
          <w:szCs w:val="20"/>
        </w:rPr>
        <w:t>不符合《</w:t>
      </w:r>
      <w:r>
        <w:rPr>
          <w:rFonts w:hint="eastAsia" w:ascii="宋体" w:hAnsi="宋体" w:eastAsia="宋体" w:cs="宋体"/>
          <w:spacing w:val="2"/>
          <w:sz w:val="20"/>
          <w:szCs w:val="20"/>
          <w:lang w:val="en-US" w:eastAsia="zh-CN"/>
        </w:rPr>
        <w:t>招标</w:t>
      </w:r>
      <w:r>
        <w:rPr>
          <w:rFonts w:ascii="宋体" w:hAnsi="宋体" w:eastAsia="宋体" w:cs="宋体"/>
          <w:spacing w:val="2"/>
          <w:sz w:val="20"/>
          <w:szCs w:val="20"/>
        </w:rPr>
        <w:t>文件》“《政府采购法》第二十二条第一款规定的</w:t>
      </w:r>
      <w:r>
        <w:rPr>
          <w:rFonts w:hint="eastAsia" w:ascii="宋体" w:hAnsi="宋体" w:eastAsia="宋体" w:cs="宋体"/>
          <w:spacing w:val="2"/>
          <w:sz w:val="20"/>
          <w:szCs w:val="20"/>
          <w:lang w:val="en-US" w:eastAsia="zh-CN"/>
        </w:rPr>
        <w:t>投标人</w:t>
      </w:r>
      <w:r>
        <w:rPr>
          <w:rFonts w:ascii="宋体" w:hAnsi="宋体" w:eastAsia="宋体" w:cs="宋体"/>
          <w:spacing w:val="2"/>
          <w:sz w:val="20"/>
          <w:szCs w:val="20"/>
        </w:rPr>
        <w:t>基础性资格的承诺认定标准”时，我公司承诺不对其他</w:t>
      </w:r>
      <w:r>
        <w:rPr>
          <w:rFonts w:hint="eastAsia" w:ascii="宋体" w:hAnsi="宋体" w:eastAsia="宋体" w:cs="宋体"/>
          <w:spacing w:val="2"/>
          <w:sz w:val="20"/>
          <w:szCs w:val="20"/>
          <w:lang w:val="en-US" w:eastAsia="zh-CN"/>
        </w:rPr>
        <w:t>投标人</w:t>
      </w:r>
      <w:r>
        <w:rPr>
          <w:rFonts w:ascii="宋体" w:hAnsi="宋体" w:eastAsia="宋体" w:cs="宋体"/>
          <w:spacing w:val="2"/>
          <w:sz w:val="20"/>
          <w:szCs w:val="20"/>
        </w:rPr>
        <w:t>的承诺函提起质疑投诉，同意对已提起的质疑投诉按缺乏事实依据、按无效质疑投诉处理。</w:t>
      </w: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投标人（电子签章）：</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 xml:space="preserve">法定代表人（电子签名或签章）： </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日期：   年   月   日</w:t>
      </w:r>
    </w:p>
    <w:p>
      <w:pPr>
        <w:pStyle w:val="4"/>
        <w:spacing w:line="253" w:lineRule="auto"/>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b/>
          <w:bCs/>
          <w:spacing w:val="-11"/>
          <w:sz w:val="30"/>
          <w:szCs w:val="30"/>
        </w:rPr>
      </w:pPr>
    </w:p>
    <w:p>
      <w:pPr>
        <w:spacing w:before="125" w:line="284" w:lineRule="auto"/>
        <w:ind w:right="566"/>
        <w:jc w:val="center"/>
        <w:rPr>
          <w:rFonts w:ascii="宋体" w:hAnsi="宋体" w:eastAsia="宋体" w:cs="宋体"/>
          <w:spacing w:val="15"/>
          <w:sz w:val="30"/>
          <w:szCs w:val="30"/>
        </w:rPr>
      </w:pPr>
      <w:r>
        <w:rPr>
          <w:rFonts w:ascii="宋体" w:hAnsi="宋体" w:eastAsia="宋体" w:cs="宋体"/>
          <w:b/>
          <w:bCs/>
          <w:spacing w:val="-11"/>
          <w:sz w:val="30"/>
          <w:szCs w:val="30"/>
        </w:rPr>
        <w:t>《政府采购法》第二十二条第一款规定的基础性资格的</w:t>
      </w:r>
    </w:p>
    <w:p>
      <w:pPr>
        <w:spacing w:before="125" w:line="284" w:lineRule="auto"/>
        <w:ind w:right="566"/>
        <w:jc w:val="center"/>
      </w:pPr>
      <w:r>
        <w:rPr>
          <w:rFonts w:ascii="宋体" w:hAnsi="宋体" w:eastAsia="宋体" w:cs="宋体"/>
          <w:b/>
          <w:bCs/>
          <w:spacing w:val="-10"/>
          <w:sz w:val="30"/>
          <w:szCs w:val="30"/>
        </w:rPr>
        <w:t>承诺事项的认定标准</w:t>
      </w:r>
    </w:p>
    <w:p>
      <w:pPr>
        <w:spacing w:before="65" w:line="362" w:lineRule="auto"/>
        <w:ind w:left="5" w:right="187" w:firstLine="382"/>
        <w:rPr>
          <w:rFonts w:ascii="宋体" w:hAnsi="宋体" w:eastAsia="宋体" w:cs="宋体"/>
          <w:sz w:val="20"/>
          <w:szCs w:val="20"/>
        </w:rPr>
      </w:pPr>
      <w:r>
        <w:rPr>
          <w:rFonts w:ascii="宋体" w:hAnsi="宋体" w:eastAsia="宋体" w:cs="宋体"/>
          <w:spacing w:val="2"/>
          <w:sz w:val="20"/>
          <w:szCs w:val="20"/>
        </w:rPr>
        <w:t>政府采购监督检查、质疑投诉及政府采购行政处罚等情形中，需要对资格承诺的真实性的进</w:t>
      </w:r>
      <w:r>
        <w:rPr>
          <w:rFonts w:ascii="宋体" w:hAnsi="宋体" w:eastAsia="宋体" w:cs="宋体"/>
          <w:spacing w:val="1"/>
          <w:sz w:val="20"/>
          <w:szCs w:val="20"/>
        </w:rPr>
        <w:t>行认定时，相关</w:t>
      </w:r>
      <w:r>
        <w:rPr>
          <w:rFonts w:hint="eastAsia" w:ascii="宋体" w:hAnsi="宋体" w:eastAsia="宋体" w:cs="宋体"/>
          <w:spacing w:val="1"/>
          <w:sz w:val="20"/>
          <w:szCs w:val="20"/>
          <w:lang w:val="en-US" w:eastAsia="zh-CN"/>
        </w:rPr>
        <w:t>投标人</w:t>
      </w:r>
      <w:r>
        <w:rPr>
          <w:rFonts w:ascii="宋体" w:hAnsi="宋体" w:eastAsia="宋体" w:cs="宋体"/>
          <w:spacing w:val="1"/>
          <w:sz w:val="20"/>
          <w:szCs w:val="20"/>
        </w:rPr>
        <w:t>应提供如下关于基础性资格的证明材料：</w:t>
      </w:r>
    </w:p>
    <w:p>
      <w:pPr>
        <w:spacing w:before="132" w:line="302" w:lineRule="auto"/>
        <w:ind w:right="91" w:firstLine="398"/>
        <w:rPr>
          <w:rFonts w:ascii="宋体" w:hAnsi="宋体" w:eastAsia="宋体" w:cs="宋体"/>
          <w:sz w:val="20"/>
          <w:szCs w:val="20"/>
        </w:rPr>
      </w:pPr>
      <w:r>
        <w:rPr>
          <w:rFonts w:ascii="宋体" w:hAnsi="宋体" w:eastAsia="宋体" w:cs="宋体"/>
          <w:spacing w:val="1"/>
          <w:sz w:val="20"/>
          <w:szCs w:val="20"/>
        </w:rPr>
        <w:t>（1）具有独立承担民事责任的能力。</w:t>
      </w:r>
      <w:r>
        <w:rPr>
          <w:rFonts w:ascii="宋体" w:hAnsi="宋体" w:eastAsia="宋体" w:cs="宋体"/>
          <w:spacing w:val="-72"/>
          <w:sz w:val="20"/>
          <w:szCs w:val="20"/>
        </w:rPr>
        <w:t xml:space="preserve"> </w:t>
      </w:r>
      <w:r>
        <w:rPr>
          <w:rFonts w:ascii="宋体" w:hAnsi="宋体" w:eastAsia="宋体" w:cs="宋体"/>
          <w:spacing w:val="1"/>
          <w:sz w:val="20"/>
          <w:szCs w:val="20"/>
        </w:rPr>
        <w:t>■提供营业执照或事业单位法人证书，提供《国家</w:t>
      </w:r>
      <w:r>
        <w:rPr>
          <w:rFonts w:ascii="宋体" w:hAnsi="宋体" w:eastAsia="宋体" w:cs="宋体"/>
          <w:sz w:val="20"/>
          <w:szCs w:val="20"/>
        </w:rPr>
        <w:t>企业信用</w:t>
      </w:r>
      <w:r>
        <w:rPr>
          <w:rFonts w:ascii="宋体" w:hAnsi="宋体" w:eastAsia="宋体" w:cs="宋体"/>
          <w:spacing w:val="1"/>
          <w:sz w:val="20"/>
          <w:szCs w:val="20"/>
        </w:rPr>
        <w:t>信息公示系统》中本公司企业信用信息公示截图。</w:t>
      </w:r>
    </w:p>
    <w:p>
      <w:pPr>
        <w:spacing w:before="260" w:line="227" w:lineRule="auto"/>
        <w:ind w:left="398"/>
        <w:rPr>
          <w:rFonts w:ascii="宋体" w:hAnsi="宋体" w:eastAsia="宋体" w:cs="宋体"/>
          <w:sz w:val="20"/>
          <w:szCs w:val="20"/>
        </w:rPr>
      </w:pPr>
      <w:r>
        <w:rPr>
          <w:rFonts w:ascii="宋体" w:hAnsi="宋体" w:eastAsia="宋体" w:cs="宋体"/>
          <w:spacing w:val="2"/>
          <w:sz w:val="20"/>
          <w:szCs w:val="20"/>
        </w:rPr>
        <w:t>（2）具有良好的商业信誉和健全的财务会计制度，</w:t>
      </w:r>
      <w:r>
        <w:rPr>
          <w:rFonts w:ascii="宋体" w:hAnsi="宋体" w:eastAsia="宋体" w:cs="宋体"/>
          <w:spacing w:val="1"/>
          <w:sz w:val="20"/>
          <w:szCs w:val="20"/>
        </w:rPr>
        <w:t>有依法缴纳税收和社会保障资金的良好记录。</w:t>
      </w:r>
    </w:p>
    <w:p>
      <w:pPr>
        <w:spacing w:before="161" w:line="370" w:lineRule="auto"/>
        <w:ind w:right="2" w:firstLine="21"/>
        <w:jc w:val="both"/>
        <w:rPr>
          <w:rFonts w:ascii="宋体" w:hAnsi="宋体" w:eastAsia="宋体" w:cs="宋体"/>
          <w:sz w:val="20"/>
          <w:szCs w:val="20"/>
        </w:rPr>
      </w:pPr>
      <w:r>
        <w:rPr>
          <w:rFonts w:ascii="宋体" w:hAnsi="宋体" w:eastAsia="宋体" w:cs="宋体"/>
          <w:spacing w:val="1"/>
          <w:sz w:val="20"/>
          <w:szCs w:val="20"/>
        </w:rPr>
        <w:t>■提供银行出具的近 1 年内资信证明（法人为基本开户行）、或 202</w:t>
      </w:r>
      <w:r>
        <w:rPr>
          <w:rFonts w:hint="eastAsia" w:ascii="宋体" w:hAnsi="宋体" w:eastAsia="宋体" w:cs="宋体"/>
          <w:spacing w:val="1"/>
          <w:sz w:val="20"/>
          <w:szCs w:val="20"/>
          <w:lang w:val="en-US" w:eastAsia="zh-CN"/>
        </w:rPr>
        <w:t>4</w:t>
      </w:r>
      <w:r>
        <w:rPr>
          <w:rFonts w:ascii="宋体" w:hAnsi="宋体" w:eastAsia="宋体" w:cs="宋体"/>
          <w:sz w:val="20"/>
          <w:szCs w:val="20"/>
        </w:rPr>
        <w:t>年度经审计的财务报告、或银行（保险公司）出具的投标担保函；</w:t>
      </w:r>
      <w:r>
        <w:rPr>
          <w:rFonts w:ascii="宋体" w:hAnsi="宋体" w:eastAsia="宋体" w:cs="宋体"/>
          <w:spacing w:val="-69"/>
          <w:sz w:val="20"/>
          <w:szCs w:val="20"/>
        </w:rPr>
        <w:t xml:space="preserve"> </w:t>
      </w:r>
      <w:r>
        <w:rPr>
          <w:rFonts w:ascii="宋体" w:hAnsi="宋体" w:eastAsia="宋体" w:cs="宋体"/>
          <w:sz w:val="20"/>
          <w:szCs w:val="20"/>
        </w:rPr>
        <w:t>■提供近 12 个月内（任意 1 个月）已依法缴纳税收的凭据</w:t>
      </w:r>
      <w:r>
        <w:rPr>
          <w:rFonts w:ascii="宋体" w:hAnsi="宋体" w:eastAsia="宋体" w:cs="宋体"/>
          <w:spacing w:val="-1"/>
          <w:sz w:val="20"/>
          <w:szCs w:val="20"/>
        </w:rPr>
        <w:t>；</w:t>
      </w:r>
      <w:r>
        <w:rPr>
          <w:rFonts w:ascii="宋体" w:hAnsi="宋体" w:eastAsia="宋体" w:cs="宋体"/>
          <w:spacing w:val="-69"/>
          <w:sz w:val="20"/>
          <w:szCs w:val="20"/>
        </w:rPr>
        <w:t xml:space="preserve"> </w:t>
      </w:r>
      <w:r>
        <w:rPr>
          <w:rFonts w:ascii="宋体" w:hAnsi="宋体" w:eastAsia="宋体" w:cs="宋体"/>
          <w:spacing w:val="-1"/>
          <w:sz w:val="20"/>
          <w:szCs w:val="20"/>
        </w:rPr>
        <w:t>■提</w:t>
      </w:r>
      <w:r>
        <w:rPr>
          <w:rFonts w:ascii="宋体" w:hAnsi="宋体" w:eastAsia="宋体" w:cs="宋体"/>
          <w:spacing w:val="1"/>
          <w:sz w:val="20"/>
          <w:szCs w:val="20"/>
        </w:rPr>
        <w:t>供近 12 个月内（任意 1 个月）已依法缴纳社会保险的凭据。依法免税或不需要缴纳社会保障资金的</w:t>
      </w:r>
      <w:r>
        <w:rPr>
          <w:rFonts w:hint="eastAsia" w:ascii="宋体" w:hAnsi="宋体" w:eastAsia="宋体" w:cs="宋体"/>
          <w:spacing w:val="1"/>
          <w:sz w:val="20"/>
          <w:szCs w:val="20"/>
          <w:lang w:val="en-US" w:eastAsia="zh-CN"/>
        </w:rPr>
        <w:t>投标人</w:t>
      </w:r>
      <w:r>
        <w:rPr>
          <w:rFonts w:ascii="宋体" w:hAnsi="宋体" w:eastAsia="宋体" w:cs="宋体"/>
          <w:spacing w:val="1"/>
          <w:sz w:val="20"/>
          <w:szCs w:val="20"/>
        </w:rPr>
        <w:t>，应提供相应证明文件。</w:t>
      </w:r>
    </w:p>
    <w:p>
      <w:pPr>
        <w:spacing w:before="129" w:line="367" w:lineRule="auto"/>
        <w:ind w:left="3" w:right="91" w:firstLine="395"/>
        <w:jc w:val="both"/>
        <w:rPr>
          <w:rFonts w:ascii="宋体" w:hAnsi="宋体" w:eastAsia="宋体" w:cs="宋体"/>
          <w:sz w:val="20"/>
          <w:szCs w:val="20"/>
        </w:rPr>
      </w:pPr>
      <w:r>
        <w:rPr>
          <w:rFonts w:ascii="宋体" w:hAnsi="宋体" w:eastAsia="宋体" w:cs="宋体"/>
          <w:spacing w:val="1"/>
          <w:sz w:val="20"/>
          <w:szCs w:val="20"/>
        </w:rPr>
        <w:t>（3）具备履行合同所必需的设备和专业技术能力。</w:t>
      </w:r>
      <w:r>
        <w:rPr>
          <w:rFonts w:ascii="宋体" w:hAnsi="宋体" w:eastAsia="宋体" w:cs="宋体"/>
          <w:spacing w:val="-72"/>
          <w:sz w:val="20"/>
          <w:szCs w:val="20"/>
        </w:rPr>
        <w:t xml:space="preserve"> </w:t>
      </w:r>
      <w:r>
        <w:rPr>
          <w:rFonts w:ascii="宋体" w:hAnsi="宋体" w:eastAsia="宋体" w:cs="宋体"/>
          <w:spacing w:val="1"/>
          <w:sz w:val="20"/>
          <w:szCs w:val="20"/>
        </w:rPr>
        <w:t>■提供相关设备或设施的购置发票或</w:t>
      </w:r>
      <w:r>
        <w:rPr>
          <w:rFonts w:ascii="宋体" w:hAnsi="宋体" w:eastAsia="宋体" w:cs="宋体"/>
          <w:sz w:val="20"/>
          <w:szCs w:val="20"/>
        </w:rPr>
        <w:t>单据（任</w:t>
      </w:r>
      <w:r>
        <w:rPr>
          <w:rFonts w:ascii="宋体" w:hAnsi="宋体" w:eastAsia="宋体" w:cs="宋体"/>
          <w:spacing w:val="1"/>
          <w:sz w:val="20"/>
          <w:szCs w:val="20"/>
        </w:rPr>
        <w:t>一</w:t>
      </w:r>
      <w:r>
        <w:rPr>
          <w:rFonts w:ascii="宋体" w:hAnsi="宋体" w:eastAsia="宋体" w:cs="宋体"/>
          <w:spacing w:val="4"/>
          <w:sz w:val="20"/>
          <w:szCs w:val="20"/>
        </w:rPr>
        <w:t>）；</w:t>
      </w:r>
      <w:r>
        <w:rPr>
          <w:rFonts w:ascii="宋体" w:hAnsi="宋体" w:eastAsia="宋体" w:cs="宋体"/>
          <w:spacing w:val="-69"/>
          <w:sz w:val="20"/>
          <w:szCs w:val="20"/>
        </w:rPr>
        <w:t xml:space="preserve"> </w:t>
      </w:r>
      <w:r>
        <w:rPr>
          <w:rFonts w:ascii="宋体" w:hAnsi="宋体" w:eastAsia="宋体" w:cs="宋体"/>
          <w:spacing w:val="1"/>
          <w:sz w:val="20"/>
          <w:szCs w:val="20"/>
        </w:rPr>
        <w:t>■专业人员用工合同（任一人）或技术人员的职称证书或职业（执业）资格证或等级证书等相关证书（任一人）等的证明材料。</w:t>
      </w:r>
    </w:p>
    <w:p>
      <w:pPr>
        <w:spacing w:before="130" w:line="364" w:lineRule="auto"/>
        <w:ind w:left="4" w:firstLine="394"/>
        <w:rPr>
          <w:rFonts w:ascii="宋体" w:hAnsi="宋体" w:eastAsia="宋体" w:cs="宋体"/>
          <w:sz w:val="20"/>
          <w:szCs w:val="20"/>
        </w:rPr>
      </w:pPr>
      <w:r>
        <w:rPr>
          <w:rFonts w:ascii="宋体" w:hAnsi="宋体" w:eastAsia="宋体" w:cs="宋体"/>
          <w:spacing w:val="1"/>
          <w:sz w:val="20"/>
          <w:szCs w:val="20"/>
        </w:rPr>
        <w:t>（4）参加政府采购活动前 3 年内在经营活动中没有重大违法记录。</w:t>
      </w:r>
      <w:r>
        <w:rPr>
          <w:rFonts w:ascii="宋体" w:hAnsi="宋体" w:eastAsia="宋体" w:cs="宋体"/>
          <w:spacing w:val="-74"/>
          <w:sz w:val="20"/>
          <w:szCs w:val="20"/>
        </w:rPr>
        <w:t xml:space="preserve"> </w:t>
      </w:r>
      <w:r>
        <w:rPr>
          <w:rFonts w:ascii="宋体" w:hAnsi="宋体" w:eastAsia="宋体" w:cs="宋体"/>
          <w:spacing w:val="1"/>
          <w:sz w:val="20"/>
          <w:szCs w:val="20"/>
        </w:rPr>
        <w:t>■</w:t>
      </w:r>
      <w:r>
        <w:rPr>
          <w:rFonts w:ascii="宋体" w:hAnsi="宋体" w:eastAsia="宋体" w:cs="宋体"/>
          <w:sz w:val="20"/>
          <w:szCs w:val="20"/>
        </w:rPr>
        <w:t>提供</w:t>
      </w:r>
      <w:r>
        <w:rPr>
          <w:rFonts w:hint="eastAsia" w:ascii="宋体" w:hAnsi="宋体" w:eastAsia="宋体" w:cs="宋体"/>
          <w:sz w:val="20"/>
          <w:szCs w:val="20"/>
          <w:lang w:val="en-US" w:eastAsia="zh-CN"/>
        </w:rPr>
        <w:t>投标人</w:t>
      </w:r>
      <w:r>
        <w:rPr>
          <w:rFonts w:ascii="宋体" w:hAnsi="宋体" w:eastAsia="宋体" w:cs="宋体"/>
          <w:sz w:val="20"/>
          <w:szCs w:val="20"/>
        </w:rPr>
        <w:t>书面声明；</w:t>
      </w:r>
      <w:r>
        <w:rPr>
          <w:rFonts w:hint="eastAsia" w:ascii="宋体" w:hAnsi="宋体" w:eastAsia="宋体" w:cs="宋体"/>
          <w:sz w:val="20"/>
          <w:szCs w:val="20"/>
          <w:lang w:val="en-US" w:eastAsia="zh-CN"/>
        </w:rPr>
        <w:t>投标人</w:t>
      </w:r>
      <w:r>
        <w:rPr>
          <w:rFonts w:ascii="宋体" w:hAnsi="宋体" w:eastAsia="宋体" w:cs="宋体"/>
          <w:spacing w:val="2"/>
          <w:sz w:val="20"/>
          <w:szCs w:val="20"/>
        </w:rPr>
        <w:t>自行承诺并承担后果，声明函不实的，按《政府采购法》有关提供虚假材料的</w:t>
      </w:r>
      <w:r>
        <w:rPr>
          <w:rFonts w:ascii="宋体" w:hAnsi="宋体" w:eastAsia="宋体" w:cs="宋体"/>
          <w:spacing w:val="1"/>
          <w:sz w:val="20"/>
          <w:szCs w:val="20"/>
        </w:rPr>
        <w:t>有关规定给予处罚。</w:t>
      </w:r>
    </w:p>
    <w:p>
      <w:pPr>
        <w:pStyle w:val="4"/>
        <w:spacing w:line="360" w:lineRule="auto"/>
        <w:ind w:firstLine="404" w:firstLineChars="200"/>
        <w:rPr>
          <w:rFonts w:hint="eastAsia" w:ascii="宋体" w:hAnsi="宋体" w:eastAsia="宋体" w:cs="宋体"/>
          <w:spacing w:val="1"/>
          <w:sz w:val="20"/>
          <w:szCs w:val="20"/>
          <w:lang w:val="en-US" w:eastAsia="zh-CN"/>
        </w:rPr>
      </w:pPr>
    </w:p>
    <w:p>
      <w:pPr>
        <w:pStyle w:val="4"/>
        <w:spacing w:line="360" w:lineRule="auto"/>
        <w:ind w:firstLine="404" w:firstLineChars="200"/>
      </w:pPr>
      <w:r>
        <w:rPr>
          <w:rFonts w:hint="eastAsia" w:ascii="宋体" w:hAnsi="宋体" w:eastAsia="宋体" w:cs="宋体"/>
          <w:spacing w:val="1"/>
          <w:sz w:val="20"/>
          <w:szCs w:val="20"/>
          <w:lang w:val="en-US" w:eastAsia="zh-CN"/>
        </w:rPr>
        <w:t>投标人</w:t>
      </w:r>
      <w:r>
        <w:rPr>
          <w:rFonts w:ascii="宋体" w:hAnsi="宋体" w:eastAsia="宋体" w:cs="宋体"/>
          <w:spacing w:val="1"/>
          <w:sz w:val="20"/>
          <w:szCs w:val="20"/>
        </w:rPr>
        <w:t>提供的证明材料不符合上述认定标准的，评定该供应商不满足《政府采购法》</w:t>
      </w:r>
      <w:r>
        <w:rPr>
          <w:rFonts w:hint="eastAsia" w:ascii="宋体" w:hAnsi="宋体" w:eastAsia="宋体" w:cs="宋体"/>
          <w:spacing w:val="1"/>
          <w:sz w:val="20"/>
          <w:szCs w:val="20"/>
          <w:lang w:val="en-US" w:eastAsia="zh-CN"/>
        </w:rPr>
        <w:t>投标人</w:t>
      </w:r>
      <w:r>
        <w:rPr>
          <w:rFonts w:ascii="宋体" w:hAnsi="宋体" w:eastAsia="宋体" w:cs="宋体"/>
          <w:sz w:val="20"/>
          <w:szCs w:val="20"/>
        </w:rPr>
        <w:t>资格要求，</w:t>
      </w:r>
      <w:r>
        <w:rPr>
          <w:rFonts w:ascii="宋体" w:hAnsi="宋体" w:eastAsia="宋体" w:cs="宋体"/>
          <w:spacing w:val="2"/>
          <w:sz w:val="20"/>
          <w:szCs w:val="20"/>
        </w:rPr>
        <w:t>为提供虚假承诺，投标、中标无效，并上报财政部门对其违规违法行为</w:t>
      </w:r>
      <w:r>
        <w:rPr>
          <w:rFonts w:ascii="宋体" w:hAnsi="宋体" w:eastAsia="宋体" w:cs="宋体"/>
          <w:spacing w:val="1"/>
          <w:sz w:val="20"/>
          <w:szCs w:val="20"/>
        </w:rPr>
        <w:t>作进一步处理。</w:t>
      </w:r>
    </w:p>
    <w:p>
      <w:pPr>
        <w:pStyle w:val="4"/>
        <w:spacing w:line="253" w:lineRule="auto"/>
      </w:pP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投标人（电子签章）：</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 xml:space="preserve">法定代表人（电子签名或签章）： </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日期：   年   月   日</w:t>
      </w:r>
    </w:p>
    <w:p>
      <w:pPr>
        <w:rPr>
          <w:rFonts w:ascii="宋体" w:hAnsi="宋体" w:eastAsia="宋体" w:cs="宋体"/>
          <w:spacing w:val="2"/>
          <w:sz w:val="20"/>
          <w:szCs w:val="20"/>
        </w:rPr>
      </w:pPr>
      <w:r>
        <w:rPr>
          <w:rFonts w:ascii="宋体" w:hAnsi="宋体" w:eastAsia="宋体" w:cs="宋体"/>
          <w:spacing w:val="2"/>
          <w:sz w:val="20"/>
          <w:szCs w:val="20"/>
        </w:rPr>
        <w:br w:type="page"/>
      </w:r>
    </w:p>
    <w:p>
      <w:pPr>
        <w:spacing w:before="127" w:line="219" w:lineRule="auto"/>
        <w:jc w:val="center"/>
        <w:rPr>
          <w:rFonts w:ascii="宋体" w:hAnsi="宋体" w:eastAsia="宋体" w:cs="宋体"/>
          <w:sz w:val="24"/>
          <w:szCs w:val="24"/>
        </w:rPr>
      </w:pPr>
      <w:r>
        <w:rPr>
          <w:rFonts w:ascii="宋体" w:hAnsi="宋体" w:eastAsia="宋体" w:cs="宋体"/>
          <w:b/>
          <w:bCs/>
          <w:spacing w:val="-5"/>
          <w:sz w:val="30"/>
          <w:szCs w:val="30"/>
        </w:rPr>
        <w:t>中小企业声明函</w:t>
      </w:r>
    </w:p>
    <w:p>
      <w:pPr>
        <w:pStyle w:val="4"/>
        <w:spacing w:line="309" w:lineRule="auto"/>
      </w:pPr>
    </w:p>
    <w:p>
      <w:pPr>
        <w:pStyle w:val="4"/>
        <w:spacing w:line="309" w:lineRule="auto"/>
      </w:pPr>
    </w:p>
    <w:p>
      <w:pPr>
        <w:spacing w:before="65" w:line="466" w:lineRule="auto"/>
        <w:ind w:left="1" w:right="39" w:firstLine="504"/>
        <w:rPr>
          <w:rFonts w:ascii="宋体" w:hAnsi="宋体" w:eastAsia="宋体" w:cs="宋体"/>
          <w:sz w:val="20"/>
          <w:szCs w:val="20"/>
        </w:rPr>
      </w:pPr>
      <w:r>
        <w:rPr>
          <w:rFonts w:ascii="宋体" w:hAnsi="宋体" w:eastAsia="宋体" w:cs="宋体"/>
          <w:spacing w:val="17"/>
          <w:sz w:val="20"/>
          <w:szCs w:val="20"/>
        </w:rPr>
        <w:t>本公司（联合体）</w:t>
      </w:r>
      <w:r>
        <w:rPr>
          <w:rFonts w:ascii="宋体" w:hAnsi="宋体" w:eastAsia="宋体" w:cs="宋体"/>
          <w:spacing w:val="-52"/>
          <w:sz w:val="20"/>
          <w:szCs w:val="20"/>
        </w:rPr>
        <w:t xml:space="preserve"> </w:t>
      </w:r>
      <w:r>
        <w:rPr>
          <w:rFonts w:ascii="宋体" w:hAnsi="宋体" w:eastAsia="宋体" w:cs="宋体"/>
          <w:spacing w:val="17"/>
          <w:sz w:val="20"/>
          <w:szCs w:val="20"/>
        </w:rPr>
        <w:t>郑重声明，根据《政府采购促进中小企业发展管理办法》</w:t>
      </w:r>
      <w:r>
        <w:rPr>
          <w:rFonts w:ascii="宋体" w:hAnsi="宋体" w:eastAsia="宋体" w:cs="宋体"/>
          <w:spacing w:val="-58"/>
          <w:sz w:val="20"/>
          <w:szCs w:val="20"/>
        </w:rPr>
        <w:t xml:space="preserve"> </w:t>
      </w:r>
      <w:r>
        <w:rPr>
          <w:rFonts w:ascii="宋体" w:hAnsi="宋体" w:eastAsia="宋体" w:cs="宋体"/>
          <w:spacing w:val="17"/>
          <w:sz w:val="20"/>
          <w:szCs w:val="20"/>
        </w:rPr>
        <w:t>（财库〔20</w:t>
      </w:r>
      <w:r>
        <w:rPr>
          <w:rFonts w:ascii="宋体" w:hAnsi="宋体" w:eastAsia="宋体" w:cs="宋体"/>
          <w:spacing w:val="13"/>
          <w:sz w:val="20"/>
          <w:szCs w:val="20"/>
        </w:rPr>
        <w:t>20〕46号）</w:t>
      </w:r>
      <w:r>
        <w:rPr>
          <w:rFonts w:ascii="宋体" w:hAnsi="宋体" w:eastAsia="宋体" w:cs="宋体"/>
          <w:spacing w:val="-49"/>
          <w:sz w:val="20"/>
          <w:szCs w:val="20"/>
        </w:rPr>
        <w:t xml:space="preserve"> </w:t>
      </w:r>
      <w:r>
        <w:rPr>
          <w:rFonts w:ascii="宋体" w:hAnsi="宋体" w:eastAsia="宋体" w:cs="宋体"/>
          <w:spacing w:val="13"/>
          <w:sz w:val="20"/>
          <w:szCs w:val="20"/>
        </w:rPr>
        <w:t>的规定，本公司(联合体）</w:t>
      </w:r>
      <w:r>
        <w:rPr>
          <w:rFonts w:ascii="宋体" w:hAnsi="宋体" w:eastAsia="宋体" w:cs="宋体"/>
          <w:spacing w:val="12"/>
          <w:sz w:val="20"/>
          <w:szCs w:val="20"/>
        </w:rPr>
        <w:t>参加</w:t>
      </w:r>
      <w:r>
        <w:rPr>
          <w:rFonts w:ascii="宋体" w:hAnsi="宋体" w:eastAsia="宋体" w:cs="宋体"/>
          <w:spacing w:val="12"/>
          <w:sz w:val="20"/>
          <w:szCs w:val="20"/>
          <w:u w:val="single" w:color="auto"/>
        </w:rPr>
        <w:t>（单位名称）</w:t>
      </w:r>
      <w:r>
        <w:rPr>
          <w:rFonts w:ascii="宋体" w:hAnsi="宋体" w:eastAsia="宋体" w:cs="宋体"/>
          <w:spacing w:val="-49"/>
          <w:sz w:val="20"/>
          <w:szCs w:val="20"/>
          <w:u w:val="single" w:color="auto"/>
        </w:rPr>
        <w:t xml:space="preserve"> </w:t>
      </w:r>
      <w:r>
        <w:rPr>
          <w:rFonts w:ascii="宋体" w:hAnsi="宋体" w:eastAsia="宋体" w:cs="宋体"/>
          <w:spacing w:val="12"/>
          <w:sz w:val="20"/>
          <w:szCs w:val="20"/>
        </w:rPr>
        <w:t>的</w:t>
      </w:r>
      <w:r>
        <w:rPr>
          <w:rFonts w:ascii="宋体" w:hAnsi="宋体" w:eastAsia="宋体" w:cs="宋体"/>
          <w:spacing w:val="12"/>
          <w:sz w:val="20"/>
          <w:szCs w:val="20"/>
          <w:u w:val="single" w:color="auto"/>
        </w:rPr>
        <w:t>（项目名称）</w:t>
      </w:r>
      <w:r>
        <w:rPr>
          <w:rFonts w:ascii="宋体" w:hAnsi="宋体" w:eastAsia="宋体" w:cs="宋体"/>
          <w:spacing w:val="12"/>
          <w:sz w:val="20"/>
          <w:szCs w:val="20"/>
        </w:rPr>
        <w:t>采购活动，提供的货</w:t>
      </w:r>
      <w:r>
        <w:rPr>
          <w:rFonts w:ascii="宋体" w:hAnsi="宋体" w:eastAsia="宋体" w:cs="宋体"/>
          <w:spacing w:val="18"/>
          <w:sz w:val="20"/>
          <w:szCs w:val="20"/>
        </w:rPr>
        <w:t>物全部由符合政策要求的中小企业制造。相关企业(含联合体中的中小企业、签订分包意向协</w:t>
      </w:r>
      <w:r>
        <w:rPr>
          <w:rFonts w:ascii="宋体" w:hAnsi="宋体" w:eastAsia="宋体" w:cs="宋体"/>
          <w:spacing w:val="10"/>
          <w:sz w:val="20"/>
          <w:szCs w:val="20"/>
        </w:rPr>
        <w:t>议的中小企业）的具体情况如下：</w:t>
      </w:r>
    </w:p>
    <w:p>
      <w:pPr>
        <w:pStyle w:val="4"/>
        <w:spacing w:line="268" w:lineRule="auto"/>
      </w:pPr>
    </w:p>
    <w:p>
      <w:pPr>
        <w:spacing w:before="65" w:line="463" w:lineRule="auto"/>
        <w:ind w:left="5" w:right="7" w:firstLine="532"/>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 xml:space="preserve"> (标的名称)</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w:t>
      </w:r>
      <w:r>
        <w:rPr>
          <w:rFonts w:ascii="宋体" w:hAnsi="宋体" w:eastAsia="宋体" w:cs="宋体"/>
          <w:spacing w:val="12"/>
          <w:sz w:val="20"/>
          <w:szCs w:val="20"/>
          <w:u w:val="single" w:color="auto"/>
        </w:rPr>
        <w:t>的所属行业)</w:t>
      </w:r>
      <w:r>
        <w:rPr>
          <w:rFonts w:ascii="宋体" w:hAnsi="宋体" w:eastAsia="宋体" w:cs="宋体"/>
          <w:spacing w:val="12"/>
          <w:sz w:val="20"/>
          <w:szCs w:val="20"/>
        </w:rPr>
        <w:t>行业，制造商为</w:t>
      </w:r>
      <w:r>
        <w:rPr>
          <w:rFonts w:ascii="宋体" w:hAnsi="宋体" w:eastAsia="宋体" w:cs="宋体"/>
          <w:spacing w:val="12"/>
          <w:sz w:val="20"/>
          <w:szCs w:val="20"/>
          <w:u w:val="single" w:color="auto"/>
        </w:rPr>
        <w:t>（企业名称)</w:t>
      </w:r>
      <w:r>
        <w:rPr>
          <w:rFonts w:ascii="宋体" w:hAnsi="宋体" w:eastAsia="宋体" w:cs="宋体"/>
          <w:spacing w:val="12"/>
          <w:sz w:val="20"/>
          <w:szCs w:val="20"/>
        </w:rPr>
        <w:t>，从业</w:t>
      </w:r>
      <w:r>
        <w:rPr>
          <w:rFonts w:ascii="宋体" w:hAnsi="宋体" w:eastAsia="宋体" w:cs="宋体"/>
          <w:spacing w:val="16"/>
          <w:sz w:val="20"/>
          <w:szCs w:val="20"/>
        </w:rPr>
        <w:t>人员</w:t>
      </w:r>
      <w:r>
        <w:rPr>
          <w:rFonts w:ascii="宋体" w:hAnsi="宋体" w:eastAsia="宋体" w:cs="宋体"/>
          <w:spacing w:val="-81"/>
          <w:sz w:val="20"/>
          <w:szCs w:val="20"/>
        </w:rPr>
        <w:t xml:space="preserve"> </w:t>
      </w:r>
      <w:r>
        <w:rPr>
          <w:rFonts w:ascii="宋体" w:hAnsi="宋体" w:eastAsia="宋体" w:cs="宋体"/>
          <w:spacing w:val="18"/>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6"/>
          <w:sz w:val="20"/>
          <w:szCs w:val="20"/>
        </w:rPr>
        <w:t>人，营业收入为</w:t>
      </w:r>
      <w:r>
        <w:rPr>
          <w:rFonts w:ascii="宋体" w:hAnsi="宋体" w:eastAsia="宋体" w:cs="宋体"/>
          <w:spacing w:val="-88"/>
          <w:sz w:val="20"/>
          <w:szCs w:val="20"/>
        </w:rPr>
        <w:t xml:space="preserve"> </w:t>
      </w:r>
      <w:r>
        <w:rPr>
          <w:rFonts w:ascii="宋体" w:hAnsi="宋体" w:eastAsia="宋体" w:cs="宋体"/>
          <w:spacing w:val="15"/>
          <w:sz w:val="20"/>
          <w:szCs w:val="20"/>
          <w:u w:val="single" w:color="auto"/>
        </w:rPr>
        <w:t xml:space="preserve">  </w:t>
      </w:r>
      <w:r>
        <w:rPr>
          <w:rFonts w:hint="eastAsia" w:ascii="宋体" w:hAnsi="宋体" w:eastAsia="宋体" w:cs="宋体"/>
          <w:spacing w:val="15"/>
          <w:sz w:val="20"/>
          <w:szCs w:val="20"/>
          <w:u w:val="single" w:color="auto"/>
          <w:lang w:val="en-US" w:eastAsia="zh-CN"/>
        </w:rPr>
        <w:t xml:space="preserve"> </w:t>
      </w:r>
      <w:r>
        <w:rPr>
          <w:rFonts w:ascii="宋体" w:hAnsi="宋体" w:eastAsia="宋体" w:cs="宋体"/>
          <w:spacing w:val="-86"/>
          <w:sz w:val="20"/>
          <w:szCs w:val="20"/>
        </w:rPr>
        <w:t xml:space="preserve"> </w:t>
      </w:r>
      <w:r>
        <w:rPr>
          <w:rFonts w:ascii="宋体" w:hAnsi="宋体" w:eastAsia="宋体" w:cs="宋体"/>
          <w:spacing w:val="16"/>
          <w:sz w:val="20"/>
          <w:szCs w:val="20"/>
        </w:rPr>
        <w:t>万元，资产总额为</w:t>
      </w:r>
      <w:r>
        <w:rPr>
          <w:rFonts w:ascii="宋体" w:hAnsi="宋体" w:eastAsia="宋体" w:cs="宋体"/>
          <w:spacing w:val="-91"/>
          <w:sz w:val="20"/>
          <w:szCs w:val="20"/>
        </w:rPr>
        <w:t xml:space="preserve"> </w:t>
      </w:r>
      <w:r>
        <w:rPr>
          <w:rFonts w:ascii="宋体" w:hAnsi="宋体" w:eastAsia="宋体" w:cs="宋体"/>
          <w:spacing w:val="1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6"/>
          <w:sz w:val="20"/>
          <w:szCs w:val="20"/>
        </w:rPr>
        <w:t>万元，按</w:t>
      </w:r>
      <w:r>
        <w:rPr>
          <w:rFonts w:hint="eastAsia" w:ascii="宋体" w:hAnsi="宋体" w:eastAsia="宋体" w:cs="宋体"/>
          <w:spacing w:val="16"/>
          <w:sz w:val="20"/>
          <w:szCs w:val="20"/>
          <w:lang w:val="en-US" w:eastAsia="zh-CN"/>
        </w:rPr>
        <w:t>招标</w:t>
      </w:r>
      <w:r>
        <w:rPr>
          <w:rFonts w:ascii="宋体" w:hAnsi="宋体" w:eastAsia="宋体" w:cs="宋体"/>
          <w:spacing w:val="16"/>
          <w:sz w:val="20"/>
          <w:szCs w:val="20"/>
        </w:rPr>
        <w:t>文件中明确的所属行业属于</w:t>
      </w:r>
      <w:r>
        <w:rPr>
          <w:rFonts w:ascii="宋体" w:hAnsi="宋体" w:eastAsia="宋体" w:cs="宋体"/>
          <w:spacing w:val="16"/>
          <w:sz w:val="20"/>
          <w:szCs w:val="20"/>
          <w:u w:val="single" w:color="auto"/>
        </w:rPr>
        <w:t xml:space="preserve"> </w:t>
      </w:r>
      <w:r>
        <w:rPr>
          <w:rFonts w:hint="eastAsia" w:ascii="宋体" w:hAnsi="宋体" w:eastAsia="宋体" w:cs="宋体"/>
          <w:spacing w:val="16"/>
          <w:sz w:val="20"/>
          <w:szCs w:val="20"/>
          <w:u w:val="single" w:color="auto"/>
          <w:lang w:val="en-US" w:eastAsia="zh-CN"/>
        </w:rPr>
        <w:t xml:space="preserve">      </w:t>
      </w:r>
      <w:r>
        <w:rPr>
          <w:rFonts w:ascii="宋体" w:hAnsi="宋体" w:eastAsia="宋体" w:cs="宋体"/>
          <w:spacing w:val="16"/>
          <w:sz w:val="20"/>
          <w:szCs w:val="20"/>
          <w:u w:val="single" w:color="auto"/>
        </w:rPr>
        <w:t>(</w:t>
      </w:r>
      <w:r>
        <w:rPr>
          <w:rFonts w:ascii="宋体" w:hAnsi="宋体" w:eastAsia="宋体" w:cs="宋体"/>
          <w:spacing w:val="17"/>
          <w:sz w:val="20"/>
          <w:szCs w:val="20"/>
          <w:u w:val="single" w:color="auto"/>
        </w:rPr>
        <w:t>中型企业、小型企业、微型企业</w:t>
      </w:r>
      <w:r>
        <w:rPr>
          <w:rFonts w:ascii="宋体" w:hAnsi="宋体" w:eastAsia="宋体" w:cs="宋体"/>
          <w:spacing w:val="21"/>
          <w:sz w:val="20"/>
          <w:szCs w:val="20"/>
          <w:u w:val="single" w:color="auto"/>
        </w:rPr>
        <w:t>）</w:t>
      </w:r>
      <w:r>
        <w:rPr>
          <w:rFonts w:ascii="宋体" w:hAnsi="宋体" w:eastAsia="宋体" w:cs="宋体"/>
          <w:spacing w:val="21"/>
          <w:sz w:val="20"/>
          <w:szCs w:val="20"/>
        </w:rPr>
        <w:t>；</w:t>
      </w:r>
    </w:p>
    <w:p>
      <w:pPr>
        <w:pStyle w:val="4"/>
        <w:spacing w:line="271" w:lineRule="auto"/>
      </w:pPr>
    </w:p>
    <w:p>
      <w:pPr>
        <w:spacing w:before="65" w:line="463" w:lineRule="auto"/>
        <w:ind w:left="5" w:firstLine="504"/>
        <w:jc w:val="both"/>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32"/>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13"/>
          <w:sz w:val="20"/>
          <w:szCs w:val="20"/>
          <w:u w:val="single" w:color="auto"/>
        </w:rPr>
        <w:t>(标的名称)</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pacing w:val="13"/>
          <w:sz w:val="20"/>
          <w:szCs w:val="20"/>
        </w:rPr>
        <w:t>行业， 制造商为</w:t>
      </w:r>
      <w:r>
        <w:rPr>
          <w:rFonts w:ascii="宋体" w:hAnsi="宋体" w:eastAsia="宋体" w:cs="宋体"/>
          <w:spacing w:val="13"/>
          <w:sz w:val="20"/>
          <w:szCs w:val="20"/>
          <w:u w:val="single" w:color="auto"/>
        </w:rPr>
        <w:t>（企业名称</w:t>
      </w:r>
      <w:r>
        <w:rPr>
          <w:rFonts w:ascii="宋体" w:hAnsi="宋体" w:eastAsia="宋体" w:cs="宋体"/>
          <w:spacing w:val="12"/>
          <w:sz w:val="20"/>
          <w:szCs w:val="20"/>
          <w:u w:val="single" w:color="auto"/>
        </w:rPr>
        <w:t>)</w:t>
      </w:r>
      <w:r>
        <w:rPr>
          <w:rFonts w:ascii="宋体" w:hAnsi="宋体" w:eastAsia="宋体" w:cs="宋体"/>
          <w:spacing w:val="12"/>
          <w:sz w:val="20"/>
          <w:szCs w:val="20"/>
        </w:rPr>
        <w:t>，从业</w:t>
      </w:r>
      <w:r>
        <w:rPr>
          <w:rFonts w:ascii="宋体" w:hAnsi="宋体" w:eastAsia="宋体" w:cs="宋体"/>
          <w:spacing w:val="17"/>
          <w:sz w:val="20"/>
          <w:szCs w:val="20"/>
        </w:rPr>
        <w:t>人员</w:t>
      </w:r>
      <w:r>
        <w:rPr>
          <w:rFonts w:ascii="宋体" w:hAnsi="宋体" w:eastAsia="宋体" w:cs="宋体"/>
          <w:spacing w:val="-89"/>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7"/>
          <w:sz w:val="20"/>
          <w:szCs w:val="20"/>
        </w:rPr>
        <w:t>人，营业收入为</w:t>
      </w:r>
      <w:r>
        <w:rPr>
          <w:rFonts w:ascii="宋体" w:hAnsi="宋体" w:eastAsia="宋体" w:cs="宋体"/>
          <w:spacing w:val="-91"/>
          <w:sz w:val="20"/>
          <w:szCs w:val="20"/>
        </w:rPr>
        <w:t xml:space="preserve"> </w:t>
      </w:r>
      <w:r>
        <w:rPr>
          <w:rFonts w:ascii="宋体" w:hAnsi="宋体" w:eastAsia="宋体" w:cs="宋体"/>
          <w:spacing w:val="14"/>
          <w:sz w:val="20"/>
          <w:szCs w:val="20"/>
          <w:u w:val="single" w:color="auto"/>
        </w:rPr>
        <w:t xml:space="preserve">  </w:t>
      </w:r>
      <w:r>
        <w:rPr>
          <w:rFonts w:hint="eastAsia" w:ascii="宋体" w:hAnsi="宋体" w:eastAsia="宋体" w:cs="宋体"/>
          <w:spacing w:val="14"/>
          <w:sz w:val="20"/>
          <w:szCs w:val="20"/>
          <w:u w:val="single" w:color="auto"/>
          <w:lang w:val="en-US" w:eastAsia="zh-CN"/>
        </w:rPr>
        <w:t xml:space="preserve"> </w:t>
      </w:r>
      <w:r>
        <w:rPr>
          <w:rFonts w:ascii="宋体" w:hAnsi="宋体" w:eastAsia="宋体" w:cs="宋体"/>
          <w:spacing w:val="-86"/>
          <w:sz w:val="20"/>
          <w:szCs w:val="20"/>
        </w:rPr>
        <w:t xml:space="preserve"> </w:t>
      </w:r>
      <w:r>
        <w:rPr>
          <w:rFonts w:ascii="宋体" w:hAnsi="宋体" w:eastAsia="宋体" w:cs="宋体"/>
          <w:spacing w:val="17"/>
          <w:sz w:val="20"/>
          <w:szCs w:val="20"/>
        </w:rPr>
        <w:t>万元，资产总额为</w:t>
      </w:r>
      <w:r>
        <w:rPr>
          <w:rFonts w:ascii="宋体" w:hAnsi="宋体" w:eastAsia="宋体" w:cs="宋体"/>
          <w:spacing w:val="-91"/>
          <w:sz w:val="20"/>
          <w:szCs w:val="20"/>
        </w:rPr>
        <w:t xml:space="preserve"> </w:t>
      </w:r>
      <w:r>
        <w:rPr>
          <w:rFonts w:ascii="宋体" w:hAnsi="宋体" w:eastAsia="宋体" w:cs="宋体"/>
          <w:spacing w:val="1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7"/>
          <w:sz w:val="20"/>
          <w:szCs w:val="20"/>
        </w:rPr>
        <w:t>万元，按</w:t>
      </w:r>
      <w:r>
        <w:rPr>
          <w:rFonts w:hint="eastAsia" w:ascii="宋体" w:hAnsi="宋体" w:eastAsia="宋体" w:cs="宋体"/>
          <w:spacing w:val="17"/>
          <w:sz w:val="20"/>
          <w:szCs w:val="20"/>
          <w:lang w:val="en-US" w:eastAsia="zh-CN"/>
        </w:rPr>
        <w:t>招标</w:t>
      </w:r>
      <w:r>
        <w:rPr>
          <w:rFonts w:ascii="宋体" w:hAnsi="宋体" w:eastAsia="宋体" w:cs="宋体"/>
          <w:spacing w:val="16"/>
          <w:sz w:val="20"/>
          <w:szCs w:val="20"/>
        </w:rPr>
        <w:t>文件中明确的所属行业属于</w:t>
      </w:r>
      <w:r>
        <w:rPr>
          <w:rFonts w:hint="eastAsia" w:ascii="宋体" w:hAnsi="宋体" w:eastAsia="宋体" w:cs="宋体"/>
          <w:spacing w:val="16"/>
          <w:sz w:val="20"/>
          <w:szCs w:val="20"/>
          <w:u w:val="single"/>
          <w:lang w:val="en-US" w:eastAsia="zh-CN"/>
        </w:rPr>
        <w:t xml:space="preserve">     </w:t>
      </w:r>
      <w:r>
        <w:rPr>
          <w:rFonts w:ascii="宋体" w:hAnsi="宋体" w:eastAsia="宋体" w:cs="宋体"/>
          <w:spacing w:val="16"/>
          <w:sz w:val="20"/>
          <w:szCs w:val="20"/>
          <w:u w:val="single" w:color="auto"/>
        </w:rPr>
        <w:t>（中</w:t>
      </w:r>
      <w:r>
        <w:rPr>
          <w:rFonts w:ascii="宋体" w:hAnsi="宋体" w:eastAsia="宋体" w:cs="宋体"/>
          <w:spacing w:val="17"/>
          <w:sz w:val="20"/>
          <w:szCs w:val="20"/>
          <w:u w:val="single" w:color="auto"/>
        </w:rPr>
        <w:t>型企业、小型企业、微型企业</w:t>
      </w:r>
      <w:r>
        <w:rPr>
          <w:rFonts w:ascii="宋体" w:hAnsi="宋体" w:eastAsia="宋体" w:cs="宋体"/>
          <w:spacing w:val="19"/>
          <w:sz w:val="20"/>
          <w:szCs w:val="20"/>
          <w:u w:val="single" w:color="auto"/>
        </w:rPr>
        <w:t>）</w:t>
      </w:r>
      <w:r>
        <w:rPr>
          <w:rFonts w:ascii="宋体" w:hAnsi="宋体" w:eastAsia="宋体" w:cs="宋体"/>
          <w:spacing w:val="19"/>
          <w:sz w:val="20"/>
          <w:szCs w:val="20"/>
        </w:rPr>
        <w:t>；</w:t>
      </w:r>
    </w:p>
    <w:p>
      <w:pPr>
        <w:pStyle w:val="4"/>
        <w:spacing w:line="330" w:lineRule="auto"/>
      </w:pPr>
    </w:p>
    <w:p>
      <w:pPr>
        <w:spacing w:before="65" w:line="324" w:lineRule="exact"/>
        <w:ind w:left="535"/>
        <w:rPr>
          <w:rFonts w:ascii="宋体" w:hAnsi="宋体" w:eastAsia="宋体" w:cs="宋体"/>
          <w:sz w:val="20"/>
          <w:szCs w:val="20"/>
        </w:rPr>
      </w:pPr>
      <w:r>
        <w:rPr>
          <w:rFonts w:ascii="宋体" w:hAnsi="宋体" w:eastAsia="宋体" w:cs="宋体"/>
          <w:spacing w:val="-5"/>
          <w:position w:val="2"/>
          <w:sz w:val="20"/>
          <w:szCs w:val="20"/>
        </w:rPr>
        <w:t>……</w:t>
      </w:r>
    </w:p>
    <w:p>
      <w:pPr>
        <w:spacing w:before="202" w:line="528" w:lineRule="auto"/>
        <w:ind w:left="5" w:right="213" w:firstLine="481"/>
        <w:rPr>
          <w:rFonts w:ascii="宋体" w:hAnsi="宋体" w:eastAsia="宋体" w:cs="宋体"/>
          <w:sz w:val="20"/>
          <w:szCs w:val="20"/>
        </w:rPr>
      </w:pPr>
      <w:r>
        <w:rPr>
          <w:rFonts w:ascii="宋体" w:hAnsi="宋体" w:eastAsia="宋体" w:cs="宋体"/>
          <w:spacing w:val="19"/>
          <w:sz w:val="20"/>
          <w:szCs w:val="20"/>
        </w:rPr>
        <w:t>以上企业，不属于大企业的分支机构，不存在控股股东为大企业的情形，</w:t>
      </w:r>
      <w:r>
        <w:rPr>
          <w:rFonts w:ascii="宋体" w:hAnsi="宋体" w:eastAsia="宋体" w:cs="宋体"/>
          <w:spacing w:val="18"/>
          <w:sz w:val="20"/>
          <w:szCs w:val="20"/>
        </w:rPr>
        <w:t>也不存在与大</w:t>
      </w:r>
      <w:r>
        <w:rPr>
          <w:rFonts w:ascii="宋体" w:hAnsi="宋体" w:eastAsia="宋体" w:cs="宋体"/>
          <w:spacing w:val="16"/>
          <w:sz w:val="20"/>
          <w:szCs w:val="20"/>
        </w:rPr>
        <w:t>企业的负责人为同一人的情形。</w:t>
      </w:r>
    </w:p>
    <w:p>
      <w:pPr>
        <w:pStyle w:val="4"/>
        <w:spacing w:line="248" w:lineRule="auto"/>
      </w:pPr>
    </w:p>
    <w:p>
      <w:pPr>
        <w:spacing w:before="65" w:line="227" w:lineRule="auto"/>
        <w:ind w:left="506"/>
        <w:rPr>
          <w:rFonts w:ascii="宋体" w:hAnsi="宋体" w:eastAsia="宋体" w:cs="宋体"/>
          <w:sz w:val="20"/>
          <w:szCs w:val="20"/>
        </w:rPr>
      </w:pPr>
      <w:r>
        <w:rPr>
          <w:rFonts w:ascii="宋体" w:hAnsi="宋体" w:eastAsia="宋体" w:cs="宋体"/>
          <w:spacing w:val="18"/>
          <w:sz w:val="20"/>
          <w:szCs w:val="20"/>
        </w:rPr>
        <w:t>本企业对上述声明内容的真实性负责</w:t>
      </w:r>
      <w:r>
        <w:rPr>
          <w:rFonts w:ascii="宋体" w:hAnsi="宋体" w:eastAsia="宋体" w:cs="宋体"/>
          <w:spacing w:val="-49"/>
          <w:sz w:val="20"/>
          <w:szCs w:val="20"/>
        </w:rPr>
        <w:t xml:space="preserve"> </w:t>
      </w:r>
      <w:r>
        <w:rPr>
          <w:rFonts w:ascii="宋体" w:hAnsi="宋体" w:eastAsia="宋体" w:cs="宋体"/>
          <w:spacing w:val="18"/>
          <w:sz w:val="20"/>
          <w:szCs w:val="20"/>
        </w:rPr>
        <w:t>。如有虚假，将依法承担相应责任。</w:t>
      </w:r>
    </w:p>
    <w:p>
      <w:pPr>
        <w:pStyle w:val="4"/>
        <w:spacing w:line="342" w:lineRule="auto"/>
      </w:pPr>
    </w:p>
    <w:p>
      <w:pPr>
        <w:pStyle w:val="4"/>
        <w:spacing w:line="343" w:lineRule="auto"/>
      </w:pPr>
    </w:p>
    <w:p>
      <w:pPr>
        <w:spacing w:before="66" w:line="227" w:lineRule="auto"/>
        <w:ind w:left="4545"/>
        <w:rPr>
          <w:rFonts w:ascii="宋体" w:hAnsi="宋体" w:eastAsia="宋体" w:cs="宋体"/>
          <w:sz w:val="20"/>
          <w:szCs w:val="20"/>
        </w:rPr>
      </w:pPr>
      <w:r>
        <w:rPr>
          <w:rFonts w:ascii="宋体" w:hAnsi="宋体" w:eastAsia="宋体" w:cs="宋体"/>
          <w:sz w:val="20"/>
          <w:szCs w:val="20"/>
        </w:rPr>
        <w:t>企</w:t>
      </w:r>
      <w:r>
        <w:rPr>
          <w:rFonts w:ascii="宋体" w:hAnsi="宋体" w:eastAsia="宋体" w:cs="宋体"/>
          <w:spacing w:val="-36"/>
          <w:sz w:val="20"/>
          <w:szCs w:val="20"/>
        </w:rPr>
        <w:t xml:space="preserve"> </w:t>
      </w:r>
      <w:r>
        <w:rPr>
          <w:rFonts w:ascii="宋体" w:hAnsi="宋体" w:eastAsia="宋体" w:cs="宋体"/>
          <w:sz w:val="20"/>
          <w:szCs w:val="20"/>
        </w:rPr>
        <w:t>业</w:t>
      </w:r>
      <w:r>
        <w:rPr>
          <w:rFonts w:ascii="宋体" w:hAnsi="宋体" w:eastAsia="宋体" w:cs="宋体"/>
          <w:spacing w:val="-32"/>
          <w:sz w:val="20"/>
          <w:szCs w:val="20"/>
        </w:rPr>
        <w:t xml:space="preserve"> </w:t>
      </w:r>
      <w:r>
        <w:rPr>
          <w:rFonts w:ascii="宋体" w:hAnsi="宋体" w:eastAsia="宋体" w:cs="宋体"/>
          <w:sz w:val="20"/>
          <w:szCs w:val="20"/>
        </w:rPr>
        <w:t>名</w:t>
      </w:r>
      <w:r>
        <w:rPr>
          <w:rFonts w:ascii="宋体" w:hAnsi="宋体" w:eastAsia="宋体" w:cs="宋体"/>
          <w:spacing w:val="-38"/>
          <w:sz w:val="20"/>
          <w:szCs w:val="20"/>
        </w:rPr>
        <w:t xml:space="preserve"> </w:t>
      </w:r>
      <w:r>
        <w:rPr>
          <w:rFonts w:ascii="宋体" w:hAnsi="宋体" w:eastAsia="宋体" w:cs="宋体"/>
          <w:sz w:val="20"/>
          <w:szCs w:val="20"/>
        </w:rPr>
        <w:t>称</w:t>
      </w:r>
      <w:r>
        <w:rPr>
          <w:rFonts w:ascii="宋体" w:hAnsi="宋体" w:eastAsia="宋体" w:cs="宋体"/>
          <w:spacing w:val="-49"/>
          <w:sz w:val="20"/>
          <w:szCs w:val="20"/>
        </w:rPr>
        <w:t xml:space="preserve"> </w:t>
      </w:r>
      <w:r>
        <w:rPr>
          <w:rFonts w:ascii="宋体" w:hAnsi="宋体" w:eastAsia="宋体" w:cs="宋体"/>
          <w:sz w:val="20"/>
          <w:szCs w:val="20"/>
        </w:rPr>
        <w:t>（盖</w:t>
      </w:r>
      <w:r>
        <w:rPr>
          <w:rFonts w:ascii="宋体" w:hAnsi="宋体" w:eastAsia="宋体" w:cs="宋体"/>
          <w:spacing w:val="-20"/>
          <w:sz w:val="20"/>
          <w:szCs w:val="20"/>
        </w:rPr>
        <w:t xml:space="preserve"> </w:t>
      </w:r>
      <w:r>
        <w:rPr>
          <w:rFonts w:ascii="宋体" w:hAnsi="宋体" w:eastAsia="宋体" w:cs="宋体"/>
          <w:sz w:val="20"/>
          <w:szCs w:val="20"/>
        </w:rPr>
        <w:t>章</w:t>
      </w:r>
      <w:r>
        <w:rPr>
          <w:rFonts w:ascii="宋体" w:hAnsi="宋体" w:eastAsia="宋体" w:cs="宋体"/>
          <w:spacing w:val="-53"/>
          <w:sz w:val="20"/>
          <w:szCs w:val="20"/>
        </w:rPr>
        <w:t xml:space="preserve"> </w:t>
      </w:r>
      <w:r>
        <w:rPr>
          <w:rFonts w:ascii="宋体" w:hAnsi="宋体" w:eastAsia="宋体" w:cs="宋体"/>
          <w:sz w:val="20"/>
          <w:szCs w:val="20"/>
        </w:rPr>
        <w:t>）</w:t>
      </w:r>
    </w:p>
    <w:p>
      <w:pPr>
        <w:pStyle w:val="4"/>
        <w:spacing w:line="430" w:lineRule="auto"/>
      </w:pPr>
    </w:p>
    <w:p>
      <w:pPr>
        <w:spacing w:before="66" w:line="228" w:lineRule="auto"/>
        <w:ind w:left="4638"/>
        <w:rPr>
          <w:rFonts w:ascii="宋体" w:hAnsi="宋体" w:eastAsia="宋体" w:cs="宋体"/>
          <w:sz w:val="20"/>
          <w:szCs w:val="20"/>
        </w:rPr>
      </w:pPr>
      <w:r>
        <w:rPr>
          <w:rFonts w:ascii="宋体" w:hAnsi="宋体" w:eastAsia="宋体" w:cs="宋体"/>
          <w:spacing w:val="-15"/>
          <w:sz w:val="20"/>
          <w:szCs w:val="20"/>
        </w:rPr>
        <w:t>日</w:t>
      </w:r>
      <w:r>
        <w:rPr>
          <w:rFonts w:hint="eastAsia" w:ascii="宋体" w:hAnsi="宋体" w:eastAsia="宋体" w:cs="宋体"/>
          <w:spacing w:val="-15"/>
          <w:sz w:val="20"/>
          <w:szCs w:val="20"/>
          <w:lang w:val="en-US" w:eastAsia="zh-CN"/>
        </w:rPr>
        <w:t xml:space="preserve"> </w:t>
      </w:r>
      <w:r>
        <w:rPr>
          <w:rFonts w:ascii="宋体" w:hAnsi="宋体" w:eastAsia="宋体" w:cs="宋体"/>
          <w:spacing w:val="-15"/>
          <w:sz w:val="20"/>
          <w:szCs w:val="20"/>
        </w:rPr>
        <w:t>期：</w:t>
      </w:r>
    </w:p>
    <w:p>
      <w:pPr>
        <w:pStyle w:val="4"/>
        <w:spacing w:line="263" w:lineRule="auto"/>
      </w:pPr>
    </w:p>
    <w:p>
      <w:pPr>
        <w:pStyle w:val="4"/>
        <w:spacing w:line="264" w:lineRule="auto"/>
      </w:pPr>
    </w:p>
    <w:p>
      <w:pPr>
        <w:pStyle w:val="4"/>
        <w:spacing w:line="264" w:lineRule="auto"/>
      </w:pPr>
    </w:p>
    <w:p>
      <w:pPr>
        <w:pStyle w:val="4"/>
        <w:spacing w:line="264" w:lineRule="auto"/>
      </w:pPr>
    </w:p>
    <w:p>
      <w:pPr>
        <w:pStyle w:val="4"/>
        <w:spacing w:line="264" w:lineRule="auto"/>
      </w:pPr>
    </w:p>
    <w:p>
      <w:pPr>
        <w:spacing w:before="65" w:line="233" w:lineRule="auto"/>
        <w:ind w:right="141" w:firstLine="1"/>
        <w:rPr>
          <w:rFonts w:ascii="宋体" w:hAnsi="宋体" w:eastAsia="宋体" w:cs="宋体"/>
          <w:sz w:val="20"/>
          <w:szCs w:val="20"/>
        </w:rPr>
      </w:pPr>
      <w:r>
        <w:rPr>
          <w:rFonts w:ascii="宋体" w:hAnsi="宋体" w:eastAsia="宋体" w:cs="宋体"/>
          <w:spacing w:val="9"/>
          <w:sz w:val="20"/>
          <w:szCs w:val="20"/>
        </w:rPr>
        <w:t>注：1、从业人员、营业收入、资产总额填报上一年度</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2024年）</w:t>
      </w:r>
      <w:r>
        <w:rPr>
          <w:rFonts w:ascii="宋体" w:hAnsi="宋体" w:eastAsia="宋体" w:cs="宋体"/>
          <w:spacing w:val="9"/>
          <w:sz w:val="20"/>
          <w:szCs w:val="20"/>
        </w:rPr>
        <w:t>数据，无上</w:t>
      </w:r>
      <w:r>
        <w:rPr>
          <w:rFonts w:ascii="宋体" w:hAnsi="宋体" w:eastAsia="宋体" w:cs="宋体"/>
          <w:spacing w:val="8"/>
          <w:sz w:val="20"/>
          <w:szCs w:val="20"/>
        </w:rPr>
        <w:t>一年度数据的新成立企业可不填</w:t>
      </w:r>
      <w:r>
        <w:rPr>
          <w:rFonts w:ascii="宋体" w:hAnsi="宋体" w:eastAsia="宋体" w:cs="宋体"/>
          <w:spacing w:val="1"/>
          <w:sz w:val="20"/>
          <w:szCs w:val="20"/>
        </w:rPr>
        <w:t>报。</w:t>
      </w:r>
    </w:p>
    <w:p>
      <w:pPr>
        <w:spacing w:line="233" w:lineRule="auto"/>
        <w:rPr>
          <w:rFonts w:ascii="宋体" w:hAnsi="宋体" w:eastAsia="宋体" w:cs="宋体"/>
          <w:sz w:val="20"/>
          <w:szCs w:val="20"/>
        </w:rPr>
        <w:sectPr>
          <w:pgSz w:w="11905" w:h="16837"/>
          <w:pgMar w:top="1440" w:right="1080" w:bottom="1440" w:left="1080" w:header="1077" w:footer="567" w:gutter="0"/>
          <w:pgNumType w:fmt="decimal"/>
          <w:cols w:space="720" w:num="1"/>
        </w:sectPr>
      </w:pPr>
    </w:p>
    <w:p>
      <w:pPr>
        <w:spacing w:before="60" w:line="219" w:lineRule="auto"/>
        <w:ind w:left="1616"/>
        <w:rPr>
          <w:rFonts w:ascii="宋体" w:hAnsi="宋体" w:eastAsia="宋体" w:cs="宋体"/>
          <w:sz w:val="24"/>
          <w:szCs w:val="24"/>
        </w:rPr>
      </w:pPr>
      <w:r>
        <w:rPr>
          <w:rFonts w:ascii="宋体" w:hAnsi="宋体" w:eastAsia="宋体" w:cs="宋体"/>
          <w:b/>
          <w:bCs/>
          <w:spacing w:val="1"/>
          <w:sz w:val="30"/>
          <w:szCs w:val="30"/>
        </w:rPr>
        <w:t>残疾人福利性单位声明函</w:t>
      </w:r>
      <w:r>
        <w:rPr>
          <w:rFonts w:ascii="宋体" w:hAnsi="宋体" w:eastAsia="宋体" w:cs="宋体"/>
          <w:spacing w:val="1"/>
          <w:sz w:val="24"/>
          <w:szCs w:val="24"/>
        </w:rPr>
        <w:t>（如符合条件时填写）</w:t>
      </w:r>
    </w:p>
    <w:p>
      <w:pPr>
        <w:pStyle w:val="4"/>
        <w:spacing w:line="305" w:lineRule="auto"/>
      </w:pPr>
    </w:p>
    <w:p>
      <w:pPr>
        <w:pStyle w:val="4"/>
        <w:spacing w:line="305" w:lineRule="auto"/>
      </w:pPr>
    </w:p>
    <w:p>
      <w:pPr>
        <w:pStyle w:val="4"/>
        <w:spacing w:line="305" w:lineRule="auto"/>
      </w:pPr>
    </w:p>
    <w:p>
      <w:pPr>
        <w:spacing w:before="65" w:line="468" w:lineRule="auto"/>
        <w:ind w:firstLine="507"/>
        <w:jc w:val="both"/>
        <w:rPr>
          <w:rFonts w:ascii="宋体" w:hAnsi="宋体" w:eastAsia="宋体" w:cs="宋体"/>
          <w:sz w:val="20"/>
          <w:szCs w:val="20"/>
        </w:rPr>
      </w:pPr>
      <w:r>
        <w:rPr>
          <w:rFonts w:ascii="宋体" w:hAnsi="宋体" w:eastAsia="宋体" w:cs="宋体"/>
          <w:spacing w:val="18"/>
          <w:sz w:val="20"/>
          <w:szCs w:val="20"/>
        </w:rPr>
        <w:t>本单位郑重声明，根据《财政部民政部中国残疾人联合会关于</w:t>
      </w:r>
      <w:r>
        <w:rPr>
          <w:rFonts w:ascii="宋体" w:hAnsi="宋体" w:eastAsia="宋体" w:cs="宋体"/>
          <w:spacing w:val="17"/>
          <w:sz w:val="20"/>
          <w:szCs w:val="20"/>
        </w:rPr>
        <w:t>促进残疾人就业政府采购政</w:t>
      </w:r>
      <w:r>
        <w:rPr>
          <w:rFonts w:ascii="宋体" w:hAnsi="宋体" w:eastAsia="宋体" w:cs="宋体"/>
          <w:spacing w:val="16"/>
          <w:sz w:val="20"/>
          <w:szCs w:val="20"/>
        </w:rPr>
        <w:t>策的通知》</w:t>
      </w:r>
      <w:r>
        <w:rPr>
          <w:rFonts w:ascii="宋体" w:hAnsi="宋体" w:eastAsia="宋体" w:cs="宋体"/>
          <w:spacing w:val="-26"/>
          <w:sz w:val="20"/>
          <w:szCs w:val="20"/>
        </w:rPr>
        <w:t xml:space="preserve"> </w:t>
      </w:r>
      <w:r>
        <w:rPr>
          <w:rFonts w:ascii="宋体" w:hAnsi="宋体" w:eastAsia="宋体" w:cs="宋体"/>
          <w:spacing w:val="16"/>
          <w:sz w:val="20"/>
          <w:szCs w:val="20"/>
        </w:rPr>
        <w:t>（财库〔2017〕</w:t>
      </w:r>
      <w:r>
        <w:rPr>
          <w:rFonts w:ascii="宋体" w:hAnsi="宋体" w:eastAsia="宋体" w:cs="宋体"/>
          <w:spacing w:val="-35"/>
          <w:sz w:val="20"/>
          <w:szCs w:val="20"/>
        </w:rPr>
        <w:t xml:space="preserve"> </w:t>
      </w:r>
      <w:r>
        <w:rPr>
          <w:rFonts w:ascii="宋体" w:hAnsi="宋体" w:eastAsia="宋体" w:cs="宋体"/>
          <w:spacing w:val="16"/>
          <w:sz w:val="20"/>
          <w:szCs w:val="20"/>
        </w:rPr>
        <w:t>141 号</w:t>
      </w:r>
      <w:r>
        <w:rPr>
          <w:rFonts w:hint="eastAsia" w:ascii="宋体" w:hAnsi="宋体" w:eastAsia="宋体" w:cs="宋体"/>
          <w:spacing w:val="16"/>
          <w:sz w:val="20"/>
          <w:szCs w:val="20"/>
          <w:lang w:eastAsia="zh-CN"/>
        </w:rPr>
        <w:t>）</w:t>
      </w:r>
      <w:r>
        <w:rPr>
          <w:rFonts w:ascii="宋体" w:hAnsi="宋体" w:eastAsia="宋体" w:cs="宋体"/>
          <w:spacing w:val="16"/>
          <w:sz w:val="20"/>
          <w:szCs w:val="20"/>
        </w:rPr>
        <w:t>的规定，本单位为符合条件的残疾人福利性单位</w:t>
      </w:r>
      <w:r>
        <w:rPr>
          <w:rFonts w:ascii="宋体" w:hAnsi="宋体" w:eastAsia="宋体" w:cs="宋体"/>
          <w:spacing w:val="-58"/>
          <w:sz w:val="20"/>
          <w:szCs w:val="20"/>
        </w:rPr>
        <w:t xml:space="preserve"> </w:t>
      </w:r>
      <w:r>
        <w:rPr>
          <w:rFonts w:ascii="宋体" w:hAnsi="宋体" w:eastAsia="宋体" w:cs="宋体"/>
          <w:spacing w:val="15"/>
          <w:sz w:val="20"/>
          <w:szCs w:val="20"/>
        </w:rPr>
        <w:t>，且本</w:t>
      </w:r>
      <w:r>
        <w:rPr>
          <w:rFonts w:ascii="宋体" w:hAnsi="宋体" w:eastAsia="宋体" w:cs="宋体"/>
          <w:spacing w:val="18"/>
          <w:sz w:val="20"/>
          <w:szCs w:val="20"/>
        </w:rPr>
        <w:t>单位参加</w:t>
      </w:r>
      <w:r>
        <w:rPr>
          <w:rFonts w:ascii="宋体" w:hAnsi="宋体" w:eastAsia="宋体" w:cs="宋体"/>
          <w:spacing w:val="-78"/>
          <w:sz w:val="20"/>
          <w:szCs w:val="20"/>
        </w:rPr>
        <w:t xml:space="preserve"> </w:t>
      </w:r>
      <w:r>
        <w:rPr>
          <w:rFonts w:ascii="宋体" w:hAnsi="宋体" w:eastAsia="宋体" w:cs="宋体"/>
          <w:spacing w:val="10"/>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8"/>
          <w:sz w:val="20"/>
          <w:szCs w:val="20"/>
        </w:rPr>
        <w:t>单位的</w:t>
      </w:r>
      <w:r>
        <w:rPr>
          <w:rFonts w:ascii="宋体" w:hAnsi="宋体" w:eastAsia="宋体" w:cs="宋体"/>
          <w:spacing w:val="-88"/>
          <w:sz w:val="20"/>
          <w:szCs w:val="20"/>
        </w:rPr>
        <w:t xml:space="preserve"> </w:t>
      </w:r>
      <w:r>
        <w:rPr>
          <w:rFonts w:ascii="宋体" w:hAnsi="宋体" w:eastAsia="宋体" w:cs="宋体"/>
          <w:spacing w:val="10"/>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8"/>
          <w:sz w:val="20"/>
          <w:szCs w:val="20"/>
        </w:rPr>
        <w:t>项目采购活动提供本单位制造的货物（</w:t>
      </w:r>
      <w:r>
        <w:rPr>
          <w:rFonts w:ascii="宋体" w:hAnsi="宋体" w:eastAsia="宋体" w:cs="宋体"/>
          <w:spacing w:val="-22"/>
          <w:sz w:val="20"/>
          <w:szCs w:val="20"/>
        </w:rPr>
        <w:t xml:space="preserve"> </w:t>
      </w:r>
      <w:r>
        <w:rPr>
          <w:rFonts w:ascii="宋体" w:hAnsi="宋体" w:eastAsia="宋体" w:cs="宋体"/>
          <w:spacing w:val="18"/>
          <w:sz w:val="20"/>
          <w:szCs w:val="20"/>
        </w:rPr>
        <w:t>由本单位承担工程/提供</w:t>
      </w:r>
      <w:r>
        <w:rPr>
          <w:rFonts w:ascii="宋体" w:hAnsi="宋体" w:eastAsia="宋体" w:cs="宋体"/>
          <w:spacing w:val="24"/>
          <w:sz w:val="20"/>
          <w:szCs w:val="20"/>
        </w:rPr>
        <w:t>服务</w:t>
      </w:r>
      <w:r>
        <w:rPr>
          <w:rFonts w:ascii="宋体" w:hAnsi="宋体" w:eastAsia="宋体" w:cs="宋体"/>
          <w:spacing w:val="-2"/>
          <w:sz w:val="20"/>
          <w:szCs w:val="20"/>
        </w:rPr>
        <w:t>）</w:t>
      </w:r>
      <w:r>
        <w:rPr>
          <w:rFonts w:ascii="宋体" w:hAnsi="宋体" w:eastAsia="宋体" w:cs="宋体"/>
          <w:spacing w:val="4"/>
          <w:sz w:val="20"/>
          <w:szCs w:val="20"/>
        </w:rPr>
        <w:t xml:space="preserve"> </w:t>
      </w:r>
      <w:r>
        <w:rPr>
          <w:rFonts w:ascii="宋体" w:hAnsi="宋体" w:eastAsia="宋体" w:cs="宋体"/>
          <w:spacing w:val="-2"/>
          <w:sz w:val="20"/>
          <w:szCs w:val="20"/>
        </w:rPr>
        <w:t>，</w:t>
      </w:r>
      <w:r>
        <w:rPr>
          <w:rFonts w:ascii="宋体" w:hAnsi="宋体" w:eastAsia="宋体" w:cs="宋体"/>
          <w:spacing w:val="24"/>
          <w:sz w:val="20"/>
          <w:szCs w:val="20"/>
        </w:rPr>
        <w:t>或者提供其他残疾人福利性单位制造的货物</w:t>
      </w:r>
      <w:r>
        <w:rPr>
          <w:rFonts w:ascii="宋体" w:hAnsi="宋体" w:eastAsia="宋体" w:cs="宋体"/>
          <w:spacing w:val="23"/>
          <w:sz w:val="20"/>
          <w:szCs w:val="20"/>
        </w:rPr>
        <w:t>（不包括使用非残疾人福利性单位注册</w:t>
      </w:r>
      <w:r>
        <w:rPr>
          <w:rFonts w:ascii="宋体" w:hAnsi="宋体" w:eastAsia="宋体" w:cs="宋体"/>
          <w:spacing w:val="16"/>
          <w:sz w:val="20"/>
          <w:szCs w:val="20"/>
        </w:rPr>
        <w:t>商标的货物）。</w:t>
      </w:r>
    </w:p>
    <w:p>
      <w:pPr>
        <w:pStyle w:val="4"/>
        <w:spacing w:line="249" w:lineRule="auto"/>
      </w:pPr>
    </w:p>
    <w:p>
      <w:pPr>
        <w:spacing w:before="65" w:line="227" w:lineRule="auto"/>
        <w:ind w:left="507"/>
        <w:rPr>
          <w:rFonts w:ascii="宋体" w:hAnsi="宋体" w:eastAsia="宋体" w:cs="宋体"/>
          <w:sz w:val="20"/>
          <w:szCs w:val="20"/>
        </w:rPr>
      </w:pPr>
      <w:r>
        <w:rPr>
          <w:rFonts w:ascii="宋体" w:hAnsi="宋体" w:eastAsia="宋体" w:cs="宋体"/>
          <w:spacing w:val="18"/>
          <w:sz w:val="20"/>
          <w:szCs w:val="20"/>
        </w:rPr>
        <w:t>本单位对上述声明的真实性负责</w:t>
      </w:r>
      <w:r>
        <w:rPr>
          <w:rFonts w:ascii="宋体" w:hAnsi="宋体" w:eastAsia="宋体" w:cs="宋体"/>
          <w:spacing w:val="-57"/>
          <w:sz w:val="20"/>
          <w:szCs w:val="20"/>
        </w:rPr>
        <w:t xml:space="preserve"> </w:t>
      </w:r>
      <w:r>
        <w:rPr>
          <w:rFonts w:ascii="宋体" w:hAnsi="宋体" w:eastAsia="宋体" w:cs="宋体"/>
          <w:spacing w:val="18"/>
          <w:sz w:val="20"/>
          <w:szCs w:val="20"/>
        </w:rPr>
        <w:t>。如有虚假，将依法承担相应责任。</w:t>
      </w: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4" w:lineRule="auto"/>
      </w:pPr>
    </w:p>
    <w:p>
      <w:pPr>
        <w:spacing w:before="65" w:line="227" w:lineRule="auto"/>
        <w:ind w:left="1"/>
        <w:rPr>
          <w:rFonts w:ascii="宋体" w:hAnsi="宋体" w:eastAsia="宋体" w:cs="宋体"/>
          <w:sz w:val="20"/>
          <w:szCs w:val="20"/>
        </w:rPr>
      </w:pPr>
      <w:r>
        <w:rPr>
          <w:rFonts w:hint="eastAsia" w:ascii="宋体" w:hAnsi="宋体" w:eastAsia="宋体" w:cs="宋体"/>
          <w:spacing w:val="6"/>
          <w:sz w:val="20"/>
          <w:szCs w:val="20"/>
          <w:lang w:val="en-US" w:eastAsia="zh-CN"/>
        </w:rPr>
        <w:t>企业</w:t>
      </w:r>
      <w:r>
        <w:rPr>
          <w:rFonts w:ascii="宋体" w:hAnsi="宋体" w:eastAsia="宋体" w:cs="宋体"/>
          <w:spacing w:val="6"/>
          <w:sz w:val="20"/>
          <w:szCs w:val="20"/>
        </w:rPr>
        <w:t>名称（盖章</w:t>
      </w:r>
      <w:r>
        <w:rPr>
          <w:rFonts w:ascii="宋体" w:hAnsi="宋体" w:eastAsia="宋体" w:cs="宋体"/>
          <w:spacing w:val="2"/>
          <w:sz w:val="20"/>
          <w:szCs w:val="20"/>
        </w:rPr>
        <w:t>）：</w:t>
      </w:r>
    </w:p>
    <w:p>
      <w:pPr>
        <w:pStyle w:val="4"/>
        <w:spacing w:line="407" w:lineRule="auto"/>
      </w:pPr>
    </w:p>
    <w:p>
      <w:pPr>
        <w:spacing w:before="66" w:line="228" w:lineRule="auto"/>
        <w:ind w:left="35"/>
        <w:rPr>
          <w:rFonts w:ascii="宋体" w:hAnsi="宋体" w:eastAsia="宋体" w:cs="宋体"/>
          <w:sz w:val="20"/>
          <w:szCs w:val="20"/>
        </w:rPr>
      </w:pPr>
      <w:r>
        <w:rPr>
          <w:rFonts w:ascii="宋体" w:hAnsi="宋体" w:eastAsia="宋体" w:cs="宋体"/>
          <w:spacing w:val="-15"/>
          <w:sz w:val="20"/>
          <w:szCs w:val="20"/>
        </w:rPr>
        <w:t>日</w:t>
      </w:r>
      <w:r>
        <w:rPr>
          <w:rFonts w:hint="eastAsia" w:ascii="宋体" w:hAnsi="宋体" w:eastAsia="宋体" w:cs="宋体"/>
          <w:spacing w:val="-15"/>
          <w:sz w:val="20"/>
          <w:szCs w:val="20"/>
          <w:lang w:val="en-US" w:eastAsia="zh-CN"/>
        </w:rPr>
        <w:t xml:space="preserve"> </w:t>
      </w:r>
      <w:r>
        <w:rPr>
          <w:rFonts w:ascii="宋体" w:hAnsi="宋体" w:eastAsia="宋体" w:cs="宋体"/>
          <w:spacing w:val="-15"/>
          <w:sz w:val="20"/>
          <w:szCs w:val="20"/>
        </w:rPr>
        <w:t>期：</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line="241" w:lineRule="auto"/>
      </w:pPr>
    </w:p>
    <w:p>
      <w:pPr>
        <w:pStyle w:val="4"/>
        <w:spacing w:line="241" w:lineRule="auto"/>
      </w:pPr>
    </w:p>
    <w:p>
      <w:pPr>
        <w:spacing w:before="65" w:line="239" w:lineRule="auto"/>
        <w:ind w:left="1" w:right="170" w:firstLine="411"/>
        <w:rPr>
          <w:rFonts w:ascii="宋体" w:hAnsi="宋体" w:eastAsia="宋体" w:cs="宋体"/>
          <w:sz w:val="20"/>
          <w:szCs w:val="20"/>
        </w:rPr>
      </w:pPr>
      <w:r>
        <w:rPr>
          <w:rFonts w:ascii="宋体" w:hAnsi="宋体" w:eastAsia="宋体" w:cs="宋体"/>
          <w:spacing w:val="8"/>
          <w:sz w:val="20"/>
          <w:szCs w:val="20"/>
        </w:rPr>
        <w:t>注：1、按政策规定：符合条件的残疾人福利性单位视同小型</w:t>
      </w:r>
      <w:r>
        <w:rPr>
          <w:rFonts w:ascii="宋体" w:hAnsi="宋体" w:eastAsia="宋体" w:cs="宋体"/>
          <w:spacing w:val="7"/>
          <w:sz w:val="20"/>
          <w:szCs w:val="20"/>
        </w:rPr>
        <w:t>、微型企业。残疾人福利性单位属于小型、微型企业的，不重复享受政策。</w:t>
      </w:r>
    </w:p>
    <w:p>
      <w:pPr>
        <w:spacing w:before="47" w:line="244" w:lineRule="auto"/>
        <w:ind w:left="2" w:right="62" w:firstLine="412"/>
        <w:jc w:val="both"/>
        <w:rPr>
          <w:rFonts w:ascii="宋体" w:hAnsi="宋体" w:eastAsia="宋体" w:cs="宋体"/>
          <w:sz w:val="20"/>
          <w:szCs w:val="20"/>
        </w:rPr>
      </w:pPr>
      <w:r>
        <w:rPr>
          <w:rFonts w:ascii="宋体" w:hAnsi="宋体" w:eastAsia="宋体" w:cs="宋体"/>
          <w:spacing w:val="8"/>
          <w:sz w:val="20"/>
          <w:szCs w:val="20"/>
        </w:rPr>
        <w:t>2、本格式由符合促进残疾人就业政府采购政</w:t>
      </w:r>
      <w:r>
        <w:rPr>
          <w:rFonts w:ascii="宋体" w:hAnsi="宋体" w:eastAsia="宋体" w:cs="宋体"/>
          <w:spacing w:val="7"/>
          <w:sz w:val="20"/>
          <w:szCs w:val="20"/>
        </w:rPr>
        <w:t>策条件的残疾人福利性单位填写，非残疾人福利性单位无需填写。本项目中，残疾人福利性单位属于中型企业、小型、微型企业的，可只填写“</w:t>
      </w:r>
      <w:r>
        <w:rPr>
          <w:rFonts w:ascii="宋体" w:hAnsi="宋体" w:eastAsia="宋体" w:cs="宋体"/>
          <w:spacing w:val="-68"/>
          <w:sz w:val="20"/>
          <w:szCs w:val="20"/>
        </w:rPr>
        <w:t xml:space="preserve"> </w:t>
      </w:r>
      <w:r>
        <w:rPr>
          <w:rFonts w:ascii="宋体" w:hAnsi="宋体" w:eastAsia="宋体" w:cs="宋体"/>
          <w:spacing w:val="7"/>
          <w:sz w:val="20"/>
          <w:szCs w:val="20"/>
        </w:rPr>
        <w:t>中小企业声明函</w:t>
      </w:r>
      <w:r>
        <w:rPr>
          <w:rFonts w:ascii="宋体" w:hAnsi="宋体" w:eastAsia="宋体" w:cs="宋体"/>
          <w:spacing w:val="-65"/>
          <w:sz w:val="20"/>
          <w:szCs w:val="20"/>
        </w:rPr>
        <w:t xml:space="preserve"> </w:t>
      </w:r>
      <w:r>
        <w:rPr>
          <w:rFonts w:ascii="宋体" w:hAnsi="宋体" w:eastAsia="宋体" w:cs="宋体"/>
          <w:spacing w:val="7"/>
          <w:sz w:val="20"/>
          <w:szCs w:val="20"/>
        </w:rPr>
        <w:t>”，不再填写“残疾人福利性单位声明函”。</w:t>
      </w:r>
    </w:p>
    <w:p>
      <w:pPr>
        <w:spacing w:before="49" w:line="239" w:lineRule="auto"/>
        <w:ind w:left="19" w:right="97" w:firstLine="397"/>
        <w:rPr>
          <w:rFonts w:ascii="宋体" w:hAnsi="宋体" w:eastAsia="宋体" w:cs="宋体"/>
          <w:sz w:val="20"/>
          <w:szCs w:val="20"/>
        </w:rPr>
      </w:pPr>
      <w:r>
        <w:rPr>
          <w:rFonts w:ascii="宋体" w:hAnsi="宋体" w:eastAsia="宋体" w:cs="宋体"/>
          <w:spacing w:val="6"/>
          <w:sz w:val="20"/>
          <w:szCs w:val="20"/>
        </w:rPr>
        <w:t>3、残疾人福利性单位填写“残疾人福利性单位声明函</w:t>
      </w:r>
      <w:r>
        <w:rPr>
          <w:rFonts w:ascii="宋体" w:hAnsi="宋体" w:eastAsia="宋体" w:cs="宋体"/>
          <w:spacing w:val="-63"/>
          <w:sz w:val="20"/>
          <w:szCs w:val="20"/>
        </w:rPr>
        <w:t xml:space="preserve"> </w:t>
      </w:r>
      <w:r>
        <w:rPr>
          <w:rFonts w:ascii="宋体" w:hAnsi="宋体" w:eastAsia="宋体" w:cs="宋体"/>
          <w:spacing w:val="6"/>
          <w:sz w:val="20"/>
          <w:szCs w:val="20"/>
        </w:rPr>
        <w:t>”后，仍需同时填写“</w:t>
      </w:r>
      <w:r>
        <w:rPr>
          <w:rFonts w:ascii="宋体" w:hAnsi="宋体" w:eastAsia="宋体" w:cs="宋体"/>
          <w:spacing w:val="-73"/>
          <w:sz w:val="20"/>
          <w:szCs w:val="20"/>
        </w:rPr>
        <w:t xml:space="preserve"> </w:t>
      </w:r>
      <w:r>
        <w:rPr>
          <w:rFonts w:ascii="宋体" w:hAnsi="宋体" w:eastAsia="宋体" w:cs="宋体"/>
          <w:spacing w:val="6"/>
          <w:sz w:val="20"/>
          <w:szCs w:val="20"/>
        </w:rPr>
        <w:t>中小企业声明函</w:t>
      </w:r>
      <w:r>
        <w:rPr>
          <w:rFonts w:ascii="宋体" w:hAnsi="宋体" w:eastAsia="宋体" w:cs="宋体"/>
          <w:sz w:val="20"/>
          <w:szCs w:val="20"/>
        </w:rPr>
        <w:t xml:space="preserve"> </w:t>
      </w:r>
      <w:r>
        <w:rPr>
          <w:rFonts w:ascii="宋体" w:hAnsi="宋体" w:eastAsia="宋体" w:cs="宋体"/>
          <w:spacing w:val="5"/>
          <w:sz w:val="20"/>
          <w:szCs w:val="20"/>
        </w:rPr>
        <w:t>”、可在“</w:t>
      </w:r>
      <w:r>
        <w:rPr>
          <w:rFonts w:ascii="宋体" w:hAnsi="宋体" w:eastAsia="宋体" w:cs="宋体"/>
          <w:spacing w:val="-72"/>
          <w:sz w:val="20"/>
          <w:szCs w:val="20"/>
        </w:rPr>
        <w:t xml:space="preserve"> </w:t>
      </w:r>
      <w:r>
        <w:rPr>
          <w:rFonts w:ascii="宋体" w:hAnsi="宋体" w:eastAsia="宋体" w:cs="宋体"/>
          <w:spacing w:val="5"/>
          <w:sz w:val="20"/>
          <w:szCs w:val="20"/>
        </w:rPr>
        <w:t>中小企业声明函</w:t>
      </w:r>
      <w:r>
        <w:rPr>
          <w:rFonts w:ascii="宋体" w:hAnsi="宋体" w:eastAsia="宋体" w:cs="宋体"/>
          <w:spacing w:val="-75"/>
          <w:sz w:val="20"/>
          <w:szCs w:val="20"/>
        </w:rPr>
        <w:t xml:space="preserve"> </w:t>
      </w:r>
      <w:r>
        <w:rPr>
          <w:rFonts w:ascii="宋体" w:hAnsi="宋体" w:eastAsia="宋体" w:cs="宋体"/>
          <w:spacing w:val="5"/>
          <w:sz w:val="20"/>
          <w:szCs w:val="20"/>
        </w:rPr>
        <w:t>”注明“属于符合条件的残疾人福利</w:t>
      </w:r>
      <w:r>
        <w:rPr>
          <w:rFonts w:ascii="宋体" w:hAnsi="宋体" w:eastAsia="宋体" w:cs="宋体"/>
          <w:spacing w:val="4"/>
          <w:sz w:val="20"/>
          <w:szCs w:val="20"/>
        </w:rPr>
        <w:t>性单位、视同小型、微型企业</w:t>
      </w:r>
      <w:r>
        <w:rPr>
          <w:rFonts w:ascii="宋体" w:hAnsi="宋体" w:eastAsia="宋体" w:cs="宋体"/>
          <w:spacing w:val="-72"/>
          <w:sz w:val="20"/>
          <w:szCs w:val="20"/>
        </w:rPr>
        <w:t xml:space="preserve"> </w:t>
      </w:r>
      <w:r>
        <w:rPr>
          <w:rFonts w:ascii="宋体" w:hAnsi="宋体" w:eastAsia="宋体" w:cs="宋体"/>
          <w:spacing w:val="4"/>
          <w:sz w:val="20"/>
          <w:szCs w:val="20"/>
        </w:rPr>
        <w:t>”。</w:t>
      </w:r>
    </w:p>
    <w:p>
      <w:pPr>
        <w:spacing w:line="239" w:lineRule="auto"/>
        <w:rPr>
          <w:rFonts w:ascii="宋体" w:hAnsi="宋体" w:eastAsia="宋体" w:cs="宋体"/>
          <w:sz w:val="20"/>
          <w:szCs w:val="20"/>
        </w:rPr>
        <w:sectPr>
          <w:pgSz w:w="11905" w:h="16837"/>
          <w:pgMar w:top="1440" w:right="1080" w:bottom="1440" w:left="1080" w:header="964" w:footer="567" w:gutter="0"/>
          <w:pgNumType w:fmt="decimal"/>
          <w:cols w:space="720" w:num="1"/>
        </w:sectPr>
      </w:pPr>
    </w:p>
    <w:p>
      <w:pPr>
        <w:spacing w:before="125" w:line="219" w:lineRule="auto"/>
        <w:ind w:left="2075"/>
        <w:rPr>
          <w:rFonts w:ascii="宋体" w:hAnsi="宋体" w:eastAsia="宋体" w:cs="宋体"/>
          <w:sz w:val="24"/>
          <w:szCs w:val="24"/>
        </w:rPr>
      </w:pPr>
      <w:r>
        <w:rPr>
          <w:rFonts w:ascii="宋体" w:hAnsi="宋体" w:eastAsia="宋体" w:cs="宋体"/>
          <w:b/>
          <w:bCs/>
          <w:spacing w:val="1"/>
          <w:sz w:val="30"/>
          <w:szCs w:val="30"/>
        </w:rPr>
        <w:t>监狱企业证明材料</w:t>
      </w:r>
      <w:r>
        <w:rPr>
          <w:rFonts w:ascii="宋体" w:hAnsi="宋体" w:eastAsia="宋体" w:cs="宋体"/>
          <w:spacing w:val="1"/>
          <w:sz w:val="24"/>
          <w:szCs w:val="24"/>
        </w:rPr>
        <w:t>（如符合条件时填写）</w:t>
      </w:r>
    </w:p>
    <w:p>
      <w:pPr>
        <w:pStyle w:val="4"/>
        <w:spacing w:line="248" w:lineRule="auto"/>
      </w:pPr>
    </w:p>
    <w:p>
      <w:pPr>
        <w:pStyle w:val="4"/>
        <w:spacing w:line="249" w:lineRule="auto"/>
      </w:pPr>
    </w:p>
    <w:p>
      <w:pPr>
        <w:spacing w:before="65" w:line="488" w:lineRule="auto"/>
        <w:ind w:firstLine="454"/>
        <w:rPr>
          <w:rFonts w:ascii="宋体" w:hAnsi="宋体" w:eastAsia="宋体" w:cs="宋体"/>
          <w:sz w:val="20"/>
          <w:szCs w:val="20"/>
        </w:rPr>
      </w:pPr>
      <w:r>
        <w:rPr>
          <w:rFonts w:ascii="宋体" w:hAnsi="宋体" w:eastAsia="宋体" w:cs="宋体"/>
          <w:spacing w:val="18"/>
          <w:sz w:val="20"/>
          <w:szCs w:val="20"/>
        </w:rPr>
        <w:t>监狱企业参加政府采购活动时，应当提供由省</w:t>
      </w:r>
      <w:r>
        <w:rPr>
          <w:rFonts w:ascii="宋体" w:hAnsi="宋体" w:eastAsia="宋体" w:cs="宋体"/>
          <w:spacing w:val="17"/>
          <w:sz w:val="20"/>
          <w:szCs w:val="20"/>
        </w:rPr>
        <w:t>级以上监狱管理局、戒毒管理局（含新疆生</w:t>
      </w:r>
      <w:r>
        <w:rPr>
          <w:rFonts w:ascii="宋体" w:hAnsi="宋体" w:eastAsia="宋体" w:cs="宋体"/>
          <w:spacing w:val="13"/>
          <w:sz w:val="20"/>
          <w:szCs w:val="20"/>
        </w:rPr>
        <w:t>产建设兵团）</w:t>
      </w:r>
      <w:r>
        <w:rPr>
          <w:rFonts w:ascii="宋体" w:hAnsi="宋体" w:eastAsia="宋体" w:cs="宋体"/>
          <w:spacing w:val="-31"/>
          <w:sz w:val="20"/>
          <w:szCs w:val="20"/>
        </w:rPr>
        <w:t xml:space="preserve"> </w:t>
      </w:r>
      <w:r>
        <w:rPr>
          <w:rFonts w:ascii="宋体" w:hAnsi="宋体" w:eastAsia="宋体" w:cs="宋体"/>
          <w:spacing w:val="13"/>
          <w:sz w:val="20"/>
          <w:szCs w:val="20"/>
        </w:rPr>
        <w:t>出具的属于监狱企业的证明文件。</w:t>
      </w:r>
    </w:p>
    <w:p>
      <w:pPr>
        <w:spacing w:line="488" w:lineRule="auto"/>
        <w:rPr>
          <w:rFonts w:ascii="宋体" w:hAnsi="宋体" w:eastAsia="宋体" w:cs="宋体"/>
          <w:sz w:val="20"/>
          <w:szCs w:val="20"/>
        </w:rPr>
        <w:sectPr>
          <w:pgSz w:w="11905" w:h="16837"/>
          <w:pgMar w:top="1440" w:right="1080" w:bottom="1440" w:left="1080" w:header="1077" w:footer="567" w:gutter="0"/>
          <w:pgNumType w:fmt="decimal"/>
          <w:cols w:space="720" w:num="1"/>
        </w:sectPr>
      </w:pPr>
    </w:p>
    <w:p>
      <w:pPr>
        <w:spacing w:before="65" w:line="362" w:lineRule="auto"/>
        <w:ind w:left="5" w:right="187" w:firstLine="382"/>
        <w:rPr>
          <w:rFonts w:ascii="宋体" w:hAnsi="宋体" w:eastAsia="宋体" w:cs="宋体"/>
          <w:spacing w:val="2"/>
          <w:sz w:val="20"/>
          <w:szCs w:val="20"/>
        </w:rPr>
      </w:pPr>
    </w:p>
    <w:p>
      <w:pPr>
        <w:spacing w:before="125" w:line="219"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投标人</w:t>
      </w:r>
      <w:r>
        <w:rPr>
          <w:rFonts w:ascii="宋体" w:hAnsi="宋体" w:eastAsia="宋体" w:cs="宋体"/>
          <w:b/>
          <w:bCs/>
          <w:spacing w:val="-6"/>
          <w:sz w:val="30"/>
          <w:szCs w:val="30"/>
        </w:rPr>
        <w:t>负责人控股、设计等相关承诺书</w:t>
      </w:r>
    </w:p>
    <w:p>
      <w:pPr>
        <w:pStyle w:val="4"/>
        <w:spacing w:line="385" w:lineRule="auto"/>
      </w:pPr>
    </w:p>
    <w:p>
      <w:pPr>
        <w:spacing w:before="65" w:line="227" w:lineRule="auto"/>
        <w:ind w:left="4"/>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16"/>
          <w:sz w:val="20"/>
          <w:szCs w:val="20"/>
          <w:u w:val="single" w:color="auto"/>
        </w:rPr>
        <w:t xml:space="preserve">    </w:t>
      </w:r>
      <w:r>
        <w:rPr>
          <w:rFonts w:ascii="宋体" w:hAnsi="宋体" w:eastAsia="宋体" w:cs="宋体"/>
          <w:spacing w:val="1"/>
          <w:sz w:val="20"/>
          <w:szCs w:val="20"/>
          <w:u w:val="single" w:color="auto"/>
        </w:rPr>
        <w:t>(采购人名称）</w:t>
      </w:r>
      <w:r>
        <w:rPr>
          <w:rFonts w:ascii="宋体" w:hAnsi="宋体" w:eastAsia="宋体" w:cs="宋体"/>
          <w:sz w:val="20"/>
          <w:szCs w:val="20"/>
          <w:u w:val="single" w:color="auto"/>
        </w:rPr>
        <w:t xml:space="preserve">  </w:t>
      </w:r>
    </w:p>
    <w:p>
      <w:pPr>
        <w:pStyle w:val="4"/>
        <w:spacing w:line="340" w:lineRule="auto"/>
      </w:pPr>
    </w:p>
    <w:p>
      <w:pPr>
        <w:pStyle w:val="4"/>
        <w:spacing w:line="340" w:lineRule="auto"/>
      </w:pPr>
    </w:p>
    <w:p>
      <w:pPr>
        <w:spacing w:before="65" w:line="227" w:lineRule="auto"/>
        <w:ind w:left="419"/>
        <w:rPr>
          <w:rFonts w:ascii="宋体" w:hAnsi="宋体" w:eastAsia="宋体" w:cs="宋体"/>
          <w:sz w:val="20"/>
          <w:szCs w:val="20"/>
        </w:rPr>
      </w:pPr>
      <w:r>
        <w:rPr>
          <w:rFonts w:ascii="宋体" w:hAnsi="宋体" w:eastAsia="宋体" w:cs="宋体"/>
          <w:spacing w:val="7"/>
          <w:sz w:val="20"/>
          <w:szCs w:val="20"/>
        </w:rPr>
        <w:t>在项目编号为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7"/>
          <w:sz w:val="20"/>
          <w:szCs w:val="20"/>
        </w:rPr>
        <w:t>的</w:t>
      </w:r>
      <w:r>
        <w:rPr>
          <w:rFonts w:ascii="宋体" w:hAnsi="宋体" w:eastAsia="宋体" w:cs="宋体"/>
          <w:spacing w:val="7"/>
          <w:sz w:val="20"/>
          <w:szCs w:val="20"/>
          <w:u w:val="single" w:color="auto"/>
        </w:rPr>
        <w:t xml:space="preserve">    （项目名称）   </w:t>
      </w:r>
      <w:r>
        <w:rPr>
          <w:rFonts w:ascii="宋体" w:hAnsi="宋体" w:eastAsia="宋体" w:cs="宋体"/>
          <w:spacing w:val="-92"/>
          <w:sz w:val="20"/>
          <w:szCs w:val="20"/>
        </w:rPr>
        <w:t xml:space="preserve"> </w:t>
      </w:r>
      <w:r>
        <w:rPr>
          <w:rFonts w:ascii="宋体" w:hAnsi="宋体" w:eastAsia="宋体" w:cs="宋体"/>
          <w:spacing w:val="7"/>
          <w:sz w:val="20"/>
          <w:szCs w:val="20"/>
        </w:rPr>
        <w:t>采购活动中，我</w:t>
      </w:r>
      <w:r>
        <w:rPr>
          <w:rFonts w:ascii="宋体" w:hAnsi="宋体" w:eastAsia="宋体" w:cs="宋体"/>
          <w:spacing w:val="6"/>
          <w:sz w:val="20"/>
          <w:szCs w:val="20"/>
        </w:rPr>
        <w:t>单位承诺满足以下要求：</w:t>
      </w:r>
    </w:p>
    <w:p>
      <w:pPr>
        <w:pStyle w:val="4"/>
        <w:spacing w:line="310" w:lineRule="auto"/>
      </w:pPr>
    </w:p>
    <w:p>
      <w:pPr>
        <w:spacing w:before="65" w:line="488" w:lineRule="auto"/>
        <w:ind w:left="3" w:firstLine="419"/>
        <w:rPr>
          <w:rFonts w:ascii="宋体" w:hAnsi="宋体" w:eastAsia="宋体" w:cs="宋体"/>
          <w:sz w:val="20"/>
          <w:szCs w:val="20"/>
        </w:rPr>
      </w:pPr>
      <w:r>
        <w:rPr>
          <w:rFonts w:ascii="宋体" w:hAnsi="宋体" w:eastAsia="宋体" w:cs="宋体"/>
          <w:spacing w:val="9"/>
          <w:sz w:val="20"/>
          <w:szCs w:val="20"/>
        </w:rPr>
        <w:t>一、单位负责人为同一人或者存在直接控股、管理关系的不同</w:t>
      </w:r>
      <w:r>
        <w:rPr>
          <w:rFonts w:ascii="宋体" w:hAnsi="宋体" w:eastAsia="宋体" w:cs="宋体"/>
          <w:spacing w:val="8"/>
          <w:sz w:val="20"/>
          <w:szCs w:val="20"/>
        </w:rPr>
        <w:t>供应商，不参加同一合同项下的</w:t>
      </w:r>
      <w:r>
        <w:rPr>
          <w:rFonts w:ascii="宋体" w:hAnsi="宋体" w:eastAsia="宋体" w:cs="宋体"/>
          <w:spacing w:val="6"/>
          <w:sz w:val="20"/>
          <w:szCs w:val="20"/>
        </w:rPr>
        <w:t>政府采购活动。</w:t>
      </w:r>
    </w:p>
    <w:p>
      <w:pPr>
        <w:spacing w:before="110" w:line="227" w:lineRule="auto"/>
        <w:ind w:left="423"/>
        <w:rPr>
          <w:rFonts w:ascii="宋体" w:hAnsi="宋体" w:eastAsia="宋体" w:cs="宋体"/>
          <w:sz w:val="20"/>
          <w:szCs w:val="20"/>
        </w:rPr>
      </w:pPr>
      <w:r>
        <w:rPr>
          <w:rFonts w:ascii="宋体" w:hAnsi="宋体" w:eastAsia="宋体" w:cs="宋体"/>
          <w:spacing w:val="8"/>
          <w:sz w:val="20"/>
          <w:szCs w:val="20"/>
        </w:rPr>
        <w:t>二、没有为本项目提供整体设计、规范编制或者项目管理、监理、检测等服务。</w:t>
      </w:r>
    </w:p>
    <w:p>
      <w:pPr>
        <w:pStyle w:val="4"/>
        <w:spacing w:line="310" w:lineRule="auto"/>
      </w:pPr>
    </w:p>
    <w:p>
      <w:pPr>
        <w:spacing w:before="66" w:line="488" w:lineRule="auto"/>
        <w:ind w:left="5" w:firstLine="414"/>
        <w:rPr>
          <w:rFonts w:ascii="宋体" w:hAnsi="宋体" w:eastAsia="宋体" w:cs="宋体"/>
          <w:sz w:val="20"/>
          <w:szCs w:val="20"/>
        </w:rPr>
      </w:pPr>
      <w:r>
        <w:rPr>
          <w:rFonts w:ascii="宋体" w:hAnsi="宋体" w:eastAsia="宋体" w:cs="宋体"/>
          <w:spacing w:val="9"/>
          <w:sz w:val="20"/>
          <w:szCs w:val="20"/>
        </w:rPr>
        <w:t>三、若出现上述行为，我单位确认投标无效、承诺书虚假，接受相关</w:t>
      </w:r>
      <w:r>
        <w:rPr>
          <w:rFonts w:ascii="宋体" w:hAnsi="宋体" w:eastAsia="宋体" w:cs="宋体"/>
          <w:spacing w:val="8"/>
          <w:sz w:val="20"/>
          <w:szCs w:val="20"/>
        </w:rPr>
        <w:t>部门按照国家法律法规等</w:t>
      </w:r>
      <w:r>
        <w:rPr>
          <w:rFonts w:ascii="宋体" w:hAnsi="宋体" w:eastAsia="宋体" w:cs="宋体"/>
          <w:spacing w:val="7"/>
          <w:sz w:val="20"/>
          <w:szCs w:val="20"/>
        </w:rPr>
        <w:t>有关规定对我单位虚假承诺所给予的处理。</w:t>
      </w: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3" w:lineRule="auto"/>
      </w:pP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投标人（电子签章）：</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 xml:space="preserve">法定代表人（电子签名或签章）： </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日期：   年   月   日</w:t>
      </w:r>
    </w:p>
    <w:p>
      <w:pPr>
        <w:rPr>
          <w:rFonts w:hint="eastAsia" w:ascii="宋体" w:hAnsi="宋体" w:eastAsia="宋体" w:cs="宋体"/>
          <w:b/>
          <w:bCs/>
          <w:spacing w:val="-7"/>
          <w:sz w:val="30"/>
          <w:szCs w:val="30"/>
          <w:lang w:eastAsia="en-US"/>
        </w:rPr>
      </w:pPr>
      <w:r>
        <w:rPr>
          <w:rFonts w:hint="eastAsia" w:ascii="宋体" w:hAnsi="宋体" w:eastAsia="宋体" w:cs="宋体"/>
          <w:b/>
          <w:bCs/>
          <w:spacing w:val="-7"/>
          <w:sz w:val="30"/>
          <w:szCs w:val="30"/>
          <w:lang w:eastAsia="en-US"/>
        </w:rPr>
        <w:br w:type="page"/>
      </w:r>
    </w:p>
    <w:p>
      <w:pPr>
        <w:spacing w:before="60" w:line="219" w:lineRule="auto"/>
        <w:jc w:val="center"/>
        <w:rPr>
          <w:rFonts w:ascii="宋体" w:hAnsi="宋体" w:eastAsia="宋体" w:cs="宋体"/>
          <w:b/>
          <w:bCs/>
          <w:spacing w:val="-9"/>
          <w:sz w:val="30"/>
          <w:szCs w:val="30"/>
        </w:rPr>
      </w:pPr>
      <w:r>
        <w:rPr>
          <w:rFonts w:ascii="宋体" w:hAnsi="宋体" w:eastAsia="宋体" w:cs="宋体"/>
          <w:b/>
          <w:bCs/>
          <w:spacing w:val="-9"/>
          <w:sz w:val="30"/>
          <w:szCs w:val="30"/>
        </w:rPr>
        <w:t>投标承诺函</w:t>
      </w:r>
    </w:p>
    <w:p>
      <w:pPr>
        <w:spacing w:before="60" w:line="219" w:lineRule="auto"/>
        <w:jc w:val="center"/>
        <w:rPr>
          <w:rFonts w:ascii="宋体" w:hAnsi="宋体" w:eastAsia="宋体" w:cs="宋体"/>
          <w:sz w:val="30"/>
          <w:szCs w:val="30"/>
        </w:rPr>
      </w:pPr>
      <w:r>
        <w:rPr>
          <w:rFonts w:ascii="宋体" w:hAnsi="宋体" w:eastAsia="宋体" w:cs="宋体"/>
          <w:b/>
          <w:bCs/>
          <w:spacing w:val="-7"/>
          <w:sz w:val="30"/>
          <w:szCs w:val="30"/>
        </w:rPr>
        <w:t>（以投标承诺函形式，替代投标保证金的相关承诺事项）</w:t>
      </w:r>
    </w:p>
    <w:p>
      <w:pPr>
        <w:pStyle w:val="4"/>
        <w:spacing w:line="281" w:lineRule="auto"/>
      </w:pPr>
    </w:p>
    <w:p>
      <w:pPr>
        <w:spacing w:before="65" w:line="227" w:lineRule="auto"/>
        <w:rPr>
          <w:rFonts w:ascii="宋体" w:hAnsi="宋体" w:eastAsia="宋体" w:cs="宋体"/>
          <w:sz w:val="20"/>
          <w:szCs w:val="20"/>
        </w:rPr>
      </w:pPr>
      <w:r>
        <w:rPr>
          <w:rFonts w:ascii="宋体" w:hAnsi="宋体" w:eastAsia="宋体" w:cs="宋体"/>
          <w:spacing w:val="3"/>
          <w:sz w:val="20"/>
          <w:szCs w:val="20"/>
        </w:rPr>
        <w:t>致：</w:t>
      </w:r>
      <w:r>
        <w:rPr>
          <w:rFonts w:ascii="宋体" w:hAnsi="宋体" w:eastAsia="宋体" w:cs="宋体"/>
          <w:spacing w:val="20"/>
          <w:sz w:val="20"/>
          <w:szCs w:val="20"/>
          <w:u w:val="single" w:color="auto"/>
        </w:rPr>
        <w:t xml:space="preserve">    </w:t>
      </w:r>
      <w:r>
        <w:rPr>
          <w:rFonts w:ascii="宋体" w:hAnsi="宋体" w:eastAsia="宋体" w:cs="宋体"/>
          <w:spacing w:val="3"/>
          <w:sz w:val="20"/>
          <w:szCs w:val="20"/>
          <w:u w:val="single" w:color="auto"/>
        </w:rPr>
        <w:t>(采购人名称）</w:t>
      </w:r>
      <w:r>
        <w:rPr>
          <w:rFonts w:ascii="宋体" w:hAnsi="宋体" w:eastAsia="宋体" w:cs="宋体"/>
          <w:sz w:val="20"/>
          <w:szCs w:val="20"/>
          <w:u w:val="single" w:color="auto"/>
        </w:rPr>
        <w:t xml:space="preserve">   </w:t>
      </w:r>
    </w:p>
    <w:p>
      <w:pPr>
        <w:pStyle w:val="4"/>
        <w:spacing w:line="380" w:lineRule="auto"/>
      </w:pPr>
    </w:p>
    <w:p>
      <w:pPr>
        <w:spacing w:before="65" w:line="227" w:lineRule="auto"/>
        <w:ind w:left="407"/>
        <w:rPr>
          <w:rFonts w:ascii="宋体" w:hAnsi="宋体" w:eastAsia="宋体" w:cs="宋体"/>
          <w:sz w:val="20"/>
          <w:szCs w:val="20"/>
        </w:rPr>
      </w:pPr>
      <w:r>
        <w:rPr>
          <w:rFonts w:ascii="宋体" w:hAnsi="宋体" w:eastAsia="宋体" w:cs="宋体"/>
          <w:spacing w:val="5"/>
          <w:sz w:val="20"/>
          <w:szCs w:val="20"/>
        </w:rPr>
        <w:t>在项目编号为</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rPr>
        <w:t>（项目</w:t>
      </w:r>
      <w:r>
        <w:rPr>
          <w:rFonts w:hint="eastAsia" w:ascii="宋体" w:hAnsi="宋体" w:eastAsia="宋体" w:cs="宋体"/>
          <w:spacing w:val="5"/>
          <w:sz w:val="20"/>
          <w:szCs w:val="20"/>
          <w:u w:val="single" w:color="auto"/>
          <w:lang w:val="en-US" w:eastAsia="zh-CN"/>
        </w:rPr>
        <w:t>名称</w:t>
      </w:r>
      <w:bookmarkStart w:id="140" w:name="_GoBack"/>
      <w:bookmarkEnd w:id="140"/>
      <w:r>
        <w:rPr>
          <w:rFonts w:hint="eastAsia" w:ascii="宋体" w:hAnsi="宋体" w:eastAsia="宋体" w:cs="宋体"/>
          <w:spacing w:val="5"/>
          <w:sz w:val="20"/>
          <w:szCs w:val="20"/>
          <w:u w:val="single" w:color="auto"/>
        </w:rPr>
        <w:t>）</w:t>
      </w:r>
      <w:r>
        <w:rPr>
          <w:rFonts w:ascii="宋体" w:hAnsi="宋体" w:eastAsia="宋体" w:cs="宋体"/>
          <w:spacing w:val="5"/>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5"/>
          <w:sz w:val="20"/>
          <w:szCs w:val="20"/>
        </w:rPr>
        <w:t>的</w:t>
      </w:r>
      <w:r>
        <w:rPr>
          <w:rFonts w:ascii="宋体" w:hAnsi="宋体" w:eastAsia="宋体" w:cs="宋体"/>
          <w:spacing w:val="5"/>
          <w:sz w:val="20"/>
          <w:szCs w:val="20"/>
          <w:u w:val="single" w:color="auto"/>
        </w:rPr>
        <w:t xml:space="preserve">    （项目名称）  </w:t>
      </w:r>
      <w:r>
        <w:rPr>
          <w:rFonts w:ascii="宋体" w:hAnsi="宋体" w:eastAsia="宋体" w:cs="宋体"/>
          <w:spacing w:val="5"/>
          <w:sz w:val="20"/>
          <w:szCs w:val="20"/>
        </w:rPr>
        <w:t xml:space="preserve"> 采购</w:t>
      </w:r>
      <w:r>
        <w:rPr>
          <w:rFonts w:ascii="宋体" w:hAnsi="宋体" w:eastAsia="宋体" w:cs="宋体"/>
          <w:spacing w:val="4"/>
          <w:sz w:val="20"/>
          <w:szCs w:val="20"/>
        </w:rPr>
        <w:t>活动中，我单位承诺：</w:t>
      </w:r>
    </w:p>
    <w:p>
      <w:pPr>
        <w:spacing w:before="154" w:line="227" w:lineRule="auto"/>
        <w:ind w:left="421"/>
        <w:rPr>
          <w:rFonts w:ascii="宋体" w:hAnsi="宋体" w:eastAsia="宋体" w:cs="宋体"/>
          <w:sz w:val="20"/>
          <w:szCs w:val="20"/>
        </w:rPr>
      </w:pPr>
      <w:r>
        <w:rPr>
          <w:rFonts w:ascii="宋体" w:hAnsi="宋体" w:eastAsia="宋体" w:cs="宋体"/>
          <w:spacing w:val="8"/>
          <w:sz w:val="20"/>
          <w:szCs w:val="20"/>
        </w:rPr>
        <w:t>一、遵循公开、公平、公正和诚实信用的原则自愿参加本项目投标；</w:t>
      </w:r>
    </w:p>
    <w:p>
      <w:pPr>
        <w:spacing w:before="165" w:line="227" w:lineRule="auto"/>
        <w:ind w:left="421"/>
        <w:rPr>
          <w:rFonts w:ascii="宋体" w:hAnsi="宋体" w:eastAsia="宋体" w:cs="宋体"/>
          <w:sz w:val="20"/>
          <w:szCs w:val="20"/>
        </w:rPr>
      </w:pPr>
      <w:r>
        <w:rPr>
          <w:rFonts w:ascii="宋体" w:hAnsi="宋体" w:eastAsia="宋体" w:cs="宋体"/>
          <w:spacing w:val="8"/>
          <w:sz w:val="20"/>
          <w:szCs w:val="20"/>
        </w:rPr>
        <w:t>二、在政府采购活动中提供真实、准确、有效、合法的材料，不提供虚假材料；</w:t>
      </w:r>
    </w:p>
    <w:p>
      <w:pPr>
        <w:spacing w:before="162" w:line="302" w:lineRule="auto"/>
        <w:ind w:left="21" w:right="157" w:firstLine="397"/>
        <w:rPr>
          <w:rFonts w:ascii="宋体" w:hAnsi="宋体" w:eastAsia="宋体" w:cs="宋体"/>
          <w:sz w:val="20"/>
          <w:szCs w:val="20"/>
        </w:rPr>
      </w:pPr>
      <w:r>
        <w:rPr>
          <w:rFonts w:ascii="宋体" w:hAnsi="宋体" w:eastAsia="宋体" w:cs="宋体"/>
          <w:spacing w:val="9"/>
          <w:sz w:val="20"/>
          <w:szCs w:val="20"/>
        </w:rPr>
        <w:t>三、按照</w:t>
      </w:r>
      <w:r>
        <w:rPr>
          <w:rFonts w:hint="eastAsia" w:ascii="宋体" w:hAnsi="宋体" w:eastAsia="宋体" w:cs="宋体"/>
          <w:spacing w:val="9"/>
          <w:sz w:val="20"/>
          <w:szCs w:val="20"/>
          <w:lang w:val="en-US" w:eastAsia="zh-CN"/>
        </w:rPr>
        <w:t>招标</w:t>
      </w:r>
      <w:r>
        <w:rPr>
          <w:rFonts w:ascii="宋体" w:hAnsi="宋体" w:eastAsia="宋体" w:cs="宋体"/>
          <w:spacing w:val="9"/>
          <w:sz w:val="20"/>
          <w:szCs w:val="20"/>
        </w:rPr>
        <w:t>文件规定，在提交响应文件截止时间后，在</w:t>
      </w:r>
      <w:r>
        <w:rPr>
          <w:rFonts w:hint="eastAsia" w:ascii="宋体" w:hAnsi="宋体" w:eastAsia="宋体" w:cs="宋体"/>
          <w:spacing w:val="9"/>
          <w:sz w:val="20"/>
          <w:szCs w:val="20"/>
          <w:lang w:val="en-US" w:eastAsia="zh-CN"/>
        </w:rPr>
        <w:t>招标</w:t>
      </w:r>
      <w:r>
        <w:rPr>
          <w:rFonts w:ascii="宋体" w:hAnsi="宋体" w:eastAsia="宋体" w:cs="宋体"/>
          <w:spacing w:val="9"/>
          <w:sz w:val="20"/>
          <w:szCs w:val="20"/>
        </w:rPr>
        <w:t>文件规</w:t>
      </w:r>
      <w:r>
        <w:rPr>
          <w:rFonts w:ascii="宋体" w:hAnsi="宋体" w:eastAsia="宋体" w:cs="宋体"/>
          <w:spacing w:val="8"/>
          <w:sz w:val="20"/>
          <w:szCs w:val="20"/>
        </w:rPr>
        <w:t>定的投标有效期限内不撤</w:t>
      </w:r>
      <w:r>
        <w:rPr>
          <w:rFonts w:ascii="宋体" w:hAnsi="宋体" w:eastAsia="宋体" w:cs="宋体"/>
          <w:spacing w:val="2"/>
          <w:sz w:val="20"/>
          <w:szCs w:val="20"/>
        </w:rPr>
        <w:t>回</w:t>
      </w:r>
      <w:r>
        <w:rPr>
          <w:rFonts w:hint="eastAsia" w:ascii="宋体" w:hAnsi="宋体" w:eastAsia="宋体" w:cs="宋体"/>
          <w:spacing w:val="2"/>
          <w:sz w:val="20"/>
          <w:szCs w:val="20"/>
          <w:lang w:val="en-US" w:eastAsia="zh-CN"/>
        </w:rPr>
        <w:t>投标</w:t>
      </w:r>
      <w:r>
        <w:rPr>
          <w:rFonts w:ascii="宋体" w:hAnsi="宋体" w:eastAsia="宋体" w:cs="宋体"/>
          <w:spacing w:val="2"/>
          <w:sz w:val="20"/>
          <w:szCs w:val="20"/>
        </w:rPr>
        <w:t>文件；</w:t>
      </w:r>
    </w:p>
    <w:p>
      <w:pPr>
        <w:spacing w:before="164" w:line="227" w:lineRule="auto"/>
        <w:ind w:left="438"/>
        <w:rPr>
          <w:rFonts w:ascii="宋体" w:hAnsi="宋体" w:eastAsia="宋体" w:cs="宋体"/>
          <w:sz w:val="20"/>
          <w:szCs w:val="20"/>
        </w:rPr>
      </w:pPr>
      <w:r>
        <w:rPr>
          <w:rFonts w:ascii="宋体" w:hAnsi="宋体" w:eastAsia="宋体" w:cs="宋体"/>
          <w:spacing w:val="7"/>
          <w:sz w:val="20"/>
          <w:szCs w:val="20"/>
        </w:rPr>
        <w:t>四、不与其他</w:t>
      </w:r>
      <w:r>
        <w:rPr>
          <w:rFonts w:hint="eastAsia" w:ascii="宋体" w:hAnsi="宋体" w:eastAsia="宋体" w:cs="宋体"/>
          <w:spacing w:val="7"/>
          <w:sz w:val="20"/>
          <w:szCs w:val="20"/>
          <w:lang w:val="en-US" w:eastAsia="zh-CN"/>
        </w:rPr>
        <w:t>投标人</w:t>
      </w:r>
      <w:r>
        <w:rPr>
          <w:rFonts w:ascii="宋体" w:hAnsi="宋体" w:eastAsia="宋体" w:cs="宋体"/>
          <w:spacing w:val="7"/>
          <w:sz w:val="20"/>
          <w:szCs w:val="20"/>
        </w:rPr>
        <w:t>、采购人或采购代理机构串通或恶意串通。</w:t>
      </w:r>
    </w:p>
    <w:p>
      <w:pPr>
        <w:spacing w:before="164" w:line="302" w:lineRule="auto"/>
        <w:ind w:firstLine="421"/>
        <w:rPr>
          <w:rFonts w:ascii="宋体" w:hAnsi="宋体" w:eastAsia="宋体" w:cs="宋体"/>
          <w:sz w:val="20"/>
          <w:szCs w:val="20"/>
        </w:rPr>
      </w:pPr>
      <w:r>
        <w:rPr>
          <w:rFonts w:ascii="宋体" w:hAnsi="宋体" w:eastAsia="宋体" w:cs="宋体"/>
          <w:spacing w:val="8"/>
          <w:sz w:val="20"/>
          <w:szCs w:val="20"/>
        </w:rPr>
        <w:t>五、如我单位中标，除不可抗拒力或</w:t>
      </w:r>
      <w:r>
        <w:rPr>
          <w:rFonts w:hint="eastAsia" w:ascii="宋体" w:hAnsi="宋体" w:eastAsia="宋体" w:cs="宋体"/>
          <w:spacing w:val="8"/>
          <w:sz w:val="20"/>
          <w:szCs w:val="20"/>
          <w:lang w:val="en-US" w:eastAsia="zh-CN"/>
        </w:rPr>
        <w:t>招标</w:t>
      </w:r>
      <w:r>
        <w:rPr>
          <w:rFonts w:ascii="宋体" w:hAnsi="宋体" w:eastAsia="宋体" w:cs="宋体"/>
          <w:spacing w:val="8"/>
          <w:sz w:val="20"/>
          <w:szCs w:val="20"/>
        </w:rPr>
        <w:t>文</w:t>
      </w:r>
      <w:r>
        <w:rPr>
          <w:rFonts w:ascii="宋体" w:hAnsi="宋体" w:eastAsia="宋体" w:cs="宋体"/>
          <w:spacing w:val="7"/>
          <w:sz w:val="20"/>
          <w:szCs w:val="20"/>
        </w:rPr>
        <w:t>件认可的情形外，我单位承诺及时领取中标通知书，</w:t>
      </w:r>
      <w:r>
        <w:rPr>
          <w:rFonts w:ascii="宋体" w:hAnsi="宋体" w:eastAsia="宋体" w:cs="宋体"/>
          <w:spacing w:val="8"/>
          <w:sz w:val="20"/>
          <w:szCs w:val="20"/>
        </w:rPr>
        <w:t>在成交通知书规定时间、地点与采购人签订合同；</w:t>
      </w:r>
    </w:p>
    <w:p>
      <w:pPr>
        <w:spacing w:before="162" w:line="228" w:lineRule="auto"/>
        <w:ind w:left="420"/>
        <w:rPr>
          <w:rFonts w:ascii="宋体" w:hAnsi="宋体" w:eastAsia="宋体" w:cs="宋体"/>
          <w:sz w:val="20"/>
          <w:szCs w:val="20"/>
        </w:rPr>
      </w:pPr>
      <w:r>
        <w:rPr>
          <w:rFonts w:ascii="宋体" w:hAnsi="宋体" w:eastAsia="宋体" w:cs="宋体"/>
          <w:spacing w:val="8"/>
          <w:sz w:val="20"/>
          <w:szCs w:val="20"/>
        </w:rPr>
        <w:t>六、遵守法律法规及</w:t>
      </w:r>
      <w:r>
        <w:rPr>
          <w:rFonts w:hint="eastAsia" w:ascii="宋体" w:hAnsi="宋体" w:eastAsia="宋体" w:cs="宋体"/>
          <w:spacing w:val="8"/>
          <w:sz w:val="20"/>
          <w:szCs w:val="20"/>
          <w:lang w:val="en-US" w:eastAsia="zh-CN"/>
        </w:rPr>
        <w:t>招标</w:t>
      </w:r>
      <w:r>
        <w:rPr>
          <w:rFonts w:ascii="宋体" w:hAnsi="宋体" w:eastAsia="宋体" w:cs="宋体"/>
          <w:spacing w:val="8"/>
          <w:sz w:val="20"/>
          <w:szCs w:val="20"/>
        </w:rPr>
        <w:t>文件规定的其他情况；</w:t>
      </w:r>
    </w:p>
    <w:p>
      <w:pPr>
        <w:spacing w:before="163" w:line="228" w:lineRule="auto"/>
        <w:ind w:left="417"/>
        <w:rPr>
          <w:rFonts w:ascii="宋体" w:hAnsi="宋体" w:eastAsia="宋体" w:cs="宋体"/>
          <w:sz w:val="20"/>
          <w:szCs w:val="20"/>
        </w:rPr>
      </w:pPr>
      <w:r>
        <w:rPr>
          <w:rFonts w:ascii="宋体" w:hAnsi="宋体" w:eastAsia="宋体" w:cs="宋体"/>
          <w:spacing w:val="8"/>
          <w:sz w:val="20"/>
          <w:szCs w:val="20"/>
        </w:rPr>
        <w:t>七、按</w:t>
      </w:r>
      <w:r>
        <w:rPr>
          <w:rFonts w:hint="eastAsia" w:ascii="宋体" w:hAnsi="宋体" w:eastAsia="宋体" w:cs="宋体"/>
          <w:spacing w:val="8"/>
          <w:sz w:val="20"/>
          <w:szCs w:val="20"/>
          <w:lang w:val="en-US" w:eastAsia="zh-CN"/>
        </w:rPr>
        <w:t>招标</w:t>
      </w:r>
      <w:r>
        <w:rPr>
          <w:rFonts w:ascii="宋体" w:hAnsi="宋体" w:eastAsia="宋体" w:cs="宋体"/>
          <w:spacing w:val="8"/>
          <w:sz w:val="20"/>
          <w:szCs w:val="20"/>
        </w:rPr>
        <w:t>文件规定及时缴纳代理服务服务费。</w:t>
      </w:r>
    </w:p>
    <w:p>
      <w:pPr>
        <w:spacing w:before="164" w:line="227" w:lineRule="auto"/>
        <w:ind w:left="421"/>
        <w:rPr>
          <w:rFonts w:ascii="宋体" w:hAnsi="宋体" w:eastAsia="宋体" w:cs="宋体"/>
          <w:sz w:val="20"/>
          <w:szCs w:val="20"/>
        </w:rPr>
      </w:pPr>
      <w:r>
        <w:rPr>
          <w:rFonts w:ascii="宋体" w:hAnsi="宋体" w:eastAsia="宋体" w:cs="宋体"/>
          <w:spacing w:val="8"/>
          <w:sz w:val="20"/>
          <w:szCs w:val="20"/>
        </w:rPr>
        <w:t>八、违背上述承诺事项的，我单位无条件接受以下责任追究：</w:t>
      </w:r>
    </w:p>
    <w:p>
      <w:pPr>
        <w:spacing w:before="162" w:line="303" w:lineRule="auto"/>
        <w:ind w:right="157" w:firstLine="427"/>
        <w:rPr>
          <w:rFonts w:ascii="宋体" w:hAnsi="宋体" w:eastAsia="宋体" w:cs="宋体"/>
          <w:sz w:val="20"/>
          <w:szCs w:val="20"/>
        </w:rPr>
      </w:pPr>
      <w:r>
        <w:rPr>
          <w:rFonts w:ascii="宋体" w:hAnsi="宋体" w:eastAsia="宋体" w:cs="宋体"/>
          <w:spacing w:val="9"/>
          <w:sz w:val="20"/>
          <w:szCs w:val="20"/>
        </w:rPr>
        <w:t>（一）法定责任：按照政府采购相关法规，处</w:t>
      </w:r>
      <w:r>
        <w:rPr>
          <w:rFonts w:ascii="宋体" w:hAnsi="宋体" w:eastAsia="宋体" w:cs="宋体"/>
          <w:spacing w:val="8"/>
          <w:sz w:val="20"/>
          <w:szCs w:val="20"/>
        </w:rPr>
        <w:t>以罚款，列入不良行为记录名单，在一至三年内禁止参加政府采购活动，有违法所得的，并处没收违法所得，情节严重的，由工商行政</w:t>
      </w:r>
      <w:r>
        <w:rPr>
          <w:rFonts w:ascii="宋体" w:hAnsi="宋体" w:eastAsia="宋体" w:cs="宋体"/>
          <w:spacing w:val="7"/>
          <w:sz w:val="20"/>
          <w:szCs w:val="20"/>
        </w:rPr>
        <w:t>管理机关(</w:t>
      </w:r>
      <w:r>
        <w:rPr>
          <w:rFonts w:ascii="宋体" w:hAnsi="宋体" w:eastAsia="宋体" w:cs="宋体"/>
          <w:spacing w:val="6"/>
          <w:sz w:val="20"/>
          <w:szCs w:val="20"/>
        </w:rPr>
        <w:t>市场监督机关）</w:t>
      </w:r>
      <w:r>
        <w:rPr>
          <w:rFonts w:ascii="宋体" w:hAnsi="宋体" w:eastAsia="宋体" w:cs="宋体"/>
          <w:spacing w:val="-56"/>
          <w:sz w:val="20"/>
          <w:szCs w:val="20"/>
        </w:rPr>
        <w:t xml:space="preserve"> </w:t>
      </w:r>
      <w:r>
        <w:rPr>
          <w:rFonts w:ascii="宋体" w:hAnsi="宋体" w:eastAsia="宋体" w:cs="宋体"/>
          <w:spacing w:val="6"/>
          <w:sz w:val="20"/>
          <w:szCs w:val="20"/>
        </w:rPr>
        <w:t>吊销营业执照；构成犯罪的，依</w:t>
      </w:r>
      <w:r>
        <w:rPr>
          <w:rFonts w:ascii="宋体" w:hAnsi="宋体" w:eastAsia="宋体" w:cs="宋体"/>
          <w:spacing w:val="5"/>
          <w:sz w:val="20"/>
          <w:szCs w:val="20"/>
        </w:rPr>
        <w:t>法追究刑事责任。</w:t>
      </w:r>
      <w:r>
        <w:rPr>
          <w:rFonts w:ascii="宋体" w:hAnsi="宋体" w:eastAsia="宋体" w:cs="宋体"/>
          <w:sz w:val="20"/>
          <w:szCs w:val="20"/>
        </w:rPr>
        <w:t xml:space="preserve"> </w:t>
      </w:r>
      <w:r>
        <w:rPr>
          <w:rFonts w:ascii="宋体" w:hAnsi="宋体" w:eastAsia="宋体" w:cs="宋体"/>
          <w:spacing w:val="8"/>
          <w:sz w:val="20"/>
          <w:szCs w:val="20"/>
        </w:rPr>
        <w:t>给采购人及他人造成损失的，愿承担相应的赔偿责任。</w:t>
      </w:r>
    </w:p>
    <w:p>
      <w:pPr>
        <w:spacing w:before="34" w:line="228" w:lineRule="auto"/>
        <w:ind w:left="428"/>
        <w:rPr>
          <w:rFonts w:ascii="宋体" w:hAnsi="宋体" w:eastAsia="宋体" w:cs="宋体"/>
          <w:sz w:val="20"/>
          <w:szCs w:val="20"/>
        </w:rPr>
      </w:pPr>
      <w:r>
        <w:rPr>
          <w:rFonts w:ascii="宋体" w:hAnsi="宋体" w:eastAsia="宋体" w:cs="宋体"/>
          <w:spacing w:val="5"/>
          <w:sz w:val="20"/>
          <w:szCs w:val="20"/>
        </w:rPr>
        <w:t>（二）违约责任：</w:t>
      </w:r>
    </w:p>
    <w:p>
      <w:pPr>
        <w:spacing w:before="165" w:line="228" w:lineRule="auto"/>
        <w:ind w:left="433"/>
        <w:rPr>
          <w:rFonts w:ascii="宋体" w:hAnsi="宋体" w:eastAsia="宋体" w:cs="宋体"/>
          <w:sz w:val="20"/>
          <w:szCs w:val="20"/>
        </w:rPr>
      </w:pPr>
      <w:r>
        <w:rPr>
          <w:rFonts w:ascii="宋体" w:hAnsi="宋体" w:eastAsia="宋体" w:cs="宋体"/>
          <w:spacing w:val="6"/>
          <w:sz w:val="20"/>
          <w:szCs w:val="20"/>
        </w:rPr>
        <w:t>1、已中标的，中标（成交）无效；</w:t>
      </w:r>
    </w:p>
    <w:p>
      <w:pPr>
        <w:spacing w:before="160" w:line="227" w:lineRule="auto"/>
        <w:ind w:left="420"/>
        <w:rPr>
          <w:rFonts w:ascii="宋体" w:hAnsi="宋体" w:eastAsia="宋体" w:cs="宋体"/>
          <w:sz w:val="20"/>
          <w:szCs w:val="20"/>
        </w:rPr>
      </w:pPr>
      <w:r>
        <w:rPr>
          <w:rFonts w:ascii="宋体" w:hAnsi="宋体" w:eastAsia="宋体" w:cs="宋体"/>
          <w:spacing w:val="7"/>
          <w:sz w:val="20"/>
          <w:szCs w:val="20"/>
        </w:rPr>
        <w:t>2、支付采购人违约标的预算金额2%的违约金；</w:t>
      </w:r>
    </w:p>
    <w:p>
      <w:pPr>
        <w:spacing w:before="165" w:line="302" w:lineRule="auto"/>
        <w:ind w:left="2" w:right="261" w:firstLine="420"/>
        <w:rPr>
          <w:rFonts w:ascii="宋体" w:hAnsi="宋体" w:eastAsia="宋体" w:cs="宋体"/>
          <w:sz w:val="20"/>
          <w:szCs w:val="20"/>
        </w:rPr>
      </w:pPr>
      <w:r>
        <w:rPr>
          <w:rFonts w:ascii="宋体" w:hAnsi="宋体" w:eastAsia="宋体" w:cs="宋体"/>
          <w:spacing w:val="9"/>
          <w:sz w:val="20"/>
          <w:szCs w:val="20"/>
        </w:rPr>
        <w:t>3、中标后未缴代理服务费的，作为违约及违背诚实</w:t>
      </w:r>
      <w:r>
        <w:rPr>
          <w:rFonts w:ascii="宋体" w:hAnsi="宋体" w:eastAsia="宋体" w:cs="宋体"/>
          <w:spacing w:val="8"/>
          <w:sz w:val="20"/>
          <w:szCs w:val="20"/>
        </w:rPr>
        <w:t>信用原则，在履行承诺前，代理机构将视</w:t>
      </w:r>
      <w:r>
        <w:rPr>
          <w:rFonts w:ascii="宋体" w:hAnsi="宋体" w:eastAsia="宋体" w:cs="宋体"/>
          <w:spacing w:val="7"/>
          <w:sz w:val="20"/>
          <w:szCs w:val="20"/>
        </w:rPr>
        <w:t>我单位为失信企业、不予办理其后相关业务。</w:t>
      </w:r>
    </w:p>
    <w:p>
      <w:pPr>
        <w:spacing w:before="65" w:line="362" w:lineRule="auto"/>
        <w:ind w:left="5" w:right="187" w:firstLine="382"/>
        <w:rPr>
          <w:rFonts w:ascii="宋体" w:hAnsi="宋体" w:eastAsia="宋体" w:cs="宋体"/>
          <w:spacing w:val="2"/>
          <w:sz w:val="20"/>
          <w:szCs w:val="20"/>
        </w:rPr>
      </w:pP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投标人（电子签章）：</w:t>
      </w:r>
    </w:p>
    <w:p>
      <w:pPr>
        <w:spacing w:before="65" w:line="362" w:lineRule="auto"/>
        <w:ind w:left="5" w:right="187" w:firstLine="382"/>
        <w:rPr>
          <w:rFonts w:ascii="宋体" w:hAnsi="宋体" w:eastAsia="宋体" w:cs="宋体"/>
          <w:spacing w:val="2"/>
          <w:sz w:val="20"/>
          <w:szCs w:val="20"/>
        </w:rPr>
      </w:pPr>
      <w:r>
        <w:rPr>
          <w:rFonts w:ascii="宋体" w:hAnsi="宋体" w:eastAsia="宋体" w:cs="宋体"/>
          <w:spacing w:val="2"/>
          <w:sz w:val="20"/>
          <w:szCs w:val="20"/>
        </w:rPr>
        <w:t xml:space="preserve">法定代表人（电子签名或签章）： </w:t>
      </w:r>
    </w:p>
    <w:p>
      <w:pPr>
        <w:pStyle w:val="33"/>
        <w:jc w:val="both"/>
        <w:rPr>
          <w:rFonts w:ascii="宋体" w:hAnsi="宋体" w:eastAsia="宋体" w:cs="宋体"/>
          <w:spacing w:val="2"/>
          <w:sz w:val="20"/>
          <w:szCs w:val="20"/>
        </w:rPr>
      </w:pPr>
      <w:r>
        <w:rPr>
          <w:rFonts w:ascii="宋体" w:hAnsi="宋体" w:eastAsia="宋体" w:cs="宋体"/>
          <w:spacing w:val="2"/>
          <w:sz w:val="20"/>
          <w:szCs w:val="20"/>
        </w:rPr>
        <w:t>日期：   年   月   日</w:t>
      </w:r>
    </w:p>
    <w:p>
      <w:pPr>
        <w:rPr>
          <w:rFonts w:ascii="宋体" w:hAnsi="宋体" w:eastAsia="宋体" w:cs="宋体"/>
          <w:spacing w:val="2"/>
          <w:sz w:val="20"/>
          <w:szCs w:val="20"/>
        </w:rPr>
      </w:pPr>
      <w:r>
        <w:rPr>
          <w:rFonts w:ascii="宋体" w:hAnsi="宋体" w:eastAsia="宋体" w:cs="宋体"/>
          <w:spacing w:val="2"/>
          <w:sz w:val="20"/>
          <w:szCs w:val="20"/>
        </w:rPr>
        <w:br w:type="page"/>
      </w:r>
    </w:p>
    <w:p>
      <w:pPr>
        <w:spacing w:before="59" w:line="219" w:lineRule="auto"/>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pacing w:val="-6"/>
          <w:sz w:val="30"/>
          <w:szCs w:val="30"/>
          <w:lang w:val="en-US" w:eastAsia="zh-CN"/>
        </w:rPr>
        <w:t>12</w:t>
      </w:r>
      <w:r>
        <w:rPr>
          <w:rFonts w:ascii="宋体" w:hAnsi="宋体" w:eastAsia="宋体" w:cs="宋体"/>
          <w:b/>
          <w:bCs/>
          <w:color w:val="auto"/>
          <w:spacing w:val="-6"/>
          <w:sz w:val="30"/>
          <w:szCs w:val="30"/>
        </w:rPr>
        <w:t>、</w:t>
      </w:r>
      <w:r>
        <w:rPr>
          <w:rFonts w:hint="eastAsia" w:ascii="宋体" w:hAnsi="宋体" w:eastAsia="宋体" w:cs="宋体"/>
          <w:b/>
          <w:bCs/>
          <w:color w:val="auto"/>
          <w:spacing w:val="-6"/>
          <w:sz w:val="30"/>
          <w:szCs w:val="30"/>
          <w:lang w:val="en-US" w:eastAsia="zh-CN"/>
        </w:rPr>
        <w:t>采购</w:t>
      </w:r>
      <w:r>
        <w:rPr>
          <w:rFonts w:ascii="宋体" w:hAnsi="宋体" w:eastAsia="宋体" w:cs="宋体"/>
          <w:b/>
          <w:bCs/>
          <w:color w:val="auto"/>
          <w:spacing w:val="-6"/>
          <w:sz w:val="30"/>
          <w:szCs w:val="30"/>
        </w:rPr>
        <w:t>项目</w:t>
      </w:r>
      <w:r>
        <w:rPr>
          <w:rFonts w:hint="eastAsia" w:ascii="宋体" w:hAnsi="宋体" w:eastAsia="宋体" w:cs="宋体"/>
          <w:b/>
          <w:bCs/>
          <w:color w:val="auto"/>
          <w:spacing w:val="-6"/>
          <w:sz w:val="30"/>
          <w:szCs w:val="30"/>
          <w:lang w:val="en-US" w:eastAsia="zh-CN"/>
        </w:rPr>
        <w:t>及技术服务要求所需的其他材料</w:t>
      </w:r>
    </w:p>
    <w:p>
      <w:pPr>
        <w:pStyle w:val="4"/>
        <w:spacing w:line="336" w:lineRule="auto"/>
      </w:pPr>
    </w:p>
    <w:p>
      <w:pPr>
        <w:spacing w:before="65" w:line="362" w:lineRule="auto"/>
        <w:ind w:left="2318" w:hanging="2289"/>
        <w:rPr>
          <w:rFonts w:ascii="宋体" w:hAnsi="宋体" w:eastAsia="宋体" w:cs="宋体"/>
          <w:sz w:val="20"/>
          <w:szCs w:val="20"/>
        </w:rPr>
      </w:pPr>
      <w:r>
        <w:rPr>
          <w:rFonts w:ascii="宋体" w:hAnsi="宋体" w:eastAsia="宋体" w:cs="宋体"/>
          <w:spacing w:val="8"/>
          <w:sz w:val="20"/>
          <w:szCs w:val="20"/>
        </w:rPr>
        <w:t>（按条款需要填列；并按条款要求电子签名&lt;签章&gt;。条款中对电子签名&lt;签章&gt;未作明确要求的，由</w:t>
      </w:r>
      <w:r>
        <w:rPr>
          <w:rFonts w:ascii="宋体" w:hAnsi="宋体" w:eastAsia="宋体" w:cs="宋体"/>
          <w:spacing w:val="7"/>
          <w:sz w:val="20"/>
          <w:szCs w:val="20"/>
        </w:rPr>
        <w:t>法定代表人电子签名&lt;签章&gt;或</w:t>
      </w:r>
      <w:r>
        <w:rPr>
          <w:rFonts w:hint="eastAsia" w:ascii="宋体" w:hAnsi="宋体" w:eastAsia="宋体" w:cs="宋体"/>
          <w:spacing w:val="7"/>
          <w:sz w:val="20"/>
          <w:szCs w:val="20"/>
          <w:lang w:val="en-US" w:eastAsia="zh-CN"/>
        </w:rPr>
        <w:t>投标人</w:t>
      </w:r>
      <w:r>
        <w:rPr>
          <w:rFonts w:ascii="宋体" w:hAnsi="宋体" w:eastAsia="宋体" w:cs="宋体"/>
          <w:spacing w:val="7"/>
          <w:sz w:val="20"/>
          <w:szCs w:val="20"/>
        </w:rPr>
        <w:t>电子签章）</w:t>
      </w:r>
    </w:p>
    <w:p>
      <w:pPr>
        <w:pStyle w:val="4"/>
        <w:spacing w:line="246" w:lineRule="auto"/>
      </w:pPr>
    </w:p>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7" w:lineRule="auto"/>
      </w:pPr>
    </w:p>
    <w:p>
      <w:pPr>
        <w:spacing w:before="98" w:line="219" w:lineRule="auto"/>
        <w:jc w:val="center"/>
        <w:rPr>
          <w:rFonts w:ascii="宋体" w:hAnsi="宋体" w:eastAsia="宋体" w:cs="宋体"/>
          <w:sz w:val="30"/>
          <w:szCs w:val="30"/>
        </w:rPr>
      </w:pPr>
      <w:r>
        <w:rPr>
          <w:rFonts w:hint="eastAsia" w:ascii="宋体" w:hAnsi="宋体" w:eastAsia="宋体" w:cs="宋体"/>
          <w:b/>
          <w:bCs/>
          <w:spacing w:val="-7"/>
          <w:sz w:val="30"/>
          <w:szCs w:val="30"/>
          <w:lang w:val="en-US" w:eastAsia="zh-CN"/>
        </w:rPr>
        <w:t>13</w:t>
      </w:r>
      <w:r>
        <w:rPr>
          <w:rFonts w:ascii="宋体" w:hAnsi="宋体" w:eastAsia="宋体" w:cs="宋体"/>
          <w:b/>
          <w:bCs/>
          <w:spacing w:val="-7"/>
          <w:sz w:val="30"/>
          <w:szCs w:val="30"/>
        </w:rPr>
        <w:t>、</w:t>
      </w:r>
      <w:r>
        <w:rPr>
          <w:rFonts w:hint="eastAsia" w:ascii="宋体" w:hAnsi="宋体" w:eastAsia="宋体" w:cs="宋体"/>
          <w:b/>
          <w:bCs/>
          <w:spacing w:val="-7"/>
          <w:sz w:val="30"/>
          <w:szCs w:val="30"/>
          <w:lang w:val="en-US" w:eastAsia="zh-CN"/>
        </w:rPr>
        <w:t>投标人</w:t>
      </w:r>
      <w:r>
        <w:rPr>
          <w:rFonts w:ascii="宋体" w:hAnsi="宋体" w:eastAsia="宋体" w:cs="宋体"/>
          <w:b/>
          <w:bCs/>
          <w:spacing w:val="-7"/>
          <w:sz w:val="30"/>
          <w:szCs w:val="30"/>
        </w:rPr>
        <w:t>须知所需的其他材料</w:t>
      </w:r>
    </w:p>
    <w:p>
      <w:pPr>
        <w:pStyle w:val="4"/>
        <w:spacing w:line="334" w:lineRule="auto"/>
      </w:pPr>
    </w:p>
    <w:p>
      <w:pPr>
        <w:spacing w:before="65" w:line="362" w:lineRule="auto"/>
        <w:ind w:left="2318" w:hanging="2289"/>
        <w:rPr>
          <w:rFonts w:ascii="宋体" w:hAnsi="宋体" w:eastAsia="宋体" w:cs="宋体"/>
          <w:sz w:val="20"/>
          <w:szCs w:val="20"/>
        </w:rPr>
      </w:pPr>
      <w:r>
        <w:rPr>
          <w:rFonts w:ascii="宋体" w:hAnsi="宋体" w:eastAsia="宋体" w:cs="宋体"/>
          <w:spacing w:val="8"/>
          <w:sz w:val="20"/>
          <w:szCs w:val="20"/>
        </w:rPr>
        <w:t>（按条款需要填列；并按条款要求电子签名&lt;签章&gt;。条款中对电子签名&lt;签章&gt;未作明确要求的，由</w:t>
      </w:r>
      <w:r>
        <w:rPr>
          <w:rFonts w:ascii="宋体" w:hAnsi="宋体" w:eastAsia="宋体" w:cs="宋体"/>
          <w:spacing w:val="7"/>
          <w:sz w:val="20"/>
          <w:szCs w:val="20"/>
        </w:rPr>
        <w:t>法定代表人电子签名&lt;签章&gt;或</w:t>
      </w:r>
      <w:r>
        <w:rPr>
          <w:rFonts w:hint="eastAsia" w:ascii="宋体" w:hAnsi="宋体" w:eastAsia="宋体" w:cs="宋体"/>
          <w:spacing w:val="7"/>
          <w:sz w:val="20"/>
          <w:szCs w:val="20"/>
          <w:lang w:val="en-US" w:eastAsia="zh-CN"/>
        </w:rPr>
        <w:t>投标人</w:t>
      </w:r>
      <w:r>
        <w:rPr>
          <w:rFonts w:ascii="宋体" w:hAnsi="宋体" w:eastAsia="宋体" w:cs="宋体"/>
          <w:spacing w:val="7"/>
          <w:sz w:val="20"/>
          <w:szCs w:val="20"/>
        </w:rPr>
        <w:t>电子签章）</w:t>
      </w:r>
    </w:p>
    <w:p>
      <w:pPr>
        <w:pStyle w:val="4"/>
        <w:spacing w:line="268" w:lineRule="auto"/>
      </w:pPr>
    </w:p>
    <w:p>
      <w:pPr>
        <w:pStyle w:val="4"/>
        <w:spacing w:line="268" w:lineRule="auto"/>
      </w:pPr>
    </w:p>
    <w:p>
      <w:pPr>
        <w:pStyle w:val="4"/>
        <w:spacing w:line="268" w:lineRule="auto"/>
      </w:pPr>
    </w:p>
    <w:p>
      <w:pPr>
        <w:pStyle w:val="4"/>
        <w:spacing w:line="268" w:lineRule="auto"/>
      </w:pPr>
    </w:p>
    <w:p>
      <w:pPr>
        <w:pStyle w:val="4"/>
        <w:spacing w:line="268" w:lineRule="auto"/>
      </w:pPr>
    </w:p>
    <w:p>
      <w:pPr>
        <w:pStyle w:val="4"/>
        <w:spacing w:line="269" w:lineRule="auto"/>
      </w:pPr>
    </w:p>
    <w:p>
      <w:pPr>
        <w:pStyle w:val="4"/>
        <w:spacing w:line="269" w:lineRule="auto"/>
      </w:pPr>
    </w:p>
    <w:p>
      <w:pPr>
        <w:pStyle w:val="4"/>
        <w:spacing w:line="269" w:lineRule="auto"/>
      </w:pPr>
    </w:p>
    <w:p>
      <w:pPr>
        <w:spacing w:before="97" w:line="219" w:lineRule="auto"/>
        <w:jc w:val="center"/>
        <w:rPr>
          <w:rFonts w:ascii="宋体" w:hAnsi="宋体" w:eastAsia="宋体" w:cs="宋体"/>
          <w:sz w:val="30"/>
          <w:szCs w:val="30"/>
        </w:rPr>
      </w:pPr>
      <w:r>
        <w:rPr>
          <w:rFonts w:hint="eastAsia" w:ascii="宋体" w:hAnsi="宋体" w:eastAsia="宋体" w:cs="宋体"/>
          <w:b/>
          <w:bCs/>
          <w:spacing w:val="-7"/>
          <w:sz w:val="30"/>
          <w:szCs w:val="30"/>
          <w:lang w:val="en-US" w:eastAsia="zh-CN"/>
        </w:rPr>
        <w:t>14</w:t>
      </w:r>
      <w:r>
        <w:rPr>
          <w:rFonts w:ascii="宋体" w:hAnsi="宋体" w:eastAsia="宋体" w:cs="宋体"/>
          <w:b/>
          <w:bCs/>
          <w:spacing w:val="-7"/>
          <w:sz w:val="30"/>
          <w:szCs w:val="30"/>
        </w:rPr>
        <w:t>、评审办法所需的其他材料</w:t>
      </w:r>
    </w:p>
    <w:p>
      <w:pPr>
        <w:pStyle w:val="4"/>
        <w:spacing w:line="336" w:lineRule="auto"/>
      </w:pPr>
    </w:p>
    <w:p>
      <w:pPr>
        <w:spacing w:before="65" w:line="362" w:lineRule="auto"/>
        <w:ind w:left="2318" w:hanging="2289"/>
        <w:rPr>
          <w:rFonts w:ascii="宋体" w:hAnsi="宋体" w:eastAsia="宋体" w:cs="宋体"/>
          <w:spacing w:val="7"/>
          <w:sz w:val="20"/>
          <w:szCs w:val="20"/>
        </w:rPr>
      </w:pPr>
      <w:r>
        <w:rPr>
          <w:rFonts w:ascii="宋体" w:hAnsi="宋体" w:eastAsia="宋体" w:cs="宋体"/>
          <w:spacing w:val="8"/>
          <w:sz w:val="20"/>
          <w:szCs w:val="20"/>
        </w:rPr>
        <w:t>（按条款需要填列；并按条款要求电子签名&lt;签章&gt;。条款中对电子签名&lt;签章&gt;未作明确要求的，由</w:t>
      </w:r>
      <w:r>
        <w:rPr>
          <w:rFonts w:ascii="宋体" w:hAnsi="宋体" w:eastAsia="宋体" w:cs="宋体"/>
          <w:spacing w:val="7"/>
          <w:sz w:val="20"/>
          <w:szCs w:val="20"/>
        </w:rPr>
        <w:t>法定代表人电子签名&lt;签章&gt;或</w:t>
      </w:r>
      <w:r>
        <w:rPr>
          <w:rFonts w:hint="eastAsia" w:ascii="宋体" w:hAnsi="宋体" w:eastAsia="宋体" w:cs="宋体"/>
          <w:spacing w:val="7"/>
          <w:sz w:val="20"/>
          <w:szCs w:val="20"/>
          <w:lang w:val="en-US" w:eastAsia="zh-CN"/>
        </w:rPr>
        <w:t>投标人</w:t>
      </w:r>
      <w:r>
        <w:rPr>
          <w:rFonts w:ascii="宋体" w:hAnsi="宋体" w:eastAsia="宋体" w:cs="宋体"/>
          <w:spacing w:val="7"/>
          <w:sz w:val="20"/>
          <w:szCs w:val="20"/>
        </w:rPr>
        <w:t>电子签章）</w:t>
      </w:r>
    </w:p>
    <w:p>
      <w:pPr>
        <w:spacing w:before="65" w:line="362" w:lineRule="auto"/>
        <w:ind w:left="2318" w:hanging="2289"/>
        <w:rPr>
          <w:rFonts w:ascii="宋体" w:hAnsi="宋体" w:eastAsia="宋体" w:cs="宋体"/>
          <w:spacing w:val="7"/>
          <w:sz w:val="20"/>
          <w:szCs w:val="20"/>
        </w:rPr>
      </w:pPr>
    </w:p>
    <w:p>
      <w:pPr>
        <w:spacing w:before="97" w:line="219" w:lineRule="auto"/>
        <w:jc w:val="center"/>
        <w:rPr>
          <w:rFonts w:ascii="宋体" w:hAnsi="宋体" w:eastAsia="宋体" w:cs="宋体"/>
          <w:b/>
          <w:bCs/>
          <w:spacing w:val="-6"/>
          <w:sz w:val="30"/>
          <w:szCs w:val="30"/>
        </w:rPr>
      </w:pPr>
    </w:p>
    <w:p>
      <w:pPr>
        <w:spacing w:before="97" w:line="219" w:lineRule="auto"/>
        <w:jc w:val="center"/>
        <w:rPr>
          <w:rFonts w:ascii="宋体" w:hAnsi="宋体" w:eastAsia="宋体" w:cs="宋体"/>
          <w:b/>
          <w:bCs/>
          <w:spacing w:val="-6"/>
          <w:sz w:val="30"/>
          <w:szCs w:val="30"/>
        </w:rPr>
      </w:pPr>
    </w:p>
    <w:p>
      <w:pPr>
        <w:spacing w:before="97" w:line="219"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15</w:t>
      </w:r>
      <w:r>
        <w:rPr>
          <w:rFonts w:ascii="宋体" w:hAnsi="宋体" w:eastAsia="宋体" w:cs="宋体"/>
          <w:b/>
          <w:bCs/>
          <w:spacing w:val="-6"/>
          <w:sz w:val="30"/>
          <w:szCs w:val="30"/>
        </w:rPr>
        <w:t>、</w:t>
      </w:r>
      <w:r>
        <w:rPr>
          <w:rFonts w:hint="eastAsia" w:ascii="宋体" w:hAnsi="宋体" w:eastAsia="宋体" w:cs="宋体"/>
          <w:b/>
          <w:bCs/>
          <w:spacing w:val="-6"/>
          <w:sz w:val="30"/>
          <w:szCs w:val="30"/>
          <w:lang w:val="en-US" w:eastAsia="zh-CN"/>
        </w:rPr>
        <w:t>投标人</w:t>
      </w:r>
      <w:r>
        <w:rPr>
          <w:rFonts w:ascii="宋体" w:hAnsi="宋体" w:eastAsia="宋体" w:cs="宋体"/>
          <w:b/>
          <w:bCs/>
          <w:spacing w:val="-6"/>
          <w:sz w:val="30"/>
          <w:szCs w:val="30"/>
        </w:rPr>
        <w:t>认为有必要提交的其它材料</w:t>
      </w:r>
    </w:p>
    <w:p>
      <w:pPr>
        <w:spacing w:before="65" w:line="362" w:lineRule="auto"/>
        <w:ind w:left="2318" w:hanging="2289"/>
        <w:rPr>
          <w:rFonts w:ascii="宋体" w:hAnsi="宋体" w:eastAsia="宋体" w:cs="宋体"/>
          <w:spacing w:val="7"/>
          <w:sz w:val="20"/>
          <w:szCs w:val="20"/>
        </w:rPr>
      </w:pPr>
    </w:p>
    <w:p>
      <w:pPr>
        <w:pStyle w:val="33"/>
        <w:jc w:val="both"/>
        <w:rPr>
          <w:rFonts w:hint="eastAsia" w:ascii="宋体" w:hAnsi="宋体" w:eastAsia="宋体" w:cs="宋体"/>
          <w:spacing w:val="2"/>
          <w:sz w:val="20"/>
          <w:szCs w:val="20"/>
          <w:lang w:eastAsia="en-US"/>
        </w:rPr>
      </w:pPr>
    </w:p>
    <w:sectPr>
      <w:pgSz w:w="11906" w:h="16838"/>
      <w:pgMar w:top="1440" w:right="1080" w:bottom="1440" w:left="1080" w:header="1077"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90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90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91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A210F"/>
    <w:multiLevelType w:val="singleLevel"/>
    <w:tmpl w:val="B3DA210F"/>
    <w:lvl w:ilvl="0" w:tentative="0">
      <w:start w:val="1"/>
      <w:numFmt w:val="decimal"/>
      <w:suff w:val="nothing"/>
      <w:lvlText w:val="%1."/>
      <w:lvlJc w:val="left"/>
      <w:pPr>
        <w:ind w:left="425" w:hanging="425"/>
      </w:pPr>
      <w:rPr>
        <w:rFonts w:hint="default"/>
      </w:rPr>
    </w:lvl>
  </w:abstractNum>
  <w:abstractNum w:abstractNumId="1">
    <w:nsid w:val="BCA24FDE"/>
    <w:multiLevelType w:val="singleLevel"/>
    <w:tmpl w:val="BCA24FDE"/>
    <w:lvl w:ilvl="0" w:tentative="0">
      <w:start w:val="1"/>
      <w:numFmt w:val="decimal"/>
      <w:suff w:val="nothing"/>
      <w:lvlText w:val="%1."/>
      <w:lvlJc w:val="left"/>
      <w:pPr>
        <w:ind w:left="575" w:hanging="425"/>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5829A4"/>
    <w:multiLevelType w:val="singleLevel"/>
    <w:tmpl w:val="E65829A4"/>
    <w:lvl w:ilvl="0" w:tentative="0">
      <w:start w:val="1"/>
      <w:numFmt w:val="decimal"/>
      <w:suff w:val="nothing"/>
      <w:lvlText w:val="%1."/>
      <w:lvlJc w:val="left"/>
      <w:pPr>
        <w:ind w:left="575" w:hanging="425"/>
      </w:pPr>
      <w:rPr>
        <w:rFonts w:hint="default"/>
      </w:rPr>
    </w:lvl>
  </w:abstractNum>
  <w:abstractNum w:abstractNumId="8">
    <w:nsid w:val="FEE89F45"/>
    <w:multiLevelType w:val="singleLevel"/>
    <w:tmpl w:val="FEE89F45"/>
    <w:lvl w:ilvl="0" w:tentative="0">
      <w:start w:val="1"/>
      <w:numFmt w:val="decimal"/>
      <w:lvlText w:val="%1."/>
      <w:lvlJc w:val="left"/>
      <w:pPr>
        <w:ind w:left="425" w:hanging="425"/>
      </w:pPr>
      <w:rPr>
        <w:rFonts w:hint="default"/>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69B7B3F"/>
    <w:multiLevelType w:val="singleLevel"/>
    <w:tmpl w:val="069B7B3F"/>
    <w:lvl w:ilvl="0" w:tentative="0">
      <w:start w:val="1"/>
      <w:numFmt w:val="decimal"/>
      <w:suff w:val="nothing"/>
      <w:lvlText w:val="%1."/>
      <w:lvlJc w:val="left"/>
      <w:pPr>
        <w:ind w:left="575" w:hanging="425"/>
      </w:pPr>
      <w:rPr>
        <w:rFonts w:hint="default"/>
      </w:rPr>
    </w:lvl>
  </w:abstractNum>
  <w:abstractNum w:abstractNumId="11">
    <w:nsid w:val="1108A186"/>
    <w:multiLevelType w:val="singleLevel"/>
    <w:tmpl w:val="1108A186"/>
    <w:lvl w:ilvl="0" w:tentative="0">
      <w:start w:val="1"/>
      <w:numFmt w:val="decimal"/>
      <w:suff w:val="nothing"/>
      <w:lvlText w:val="%1．"/>
      <w:lvlJc w:val="left"/>
    </w:lvl>
  </w:abstractNum>
  <w:abstractNum w:abstractNumId="12">
    <w:nsid w:val="170D3C4A"/>
    <w:multiLevelType w:val="singleLevel"/>
    <w:tmpl w:val="170D3C4A"/>
    <w:lvl w:ilvl="0" w:tentative="0">
      <w:start w:val="1"/>
      <w:numFmt w:val="decimal"/>
      <w:lvlText w:val="%1."/>
      <w:lvlJc w:val="left"/>
      <w:pPr>
        <w:ind w:left="425" w:hanging="425"/>
      </w:pPr>
      <w:rPr>
        <w:rFonts w:hint="default"/>
      </w:rPr>
    </w:lvl>
  </w:abstractNum>
  <w:abstractNum w:abstractNumId="13">
    <w:nsid w:val="65DED273"/>
    <w:multiLevelType w:val="singleLevel"/>
    <w:tmpl w:val="65DED273"/>
    <w:lvl w:ilvl="0" w:tentative="0">
      <w:start w:val="5"/>
      <w:numFmt w:val="decimal"/>
      <w:suff w:val="nothing"/>
      <w:lvlText w:val="（%1）"/>
      <w:lvlJc w:val="left"/>
    </w:lvl>
  </w:abstractNum>
  <w:abstractNum w:abstractNumId="14">
    <w:nsid w:val="6FC219D3"/>
    <w:multiLevelType w:val="singleLevel"/>
    <w:tmpl w:val="6FC219D3"/>
    <w:lvl w:ilvl="0" w:tentative="0">
      <w:start w:val="1"/>
      <w:numFmt w:val="decimal"/>
      <w:suff w:val="nothing"/>
      <w:lvlText w:val="%1."/>
      <w:lvlJc w:val="left"/>
      <w:pPr>
        <w:ind w:left="425" w:hanging="425"/>
      </w:pPr>
      <w:rPr>
        <w:rFonts w:hint="default"/>
      </w:rPr>
    </w:lvl>
  </w:abstractNum>
  <w:abstractNum w:abstractNumId="15">
    <w:nsid w:val="787E171C"/>
    <w:multiLevelType w:val="singleLevel"/>
    <w:tmpl w:val="787E171C"/>
    <w:lvl w:ilvl="0" w:tentative="0">
      <w:start w:val="1"/>
      <w:numFmt w:val="decimal"/>
      <w:suff w:val="nothing"/>
      <w:lvlText w:val="%1."/>
      <w:lvlJc w:val="left"/>
      <w:pPr>
        <w:ind w:left="425" w:hanging="425"/>
      </w:pPr>
      <w:rPr>
        <w:rFonts w:hint="default"/>
      </w:rPr>
    </w:lvl>
  </w:abstractNum>
  <w:abstractNum w:abstractNumId="16">
    <w:nsid w:val="7A0F6431"/>
    <w:multiLevelType w:val="singleLevel"/>
    <w:tmpl w:val="7A0F6431"/>
    <w:lvl w:ilvl="0" w:tentative="0">
      <w:start w:val="1"/>
      <w:numFmt w:val="decimal"/>
      <w:suff w:val="space"/>
      <w:lvlText w:val="%1."/>
      <w:lvlJc w:val="left"/>
    </w:lvl>
  </w:abstractNum>
  <w:num w:numId="1">
    <w:abstractNumId w:val="13"/>
  </w:num>
  <w:num w:numId="2">
    <w:abstractNumId w:val="8"/>
  </w:num>
  <w:num w:numId="3">
    <w:abstractNumId w:val="0"/>
  </w:num>
  <w:num w:numId="4">
    <w:abstractNumId w:val="12"/>
  </w:num>
  <w:num w:numId="5">
    <w:abstractNumId w:val="15"/>
  </w:num>
  <w:num w:numId="6">
    <w:abstractNumId w:val="14"/>
  </w:num>
  <w:num w:numId="7">
    <w:abstractNumId w:val="1"/>
  </w:num>
  <w:num w:numId="8">
    <w:abstractNumId w:val="7"/>
  </w:num>
  <w:num w:numId="9">
    <w:abstractNumId w:val="10"/>
  </w:num>
  <w:num w:numId="10">
    <w:abstractNumId w:val="11"/>
  </w:num>
  <w:num w:numId="11">
    <w:abstractNumId w:val="16"/>
  </w:num>
  <w:num w:numId="12">
    <w:abstractNumId w:val="3"/>
  </w:num>
  <w:num w:numId="13">
    <w:abstractNumId w:val="9"/>
  </w:num>
  <w:num w:numId="14">
    <w:abstractNumId w:val="5"/>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zNlODk4YzZlOTZiM2E0NDFhYWFlNTA0NzAzYzAifQ=="/>
  </w:docVars>
  <w:rsids>
    <w:rsidRoot w:val="00000000"/>
    <w:rsid w:val="02352C9E"/>
    <w:rsid w:val="038F71C9"/>
    <w:rsid w:val="03E22D44"/>
    <w:rsid w:val="0438746F"/>
    <w:rsid w:val="055575CC"/>
    <w:rsid w:val="06463A27"/>
    <w:rsid w:val="06CA7ECF"/>
    <w:rsid w:val="0768220B"/>
    <w:rsid w:val="07BE62CF"/>
    <w:rsid w:val="08503E9F"/>
    <w:rsid w:val="09D01A96"/>
    <w:rsid w:val="0A106CE6"/>
    <w:rsid w:val="0A310FA7"/>
    <w:rsid w:val="0A622E12"/>
    <w:rsid w:val="0BB11218"/>
    <w:rsid w:val="0D9F64C7"/>
    <w:rsid w:val="0DA0467A"/>
    <w:rsid w:val="0F4B669A"/>
    <w:rsid w:val="0FAC5BB2"/>
    <w:rsid w:val="118E4269"/>
    <w:rsid w:val="12A613EA"/>
    <w:rsid w:val="13094489"/>
    <w:rsid w:val="13AF3905"/>
    <w:rsid w:val="13F12538"/>
    <w:rsid w:val="155545A1"/>
    <w:rsid w:val="15630AC1"/>
    <w:rsid w:val="163268F5"/>
    <w:rsid w:val="16F124A6"/>
    <w:rsid w:val="170D4493"/>
    <w:rsid w:val="17403BAA"/>
    <w:rsid w:val="19DE5F80"/>
    <w:rsid w:val="1C8C02F2"/>
    <w:rsid w:val="1CBB11FB"/>
    <w:rsid w:val="1DEA0486"/>
    <w:rsid w:val="1E471139"/>
    <w:rsid w:val="1E4F2174"/>
    <w:rsid w:val="1F807C93"/>
    <w:rsid w:val="20743F8D"/>
    <w:rsid w:val="20A90BD3"/>
    <w:rsid w:val="2442084B"/>
    <w:rsid w:val="244E5D2F"/>
    <w:rsid w:val="2486496B"/>
    <w:rsid w:val="253908EB"/>
    <w:rsid w:val="26102C21"/>
    <w:rsid w:val="265417B0"/>
    <w:rsid w:val="268A615D"/>
    <w:rsid w:val="274C4620"/>
    <w:rsid w:val="297665B1"/>
    <w:rsid w:val="2A32072A"/>
    <w:rsid w:val="2BC11DE8"/>
    <w:rsid w:val="2BEC79C1"/>
    <w:rsid w:val="2D03015C"/>
    <w:rsid w:val="2E0B092E"/>
    <w:rsid w:val="3027245F"/>
    <w:rsid w:val="30C520EF"/>
    <w:rsid w:val="318F1772"/>
    <w:rsid w:val="31BE1ECE"/>
    <w:rsid w:val="33F46D1E"/>
    <w:rsid w:val="351F48D1"/>
    <w:rsid w:val="353404B7"/>
    <w:rsid w:val="35CF5895"/>
    <w:rsid w:val="367E3EB4"/>
    <w:rsid w:val="36E04B49"/>
    <w:rsid w:val="36FB4068"/>
    <w:rsid w:val="37380C98"/>
    <w:rsid w:val="375A3C60"/>
    <w:rsid w:val="378A2D25"/>
    <w:rsid w:val="39F51F5B"/>
    <w:rsid w:val="3A404BD8"/>
    <w:rsid w:val="3A8C27F3"/>
    <w:rsid w:val="3AB12A8B"/>
    <w:rsid w:val="3B175DC8"/>
    <w:rsid w:val="3B3A743F"/>
    <w:rsid w:val="3CE103B3"/>
    <w:rsid w:val="3D3A54E9"/>
    <w:rsid w:val="3D5E70EB"/>
    <w:rsid w:val="3F8E6043"/>
    <w:rsid w:val="412A4A46"/>
    <w:rsid w:val="41CB5EEE"/>
    <w:rsid w:val="442476FC"/>
    <w:rsid w:val="44BA098B"/>
    <w:rsid w:val="450A7602"/>
    <w:rsid w:val="450F101D"/>
    <w:rsid w:val="45137190"/>
    <w:rsid w:val="47106179"/>
    <w:rsid w:val="49E55F8C"/>
    <w:rsid w:val="4A3E05CE"/>
    <w:rsid w:val="4BB74FCE"/>
    <w:rsid w:val="4BF14402"/>
    <w:rsid w:val="4C373527"/>
    <w:rsid w:val="4E047C76"/>
    <w:rsid w:val="4EE32653"/>
    <w:rsid w:val="4FF221D7"/>
    <w:rsid w:val="50BA1C23"/>
    <w:rsid w:val="54282ED5"/>
    <w:rsid w:val="54C142D5"/>
    <w:rsid w:val="55266AD4"/>
    <w:rsid w:val="57132E60"/>
    <w:rsid w:val="58CE4008"/>
    <w:rsid w:val="5978607E"/>
    <w:rsid w:val="5CD050B5"/>
    <w:rsid w:val="5D6D6DA8"/>
    <w:rsid w:val="5D804D2D"/>
    <w:rsid w:val="5DE7018A"/>
    <w:rsid w:val="5E060DB7"/>
    <w:rsid w:val="5E8C7829"/>
    <w:rsid w:val="600344AB"/>
    <w:rsid w:val="622C0FFC"/>
    <w:rsid w:val="62EF2CA0"/>
    <w:rsid w:val="636C42B9"/>
    <w:rsid w:val="639A55CE"/>
    <w:rsid w:val="65BF4023"/>
    <w:rsid w:val="668C0197"/>
    <w:rsid w:val="66C20165"/>
    <w:rsid w:val="67184229"/>
    <w:rsid w:val="67405ABD"/>
    <w:rsid w:val="68172CBB"/>
    <w:rsid w:val="68C65138"/>
    <w:rsid w:val="6A392586"/>
    <w:rsid w:val="6A9F07BD"/>
    <w:rsid w:val="6B621F16"/>
    <w:rsid w:val="6E35014A"/>
    <w:rsid w:val="6F7F09C9"/>
    <w:rsid w:val="710E3FA6"/>
    <w:rsid w:val="71C70D25"/>
    <w:rsid w:val="730D6C0C"/>
    <w:rsid w:val="73C632F5"/>
    <w:rsid w:val="73F676A0"/>
    <w:rsid w:val="74297DBB"/>
    <w:rsid w:val="7469210F"/>
    <w:rsid w:val="74E07ADD"/>
    <w:rsid w:val="750E0A19"/>
    <w:rsid w:val="75B27C9D"/>
    <w:rsid w:val="78671561"/>
    <w:rsid w:val="79C86E88"/>
    <w:rsid w:val="7A0F6DCF"/>
    <w:rsid w:val="7A37018F"/>
    <w:rsid w:val="7A6F4173"/>
    <w:rsid w:val="7B966616"/>
    <w:rsid w:val="7D051E03"/>
    <w:rsid w:val="7E7D5C00"/>
    <w:rsid w:val="7EAC6EAA"/>
    <w:rsid w:val="7EE35528"/>
    <w:rsid w:val="7F0871EA"/>
    <w:rsid w:val="7FA60022"/>
    <w:rsid w:val="7FFD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3"/>
    <w:basedOn w:val="1"/>
    <w:next w:val="1"/>
    <w:qFormat/>
    <w:uiPriority w:val="1"/>
    <w:pPr>
      <w:spacing w:before="58"/>
      <w:ind w:left="1007" w:right="1469"/>
      <w:jc w:val="center"/>
      <w:outlineLvl w:val="3"/>
    </w:pPr>
    <w:rPr>
      <w:rFonts w:ascii="黑体" w:hAnsi="黑体" w:eastAsia="黑体" w:cs="黑体"/>
      <w:b/>
      <w:bCs/>
      <w:sz w:val="30"/>
      <w:szCs w:val="30"/>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customStyle="1" w:styleId="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autoRedefine/>
    <w:qFormat/>
    <w:uiPriority w:val="0"/>
    <w:pPr>
      <w:spacing w:after="120"/>
      <w:ind w:left="420" w:leftChars="200"/>
    </w:pPr>
  </w:style>
  <w:style w:type="paragraph" w:styleId="7">
    <w:name w:val="List 2"/>
    <w:basedOn w:val="1"/>
    <w:autoRedefine/>
    <w:qFormat/>
    <w:uiPriority w:val="0"/>
    <w:pPr>
      <w:suppressAutoHyphens/>
      <w:ind w:left="100" w:hanging="200"/>
    </w:pPr>
    <w:rPr>
      <w:rFonts w:ascii="宋体" w:hAnsi="宋体" w:cs="宋体"/>
      <w:kern w:val="1"/>
      <w:sz w:val="24"/>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footnote text"/>
    <w:basedOn w:val="1"/>
    <w:autoRedefine/>
    <w:qFormat/>
    <w:uiPriority w:val="0"/>
    <w:pPr>
      <w:autoSpaceDE/>
      <w:autoSpaceDN/>
      <w:snapToGrid w:val="0"/>
      <w:jc w:val="both"/>
    </w:pPr>
    <w:rPr>
      <w:rFonts w:ascii="Times New Roman" w:hAnsi="Times New Roman" w:eastAsia="宋体" w:cs="Times New Roman"/>
      <w:kern w:val="2"/>
      <w:sz w:val="18"/>
      <w:szCs w:val="18"/>
      <w:lang w:val="en-US" w:eastAsia="zh-CN" w:bidi="ar-SA"/>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16">
    <w:name w:val="Body Text First Indent"/>
    <w:basedOn w:val="4"/>
    <w:next w:val="1"/>
    <w:autoRedefine/>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HTML Definition"/>
    <w:basedOn w:val="19"/>
    <w:autoRedefine/>
    <w:qFormat/>
    <w:uiPriority w:val="0"/>
  </w:style>
  <w:style w:type="character" w:styleId="23">
    <w:name w:val="HTML Typewriter"/>
    <w:basedOn w:val="19"/>
    <w:autoRedefine/>
    <w:qFormat/>
    <w:uiPriority w:val="0"/>
    <w:rPr>
      <w:rFonts w:ascii="monospace" w:hAnsi="monospace" w:eastAsia="monospace" w:cs="monospace"/>
      <w:color w:val="333333"/>
      <w:sz w:val="21"/>
      <w:szCs w:val="21"/>
      <w:shd w:val="clear" w:fill="F8F8F8"/>
    </w:rPr>
  </w:style>
  <w:style w:type="character" w:styleId="24">
    <w:name w:val="HTML Acronym"/>
    <w:basedOn w:val="19"/>
    <w:autoRedefine/>
    <w:qFormat/>
    <w:uiPriority w:val="0"/>
  </w:style>
  <w:style w:type="character" w:styleId="25">
    <w:name w:val="HTML Variable"/>
    <w:basedOn w:val="19"/>
    <w:autoRedefine/>
    <w:qFormat/>
    <w:uiPriority w:val="0"/>
  </w:style>
  <w:style w:type="character" w:styleId="26">
    <w:name w:val="Hyperlink"/>
    <w:basedOn w:val="19"/>
    <w:autoRedefine/>
    <w:qFormat/>
    <w:uiPriority w:val="0"/>
    <w:rPr>
      <w:color w:val="0000FF"/>
      <w:u w:val="none"/>
    </w:rPr>
  </w:style>
  <w:style w:type="character" w:styleId="27">
    <w:name w:val="HTML Code"/>
    <w:basedOn w:val="19"/>
    <w:autoRedefine/>
    <w:qFormat/>
    <w:uiPriority w:val="0"/>
    <w:rPr>
      <w:rFonts w:hint="default" w:ascii="monospace" w:hAnsi="monospace" w:eastAsia="monospace" w:cs="monospace"/>
      <w:sz w:val="20"/>
    </w:rPr>
  </w:style>
  <w:style w:type="character" w:styleId="28">
    <w:name w:val="HTML Cite"/>
    <w:basedOn w:val="19"/>
    <w:autoRedefine/>
    <w:qFormat/>
    <w:uiPriority w:val="0"/>
  </w:style>
  <w:style w:type="character" w:styleId="29">
    <w:name w:val="HTML Keyboard"/>
    <w:basedOn w:val="19"/>
    <w:autoRedefine/>
    <w:qFormat/>
    <w:uiPriority w:val="0"/>
    <w:rPr>
      <w:rFonts w:hint="default" w:ascii="monospace" w:hAnsi="monospace" w:eastAsia="monospace" w:cs="monospace"/>
      <w:sz w:val="20"/>
    </w:rPr>
  </w:style>
  <w:style w:type="character" w:styleId="30">
    <w:name w:val="HTML Sample"/>
    <w:basedOn w:val="19"/>
    <w:autoRedefine/>
    <w:qFormat/>
    <w:uiPriority w:val="0"/>
    <w:rPr>
      <w:rFonts w:hint="default" w:ascii="monospace" w:hAnsi="monospace" w:eastAsia="monospace" w:cs="monospace"/>
    </w:rPr>
  </w:style>
  <w:style w:type="paragraph" w:customStyle="1" w:styleId="31">
    <w:name w:val="BodyText1I"/>
    <w:basedOn w:val="32"/>
    <w:autoRedefine/>
    <w:qFormat/>
    <w:uiPriority w:val="99"/>
    <w:pPr>
      <w:spacing w:after="120"/>
      <w:ind w:firstLine="420" w:firstLineChars="100"/>
    </w:pPr>
  </w:style>
  <w:style w:type="paragraph" w:customStyle="1" w:styleId="32">
    <w:name w:val="BodyText"/>
    <w:basedOn w:val="1"/>
    <w:autoRedefine/>
    <w:qFormat/>
    <w:uiPriority w:val="99"/>
    <w:pPr>
      <w:spacing w:after="120"/>
    </w:pPr>
  </w:style>
  <w:style w:type="paragraph" w:customStyle="1" w:styleId="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Table Text"/>
    <w:basedOn w:val="1"/>
    <w:autoRedefine/>
    <w:semiHidden/>
    <w:qFormat/>
    <w:uiPriority w:val="0"/>
    <w:rPr>
      <w:rFonts w:ascii="宋体" w:hAnsi="宋体" w:eastAsia="宋体" w:cs="宋体"/>
      <w:sz w:val="24"/>
      <w:szCs w:val="24"/>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
    <w:name w:val="WPSOffice手动目录 3"/>
    <w:autoRedefine/>
    <w:qFormat/>
    <w:uiPriority w:val="0"/>
    <w:pPr>
      <w:ind w:leftChars="400"/>
    </w:pPr>
    <w:rPr>
      <w:rFonts w:ascii="Times New Roman" w:hAnsi="Times New Roman" w:eastAsia="宋体" w:cs="Times New Roman"/>
      <w:sz w:val="20"/>
      <w:szCs w:val="20"/>
    </w:rPr>
  </w:style>
  <w:style w:type="paragraph" w:customStyle="1" w:styleId="39">
    <w:name w:val="列出段落1"/>
    <w:basedOn w:val="1"/>
    <w:autoRedefine/>
    <w:qFormat/>
    <w:uiPriority w:val="0"/>
    <w:pPr>
      <w:ind w:firstLine="420" w:firstLineChars="200"/>
    </w:pPr>
    <w:rPr>
      <w:szCs w:val="21"/>
    </w:rPr>
  </w:style>
  <w:style w:type="paragraph" w:customStyle="1" w:styleId="40">
    <w:name w:val="无间隔1"/>
    <w:basedOn w:val="1"/>
    <w:autoRedefine/>
    <w:qFormat/>
    <w:uiPriority w:val="0"/>
    <w:pPr>
      <w:spacing w:line="400" w:lineRule="exact"/>
    </w:pPr>
    <w:rPr>
      <w:sz w:val="24"/>
    </w:rPr>
  </w:style>
  <w:style w:type="character" w:customStyle="1" w:styleId="41">
    <w:name w:val="before"/>
    <w:basedOn w:val="19"/>
    <w:autoRedefine/>
    <w:qFormat/>
    <w:uiPriority w:val="0"/>
    <w:rPr>
      <w:shd w:val="clear" w:fill="0085FF"/>
    </w:rPr>
  </w:style>
  <w:style w:type="character" w:customStyle="1" w:styleId="42">
    <w:name w:val="layui-layer-tabnow"/>
    <w:basedOn w:val="19"/>
    <w:autoRedefine/>
    <w:qFormat/>
    <w:uiPriority w:val="0"/>
    <w:rPr>
      <w:bdr w:val="single" w:color="CCCCCC" w:sz="6" w:space="0"/>
      <w:shd w:val="clear" w:fill="FFFFFF"/>
    </w:rPr>
  </w:style>
  <w:style w:type="character" w:customStyle="1" w:styleId="43">
    <w:name w:val="first-child"/>
    <w:basedOn w:val="19"/>
    <w:autoRedefine/>
    <w:qFormat/>
    <w:uiPriority w:val="0"/>
  </w:style>
  <w:style w:type="paragraph" w:customStyle="1" w:styleId="44">
    <w:name w:val="Table Paragraph"/>
    <w:basedOn w:val="1"/>
    <w:autoRedefine/>
    <w:qFormat/>
    <w:uiPriority w:val="1"/>
    <w:rPr>
      <w:rFonts w:ascii="宋体" w:hAnsi="宋体" w:eastAsia="宋体" w:cs="宋体"/>
      <w:lang w:val="zh-CN" w:eastAsia="zh-CN" w:bidi="zh-CN"/>
    </w:rPr>
  </w:style>
  <w:style w:type="character" w:customStyle="1" w:styleId="45">
    <w:name w:val="hover18"/>
    <w:basedOn w:val="1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5114</Words>
  <Characters>5704</Characters>
  <Lines>0</Lines>
  <Paragraphs>0</Paragraphs>
  <TotalTime>50</TotalTime>
  <ScaleCrop>false</ScaleCrop>
  <LinksUpToDate>false</LinksUpToDate>
  <CharactersWithSpaces>5930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2024-07-07T12:53:00Z</dcterms:created>
  <dc:creator>Administrator</dc:creator>
  <cp:lastModifiedBy>77939</cp:lastModifiedBy>
  <cp:lastPrinted>2025-02-07T02:09:00Z</cp:lastPrinted>
  <dcterms:modified xsi:type="dcterms:W3CDTF">2025-07-15T04:37:19Z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6CCB7EA428194714A91A5C6E7C2283C5_13</vt:lpwstr>
  </property>
  <property fmtid="{D5CDD505-2E9C-101B-9397-08002B2CF9AE}" pid="4" name="KSOTemplateDocerSaveRecord">
    <vt:lpwstr>eyJoZGlkIjoiYjlmNGRkZDNkYjc0OWRkODkyMTM3NjY5MjMwNjc3YzEiLCJ1c2VySWQiOiI2OTg0MDMxOTIifQ==</vt:lpwstr>
  </property>
</Properties>
</file>