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14F2">
      <w:pPr>
        <w:jc w:val="center"/>
        <w:rPr>
          <w:rFonts w:hint="eastAsia" w:asciiTheme="minorEastAsia" w:hAnsiTheme="minorEastAsia" w:eastAsiaTheme="minorEastAsia" w:cstheme="minorEastAsia"/>
          <w:b/>
          <w:bCs/>
          <w:i w:val="0"/>
          <w:iCs w:val="0"/>
          <w:caps w:val="0"/>
          <w:color w:val="auto"/>
          <w:spacing w:val="0"/>
          <w:sz w:val="32"/>
          <w:szCs w:val="32"/>
          <w:shd w:val="clear" w:fill="FFFFFF"/>
          <w:lang w:val="en-US" w:eastAsia="zh-CN"/>
        </w:rPr>
      </w:pPr>
      <w:r>
        <w:rPr>
          <w:rFonts w:hint="eastAsia" w:asciiTheme="minorEastAsia" w:hAnsiTheme="minorEastAsia" w:cstheme="minorEastAsia"/>
          <w:b/>
          <w:bCs/>
          <w:i w:val="0"/>
          <w:iCs w:val="0"/>
          <w:caps w:val="0"/>
          <w:color w:val="auto"/>
          <w:spacing w:val="0"/>
          <w:sz w:val="32"/>
          <w:szCs w:val="32"/>
          <w:shd w:val="clear" w:fill="FFFFFF"/>
          <w:lang w:eastAsia="zh-CN"/>
        </w:rPr>
        <w:t>安阳市殷都区住房和城乡建设局生活污水处理站设施运营维护项目二次</w:t>
      </w:r>
      <w:r>
        <w:rPr>
          <w:rFonts w:hint="eastAsia" w:asciiTheme="minorEastAsia" w:hAnsiTheme="minorEastAsia" w:eastAsiaTheme="minorEastAsia" w:cstheme="minorEastAsia"/>
          <w:b/>
          <w:bCs/>
          <w:i w:val="0"/>
          <w:iCs w:val="0"/>
          <w:caps w:val="0"/>
          <w:color w:val="auto"/>
          <w:spacing w:val="0"/>
          <w:sz w:val="32"/>
          <w:szCs w:val="32"/>
          <w:shd w:val="clear" w:fill="FFFFFF"/>
          <w:lang w:val="en-US" w:eastAsia="zh-CN"/>
        </w:rPr>
        <w:t>成交公告</w:t>
      </w:r>
    </w:p>
    <w:p w14:paraId="5B680F65">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一、</w:t>
      </w:r>
      <w:r>
        <w:rPr>
          <w:rFonts w:hint="default" w:asciiTheme="minorEastAsia" w:hAnsiTheme="minorEastAsia" w:eastAsiaTheme="minorEastAsia" w:cstheme="minorEastAsia"/>
          <w:b w:val="0"/>
          <w:bCs w:val="0"/>
          <w:i w:val="0"/>
          <w:iCs w:val="0"/>
          <w:caps w:val="0"/>
          <w:color w:val="auto"/>
          <w:spacing w:val="0"/>
          <w:sz w:val="24"/>
          <w:szCs w:val="24"/>
          <w:shd w:val="clear" w:fill="FFFFFF"/>
          <w:lang w:val="en-US" w:eastAsia="zh-CN"/>
        </w:rPr>
        <w:t>项目基本情况</w:t>
      </w:r>
    </w:p>
    <w:p w14:paraId="42C09259">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采购项目编号：殷磋商-2025-8</w:t>
      </w:r>
    </w:p>
    <w:p w14:paraId="2707BDD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2、</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采购项目名称：</w:t>
      </w:r>
      <w:bookmarkStart w:id="0" w:name="OLE_LINK1"/>
      <w:r>
        <w:rPr>
          <w:rFonts w:hint="eastAsia" w:asciiTheme="minorEastAsia" w:hAnsiTheme="minorEastAsia" w:cstheme="minorEastAsia"/>
          <w:b w:val="0"/>
          <w:bCs w:val="0"/>
          <w:i w:val="0"/>
          <w:iCs w:val="0"/>
          <w:caps w:val="0"/>
          <w:color w:val="auto"/>
          <w:spacing w:val="0"/>
          <w:sz w:val="24"/>
          <w:szCs w:val="24"/>
          <w:shd w:val="clear" w:fill="FFFFFF"/>
          <w:lang w:val="en-US" w:eastAsia="zh-CN"/>
        </w:rPr>
        <w:t>安阳市殷都区住房和城乡建设局生活污水处理站设施运营维护项目二次</w:t>
      </w:r>
    </w:p>
    <w:bookmarkEnd w:id="0"/>
    <w:p w14:paraId="4E2443C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3、</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采购方式：竞争性磋商</w:t>
      </w:r>
    </w:p>
    <w:p w14:paraId="7CEE055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4、</w:t>
      </w:r>
      <w:r>
        <w:rPr>
          <w:rFonts w:hint="eastAsia" w:asciiTheme="minorEastAsia" w:hAnsiTheme="minorEastAsia" w:cstheme="minorEastAsia"/>
          <w:b w:val="0"/>
          <w:bCs w:val="0"/>
          <w:i w:val="0"/>
          <w:iCs w:val="0"/>
          <w:caps w:val="0"/>
          <w:color w:val="auto"/>
          <w:spacing w:val="0"/>
          <w:sz w:val="24"/>
          <w:szCs w:val="24"/>
          <w:shd w:val="clear" w:fill="FFFFFF"/>
          <w:lang w:val="en-US" w:eastAsia="zh-CN"/>
        </w:rPr>
        <w:t>招标公告发布日期：2025-10-09</w:t>
      </w:r>
    </w:p>
    <w:p w14:paraId="5C82994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5、</w:t>
      </w:r>
      <w:r>
        <w:rPr>
          <w:rFonts w:hint="eastAsia" w:asciiTheme="minorEastAsia" w:hAnsiTheme="minorEastAsia" w:cstheme="minorEastAsia"/>
          <w:b w:val="0"/>
          <w:bCs w:val="0"/>
          <w:i w:val="0"/>
          <w:iCs w:val="0"/>
          <w:caps w:val="0"/>
          <w:color w:val="auto"/>
          <w:spacing w:val="0"/>
          <w:sz w:val="24"/>
          <w:szCs w:val="24"/>
          <w:shd w:val="clear" w:fill="FFFFFF"/>
          <w:lang w:val="en-US" w:eastAsia="zh-CN"/>
        </w:rPr>
        <w:t>评审日期：2025-10-20</w:t>
      </w:r>
    </w:p>
    <w:p w14:paraId="53A45FD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32"/>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二、成交</w:t>
      </w:r>
      <w:r>
        <w:rPr>
          <w:rFonts w:hint="eastAsia" w:ascii="宋体" w:hAnsi="宋体" w:eastAsia="宋体" w:cs="宋体"/>
          <w:sz w:val="24"/>
          <w:szCs w:val="32"/>
        </w:rPr>
        <w:t>情况</w:t>
      </w:r>
    </w:p>
    <w:tbl>
      <w:tblPr>
        <w:tblStyle w:val="7"/>
        <w:tblpPr w:leftFromText="180" w:rightFromText="180" w:vertAnchor="text" w:horzAnchor="page" w:tblpX="1145" w:tblpY="141"/>
        <w:tblOverlap w:val="never"/>
        <w:tblW w:w="5895"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fixed"/>
        <w:tblCellMar>
          <w:top w:w="0" w:type="dxa"/>
          <w:left w:w="0" w:type="dxa"/>
          <w:bottom w:w="0" w:type="dxa"/>
          <w:right w:w="0" w:type="dxa"/>
        </w:tblCellMar>
      </w:tblPr>
      <w:tblGrid>
        <w:gridCol w:w="1568"/>
        <w:gridCol w:w="701"/>
        <w:gridCol w:w="1670"/>
        <w:gridCol w:w="1192"/>
        <w:gridCol w:w="1660"/>
        <w:gridCol w:w="1126"/>
        <w:gridCol w:w="1004"/>
        <w:gridCol w:w="890"/>
      </w:tblGrid>
      <w:tr w14:paraId="7D50A77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598" w:hRule="atLeast"/>
        </w:trPr>
        <w:tc>
          <w:tcPr>
            <w:tcW w:w="799" w:type="pct"/>
            <w:tcBorders>
              <w:tl2br w:val="nil"/>
              <w:tr2bl w:val="nil"/>
            </w:tcBorders>
            <w:shd w:val="clear" w:color="auto" w:fill="auto"/>
            <w:vAlign w:val="center"/>
          </w:tcPr>
          <w:p w14:paraId="3D509573">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包号</w:t>
            </w:r>
          </w:p>
        </w:tc>
        <w:tc>
          <w:tcPr>
            <w:tcW w:w="1208" w:type="pct"/>
            <w:gridSpan w:val="2"/>
            <w:tcBorders>
              <w:tl2br w:val="nil"/>
              <w:tr2bl w:val="nil"/>
            </w:tcBorders>
            <w:shd w:val="clear" w:color="auto" w:fill="auto"/>
            <w:vAlign w:val="center"/>
          </w:tcPr>
          <w:p w14:paraId="26079393">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采购内容</w:t>
            </w:r>
          </w:p>
        </w:tc>
        <w:tc>
          <w:tcPr>
            <w:tcW w:w="607" w:type="pct"/>
            <w:tcBorders>
              <w:tl2br w:val="nil"/>
              <w:tr2bl w:val="nil"/>
            </w:tcBorders>
            <w:shd w:val="clear" w:color="auto" w:fill="auto"/>
            <w:vAlign w:val="center"/>
          </w:tcPr>
          <w:p w14:paraId="12A75B58">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供应商名称</w:t>
            </w:r>
          </w:p>
        </w:tc>
        <w:tc>
          <w:tcPr>
            <w:tcW w:w="846" w:type="pct"/>
            <w:tcBorders>
              <w:tl2br w:val="nil"/>
              <w:tr2bl w:val="nil"/>
            </w:tcBorders>
            <w:shd w:val="clear" w:color="auto" w:fill="auto"/>
            <w:vAlign w:val="center"/>
          </w:tcPr>
          <w:p w14:paraId="3B53DFB2">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地址</w:t>
            </w:r>
          </w:p>
        </w:tc>
        <w:tc>
          <w:tcPr>
            <w:tcW w:w="573" w:type="pct"/>
            <w:tcBorders>
              <w:tl2br w:val="nil"/>
              <w:tr2bl w:val="nil"/>
            </w:tcBorders>
            <w:shd w:val="clear" w:color="auto" w:fill="auto"/>
            <w:vAlign w:val="center"/>
          </w:tcPr>
          <w:p w14:paraId="3D67C44A">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中标金额</w:t>
            </w:r>
          </w:p>
        </w:tc>
        <w:tc>
          <w:tcPr>
            <w:tcW w:w="511" w:type="pct"/>
            <w:tcBorders>
              <w:tl2br w:val="nil"/>
              <w:tr2bl w:val="nil"/>
            </w:tcBorders>
            <w:shd w:val="clear" w:color="auto" w:fill="auto"/>
            <w:vAlign w:val="center"/>
          </w:tcPr>
          <w:p w14:paraId="52A5DC7F">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453" w:type="pct"/>
            <w:tcBorders>
              <w:tl2br w:val="nil"/>
              <w:tr2bl w:val="nil"/>
            </w:tcBorders>
            <w:shd w:val="clear" w:color="auto" w:fill="auto"/>
            <w:vAlign w:val="center"/>
          </w:tcPr>
          <w:p w14:paraId="07E73086">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备注信息</w:t>
            </w:r>
          </w:p>
        </w:tc>
      </w:tr>
      <w:tr w14:paraId="13AC11D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107" w:hRule="atLeast"/>
        </w:trPr>
        <w:tc>
          <w:tcPr>
            <w:tcW w:w="799" w:type="pct"/>
            <w:vMerge w:val="restart"/>
            <w:tcBorders>
              <w:tl2br w:val="nil"/>
              <w:tr2bl w:val="nil"/>
            </w:tcBorders>
            <w:shd w:val="clear" w:color="auto" w:fill="auto"/>
            <w:vAlign w:val="center"/>
          </w:tcPr>
          <w:p w14:paraId="550B4ED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殷磋商-2025-8-1</w:t>
            </w:r>
          </w:p>
        </w:tc>
        <w:tc>
          <w:tcPr>
            <w:tcW w:w="1208" w:type="pct"/>
            <w:gridSpan w:val="2"/>
            <w:tcBorders>
              <w:tl2br w:val="nil"/>
              <w:tr2bl w:val="nil"/>
            </w:tcBorders>
            <w:shd w:val="clear" w:color="auto" w:fill="auto"/>
            <w:vAlign w:val="center"/>
          </w:tcPr>
          <w:p w14:paraId="619B6E67">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为确保殷都区农村生活污水处理站正常运行，对殷都区农村生活污水处理设施运行维护。</w:t>
            </w:r>
          </w:p>
        </w:tc>
        <w:tc>
          <w:tcPr>
            <w:tcW w:w="607" w:type="pct"/>
            <w:tcBorders>
              <w:tl2br w:val="nil"/>
              <w:tr2bl w:val="nil"/>
            </w:tcBorders>
            <w:shd w:val="clear" w:color="auto" w:fill="auto"/>
            <w:vAlign w:val="center"/>
          </w:tcPr>
          <w:p w14:paraId="0D8F06C1">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安阳恒峰钢结构制造有限公司</w:t>
            </w:r>
          </w:p>
        </w:tc>
        <w:tc>
          <w:tcPr>
            <w:tcW w:w="846" w:type="pct"/>
            <w:tcBorders>
              <w:tl2br w:val="nil"/>
              <w:tr2bl w:val="nil"/>
            </w:tcBorders>
            <w:shd w:val="clear" w:color="auto" w:fill="auto"/>
            <w:vAlign w:val="center"/>
          </w:tcPr>
          <w:p w14:paraId="64F52070">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河南省安阳市殷都区水冶镇孟蒋路与荣昌大道交叉口向东500米路北</w:t>
            </w:r>
          </w:p>
        </w:tc>
        <w:tc>
          <w:tcPr>
            <w:tcW w:w="573" w:type="pct"/>
            <w:tcBorders>
              <w:tl2br w:val="nil"/>
              <w:tr2bl w:val="nil"/>
            </w:tcBorders>
            <w:shd w:val="clear" w:color="auto" w:fill="auto"/>
            <w:vAlign w:val="center"/>
          </w:tcPr>
          <w:p w14:paraId="729E2982">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1322629</w:t>
            </w:r>
          </w:p>
        </w:tc>
        <w:tc>
          <w:tcPr>
            <w:tcW w:w="511" w:type="pct"/>
            <w:tcBorders>
              <w:tl2br w:val="nil"/>
              <w:tr2bl w:val="nil"/>
            </w:tcBorders>
            <w:shd w:val="clear" w:color="auto" w:fill="auto"/>
            <w:vAlign w:val="center"/>
          </w:tcPr>
          <w:p w14:paraId="6763F0AD">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元</w:t>
            </w:r>
          </w:p>
        </w:tc>
        <w:tc>
          <w:tcPr>
            <w:tcW w:w="453" w:type="pct"/>
            <w:vMerge w:val="restart"/>
            <w:tcBorders>
              <w:tl2br w:val="nil"/>
              <w:tr2bl w:val="nil"/>
            </w:tcBorders>
            <w:shd w:val="clear" w:color="auto" w:fill="auto"/>
            <w:vAlign w:val="center"/>
          </w:tcPr>
          <w:p w14:paraId="5C0AE0DF">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评审总得分：95.32分</w:t>
            </w:r>
          </w:p>
        </w:tc>
      </w:tr>
      <w:tr w14:paraId="2664660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565" w:hRule="atLeast"/>
        </w:trPr>
        <w:tc>
          <w:tcPr>
            <w:tcW w:w="799" w:type="pct"/>
            <w:vMerge w:val="continue"/>
            <w:tcBorders>
              <w:tl2br w:val="nil"/>
              <w:tr2bl w:val="nil"/>
            </w:tcBorders>
            <w:shd w:val="clear" w:color="auto" w:fill="auto"/>
            <w:vAlign w:val="center"/>
          </w:tcPr>
          <w:p w14:paraId="3950559C">
            <w:pPr>
              <w:bidi w:val="0"/>
              <w:jc w:val="center"/>
              <w:rPr>
                <w:rFonts w:hint="eastAsia" w:ascii="宋体" w:hAnsi="宋体" w:eastAsia="宋体" w:cs="宋体"/>
                <w:sz w:val="21"/>
                <w:szCs w:val="21"/>
                <w:lang w:val="en-US" w:eastAsia="zh-CN"/>
              </w:rPr>
            </w:pPr>
          </w:p>
        </w:tc>
        <w:tc>
          <w:tcPr>
            <w:tcW w:w="357" w:type="pct"/>
            <w:tcBorders>
              <w:bottom w:val="single" w:color="auto" w:sz="4" w:space="0"/>
              <w:right w:val="single" w:color="auto" w:sz="4" w:space="0"/>
              <w:tl2br w:val="nil"/>
              <w:tr2bl w:val="nil"/>
            </w:tcBorders>
            <w:shd w:val="clear" w:color="auto" w:fill="auto"/>
            <w:vAlign w:val="center"/>
          </w:tcPr>
          <w:p w14:paraId="4795E35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851" w:type="pct"/>
            <w:tcBorders>
              <w:left w:val="single" w:color="auto" w:sz="4" w:space="0"/>
              <w:bottom w:val="single" w:color="auto" w:sz="4" w:space="0"/>
              <w:right w:val="single" w:color="auto" w:sz="4" w:space="0"/>
              <w:tl2br w:val="nil"/>
              <w:tr2bl w:val="nil"/>
            </w:tcBorders>
            <w:shd w:val="clear" w:color="auto" w:fill="auto"/>
            <w:vAlign w:val="center"/>
          </w:tcPr>
          <w:p w14:paraId="6A87CD1F">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w:t>
            </w:r>
          </w:p>
        </w:tc>
        <w:tc>
          <w:tcPr>
            <w:tcW w:w="607" w:type="pct"/>
            <w:tcBorders>
              <w:left w:val="single" w:color="auto" w:sz="4" w:space="0"/>
              <w:bottom w:val="single" w:color="auto" w:sz="4" w:space="0"/>
              <w:right w:val="single" w:color="auto" w:sz="4" w:space="0"/>
              <w:tl2br w:val="nil"/>
              <w:tr2bl w:val="nil"/>
            </w:tcBorders>
            <w:shd w:val="clear" w:color="auto" w:fill="auto"/>
            <w:vAlign w:val="center"/>
          </w:tcPr>
          <w:p w14:paraId="49F66520">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服务范围</w:t>
            </w:r>
          </w:p>
        </w:tc>
        <w:tc>
          <w:tcPr>
            <w:tcW w:w="846" w:type="pct"/>
            <w:tcBorders>
              <w:left w:val="single" w:color="auto" w:sz="4" w:space="0"/>
              <w:bottom w:val="single" w:color="auto" w:sz="4" w:space="0"/>
              <w:right w:val="single" w:color="auto" w:sz="4" w:space="0"/>
              <w:tl2br w:val="nil"/>
              <w:tr2bl w:val="nil"/>
            </w:tcBorders>
            <w:shd w:val="clear" w:color="auto" w:fill="auto"/>
            <w:vAlign w:val="center"/>
          </w:tcPr>
          <w:p w14:paraId="57B28B1B">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服务要求</w:t>
            </w:r>
          </w:p>
        </w:tc>
        <w:tc>
          <w:tcPr>
            <w:tcW w:w="573" w:type="pct"/>
            <w:tcBorders>
              <w:left w:val="single" w:color="auto" w:sz="4" w:space="0"/>
              <w:bottom w:val="single" w:color="auto" w:sz="4" w:space="0"/>
              <w:right w:val="single" w:color="auto" w:sz="4" w:space="0"/>
              <w:tl2br w:val="nil"/>
              <w:tr2bl w:val="nil"/>
            </w:tcBorders>
            <w:shd w:val="clear" w:color="auto" w:fill="auto"/>
            <w:vAlign w:val="center"/>
          </w:tcPr>
          <w:p w14:paraId="3AD16285">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服务时间</w:t>
            </w:r>
          </w:p>
        </w:tc>
        <w:tc>
          <w:tcPr>
            <w:tcW w:w="511" w:type="pct"/>
            <w:tcBorders>
              <w:left w:val="single" w:color="auto" w:sz="4" w:space="0"/>
              <w:bottom w:val="single" w:color="auto" w:sz="4" w:space="0"/>
              <w:tl2br w:val="nil"/>
              <w:tr2bl w:val="nil"/>
            </w:tcBorders>
            <w:shd w:val="clear" w:color="auto" w:fill="auto"/>
            <w:vAlign w:val="center"/>
          </w:tcPr>
          <w:p w14:paraId="6EB0FE83">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服务标准</w:t>
            </w:r>
          </w:p>
        </w:tc>
        <w:tc>
          <w:tcPr>
            <w:tcW w:w="453" w:type="pct"/>
            <w:vMerge w:val="continue"/>
            <w:tcBorders>
              <w:tl2br w:val="nil"/>
              <w:tr2bl w:val="nil"/>
            </w:tcBorders>
            <w:shd w:val="clear" w:color="auto" w:fill="auto"/>
            <w:vAlign w:val="center"/>
          </w:tcPr>
          <w:p w14:paraId="3336CF3F">
            <w:pPr>
              <w:bidi w:val="0"/>
              <w:jc w:val="center"/>
              <w:rPr>
                <w:rFonts w:hint="eastAsia" w:ascii="宋体" w:hAnsi="宋体" w:cs="宋体"/>
                <w:sz w:val="21"/>
                <w:szCs w:val="21"/>
                <w:lang w:val="en-US" w:eastAsia="zh-CN"/>
              </w:rPr>
            </w:pPr>
          </w:p>
        </w:tc>
      </w:tr>
      <w:tr w14:paraId="7E2F652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44" w:hRule="atLeast"/>
        </w:trPr>
        <w:tc>
          <w:tcPr>
            <w:tcW w:w="799" w:type="pct"/>
            <w:vMerge w:val="continue"/>
            <w:tcBorders>
              <w:tl2br w:val="nil"/>
              <w:tr2bl w:val="nil"/>
            </w:tcBorders>
            <w:shd w:val="clear" w:color="auto" w:fill="auto"/>
            <w:vAlign w:val="center"/>
          </w:tcPr>
          <w:p w14:paraId="53BD49B2">
            <w:pPr>
              <w:bidi w:val="0"/>
              <w:jc w:val="center"/>
              <w:rPr>
                <w:rFonts w:hint="eastAsia" w:ascii="宋体" w:hAnsi="宋体" w:eastAsia="宋体" w:cs="宋体"/>
                <w:sz w:val="21"/>
                <w:szCs w:val="21"/>
                <w:lang w:val="en-US" w:eastAsia="zh-CN"/>
              </w:rPr>
            </w:pPr>
          </w:p>
        </w:tc>
        <w:tc>
          <w:tcPr>
            <w:tcW w:w="357" w:type="pct"/>
            <w:tcBorders>
              <w:top w:val="single" w:color="auto" w:sz="4" w:space="0"/>
              <w:bottom w:val="single" w:color="auto" w:sz="4" w:space="0"/>
              <w:right w:val="single" w:color="auto" w:sz="4" w:space="0"/>
              <w:tl2br w:val="nil"/>
              <w:tr2bl w:val="nil"/>
            </w:tcBorders>
            <w:shd w:val="clear" w:color="auto" w:fill="auto"/>
            <w:vAlign w:val="center"/>
          </w:tcPr>
          <w:p w14:paraId="21778DF3">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5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C72E85">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安阳市殷都区住房和城乡建设局生活污水处理站设施运营维护项目二次</w:t>
            </w:r>
          </w:p>
        </w:tc>
        <w:tc>
          <w:tcPr>
            <w:tcW w:w="60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1ACB96">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详见招标文件</w:t>
            </w:r>
          </w:p>
        </w:tc>
        <w:tc>
          <w:tcPr>
            <w:tcW w:w="84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22E793">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详见招标文件</w:t>
            </w:r>
          </w:p>
        </w:tc>
        <w:tc>
          <w:tcPr>
            <w:tcW w:w="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7B7B6E">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一年</w:t>
            </w:r>
          </w:p>
        </w:tc>
        <w:tc>
          <w:tcPr>
            <w:tcW w:w="511" w:type="pct"/>
            <w:tcBorders>
              <w:top w:val="single" w:color="auto" w:sz="4" w:space="0"/>
              <w:left w:val="single" w:color="auto" w:sz="4" w:space="0"/>
              <w:bottom w:val="single" w:color="auto" w:sz="4" w:space="0"/>
              <w:tl2br w:val="nil"/>
              <w:tr2bl w:val="nil"/>
            </w:tcBorders>
            <w:shd w:val="clear" w:color="auto" w:fill="auto"/>
            <w:vAlign w:val="center"/>
          </w:tcPr>
          <w:p w14:paraId="133C7040">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详见招标文件</w:t>
            </w:r>
          </w:p>
        </w:tc>
        <w:tc>
          <w:tcPr>
            <w:tcW w:w="453" w:type="pct"/>
            <w:vMerge w:val="continue"/>
            <w:tcBorders>
              <w:tl2br w:val="nil"/>
              <w:tr2bl w:val="nil"/>
            </w:tcBorders>
            <w:shd w:val="clear" w:color="auto" w:fill="auto"/>
            <w:vAlign w:val="center"/>
          </w:tcPr>
          <w:p w14:paraId="6D65D82E">
            <w:pPr>
              <w:bidi w:val="0"/>
              <w:jc w:val="center"/>
              <w:rPr>
                <w:rFonts w:hint="eastAsia" w:ascii="宋体" w:hAnsi="宋体" w:eastAsia="宋体" w:cs="宋体"/>
                <w:sz w:val="21"/>
                <w:szCs w:val="21"/>
                <w:lang w:val="en-US" w:eastAsia="zh-CN"/>
              </w:rPr>
            </w:pPr>
          </w:p>
        </w:tc>
      </w:tr>
    </w:tbl>
    <w:p w14:paraId="543AA1D0">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三</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评审专家名单</w:t>
      </w:r>
    </w:p>
    <w:p w14:paraId="2BAF019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刘劲松、苗桂霞、</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刘平英</w:t>
      </w: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（采购人代表）</w:t>
      </w:r>
    </w:p>
    <w:p w14:paraId="651694E1">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四</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、代理服务收费标准及金额</w:t>
      </w:r>
    </w:p>
    <w:p w14:paraId="2C2955BF">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收费标准</w:t>
      </w: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：参照国家计委</w:t>
      </w:r>
      <w:bookmarkStart w:id="5" w:name="_GoBack"/>
      <w:bookmarkEnd w:id="5"/>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招标代理服务收费管理暂行办法》（计价格〔2002〕1980号）、《国家发展和改革委员会办公厅关于招标代理服务费有关问题的通知》（发改办价格〔2003〕857号）、发改价格〔2011〕534号文件规定，中标（成交）供应商在领取中标通知书前向招标代理机构支付招标代理服务费。</w:t>
      </w:r>
    </w:p>
    <w:p w14:paraId="75CA2681">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收费金额：</w:t>
      </w: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18782.4</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元</w:t>
      </w:r>
    </w:p>
    <w:p w14:paraId="2CF3442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32"/>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五</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w:t>
      </w:r>
      <w:r>
        <w:rPr>
          <w:rFonts w:hint="eastAsia" w:ascii="宋体" w:hAnsi="宋体" w:cs="宋体"/>
          <w:sz w:val="24"/>
          <w:szCs w:val="32"/>
          <w:highlight w:val="none"/>
          <w:lang w:val="en-US" w:eastAsia="zh-CN"/>
        </w:rPr>
        <w:t>成交</w:t>
      </w:r>
      <w:r>
        <w:rPr>
          <w:rFonts w:hint="eastAsia" w:ascii="宋体" w:hAnsi="宋体" w:eastAsia="宋体" w:cs="宋体"/>
          <w:sz w:val="24"/>
          <w:szCs w:val="32"/>
          <w:highlight w:val="none"/>
        </w:rPr>
        <w:t>公告发布的媒介及</w:t>
      </w:r>
      <w:r>
        <w:rPr>
          <w:rFonts w:hint="eastAsia" w:ascii="宋体" w:hAnsi="宋体" w:cs="宋体"/>
          <w:sz w:val="24"/>
          <w:szCs w:val="32"/>
          <w:highlight w:val="none"/>
          <w:lang w:val="en-US" w:eastAsia="zh-CN"/>
        </w:rPr>
        <w:t>成交</w:t>
      </w:r>
      <w:r>
        <w:rPr>
          <w:rFonts w:hint="eastAsia" w:ascii="宋体" w:hAnsi="宋体" w:eastAsia="宋体" w:cs="宋体"/>
          <w:sz w:val="24"/>
          <w:szCs w:val="32"/>
        </w:rPr>
        <w:t>公告期限</w:t>
      </w:r>
    </w:p>
    <w:p w14:paraId="508D6B0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本次中标公告在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河南省政府采购网</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安阳市政府采购网</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2"/>
          <w:highlight w:val="none"/>
          <w:lang w:eastAsia="zh-CN"/>
        </w:rPr>
        <w:t>全国公共资源交易平台（河南省·安阳市·殷都区）</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32"/>
          <w:lang w:eastAsia="zh-CN"/>
        </w:rPr>
        <w:t>上发布，</w:t>
      </w:r>
      <w:r>
        <w:rPr>
          <w:rFonts w:hint="eastAsia" w:ascii="宋体" w:hAnsi="宋体" w:cs="宋体"/>
          <w:sz w:val="24"/>
          <w:szCs w:val="32"/>
          <w:lang w:val="en-US" w:eastAsia="zh-CN"/>
        </w:rPr>
        <w:t>成交</w:t>
      </w:r>
      <w:r>
        <w:rPr>
          <w:rFonts w:hint="eastAsia" w:ascii="宋体" w:hAnsi="宋体" w:eastAsia="宋体" w:cs="宋体"/>
          <w:sz w:val="24"/>
          <w:szCs w:val="32"/>
          <w:lang w:eastAsia="zh-CN"/>
        </w:rPr>
        <w:t>公告期限为1个工作日。</w:t>
      </w:r>
    </w:p>
    <w:p w14:paraId="1F568E87">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六、其他补充事宜</w:t>
      </w:r>
    </w:p>
    <w:p w14:paraId="7FAC0F7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各有关当事人对成交结果有异议的，可以在成交公告期限届满之日起七个工作日内，以书面形式同时向采购人和采购代理机构提出质疑（加盖单位公章</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和</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法人签字），依据法规规定，质疑函应当有明确的</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请</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求和必要的证明材料。以质疑函</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接收</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确认日期作为受理时间，逾期提交或未按照要求提交的质疑函将</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不予</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受理。</w:t>
      </w:r>
    </w:p>
    <w:p w14:paraId="731B0C19">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kern w:val="0"/>
          <w:sz w:val="24"/>
          <w:szCs w:val="24"/>
          <w:shd w:val="clear" w:fill="FFFFFF"/>
          <w:lang w:val="en-US" w:eastAsia="zh-CN" w:bidi="ar"/>
        </w:rPr>
        <w:t>七、</w:t>
      </w:r>
      <w:r>
        <w:rPr>
          <w:rFonts w:hint="eastAsia" w:ascii="Segoe UI" w:hAnsi="Segoe UI" w:eastAsia="宋体" w:cs="Segoe UI"/>
          <w:i w:val="0"/>
          <w:iCs w:val="0"/>
          <w:caps w:val="0"/>
          <w:color w:val="auto"/>
          <w:spacing w:val="0"/>
          <w:sz w:val="24"/>
          <w:szCs w:val="24"/>
          <w:shd w:val="clear" w:fill="FFFFFF"/>
          <w:lang w:val="en-US" w:eastAsia="zh-CN"/>
        </w:rPr>
        <w:t>凡对本次公告内容提出询问，请按以下方式联系</w:t>
      </w:r>
    </w:p>
    <w:p w14:paraId="25FC043D">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1、采购人信息</w:t>
      </w:r>
    </w:p>
    <w:p w14:paraId="7C2FF656">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名称：安阳市殷都区住房和城乡建设局</w:t>
      </w:r>
    </w:p>
    <w:p w14:paraId="6E87C37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地址：河南省安阳市殷都区殷三路缔盛广场18层</w:t>
      </w:r>
    </w:p>
    <w:p w14:paraId="5F43849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联系人：郭帅</w:t>
      </w:r>
    </w:p>
    <w:p w14:paraId="2799617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联系方式</w:t>
      </w:r>
      <w:bookmarkStart w:id="1" w:name="_Toc28359009"/>
      <w:bookmarkStart w:id="2" w:name="_Toc28359086"/>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：13569066029</w:t>
      </w:r>
    </w:p>
    <w:p w14:paraId="51DC65D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2、采购代理机构信息</w:t>
      </w:r>
      <w:bookmarkEnd w:id="1"/>
      <w:bookmarkEnd w:id="2"/>
    </w:p>
    <w:p w14:paraId="2D686DA5">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名称：</w:t>
      </w:r>
      <w:bookmarkStart w:id="3" w:name="_Toc28359087"/>
      <w:bookmarkStart w:id="4" w:name="_Toc28359010"/>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中科天一工程管理有限公司</w:t>
      </w:r>
    </w:p>
    <w:p w14:paraId="418E7CB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地址：河南省郑州市高新技术开发区冬青街46号B区014号</w:t>
      </w:r>
    </w:p>
    <w:p w14:paraId="6A64DE3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联系人：宋改方</w:t>
      </w:r>
    </w:p>
    <w:p w14:paraId="0243980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联系方式：18837267069</w:t>
      </w:r>
    </w:p>
    <w:p w14:paraId="1FA8121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3、项目联系方式</w:t>
      </w:r>
      <w:bookmarkEnd w:id="3"/>
      <w:bookmarkEnd w:id="4"/>
    </w:p>
    <w:p w14:paraId="0941E965">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项目联系人：宋改方</w:t>
      </w:r>
    </w:p>
    <w:p w14:paraId="0EE8F58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联系方式：18837267069</w:t>
      </w:r>
    </w:p>
    <w:p w14:paraId="52779429">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华文宋体"/>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YzdmNjMwMzM5OTdiYzE0MjU1YWYxZTc4NmVkNmIifQ=="/>
  </w:docVars>
  <w:rsids>
    <w:rsidRoot w:val="00000000"/>
    <w:rsid w:val="03AB184E"/>
    <w:rsid w:val="04A2565D"/>
    <w:rsid w:val="04F10E45"/>
    <w:rsid w:val="063E7880"/>
    <w:rsid w:val="079E5401"/>
    <w:rsid w:val="07A46D57"/>
    <w:rsid w:val="0855653B"/>
    <w:rsid w:val="09F754C0"/>
    <w:rsid w:val="0F3E24C1"/>
    <w:rsid w:val="1C99392D"/>
    <w:rsid w:val="22B0184F"/>
    <w:rsid w:val="24CB6E6C"/>
    <w:rsid w:val="267C2231"/>
    <w:rsid w:val="27AB4AC0"/>
    <w:rsid w:val="27BE4865"/>
    <w:rsid w:val="27E4018D"/>
    <w:rsid w:val="287B7B98"/>
    <w:rsid w:val="295B71C5"/>
    <w:rsid w:val="2ABC70CB"/>
    <w:rsid w:val="2CA34CF2"/>
    <w:rsid w:val="2FE36A1D"/>
    <w:rsid w:val="304979FA"/>
    <w:rsid w:val="31554CFE"/>
    <w:rsid w:val="33115FB6"/>
    <w:rsid w:val="370F76FD"/>
    <w:rsid w:val="39EE7748"/>
    <w:rsid w:val="3A744BBD"/>
    <w:rsid w:val="3B396844"/>
    <w:rsid w:val="41FF010B"/>
    <w:rsid w:val="46274A64"/>
    <w:rsid w:val="46860B82"/>
    <w:rsid w:val="47E50732"/>
    <w:rsid w:val="485B09F4"/>
    <w:rsid w:val="4AEE6DF3"/>
    <w:rsid w:val="4B4257D0"/>
    <w:rsid w:val="4C93089C"/>
    <w:rsid w:val="4CDB254A"/>
    <w:rsid w:val="4E807407"/>
    <w:rsid w:val="523E73BD"/>
    <w:rsid w:val="529B480F"/>
    <w:rsid w:val="55264138"/>
    <w:rsid w:val="55A559A5"/>
    <w:rsid w:val="58C032E5"/>
    <w:rsid w:val="592A069B"/>
    <w:rsid w:val="62413B44"/>
    <w:rsid w:val="63F65129"/>
    <w:rsid w:val="66B973FE"/>
    <w:rsid w:val="67C15351"/>
    <w:rsid w:val="68E84145"/>
    <w:rsid w:val="695E3987"/>
    <w:rsid w:val="6DB625CC"/>
    <w:rsid w:val="729351C7"/>
    <w:rsid w:val="73351324"/>
    <w:rsid w:val="734F1B6D"/>
    <w:rsid w:val="757730F6"/>
    <w:rsid w:val="760342F6"/>
    <w:rsid w:val="7E02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List 2"/>
    <w:basedOn w:val="1"/>
    <w:unhideWhenUsed/>
    <w:qFormat/>
    <w:uiPriority w:val="99"/>
    <w:pPr>
      <w:spacing w:beforeAutospacing="1" w:afterAutospacing="1" w:line="360" w:lineRule="auto"/>
      <w:ind w:left="100" w:leftChars="200" w:hanging="200" w:hangingChars="200"/>
      <w:contextualSpacing/>
    </w:pPr>
    <w:rPr>
      <w:rFonts w:ascii="Times New Roman" w:hAnsi="Times New Roman" w:cs="Times New Roman"/>
      <w:sz w:val="24"/>
    </w:rPr>
  </w:style>
  <w:style w:type="paragraph" w:styleId="4">
    <w:name w:val="Plain Text"/>
    <w:basedOn w:val="1"/>
    <w:next w:val="5"/>
    <w:qFormat/>
    <w:uiPriority w:val="99"/>
    <w:pPr>
      <w:widowControl w:val="0"/>
      <w:spacing w:line="240" w:lineRule="auto"/>
      <w:textAlignment w:val="auto"/>
    </w:pPr>
    <w:rPr>
      <w:rFonts w:ascii="宋体" w:hAnsi="Courier New"/>
      <w:color w:val="auto"/>
      <w:kern w:val="2"/>
    </w:rPr>
  </w:style>
  <w:style w:type="paragraph" w:styleId="5">
    <w:name w:val="Body Text Indent 2"/>
    <w:basedOn w:val="1"/>
    <w:next w:val="6"/>
    <w:qFormat/>
    <w:uiPriority w:val="0"/>
    <w:pPr>
      <w:spacing w:line="480" w:lineRule="auto"/>
      <w:ind w:firstLine="480" w:firstLineChars="200"/>
    </w:pPr>
    <w:rPr>
      <w:rFonts w:ascii="仿宋_GB2312" w:hAnsi="宋体" w:eastAsia="仿宋_GB2312"/>
      <w:sz w:val="24"/>
      <w:szCs w:val="24"/>
    </w:rPr>
  </w:style>
  <w:style w:type="paragraph" w:customStyle="1" w:styleId="6">
    <w:name w:val="z正文"/>
    <w:basedOn w:val="4"/>
    <w:qFormat/>
    <w:uiPriority w:val="0"/>
    <w:pPr>
      <w:tabs>
        <w:tab w:val="left" w:pos="525"/>
      </w:tabs>
      <w:snapToGrid w:val="0"/>
      <w:spacing w:line="360" w:lineRule="auto"/>
    </w:pPr>
    <w:rPr>
      <w:rFonts w:ascii="Times New Roman" w:hAnsi="宋体"/>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905</Words>
  <Characters>1003</Characters>
  <Lines>0</Lines>
  <Paragraphs>0</Paragraphs>
  <TotalTime>6</TotalTime>
  <ScaleCrop>false</ScaleCrop>
  <LinksUpToDate>false</LinksUpToDate>
  <CharactersWithSpaces>1003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2024-10-09T05:37:00Z</dcterms:created>
  <dc:creator>ltgxa</dc:creator>
  <cp:lastModifiedBy>安阳北关分公司宋慧芳</cp:lastModifiedBy>
  <cp:lastPrinted>2025-05-22T08:23:00Z</cp:lastPrinted>
  <dcterms:modified xsi:type="dcterms:W3CDTF">2025-10-20T07:47:28Z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F3CAC83613414B9CB7FE7256E0A2A8D8_13</vt:lpwstr>
  </property>
  <property fmtid="{D5CDD505-2E9C-101B-9397-08002B2CF9AE}" pid="4" name="KSOTemplateDocerSaveRecord">
    <vt:lpwstr>eyJoZGlkIjoiYTQyYzdmNjMwMzM5OTdiYzE0MjU1YWYxZTc4NmVkNmIiLCJ1c2VySWQiOiIxMTQzNTUwNjI4In0=</vt:lpwstr>
  </property>
</Properties>
</file>