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pPr>
        <w:spacing w:line="316" w:lineRule="auto"/>
        <w:rPr>
          <w:rFonts w:hint="eastAsia" w:asciiTheme="minorEastAsia" w:hAnsiTheme="minorEastAsia" w:eastAsiaTheme="minorEastAsia" w:cstheme="minorEastAsia"/>
          <w:sz w:val="21"/>
        </w:rPr>
      </w:pPr>
    </w:p>
    <w:p>
      <w:pPr>
        <w:spacing w:line="316" w:lineRule="auto"/>
        <w:rPr>
          <w:rFonts w:hint="eastAsia" w:asciiTheme="minorEastAsia" w:hAnsiTheme="minorEastAsia" w:eastAsiaTheme="minorEastAsia" w:cstheme="minorEastAsia"/>
          <w:sz w:val="21"/>
        </w:rPr>
      </w:pPr>
    </w:p>
    <w:p>
      <w:pPr>
        <w:spacing w:line="317" w:lineRule="auto"/>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6"/>
          <w:szCs w:val="36"/>
        </w:rPr>
      </w:pPr>
    </w:p>
    <w:p>
      <w:pPr>
        <w:pStyle w:val="3"/>
        <w:rPr>
          <w:rFonts w:hint="eastAsia" w:ascii="宋体" w:hAnsi="宋体" w:eastAsia="宋体" w:cs="宋体"/>
          <w:b/>
          <w:bCs/>
          <w:spacing w:val="-17"/>
          <w:sz w:val="36"/>
          <w:szCs w:val="36"/>
        </w:rPr>
      </w:pPr>
    </w:p>
    <w:p>
      <w:pPr>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eastAsia="zh-CN"/>
        </w:rPr>
        <w:t>张仲景国医大学筹建处公共教室智慧教室等设施采购项目</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b/>
          <w:bCs/>
          <w:spacing w:val="-17"/>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sz w:val="24"/>
          <w:szCs w:val="24"/>
          <w:u w:val="single" w:color="auto"/>
          <w:lang w:eastAsia="zh-CN"/>
        </w:rPr>
        <w:t xml:space="preserve">豫财招标采购-2024-109 </w:t>
      </w:r>
      <w:r>
        <w:rPr>
          <w:rFonts w:hint="eastAsia" w:asciiTheme="minorEastAsia" w:hAnsiTheme="minorEastAsia" w:eastAsiaTheme="minorEastAsia" w:cstheme="minorEastAsia"/>
          <w:b/>
          <w:bCs/>
          <w:spacing w:val="-17"/>
          <w:sz w:val="32"/>
          <w:szCs w:val="32"/>
        </w:rPr>
        <w:t xml:space="preserve">                 </w:t>
      </w:r>
      <w:r>
        <w:rPr>
          <w:rFonts w:hint="eastAsia" w:asciiTheme="minorEastAsia" w:hAnsiTheme="minorEastAsia" w:eastAsiaTheme="minorEastAsia" w:cstheme="minorEastAsia"/>
          <w:b/>
          <w:bCs/>
          <w:spacing w:val="-17"/>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rPr>
        <w:t>采 购 人：</w:t>
      </w:r>
      <w:r>
        <w:rPr>
          <w:rFonts w:hint="eastAsia" w:asciiTheme="minorEastAsia" w:hAnsiTheme="minorEastAsia" w:eastAsiaTheme="minorEastAsia" w:cstheme="minorEastAsia"/>
          <w:sz w:val="24"/>
          <w:szCs w:val="24"/>
          <w:u w:val="single" w:color="auto"/>
        </w:rPr>
        <w:t xml:space="preserve"> 张仲景国医大学筹建处    </w:t>
      </w:r>
      <w:r>
        <w:rPr>
          <w:rFonts w:hint="eastAsia" w:asciiTheme="minorEastAsia" w:hAnsiTheme="minorEastAsia" w:eastAsiaTheme="minorEastAsia" w:cstheme="minorEastAsia"/>
          <w:b/>
          <w:bCs/>
          <w:spacing w:val="-17"/>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南阳市政府采购中心</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b/>
          <w:bCs/>
          <w:spacing w:val="-17"/>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heme="minorEastAsia" w:hAnsiTheme="minorEastAsia" w:eastAsiaTheme="minorEastAsia" w:cstheme="minorEastAsia"/>
          <w:b/>
          <w:bCs/>
          <w:spacing w:val="-17"/>
          <w:sz w:val="32"/>
          <w:szCs w:val="32"/>
          <w:lang w:val="en-US"/>
        </w:rPr>
        <w:sectPr>
          <w:pgSz w:w="11907" w:h="16840"/>
          <w:pgMar w:top="1403" w:right="1786" w:bottom="0" w:left="1786" w:header="0" w:footer="0" w:gutter="0"/>
          <w:cols w:space="720" w:num="1"/>
        </w:sectPr>
      </w:pPr>
      <w:r>
        <w:rPr>
          <w:rFonts w:hint="eastAsia" w:asciiTheme="minorEastAsia" w:hAnsiTheme="minorEastAsia" w:eastAsiaTheme="minorEastAsia" w:cstheme="minorEastAsia"/>
          <w:b/>
          <w:bCs/>
          <w:spacing w:val="-17"/>
          <w:sz w:val="32"/>
          <w:szCs w:val="32"/>
          <w:u w:val="single"/>
          <w:lang w:val="en-US" w:eastAsia="zh-CN"/>
        </w:rPr>
        <w:t>2024年2月8日</w:t>
      </w: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default" w:asciiTheme="minorEastAsia" w:hAnsiTheme="minorEastAsia" w:eastAsiaTheme="minorEastAsia" w:cstheme="minorEastAsia"/>
          <w:sz w:val="24"/>
          <w:szCs w:val="24"/>
          <w:lang w:val="en-US"/>
        </w:rPr>
      </w:sdtEndPr>
      <w:sdtContent>
        <w:p>
          <w:pPr>
            <w:pStyle w:val="5"/>
            <w:spacing w:before="353" w:line="222" w:lineRule="auto"/>
            <w:ind w:left="3716"/>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36"/>
              <w:szCs w:val="36"/>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3"/>
              <w:sz w:val="36"/>
              <w:szCs w:val="36"/>
            </w:rPr>
            <w:t xml:space="preserve">      </w:t>
          </w:r>
          <w:r>
            <w:rPr>
              <w:rFonts w:hint="eastAsia" w:asciiTheme="minorEastAsia" w:hAnsiTheme="minorEastAsia" w:eastAsiaTheme="minorEastAsia" w:cstheme="minorEastAsia"/>
              <w:spacing w:val="-42"/>
              <w:sz w:val="36"/>
              <w:szCs w:val="36"/>
              <w14:textOutline w14:w="2306" w14:cap="flat" w14:cmpd="sng">
                <w14:solidFill>
                  <w14:srgbClr w14:val="000000"/>
                </w14:solidFill>
                <w14:prstDash w14:val="solid"/>
                <w14:miter w14:val="0"/>
              </w14:textOutline>
            </w:rPr>
            <w:t>录</w:t>
          </w:r>
        </w:p>
        <w:p>
          <w:pPr>
            <w:rPr>
              <w:rFonts w:hint="eastAsia" w:asciiTheme="minorEastAsia" w:hAnsiTheme="minorEastAsia" w:eastAsiaTheme="minorEastAsia" w:cstheme="minorEastAsia"/>
              <w:sz w:val="21"/>
            </w:rPr>
          </w:pPr>
        </w:p>
        <w:p>
          <w:pPr>
            <w:spacing w:line="241" w:lineRule="auto"/>
            <w:rPr>
              <w:rFonts w:hint="eastAsia" w:asciiTheme="minorEastAsia" w:hAnsiTheme="minorEastAsia" w:eastAsiaTheme="minorEastAsia" w:cstheme="minorEastAsia"/>
              <w:sz w:val="21"/>
            </w:rPr>
          </w:pPr>
        </w:p>
        <w:p>
          <w:pPr>
            <w:spacing w:line="241" w:lineRule="auto"/>
            <w:rPr>
              <w:rFonts w:hint="eastAsia" w:asciiTheme="minorEastAsia" w:hAnsiTheme="minorEastAsia" w:eastAsiaTheme="minorEastAsia" w:cstheme="minorEastAsia"/>
              <w:sz w:val="21"/>
            </w:rPr>
          </w:pPr>
        </w:p>
        <w:p>
          <w:pPr>
            <w:spacing w:line="241" w:lineRule="auto"/>
            <w:rPr>
              <w:rFonts w:hint="eastAsia" w:asciiTheme="minorEastAsia" w:hAnsiTheme="minorEastAsia" w:eastAsiaTheme="minorEastAsia" w:cstheme="minorEastAsia"/>
              <w:sz w:val="21"/>
            </w:rPr>
          </w:pPr>
        </w:p>
        <w:p>
          <w:pPr>
            <w:spacing w:line="241" w:lineRule="auto"/>
            <w:rPr>
              <w:rFonts w:hint="eastAsia" w:asciiTheme="minorEastAsia" w:hAnsiTheme="minorEastAsia" w:eastAsiaTheme="minorEastAsia" w:cstheme="minorEastAsia"/>
              <w:sz w:val="21"/>
            </w:rPr>
          </w:pPr>
        </w:p>
        <w:p>
          <w:pPr>
            <w:pStyle w:val="5"/>
            <w:spacing w:before="78" w:line="186" w:lineRule="auto"/>
            <w:ind w:left="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14:textOutline w14:w="1537" w14:cap="flat" w14:cmpd="sng">
                <w14:solidFill>
                  <w14:srgbClr w14:val="000000"/>
                </w14:solidFill>
                <w14:prstDash w14:val="solid"/>
                <w14:miter w14:val="0"/>
              </w14:textOutline>
            </w:rPr>
            <w:t>公开招标公告</w:t>
          </w:r>
        </w:p>
        <w:p>
          <w:pPr>
            <w:pStyle w:val="5"/>
            <w:spacing w:before="226" w:line="186" w:lineRule="auto"/>
            <w:ind w:left="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3"/>
              <w:sz w:val="24"/>
              <w:szCs w:val="24"/>
              <w:lang w:val="en-US" w:eastAsia="zh-CN"/>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采购需求</w:t>
          </w:r>
        </w:p>
        <w:p>
          <w:pPr>
            <w:pStyle w:val="5"/>
            <w:spacing w:before="224" w:line="185" w:lineRule="auto"/>
            <w:ind w:left="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投标人须知</w:t>
          </w:r>
          <w:r>
            <w:rPr>
              <w:rFonts w:hint="eastAsia" w:asciiTheme="minorEastAsia" w:hAnsiTheme="minorEastAsia" w:eastAsiaTheme="minorEastAsia" w:cstheme="minorEastAsia"/>
              <w:spacing w:val="-107"/>
              <w:sz w:val="24"/>
              <w:szCs w:val="24"/>
            </w:rPr>
            <w:t xml:space="preserve"> </w:t>
          </w:r>
        </w:p>
        <w:p>
          <w:pPr>
            <w:pStyle w:val="5"/>
            <w:spacing w:before="223" w:line="186" w:lineRule="auto"/>
            <w:ind w:left="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开、</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评标程序、评标方法和评标标准</w:t>
          </w:r>
          <w:r>
            <w:rPr>
              <w:rFonts w:hint="eastAsia" w:asciiTheme="minorEastAsia" w:hAnsiTheme="minorEastAsia" w:eastAsiaTheme="minorEastAsia" w:cstheme="minorEastAsia"/>
              <w:spacing w:val="-100"/>
              <w:sz w:val="24"/>
              <w:szCs w:val="24"/>
            </w:rPr>
            <w:t xml:space="preserve"> </w:t>
          </w:r>
        </w:p>
        <w:p>
          <w:pPr>
            <w:pStyle w:val="5"/>
            <w:spacing w:before="223" w:line="186" w:lineRule="auto"/>
            <w:ind w:left="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3"/>
              <w:sz w:val="24"/>
              <w:szCs w:val="24"/>
              <w:lang w:val="en-US" w:eastAsia="zh-CN"/>
              <w14:textOutline w14:w="1537"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lang w:eastAsia="zh-CN"/>
              <w14:textOutline w14:w="1537" w14:cap="flat" w14:cmpd="sng">
                <w14:solidFill>
                  <w14:srgbClr w14:val="000000"/>
                </w14:solidFill>
                <w14:prstDash w14:val="solid"/>
                <w14:miter w14:val="0"/>
              </w14:textOutline>
            </w:rPr>
            <w:t>政府采购合同（草案）</w:t>
          </w:r>
        </w:p>
        <w:p>
          <w:pPr>
            <w:pStyle w:val="5"/>
            <w:spacing w:before="227" w:line="219" w:lineRule="auto"/>
            <w:ind w:left="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3"/>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投标文件格式</w:t>
          </w:r>
        </w:p>
      </w:sdtContent>
    </w:sdt>
    <w:p>
      <w:pPr>
        <w:spacing w:line="219" w:lineRule="auto"/>
        <w:rPr>
          <w:rFonts w:hint="eastAsia" w:asciiTheme="minorEastAsia" w:hAnsiTheme="minorEastAsia" w:eastAsiaTheme="minorEastAsia" w:cstheme="minorEastAsia"/>
          <w:sz w:val="24"/>
          <w:szCs w:val="24"/>
        </w:rPr>
      </w:pPr>
    </w:p>
    <w:p>
      <w:pPr>
        <w:spacing w:line="219" w:lineRule="auto"/>
        <w:rPr>
          <w:rFonts w:hint="eastAsia" w:asciiTheme="minorEastAsia" w:hAnsiTheme="minorEastAsia" w:eastAsiaTheme="minorEastAsia" w:cstheme="minorEastAsia"/>
          <w:sz w:val="24"/>
          <w:szCs w:val="24"/>
        </w:rPr>
      </w:pPr>
    </w:p>
    <w:p>
      <w:pPr>
        <w:spacing w:line="219" w:lineRule="auto"/>
        <w:rPr>
          <w:rFonts w:hint="eastAsia" w:asciiTheme="minorEastAsia" w:hAnsiTheme="minorEastAsia" w:eastAsiaTheme="minorEastAsia" w:cstheme="minorEastAsia"/>
          <w:sz w:val="24"/>
          <w:szCs w:val="24"/>
        </w:rPr>
      </w:pPr>
    </w:p>
    <w:p>
      <w:pPr>
        <w:spacing w:line="219" w:lineRule="auto"/>
        <w:rPr>
          <w:rFonts w:hint="eastAsia" w:asciiTheme="minorEastAsia" w:hAnsiTheme="minorEastAsia" w:eastAsiaTheme="minorEastAsia" w:cstheme="minorEastAsia"/>
          <w:sz w:val="24"/>
          <w:szCs w:val="24"/>
        </w:rPr>
      </w:pPr>
    </w:p>
    <w:p>
      <w:pPr>
        <w:spacing w:line="219" w:lineRule="auto"/>
        <w:rPr>
          <w:rFonts w:hint="eastAsia" w:asciiTheme="minorEastAsia" w:hAnsiTheme="minorEastAsia" w:eastAsiaTheme="minorEastAsia" w:cstheme="minorEastAsia"/>
          <w:sz w:val="24"/>
          <w:szCs w:val="24"/>
        </w:rPr>
      </w:pPr>
    </w:p>
    <w:p>
      <w:pPr>
        <w:spacing w:line="219" w:lineRule="auto"/>
        <w:rPr>
          <w:rFonts w:hint="eastAsia" w:asciiTheme="minorEastAsia" w:hAnsiTheme="minorEastAsia" w:eastAsiaTheme="minorEastAsia" w:cstheme="minorEastAsia"/>
          <w:sz w:val="24"/>
          <w:szCs w:val="24"/>
        </w:rPr>
      </w:pPr>
    </w:p>
    <w:p>
      <w:pPr>
        <w:spacing w:line="219" w:lineRule="auto"/>
        <w:rPr>
          <w:rFonts w:hint="eastAsia" w:asciiTheme="minorEastAsia" w:hAnsiTheme="minorEastAsia" w:eastAsiaTheme="minorEastAsia" w:cstheme="minorEastAsia"/>
          <w:sz w:val="24"/>
          <w:szCs w:val="24"/>
        </w:rPr>
      </w:pPr>
    </w:p>
    <w:p>
      <w:pPr>
        <w:spacing w:line="219" w:lineRule="auto"/>
        <w:rPr>
          <w:rFonts w:hint="eastAsia" w:asciiTheme="minorEastAsia" w:hAnsiTheme="minorEastAsia" w:eastAsiaTheme="minorEastAsia" w:cstheme="minorEastAsia"/>
          <w:sz w:val="24"/>
          <w:szCs w:val="24"/>
        </w:rPr>
      </w:pPr>
    </w:p>
    <w:p>
      <w:pPr>
        <w:spacing w:line="219" w:lineRule="auto"/>
        <w:rPr>
          <w:rFonts w:hint="eastAsia" w:asciiTheme="minorEastAsia" w:hAnsiTheme="minorEastAsia" w:eastAsiaTheme="minorEastAsia" w:cstheme="minorEastAsia"/>
          <w:sz w:val="24"/>
          <w:szCs w:val="24"/>
        </w:rPr>
        <w:sectPr>
          <w:headerReference r:id="rId5" w:type="default"/>
          <w:footerReference r:id="rId6" w:type="default"/>
          <w:pgSz w:w="11907" w:h="16840"/>
          <w:pgMar w:top="1117" w:right="1133" w:bottom="0" w:left="1700" w:header="878" w:footer="0" w:gutter="0"/>
          <w:pgNumType w:fmt="decimal" w:start="1"/>
          <w:cols w:space="720" w:num="1"/>
        </w:sectPr>
      </w:pPr>
    </w:p>
    <w:p>
      <w:pPr>
        <w:pStyle w:val="5"/>
        <w:spacing w:before="353" w:line="219" w:lineRule="auto"/>
        <w:ind w:left="3129"/>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pPr>
        <w:spacing w:line="244" w:lineRule="auto"/>
        <w:rPr>
          <w:rFonts w:hint="eastAsia" w:asciiTheme="minorEastAsia" w:hAnsiTheme="minorEastAsia" w:eastAsiaTheme="minorEastAsia" w:cstheme="minorEastAsia"/>
          <w:sz w:val="21"/>
        </w:rPr>
      </w:pPr>
    </w:p>
    <w:p>
      <w:pPr>
        <w:spacing w:line="244" w:lineRule="auto"/>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spacing w:val="-6"/>
          <w:sz w:val="24"/>
          <w:szCs w:val="24"/>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z w:val="24"/>
          <w:szCs w:val="24"/>
          <w:u w:val="single" w:color="auto"/>
          <w:lang w:eastAsia="zh-CN"/>
        </w:rPr>
        <w:t>豫财招标采购-2024-109</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z w:val="24"/>
          <w:szCs w:val="24"/>
          <w:u w:val="single" w:color="auto"/>
          <w:lang w:eastAsia="zh-CN"/>
        </w:rPr>
        <w:t>张仲景国医大学筹建处公共教室智慧教室等设施采购项目</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415.1896</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3"/>
          <w:sz w:val="24"/>
          <w:szCs w:val="24"/>
        </w:rPr>
        <w:t xml:space="preserve"> </w:t>
      </w:r>
      <w:r>
        <w:rPr>
          <w:rFonts w:hint="eastAsia" w:asciiTheme="minorEastAsia" w:hAnsiTheme="minorEastAsia" w:eastAsiaTheme="minorEastAsia" w:cstheme="minorEastAsia"/>
          <w:spacing w:val="-14"/>
          <w:sz w:val="24"/>
          <w:szCs w:val="24"/>
        </w:rPr>
        <w:t>万元</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4.采购需求：</w:t>
      </w:r>
    </w:p>
    <w:tbl>
      <w:tblPr>
        <w:tblStyle w:val="25"/>
        <w:tblW w:w="913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5"/>
        <w:gridCol w:w="6075"/>
        <w:gridCol w:w="15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5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607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15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545" w:type="dxa"/>
            <w:vAlign w:val="top"/>
          </w:tcPr>
          <w:p>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none" w:color="auto"/>
                <w:lang w:eastAsia="zh-CN"/>
              </w:rPr>
              <w:t>豫财招标采购-2024-109</w:t>
            </w:r>
            <w:r>
              <w:rPr>
                <w:rFonts w:hint="eastAsia" w:asciiTheme="minorEastAsia" w:hAnsiTheme="minorEastAsia" w:eastAsiaTheme="minorEastAsia" w:cstheme="minorEastAsia"/>
                <w:spacing w:val="14"/>
                <w:sz w:val="24"/>
                <w:szCs w:val="24"/>
                <w:lang w:val="en-US" w:eastAsia="zh-CN"/>
              </w:rPr>
              <w:t>-</w:t>
            </w:r>
            <w:r>
              <w:rPr>
                <w:rFonts w:hint="eastAsia" w:asciiTheme="minorEastAsia" w:hAnsiTheme="minorEastAsia" w:eastAsiaTheme="minorEastAsia" w:cstheme="minorEastAsia"/>
                <w:spacing w:val="14"/>
                <w:sz w:val="24"/>
                <w:szCs w:val="24"/>
              </w:rPr>
              <w:t>1</w:t>
            </w:r>
          </w:p>
        </w:tc>
        <w:tc>
          <w:tcPr>
            <w:tcW w:w="6075" w:type="dxa"/>
            <w:vAlign w:val="top"/>
          </w:tcPr>
          <w:p>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none" w:color="auto"/>
                <w:lang w:eastAsia="zh-CN"/>
              </w:rPr>
              <w:t>张仲景国医大学筹建处公共教室智慧教室等设施采购项目</w:t>
            </w:r>
          </w:p>
        </w:tc>
        <w:tc>
          <w:tcPr>
            <w:tcW w:w="1515" w:type="dxa"/>
            <w:vAlign w:val="top"/>
          </w:tcPr>
          <w:p>
            <w:pPr>
              <w:pStyle w:val="2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4151896</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360" w:lineRule="auto"/>
        <w:ind w:left="0" w:right="0" w:firstLine="0"/>
        <w:jc w:val="left"/>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5.采购清单：</w:t>
      </w:r>
    </w:p>
    <w:tbl>
      <w:tblPr>
        <w:tblStyle w:val="19"/>
        <w:tblW w:w="910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4590"/>
        <w:gridCol w:w="13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序号</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设备名称</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单位</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智慧黑板</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r>
              <w:rPr>
                <w:rFonts w:hint="eastAsia" w:asciiTheme="minorEastAsia" w:hAnsiTheme="minorEastAsia" w:eastAsiaTheme="minorEastAsia" w:cstheme="minorEastAsia"/>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投影仪</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幕布</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幅</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扩展屏</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智能本地扩声主机</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r>
              <w:rPr>
                <w:rFonts w:hint="eastAsia" w:asciiTheme="minorEastAsia" w:hAnsiTheme="minorEastAsia" w:eastAsiaTheme="minorEastAsia" w:cstheme="minorEastAsia"/>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吊麦</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r>
              <w:rPr>
                <w:rFonts w:hint="eastAsia" w:asciiTheme="minorEastAsia" w:hAnsiTheme="minorEastAsia" w:eastAsiaTheme="minorEastAsia" w:cstheme="minorEastAsia"/>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音箱</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w:t>
            </w:r>
            <w:r>
              <w:rPr>
                <w:rFonts w:hint="eastAsia" w:asciiTheme="minorEastAsia" w:hAnsiTheme="minorEastAsia" w:eastAsiaTheme="minorEastAsia" w:cstheme="minorEastAsia"/>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教师高清摄像机</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r>
              <w:rPr>
                <w:rFonts w:hint="eastAsia" w:asciiTheme="minorEastAsia" w:hAnsiTheme="minorEastAsia" w:eastAsiaTheme="minorEastAsia" w:cstheme="minorEastAsia"/>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学生高清摄像机</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r>
              <w:rPr>
                <w:rFonts w:hint="eastAsia" w:asciiTheme="minorEastAsia" w:hAnsiTheme="minorEastAsia" w:eastAsiaTheme="minorEastAsia" w:cstheme="minorEastAsia"/>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录播管理系统</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r>
              <w:rPr>
                <w:rFonts w:hint="eastAsia" w:asciiTheme="minorEastAsia" w:hAnsiTheme="minorEastAsia" w:eastAsiaTheme="minorEastAsia" w:cstheme="minorEastAsia"/>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屏幕采集系统</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r>
              <w:rPr>
                <w:rFonts w:hint="eastAsia" w:asciiTheme="minorEastAsia" w:hAnsiTheme="minorEastAsia" w:eastAsiaTheme="minorEastAsia" w:cstheme="minorEastAsia"/>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电子班牌</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r>
              <w:rPr>
                <w:rFonts w:hint="eastAsia" w:asciiTheme="minorEastAsia" w:hAnsiTheme="minorEastAsia" w:eastAsiaTheme="minorEastAsia" w:cstheme="minorEastAsia"/>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电子表数字显示挂墙</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r>
              <w:rPr>
                <w:rFonts w:hint="eastAsia" w:asciiTheme="minorEastAsia" w:hAnsiTheme="minorEastAsia" w:eastAsiaTheme="minorEastAsia" w:cstheme="minorEastAsia"/>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鼠标键盘</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5</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多媒体讲桌</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16</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智慧课堂云平台</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17</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课堂直播系统</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18</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课表自动录课定制开发服务</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19</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单点登录与统一认证开发服务</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en-US" w:eastAsia="zh-CN"/>
              </w:rPr>
              <w:t>0</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云平台页面定制服务</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21</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数据互联互通定制服务</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22</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平台数据维护服务</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95"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23</w:t>
            </w:r>
          </w:p>
        </w:tc>
        <w:tc>
          <w:tcPr>
            <w:tcW w:w="459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录播存储系统</w:t>
            </w:r>
          </w:p>
        </w:tc>
        <w:tc>
          <w:tcPr>
            <w:tcW w:w="138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1440" w:type="dxa"/>
            <w:shd w:val="clear" w:color="auto" w:fill="auto"/>
            <w:noWrap/>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jc w:val="left"/>
        <w:textAlignment w:val="baseline"/>
        <w:rPr>
          <w:rFonts w:hint="eastAsia" w:asciiTheme="minorEastAsia" w:hAnsiTheme="minorEastAsia" w:eastAsiaTheme="minorEastAsia" w:cstheme="minorEastAsia"/>
          <w:b/>
          <w:bCs/>
          <w:spacing w:val="-5"/>
          <w:sz w:val="24"/>
          <w:szCs w:val="24"/>
          <w:lang w:val="en-US" w:eastAsia="zh-CN"/>
        </w:rPr>
      </w:pPr>
      <w:r>
        <w:rPr>
          <w:rFonts w:hint="eastAsia" w:asciiTheme="minorEastAsia" w:hAnsiTheme="minorEastAsia" w:eastAsiaTheme="minorEastAsia" w:cstheme="minorEastAsia"/>
          <w:b/>
          <w:bCs/>
          <w:spacing w:val="-5"/>
          <w:sz w:val="24"/>
          <w:szCs w:val="24"/>
          <w:lang w:val="en-US" w:eastAsia="zh-CN"/>
        </w:rPr>
        <w:t>（详见第二部分“采购内容及要求”）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宋体" w:hAnsi="宋体" w:eastAsia="宋体" w:cs="宋体"/>
          <w:sz w:val="24"/>
          <w:szCs w:val="24"/>
          <w:u w:val="single"/>
          <w:lang w:val="en-US" w:eastAsia="zh-CN"/>
        </w:rPr>
        <w:t>签订合同后20日历天内供货</w:t>
      </w:r>
      <w:r>
        <w:rPr>
          <w:rFonts w:hint="eastAsia" w:cs="宋体"/>
          <w:sz w:val="24"/>
          <w:szCs w:val="24"/>
          <w:u w:val="single"/>
          <w:lang w:val="en-US" w:eastAsia="zh-CN"/>
        </w:rPr>
        <w:t>安装</w:t>
      </w:r>
      <w:r>
        <w:rPr>
          <w:rFonts w:hint="eastAsia" w:ascii="宋体" w:hAnsi="宋体" w:eastAsia="宋体" w:cs="宋体"/>
          <w:sz w:val="24"/>
          <w:szCs w:val="24"/>
          <w:u w:val="single"/>
          <w:lang w:val="en-US" w:eastAsia="zh-CN"/>
        </w:rPr>
        <w:t>完毕。</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 xml:space="preserve">是  </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w:t>
      </w:r>
      <w:bookmarkStart w:id="161" w:name="_GoBack"/>
      <w:bookmarkEnd w:id="161"/>
      <w:r>
        <w:rPr>
          <w:rFonts w:hint="eastAsia" w:asciiTheme="minorEastAsia" w:hAnsiTheme="minorEastAsia" w:eastAsiaTheme="minorEastAsia" w:cstheme="minorEastAsia"/>
          <w:snapToGrid w:val="0"/>
          <w:color w:val="000000"/>
          <w:spacing w:val="-14"/>
          <w:kern w:val="0"/>
          <w:sz w:val="24"/>
          <w:szCs w:val="24"/>
          <w:lang w:val="en-US" w:eastAsia="zh-CN" w:bidi="ar-SA"/>
        </w:rPr>
        <w:t>20</w:t>
      </w:r>
      <w:r>
        <w:rPr>
          <w:rFonts w:hint="eastAsia" w:asciiTheme="minorEastAsia" w:hAnsiTheme="minorEastAsia" w:eastAsiaTheme="minorEastAsia" w:cstheme="minorEastAsia"/>
          <w:snapToGrid w:val="0"/>
          <w:color w:val="000000"/>
          <w:spacing w:val="-14"/>
          <w:kern w:val="0"/>
          <w:sz w:val="24"/>
          <w:szCs w:val="24"/>
          <w:u w:val="single"/>
          <w:lang w:val="en-US" w:eastAsia="zh-CN" w:bidi="ar-SA"/>
        </w:rPr>
        <w:t>21</w:t>
      </w:r>
      <w:r>
        <w:rPr>
          <w:rFonts w:hint="eastAsia" w:asciiTheme="minorEastAsia" w:hAnsiTheme="minorEastAsia" w:eastAsiaTheme="minorEastAsia" w:cstheme="minorEastAsia"/>
          <w:snapToGrid w:val="0"/>
          <w:color w:val="000000"/>
          <w:spacing w:val="-14"/>
          <w:kern w:val="0"/>
          <w:sz w:val="24"/>
          <w:szCs w:val="24"/>
          <w:lang w:val="en-US" w:eastAsia="zh-CN" w:bidi="ar-SA"/>
        </w:rPr>
        <w:t>年以来在经营活动中没有重大违法记录；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本项目不专门面向中小企业预留采购份额。</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u w:val="single"/>
          <w:lang w:val="en-US" w:eastAsia="zh-CN"/>
        </w:rPr>
        <w:t>预留金额    万元或预留    %份额</w:t>
      </w:r>
      <w:r>
        <w:rPr>
          <w:rFonts w:hint="eastAsia" w:asciiTheme="minorEastAsia" w:hAnsiTheme="minorEastAsia" w:eastAsiaTheme="minorEastAsia" w:cstheme="minorEastAsia"/>
          <w:spacing w:val="-2"/>
          <w:position w:val="17"/>
          <w:sz w:val="24"/>
          <w:szCs w:val="24"/>
          <w:u w:val="single"/>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lang w:eastAsia="zh-CN"/>
        </w:rPr>
        <w:t>否</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lang w:eastAsia="zh-CN"/>
        </w:rPr>
        <w:t>□接受进口产品</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lang w:val="en-US" w:eastAsia="zh-CN"/>
        </w:rPr>
        <w:t xml:space="preserve"> 不</w:t>
      </w:r>
      <w:r>
        <w:rPr>
          <w:rFonts w:hint="eastAsia" w:asciiTheme="minorEastAsia" w:hAnsiTheme="minorEastAsia" w:eastAsiaTheme="minorEastAsia" w:cstheme="minorEastAsia"/>
          <w:spacing w:val="-2"/>
          <w:position w:val="17"/>
          <w:sz w:val="24"/>
          <w:szCs w:val="24"/>
          <w:lang w:eastAsia="zh-CN"/>
        </w:rPr>
        <w:t>接受进口产品</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lang w:eastAsia="zh-CN"/>
        </w:rPr>
        <w:t>是，公益一类事业单位、使用事业编制且由财政拨款保障的群团组织，不得作为承接主体。</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none"/>
          <w:lang w:val="en-US" w:eastAsia="zh-CN"/>
        </w:rPr>
        <w:t>2</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none"/>
          <w:lang w:val="en-US" w:eastAsia="zh-CN"/>
        </w:rPr>
        <w:t>8</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20"/>
          <w:sz w:val="24"/>
          <w:szCs w:val="24"/>
          <w:u w:val="none" w:color="auto"/>
        </w:rPr>
        <w:t xml:space="preserve"> </w:t>
      </w:r>
      <w:r>
        <w:rPr>
          <w:rFonts w:hint="eastAsia" w:asciiTheme="minorEastAsia" w:hAnsiTheme="minorEastAsia" w:eastAsiaTheme="minorEastAsia" w:cstheme="minorEastAsia"/>
          <w:sz w:val="24"/>
          <w:szCs w:val="24"/>
          <w:u w:val="none" w:color="auto"/>
          <w:lang w:val="en-US"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21</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4"/>
          <w:sz w:val="24"/>
          <w:szCs w:val="24"/>
          <w:lang w:val="en-US" w:eastAsia="zh-CN"/>
        </w:rPr>
        <w:t>8：00</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4"/>
          <w:sz w:val="24"/>
          <w:szCs w:val="24"/>
          <w:lang w:val="en-US" w:eastAsia="zh-CN"/>
        </w:rPr>
        <w:t>12：00</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4"/>
          <w:sz w:val="24"/>
          <w:szCs w:val="24"/>
          <w:lang w:val="en-US" w:eastAsia="zh-CN"/>
        </w:rPr>
        <w:t>12：00</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4"/>
          <w:sz w:val="24"/>
          <w:szCs w:val="24"/>
          <w:lang w:val="en-US" w:eastAsia="zh-CN"/>
        </w:rPr>
        <w:t>18：00</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2.地点：南阳市公共资源交易中心网站https://ggzyjy.nanyang.gov.cn</w:t>
      </w:r>
    </w:p>
    <w:p>
      <w:pPr>
        <w:spacing w:line="360" w:lineRule="auto"/>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 xml:space="preserve"> </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CA数字证书技术支持电话：15672779650。</w:t>
      </w:r>
    </w:p>
    <w:p>
      <w:pPr>
        <w:widowControl w:val="0"/>
        <w:spacing w:after="0" w:line="360" w:lineRule="auto"/>
        <w:ind w:firstLine="600" w:firstLineChars="200"/>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使用电子营业执照系统，</w:t>
      </w:r>
      <w:r>
        <w:rPr>
          <w:rFonts w:hint="eastAsia" w:asciiTheme="minorEastAsia" w:hAnsiTheme="minorEastAsia" w:eastAsiaTheme="minorEastAsia" w:cstheme="minorEastAsia"/>
          <w:spacing w:val="-4"/>
          <w:sz w:val="24"/>
          <w:szCs w:val="24"/>
          <w:lang w:eastAsia="zh-CN"/>
        </w:rPr>
        <w:t>未入库的供应商请及时办理入库手续。</w:t>
      </w:r>
      <w:bookmarkStart w:id="0" w:name="_Hlk117077716"/>
      <w:r>
        <w:rPr>
          <w:rFonts w:hint="eastAsia" w:asciiTheme="minorEastAsia" w:hAnsiTheme="minorEastAsia" w:eastAsiaTheme="minorEastAsia" w:cstheme="minorEastAsia"/>
          <w:spacing w:val="-4"/>
          <w:sz w:val="24"/>
          <w:szCs w:val="24"/>
          <w:lang w:eastAsia="zh-CN"/>
        </w:rPr>
        <w:t>入库办理请参见南阳市公共资源交易中心网https://ggzyjy.nanyang.gov.cn下载专区《诚信库申报操作手册》</w:t>
      </w:r>
      <w:bookmarkEnd w:id="0"/>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lang w:eastAsia="zh-CN"/>
        </w:rPr>
        <w:t>完成企业诚信库注册后可申领电子营业执照，申领电子营业执照请参见南阳市公共资源交易中心下载专区《电子营业执照应用平台系统操作手册-投标单位》。</w:t>
      </w: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lang w:eastAsia="zh-CN"/>
        </w:rPr>
        <w:t>使用电子营业执照扫码登</w:t>
      </w:r>
      <w:r>
        <w:rPr>
          <w:rFonts w:hint="eastAsia" w:asciiTheme="minorEastAsia" w:hAnsiTheme="minorEastAsia" w:eastAsiaTheme="minorEastAsia" w:cstheme="minorEastAsia"/>
          <w:spacing w:val="-4"/>
          <w:sz w:val="24"/>
          <w:szCs w:val="24"/>
          <w:lang w:val="en-US" w:eastAsia="zh-CN"/>
        </w:rPr>
        <w:t>录</w:t>
      </w:r>
      <w:r>
        <w:rPr>
          <w:rFonts w:hint="eastAsia" w:asciiTheme="minorEastAsia" w:hAnsiTheme="minorEastAsia" w:eastAsiaTheme="minorEastAsia" w:cstheme="minorEastAsia"/>
          <w:spacing w:val="-4"/>
          <w:sz w:val="24"/>
          <w:szCs w:val="24"/>
          <w:lang w:eastAsia="zh-CN"/>
        </w:rPr>
        <w:t>南阳市公共资源电子营业执照应用平台系统（http://</w:t>
      </w:r>
      <w:bookmarkStart w:id="1" w:name="_Hlk117068952"/>
      <w:r>
        <w:rPr>
          <w:rFonts w:hint="eastAsia" w:asciiTheme="minorEastAsia" w:hAnsiTheme="minorEastAsia" w:eastAsiaTheme="minorEastAsia" w:cstheme="minorEastAsia"/>
          <w:spacing w:val="-4"/>
          <w:sz w:val="24"/>
          <w:szCs w:val="24"/>
          <w:lang w:eastAsia="zh-CN"/>
        </w:rPr>
        <w:t>111.6.77.187:8081</w:t>
      </w:r>
      <w:bookmarkEnd w:id="1"/>
      <w:r>
        <w:rPr>
          <w:rFonts w:hint="eastAsia" w:asciiTheme="minorEastAsia" w:hAnsiTheme="minorEastAsia" w:eastAsiaTheme="minorEastAsia" w:cstheme="minorEastAsia"/>
          <w:spacing w:val="-4"/>
          <w:sz w:val="24"/>
          <w:szCs w:val="24"/>
          <w:lang w:eastAsia="zh-CN"/>
        </w:rPr>
        <w:t>/ggzy/）免费下载</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文件。电子营业执照申领技术支持电话：17269580661、17269580657，电子营业执照应用平台技术支持电话：17719857571</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 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Theme="minorEastAsia" w:hAnsiTheme="minorEastAsia" w:eastAsiaTheme="minorEastAsia" w:cstheme="minorEastAsia"/>
          <w:sz w:val="21"/>
        </w:rPr>
      </w:pP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left"/>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pPr>
        <w:shd w:val="clear" w:color="auto" w:fill="FFFFFF"/>
        <w:spacing w:line="360" w:lineRule="auto"/>
        <w:ind w:firstLine="600" w:firstLineChars="200"/>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 xml:space="preserve"> </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pPr>
        <w:shd w:val="clear" w:color="auto" w:fill="FFFFFF"/>
        <w:spacing w:line="360" w:lineRule="auto"/>
        <w:ind w:firstLine="464" w:firstLineChars="200"/>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造成开标无法继续的，视为该投标人自动放弃投标，将被退回投标文件”。电子交易系统技术支持电话：400-998-0000。</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600" w:firstLineChars="200"/>
        <w:jc w:val="left"/>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4"/>
          <w:sz w:val="24"/>
          <w:szCs w:val="24"/>
          <w:lang w:val="en-US" w:eastAsia="zh-CN"/>
        </w:rPr>
        <w:t>使用电子营业执照系统</w:t>
      </w:r>
      <w:r>
        <w:rPr>
          <w:rFonts w:hint="eastAsia" w:asciiTheme="minorEastAsia" w:hAnsiTheme="minorEastAsia" w:eastAsiaTheme="minorEastAsia" w:cstheme="minorEastAsia"/>
          <w:spacing w:val="30"/>
          <w:sz w:val="24"/>
          <w:szCs w:val="24"/>
          <w:lang w:val="en-US" w:eastAsia="zh-CN"/>
        </w:rPr>
        <w:t>。</w:t>
      </w:r>
      <w:r>
        <w:rPr>
          <w:rFonts w:hint="eastAsia" w:asciiTheme="minorEastAsia" w:hAnsiTheme="minorEastAsia" w:eastAsiaTheme="minorEastAsia" w:cstheme="minorEastAsia"/>
          <w:spacing w:val="-4"/>
          <w:sz w:val="24"/>
          <w:szCs w:val="24"/>
          <w:lang w:val="en-US" w:eastAsia="zh-CN"/>
        </w:rPr>
        <w:t>投标人须上传加密电子投标文件。电子投标文件需要使用“电子营业执照应用平台投标文件制作工具（南阳版）”制作，制作工具及操作手册可在南阳市公共资源电子营业执照应用平台系统“系统功能”-“组件下载”处下载。</w:t>
      </w:r>
      <w:r>
        <w:rPr>
          <w:rFonts w:hint="eastAsia" w:asciiTheme="minorEastAsia" w:hAnsiTheme="minorEastAsia" w:eastAsiaTheme="minorEastAsia" w:cstheme="minorEastAsia"/>
          <w:spacing w:val="-4"/>
          <w:sz w:val="24"/>
          <w:szCs w:val="24"/>
          <w:lang w:eastAsia="zh-CN"/>
        </w:rPr>
        <w:t>加密电子</w:t>
      </w:r>
      <w:r>
        <w:rPr>
          <w:rFonts w:hint="eastAsia" w:asciiTheme="minorEastAsia" w:hAnsiTheme="minorEastAsia" w:eastAsiaTheme="minorEastAsia" w:cstheme="minorEastAsia"/>
          <w:spacing w:val="-4"/>
          <w:sz w:val="24"/>
          <w:szCs w:val="24"/>
          <w:lang w:val="en-US" w:eastAsia="zh-CN"/>
        </w:rPr>
        <w:t>投标</w:t>
      </w:r>
      <w:r>
        <w:rPr>
          <w:rFonts w:hint="eastAsia" w:asciiTheme="minorEastAsia" w:hAnsiTheme="minorEastAsia" w:eastAsiaTheme="minorEastAsia" w:cstheme="minorEastAsia"/>
          <w:spacing w:val="-4"/>
          <w:sz w:val="24"/>
          <w:szCs w:val="24"/>
          <w:lang w:eastAsia="zh-CN"/>
        </w:rPr>
        <w:t>文件（格式后缀为:.file）应在</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文件规定的上传截止时间前上传至电子营业执照应用平台系统（http://111.6.77.187:8081/ggzy/）。逾期上传至电子营业执照应用平台系统的电子</w:t>
      </w:r>
      <w:r>
        <w:rPr>
          <w:rFonts w:hint="eastAsia" w:asciiTheme="minorEastAsia" w:hAnsiTheme="minorEastAsia" w:eastAsiaTheme="minorEastAsia" w:cstheme="minorEastAsia"/>
          <w:spacing w:val="-4"/>
          <w:sz w:val="24"/>
          <w:szCs w:val="24"/>
          <w:lang w:val="en-US" w:eastAsia="zh-CN"/>
        </w:rPr>
        <w:t>投标</w:t>
      </w:r>
      <w:r>
        <w:rPr>
          <w:rFonts w:hint="eastAsia" w:asciiTheme="minorEastAsia" w:hAnsiTheme="minorEastAsia" w:eastAsiaTheme="minorEastAsia" w:cstheme="minorEastAsia"/>
          <w:spacing w:val="-4"/>
          <w:sz w:val="24"/>
          <w:szCs w:val="24"/>
          <w:lang w:eastAsia="zh-CN"/>
        </w:rPr>
        <w:t>文件视为无效文件。</w:t>
      </w:r>
    </w:p>
    <w:p>
      <w:pPr>
        <w:widowControl w:val="0"/>
        <w:spacing w:after="0" w:line="360" w:lineRule="auto"/>
        <w:ind w:left="9" w:firstLine="424" w:firstLineChars="183"/>
        <w:rPr>
          <w:rFonts w:hint="default"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4"/>
          <w:kern w:val="0"/>
          <w:sz w:val="24"/>
          <w:szCs w:val="24"/>
          <w:lang w:val="en-US" w:eastAsia="zh-CN" w:bidi="ar-SA"/>
        </w:rPr>
        <w:t>本项目采用全流程电子化，投标人应在开标时间前登录电子营业执照应用平台系统不见面开标大厅；在投标文件解密过程中，</w:t>
      </w:r>
      <w:r>
        <w:rPr>
          <w:rFonts w:hint="eastAsia" w:asciiTheme="minorEastAsia" w:hAnsiTheme="minorEastAsia" w:eastAsiaTheme="minorEastAsia" w:cstheme="minorEastAsia"/>
          <w:spacing w:val="-4"/>
          <w:sz w:val="24"/>
          <w:szCs w:val="24"/>
          <w:lang w:eastAsia="zh-CN"/>
        </w:rPr>
        <w:t>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w:t>
      </w:r>
      <w:r>
        <w:rPr>
          <w:rFonts w:hint="eastAsia" w:asciiTheme="minorEastAsia" w:hAnsiTheme="minorEastAsia" w:eastAsiaTheme="minorEastAsia" w:cstheme="minorEastAsia"/>
          <w:snapToGrid w:val="0"/>
          <w:color w:val="000000"/>
          <w:spacing w:val="-4"/>
          <w:kern w:val="0"/>
          <w:sz w:val="24"/>
          <w:szCs w:val="24"/>
          <w:lang w:val="en-US" w:eastAsia="zh-CN" w:bidi="ar-SA"/>
        </w:rPr>
        <w:t>解密过程中遇到紧急事项，可在不见面开标大厅中提出异议或者文字交流，严重问题可拨打技术支持电话17719857571.</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z w:val="24"/>
          <w:szCs w:val="24"/>
          <w:u w:val="single" w:color="auto"/>
          <w:lang w:val="en-US" w:eastAsia="zh-CN"/>
        </w:rPr>
        <w:t>2024</w:t>
      </w:r>
      <w:r>
        <w:rPr>
          <w:rFonts w:hint="eastAsia" w:asciiTheme="minorEastAsia" w:hAnsiTheme="minorEastAsia" w:eastAsiaTheme="minorEastAsia" w:cstheme="minorEastAsia"/>
          <w:spacing w:val="-14"/>
          <w:sz w:val="24"/>
          <w:szCs w:val="24"/>
        </w:rPr>
        <w:t>年</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u w:val="single" w:color="auto"/>
          <w:lang w:val="en-US" w:eastAsia="zh-CN"/>
        </w:rPr>
        <w:t>2</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14"/>
          <w:sz w:val="24"/>
          <w:szCs w:val="24"/>
        </w:rPr>
        <w:t>月</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u w:val="single" w:color="auto"/>
          <w:lang w:val="en-US" w:eastAsia="zh-CN"/>
        </w:rPr>
        <w:t xml:space="preserve">29 </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15"/>
          <w:sz w:val="24"/>
          <w:szCs w:val="24"/>
        </w:rPr>
        <w:t>日</w:t>
      </w:r>
      <w:r>
        <w:rPr>
          <w:rFonts w:hint="eastAsia" w:asciiTheme="minorEastAsia" w:hAnsiTheme="minorEastAsia" w:eastAsiaTheme="minorEastAsia" w:cstheme="minorEastAsia"/>
          <w:spacing w:val="60"/>
          <w:sz w:val="24"/>
          <w:szCs w:val="24"/>
          <w:u w:val="single" w:color="auto"/>
        </w:rPr>
        <w:t xml:space="preserve"> </w:t>
      </w:r>
      <w:r>
        <w:rPr>
          <w:rFonts w:hint="eastAsia" w:asciiTheme="minorEastAsia" w:hAnsiTheme="minorEastAsia" w:eastAsiaTheme="minorEastAsia" w:cstheme="minorEastAsia"/>
          <w:spacing w:val="60"/>
          <w:sz w:val="24"/>
          <w:szCs w:val="24"/>
          <w:u w:val="single" w:color="auto"/>
          <w:lang w:val="en-US" w:eastAsia="zh-CN"/>
        </w:rPr>
        <w:t>9</w:t>
      </w:r>
      <w:r>
        <w:rPr>
          <w:rFonts w:hint="eastAsia" w:asciiTheme="minorEastAsia" w:hAnsiTheme="minorEastAsia" w:eastAsiaTheme="minorEastAsia" w:cstheme="minorEastAsia"/>
          <w:spacing w:val="-102"/>
          <w:sz w:val="24"/>
          <w:szCs w:val="24"/>
        </w:rPr>
        <w:t xml:space="preserve"> </w:t>
      </w:r>
      <w:r>
        <w:rPr>
          <w:rFonts w:hint="eastAsia" w:asciiTheme="minorEastAsia" w:hAnsiTheme="minorEastAsia" w:eastAsiaTheme="minorEastAsia" w:cstheme="minorEastAsia"/>
          <w:spacing w:val="-15"/>
          <w:sz w:val="24"/>
          <w:szCs w:val="24"/>
        </w:rPr>
        <w:t>点</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00</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5"/>
          <w:sz w:val="24"/>
          <w:szCs w:val="24"/>
        </w:rPr>
        <w:t>分（北京时间）。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7"/>
          <w:sz w:val="24"/>
          <w:szCs w:val="24"/>
        </w:rPr>
        <w:t>地点：</w:t>
      </w:r>
      <w:r>
        <w:rPr>
          <w:rFonts w:hint="eastAsia" w:ascii="宋体" w:hAnsi="宋体" w:eastAsia="宋体" w:cs="宋体"/>
          <w:sz w:val="24"/>
          <w:szCs w:val="24"/>
          <w:lang w:val="en-US" w:eastAsia="zh-CN"/>
        </w:rPr>
        <w:t>本项目使用不见面开标，供应商无需前往现场来参与投标。具体操作流程详见南阳市公共资源</w:t>
      </w:r>
      <w:r>
        <w:rPr>
          <w:rFonts w:hint="eastAsia" w:ascii="宋体" w:hAnsi="宋体" w:eastAsia="宋体" w:cs="宋体"/>
          <w:sz w:val="24"/>
          <w:szCs w:val="24"/>
        </w:rPr>
        <w:t>交易中心下载专区栏发布的南阳不见面开标-操作手册（投标人）</w:t>
      </w:r>
      <w:r>
        <w:rPr>
          <w:rFonts w:hint="eastAsia" w:asciiTheme="minorEastAsia" w:hAnsiTheme="minorEastAsia" w:eastAsiaTheme="minorEastAsia" w:cstheme="minorEastAsia"/>
          <w:spacing w:val="-17"/>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u w:val="none" w:color="auto"/>
        </w:rPr>
        <w:t xml:space="preserve"> </w:t>
      </w:r>
      <w:r>
        <w:rPr>
          <w:rFonts w:hint="eastAsia" w:asciiTheme="minorEastAsia" w:hAnsiTheme="minorEastAsia" w:eastAsiaTheme="minorEastAsia" w:cstheme="minorEastAsia"/>
          <w:spacing w:val="-13"/>
          <w:sz w:val="24"/>
          <w:szCs w:val="24"/>
          <w:u w:val="none" w:color="auto"/>
          <w:lang w:val="en-US"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8</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21</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宋体" w:hAnsi="宋体" w:eastAsia="宋体" w:cs="宋体"/>
          <w:sz w:val="24"/>
          <w:szCs w:val="24"/>
        </w:rPr>
        <w:t>本次招标公告在河南省政府采购网</w:t>
      </w:r>
      <w:r>
        <w:rPr>
          <w:rFonts w:hint="eastAsia" w:ascii="宋体" w:hAnsi="宋体" w:eastAsia="宋体" w:cs="宋体"/>
          <w:sz w:val="24"/>
          <w:szCs w:val="24"/>
          <w:lang w:eastAsia="zh-CN"/>
        </w:rPr>
        <w:t>、</w:t>
      </w:r>
      <w:r>
        <w:rPr>
          <w:rFonts w:hint="eastAsia" w:ascii="宋体" w:hAnsi="宋体" w:eastAsia="宋体" w:cs="宋体"/>
          <w:sz w:val="24"/>
          <w:szCs w:val="24"/>
        </w:rPr>
        <w:t>南阳市公共资源交易中心网发布</w:t>
      </w:r>
      <w:r>
        <w:rPr>
          <w:rFonts w:hint="eastAsia" w:asciiTheme="minorEastAsia" w:hAnsiTheme="minorEastAsia" w:eastAsiaTheme="minorEastAsia" w:cstheme="minorEastAsia"/>
          <w:spacing w:val="-9"/>
          <w:sz w:val="24"/>
          <w:szCs w:val="24"/>
          <w:u w:val="none"/>
          <w:lang w:val="en-US"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宋体" w:hAnsi="宋体" w:eastAsia="宋体" w:cs="宋体"/>
          <w:sz w:val="24"/>
          <w:szCs w:val="24"/>
          <w:lang w:val="en-US" w:eastAsia="zh-CN"/>
        </w:rPr>
        <w:t>张仲景国医大学筹建处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宋体" w:hAnsi="宋体" w:eastAsia="宋体" w:cs="宋体"/>
          <w:sz w:val="24"/>
          <w:szCs w:val="24"/>
          <w:lang w:val="en-US" w:eastAsia="zh-CN"/>
        </w:rPr>
        <w:t>南阳市北京南路539号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w:t>
      </w:r>
      <w:r>
        <w:rPr>
          <w:rFonts w:hint="eastAsia" w:asciiTheme="minorEastAsia" w:hAnsiTheme="minorEastAsia" w:eastAsiaTheme="minorEastAsia" w:cstheme="minorEastAsia"/>
          <w:sz w:val="24"/>
          <w:szCs w:val="24"/>
          <w:u w:val="none" w:color="auto"/>
          <w:lang w:val="en-US" w:eastAsia="zh-CN"/>
        </w:rPr>
        <w:t>何芳芳</w:t>
      </w:r>
      <w:r>
        <w:rPr>
          <w:rFonts w:hint="eastAsia" w:asciiTheme="minorEastAsia" w:hAnsiTheme="minorEastAsia" w:eastAsiaTheme="minorEastAsia" w:cstheme="minorEastAsia"/>
          <w:spacing w:val="-15"/>
          <w:sz w:val="24"/>
          <w:szCs w:val="24"/>
          <w:lang w:val="en-US" w:eastAsia="zh-CN"/>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z w:val="24"/>
          <w:szCs w:val="24"/>
          <w:u w:val="none" w:color="auto"/>
          <w:lang w:val="en-US" w:eastAsia="zh-CN"/>
        </w:rPr>
        <w:t>0377-63526305</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b/>
          <w:bCs/>
          <w:spacing w:val="4"/>
          <w:sz w:val="24"/>
          <w:szCs w:val="24"/>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u w:val="none" w:color="auto"/>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z w:val="24"/>
          <w:szCs w:val="24"/>
          <w:u w:val="none" w:color="auto"/>
          <w:lang w:val="en-US" w:eastAsia="zh-CN"/>
        </w:rPr>
        <w:t>南阳市政府采购中心</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u w:val="none" w:color="auto"/>
          <w:lang w:val="en-US" w:eastAsia="zh-CN"/>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z w:val="24"/>
          <w:szCs w:val="24"/>
          <w:u w:val="none" w:color="auto"/>
          <w:lang w:val="en-US" w:eastAsia="zh-CN"/>
        </w:rPr>
        <w:t xml:space="preserve">南阳市范蠡东路与南都路交叉口市民服务中心中区3号楼5楼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u w:val="none" w:color="auto"/>
          <w:lang w:val="en-US" w:eastAsia="zh-CN"/>
        </w:rPr>
      </w:pPr>
      <w:r>
        <w:rPr>
          <w:rFonts w:hint="eastAsia" w:asciiTheme="minorEastAsia" w:hAnsiTheme="minorEastAsia" w:eastAsiaTheme="minorEastAsia" w:cstheme="minorEastAsia"/>
          <w:sz w:val="24"/>
          <w:szCs w:val="24"/>
          <w:u w:val="none" w:color="auto"/>
          <w:lang w:val="en-US" w:eastAsia="zh-CN"/>
        </w:rPr>
        <w:t xml:space="preserve">联系人：程文博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heme="minorEastAsia" w:hAnsiTheme="minorEastAsia" w:eastAsiaTheme="minorEastAsia" w:cstheme="minorEastAsia"/>
          <w:sz w:val="24"/>
          <w:szCs w:val="24"/>
          <w:u w:val="none" w:color="auto"/>
          <w:lang w:val="en-US" w:eastAsia="zh-CN"/>
        </w:rPr>
      </w:pPr>
      <w:r>
        <w:rPr>
          <w:rFonts w:hint="eastAsia" w:asciiTheme="minorEastAsia" w:hAnsiTheme="minorEastAsia" w:eastAsiaTheme="minorEastAsia" w:cstheme="minorEastAsia"/>
          <w:sz w:val="24"/>
          <w:szCs w:val="24"/>
          <w:u w:val="none" w:color="auto"/>
          <w:lang w:val="en-US" w:eastAsia="zh-CN"/>
        </w:rPr>
        <w:t>联系方式：037761176178</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b/>
          <w:bCs/>
          <w:spacing w:val="5"/>
          <w:sz w:val="24"/>
          <w:szCs w:val="24"/>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 址：</w:t>
      </w:r>
      <w:r>
        <w:rPr>
          <w:rFonts w:hint="eastAsia" w:asciiTheme="minorEastAsia" w:hAnsiTheme="minorEastAsia" w:eastAsiaTheme="minorEastAsia" w:cstheme="minorEastAsia"/>
          <w:spacing w:val="-15"/>
          <w:sz w:val="24"/>
          <w:szCs w:val="24"/>
          <w:lang w:val="en-US" w:eastAsia="zh-CN"/>
        </w:rPr>
        <w:t>https://ggzyjy.nanyang.gov.cn      E-mail:nyszfcgzx@126.com</w:t>
      </w:r>
    </w:p>
    <w:p>
      <w:pPr>
        <w:pStyle w:val="5"/>
        <w:numPr>
          <w:ilvl w:val="0"/>
          <w:numId w:val="0"/>
        </w:numPr>
        <w:spacing w:before="352" w:line="690" w:lineRule="exact"/>
        <w:rPr>
          <w:rFonts w:hint="eastAsia" w:ascii="仿宋_GB2312" w:hAnsi="宋体" w:eastAsia="仿宋_GB2312"/>
          <w:color w:val="0000FF"/>
          <w:sz w:val="28"/>
          <w:szCs w:val="28"/>
          <w:lang w:val="en-US" w:eastAsia="zh-CN"/>
        </w:rPr>
      </w:pPr>
      <w:r>
        <w:rPr>
          <w:rFonts w:hint="eastAsia" w:asciiTheme="minorEastAsia" w:hAnsiTheme="minorEastAsia" w:eastAsiaTheme="minorEastAsia" w:cstheme="minorEastAsia"/>
          <w:spacing w:val="5"/>
          <w:sz w:val="24"/>
          <w:szCs w:val="24"/>
          <w:lang w:val="en-US" w:eastAsia="zh-CN"/>
          <w14:textOutline w14:w="1537" w14:cap="flat" w14:cmpd="sng">
            <w14:solidFill>
              <w14:srgbClr w14:val="000000"/>
            </w14:solidFill>
            <w14:prstDash w14:val="solid"/>
            <w14:miter w14:val="0"/>
          </w14:textOutline>
        </w:rPr>
        <w:t xml:space="preserve">                                                              </w:t>
      </w:r>
      <w:r>
        <w:rPr>
          <w:rFonts w:hint="eastAsia" w:ascii="仿宋_GB2312" w:hAnsi="宋体" w:eastAsia="仿宋_GB2312"/>
          <w:color w:val="0000FF"/>
          <w:sz w:val="28"/>
          <w:szCs w:val="28"/>
          <w:lang w:val="en-US" w:eastAsia="zh-CN"/>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250" w:firstLineChars="2500"/>
        <w:jc w:val="left"/>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 xml:space="preserve">采购代理机构名称： </w:t>
      </w:r>
      <w:r>
        <w:rPr>
          <w:rFonts w:hint="eastAsia" w:asciiTheme="minorEastAsia" w:hAnsiTheme="minorEastAsia" w:eastAsiaTheme="minorEastAsia" w:cstheme="minorEastAsia"/>
          <w:sz w:val="24"/>
          <w:szCs w:val="24"/>
          <w:u w:val="none" w:color="auto"/>
          <w:lang w:val="en-US" w:eastAsia="zh-CN"/>
        </w:rPr>
        <w:t>南阳市政府采购中心</w:t>
      </w:r>
      <w:r>
        <w:rPr>
          <w:rFonts w:hint="eastAsia" w:asciiTheme="minorEastAsia" w:hAnsiTheme="minorEastAsia" w:eastAsiaTheme="minorEastAsia" w:cstheme="minorEastAsia"/>
          <w:spacing w:val="-15"/>
          <w:sz w:val="24"/>
          <w:szCs w:val="24"/>
          <w:u w:val="none" w:color="auto"/>
          <w:lang w:val="en-US" w:eastAsia="zh-CN"/>
        </w:rPr>
        <w:t xml:space="preserve"> </w:t>
      </w:r>
      <w:r>
        <w:rPr>
          <w:rFonts w:hint="eastAsia" w:asciiTheme="minorEastAsia" w:hAnsiTheme="minorEastAsia" w:eastAsiaTheme="minorEastAsia" w:cstheme="minorEastAsia"/>
          <w:spacing w:val="-15"/>
          <w:sz w:val="24"/>
          <w:szCs w:val="24"/>
          <w:lang w:val="en-US" w:eastAsia="zh-CN"/>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7704" w:firstLineChars="3600"/>
        <w:jc w:val="left"/>
        <w:textAlignment w:val="baseline"/>
        <w:outlineLvl w:val="1"/>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8</w:t>
      </w:r>
      <w:r>
        <w:rPr>
          <w:rFonts w:hint="eastAsia" w:asciiTheme="minorEastAsia" w:hAnsiTheme="minorEastAsia" w:eastAsiaTheme="minorEastAsia" w:cstheme="minorEastAsia"/>
          <w:spacing w:val="-13"/>
          <w:sz w:val="24"/>
          <w:szCs w:val="24"/>
        </w:rPr>
        <w:t>日</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left"/>
        <w:textAlignment w:val="baseline"/>
        <w:outlineLvl w:val="9"/>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left"/>
        <w:textAlignment w:val="baseline"/>
        <w:outlineLvl w:val="9"/>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tbl>
      <w:tblPr>
        <w:tblStyle w:val="19"/>
        <w:tblW w:w="10200"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30"/>
        <w:gridCol w:w="6750"/>
        <w:gridCol w:w="7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50" w:type="dxa"/>
            <w:shd w:val="clear" w:color="auto" w:fill="auto"/>
            <w:noWrap/>
            <w:vAlign w:val="center"/>
          </w:tcPr>
          <w:p>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230" w:type="dxa"/>
            <w:shd w:val="clear" w:color="auto" w:fill="auto"/>
            <w:noWrap/>
            <w:vAlign w:val="center"/>
          </w:tcPr>
          <w:p>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6750" w:type="dxa"/>
            <w:shd w:val="clear" w:color="auto" w:fill="auto"/>
            <w:noWrap/>
            <w:vAlign w:val="center"/>
          </w:tcPr>
          <w:p>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设备参数</w:t>
            </w:r>
          </w:p>
        </w:tc>
        <w:tc>
          <w:tcPr>
            <w:tcW w:w="720" w:type="dxa"/>
            <w:shd w:val="clear" w:color="auto" w:fill="auto"/>
            <w:noWrap/>
            <w:vAlign w:val="center"/>
          </w:tcPr>
          <w:p>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750" w:type="dxa"/>
            <w:shd w:val="clear" w:color="auto" w:fill="auto"/>
            <w:noWrap/>
            <w:vAlign w:val="center"/>
          </w:tcPr>
          <w:p>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智慧黑板</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一、硬件功能</w:t>
            </w:r>
          </w:p>
          <w:p>
            <w:pPr>
              <w:widowControl/>
              <w:spacing w:line="24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1.整体外观尺寸：宽≥4200mm，高≥1200mm，厚≤</w:t>
            </w:r>
            <w:r>
              <w:rPr>
                <w:rFonts w:hint="eastAsia" w:ascii="宋体" w:hAnsi="宋体" w:eastAsia="宋体" w:cs="宋体"/>
                <w:kern w:val="0"/>
                <w:sz w:val="24"/>
                <w:szCs w:val="24"/>
                <w:lang w:val="en-US" w:eastAsia="zh-CN"/>
              </w:rPr>
              <w:t>100</w:t>
            </w:r>
            <w:r>
              <w:rPr>
                <w:rFonts w:hint="eastAsia" w:ascii="宋体" w:hAnsi="宋体" w:eastAsia="宋体" w:cs="宋体"/>
                <w:kern w:val="0"/>
                <w:sz w:val="24"/>
                <w:szCs w:val="24"/>
              </w:rPr>
              <w:t>mm。</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★2.整机屏幕采用不少于86英寸液晶显示器。</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3.侧置输入接口不少于2路HDMI、1路RS232、1路USB接口；侧置输出接口不少于1路音频输出、1路触控USB输出；前置输入接口不少于3路USB接口（包含1路Type-C、2路USB）。</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4.整机可选择高级音效设置，支持在左右声道平衡显示范围中进行更改。</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5.整机内置触摸中控菜单，可查看当前正在运行的进行，支持应用切换，在全屏应用下无需退出全屏应用即可进行切换；支持应用关闭，以及关闭所有应用。</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★6.整机内置2.2声道扬声器，顶置朝前发声，额定总功率≥60W，采用缝隙发声技术，喇叭采用槽式开口设计。</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★7.整机内置不少于非独立外扩展的4阵列麦克风，可用于对教室环境音频进行采集，拾音距离≥1</w:t>
            </w:r>
            <w:r>
              <w:rPr>
                <w:rFonts w:hint="eastAsia" w:ascii="宋体" w:hAnsi="宋体" w:eastAsia="宋体" w:cs="宋体"/>
                <w:kern w:val="0"/>
                <w:sz w:val="24"/>
                <w:szCs w:val="24"/>
                <w:lang w:val="en-US" w:eastAsia="zh-CN"/>
              </w:rPr>
              <w:t xml:space="preserve">0 </w:t>
            </w:r>
            <w:r>
              <w:rPr>
                <w:rFonts w:hint="eastAsia" w:ascii="宋体" w:hAnsi="宋体" w:eastAsia="宋体" w:cs="宋体"/>
                <w:kern w:val="0"/>
                <w:sz w:val="24"/>
                <w:szCs w:val="24"/>
              </w:rPr>
              <w:t>m。</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★8.采用电容触控方式，支持Windows系统中进行40点或以上触控，支持在Android系统中进行40点或以上触控。</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9.嵌入式系统版本不低于Android 13，内存≥2GB，存储空间≥8GB。</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10.整机支持蓝牙Bluetooth 5.4标准。</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11.Wi-Fi及AP热点支持频段2.4GHz/5GHz ；Wi-Fi制式支持IEEE 802.11 a/b/g/n/ac/ax；支持版本Wi-Fi6。</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★12.整机上边框内置非独立摄像头，可拍摄≥1300万像素数的照片，可拍摄输出不少于4K分辨率的视频。</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13.整机电磁干扰ITE达到国标GB/T9254-2008 Class B等级要求，满足教学环境多电子设备共用，无需采取任何电磁辐射防护措施。</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14.整机摄像头支持人脸识别、快速点人数、随机抽人；可识别镜头前的学生，显示标记，然后随机抽选，同时显示标记不少于60人。</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15.整机安卓和全部外接通道（HDMI、Type-c）下侧边栏支持在音乐课，学生跟随节拍器打节奏；支持设置节拍、轻重、节拍播放速度。全通道下可支持通过自定义按键调出该功能。</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16.OPS电脑配置CPU≥Intel  I5 十二代或以上性能配置，内存≥ 16GB DDR4。硬盘≥512GB SSD固态硬盘。</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17.OPS电脑和整机的连接采用不少于万兆级接口，传输速率≥10Gbps。</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18.采用按压式卡扣，无需工具就可快速拆卸电脑模块。</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二、随机软件功能</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互动反馈系统：具备公网互动反馈功能，可将所有学生端和教师端连接在一起构建成为一套互动反馈系统，方便老师在授课过程中发布问题让所有同学实时参与互动并形成数据沉淀统计，在系统中教师可以设置：主观观点收集互动，单选/多选/判断等可观答题互动，同时支持文件下发、批注下发功能。</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2．统计考勤：支持无感考勤签到功能，学生连接成功进入课堂后，名字可自动显示在签到列表上，签到列表可实时统计已签到人数，并支持查看未到的人员。</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3．无线传屏：教师端工具栏支持无线传屏，点击开启无线传屏则打开传屏码，老师自带笔记本在互动教学软件输入传屏码即可进行无线传屏。</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4．批注分发：教师端批注功能支持在课中任意时刻对教师端内容进行批注，并且支持批注内容一键保存，自动上传到教师空间，同时支持将批注内容一键发送到全员学生端，便于学生同步查看。</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5．授课小工具：教师播放课件时，提供授课小工具，包括画笔、橡皮擦、板中板、放大镜和批注分享功能等。</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6．同步课件：当老师在全屏播放课件时，学生端也会同步进行课件播放，如：老师进行PPT翻页操作时，学生端会同步翻页，保证课堂中老师讲课进度同步展示。</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三、集中控制系统软件</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1．采用B/S架构设计，支持在Windows、Linux、Android、IOS等多种操作系统通过网页浏览器登录使用。</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2．系统支持多类型设备接入，集中运维。</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3．批量关联：支持通过设备辅助管理软件，在单台班班通设备关联学校代码后，自动发现并关联同网段下其他班班通设备。</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4．软件静默安装：支持用户自主上传官方正版软件，经过人工封装软件后，批量将软件发送至班班通设备安装，整个安装过程完全无感，不影响正常教学。</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 领导视窗：支持同时查看不少于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投影仪</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1.激光光源，光源寿命≥20000小时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2.3LCD投影技术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3.液晶面板尺寸 ≥0.64英寸</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4.亮度≥6300流明， 分辨率：≥1920*1200，对比度≥3000000:1</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5.支持恒定亮度输出模式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6.整机无过滤网设计，将更换清洗过滤网的耗材、人工成本降低为零。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7.镜头位移垂直：0%-60%，水平：±29%</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8.镜头光学变焦比：1-1.6</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9.内置≥20W扬声器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10.端口不少于1个VGA，2个HDMI，1 个HDBaseT， 1个立体声微型音频，1个控制串口端口槽（D-Sub 9 针），1个RJ-45 端口，1个A型USB（5V/2A），1个A型USB,1个B型USB</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11.接通电源后无需操作自动开机，信号接入后无需操作自动开机</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12.具有降噪技术，投影机满功率运行状态下噪音低于29dB，以保证安静的使用环境。</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幕布</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幕布尺寸≥200寸，画面比例：16：10， 电动幕布</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幅</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扩展屏</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显示尺寸≥65寸，分辨率≥1920*1080 ， HDMI IN≥2接口</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12</w:t>
            </w: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智能本地扩声主机</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1、主机集成专用 DSP 音频芯片、嵌入式操作系统和功放系统，稳定可靠。</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2、主机前面板采用电容触控按键设计，并具有不少于 8 个 LED 灯，显示当前系统音量大小。</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3、支持无线麦和吊麦自动切换。当无线麦开启并有输入后，吊麦不扩声或音量降低，保证无线麦声音清晰；无线麦关闭或静音(可设置静置时间)后，切换到吊麦扩声，保证扩声功能正常，确保内置抗混响功能。</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4、内置嘈杂环境检测功能：检测到嘈杂声时，可以自动降低或关闭吊麦扩声，避免教室声场嘈杂。</w:t>
            </w:r>
          </w:p>
          <w:p>
            <w:pPr>
              <w:widowControl/>
              <w:spacing w:line="24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5、内置自适应降噪功能：有效过滤教室内的空调、电风扇等噪声干扰，噪声过滤后不影响</w:t>
            </w:r>
            <w:r>
              <w:rPr>
                <w:rFonts w:hint="eastAsia" w:ascii="宋体" w:hAnsi="宋体" w:eastAsia="宋体" w:cs="宋体"/>
                <w:kern w:val="0"/>
                <w:sz w:val="24"/>
                <w:szCs w:val="24"/>
                <w:lang w:eastAsia="zh-CN"/>
              </w:rPr>
              <w:t>。</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6、支持不少于 12 路音频输入接口：不少于 8 路凤凰接口差分输入，提供 48V幻象电源供电；不少于 4 路凤凰接口线性输入；支持不少于 6 路音频输出接口：不少于 4 路凤凰接口差分输出，不少于 2路水晶头功放输出。</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7、支持RS485接口：可与外部设备通讯，对主机进行配置。</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8、具有可视化环境声场检测软件，提供可视化环境声场检测软件检测数据</w:t>
            </w:r>
            <w:r>
              <w:rPr>
                <w:rFonts w:hint="eastAsia" w:ascii="宋体" w:hAnsi="宋体" w:eastAsia="宋体" w:cs="宋体"/>
                <w:kern w:val="0"/>
                <w:sz w:val="24"/>
                <w:szCs w:val="24"/>
                <w:lang w:val="en-US" w:eastAsia="zh-CN"/>
              </w:rPr>
              <w:t>证明文件加盖公章</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9、支持男女声识别，并预留根据男女声的不同频响来自动配置对应参数的功能，提供可视化软件</w:t>
            </w:r>
            <w:r>
              <w:rPr>
                <w:rFonts w:hint="eastAsia" w:ascii="宋体" w:hAnsi="宋体" w:eastAsia="宋体" w:cs="宋体"/>
                <w:kern w:val="0"/>
                <w:sz w:val="24"/>
                <w:szCs w:val="24"/>
                <w:lang w:val="en-US" w:eastAsia="zh-CN"/>
              </w:rPr>
              <w:t>证明文件加盖公章</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10、支持调试辅助功能，可通过软件来测试实时频响，提供准确的参数调节指南，提供可视化软件</w:t>
            </w:r>
            <w:r>
              <w:rPr>
                <w:rFonts w:hint="eastAsia" w:ascii="宋体" w:hAnsi="宋体" w:eastAsia="宋体" w:cs="宋体"/>
                <w:kern w:val="0"/>
                <w:sz w:val="24"/>
                <w:szCs w:val="24"/>
                <w:lang w:val="en-US" w:eastAsia="zh-CN"/>
              </w:rPr>
              <w:t>证明文件加盖公章</w:t>
            </w:r>
            <w:r>
              <w:rPr>
                <w:rFonts w:hint="eastAsia" w:ascii="宋体" w:hAnsi="宋体" w:eastAsia="宋体" w:cs="宋体"/>
                <w:kern w:val="0"/>
                <w:sz w:val="24"/>
                <w:szCs w:val="24"/>
                <w:lang w:eastAsia="zh-CN"/>
              </w:rPr>
              <w:t>）</w:t>
            </w:r>
          </w:p>
        </w:tc>
        <w:tc>
          <w:tcPr>
            <w:tcW w:w="720" w:type="dxa"/>
            <w:shd w:val="clear" w:color="auto" w:fill="auto"/>
            <w:noWrap/>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吊麦</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1、频率范围：100Hz-16KHz 。</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2、灵敏度：-32dB±3dB （re 0dB=1V/Pa@1kHz） </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3、指向性：超心型 ≤130。</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4、最大声压级：110dB SPL</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5、输出阻抗 ：200Ω±30%。</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6、输出幅度：Max 300mV。</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7、动态范围 ：80dB（A）±5%。</w:t>
            </w:r>
          </w:p>
          <w:p>
            <w:pPr>
              <w:widowControl/>
              <w:spacing w:line="240" w:lineRule="auto"/>
              <w:jc w:val="left"/>
              <w:rPr>
                <w:rFonts w:hint="eastAsia" w:ascii="宋体" w:hAnsi="宋体" w:eastAsia="宋体" w:cs="宋体"/>
                <w:color w:val="FF0000"/>
                <w:kern w:val="0"/>
                <w:sz w:val="24"/>
                <w:szCs w:val="24"/>
              </w:rPr>
            </w:pPr>
            <w:r>
              <w:rPr>
                <w:rFonts w:hint="eastAsia" w:ascii="宋体" w:hAnsi="宋体" w:eastAsia="宋体" w:cs="宋体"/>
                <w:kern w:val="0"/>
                <w:sz w:val="24"/>
                <w:szCs w:val="24"/>
              </w:rPr>
              <w:t>8、信噪比：≤64dB（A)</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9、幻象供电：直流48V。</w:t>
            </w:r>
          </w:p>
        </w:tc>
        <w:tc>
          <w:tcPr>
            <w:tcW w:w="720" w:type="dxa"/>
            <w:shd w:val="clear" w:color="auto" w:fill="auto"/>
            <w:noWrap/>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音箱</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1.采用不少于4"低音×2，20芯高音×2，音质通透亮丽，人声表现力突出，中频浑厚，穿透力强，安装灵活；</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2.采用高密度中纤板木质箱体；</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3.配置原厂安装支架，可调整音箱水平和垂直角度方向；</w:t>
            </w:r>
          </w:p>
          <w:p>
            <w:pPr>
              <w:widowControl/>
              <w:spacing w:line="24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4.额定功率：≤60W；</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5.阻抗：≤8Ω；</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6.最大声压级：108dB ；</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7.灵敏度：91dB(±2dB)；</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8.频率响应：80-20kHz；</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.适用于各类多媒体教室、电教室、阶梯教室、普通教室等。</w:t>
            </w:r>
          </w:p>
        </w:tc>
        <w:tc>
          <w:tcPr>
            <w:tcW w:w="720" w:type="dxa"/>
            <w:shd w:val="clear" w:color="auto" w:fill="auto"/>
            <w:noWrap/>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对</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14</w:t>
            </w: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教师高清摄像机</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1.有效像素：≥800万像素；分辨率：≥4K@30fps</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2.内置教师图像跟踪算法，单镜头可输出全景和特写两个景别；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3.支持特写和全景同时RTSP推流；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4.支持≥1路RJ45接口，支持POE供电及信号传输，支持同时输出多路画面；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5.视频压缩：H.264、H.265；</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6.音频压缩：AAC，音频接口：≥1路LINE IN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7.网络协议：支持RTSP、RTMP、SRT、ONVIF等协议；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8.支持≥1路USB接口；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9.为便于操作，支持一键式启动跟踪停止跟踪。支持预置点位调用、设置、支持参数设置，白平衡设置；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10.为防止讲台区域干扰，保证跟踪效果有效性，支持≥4种屏蔽区域、≥4种辅助学生检测区域数字化模块显示设置；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11.支持≥3种跟踪模式设置(包括但不限于实时跟踪模式、电影模式、区域跟踪模式)；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12.支持跟踪调节支持≥2种动作（教师板书动作）调节、方向调节；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13.支持身高自适应与上下讲台检测功能，导播规则使用功能，支持通讯协议自定义切换(包括但不限于UDP、TCP、RS232协议)</w:t>
            </w:r>
            <w:r>
              <w:rPr>
                <w:rFonts w:hint="eastAsia" w:ascii="宋体" w:hAnsi="宋体" w:eastAsia="宋体" w:cs="宋体"/>
                <w:kern w:val="0"/>
                <w:sz w:val="24"/>
                <w:szCs w:val="24"/>
                <w:lang w:eastAsia="zh-CN"/>
              </w:rPr>
              <w:t>。</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学生高清摄像机</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1.有效像素：≥800万像素；分辨率：≥4K@30fps</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2.内置学生图像跟踪算法，单镜头可输出全景和特写两个景别；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3.支持特写和全景同时RTSP推流；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4.支持≥1路RJ45接口，支持POE供电及信号传输，支持同时输出多路画面；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5.视频压缩：H.264、H.265；</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6.音频压缩：AAC，音频接口：≥1路LINE IN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7.网络协议：支持RTSP、RTMP、SRT、ONVIF等协议；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8.支持≥1路USB接口；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9.为便于操作，支持一键式启动跟踪停止跟踪；支持预置点位调用、设置、支持参数设置，白平衡设置；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10.为防止学生区域干扰，保证跟踪效果有效性，支持≥10种学生检测区域数字化模块显示设置；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11.支持跟踪参数设置，支持前排与后排学生跟踪滑动调节；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12.支持单目标及多目标跟踪动作调节，支持灵敏度检测。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13.采用基于人体面部特征的多人识别定位算法，无需定位辅助摄像机，即可实现学生多人识别。可快速设定教学有效区域的，光线、场景完全自适应。</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录播管理系统</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1.配合平台，可以根据课表时间的设定，自动开始和停止录制多间教室课程。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2.通过网络实时同步采集教室内教师的图像、声音、计算机屏幕内容，录制完成生成课件。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3.课件视频文件格式为标准视频格式，网页播放支持单视频、双视频、三视频课件播放样式。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4.课件音频支持AAC编码，视频支持H.265/H.264编码。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5.支持自适应课件模版，即自动判断三分屏、四分屏课件，决定课件模版播放样式。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6.生成的课件通过浏览器即可播放，不用安装任何插件。支持多种浏览器（IE、Safari、谷歌、火狐等）。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7.播放课件时，每个视频窗口都能单独全屏观看。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8.具有课件手动上传和自动上传功能，能将课件上传到Web平台服务器上。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9.具备网络重连功能。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10.需提供该系统与智慧课堂云平台系统互联互通统一管理的承诺函以及相关应用方案（应用方案至少应包括由智慧课堂云平台对该系统进行统一管理、音视频转发、课件自动上传等功能实现描述等）。</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屏幕采集系统</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1.支持全屏、部分区域屏幕捕获，支持高清、标清双码流实时采集；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2.双重采集模式，支持清晰流畅的捕获屏幕中所放的DVD、VCD 以及FLASH动画，支持软硬件同时采集；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3.支持通过教师计算机快捷键控制开始、暂停、停止录制；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4.支持远程VGA采集其他教师教学内容PPT的画面；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5.支持显示老师视频，通过平台采集VGA视频教室中的老师视频；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6.采集屏幕的码流和帧率；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7.支持选择捕获区域。</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电子班牌</w:t>
            </w:r>
          </w:p>
        </w:tc>
        <w:tc>
          <w:tcPr>
            <w:tcW w:w="6750" w:type="dxa"/>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一、硬件参数：</w:t>
            </w:r>
          </w:p>
          <w:p>
            <w:pPr>
              <w:rPr>
                <w:rFonts w:hint="eastAsia" w:ascii="宋体" w:hAnsi="宋体" w:eastAsia="宋体" w:cs="宋体"/>
                <w:sz w:val="24"/>
                <w:szCs w:val="24"/>
              </w:rPr>
            </w:pPr>
            <w:r>
              <w:rPr>
                <w:rFonts w:hint="eastAsia" w:ascii="宋体" w:hAnsi="宋体" w:eastAsia="宋体" w:cs="宋体"/>
                <w:sz w:val="24"/>
                <w:szCs w:val="24"/>
              </w:rPr>
              <w:t>1．屏幕尺寸≥21.5英寸横屏式电容显示屏，支持≥10点触控，屏幕分辨率≥1920*1080，显示比例16:9；屏幕亮度≥250cd/㎡。</w:t>
            </w:r>
          </w:p>
          <w:p>
            <w:pPr>
              <w:rPr>
                <w:rFonts w:hint="eastAsia" w:ascii="宋体" w:hAnsi="宋体" w:eastAsia="宋体" w:cs="宋体"/>
                <w:sz w:val="24"/>
                <w:szCs w:val="24"/>
              </w:rPr>
            </w:pPr>
            <w:r>
              <w:rPr>
                <w:rFonts w:hint="eastAsia" w:ascii="宋体" w:hAnsi="宋体" w:eastAsia="宋体" w:cs="宋体"/>
                <w:sz w:val="24"/>
                <w:szCs w:val="24"/>
              </w:rPr>
              <w:t>2.整机采用防水防尘结构设计，适用于学校教室半户外环境，防护等级不低于IP65。（提供权威机构出具的检测报告复印件并加盖制造商公章）</w:t>
            </w:r>
          </w:p>
          <w:p>
            <w:pPr>
              <w:rPr>
                <w:rFonts w:hint="eastAsia" w:ascii="宋体" w:hAnsi="宋体" w:eastAsia="宋体" w:cs="宋体"/>
                <w:sz w:val="24"/>
                <w:szCs w:val="24"/>
              </w:rPr>
            </w:pPr>
            <w:r>
              <w:rPr>
                <w:rFonts w:hint="eastAsia" w:ascii="宋体" w:hAnsi="宋体" w:eastAsia="宋体" w:cs="宋体"/>
                <w:sz w:val="24"/>
                <w:szCs w:val="24"/>
              </w:rPr>
              <w:t>3.整机最大厚度不大于28.5mm。</w:t>
            </w:r>
          </w:p>
          <w:p>
            <w:pPr>
              <w:rPr>
                <w:rFonts w:hint="eastAsia" w:ascii="宋体" w:hAnsi="宋体" w:eastAsia="宋体" w:cs="宋体"/>
                <w:sz w:val="24"/>
                <w:szCs w:val="24"/>
              </w:rPr>
            </w:pPr>
            <w:r>
              <w:rPr>
                <w:rFonts w:hint="eastAsia" w:ascii="宋体" w:hAnsi="宋体" w:eastAsia="宋体" w:cs="宋体"/>
                <w:sz w:val="24"/>
                <w:szCs w:val="24"/>
              </w:rPr>
              <w:t>4.可拍摄不低于799W像素的照片，支持不少于5人同时进行人脸识别。</w:t>
            </w:r>
          </w:p>
          <w:p>
            <w:pPr>
              <w:rPr>
                <w:rFonts w:hint="eastAsia" w:ascii="宋体" w:hAnsi="宋体" w:eastAsia="宋体" w:cs="宋体"/>
                <w:sz w:val="24"/>
                <w:szCs w:val="24"/>
              </w:rPr>
            </w:pPr>
            <w:r>
              <w:rPr>
                <w:rFonts w:hint="eastAsia" w:ascii="宋体" w:hAnsi="宋体" w:eastAsia="宋体" w:cs="宋体"/>
                <w:sz w:val="24"/>
                <w:szCs w:val="24"/>
              </w:rPr>
              <w:t>5.内置高灵敏度的全向麦克风，拾音半径不小于0.5m，支持语音留言。</w:t>
            </w:r>
          </w:p>
          <w:p>
            <w:pPr>
              <w:rPr>
                <w:rFonts w:hint="eastAsia" w:ascii="宋体" w:hAnsi="宋体" w:eastAsia="宋体" w:cs="宋体"/>
                <w:sz w:val="24"/>
                <w:szCs w:val="24"/>
              </w:rPr>
            </w:pPr>
            <w:r>
              <w:rPr>
                <w:rFonts w:hint="eastAsia" w:ascii="宋体" w:hAnsi="宋体" w:eastAsia="宋体" w:cs="宋体"/>
                <w:sz w:val="24"/>
                <w:szCs w:val="24"/>
              </w:rPr>
              <w:t>6.内置2.0立体声道功放，支持视频及留言的音频播放。</w:t>
            </w:r>
          </w:p>
          <w:p>
            <w:pPr>
              <w:rPr>
                <w:rFonts w:hint="eastAsia" w:ascii="宋体" w:hAnsi="宋体" w:eastAsia="宋体" w:cs="宋体"/>
                <w:sz w:val="24"/>
                <w:szCs w:val="24"/>
              </w:rPr>
            </w:pPr>
            <w:r>
              <w:rPr>
                <w:rFonts w:hint="eastAsia" w:ascii="宋体" w:hAnsi="宋体" w:eastAsia="宋体" w:cs="宋体"/>
                <w:sz w:val="24"/>
                <w:szCs w:val="24"/>
              </w:rPr>
              <w:t>7.整机具备至少一路RJ45网络接口；具备不少于2路USB 2.0接口。</w:t>
            </w:r>
          </w:p>
          <w:p>
            <w:pPr>
              <w:rPr>
                <w:rFonts w:hint="eastAsia" w:ascii="宋体" w:hAnsi="宋体" w:eastAsia="宋体" w:cs="宋体"/>
                <w:sz w:val="24"/>
                <w:szCs w:val="24"/>
              </w:rPr>
            </w:pPr>
            <w:r>
              <w:rPr>
                <w:rFonts w:hint="eastAsia" w:ascii="宋体" w:hAnsi="宋体" w:eastAsia="宋体" w:cs="宋体"/>
                <w:sz w:val="24"/>
                <w:szCs w:val="24"/>
              </w:rPr>
              <w:t>8.整机采用内置天线设计，无任何天线外露；支持外接门禁及串口接口。</w:t>
            </w:r>
          </w:p>
          <w:p>
            <w:pPr>
              <w:rPr>
                <w:rFonts w:hint="eastAsia" w:ascii="宋体" w:hAnsi="宋体" w:eastAsia="宋体" w:cs="宋体"/>
                <w:sz w:val="24"/>
                <w:szCs w:val="24"/>
              </w:rPr>
            </w:pPr>
            <w:r>
              <w:rPr>
                <w:rFonts w:hint="eastAsia" w:ascii="宋体" w:hAnsi="宋体" w:eastAsia="宋体" w:cs="宋体"/>
                <w:sz w:val="24"/>
                <w:szCs w:val="24"/>
              </w:rPr>
              <w:t>9.整机CPU≥4核，最高主频≥1.9G，操作系统版本不低于Android 9.0。</w:t>
            </w:r>
          </w:p>
          <w:p>
            <w:pPr>
              <w:rPr>
                <w:rFonts w:hint="eastAsia" w:ascii="宋体" w:hAnsi="宋体" w:eastAsia="宋体" w:cs="宋体"/>
                <w:sz w:val="24"/>
                <w:szCs w:val="24"/>
              </w:rPr>
            </w:pPr>
            <w:r>
              <w:rPr>
                <w:rFonts w:hint="eastAsia" w:ascii="宋体" w:hAnsi="宋体" w:eastAsia="宋体" w:cs="宋体"/>
                <w:sz w:val="24"/>
                <w:szCs w:val="24"/>
              </w:rPr>
              <w:t>10、整机电源采用插墙式电源适配器，适配器无需悬挂，线材上出，支持远程开关机功能，远程唤醒待机功耗≤2W。</w:t>
            </w:r>
          </w:p>
          <w:p>
            <w:pPr>
              <w:rPr>
                <w:rFonts w:hint="eastAsia" w:ascii="宋体" w:hAnsi="宋体" w:eastAsia="宋体" w:cs="宋体"/>
                <w:sz w:val="24"/>
                <w:szCs w:val="24"/>
              </w:rPr>
            </w:pPr>
            <w:r>
              <w:rPr>
                <w:rFonts w:hint="eastAsia" w:ascii="宋体" w:hAnsi="宋体" w:eastAsia="宋体" w:cs="宋体"/>
                <w:sz w:val="24"/>
                <w:szCs w:val="24"/>
              </w:rPr>
              <w:t xml:space="preserve">二、软件应用： </w:t>
            </w:r>
          </w:p>
          <w:p>
            <w:pPr>
              <w:rPr>
                <w:rFonts w:hint="eastAsia" w:ascii="宋体" w:hAnsi="宋体" w:eastAsia="宋体" w:cs="宋体"/>
                <w:sz w:val="24"/>
                <w:szCs w:val="24"/>
              </w:rPr>
            </w:pPr>
            <w:r>
              <w:rPr>
                <w:rFonts w:hint="eastAsia" w:ascii="宋体" w:hAnsi="宋体" w:eastAsia="宋体" w:cs="宋体"/>
                <w:sz w:val="24"/>
                <w:szCs w:val="24"/>
              </w:rPr>
              <w:t>1.人脸识别考勤功能支持离线识别，无网络环境下班牌仍可以进行人脸识别考勤。</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.与教室预约功能结合实现电子班牌教室空间预约情况查询及呈现。</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用户可在电脑端、移动端发起报修，电子班牌能够在教室报修时自动更改电子班牌背景颜色，并显示报修图标，从而便于维修人员发现故障教室。维修完成后，支持维修人员人脸认证，点击完成后解除班牌故障模式。</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.系统能够支持手机app与电子班牌播放素材同屏。能够支持同步控制暂停、播放PDF、word、视频、H5网页、图片、文字。</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.系统具有素材库模块，素材库支持在线素材审核功能，具备视频、图片、文字及网页素材分类可追溯素材的使用和审核记录支持H5网页、pdf、word文件班牌推送。</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.具备教室、会议、考场、</w:t>
            </w:r>
            <w:r>
              <w:rPr>
                <w:rFonts w:hint="eastAsia" w:ascii="宋体" w:hAnsi="宋体" w:eastAsia="宋体" w:cs="宋体"/>
                <w:sz w:val="24"/>
                <w:szCs w:val="24"/>
                <w:lang w:val="en-US" w:eastAsia="zh-CN"/>
              </w:rPr>
              <w:t>实训、</w:t>
            </w:r>
            <w:r>
              <w:rPr>
                <w:rFonts w:hint="eastAsia" w:ascii="宋体" w:hAnsi="宋体" w:eastAsia="宋体" w:cs="宋体"/>
                <w:sz w:val="24"/>
                <w:szCs w:val="24"/>
              </w:rPr>
              <w:t>大屏</w:t>
            </w:r>
            <w:r>
              <w:rPr>
                <w:rFonts w:hint="eastAsia" w:ascii="宋体" w:hAnsi="宋体" w:eastAsia="宋体" w:cs="宋体"/>
                <w:sz w:val="24"/>
                <w:szCs w:val="24"/>
                <w:lang w:val="en-US" w:eastAsia="zh-CN"/>
              </w:rPr>
              <w:t>五</w:t>
            </w:r>
            <w:r>
              <w:rPr>
                <w:rFonts w:hint="eastAsia" w:ascii="宋体" w:hAnsi="宋体" w:eastAsia="宋体" w:cs="宋体"/>
                <w:sz w:val="24"/>
                <w:szCs w:val="24"/>
              </w:rPr>
              <w:t>种模式选择， 班牌支持会议门牌功能， 支持人脸和二维码会议考勤， 支持校内校外两种模式，考场模式支持自定义考场字段， 并且支持一片班牌四分屏显示四个不同考场信息。实训模式支持实训室安全风险等级、风险种类、责任人等信息展示。</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.教室调换：当教室教学设备发生故障时，系统能够在 pc 端、班牌端通过教室索引功能快速查找当前和当日所有教室的任课信息，在该教室列表中直接点击故障教室和在无课程安排教室能够实现两间教室之间的教室调整，故障教室电子班牌自动显示教室调整信息，被调整教室电子班牌显示故障教室授课信息和教室调整通知。</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230" w:type="dxa"/>
            <w:shd w:val="clear" w:color="auto" w:fill="auto"/>
            <w:noWrap/>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电子表数字显示挂墙</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LCD液显，一体化注塑后盖 ，电源适配器：5V-0.5A </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鼠标键盘</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1、连接方式：无线 </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2、传输频率：2.4G</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3、接受范围：≥10M</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4、USB接口、灵敏度高</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多媒体讲桌</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 讲桌规格：L*W*H（mm）整体闭合尺寸：≦1100*780*1000mm ；下层设备尺寸：≦810*640*670mm；（允许正负 5mm 偏离）</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2、材料要求：钢木结合，桌面采用木黄色木质材料，甲醛释放通过国家家具及室内环保国家级实验检测，检测结果低于0.5mg/L。讲桌主体采用 1.0-1.5mm 冷轧钢板，钣金零件全部都通过酸洗磷化喷涂后再进行高温烘烤，产品喷涂环保工艺符合 GB22374 涂装材料标准；</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3、讲桌上层两侧采用高档橡木扶手，扶手尺寸：600*50mm，前部采用 L 型高档橡木装饰板，出厂配显示器万象臂，可根据老师使用角度，高低上下自由调节。讲桌设计：桌体采用分体式设计，方便进出设计比较窄的教室门，讲桌上层右侧预留储物抽屉，采用三节静音钢珠导轨，导轨材料厚度为 1.2mm，导轨需通过国家 QB/T2454-2013 耐久性检测标准，确保使用寿命。</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4、上层使用一把锁控制所有门，左前双抽、展台抽屉下层采用两把锁一把通用钥匙开启；下层标准机柜设计，设备总空间≤12U。根据教室讲台高度定制底台。</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智慧课堂云平台</w:t>
            </w:r>
          </w:p>
        </w:tc>
        <w:tc>
          <w:tcPr>
            <w:tcW w:w="6750" w:type="dxa"/>
            <w:shd w:val="clear" w:color="auto" w:fill="auto"/>
            <w:vAlign w:val="center"/>
          </w:tcPr>
          <w:p>
            <w:pPr>
              <w:jc w:val="left"/>
              <w:rPr>
                <w:rFonts w:hint="eastAsia" w:ascii="宋体" w:hAnsi="宋体" w:eastAsia="宋体" w:cs="宋体"/>
                <w:sz w:val="24"/>
                <w:szCs w:val="24"/>
              </w:rPr>
            </w:pPr>
            <w:r>
              <w:rPr>
                <w:rFonts w:hint="eastAsia" w:ascii="宋体" w:hAnsi="宋体" w:eastAsia="宋体" w:cs="宋体"/>
                <w:sz w:val="24"/>
                <w:szCs w:val="24"/>
              </w:rPr>
              <w:t>一、平台架构功能：</w:t>
            </w:r>
            <w:r>
              <w:rPr>
                <w:rFonts w:hint="eastAsia" w:ascii="宋体" w:hAnsi="宋体" w:eastAsia="宋体" w:cs="宋体"/>
                <w:sz w:val="24"/>
                <w:szCs w:val="24"/>
              </w:rPr>
              <w:br w:type="textWrapping"/>
            </w:r>
            <w:r>
              <w:rPr>
                <w:rFonts w:hint="eastAsia" w:ascii="宋体" w:hAnsi="宋体" w:eastAsia="宋体" w:cs="宋体"/>
                <w:sz w:val="24"/>
                <w:szCs w:val="24"/>
              </w:rPr>
              <w:t>1.智慧课堂平台通过联通教室音视频设备、教师和学生，将线上线下、课上课下链接在一起，实现课堂数据和学习数据自动采集，资源到应用的一体化教学管理、课堂互动、课后答疑、远程互动、数据分析、设备管理。</w:t>
            </w:r>
            <w:r>
              <w:rPr>
                <w:rFonts w:hint="eastAsia" w:ascii="宋体" w:hAnsi="宋体" w:eastAsia="宋体" w:cs="宋体"/>
                <w:sz w:val="24"/>
                <w:szCs w:val="24"/>
              </w:rPr>
              <w:br w:type="textWrapping"/>
            </w:r>
            <w:r>
              <w:rPr>
                <w:rFonts w:hint="eastAsia" w:ascii="宋体" w:hAnsi="宋体" w:eastAsia="宋体" w:cs="宋体"/>
                <w:sz w:val="24"/>
                <w:szCs w:val="24"/>
              </w:rPr>
              <w:t>2.平台教与学应用支撑，智慧课堂以课表为核心，汇聚应用与数据，基于音视频核心技术可方便的服务于教学管理、教师授课及学生学习，并形成管理数据、学情分析、考勤分析数据智能化采集与分析。</w:t>
            </w:r>
            <w:r>
              <w:rPr>
                <w:rFonts w:hint="eastAsia" w:ascii="宋体" w:hAnsi="宋体" w:eastAsia="宋体" w:cs="宋体"/>
                <w:sz w:val="24"/>
                <w:szCs w:val="24"/>
              </w:rPr>
              <w:br w:type="textWrapping"/>
            </w:r>
            <w:r>
              <w:rPr>
                <w:rFonts w:hint="eastAsia" w:ascii="宋体" w:hAnsi="宋体" w:eastAsia="宋体" w:cs="宋体"/>
                <w:sz w:val="24"/>
                <w:szCs w:val="24"/>
              </w:rPr>
              <w:t>3.整个系统基于B/S架构，可以在Windows，Mac，Android等多种平台下访问。</w:t>
            </w:r>
            <w:r>
              <w:rPr>
                <w:rFonts w:hint="eastAsia" w:ascii="宋体" w:hAnsi="宋体" w:eastAsia="宋体" w:cs="宋体"/>
                <w:sz w:val="24"/>
                <w:szCs w:val="24"/>
              </w:rPr>
              <w:br w:type="textWrapping"/>
            </w:r>
            <w:r>
              <w:rPr>
                <w:rFonts w:hint="eastAsia" w:ascii="宋体" w:hAnsi="宋体" w:eastAsia="宋体" w:cs="宋体"/>
                <w:sz w:val="24"/>
                <w:szCs w:val="24"/>
              </w:rPr>
              <w:t>4.支持播放器自适应功能，自适应H5视频点播方式，无需安装其它播件，即可点播视频课件。</w:t>
            </w:r>
            <w:r>
              <w:rPr>
                <w:rFonts w:hint="eastAsia" w:ascii="宋体" w:hAnsi="宋体" w:eastAsia="宋体" w:cs="宋体"/>
                <w:sz w:val="24"/>
                <w:szCs w:val="24"/>
              </w:rPr>
              <w:br w:type="textWrapping"/>
            </w:r>
            <w:r>
              <w:rPr>
                <w:rFonts w:hint="eastAsia" w:ascii="宋体" w:hAnsi="宋体" w:eastAsia="宋体" w:cs="宋体"/>
                <w:sz w:val="24"/>
                <w:szCs w:val="24"/>
              </w:rPr>
              <w:t>5.支持提供并开放视频资源上传接口，实现第三方录播系统资源上传到智慧课堂平台。</w:t>
            </w:r>
            <w:r>
              <w:rPr>
                <w:rFonts w:hint="eastAsia" w:ascii="宋体" w:hAnsi="宋体" w:eastAsia="宋体" w:cs="宋体"/>
                <w:sz w:val="24"/>
                <w:szCs w:val="24"/>
              </w:rPr>
              <w:br w:type="textWrapping"/>
            </w:r>
            <w:r>
              <w:rPr>
                <w:rFonts w:hint="eastAsia" w:ascii="宋体" w:hAnsi="宋体" w:eastAsia="宋体" w:cs="宋体"/>
                <w:sz w:val="24"/>
                <w:szCs w:val="24"/>
              </w:rPr>
              <w:t>6.支持较强的兼容性，兼容其他录播品牌的前端设备推送的rtmp流。</w:t>
            </w:r>
            <w:r>
              <w:rPr>
                <w:rFonts w:hint="eastAsia" w:ascii="宋体" w:hAnsi="宋体" w:eastAsia="宋体" w:cs="宋体"/>
                <w:sz w:val="24"/>
                <w:szCs w:val="24"/>
              </w:rPr>
              <w:br w:type="textWrapping"/>
            </w:r>
            <w:r>
              <w:rPr>
                <w:rFonts w:hint="eastAsia" w:ascii="宋体" w:hAnsi="宋体" w:eastAsia="宋体" w:cs="宋体"/>
                <w:sz w:val="24"/>
                <w:szCs w:val="24"/>
              </w:rPr>
              <w:t>7.平台采用开放式接口，支持学校原有系统实现对接，支持单点登录认证，统一集中管理。</w:t>
            </w:r>
            <w:r>
              <w:rPr>
                <w:rFonts w:hint="eastAsia" w:ascii="宋体" w:hAnsi="宋体" w:eastAsia="宋体" w:cs="宋体"/>
                <w:sz w:val="24"/>
                <w:szCs w:val="24"/>
              </w:rPr>
              <w:br w:type="textWrapping"/>
            </w:r>
            <w:r>
              <w:rPr>
                <w:rFonts w:hint="eastAsia" w:ascii="宋体" w:hAnsi="宋体" w:eastAsia="宋体" w:cs="宋体"/>
                <w:sz w:val="24"/>
                <w:szCs w:val="24"/>
              </w:rPr>
              <w:t>8.提供智慧管理平台类相关软件著作权证书复印件。</w:t>
            </w:r>
            <w:r>
              <w:rPr>
                <w:rFonts w:hint="eastAsia" w:ascii="宋体" w:hAnsi="宋体" w:eastAsia="宋体" w:cs="宋体"/>
                <w:sz w:val="24"/>
                <w:szCs w:val="24"/>
              </w:rPr>
              <w:br w:type="textWrapping"/>
            </w:r>
            <w:r>
              <w:rPr>
                <w:rFonts w:hint="eastAsia" w:ascii="宋体" w:hAnsi="宋体" w:eastAsia="宋体" w:cs="宋体"/>
                <w:sz w:val="24"/>
                <w:szCs w:val="24"/>
              </w:rPr>
              <w:t>二、录播课堂管理系统：</w:t>
            </w:r>
            <w:r>
              <w:rPr>
                <w:rFonts w:hint="eastAsia" w:ascii="宋体" w:hAnsi="宋体" w:eastAsia="宋体" w:cs="宋体"/>
                <w:sz w:val="24"/>
                <w:szCs w:val="24"/>
              </w:rPr>
              <w:br w:type="textWrapping"/>
            </w:r>
            <w:r>
              <w:rPr>
                <w:rFonts w:hint="eastAsia" w:ascii="宋体" w:hAnsi="宋体" w:eastAsia="宋体" w:cs="宋体"/>
                <w:sz w:val="24"/>
                <w:szCs w:val="24"/>
              </w:rPr>
              <w:t>1.支持按照学科、学期进行录播课程分类。</w:t>
            </w:r>
            <w:r>
              <w:rPr>
                <w:rFonts w:hint="eastAsia" w:ascii="宋体" w:hAnsi="宋体" w:eastAsia="宋体" w:cs="宋体"/>
                <w:sz w:val="24"/>
                <w:szCs w:val="24"/>
              </w:rPr>
              <w:br w:type="textWrapping"/>
            </w:r>
            <w:r>
              <w:rPr>
                <w:rFonts w:hint="eastAsia" w:ascii="宋体" w:hAnsi="宋体" w:eastAsia="宋体" w:cs="宋体"/>
                <w:sz w:val="24"/>
                <w:szCs w:val="24"/>
              </w:rPr>
              <w:t>2.支持按照时间、主讲教师、课程标题进行录播课程资源查看。</w:t>
            </w:r>
            <w:r>
              <w:rPr>
                <w:rFonts w:hint="eastAsia" w:ascii="宋体" w:hAnsi="宋体" w:eastAsia="宋体" w:cs="宋体"/>
                <w:sz w:val="24"/>
                <w:szCs w:val="24"/>
              </w:rPr>
              <w:br w:type="textWrapping"/>
            </w:r>
            <w:r>
              <w:rPr>
                <w:rFonts w:hint="eastAsia" w:ascii="宋体" w:hAnsi="宋体" w:eastAsia="宋体" w:cs="宋体"/>
                <w:sz w:val="24"/>
                <w:szCs w:val="24"/>
              </w:rPr>
              <w:t>3.支持课程主页的管理功能，查看全部课程、我的课程。支持课程资料查阅，相关教师课程显示。</w:t>
            </w:r>
            <w:r>
              <w:rPr>
                <w:rFonts w:hint="eastAsia" w:ascii="宋体" w:hAnsi="宋体" w:eastAsia="宋体" w:cs="宋体"/>
                <w:sz w:val="24"/>
                <w:szCs w:val="24"/>
              </w:rPr>
              <w:br w:type="textWrapping"/>
            </w:r>
            <w:r>
              <w:rPr>
                <w:rFonts w:hint="eastAsia" w:ascii="宋体" w:hAnsi="宋体" w:eastAsia="宋体" w:cs="宋体"/>
                <w:sz w:val="24"/>
                <w:szCs w:val="24"/>
              </w:rPr>
              <w:t>三、远程互动课堂管理系统：</w:t>
            </w:r>
            <w:r>
              <w:rPr>
                <w:rFonts w:hint="eastAsia" w:ascii="宋体" w:hAnsi="宋体" w:eastAsia="宋体" w:cs="宋体"/>
                <w:sz w:val="24"/>
                <w:szCs w:val="24"/>
              </w:rPr>
              <w:br w:type="textWrapping"/>
            </w:r>
            <w:r>
              <w:rPr>
                <w:rFonts w:hint="eastAsia" w:ascii="宋体" w:hAnsi="宋体" w:eastAsia="宋体" w:cs="宋体"/>
                <w:sz w:val="24"/>
                <w:szCs w:val="24"/>
              </w:rPr>
              <w:t>1.支持数据概览功能：支持课程开课数量，开课时长、上线设备、互动时长数据展示。</w:t>
            </w:r>
            <w:r>
              <w:rPr>
                <w:rFonts w:hint="eastAsia" w:ascii="宋体" w:hAnsi="宋体" w:eastAsia="宋体" w:cs="宋体"/>
                <w:sz w:val="24"/>
                <w:szCs w:val="24"/>
              </w:rPr>
              <w:br w:type="textWrapping"/>
            </w:r>
            <w:r>
              <w:rPr>
                <w:rFonts w:hint="eastAsia" w:ascii="宋体" w:hAnsi="宋体" w:eastAsia="宋体" w:cs="宋体"/>
                <w:sz w:val="24"/>
                <w:szCs w:val="24"/>
              </w:rPr>
              <w:t>2.支持设备管理功能：设备型号、设备类型、设备名称、在线状态、操作编辑功能；支持部门列表创建部门，删除会议操作功能。</w:t>
            </w:r>
            <w:r>
              <w:rPr>
                <w:rFonts w:hint="eastAsia" w:ascii="宋体" w:hAnsi="宋体" w:eastAsia="宋体" w:cs="宋体"/>
                <w:sz w:val="24"/>
                <w:szCs w:val="24"/>
              </w:rPr>
              <w:br w:type="textWrapping"/>
            </w:r>
            <w:r>
              <w:rPr>
                <w:rFonts w:hint="eastAsia" w:ascii="宋体" w:hAnsi="宋体" w:eastAsia="宋体" w:cs="宋体"/>
                <w:sz w:val="24"/>
                <w:szCs w:val="24"/>
              </w:rPr>
              <w:t>四、在线巡视管理系统：</w:t>
            </w:r>
            <w:r>
              <w:rPr>
                <w:rFonts w:hint="eastAsia" w:ascii="宋体" w:hAnsi="宋体" w:eastAsia="宋体" w:cs="宋体"/>
                <w:sz w:val="24"/>
                <w:szCs w:val="24"/>
              </w:rPr>
              <w:br w:type="textWrapping"/>
            </w:r>
            <w:r>
              <w:rPr>
                <w:rFonts w:hint="eastAsia" w:ascii="宋体" w:hAnsi="宋体" w:eastAsia="宋体" w:cs="宋体"/>
                <w:sz w:val="24"/>
                <w:szCs w:val="24"/>
              </w:rPr>
              <w:t>1.支持校领导实时观摩课堂教学，实现教学质量督导。</w:t>
            </w:r>
            <w:r>
              <w:rPr>
                <w:rFonts w:hint="eastAsia" w:ascii="宋体" w:hAnsi="宋体" w:eastAsia="宋体" w:cs="宋体"/>
                <w:sz w:val="24"/>
                <w:szCs w:val="24"/>
              </w:rPr>
              <w:br w:type="textWrapping"/>
            </w:r>
            <w:r>
              <w:rPr>
                <w:rFonts w:hint="eastAsia" w:ascii="宋体" w:hAnsi="宋体" w:eastAsia="宋体" w:cs="宋体"/>
                <w:sz w:val="24"/>
                <w:szCs w:val="24"/>
              </w:rPr>
              <w:t>2.支持分权限分配管理，可观摩有课教室，也可以观摩所有教室；支持按院系观看巡课。支持教室列表查看，按照教室名、教师、课程查看。</w:t>
            </w:r>
            <w:r>
              <w:rPr>
                <w:rFonts w:hint="eastAsia" w:ascii="宋体" w:hAnsi="宋体" w:eastAsia="宋体" w:cs="宋体"/>
                <w:sz w:val="24"/>
                <w:szCs w:val="24"/>
              </w:rPr>
              <w:br w:type="textWrapping"/>
            </w:r>
            <w:r>
              <w:rPr>
                <w:rFonts w:hint="eastAsia" w:ascii="宋体" w:hAnsi="宋体" w:eastAsia="宋体" w:cs="宋体"/>
                <w:sz w:val="24"/>
                <w:szCs w:val="24"/>
              </w:rPr>
              <w:t>3.支持实时点评功能，打点记录点评内容。</w:t>
            </w:r>
            <w:r>
              <w:rPr>
                <w:rFonts w:hint="eastAsia" w:ascii="宋体" w:hAnsi="宋体" w:eastAsia="宋体" w:cs="宋体"/>
                <w:sz w:val="24"/>
                <w:szCs w:val="24"/>
              </w:rPr>
              <w:br w:type="textWrapping"/>
            </w:r>
            <w:r>
              <w:rPr>
                <w:rFonts w:hint="eastAsia" w:ascii="宋体" w:hAnsi="宋体" w:eastAsia="宋体" w:cs="宋体"/>
                <w:sz w:val="24"/>
                <w:szCs w:val="24"/>
              </w:rPr>
              <w:t>*4.支持多种观摩方式，支持三分屏、两分屏、单画面模式。</w:t>
            </w:r>
            <w:r>
              <w:rPr>
                <w:rFonts w:hint="eastAsia" w:ascii="宋体" w:hAnsi="宋体" w:eastAsia="宋体" w:cs="宋体"/>
                <w:sz w:val="24"/>
                <w:szCs w:val="24"/>
              </w:rPr>
              <w:br w:type="textWrapping"/>
            </w:r>
            <w:r>
              <w:rPr>
                <w:rFonts w:hint="eastAsia" w:ascii="宋体" w:hAnsi="宋体" w:eastAsia="宋体" w:cs="宋体"/>
                <w:sz w:val="24"/>
                <w:szCs w:val="24"/>
              </w:rPr>
              <w:t>五、个人中心教学系统：</w:t>
            </w:r>
            <w:r>
              <w:rPr>
                <w:rFonts w:hint="eastAsia" w:ascii="宋体" w:hAnsi="宋体" w:eastAsia="宋体" w:cs="宋体"/>
                <w:sz w:val="24"/>
                <w:szCs w:val="24"/>
              </w:rPr>
              <w:br w:type="textWrapping"/>
            </w:r>
            <w:r>
              <w:rPr>
                <w:rFonts w:hint="eastAsia" w:ascii="宋体" w:hAnsi="宋体" w:eastAsia="宋体" w:cs="宋体"/>
                <w:sz w:val="24"/>
                <w:szCs w:val="24"/>
              </w:rPr>
              <w:t>1.支持按照权限管理录播状态功能，支持教师视频、学生视频、全景视频、屏幕视频链接管理支持按教室名称查询，支持批量录播管理。</w:t>
            </w:r>
            <w:r>
              <w:rPr>
                <w:rFonts w:hint="eastAsia" w:ascii="宋体" w:hAnsi="宋体" w:eastAsia="宋体" w:cs="宋体"/>
                <w:sz w:val="24"/>
                <w:szCs w:val="24"/>
              </w:rPr>
              <w:br w:type="textWrapping"/>
            </w:r>
            <w:r>
              <w:rPr>
                <w:rFonts w:hint="eastAsia" w:ascii="宋体" w:hAnsi="宋体" w:eastAsia="宋体" w:cs="宋体"/>
                <w:sz w:val="24"/>
                <w:szCs w:val="24"/>
              </w:rPr>
              <w:t>2.支持录播计划管理，支持删除、新建、批量管理、导入、自动策略、过期计划操作功能。</w:t>
            </w:r>
            <w:r>
              <w:rPr>
                <w:rFonts w:hint="eastAsia" w:ascii="宋体" w:hAnsi="宋体" w:eastAsia="宋体" w:cs="宋体"/>
                <w:sz w:val="24"/>
                <w:szCs w:val="24"/>
              </w:rPr>
              <w:br w:type="textWrapping"/>
            </w:r>
            <w:r>
              <w:rPr>
                <w:rFonts w:hint="eastAsia" w:ascii="宋体" w:hAnsi="宋体" w:eastAsia="宋体" w:cs="宋体"/>
                <w:sz w:val="24"/>
                <w:szCs w:val="24"/>
              </w:rPr>
              <w:t>3.支持录播计划管理复制、编辑、导出结果、测评结果操作功能管理。</w:t>
            </w:r>
            <w:r>
              <w:rPr>
                <w:rFonts w:hint="eastAsia" w:ascii="宋体" w:hAnsi="宋体" w:eastAsia="宋体" w:cs="宋体"/>
                <w:sz w:val="24"/>
                <w:szCs w:val="24"/>
              </w:rPr>
              <w:br w:type="textWrapping"/>
            </w:r>
            <w:r>
              <w:rPr>
                <w:rFonts w:hint="eastAsia" w:ascii="宋体" w:hAnsi="宋体" w:eastAsia="宋体" w:cs="宋体"/>
                <w:sz w:val="24"/>
                <w:szCs w:val="24"/>
              </w:rPr>
              <w:t>4.支持通过平台远程控制多间教室图像系统，多预置位配置功能。</w:t>
            </w:r>
            <w:r>
              <w:rPr>
                <w:rFonts w:hint="eastAsia" w:ascii="宋体" w:hAnsi="宋体" w:eastAsia="宋体" w:cs="宋体"/>
                <w:sz w:val="24"/>
                <w:szCs w:val="24"/>
              </w:rPr>
              <w:br w:type="textWrapping"/>
            </w:r>
            <w:r>
              <w:rPr>
                <w:rFonts w:hint="eastAsia" w:ascii="宋体" w:hAnsi="宋体" w:eastAsia="宋体" w:cs="宋体"/>
                <w:sz w:val="24"/>
                <w:szCs w:val="24"/>
              </w:rPr>
              <w:t>5. 支持远程督导评课功能，支持自定义评课标准如：板书测评，课堂测试内容，语言组织效果等。</w:t>
            </w:r>
            <w:r>
              <w:rPr>
                <w:rFonts w:hint="eastAsia" w:ascii="宋体" w:hAnsi="宋体" w:eastAsia="宋体" w:cs="宋体"/>
                <w:sz w:val="24"/>
                <w:szCs w:val="24"/>
              </w:rPr>
              <w:br w:type="textWrapping"/>
            </w:r>
            <w:r>
              <w:rPr>
                <w:rFonts w:hint="eastAsia" w:ascii="宋体" w:hAnsi="宋体" w:eastAsia="宋体" w:cs="宋体"/>
                <w:sz w:val="24"/>
                <w:szCs w:val="24"/>
              </w:rPr>
              <w:t>6.支持视频资源修改状态，支持冻结、发布、公开、不公开、精品功能。</w:t>
            </w:r>
            <w:r>
              <w:rPr>
                <w:rFonts w:hint="eastAsia" w:ascii="宋体" w:hAnsi="宋体" w:eastAsia="宋体" w:cs="宋体"/>
                <w:sz w:val="24"/>
                <w:szCs w:val="24"/>
              </w:rPr>
              <w:br w:type="textWrapping"/>
            </w:r>
            <w:r>
              <w:rPr>
                <w:rFonts w:hint="eastAsia" w:ascii="宋体" w:hAnsi="宋体" w:eastAsia="宋体" w:cs="宋体"/>
                <w:sz w:val="24"/>
                <w:szCs w:val="24"/>
              </w:rPr>
              <w:t>7.支持回收站功能，按照标题、学期、院系、主讲、课程查找视频资源进行视频资源还原功能、删除功能管理。</w:t>
            </w:r>
            <w:r>
              <w:rPr>
                <w:rFonts w:hint="eastAsia" w:ascii="宋体" w:hAnsi="宋体" w:eastAsia="宋体" w:cs="宋体"/>
                <w:sz w:val="24"/>
                <w:szCs w:val="24"/>
              </w:rPr>
              <w:br w:type="textWrapping"/>
            </w:r>
            <w:r>
              <w:rPr>
                <w:rFonts w:hint="eastAsia" w:ascii="宋体" w:hAnsi="宋体" w:eastAsia="宋体" w:cs="宋体"/>
                <w:sz w:val="24"/>
                <w:szCs w:val="24"/>
              </w:rPr>
              <w:t>8.提供教学分析类相关软件著作权证书复印件。</w:t>
            </w:r>
            <w:r>
              <w:rPr>
                <w:rFonts w:hint="eastAsia" w:ascii="宋体" w:hAnsi="宋体" w:eastAsia="宋体" w:cs="宋体"/>
                <w:sz w:val="24"/>
                <w:szCs w:val="24"/>
              </w:rPr>
              <w:br w:type="textWrapping"/>
            </w:r>
            <w:r>
              <w:rPr>
                <w:rFonts w:hint="eastAsia" w:ascii="宋体" w:hAnsi="宋体" w:eastAsia="宋体" w:cs="宋体"/>
                <w:sz w:val="24"/>
                <w:szCs w:val="24"/>
              </w:rPr>
              <w:t>六、微信小程序教学系统：</w:t>
            </w:r>
            <w:r>
              <w:rPr>
                <w:rFonts w:hint="eastAsia" w:ascii="宋体" w:hAnsi="宋体" w:eastAsia="宋体" w:cs="宋体"/>
                <w:sz w:val="24"/>
                <w:szCs w:val="24"/>
              </w:rPr>
              <w:br w:type="textWrapping"/>
            </w:r>
            <w:r>
              <w:rPr>
                <w:rFonts w:hint="eastAsia" w:ascii="宋体" w:hAnsi="宋体" w:eastAsia="宋体" w:cs="宋体"/>
                <w:sz w:val="24"/>
                <w:szCs w:val="24"/>
              </w:rPr>
              <w:t>1.支持通过微信扫码进入智慧课堂小程序，实现课前、课中、课后教学相关功能。</w:t>
            </w:r>
            <w:r>
              <w:rPr>
                <w:rFonts w:hint="eastAsia" w:ascii="宋体" w:hAnsi="宋体" w:eastAsia="宋体" w:cs="宋体"/>
                <w:sz w:val="24"/>
                <w:szCs w:val="24"/>
              </w:rPr>
              <w:br w:type="textWrapping"/>
            </w:r>
            <w:r>
              <w:rPr>
                <w:rFonts w:hint="eastAsia" w:ascii="宋体" w:hAnsi="宋体" w:eastAsia="宋体" w:cs="宋体"/>
                <w:sz w:val="24"/>
                <w:szCs w:val="24"/>
              </w:rPr>
              <w:t>2.学生端通过智慧课堂查看推荐直播课程、点播课程；支持直播、点播、签到功能。</w:t>
            </w:r>
            <w:r>
              <w:rPr>
                <w:rFonts w:hint="eastAsia" w:ascii="宋体" w:hAnsi="宋体" w:eastAsia="宋体" w:cs="宋体"/>
                <w:sz w:val="24"/>
                <w:szCs w:val="24"/>
              </w:rPr>
              <w:br w:type="textWrapping"/>
            </w:r>
            <w:r>
              <w:rPr>
                <w:rFonts w:hint="eastAsia" w:ascii="宋体" w:hAnsi="宋体" w:eastAsia="宋体" w:cs="宋体"/>
                <w:sz w:val="24"/>
                <w:szCs w:val="24"/>
              </w:rPr>
              <w:t>3.支持通过扫码进行快速签到；按照课表内容快速进入课堂，参与课堂学习，通过视频分类、时间顺序点播回看名师优课教学资源。</w:t>
            </w:r>
            <w:r>
              <w:rPr>
                <w:rFonts w:hint="eastAsia" w:ascii="宋体" w:hAnsi="宋体" w:eastAsia="宋体" w:cs="宋体"/>
                <w:sz w:val="24"/>
                <w:szCs w:val="24"/>
              </w:rPr>
              <w:br w:type="textWrapping"/>
            </w:r>
            <w:r>
              <w:rPr>
                <w:rFonts w:hint="eastAsia" w:ascii="宋体" w:hAnsi="宋体" w:eastAsia="宋体" w:cs="宋体"/>
                <w:sz w:val="24"/>
                <w:szCs w:val="24"/>
              </w:rPr>
              <w:t>4.学生端通过智慧课堂查看推荐直播课程、点播课程；支持直播、点播、签到功能；</w:t>
            </w:r>
          </w:p>
          <w:p>
            <w:pPr>
              <w:jc w:val="left"/>
              <w:rPr>
                <w:rFonts w:hint="eastAsia" w:ascii="宋体" w:hAnsi="宋体" w:eastAsia="宋体" w:cs="宋体"/>
                <w:sz w:val="24"/>
                <w:szCs w:val="24"/>
              </w:rPr>
            </w:pPr>
            <w:r>
              <w:rPr>
                <w:rFonts w:hint="eastAsia" w:ascii="宋体" w:hAnsi="宋体" w:eastAsia="宋体" w:cs="宋体"/>
                <w:sz w:val="24"/>
                <w:szCs w:val="24"/>
              </w:rPr>
              <w:t>七、后台管理系统：</w:t>
            </w:r>
            <w:r>
              <w:rPr>
                <w:rFonts w:hint="eastAsia" w:ascii="宋体" w:hAnsi="宋体" w:eastAsia="宋体" w:cs="宋体"/>
                <w:sz w:val="24"/>
                <w:szCs w:val="24"/>
              </w:rPr>
              <w:br w:type="textWrapping"/>
            </w:r>
            <w:r>
              <w:rPr>
                <w:rFonts w:hint="eastAsia" w:ascii="宋体" w:hAnsi="宋体" w:eastAsia="宋体" w:cs="宋体"/>
                <w:sz w:val="24"/>
                <w:szCs w:val="24"/>
              </w:rPr>
              <w:t>1.存储管理：对分布式存储的资源进行统一管理，实时查看存储空间剩余容量。</w:t>
            </w:r>
            <w:r>
              <w:rPr>
                <w:rFonts w:hint="eastAsia" w:ascii="宋体" w:hAnsi="宋体" w:eastAsia="宋体" w:cs="宋体"/>
                <w:sz w:val="24"/>
                <w:szCs w:val="24"/>
              </w:rPr>
              <w:br w:type="textWrapping"/>
            </w:r>
            <w:r>
              <w:rPr>
                <w:rFonts w:hint="eastAsia" w:ascii="宋体" w:hAnsi="宋体" w:eastAsia="宋体" w:cs="宋体"/>
                <w:sz w:val="24"/>
                <w:szCs w:val="24"/>
              </w:rPr>
              <w:t>2.角色管理：支持学校管理员创建本校的角色，并为角色进行权限设定；</w:t>
            </w:r>
          </w:p>
          <w:p>
            <w:pPr>
              <w:jc w:val="left"/>
              <w:rPr>
                <w:rFonts w:hint="eastAsia" w:ascii="宋体" w:hAnsi="宋体" w:eastAsia="宋体" w:cs="宋体"/>
                <w:sz w:val="24"/>
                <w:szCs w:val="24"/>
              </w:rPr>
            </w:pPr>
            <w:r>
              <w:rPr>
                <w:rFonts w:hint="eastAsia" w:ascii="宋体" w:hAnsi="宋体" w:eastAsia="宋体" w:cs="宋体"/>
                <w:sz w:val="24"/>
                <w:szCs w:val="24"/>
              </w:rPr>
              <w:t>3.班级管理：支持新建班级，包含班级所属年级、院系以及班级的学生名单。</w:t>
            </w:r>
            <w:r>
              <w:rPr>
                <w:rFonts w:hint="eastAsia" w:ascii="宋体" w:hAnsi="宋体" w:eastAsia="宋体" w:cs="宋体"/>
                <w:sz w:val="24"/>
                <w:szCs w:val="24"/>
              </w:rPr>
              <w:br w:type="textWrapping"/>
            </w:r>
            <w:r>
              <w:rPr>
                <w:rFonts w:hint="eastAsia" w:ascii="宋体" w:hAnsi="宋体" w:eastAsia="宋体" w:cs="宋体"/>
                <w:sz w:val="24"/>
                <w:szCs w:val="24"/>
              </w:rPr>
              <w:t>4.课程管理：支持课程的信息管理维护；</w:t>
            </w:r>
            <w:r>
              <w:rPr>
                <w:rFonts w:hint="eastAsia" w:ascii="宋体" w:hAnsi="宋体" w:eastAsia="宋体" w:cs="宋体"/>
                <w:sz w:val="24"/>
                <w:szCs w:val="24"/>
              </w:rPr>
              <w:br w:type="textWrapping"/>
            </w:r>
            <w:r>
              <w:rPr>
                <w:rFonts w:hint="eastAsia" w:ascii="宋体" w:hAnsi="宋体" w:eastAsia="宋体" w:cs="宋体"/>
                <w:sz w:val="24"/>
                <w:szCs w:val="24"/>
              </w:rPr>
              <w:t>5.教室管理：支持对教室信息的管理与维护；支持教室信息的导入功能。</w:t>
            </w:r>
            <w:r>
              <w:rPr>
                <w:rFonts w:hint="eastAsia" w:ascii="宋体" w:hAnsi="宋体" w:eastAsia="宋体" w:cs="宋体"/>
                <w:sz w:val="24"/>
                <w:szCs w:val="24"/>
              </w:rPr>
              <w:br w:type="textWrapping"/>
            </w:r>
            <w:r>
              <w:rPr>
                <w:rFonts w:hint="eastAsia" w:ascii="宋体" w:hAnsi="宋体" w:eastAsia="宋体" w:cs="宋体"/>
                <w:sz w:val="24"/>
                <w:szCs w:val="24"/>
              </w:rPr>
              <w:t>6.教师管理：支持对教师信息的管理维护。</w:t>
            </w:r>
            <w:r>
              <w:rPr>
                <w:rFonts w:hint="eastAsia" w:ascii="宋体" w:hAnsi="宋体" w:eastAsia="宋体" w:cs="宋体"/>
                <w:sz w:val="24"/>
                <w:szCs w:val="24"/>
              </w:rPr>
              <w:br w:type="textWrapping"/>
            </w:r>
            <w:r>
              <w:rPr>
                <w:rFonts w:hint="eastAsia" w:ascii="宋体" w:hAnsi="宋体" w:eastAsia="宋体" w:cs="宋体"/>
                <w:sz w:val="24"/>
                <w:szCs w:val="24"/>
              </w:rPr>
              <w:t>7.评课管理：支持评课权限管理（支持添加学校名称、教师、组织机构功能），支持教师评分管理（板书、教案、习题、测试）进行评分；支持学生评分管理（支持添加评分类别、课程、总分备注功能）。提供软件界面截图进行技术参数验证；</w:t>
            </w:r>
            <w:r>
              <w:rPr>
                <w:rFonts w:hint="eastAsia" w:ascii="宋体" w:hAnsi="宋体" w:eastAsia="宋体" w:cs="宋体"/>
                <w:sz w:val="24"/>
                <w:szCs w:val="24"/>
              </w:rPr>
              <w:br w:type="textWrapping"/>
            </w:r>
            <w:r>
              <w:rPr>
                <w:rFonts w:hint="eastAsia" w:ascii="宋体" w:hAnsi="宋体" w:eastAsia="宋体" w:cs="宋体"/>
                <w:sz w:val="24"/>
                <w:szCs w:val="24"/>
              </w:rPr>
              <w:t>12.平台数据统计：支持点击量数据排行，视频数据排行，学习时长排行。</w:t>
            </w:r>
            <w:r>
              <w:rPr>
                <w:rFonts w:hint="eastAsia" w:ascii="宋体" w:hAnsi="宋体" w:eastAsia="宋体" w:cs="宋体"/>
                <w:sz w:val="24"/>
                <w:szCs w:val="24"/>
              </w:rPr>
              <w:br w:type="textWrapping"/>
            </w:r>
            <w:r>
              <w:rPr>
                <w:rFonts w:hint="eastAsia" w:ascii="宋体" w:hAnsi="宋体" w:eastAsia="宋体" w:cs="宋体"/>
                <w:sz w:val="24"/>
                <w:szCs w:val="24"/>
              </w:rPr>
              <w:t>13.敏感词管理：支持用户自定义敏感词，当用户发表评论或者提问时如果是敏感词则不能发表。</w:t>
            </w:r>
            <w:r>
              <w:rPr>
                <w:rFonts w:hint="eastAsia" w:ascii="宋体" w:hAnsi="宋体" w:eastAsia="宋体" w:cs="宋体"/>
                <w:sz w:val="24"/>
                <w:szCs w:val="24"/>
              </w:rPr>
              <w:br w:type="textWrapping"/>
            </w:r>
            <w:r>
              <w:rPr>
                <w:rFonts w:hint="eastAsia" w:ascii="宋体" w:hAnsi="宋体" w:eastAsia="宋体" w:cs="宋体"/>
                <w:sz w:val="24"/>
                <w:szCs w:val="24"/>
              </w:rPr>
              <w:t>八、在线编辑模块</w:t>
            </w:r>
            <w:r>
              <w:rPr>
                <w:rFonts w:hint="eastAsia" w:ascii="宋体" w:hAnsi="宋体" w:eastAsia="宋体" w:cs="宋体"/>
                <w:sz w:val="24"/>
                <w:szCs w:val="24"/>
              </w:rPr>
              <w:br w:type="textWrapping"/>
            </w:r>
            <w:r>
              <w:rPr>
                <w:rFonts w:hint="eastAsia" w:ascii="宋体" w:hAnsi="宋体" w:eastAsia="宋体" w:cs="宋体"/>
                <w:sz w:val="24"/>
                <w:szCs w:val="24"/>
              </w:rPr>
              <w:t>1.支持通过平台可以直接对课件进行在线编辑，包括掐头、去尾、剪切等操作</w:t>
            </w:r>
            <w:r>
              <w:rPr>
                <w:rFonts w:hint="eastAsia" w:ascii="宋体" w:hAnsi="宋体" w:eastAsia="宋体" w:cs="宋体"/>
                <w:sz w:val="24"/>
                <w:szCs w:val="24"/>
              </w:rPr>
              <w:br w:type="textWrapping"/>
            </w:r>
            <w:r>
              <w:rPr>
                <w:rFonts w:hint="eastAsia" w:ascii="宋体" w:hAnsi="宋体" w:eastAsia="宋体" w:cs="宋体"/>
                <w:sz w:val="24"/>
                <w:szCs w:val="24"/>
              </w:rPr>
              <w:t>2.支持提供视频和索引操作轨道，并提供时间线放大缩小功能。</w:t>
            </w:r>
            <w:r>
              <w:rPr>
                <w:rFonts w:hint="eastAsia" w:ascii="宋体" w:hAnsi="宋体" w:eastAsia="宋体" w:cs="宋体"/>
                <w:sz w:val="24"/>
                <w:szCs w:val="24"/>
              </w:rPr>
              <w:br w:type="textWrapping"/>
            </w:r>
            <w:r>
              <w:rPr>
                <w:rFonts w:hint="eastAsia" w:ascii="宋体" w:hAnsi="宋体" w:eastAsia="宋体" w:cs="宋体"/>
                <w:sz w:val="24"/>
                <w:szCs w:val="24"/>
              </w:rPr>
              <w:t>3.支持编辑课件信息，如主讲人、主题、时间、地点等，用以保护视频的版权信息</w:t>
            </w:r>
            <w:r>
              <w:rPr>
                <w:rFonts w:hint="eastAsia" w:ascii="宋体" w:hAnsi="宋体" w:eastAsia="宋体" w:cs="宋体"/>
                <w:sz w:val="24"/>
                <w:szCs w:val="24"/>
              </w:rPr>
              <w:br w:type="textWrapping"/>
            </w:r>
            <w:r>
              <w:rPr>
                <w:rFonts w:hint="eastAsia" w:ascii="宋体" w:hAnsi="宋体" w:eastAsia="宋体" w:cs="宋体"/>
                <w:sz w:val="24"/>
                <w:szCs w:val="24"/>
              </w:rPr>
              <w:t>4.支持在线修改片头片尾，提供内置图片模板，支持自定义修改片头片尾图片。</w:t>
            </w:r>
            <w:r>
              <w:rPr>
                <w:rFonts w:hint="eastAsia" w:ascii="宋体" w:hAnsi="宋体" w:eastAsia="宋体" w:cs="宋体"/>
                <w:sz w:val="24"/>
                <w:szCs w:val="24"/>
              </w:rPr>
              <w:br w:type="textWrapping"/>
            </w:r>
            <w:r>
              <w:rPr>
                <w:rFonts w:hint="eastAsia" w:ascii="宋体" w:hAnsi="宋体" w:eastAsia="宋体" w:cs="宋体"/>
                <w:sz w:val="24"/>
                <w:szCs w:val="24"/>
              </w:rPr>
              <w:t>5.支持课件编辑实时保存功能，用户可以在完成编辑前，随时修改编辑信息</w:t>
            </w:r>
            <w:r>
              <w:rPr>
                <w:rFonts w:hint="eastAsia" w:ascii="宋体" w:hAnsi="宋体" w:eastAsia="宋体" w:cs="宋体"/>
                <w:sz w:val="24"/>
                <w:szCs w:val="24"/>
              </w:rPr>
              <w:br w:type="textWrapping"/>
            </w:r>
            <w:r>
              <w:rPr>
                <w:rFonts w:hint="eastAsia" w:ascii="宋体" w:hAnsi="宋体" w:eastAsia="宋体" w:cs="宋体"/>
                <w:sz w:val="24"/>
                <w:szCs w:val="24"/>
              </w:rPr>
              <w:t xml:space="preserve">6.支持编辑互斥功能，一个课件不能被多个用户同时编辑    </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sz w:val="24"/>
                <w:szCs w:val="24"/>
              </w:rPr>
              <w:t>九、数据对接模块</w:t>
            </w:r>
            <w:r>
              <w:rPr>
                <w:rFonts w:hint="eastAsia" w:ascii="宋体" w:hAnsi="宋体" w:eastAsia="宋体" w:cs="宋体"/>
                <w:sz w:val="24"/>
                <w:szCs w:val="24"/>
              </w:rPr>
              <w:br w:type="textWrapping"/>
            </w:r>
            <w:r>
              <w:rPr>
                <w:rFonts w:hint="eastAsia" w:ascii="宋体" w:hAnsi="宋体" w:eastAsia="宋体" w:cs="宋体"/>
                <w:sz w:val="24"/>
                <w:szCs w:val="24"/>
              </w:rPr>
              <w:t>1.平台在运行过程中需满足和学校的教务排课系统进行无缝对接，实现数据互联互通，实现基于课表的智慧课堂应用与管理。支持全部数据同步以及增量数据同步方式。</w:t>
            </w:r>
            <w:r>
              <w:rPr>
                <w:rFonts w:hint="eastAsia" w:ascii="宋体" w:hAnsi="宋体" w:eastAsia="宋体" w:cs="宋体"/>
                <w:sz w:val="24"/>
                <w:szCs w:val="24"/>
              </w:rPr>
              <w:br w:type="textWrapping"/>
            </w:r>
            <w:r>
              <w:rPr>
                <w:rFonts w:hint="eastAsia" w:ascii="宋体" w:hAnsi="宋体" w:eastAsia="宋体" w:cs="宋体"/>
                <w:sz w:val="24"/>
                <w:szCs w:val="24"/>
              </w:rPr>
              <w:t>2. 平台如需接入学校原有的智慧校园系统做统一身份认证登录，或与学校原有教学相关系统做数据对接，则根据实际情况详细沟通。</w:t>
            </w:r>
            <w:r>
              <w:rPr>
                <w:rFonts w:hint="eastAsia" w:ascii="宋体" w:hAnsi="宋体" w:eastAsia="宋体" w:cs="宋体"/>
                <w:sz w:val="24"/>
                <w:szCs w:val="24"/>
              </w:rPr>
              <w:br w:type="textWrapping"/>
            </w:r>
            <w:r>
              <w:rPr>
                <w:rFonts w:hint="eastAsia" w:ascii="宋体" w:hAnsi="宋体" w:eastAsia="宋体" w:cs="宋体"/>
                <w:sz w:val="24"/>
                <w:szCs w:val="24"/>
              </w:rPr>
              <w:t xml:space="preserve">硬件参数：                            </w:t>
            </w:r>
            <w:r>
              <w:rPr>
                <w:rFonts w:hint="eastAsia" w:ascii="宋体" w:hAnsi="宋体" w:eastAsia="宋体" w:cs="宋体"/>
                <w:sz w:val="24"/>
                <w:szCs w:val="24"/>
              </w:rPr>
              <w:br w:type="textWrapping"/>
            </w:r>
            <w:r>
              <w:rPr>
                <w:rFonts w:hint="eastAsia" w:ascii="宋体" w:hAnsi="宋体" w:eastAsia="宋体" w:cs="宋体"/>
                <w:sz w:val="24"/>
                <w:szCs w:val="24"/>
              </w:rPr>
              <w:t>1. CPU≥Intel Xeon E3-1230V3</w:t>
            </w:r>
            <w:r>
              <w:rPr>
                <w:rFonts w:hint="eastAsia" w:ascii="宋体" w:hAnsi="宋体" w:eastAsia="宋体" w:cs="宋体"/>
                <w:sz w:val="24"/>
                <w:szCs w:val="24"/>
              </w:rPr>
              <w:br w:type="textWrapping"/>
            </w:r>
            <w:r>
              <w:rPr>
                <w:rFonts w:hint="eastAsia" w:ascii="宋体" w:hAnsi="宋体" w:eastAsia="宋体" w:cs="宋体"/>
                <w:sz w:val="24"/>
                <w:szCs w:val="24"/>
              </w:rPr>
              <w:t xml:space="preserve">2. 内存≥32GB </w:t>
            </w:r>
            <w:r>
              <w:rPr>
                <w:rFonts w:hint="eastAsia" w:ascii="宋体" w:hAnsi="宋体" w:eastAsia="宋体" w:cs="宋体"/>
                <w:sz w:val="24"/>
                <w:szCs w:val="24"/>
              </w:rPr>
              <w:br w:type="textWrapping"/>
            </w:r>
            <w:r>
              <w:rPr>
                <w:rFonts w:hint="eastAsia" w:ascii="宋体" w:hAnsi="宋体" w:eastAsia="宋体" w:cs="宋体"/>
                <w:sz w:val="24"/>
                <w:szCs w:val="24"/>
              </w:rPr>
              <w:t>3. I/O：≥1个串口、≥2个USB2. 0、≥2个PS/2、≥2个RJ45接口</w:t>
            </w:r>
            <w:r>
              <w:rPr>
                <w:rFonts w:hint="eastAsia" w:ascii="宋体" w:hAnsi="宋体" w:eastAsia="宋体" w:cs="宋体"/>
                <w:sz w:val="24"/>
                <w:szCs w:val="24"/>
              </w:rPr>
              <w:br w:type="textWrapping"/>
            </w:r>
            <w:r>
              <w:rPr>
                <w:rFonts w:hint="eastAsia" w:ascii="宋体" w:hAnsi="宋体" w:eastAsia="宋体" w:cs="宋体"/>
                <w:sz w:val="24"/>
                <w:szCs w:val="24"/>
              </w:rPr>
              <w:t>4. 硬盘≥4T+256G、机箱≤1U</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课堂直播系统</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1.支持多种浏览器（IE、Safari、谷歌、火狐），多种PC终端、移动终端（Android、IOS）收看直播，无需安装客户端软件或插件即可收看，直播低延时；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2.支持手动直播控制功能，在线人数控制、观看密码控制、观看权限控制；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3.支持自动直播控制功能，可以通过设置课表对某一个教室到时间自动开始直播；</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4.支持不论是局域网还是广域网，都可以实现高清直播，不需要映射网络端口或者是VPN；</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5.支持单画面电影模式和多画面模式的直播；多画面直播时，视频和屏幕窗口可互换，且每个窗口都能全屏观看，还可调整窗口的大小和位置；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6.进行直播时，如果网络发生网络故障，故障排除后会自动重连；</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7.支持语音消息、文字消息的实时发送，使教室终端能及时接收控制室端的指令，便于双方沟通；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8.支持视频监控功能，通过网络同步监听与监看所有教室内教师授课声音、图像及电脑屏幕画面，根据不同教室，显示多路音视频和屏幕画面；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9.支持远程云台控制，通过浏览器，可以在任何地点对教室的摄像机云台进行调节，调节摄像机的转动和焦距变化。</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1230" w:type="dxa"/>
            <w:shd w:val="clear" w:color="auto" w:fill="auto"/>
            <w:noWrap/>
            <w:vAlign w:val="center"/>
          </w:tcPr>
          <w:p>
            <w:pPr>
              <w:widowControl/>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课表自动录课定制开发服务</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提供数据对接服务，用于按照教务系统课表自动录课，教师和学生按课表观看直播和点播学习。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1、对接时需出具对接接口文档和详细数据说明。</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2、课表对接程序，实现自动同步和手动同步。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3、支持对接日志查看，方便用户查找同步数据的状态。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4、支持对数据管理系统进行数据对接，如教室信息、班级信息、教师信息、学生信息、节次和周次信息、图片库，进行数据对接。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5、支持对用户账户信息对接、组织机构信息对接、课程分类信息对接、学科分类信息对接，实现批量与增量数据同步模式。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6、系统需为第三方系统提供统一的、开放的合作服务门户接入流程以及业务API数据接口。</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单点登录与统一认证开发服务</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1.按照智慧管理云平台第三方接入标准要求完成单点登录与统一认证；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2.平台支持将校级原有业务应用系统进行整合对接，无需单独登录多套系统，学校建有统一身份认证系统方便师生登录，实现单点登录；</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3.平台支持与校园现有系统实现单点登录对接，直接跳转到统一身份认证登录门户；</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4.平台支持登录到统一身份认证系统门户，点击子系统的图片进入平台；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5.平台支持数据信息同步，单点登录涉及用户信息，可支持用户数据同步自动创建账号至平台中。</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6.出具单点登录定制开发承诺函。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7.需提供和学校门户系统对接的单点认证方案。</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云平台页面定制服务</w:t>
            </w:r>
          </w:p>
        </w:tc>
        <w:tc>
          <w:tcPr>
            <w:tcW w:w="6750" w:type="dxa"/>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1.支持统一管理集成服务，分散建设的云平台统一整合在一起的定制化集成服务，支持简洁优雅的应用管理中心，支持记录访问次数；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2.定制化logo、定制化登录页面，定制化背景图片、定制化系统图标；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3.支持新增模块功能：设定模块名称，填入验证地址，即可实现统一登录；调整模块显示顺序，设定模块的管理权限，设置模块的开启和禁用的状态；填写模块的介绍信息等功能；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4.支持平台模块控制台功能，管理接入模块：可编辑接入系统的名称、修改图标、修改简介内容、修改权限等操作，也可以删除模块；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5.平台支持设定接入模块的交互效果，显示模块简介，访问次数等信息；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6.支持页面美化功能，支持云平台首页logo、轮播图图片、登录页面图片和logo美化；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7.支持开发定制功能，数据统计页面按需定制页面和数据开发定制。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8.出具页面个性化定制开发承诺函以及和学校现有教学类系统融合方案。</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数据互联互通定制服务</w:t>
            </w:r>
          </w:p>
        </w:tc>
        <w:tc>
          <w:tcPr>
            <w:tcW w:w="6750" w:type="dxa"/>
            <w:shd w:val="clear" w:color="000000" w:fill="FFFFFF"/>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 支持平台产生数据对接管理，视频数据、课堂互动学习记录数据、AI智能采集教室师生课堂情况数据，教室教学及设备管理数据，第三方系统数据接口，实现数据互联互通。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2.第一种数据推送需求情况，推送至校方自建学习平台，需要推送相应课程的直播课堂列表及播放地址或者视频点播列表及其播放地址，需支持直接上传到第三方学习平台，需要支持开放接口或者按需定制接口；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第二种数据推送需求情况，学校建设了数据中心展示平台，智慧课堂云平台可以产生很多教学和教室内设备运行的数据，如抬头率学情数据、无感知考勤数据、手机签到数据、学生视频学习记录、设备运维数据等多种数据，需要将数据推送给统一的数据中心进行汇聚和展示，需要支持开放接口或者按需定制接口；</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4.出具数据推送承诺函。</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平台数据维护服务</w:t>
            </w:r>
          </w:p>
        </w:tc>
        <w:tc>
          <w:tcPr>
            <w:tcW w:w="6750" w:type="dxa"/>
            <w:shd w:val="clear" w:color="000000" w:fill="FFFFFF"/>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1.需提供全年数据对接或者数据导入服务，每学期开学前主动联系学校利用两周时间检测数据准确性；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2.需定时排查学校排课数据问题，如重复数据、选课人数异常课程等数据问题，整理成文档反馈给学校；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3.数据维护需支持通过平台每学期开学前两周学校生成本学期的新课表，需进行课表导入，课表同步通过一周或者两周时间进行数据检查，确保系统内有本学期的所有课表。</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w:t>
            </w:r>
          </w:p>
        </w:tc>
        <w:tc>
          <w:tcPr>
            <w:tcW w:w="123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录播存储系统</w:t>
            </w:r>
          </w:p>
        </w:tc>
        <w:tc>
          <w:tcPr>
            <w:tcW w:w="6750" w:type="dxa"/>
            <w:shd w:val="clear" w:color="000000" w:fill="FFFFFF"/>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1.多控存储系统,最多可扩展到8控，标配双控；</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2.2U≥12个3.5/2.5寸盘位，Active-Active双控制器架构；</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3.配置≥4个1Gb iSCSI主机接口，≥4个SAS 3.0 的Mini SAS HD扩展接口；配置≥32GB缓存；</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4.标配BBU+Flash缓存保护模块；</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5.要求支持SAS SSD、SAS/NL SAS，配置冗余可热插拨电源；</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6.要求配置路径冗余、自动精简配置、本地卷快照、本地卷克隆；</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7.要求支持双活、远程卷复制、SSD缓存加速、数据自动分层（三层）等功能；全中文管理软件。</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8.要求配置≥8块 3.5"14TB 7.2K SAS硬盘，含安装实施服务。</w:t>
            </w:r>
          </w:p>
        </w:tc>
        <w:tc>
          <w:tcPr>
            <w:tcW w:w="72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750" w:type="dxa"/>
            <w:shd w:val="clear" w:color="auto" w:fill="auto"/>
            <w:noWrap/>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bl>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备注：</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本</w:t>
      </w:r>
      <w:r>
        <w:rPr>
          <w:rFonts w:hint="eastAsia" w:ascii="宋体" w:hAnsi="宋体" w:eastAsia="宋体" w:cs="宋体"/>
          <w:b/>
          <w:bCs/>
          <w:sz w:val="24"/>
          <w:szCs w:val="24"/>
          <w:lang w:val="en-US" w:eastAsia="zh-CN"/>
        </w:rPr>
        <w:t>项目</w:t>
      </w:r>
      <w:r>
        <w:rPr>
          <w:rFonts w:hint="eastAsia" w:ascii="宋体" w:hAnsi="宋体" w:eastAsia="宋体" w:cs="宋体"/>
          <w:b/>
          <w:bCs/>
          <w:sz w:val="24"/>
          <w:szCs w:val="24"/>
          <w:lang w:eastAsia="zh-CN"/>
        </w:rPr>
        <w:t>核心产品为：</w:t>
      </w:r>
      <w:r>
        <w:rPr>
          <w:rFonts w:hint="eastAsia" w:ascii="宋体" w:hAnsi="宋体" w:eastAsia="宋体" w:cs="宋体"/>
          <w:b/>
          <w:bCs/>
          <w:sz w:val="24"/>
          <w:szCs w:val="24"/>
          <w:lang w:val="en-US" w:eastAsia="zh-CN"/>
        </w:rPr>
        <w:t>智慧黑板</w:t>
      </w:r>
      <w:r>
        <w:rPr>
          <w:rFonts w:hint="eastAsia" w:ascii="宋体" w:hAnsi="宋体" w:eastAsia="宋体" w:cs="宋体"/>
          <w:b/>
          <w:bCs/>
          <w:sz w:val="24"/>
          <w:szCs w:val="24"/>
          <w:lang w:eastAsia="zh-CN"/>
        </w:rPr>
        <w:t>。多家投标人提供的核心产品品牌相同且通过资格审查、符合性审查的，按一家投标人计算，评审后得分最高的同品牌投标人获得中标人推荐。</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以上项目包括系统集成和运行维护：</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系统集成：包含教室设备配套支架、配电电源、跳线、电源线、音频线、PVC线槽等辅材及设备的线路施工、设备安装、调试等。</w:t>
      </w:r>
    </w:p>
    <w:p>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运行维护：保障系统运行安全，处理设备故障，优化维护工作流程。对系统日常运行状态进行监察，并每日记录系统状态巡查单；对集成的多媒体系统，可视化管理系统可进行数量操作，实现对设备及软件的运行状态的并发监视，具备故障报警，保修记录，维护记录的统计工作；制定系统及数据备份策略，定期对系统及数据进行清查，确保系统的可靠性和可恢复性；提供经厂商培训合格专职1年驻校服务人员至少1名，固定号码维护电话。具体要求：上班时间每周周一到周六（不包含国家其他法定节假日），上午7：50-12：00，下午2：20-6：00；并根据学校要求进行技术保障；费用包含在投标报价中。</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pPr>
        <w:pStyle w:val="17"/>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76" w:firstLineChars="200"/>
        <w:textAlignment w:val="auto"/>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1.投标人提供的产品必须为符合国家质量标准的全新产品，国家对投标产品有强制性要求的，投标人应出具相应的质量证明文件，并加盖投标人公章。</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2.投标人应提供主要产品的技术参数、技术性能说明，上述资料均应加盖投标人公章。</w:t>
      </w:r>
    </w:p>
    <w:p>
      <w:pPr>
        <w:pStyle w:val="17"/>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76" w:firstLineChars="200"/>
        <w:textAlignment w:val="auto"/>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3.投标人必须具备独立完成本项目的能力,中标后不允许分包、转包；依据《政府采购促进中小企业发展管理办法》规定享受扶持政策获得政府采购合同的，小微企业不得将合同分包给大中型企业，中型企业不得将合同分包给大型企业。</w:t>
      </w:r>
    </w:p>
    <w:p>
      <w:pPr>
        <w:pStyle w:val="17"/>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76" w:firstLineChars="200"/>
        <w:textAlignment w:val="auto"/>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4.投标人应提供项目</w:t>
      </w:r>
      <w:r>
        <w:rPr>
          <w:rFonts w:hint="eastAsia" w:ascii="宋体" w:hAnsi="宋体" w:eastAsia="宋体" w:cs="宋体"/>
          <w:sz w:val="24"/>
          <w:szCs w:val="24"/>
          <w:lang w:val="en-US" w:eastAsia="zh-CN"/>
        </w:rPr>
        <w:t>安装调试质量保证措施</w:t>
      </w:r>
      <w:r>
        <w:rPr>
          <w:rFonts w:hint="eastAsia" w:ascii="宋体" w:cs="宋体"/>
          <w:sz w:val="24"/>
          <w:szCs w:val="24"/>
          <w:lang w:val="en-US" w:eastAsia="zh-CN"/>
        </w:rPr>
        <w:t>。</w:t>
      </w:r>
    </w:p>
    <w:p>
      <w:pPr>
        <w:pStyle w:val="17"/>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76" w:firstLineChars="200"/>
        <w:textAlignment w:val="auto"/>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5、项目技术偏差的详细说明，并说明投标产品技术响应程度。</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600" w:firstLineChars="200"/>
        <w:jc w:val="left"/>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 xml:space="preserve"> 无</w:t>
      </w:r>
      <w:r>
        <w:rPr>
          <w:rFonts w:hint="eastAsia" w:asciiTheme="minorEastAsia" w:hAnsiTheme="minorEastAsia" w:eastAsiaTheme="minorEastAsia" w:cstheme="minorEastAsia"/>
          <w:sz w:val="24"/>
          <w:szCs w:val="24"/>
          <w:lang w:val="en-US" w:eastAsia="zh-CN"/>
        </w:rPr>
        <w:t>样品。</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600" w:firstLineChars="200"/>
        <w:jc w:val="left"/>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 xml:space="preserve"> 无</w:t>
      </w:r>
      <w:r>
        <w:rPr>
          <w:rFonts w:hint="eastAsia" w:asciiTheme="minorEastAsia" w:hAnsiTheme="minorEastAsia" w:eastAsiaTheme="minorEastAsia" w:cstheme="minorEastAsia"/>
          <w:sz w:val="24"/>
          <w:szCs w:val="24"/>
          <w:lang w:val="en-US" w:eastAsia="zh-CN"/>
        </w:rPr>
        <w:t>演示。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8.合同的签订：中标供应商自行打印南阳市公共资源交易平台会员系统中加盖南阳市政府采购中心电子签章的《中标通知书》后，及时与采购人签订供货安装合同。</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1"/>
          <w:sz w:val="24"/>
          <w:szCs w:val="24"/>
          <w:lang w:val="en-US" w:eastAsia="zh-CN"/>
        </w:rPr>
        <w:t>9</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供货期限：签订合同后</w:t>
      </w:r>
      <w:r>
        <w:rPr>
          <w:rFonts w:hint="eastAsia" w:asciiTheme="minorEastAsia" w:hAnsiTheme="minorEastAsia" w:eastAsiaTheme="minorEastAsia" w:cstheme="minorEastAsia"/>
          <w:spacing w:val="-1"/>
          <w:sz w:val="24"/>
          <w:szCs w:val="24"/>
          <w:u w:val="single"/>
          <w:lang w:val="en-US" w:eastAsia="zh-CN"/>
        </w:rPr>
        <w:t>20日历天内</w:t>
      </w:r>
      <w:r>
        <w:rPr>
          <w:rFonts w:hint="eastAsia" w:asciiTheme="minorEastAsia" w:hAnsiTheme="minorEastAsia" w:eastAsiaTheme="minorEastAsia" w:cstheme="minorEastAsia"/>
          <w:spacing w:val="-1"/>
          <w:sz w:val="24"/>
          <w:szCs w:val="24"/>
          <w:lang w:val="en-US" w:eastAsia="zh-CN"/>
        </w:rPr>
        <w:t>供货安装完毕并申请验收。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outlineLvl w:val="9"/>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10.供货地点：张仲景国医大学指定地点。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outlineLvl w:val="9"/>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pacing w:val="-2"/>
          <w:sz w:val="24"/>
          <w:szCs w:val="24"/>
          <w:lang w:val="en-US" w:eastAsia="zh-CN"/>
        </w:rPr>
        <w:t>11.付款方式</w:t>
      </w:r>
      <w:r>
        <w:rPr>
          <w:rFonts w:hint="eastAsia" w:asciiTheme="minorEastAsia" w:hAnsiTheme="minorEastAsia" w:eastAsiaTheme="minorEastAsia" w:cstheme="minorEastAsia"/>
          <w:color w:val="auto"/>
          <w:spacing w:val="-2"/>
          <w:sz w:val="24"/>
          <w:szCs w:val="24"/>
          <w:lang w:val="en-US" w:eastAsia="zh-CN"/>
        </w:rPr>
        <w:t>：</w:t>
      </w:r>
      <w:r>
        <w:rPr>
          <w:rFonts w:hint="eastAsia" w:asciiTheme="minorEastAsia" w:hAnsiTheme="minorEastAsia" w:eastAsiaTheme="minorEastAsia" w:cstheme="minorEastAsia"/>
          <w:snapToGrid w:val="0"/>
          <w:color w:val="000000"/>
          <w:spacing w:val="-1"/>
          <w:kern w:val="0"/>
          <w:sz w:val="24"/>
          <w:szCs w:val="24"/>
          <w:lang w:val="en-US" w:eastAsia="zh-CN" w:bidi="ar-SA"/>
        </w:rPr>
        <w:t>甲方验收合同约定的货物合格，按照张仲景国医大学筹建处要求，由乙方提供形式发票或完整的发票等，甲方在验收合格且具备付款条件之日起5个工作日内向乙方支付合同价的100%。</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12</w:t>
      </w:r>
      <w:r>
        <w:rPr>
          <w:rFonts w:hint="eastAsia" w:asciiTheme="minorEastAsia" w:hAnsiTheme="minorEastAsia" w:eastAsiaTheme="minorEastAsia" w:cstheme="minorEastAsia"/>
          <w:spacing w:val="-2"/>
          <w:sz w:val="24"/>
          <w:szCs w:val="24"/>
        </w:rPr>
        <w:t>.包装和运输（须满足《关于印发〈商品包装政府采购需求标准（试行）〉、〈快递包装政府采购需求标准（试行）〉的通知》（财办库﹝2020﹞123 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val="en-US" w:eastAsia="zh-CN"/>
        </w:rPr>
        <w:t>及方式</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lang w:val="en-US" w:eastAsia="zh-CN"/>
        </w:rPr>
      </w:pPr>
      <w:r>
        <w:rPr>
          <w:rFonts w:hint="eastAsia" w:asciiTheme="minorEastAsia" w:hAnsiTheme="minorEastAsia" w:eastAsiaTheme="minorEastAsia" w:cstheme="minorEastAsia"/>
          <w:sz w:val="24"/>
          <w:szCs w:val="24"/>
          <w:lang w:val="en-US" w:eastAsia="zh-CN"/>
        </w:rPr>
        <w:t>验收标准：中标人在验收活动中必须遵守采购人的有关规定。依照国家有关规定以及招标文件、投标文件、中标承诺和合同约定的标准等要求进行验收；经采购人完全确认后，完成验收。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outlineLvl w:val="9"/>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8"/>
          <w:sz w:val="24"/>
          <w:szCs w:val="24"/>
          <w:lang w:val="en-US" w:eastAsia="zh-CN"/>
        </w:rPr>
        <w:t>14</w:t>
      </w:r>
      <w:r>
        <w:rPr>
          <w:rFonts w:hint="eastAsia" w:asciiTheme="minorEastAsia" w:hAnsiTheme="minorEastAsia" w:eastAsiaTheme="minorEastAsia" w:cstheme="minorEastAsia"/>
          <w:spacing w:val="-8"/>
          <w:sz w:val="24"/>
          <w:szCs w:val="24"/>
        </w:rPr>
        <w:t>. 售后服务</w:t>
      </w:r>
      <w:r>
        <w:rPr>
          <w:rFonts w:hint="eastAsia" w:asciiTheme="minorEastAsia" w:hAnsiTheme="minorEastAsia" w:eastAsiaTheme="minorEastAsia" w:cstheme="minorEastAsia"/>
          <w:spacing w:val="-8"/>
          <w:sz w:val="24"/>
          <w:szCs w:val="24"/>
          <w:lang w:val="en-US" w:eastAsia="zh-CN"/>
        </w:rPr>
        <w:t>要求：</w:t>
      </w:r>
      <w:r>
        <w:rPr>
          <w:rFonts w:hint="eastAsia" w:asciiTheme="minorEastAsia" w:hAnsiTheme="minorEastAsia" w:eastAsiaTheme="minorEastAsia" w:cstheme="minorEastAsia"/>
          <w:spacing w:val="-3"/>
          <w:sz w:val="24"/>
          <w:szCs w:val="24"/>
          <w:lang w:val="en-US" w:eastAsia="zh-CN"/>
        </w:rPr>
        <w:t>自验收合格之日起，所有产品最低免费质保3年</w:t>
      </w:r>
      <w:r>
        <w:rPr>
          <w:rFonts w:hint="eastAsia" w:asciiTheme="minorEastAsia" w:hAnsiTheme="minorEastAsia" w:eastAsiaTheme="minorEastAsia" w:cstheme="minorEastAsia"/>
          <w:spacing w:val="-3"/>
          <w:sz w:val="24"/>
          <w:szCs w:val="24"/>
          <w:highlight w:val="none"/>
          <w:lang w:val="en-US" w:eastAsia="zh-CN"/>
        </w:rPr>
        <w:t>。</w:t>
      </w:r>
      <w:r>
        <w:rPr>
          <w:rFonts w:hint="eastAsia" w:asciiTheme="minorEastAsia" w:hAnsiTheme="minorEastAsia" w:eastAsiaTheme="minorEastAsia" w:cstheme="minorEastAsia"/>
          <w:spacing w:val="-3"/>
          <w:sz w:val="24"/>
          <w:szCs w:val="24"/>
          <w:lang w:val="en-US" w:eastAsia="zh-CN"/>
        </w:rPr>
        <w:t>售后服务响应时间为1小时以内，24小时内解决问题。如不能及时解决应提供备用设备。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Theme="minorEastAsia" w:hAnsiTheme="minorEastAsia" w:eastAsiaTheme="minorEastAsia" w:cstheme="minorEastAsia"/>
          <w:spacing w:val="-1"/>
          <w:sz w:val="24"/>
          <w:szCs w:val="24"/>
          <w:lang w:val="en-US" w:eastAsia="zh-CN"/>
        </w:rPr>
      </w:pPr>
    </w:p>
    <w:p>
      <w:pPr>
        <w:pStyle w:val="5"/>
        <w:numPr>
          <w:ilvl w:val="0"/>
          <w:numId w:val="0"/>
        </w:numPr>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pStyle w:val="5"/>
        <w:numPr>
          <w:ilvl w:val="0"/>
          <w:numId w:val="0"/>
        </w:numPr>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pStyle w:val="5"/>
        <w:numPr>
          <w:ilvl w:val="0"/>
          <w:numId w:val="0"/>
        </w:numPr>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pPr>
        <w:pStyle w:val="5"/>
        <w:spacing w:line="221" w:lineRule="auto"/>
        <w:ind w:left="400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pPr>
              <w:spacing w:line="240" w:lineRule="atLeast"/>
              <w:ind w:left="1080" w:leftChars="257" w:hanging="54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before="78" w:line="221"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6"/>
              <w:spacing w:line="220" w:lineRule="auto"/>
              <w:ind w:left="12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lang w:val="en-US" w:eastAsia="zh-CN"/>
              </w:rPr>
              <w:t xml:space="preserve"> </w:t>
            </w:r>
            <w:r>
              <w:rPr>
                <w:rFonts w:hint="eastAsia" w:asciiTheme="minorEastAsia" w:hAnsiTheme="minorEastAsia" w:eastAsiaTheme="minorEastAsia" w:cstheme="minorEastAsia"/>
                <w:spacing w:val="19"/>
                <w:sz w:val="24"/>
                <w:szCs w:val="24"/>
              </w:rPr>
              <w:t>服务</w:t>
            </w:r>
          </w:p>
          <w:p>
            <w:pPr>
              <w:pStyle w:val="26"/>
              <w:spacing w:before="25" w:line="207" w:lineRule="auto"/>
              <w:ind w:left="126" w:lef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lang w:val="en-US" w:eastAsia="zh-CN"/>
              </w:rPr>
              <w:t xml:space="preserve"> </w:t>
            </w:r>
            <w:r>
              <w:rPr>
                <w:rFonts w:hint="eastAsia" w:asciiTheme="minorEastAsia" w:hAnsiTheme="minorEastAsia" w:eastAsiaTheme="minorEastAsia" w:cstheme="minorEastAsia"/>
                <w:spacing w:val="19"/>
                <w:sz w:val="24"/>
                <w:szCs w:val="24"/>
              </w:rPr>
              <w:t>货物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before="78" w:line="219" w:lineRule="auto"/>
              <w:ind w:left="134"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pPr>
              <w:spacing w:before="37" w:line="238" w:lineRule="auto"/>
              <w:ind w:left="11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pPr>
              <w:pStyle w:val="26"/>
              <w:spacing w:line="223" w:lineRule="auto"/>
              <w:ind w:left="12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 xml:space="preserve"> </w:t>
            </w:r>
            <w:r>
              <w:rPr>
                <w:rFonts w:hint="eastAsia" w:asciiTheme="minorEastAsia" w:hAnsiTheme="minorEastAsia" w:eastAsiaTheme="minorEastAsia" w:cstheme="minorEastAsia"/>
                <w:spacing w:val="29"/>
                <w:sz w:val="24"/>
                <w:szCs w:val="24"/>
              </w:rPr>
              <w:t>是</w:t>
            </w:r>
          </w:p>
          <w:p>
            <w:pPr>
              <w:pStyle w:val="26"/>
              <w:spacing w:before="21" w:line="207" w:lineRule="auto"/>
              <w:ind w:left="126" w:lef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 xml:space="preserve"> </w:t>
            </w: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 xml:space="preserve"> </w:t>
            </w:r>
            <w:r>
              <w:rPr>
                <w:rFonts w:hint="eastAsia" w:asciiTheme="minorEastAsia" w:hAnsiTheme="minorEastAsia" w:eastAsiaTheme="minorEastAsia" w:cstheme="minorEastAsia"/>
                <w:spacing w:val="14"/>
                <w:sz w:val="24"/>
                <w:szCs w:val="24"/>
              </w:rPr>
              <w:t>不组织</w:t>
            </w:r>
          </w:p>
          <w:p>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12"/>
                <w:sz w:val="24"/>
                <w:szCs w:val="24"/>
              </w:rPr>
              <w:t>__年_月_</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2"/>
                <w:sz w:val="24"/>
                <w:szCs w:val="24"/>
              </w:rPr>
              <w:t>日_点_分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 xml:space="preserve"> </w:t>
            </w:r>
            <w:r>
              <w:rPr>
                <w:rFonts w:hint="eastAsia" w:asciiTheme="minorEastAsia" w:hAnsiTheme="minorEastAsia" w:eastAsiaTheme="minorEastAsia" w:cstheme="minorEastAsia"/>
                <w:spacing w:val="14"/>
                <w:sz w:val="24"/>
                <w:szCs w:val="24"/>
              </w:rPr>
              <w:t>不召开</w:t>
            </w:r>
          </w:p>
          <w:p>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12"/>
                <w:sz w:val="24"/>
                <w:szCs w:val="24"/>
              </w:rPr>
              <w:t>__年_月_</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2"/>
                <w:sz w:val="24"/>
                <w:szCs w:val="24"/>
              </w:rPr>
              <w:t>日_点_分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26"/>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6"/>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napToGrid w:val="0"/>
                <w:color w:val="000000"/>
                <w:spacing w:val="14"/>
                <w:kern w:val="0"/>
                <w:sz w:val="24"/>
                <w:szCs w:val="24"/>
                <w:u w:val="single"/>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14"/>
                <w:kern w:val="0"/>
                <w:sz w:val="24"/>
                <w:szCs w:val="24"/>
                <w:u w:val="single"/>
                <w:lang w:val="en-US" w:eastAsia="zh-CN" w:bidi="ar-SA"/>
              </w:rPr>
              <w:t>软件和信息技术服务业；</w:t>
            </w:r>
          </w:p>
          <w:p>
            <w:pPr>
              <w:pStyle w:val="26"/>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本项目专门面向中小企业采购。</w:t>
            </w:r>
          </w:p>
          <w:p>
            <w:pPr>
              <w:keepNext w:val="0"/>
              <w:keepLines w:val="0"/>
              <w:pageBreakBefore w:val="0"/>
              <w:widowControl/>
              <w:kinsoku/>
              <w:wordWrap/>
              <w:overflowPunct/>
              <w:topLinePunct w:val="0"/>
              <w:autoSpaceDE/>
              <w:autoSpaceDN/>
              <w:bidi w:val="0"/>
              <w:adjustRightInd/>
              <w:snapToGrid/>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本项目小微企业价格折扣比例12%。</w:t>
            </w:r>
          </w:p>
          <w:p>
            <w:pPr>
              <w:keepNext w:val="0"/>
              <w:keepLines w:val="0"/>
              <w:pageBreakBefore w:val="0"/>
              <w:widowControl/>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26"/>
              <w:spacing w:line="269" w:lineRule="auto"/>
              <w:rPr>
                <w:rFonts w:hint="eastAsia" w:asciiTheme="minorEastAsia" w:hAnsiTheme="minorEastAsia" w:eastAsiaTheme="minorEastAsia" w:cstheme="minorEastAsia"/>
              </w:rPr>
            </w:pPr>
          </w:p>
          <w:p>
            <w:pPr>
              <w:spacing w:before="78" w:line="219" w:lineRule="auto"/>
              <w:ind w:left="377"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pPr>
              <w:spacing w:before="40"/>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pPr>
              <w:pStyle w:val="26"/>
              <w:spacing w:before="1" w:line="220" w:lineRule="auto"/>
              <w:ind w:lef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 xml:space="preserve"> </w:t>
            </w:r>
            <w:r>
              <w:rPr>
                <w:rFonts w:hint="eastAsia" w:asciiTheme="minorEastAsia" w:hAnsiTheme="minorEastAsia" w:eastAsiaTheme="minorEastAsia" w:cstheme="minorEastAsia"/>
                <w:spacing w:val="29"/>
                <w:sz w:val="24"/>
                <w:szCs w:val="24"/>
              </w:rPr>
              <w:t>无</w:t>
            </w:r>
          </w:p>
          <w:p>
            <w:pPr>
              <w:pStyle w:val="26"/>
              <w:spacing w:before="23" w:line="189" w:lineRule="auto"/>
              <w:ind w:lef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有，具体情形：</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3"/>
                <w:sz w:val="24"/>
                <w:szCs w:val="24"/>
              </w:rPr>
              <w:t>。</w:t>
            </w:r>
          </w:p>
          <w:p>
            <w:pPr>
              <w:pStyle w:val="26"/>
              <w:spacing w:line="19" w:lineRule="exact"/>
              <w:ind w:left="2008"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suppressLineNumbers w:val="0"/>
              <w:jc w:val="left"/>
              <w:rPr>
                <w:rFonts w:hint="eastAsia"/>
                <w:lang w:eastAsia="zh-CN"/>
              </w:rPr>
            </w:pP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415.1896</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3"/>
                <w:sz w:val="24"/>
                <w:szCs w:val="24"/>
              </w:rPr>
              <w:t xml:space="preserve"> </w:t>
            </w:r>
            <w:r>
              <w:rPr>
                <w:rFonts w:hint="eastAsia" w:asciiTheme="minorEastAsia" w:hAnsiTheme="minorEastAsia" w:eastAsiaTheme="minorEastAsia" w:cstheme="minorEastAsia"/>
                <w:spacing w:val="-14"/>
                <w:sz w:val="24"/>
                <w:szCs w:val="24"/>
              </w:rPr>
              <w:t>万元</w:t>
            </w:r>
            <w:r>
              <w:rPr>
                <w:rFonts w:hint="eastAsia" w:asciiTheme="minorEastAsia" w:hAnsiTheme="minorEastAsia" w:eastAsiaTheme="minorEastAsia" w:cstheme="minorEastAsia"/>
                <w:b w:val="0"/>
                <w:bCs/>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color="auto"/>
                <w:lang w:val="en-US" w:eastAsia="zh-CN"/>
              </w:rPr>
              <w:t>2024</w:t>
            </w:r>
            <w:r>
              <w:rPr>
                <w:rFonts w:hint="eastAsia" w:asciiTheme="minorEastAsia" w:hAnsiTheme="minorEastAsia" w:eastAsiaTheme="minorEastAsia" w:cstheme="minorEastAsia"/>
                <w:spacing w:val="-14"/>
                <w:sz w:val="24"/>
                <w:szCs w:val="24"/>
              </w:rPr>
              <w:t>年</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u w:val="single" w:color="auto"/>
                <w:lang w:val="en-US" w:eastAsia="zh-CN"/>
              </w:rPr>
              <w:t>2</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14"/>
                <w:sz w:val="24"/>
                <w:szCs w:val="24"/>
              </w:rPr>
              <w:t>月</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u w:val="single" w:color="auto"/>
                <w:lang w:val="en-US" w:eastAsia="zh-CN"/>
              </w:rPr>
              <w:t>29</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15"/>
                <w:sz w:val="24"/>
                <w:szCs w:val="24"/>
              </w:rPr>
              <w:t>日</w:t>
            </w:r>
            <w:r>
              <w:rPr>
                <w:rFonts w:hint="eastAsia" w:asciiTheme="minorEastAsia" w:hAnsiTheme="minorEastAsia" w:eastAsiaTheme="minorEastAsia" w:cstheme="minorEastAsia"/>
                <w:spacing w:val="60"/>
                <w:sz w:val="24"/>
                <w:szCs w:val="24"/>
                <w:u w:val="single" w:color="auto"/>
              </w:rPr>
              <w:t xml:space="preserve"> </w:t>
            </w:r>
            <w:r>
              <w:rPr>
                <w:rFonts w:hint="eastAsia" w:asciiTheme="minorEastAsia" w:hAnsiTheme="minorEastAsia" w:eastAsiaTheme="minorEastAsia" w:cstheme="minorEastAsia"/>
                <w:spacing w:val="60"/>
                <w:sz w:val="24"/>
                <w:szCs w:val="24"/>
                <w:u w:val="single" w:color="auto"/>
                <w:lang w:val="en-US" w:eastAsia="zh-CN"/>
              </w:rPr>
              <w:t>9</w:t>
            </w:r>
            <w:r>
              <w:rPr>
                <w:rFonts w:hint="eastAsia" w:asciiTheme="minorEastAsia" w:hAnsiTheme="minorEastAsia" w:eastAsiaTheme="minorEastAsia" w:cstheme="minorEastAsia"/>
                <w:spacing w:val="-102"/>
                <w:sz w:val="24"/>
                <w:szCs w:val="24"/>
              </w:rPr>
              <w:t xml:space="preserve"> </w:t>
            </w:r>
            <w:r>
              <w:rPr>
                <w:rFonts w:hint="eastAsia" w:asciiTheme="minorEastAsia" w:hAnsiTheme="minorEastAsia" w:eastAsiaTheme="minorEastAsia" w:cstheme="minorEastAsia"/>
                <w:spacing w:val="-15"/>
                <w:sz w:val="24"/>
                <w:szCs w:val="24"/>
              </w:rPr>
              <w:t>点</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00</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15"/>
                <w:sz w:val="24"/>
                <w:szCs w:val="24"/>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u w:val="single" w:color="auto"/>
                <w:lang w:val="en-US" w:eastAsia="zh-CN"/>
              </w:rPr>
              <w:t>2024</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14"/>
                <w:sz w:val="24"/>
                <w:szCs w:val="24"/>
              </w:rPr>
              <w:t>年</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u w:val="single" w:color="auto"/>
                <w:lang w:val="en-US" w:eastAsia="zh-CN"/>
              </w:rPr>
              <w:t>2</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rPr>
              <w:t>月</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u w:val="single" w:color="auto"/>
                <w:lang w:val="en-US" w:eastAsia="zh-CN"/>
              </w:rPr>
              <w:t>29</w:t>
            </w:r>
            <w:r>
              <w:rPr>
                <w:rFonts w:hint="eastAsia" w:asciiTheme="minorEastAsia" w:hAnsiTheme="minorEastAsia" w:eastAsiaTheme="minorEastAsia" w:cstheme="minorEastAsia"/>
                <w:spacing w:val="-15"/>
                <w:sz w:val="24"/>
                <w:szCs w:val="24"/>
                <w:u w:val="single" w:color="auto"/>
              </w:rPr>
              <w:t xml:space="preserve"> </w:t>
            </w:r>
            <w:r>
              <w:rPr>
                <w:rFonts w:hint="eastAsia" w:asciiTheme="minorEastAsia" w:hAnsiTheme="minorEastAsia" w:eastAsiaTheme="minorEastAsia" w:cstheme="minorEastAsia"/>
                <w:spacing w:val="-15"/>
                <w:sz w:val="24"/>
                <w:szCs w:val="24"/>
              </w:rPr>
              <w:t>日</w:t>
            </w:r>
            <w:r>
              <w:rPr>
                <w:rFonts w:hint="eastAsia" w:asciiTheme="minorEastAsia" w:hAnsiTheme="minorEastAsia" w:eastAsiaTheme="minorEastAsia" w:cstheme="minorEastAsia"/>
                <w:spacing w:val="60"/>
                <w:sz w:val="24"/>
                <w:szCs w:val="24"/>
                <w:u w:val="single" w:color="auto"/>
              </w:rPr>
              <w:t xml:space="preserve"> </w:t>
            </w:r>
            <w:r>
              <w:rPr>
                <w:rFonts w:hint="eastAsia" w:asciiTheme="minorEastAsia" w:hAnsiTheme="minorEastAsia" w:eastAsiaTheme="minorEastAsia" w:cstheme="minorEastAsia"/>
                <w:spacing w:val="60"/>
                <w:sz w:val="24"/>
                <w:szCs w:val="24"/>
                <w:u w:val="single" w:color="auto"/>
                <w:lang w:val="en-US" w:eastAsia="zh-CN"/>
              </w:rPr>
              <w:t>9</w:t>
            </w:r>
            <w:r>
              <w:rPr>
                <w:rFonts w:hint="eastAsia" w:asciiTheme="minorEastAsia" w:hAnsiTheme="minorEastAsia" w:eastAsiaTheme="minorEastAsia" w:cstheme="minorEastAsia"/>
                <w:spacing w:val="-102"/>
                <w:sz w:val="24"/>
                <w:szCs w:val="24"/>
              </w:rPr>
              <w:t xml:space="preserve"> </w:t>
            </w:r>
            <w:r>
              <w:rPr>
                <w:rFonts w:hint="eastAsia" w:asciiTheme="minorEastAsia" w:hAnsiTheme="minorEastAsia" w:eastAsiaTheme="minorEastAsia" w:cstheme="minorEastAsia"/>
                <w:spacing w:val="-15"/>
                <w:sz w:val="24"/>
                <w:szCs w:val="24"/>
              </w:rPr>
              <w:t>点</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00</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15"/>
                <w:sz w:val="24"/>
                <w:szCs w:val="24"/>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z w:val="24"/>
                <w:szCs w:val="24"/>
                <w:u w:val="single" w:color="auto"/>
                <w:lang w:val="en-US" w:eastAsia="zh-CN"/>
              </w:rPr>
              <w:t>智慧黑板</w:t>
            </w:r>
            <w:r>
              <w:rPr>
                <w:rFonts w:hint="eastAsia" w:asciiTheme="minorEastAsia" w:hAnsiTheme="minorEastAsia" w:eastAsiaTheme="minorEastAsia" w:cstheme="minorEastAsia"/>
                <w:sz w:val="24"/>
                <w:szCs w:val="24"/>
                <w:u w:val="non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 xml:space="preserve"> </w:t>
            </w:r>
            <w:r>
              <w:rPr>
                <w:rFonts w:hint="eastAsia" w:asciiTheme="minorEastAsia" w:hAnsiTheme="minorEastAsia" w:eastAsiaTheme="minorEastAsia" w:cstheme="minorEastAsia"/>
                <w:sz w:val="24"/>
                <w:szCs w:val="24"/>
                <w:lang w:eastAsia="zh-CN"/>
              </w:rPr>
              <w:t>综合评分法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r>
              <w:rPr>
                <w:rFonts w:hint="eastAsia" w:asciiTheme="minorEastAsia" w:hAnsiTheme="minorEastAsia" w:eastAsiaTheme="minorEastAsia" w:cstheme="minorEastAsia"/>
                <w:sz w:val="24"/>
                <w:szCs w:val="24"/>
                <w:lang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12"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 xml:space="preserve"> </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rPr>
          <w:rFonts w:hint="eastAsia" w:asciiTheme="minorEastAsia" w:hAnsiTheme="minorEastAsia" w:eastAsiaTheme="minorEastAsia" w:cstheme="minorEastAsia"/>
          <w:spacing w:val="-4"/>
          <w:position w:val="13"/>
          <w:sz w:val="24"/>
          <w:szCs w:val="24"/>
        </w:rPr>
      </w:pPr>
    </w:p>
    <w:p>
      <w:pPr>
        <w:spacing w:line="244" w:lineRule="auto"/>
        <w:rPr>
          <w:rFonts w:hint="eastAsia" w:asciiTheme="minorEastAsia" w:hAnsiTheme="minorEastAsia" w:eastAsiaTheme="minorEastAsia" w:cstheme="minorEastAsia"/>
          <w:sz w:val="21"/>
        </w:rPr>
      </w:pPr>
    </w:p>
    <w:p>
      <w:pPr>
        <w:pStyle w:val="5"/>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pStyle w:val="5"/>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pStyle w:val="5"/>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pPr>
        <w:pStyle w:val="5"/>
        <w:spacing w:before="268"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8"/>
          <w:szCs w:val="28"/>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5"/>
          <w:sz w:val="28"/>
          <w:szCs w:val="28"/>
        </w:rPr>
        <w:t xml:space="preserve"> </w:t>
      </w:r>
      <w:r>
        <w:rPr>
          <w:rFonts w:hint="eastAsia" w:asciiTheme="minorEastAsia" w:hAnsiTheme="minorEastAsia" w:eastAsiaTheme="minorEastAsia" w:cstheme="minorEastAsia"/>
          <w:spacing w:val="-10"/>
          <w:sz w:val="28"/>
          <w:szCs w:val="28"/>
          <w14:textOutline w14:w="1800" w14:cap="flat" w14:cmpd="sng">
            <w14:solidFill>
              <w14:srgbClr w14:val="000000"/>
            </w14:solidFill>
            <w14:prstDash w14:val="solid"/>
            <w14:miter w14:val="0"/>
          </w14:textOutline>
        </w:rPr>
        <w:t>说</w:t>
      </w:r>
      <w:r>
        <w:rPr>
          <w:rFonts w:hint="eastAsia" w:asciiTheme="minorEastAsia" w:hAnsiTheme="minorEastAsia" w:eastAsiaTheme="minorEastAsia" w:cstheme="minorEastAsia"/>
          <w:spacing w:val="19"/>
          <w:sz w:val="28"/>
          <w:szCs w:val="28"/>
        </w:rPr>
        <w:t xml:space="preserve">  </w:t>
      </w:r>
      <w:r>
        <w:rPr>
          <w:rFonts w:hint="eastAsia" w:asciiTheme="minorEastAsia" w:hAnsiTheme="minorEastAsia" w:eastAsiaTheme="minorEastAsia" w:cstheme="minorEastAsia"/>
          <w:spacing w:val="-10"/>
          <w:sz w:val="28"/>
          <w:szCs w:val="28"/>
          <w14:textOutline w14:w="1800" w14:cap="flat" w14:cmpd="sng">
            <w14:solidFill>
              <w14:srgbClr w14:val="000000"/>
            </w14:solidFill>
            <w14:prstDash w14:val="solid"/>
            <w14:miter w14:val="0"/>
          </w14:textOutline>
        </w:rPr>
        <w:t>明</w:t>
      </w:r>
    </w:p>
    <w:p>
      <w:pPr>
        <w:pStyle w:val="5"/>
        <w:spacing w:before="202" w:line="219" w:lineRule="auto"/>
        <w:rPr>
          <w:rFonts w:hint="eastAsia" w:asciiTheme="minorEastAsia" w:hAnsiTheme="minorEastAsia" w:eastAsiaTheme="minorEastAsia" w:cstheme="minorEastAsia"/>
          <w:spacing w:val="-1"/>
          <w:sz w:val="24"/>
          <w:szCs w:val="24"/>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 xml:space="preserve"> 采购人、采购代理机构、投标人、联合体</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 采购人、采购代理机构：指依法进行政府采购的国家机关、事业单位、团体 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 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1.3联合体：指两个以上的自然人、法人或者其他组织组成一个联合体，以一个供应商的身份共同参加政府采购。</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资金来源、项目属性、科研仪器设备采购、核心产品</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2.1资金来源为财政性资金</w:t>
      </w:r>
      <w:r>
        <w:rPr>
          <w:rFonts w:hint="eastAsia" w:asciiTheme="minorEastAsia" w:hAnsiTheme="minorEastAsia" w:eastAsiaTheme="minorEastAsia" w:cstheme="minorEastAsia"/>
          <w:spacing w:val="7"/>
          <w:sz w:val="24"/>
          <w:szCs w:val="24"/>
          <w:u w:val="single"/>
          <w:lang w:val="en-US" w:eastAsia="zh-CN"/>
        </w:rPr>
        <w:t>415.1896</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2.2项目属性见《</w:t>
      </w:r>
      <w:r>
        <w:rPr>
          <w:rFonts w:hint="eastAsia" w:asciiTheme="minorEastAsia" w:hAnsiTheme="minorEastAsia" w:eastAsiaTheme="minorEastAsia" w:cstheme="minorEastAsia"/>
          <w:b/>
          <w:bCs/>
          <w:spacing w:val="-4"/>
          <w:sz w:val="24"/>
          <w:szCs w:val="24"/>
          <w:lang w:eastAsia="zh-CN"/>
        </w:rPr>
        <w:t>投标人须知表</w:t>
      </w:r>
      <w:r>
        <w:rPr>
          <w:rFonts w:hint="eastAsia" w:asciiTheme="minorEastAsia" w:hAnsiTheme="minorEastAsia" w:eastAsiaTheme="minorEastAsia" w:cstheme="minorEastAsia"/>
          <w:b/>
          <w:bCs/>
          <w:spacing w:val="-4"/>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2.3是否属于科研仪器设备采购见《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3.2由于未参加现场考察或开标前答疑会而导致对项目实际情况不了解，影响投标文件编制、投标报价准确性、综合因素响应不全面等问题的，由投标人自行承担不利评审后果。</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.1采购本国货物、工程和服务</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 政府采购应当采购本国货物、工程和服务。但有《中华人民共和国政府采购法》第十条规定情形的除外。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w w:val="97"/>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.1.2本项目如接受非本国货物、工程、服务参与投标，则具体要求见第</w:t>
      </w:r>
      <w:r>
        <w:rPr>
          <w:rFonts w:hint="eastAsia" w:asciiTheme="minorEastAsia" w:hAnsiTheme="minorEastAsia" w:eastAsiaTheme="minorEastAsia" w:cstheme="minorEastAsia"/>
          <w:spacing w:val="2"/>
          <w:sz w:val="24"/>
          <w:szCs w:val="24"/>
          <w:lang w:val="en-US" w:eastAsia="zh-CN"/>
        </w:rPr>
        <w:t>二</w:t>
      </w:r>
      <w:r>
        <w:rPr>
          <w:rFonts w:hint="eastAsia" w:asciiTheme="minorEastAsia" w:hAnsiTheme="minorEastAsia" w:eastAsiaTheme="minorEastAsia" w:cstheme="minorEastAsia"/>
          <w:spacing w:val="2"/>
          <w:sz w:val="24"/>
          <w:szCs w:val="24"/>
        </w:rPr>
        <w:t>章《采购需求》。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 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 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.2中小企业、监狱企业及残疾人福利性单位</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.2.1中小企业定义：</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"5.2.1.1"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"5.2.1.2"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"5.2.1.3"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"5.2.1.4"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以联合体形式参加政府采购活动，联合体各方均为中小企业的， 联合体视同中小企业。其中，联合体各方均为小微企业的，联合体视同小微企业。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 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7"/>
          <w:sz w:val="24"/>
          <w:szCs w:val="24"/>
        </w:rPr>
        <w:t>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"5.2.3.1"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安置的残疾人占本单位在职职工人数的比例不低于25%（含25%），并且安置的残疾人人数不少于 10人（含10人）；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"5.2.3.2"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依法与安置的每位残疾人签订了一年以上（含一年）的劳动合同或服务协议；</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"5.2.3.3"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"5.2.3.4"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通过银行等金融机构向安置的每位残疾人，按月支付了不低于单位所在区县的月最低工资标准的工资；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"5.2.3.5"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"5.2.3.6"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 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 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 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 政府采购节能产品、环境标志产品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48" w:firstLineChars="200"/>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 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 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 正版软件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 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 各级政府部门在购置计算机办公设备时，必须采购预装正版操作系统</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 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 号）、《财政部关于进一步做好政府机关使用</w:t>
      </w:r>
      <w:r>
        <w:rPr>
          <w:rFonts w:hint="eastAsia" w:asciiTheme="minorEastAsia" w:hAnsiTheme="minorEastAsia" w:eastAsiaTheme="minorEastAsia" w:cstheme="minorEastAsia"/>
          <w:spacing w:val="-6"/>
          <w:sz w:val="24"/>
          <w:szCs w:val="24"/>
        </w:rPr>
        <w:t>正版软件工作的通知》（财预〔2010〕536 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rPr>
        <w:t>网络安全专用产品</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 xml:space="preserve"> 采购需求标准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 商品包装、快递包装政府采购需求标准（试行）</w:t>
      </w:r>
      <w:r>
        <w:rPr>
          <w:rFonts w:hint="eastAsia" w:asciiTheme="minorEastAsia" w:hAnsiTheme="minorEastAsia" w:eastAsiaTheme="minorEastAsia" w:cstheme="minorEastAsia"/>
          <w:spacing w:val="-12"/>
          <w:sz w:val="24"/>
          <w:szCs w:val="24"/>
        </w:rPr>
        <w:t>为助力打好污染防治攻坚战， 推广使用绿色包装，根据财政部关于印发《商品包装政府采购需求标准（试行）》、《快递包装政府采购需求</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 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.2绿色数据中心政府采购需求标准（试行）</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 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 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pPr>
        <w:spacing w:line="360" w:lineRule="auto"/>
        <w:ind w:firstLine="567"/>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6、采购范围及适用法律</w:t>
      </w:r>
    </w:p>
    <w:p>
      <w:pPr>
        <w:spacing w:line="360" w:lineRule="auto"/>
        <w:ind w:firstLine="567"/>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6.1本次招标适用的法律、法规为《中华人民共和国政府采购法》《中华人民共和国政府采购法实施条例》《政府采购货物和服务招标投标管理办法》《中华人民共和国民法典》以及其他相关政府采购法律法规。</w:t>
      </w:r>
    </w:p>
    <w:p>
      <w:pPr>
        <w:spacing w:line="360" w:lineRule="auto"/>
        <w:ind w:firstLine="567"/>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河南省财政厅</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pPr>
        <w:spacing w:line="360" w:lineRule="auto"/>
        <w:ind w:firstLine="567"/>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6.3“货物”指投标人按招标文件规定，须向采购人提供的与本次招标相关的</w:t>
      </w:r>
      <w:r>
        <w:rPr>
          <w:rFonts w:hint="eastAsia" w:asciiTheme="minorEastAsia" w:hAnsiTheme="minorEastAsia" w:eastAsiaTheme="minorEastAsia" w:cstheme="minorEastAsia"/>
          <w:sz w:val="24"/>
          <w:szCs w:val="24"/>
          <w:u w:val="single" w:color="auto"/>
          <w:lang w:eastAsia="zh-CN"/>
        </w:rPr>
        <w:t>公共教室智慧教室等设施。</w:t>
      </w:r>
      <w:r>
        <w:rPr>
          <w:rFonts w:hint="eastAsia" w:asciiTheme="minorEastAsia" w:hAnsiTheme="minorEastAsia" w:eastAsiaTheme="minorEastAsia" w:cstheme="minorEastAsia"/>
          <w:snapToGrid w:val="0"/>
          <w:color w:val="000000"/>
          <w:spacing w:val="-2"/>
          <w:kern w:val="0"/>
          <w:sz w:val="24"/>
          <w:szCs w:val="24"/>
          <w:u w:val="none"/>
          <w:lang w:val="en-US" w:eastAsia="zh-CN" w:bidi="ar-SA"/>
        </w:rPr>
        <w:t xml:space="preserve">   </w:t>
      </w:r>
    </w:p>
    <w:p>
      <w:pPr>
        <w:spacing w:line="360" w:lineRule="auto"/>
        <w:ind w:firstLine="567"/>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6.4“服务”指招标文件规定投标人应承担的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送货安装、售后</w:t>
      </w:r>
      <w:r>
        <w:rPr>
          <w:rFonts w:hint="eastAsia" w:asciiTheme="minorEastAsia" w:hAnsiTheme="minorEastAsia" w:eastAsiaTheme="minorEastAsia" w:cstheme="minorEastAsia"/>
          <w:snapToGrid w:val="0"/>
          <w:color w:val="000000"/>
          <w:spacing w:val="-2"/>
          <w:kern w:val="0"/>
          <w:sz w:val="24"/>
          <w:szCs w:val="24"/>
          <w:lang w:val="en-US" w:eastAsia="zh-CN" w:bidi="ar-SA"/>
        </w:rPr>
        <w:t>服务。</w:t>
      </w:r>
    </w:p>
    <w:p>
      <w:pPr>
        <w:spacing w:line="290" w:lineRule="auto"/>
        <w:rPr>
          <w:rFonts w:hint="eastAsia" w:asciiTheme="minorEastAsia" w:hAnsiTheme="minorEastAsia" w:eastAsiaTheme="minorEastAsia" w:cstheme="minorEastAsia"/>
          <w:sz w:val="21"/>
        </w:rPr>
      </w:pPr>
    </w:p>
    <w:p>
      <w:pPr>
        <w:pStyle w:val="5"/>
        <w:spacing w:before="92" w:line="221" w:lineRule="auto"/>
        <w:ind w:left="3637"/>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pPr>
        <w:pStyle w:val="5"/>
        <w:spacing w:before="92" w:line="221" w:lineRule="auto"/>
        <w:ind w:left="363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w:t>
      </w:r>
      <w:r>
        <w:rPr>
          <w:rFonts w:hint="eastAsia" w:asciiTheme="minorEastAsia" w:hAnsiTheme="minorEastAsia" w:eastAsiaTheme="minorEastAsia" w:cstheme="minorEastAsia"/>
          <w:snapToGrid w:val="0"/>
          <w:color w:val="000000"/>
          <w:spacing w:val="-2"/>
          <w:kern w:val="0"/>
          <w:sz w:val="24"/>
          <w:szCs w:val="24"/>
          <w:lang w:val="en-US" w:eastAsia="zh-CN" w:bidi="ar-SA"/>
        </w:rPr>
        <w:tab/>
      </w:r>
      <w:r>
        <w:rPr>
          <w:rFonts w:hint="eastAsia" w:asciiTheme="minorEastAsia" w:hAnsiTheme="minorEastAsia" w:eastAsiaTheme="minorEastAsia" w:cstheme="minorEastAsia"/>
          <w:snapToGrid w:val="0"/>
          <w:color w:val="000000"/>
          <w:spacing w:val="-2"/>
          <w:kern w:val="0"/>
          <w:sz w:val="24"/>
          <w:szCs w:val="24"/>
          <w:lang w:val="en-US" w:eastAsia="zh-CN" w:bidi="ar-SA"/>
        </w:rPr>
        <w:t>招标文件包括以下部分：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w:t>
      </w:r>
      <w:r>
        <w:rPr>
          <w:rFonts w:hint="eastAsia" w:asciiTheme="minorEastAsia" w:hAnsiTheme="minorEastAsia" w:eastAsiaTheme="minorEastAsia" w:cstheme="minorEastAsia"/>
          <w:snapToGrid w:val="0"/>
          <w:color w:val="000000"/>
          <w:spacing w:val="-2"/>
          <w:kern w:val="0"/>
          <w:sz w:val="24"/>
          <w:szCs w:val="24"/>
          <w:lang w:val="en-US" w:eastAsia="zh-CN" w:bidi="ar-SA"/>
        </w:rPr>
        <w:tab/>
      </w:r>
      <w:r>
        <w:rPr>
          <w:rFonts w:hint="eastAsia" w:asciiTheme="minorEastAsia" w:hAnsiTheme="minorEastAsia" w:eastAsiaTheme="minorEastAsia" w:cstheme="minorEastAsia"/>
          <w:snapToGrid w:val="0"/>
          <w:color w:val="000000"/>
          <w:spacing w:val="-2"/>
          <w:kern w:val="0"/>
          <w:sz w:val="24"/>
          <w:szCs w:val="24"/>
          <w:lang w:val="en-US" w:eastAsia="zh-CN" w:bidi="ar-SA"/>
        </w:rPr>
        <w:t>投标人须知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w:t>
      </w:r>
      <w:r>
        <w:rPr>
          <w:rFonts w:hint="eastAsia" w:asciiTheme="minorEastAsia" w:hAnsiTheme="minorEastAsia" w:eastAsiaTheme="minorEastAsia" w:cstheme="minorEastAsia"/>
          <w:snapToGrid w:val="0"/>
          <w:color w:val="000000"/>
          <w:spacing w:val="-2"/>
          <w:kern w:val="0"/>
          <w:sz w:val="24"/>
          <w:szCs w:val="24"/>
          <w:lang w:val="en-US" w:eastAsia="zh-CN" w:bidi="ar-SA"/>
        </w:rPr>
        <w:tab/>
      </w:r>
      <w:r>
        <w:rPr>
          <w:rFonts w:hint="eastAsia" w:asciiTheme="minorEastAsia" w:hAnsiTheme="minorEastAsia" w:eastAsiaTheme="minorEastAsia" w:cstheme="minorEastAsia"/>
          <w:snapToGrid w:val="0"/>
          <w:color w:val="000000"/>
          <w:spacing w:val="-2"/>
          <w:kern w:val="0"/>
          <w:sz w:val="24"/>
          <w:szCs w:val="24"/>
          <w:lang w:val="en-US" w:eastAsia="zh-CN" w:bidi="ar-SA"/>
        </w:rPr>
        <w:t>开、评标程序、评标方法和评标标准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w:t>
      </w:r>
      <w:r>
        <w:rPr>
          <w:rFonts w:hint="eastAsia" w:asciiTheme="minorEastAsia" w:hAnsiTheme="minorEastAsia" w:eastAsiaTheme="minorEastAsia" w:cstheme="minorEastAsia"/>
          <w:snapToGrid w:val="0"/>
          <w:color w:val="000000"/>
          <w:spacing w:val="-2"/>
          <w:kern w:val="0"/>
          <w:sz w:val="24"/>
          <w:szCs w:val="24"/>
          <w:lang w:val="en-US" w:eastAsia="zh-CN" w:bidi="ar-SA"/>
        </w:rPr>
        <w:tab/>
      </w:r>
      <w:r>
        <w:rPr>
          <w:rFonts w:hint="eastAsia" w:asciiTheme="minorEastAsia" w:hAnsiTheme="minorEastAsia" w:eastAsiaTheme="minorEastAsia" w:cstheme="minorEastAsia"/>
          <w:snapToGrid w:val="0"/>
          <w:color w:val="000000"/>
          <w:spacing w:val="-2"/>
          <w:kern w:val="0"/>
          <w:sz w:val="24"/>
          <w:szCs w:val="24"/>
          <w:lang w:val="en-US" w:eastAsia="zh-CN" w:bidi="ar-SA"/>
        </w:rPr>
        <w:t>政府采购合同（草案）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w:t>
      </w:r>
      <w:r>
        <w:rPr>
          <w:rFonts w:hint="eastAsia" w:asciiTheme="minorEastAsia" w:hAnsiTheme="minorEastAsia" w:eastAsiaTheme="minorEastAsia" w:cstheme="minorEastAsia"/>
          <w:snapToGrid w:val="0"/>
          <w:color w:val="000000"/>
          <w:spacing w:val="-2"/>
          <w:kern w:val="0"/>
          <w:sz w:val="24"/>
          <w:szCs w:val="24"/>
          <w:lang w:val="en-US" w:eastAsia="zh-CN" w:bidi="ar-SA"/>
        </w:rPr>
        <w:tab/>
      </w:r>
      <w:r>
        <w:rPr>
          <w:rFonts w:hint="eastAsia" w:asciiTheme="minorEastAsia" w:hAnsiTheme="minorEastAsia" w:eastAsiaTheme="minorEastAsia" w:cstheme="minorEastAsia"/>
          <w:snapToGrid w:val="0"/>
          <w:color w:val="000000"/>
          <w:spacing w:val="-2"/>
          <w:kern w:val="0"/>
          <w:sz w:val="24"/>
          <w:szCs w:val="24"/>
          <w:lang w:val="en-US" w:eastAsia="zh-CN" w:bidi="ar-SA"/>
        </w:rPr>
        <w:t>投标文件格式</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jc w:val="left"/>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8.1采购人或采购代理机构对已发出的招标文件进行必要澄清或者修改的，将在原公告发布媒体上发布更正公告，不得改变采购标的和资格条件。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jc w:val="left"/>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jc w:val="left"/>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8.4.投标人应关注是否有发布最新的澄清更正公告和更正的最新招标文件（电子答疑文件），如有则需下载最新的招标文件，并在此基础上制作最新的投标文件并上传。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9.1本项目划分采购包，投标人可以对本项目的其中一个采购包进行投标，也可同时对多个采购包进行投标。投标人应当对所投采购包对应第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9.2除招标文件有特殊要求外，本项目投标所使用的计量单位，应采用中华人民共和国法定计量单位。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pPr>
        <w:widowControl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10.3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10.4</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10.7</w:t>
      </w:r>
      <w:r>
        <w:rPr>
          <w:rFonts w:hint="eastAsia" w:asciiTheme="minorEastAsia" w:hAnsiTheme="minorEastAsia" w:eastAsiaTheme="minorEastAsia" w:cstheme="minorEastAsia"/>
          <w:sz w:val="24"/>
          <w:szCs w:val="24"/>
          <w:lang w:eastAsia="zh-CN"/>
        </w:rPr>
        <w:t>投标人认为应附的其他材料。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 投标报价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所有投标均以人民币报价。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投标人的报价应包括为完成本项目所发生的一切费用和税费，采购人将不再支付报价以外的任何费用。投标人的报价应包括但不限于下列内容。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11.2.1 投标货物及标准附件、备品备件、专用工具等的出厂价和运至最终目的地的运输费和保险费，安装调试、检验、技术服务、培训、质量保证、售后服务、税费等；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采购人不得向供应商索要或者接受其给予的赠品、回扣或者与采购无关的其他商品、服务。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 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11.5</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11.6</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 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 招标文件要求盖章的内容，通过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Theme="minorEastAsia" w:hAnsiTheme="minorEastAsia" w:eastAsiaTheme="minorEastAsia" w:cstheme="minorEastAsia"/>
          <w:spacing w:val="1"/>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4" w:firstLineChars="200"/>
        <w:jc w:val="left"/>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pPr>
        <w:pStyle w:val="5"/>
        <w:spacing w:before="353" w:line="219" w:lineRule="auto"/>
        <w:ind w:left="3129"/>
        <w:rPr>
          <w:rFonts w:hint="eastAsia" w:asciiTheme="minorEastAsia" w:hAnsiTheme="minorEastAsia" w:eastAsiaTheme="minorEastAsia" w:cstheme="minorEastAsia"/>
          <w:spacing w:val="-6"/>
          <w:sz w:val="36"/>
          <w:szCs w:val="36"/>
          <w14:textOutline w14:w="2306" w14:cap="flat" w14:cmpd="sng">
            <w14:solidFill>
              <w14:srgbClr w14:val="000000"/>
            </w14:solidFill>
            <w14:prstDash w14:val="solid"/>
            <w14:miter w14:val="0"/>
          </w14:textOutline>
        </w:rPr>
      </w:pPr>
    </w:p>
    <w:p>
      <w:pPr>
        <w:pStyle w:val="5"/>
        <w:spacing w:before="353" w:line="219" w:lineRule="auto"/>
        <w:ind w:left="1322"/>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spacing w:before="353" w:line="219" w:lineRule="auto"/>
        <w:ind w:left="1322"/>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spacing w:before="353" w:line="219" w:lineRule="auto"/>
        <w:ind w:left="1322"/>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6"/>
        <w:rPr>
          <w:rFonts w:hint="eastAsia"/>
        </w:rPr>
      </w:pPr>
    </w:p>
    <w:p>
      <w:pPr>
        <w:pStyle w:val="5"/>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 xml:space="preserve">章   </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pPr>
        <w:pStyle w:val="5"/>
        <w:spacing w:before="255" w:line="221" w:lineRule="auto"/>
        <w:ind w:left="3942"/>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4" w:firstLineChars="200"/>
        <w:jc w:val="left"/>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 xml:space="preserve">2、开标：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2.3宣布开标结束。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94" w:firstLineChars="200"/>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 3 家的，不进行评标。</w:t>
      </w:r>
    </w:p>
    <w:p>
      <w:pPr>
        <w:pStyle w:val="5"/>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pPr>
        <w:spacing w:line="146" w:lineRule="exact"/>
        <w:rPr>
          <w:rFonts w:hint="eastAsia" w:asciiTheme="minorEastAsia" w:hAnsiTheme="minorEastAsia" w:eastAsiaTheme="minorEastAsia" w:cstheme="minorEastAsia"/>
        </w:rPr>
      </w:pPr>
    </w:p>
    <w:tbl>
      <w:tblPr>
        <w:tblStyle w:val="25"/>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50"/>
        <w:gridCol w:w="4065"/>
        <w:gridCol w:w="34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pPr>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0" w:type="dxa"/>
            <w:vAlign w:val="top"/>
          </w:tcPr>
          <w:p>
            <w:pPr>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4065" w:type="dxa"/>
            <w:vAlign w:val="top"/>
          </w:tcPr>
          <w:p>
            <w:pPr>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3449" w:type="dxa"/>
            <w:vAlign w:val="top"/>
          </w:tcPr>
          <w:p>
            <w:pPr>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729" w:type="dxa"/>
            <w:vAlign w:val="center"/>
          </w:tcPr>
          <w:p>
            <w:pPr>
              <w:pStyle w:val="26"/>
              <w:spacing w:line="454" w:lineRule="auto"/>
              <w:jc w:val="center"/>
              <w:rPr>
                <w:rFonts w:hint="eastAsia" w:asciiTheme="minorEastAsia" w:hAnsiTheme="minorEastAsia" w:eastAsiaTheme="minorEastAsia" w:cstheme="minorEastAsia"/>
                <w:sz w:val="24"/>
                <w:szCs w:val="24"/>
              </w:rPr>
            </w:pPr>
          </w:p>
          <w:p>
            <w:pPr>
              <w:pStyle w:val="26"/>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0" w:type="dxa"/>
            <w:vAlign w:val="center"/>
          </w:tcPr>
          <w:p>
            <w:pPr>
              <w:spacing w:before="32" w:line="232" w:lineRule="auto"/>
              <w:ind w:left="112" w:right="10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4065" w:type="dxa"/>
            <w:vAlign w:val="top"/>
          </w:tcPr>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5.2021年以来在经营活动中没有重大违法记录；</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3449" w:type="dxa"/>
            <w:vAlign w:val="top"/>
          </w:tcPr>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pPr>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 保险、石油石化、电力、电信等行业的分支机构，可以提供上述授权，也可以提供其所属法人/其他组织的有关文件或制度等能够证明授权其独立开展业务的证明材料。</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4" w:firstLineChars="200"/>
        <w:jc w:val="left"/>
        <w:textAlignment w:val="baseline"/>
        <w:rPr>
          <w:rFonts w:hint="eastAsia" w:asciiTheme="minorEastAsia" w:hAnsiTheme="minorEastAsia" w:eastAsiaTheme="minorEastAsia" w:cstheme="minorEastAsia"/>
          <w:b/>
          <w:bCs/>
          <w:spacing w:val="3"/>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4" w:firstLineChars="200"/>
        <w:jc w:val="left"/>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7.1评标委员会组成不符合本办法规定的;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7.2政府采购货物和服务招标投标管理办法（87号令）第六十二条第一至五项情形的;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7.3评标委员会及其成员独立评标受到非法干预的;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7.4有政府采购法实施条例第七十五条规定的违法行为的。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 号)的规定，发放劳务报酬。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4" w:firstLineChars="200"/>
        <w:jc w:val="left"/>
        <w:textAlignment w:val="baseline"/>
        <w:rPr>
          <w:rFonts w:hint="eastAsia" w:asciiTheme="minorEastAsia" w:hAnsiTheme="minorEastAsia" w:eastAsiaTheme="minorEastAsia" w:cstheme="minorEastAsia"/>
          <w:b/>
          <w:bCs/>
          <w:spacing w:val="3"/>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4" w:firstLineChars="200"/>
        <w:jc w:val="left"/>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 评标委员会对资格审查合格的投标人的投标文件进行符合性审查，以确定其是否满足招标文件的实质性要求。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 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pPr>
        <w:pStyle w:val="5"/>
        <w:spacing w:before="178" w:line="220" w:lineRule="auto"/>
        <w:ind w:left="3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pPr>
        <w:spacing w:line="145" w:lineRule="exact"/>
        <w:rPr>
          <w:rFonts w:hint="eastAsia" w:asciiTheme="minorEastAsia" w:hAnsiTheme="minorEastAsia" w:eastAsiaTheme="minorEastAsia" w:cstheme="minorEastAsia"/>
        </w:rPr>
      </w:pPr>
    </w:p>
    <w:tbl>
      <w:tblPr>
        <w:tblStyle w:val="25"/>
        <w:tblW w:w="9224"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67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pPr>
              <w:spacing w:before="41" w:line="207" w:lineRule="auto"/>
              <w:ind w:left="1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pPr>
              <w:spacing w:before="41" w:line="207"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6727" w:type="dxa"/>
            <w:vAlign w:val="top"/>
          </w:tcPr>
          <w:p>
            <w:pPr>
              <w:spacing w:before="41" w:line="207" w:lineRule="auto"/>
              <w:ind w:left="28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6"/>
              <w:spacing w:before="245" w:line="199" w:lineRule="auto"/>
              <w:ind w:left="3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pPr>
              <w:spacing w:before="222" w:line="219" w:lineRule="auto"/>
              <w:ind w:left="1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6727" w:type="dxa"/>
            <w:vAlign w:val="top"/>
          </w:tcPr>
          <w:p>
            <w:pPr>
              <w:spacing w:before="222" w:line="184" w:lineRule="auto"/>
              <w:ind w:left="11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pPr>
              <w:pStyle w:val="26"/>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pPr>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6727" w:type="dxa"/>
            <w:vAlign w:val="center"/>
          </w:tcPr>
          <w:p>
            <w:pPr>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pPr>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pPr>
              <w:pStyle w:val="26"/>
              <w:spacing w:before="245" w:line="201" w:lineRule="auto"/>
              <w:ind w:left="3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pPr>
              <w:spacing w:before="221" w:line="219" w:lineRule="auto"/>
              <w:ind w:left="1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6727" w:type="dxa"/>
            <w:vAlign w:val="top"/>
          </w:tcPr>
          <w:p>
            <w:pPr>
              <w:pStyle w:val="26"/>
              <w:spacing w:before="69" w:line="228" w:lineRule="auto"/>
              <w:ind w:left="117" w:right="29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6"/>
              <w:spacing w:before="247" w:line="199" w:lineRule="auto"/>
              <w:ind w:left="3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pPr>
              <w:spacing w:before="223" w:line="219" w:lineRule="auto"/>
              <w:ind w:left="1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6727" w:type="dxa"/>
            <w:vAlign w:val="top"/>
          </w:tcPr>
          <w:p>
            <w:pPr>
              <w:spacing w:before="68" w:line="230" w:lineRule="auto"/>
              <w:ind w:left="133" w:right="136" w:hanging="1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pPr>
              <w:pStyle w:val="26"/>
              <w:spacing w:before="248" w:line="199" w:lineRule="auto"/>
              <w:ind w:left="3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pPr>
              <w:spacing w:before="222" w:line="221" w:lineRule="auto"/>
              <w:ind w:left="1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6727" w:type="dxa"/>
            <w:vAlign w:val="top"/>
          </w:tcPr>
          <w:p>
            <w:pPr>
              <w:spacing w:before="70" w:line="229" w:lineRule="auto"/>
              <w:ind w:left="117" w:right="13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6"/>
              <w:spacing w:before="244" w:line="202" w:lineRule="auto"/>
              <w:ind w:left="3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pPr>
              <w:spacing w:before="224" w:line="220"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6727" w:type="dxa"/>
            <w:vAlign w:val="top"/>
          </w:tcPr>
          <w:p>
            <w:pPr>
              <w:spacing w:before="69" w:line="196" w:lineRule="auto"/>
              <w:ind w:left="122" w:right="129" w:hanging="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spacing w:val="-90"/>
                <w:sz w:val="24"/>
                <w:szCs w:val="24"/>
              </w:rPr>
              <w:t xml:space="preserve"> </w:t>
            </w:r>
            <w:r>
              <w:rPr>
                <w:rFonts w:hint="eastAsia" w:asciiTheme="minorEastAsia" w:hAnsiTheme="minorEastAsia" w:eastAsiaTheme="minorEastAsia" w:cstheme="minorEastAsia"/>
                <w:spacing w:val="-1"/>
                <w:sz w:val="24"/>
                <w:szCs w:val="24"/>
              </w:rPr>
              <w:t>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pPr>
              <w:pStyle w:val="26"/>
              <w:spacing w:line="304" w:lineRule="auto"/>
              <w:jc w:val="center"/>
              <w:rPr>
                <w:rFonts w:hint="eastAsia" w:asciiTheme="minorEastAsia" w:hAnsiTheme="minorEastAsia" w:eastAsiaTheme="minorEastAsia" w:cstheme="minorEastAsia"/>
              </w:rPr>
            </w:pPr>
          </w:p>
          <w:p>
            <w:pPr>
              <w:pStyle w:val="26"/>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pPr>
              <w:pStyle w:val="26"/>
              <w:spacing w:line="271" w:lineRule="auto"/>
              <w:rPr>
                <w:rFonts w:hint="eastAsia" w:asciiTheme="minorEastAsia" w:hAnsiTheme="minorEastAsia" w:eastAsiaTheme="minorEastAsia" w:cstheme="minorEastAsia"/>
              </w:rPr>
            </w:pPr>
          </w:p>
          <w:p>
            <w:pPr>
              <w:spacing w:before="78" w:line="219" w:lineRule="auto"/>
              <w:ind w:left="1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6727" w:type="dxa"/>
            <w:vAlign w:val="top"/>
          </w:tcPr>
          <w:p>
            <w:pPr>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
                <w:sz w:val="24"/>
                <w:szCs w:val="24"/>
              </w:rPr>
              <w:t>人的报价，有可能影响产品质量或者不能诚信履约的，能够应</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pPr>
              <w:pStyle w:val="26"/>
              <w:spacing w:before="69" w:line="199" w:lineRule="auto"/>
              <w:jc w:val="center"/>
              <w:rPr>
                <w:rFonts w:hint="eastAsia" w:asciiTheme="minorEastAsia" w:hAnsiTheme="minorEastAsia" w:eastAsiaTheme="minorEastAsia" w:cstheme="minorEastAsia"/>
                <w:spacing w:val="5"/>
                <w:sz w:val="24"/>
                <w:szCs w:val="24"/>
                <w:lang w:val="en-US" w:eastAsia="zh-CN"/>
              </w:rPr>
            </w:pPr>
          </w:p>
          <w:p>
            <w:pPr>
              <w:pStyle w:val="26"/>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pPr>
              <w:spacing w:before="69" w:line="196" w:lineRule="auto"/>
              <w:ind w:left="122" w:right="129" w:hanging="7"/>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 xml:space="preserve"> 交货时间</w:t>
            </w:r>
          </w:p>
          <w:p>
            <w:pPr>
              <w:spacing w:before="69" w:line="196" w:lineRule="auto"/>
              <w:ind w:left="122" w:right="129" w:hanging="7"/>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6727" w:type="dxa"/>
            <w:vAlign w:val="center"/>
          </w:tcPr>
          <w:p>
            <w:pPr>
              <w:spacing w:before="69" w:line="196" w:lineRule="auto"/>
              <w:ind w:left="122" w:right="129" w:hanging="7"/>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pPr>
              <w:pStyle w:val="26"/>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center"/>
          </w:tcPr>
          <w:p>
            <w:pPr>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2"/>
                <w:sz w:val="24"/>
                <w:szCs w:val="24"/>
                <w:lang w:val="en-US" w:eastAsia="zh-CN"/>
              </w:rPr>
              <w:t>质保期</w:t>
            </w:r>
          </w:p>
          <w:p>
            <w:pPr>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6727" w:type="dxa"/>
            <w:vAlign w:val="center"/>
          </w:tcPr>
          <w:p>
            <w:pPr>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pPr>
              <w:pStyle w:val="26"/>
              <w:spacing w:line="301" w:lineRule="auto"/>
              <w:jc w:val="center"/>
              <w:rPr>
                <w:rFonts w:hint="eastAsia" w:asciiTheme="minorEastAsia" w:hAnsiTheme="minorEastAsia" w:eastAsiaTheme="minorEastAsia" w:cstheme="minorEastAsia"/>
              </w:rPr>
            </w:pPr>
          </w:p>
          <w:p>
            <w:pPr>
              <w:pStyle w:val="26"/>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top"/>
          </w:tcPr>
          <w:p>
            <w:pPr>
              <w:pStyle w:val="26"/>
              <w:spacing w:line="269" w:lineRule="auto"/>
              <w:rPr>
                <w:rFonts w:hint="eastAsia" w:asciiTheme="minorEastAsia" w:hAnsiTheme="minorEastAsia" w:eastAsiaTheme="minorEastAsia" w:cstheme="minorEastAsia"/>
              </w:rPr>
            </w:pPr>
          </w:p>
          <w:p>
            <w:pPr>
              <w:spacing w:before="78" w:line="220" w:lineRule="auto"/>
              <w:ind w:lef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6727" w:type="dxa"/>
            <w:vAlign w:val="top"/>
          </w:tcPr>
          <w:p>
            <w:pPr>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
                <w:sz w:val="24"/>
                <w:szCs w:val="24"/>
              </w:rPr>
              <w:t>人的竞争行为，不存在损害采购人或者其他投标人的合法权益</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4" w:hRule="atLeast"/>
        </w:trPr>
        <w:tc>
          <w:tcPr>
            <w:tcW w:w="685" w:type="dxa"/>
            <w:vAlign w:val="top"/>
          </w:tcPr>
          <w:p>
            <w:pPr>
              <w:pStyle w:val="26"/>
              <w:spacing w:line="307" w:lineRule="auto"/>
              <w:jc w:val="center"/>
              <w:rPr>
                <w:rFonts w:hint="eastAsia" w:asciiTheme="minorEastAsia" w:hAnsiTheme="minorEastAsia" w:eastAsiaTheme="minorEastAsia" w:cstheme="minorEastAsia"/>
              </w:rPr>
            </w:pPr>
          </w:p>
          <w:p>
            <w:pPr>
              <w:pStyle w:val="26"/>
              <w:spacing w:line="307" w:lineRule="auto"/>
              <w:jc w:val="center"/>
              <w:rPr>
                <w:rFonts w:hint="eastAsia" w:asciiTheme="minorEastAsia" w:hAnsiTheme="minorEastAsia" w:eastAsiaTheme="minorEastAsia" w:cstheme="minorEastAsia"/>
              </w:rPr>
            </w:pPr>
          </w:p>
          <w:p>
            <w:pPr>
              <w:pStyle w:val="26"/>
              <w:spacing w:line="307" w:lineRule="auto"/>
              <w:jc w:val="center"/>
              <w:rPr>
                <w:rFonts w:hint="eastAsia" w:asciiTheme="minorEastAsia" w:hAnsiTheme="minorEastAsia" w:eastAsiaTheme="minorEastAsia" w:cstheme="minorEastAsia"/>
              </w:rPr>
            </w:pPr>
          </w:p>
          <w:p>
            <w:pPr>
              <w:pStyle w:val="26"/>
              <w:spacing w:before="69" w:line="199" w:lineRule="auto"/>
              <w:jc w:val="center"/>
              <w:rPr>
                <w:rFonts w:hint="eastAsia" w:asciiTheme="minorEastAsia" w:hAnsiTheme="minorEastAsia" w:eastAsiaTheme="minorEastAsia" w:cstheme="minorEastAsia"/>
                <w:spacing w:val="5"/>
                <w:sz w:val="24"/>
                <w:szCs w:val="24"/>
                <w:lang w:val="en-US" w:eastAsia="zh-CN"/>
              </w:rPr>
            </w:pPr>
          </w:p>
          <w:p>
            <w:pPr>
              <w:pStyle w:val="26"/>
              <w:spacing w:before="69" w:line="199" w:lineRule="auto"/>
              <w:jc w:val="center"/>
              <w:rPr>
                <w:rFonts w:hint="eastAsia" w:asciiTheme="minorEastAsia" w:hAnsiTheme="minorEastAsia" w:eastAsiaTheme="minorEastAsia" w:cstheme="minorEastAsia"/>
                <w:spacing w:val="5"/>
                <w:sz w:val="24"/>
                <w:szCs w:val="24"/>
                <w:lang w:val="en-US" w:eastAsia="zh-CN"/>
              </w:rPr>
            </w:pPr>
          </w:p>
          <w:p>
            <w:pPr>
              <w:pStyle w:val="26"/>
              <w:spacing w:before="69" w:line="199" w:lineRule="auto"/>
              <w:jc w:val="center"/>
              <w:rPr>
                <w:rFonts w:hint="eastAsia" w:asciiTheme="minorEastAsia" w:hAnsiTheme="minorEastAsia" w:eastAsiaTheme="minorEastAsia" w:cstheme="minorEastAsia"/>
                <w:spacing w:val="5"/>
                <w:sz w:val="24"/>
                <w:szCs w:val="24"/>
                <w:lang w:val="en-US" w:eastAsia="zh-CN"/>
              </w:rPr>
            </w:pPr>
          </w:p>
          <w:p>
            <w:pPr>
              <w:pStyle w:val="26"/>
              <w:spacing w:before="69" w:line="199" w:lineRule="auto"/>
              <w:jc w:val="center"/>
              <w:rPr>
                <w:rFonts w:hint="eastAsia" w:asciiTheme="minorEastAsia" w:hAnsiTheme="minorEastAsia" w:eastAsiaTheme="minorEastAsia" w:cstheme="minorEastAsia"/>
                <w:spacing w:val="5"/>
                <w:sz w:val="24"/>
                <w:szCs w:val="24"/>
                <w:lang w:val="en-US" w:eastAsia="zh-CN"/>
              </w:rPr>
            </w:pPr>
          </w:p>
          <w:p>
            <w:pPr>
              <w:pStyle w:val="26"/>
              <w:spacing w:before="69" w:line="199" w:lineRule="auto"/>
              <w:jc w:val="center"/>
              <w:rPr>
                <w:rFonts w:hint="eastAsia" w:asciiTheme="minorEastAsia" w:hAnsiTheme="minorEastAsia" w:eastAsiaTheme="minorEastAsia" w:cstheme="minorEastAsia"/>
                <w:spacing w:val="5"/>
                <w:sz w:val="24"/>
                <w:szCs w:val="24"/>
                <w:lang w:val="en-US" w:eastAsia="zh-CN"/>
              </w:rPr>
            </w:pPr>
          </w:p>
          <w:p>
            <w:pPr>
              <w:pStyle w:val="26"/>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pPr>
              <w:pStyle w:val="26"/>
              <w:spacing w:line="296" w:lineRule="auto"/>
              <w:rPr>
                <w:rFonts w:hint="eastAsia" w:asciiTheme="minorEastAsia" w:hAnsiTheme="minorEastAsia" w:eastAsiaTheme="minorEastAsia" w:cstheme="minorEastAsia"/>
              </w:rPr>
            </w:pPr>
          </w:p>
          <w:p>
            <w:pPr>
              <w:pStyle w:val="26"/>
              <w:spacing w:line="296" w:lineRule="auto"/>
              <w:rPr>
                <w:rFonts w:hint="eastAsia" w:asciiTheme="minorEastAsia" w:hAnsiTheme="minorEastAsia" w:eastAsiaTheme="minorEastAsia" w:cstheme="minorEastAsia"/>
              </w:rPr>
            </w:pPr>
          </w:p>
          <w:p>
            <w:pPr>
              <w:pStyle w:val="26"/>
              <w:spacing w:line="297" w:lineRule="auto"/>
              <w:rPr>
                <w:rFonts w:hint="eastAsia" w:asciiTheme="minorEastAsia" w:hAnsiTheme="minorEastAsia" w:eastAsiaTheme="minorEastAsia" w:cstheme="minorEastAsia"/>
              </w:rPr>
            </w:pPr>
          </w:p>
          <w:p>
            <w:pPr>
              <w:spacing w:before="78" w:line="221" w:lineRule="auto"/>
              <w:ind w:left="134"/>
              <w:rPr>
                <w:rFonts w:hint="eastAsia" w:asciiTheme="minorEastAsia" w:hAnsiTheme="minorEastAsia" w:eastAsiaTheme="minorEastAsia" w:cstheme="minorEastAsia"/>
                <w:spacing w:val="-6"/>
                <w:sz w:val="24"/>
                <w:szCs w:val="24"/>
              </w:rPr>
            </w:pPr>
          </w:p>
          <w:p>
            <w:pPr>
              <w:spacing w:before="78" w:line="221" w:lineRule="auto"/>
              <w:ind w:left="134"/>
              <w:rPr>
                <w:rFonts w:hint="eastAsia" w:asciiTheme="minorEastAsia" w:hAnsiTheme="minorEastAsia" w:eastAsiaTheme="minorEastAsia" w:cstheme="minorEastAsia"/>
                <w:spacing w:val="-6"/>
                <w:sz w:val="24"/>
                <w:szCs w:val="24"/>
              </w:rPr>
            </w:pPr>
          </w:p>
          <w:p>
            <w:pPr>
              <w:spacing w:before="78" w:line="221" w:lineRule="auto"/>
              <w:ind w:left="134"/>
              <w:rPr>
                <w:rFonts w:hint="eastAsia" w:asciiTheme="minorEastAsia" w:hAnsiTheme="minorEastAsia" w:eastAsiaTheme="minorEastAsia" w:cstheme="minorEastAsia"/>
                <w:spacing w:val="-6"/>
                <w:sz w:val="24"/>
                <w:szCs w:val="24"/>
              </w:rPr>
            </w:pPr>
          </w:p>
          <w:p>
            <w:pPr>
              <w:spacing w:before="78" w:line="221" w:lineRule="auto"/>
              <w:ind w:left="134"/>
              <w:rPr>
                <w:rFonts w:hint="eastAsia" w:asciiTheme="minorEastAsia" w:hAnsiTheme="minorEastAsia" w:eastAsiaTheme="minorEastAsia" w:cstheme="minorEastAsia"/>
                <w:spacing w:val="-6"/>
                <w:sz w:val="24"/>
                <w:szCs w:val="24"/>
              </w:rPr>
            </w:pPr>
          </w:p>
          <w:p>
            <w:pPr>
              <w:spacing w:before="78" w:line="221" w:lineRule="auto"/>
              <w:ind w:left="134"/>
              <w:rPr>
                <w:rFonts w:hint="eastAsia" w:asciiTheme="minorEastAsia" w:hAnsiTheme="minorEastAsia" w:eastAsiaTheme="minorEastAsia" w:cstheme="minorEastAsia"/>
                <w:spacing w:val="-6"/>
                <w:sz w:val="24"/>
                <w:szCs w:val="24"/>
              </w:rPr>
            </w:pPr>
          </w:p>
          <w:p>
            <w:pPr>
              <w:spacing w:before="78" w:line="221"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6727" w:type="dxa"/>
            <w:vAlign w:val="top"/>
          </w:tcPr>
          <w:p>
            <w:pPr>
              <w:spacing w:before="42" w:line="234" w:lineRule="auto"/>
              <w:ind w:left="113" w:right="2" w:firstLine="5"/>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8"/>
                <w:sz w:val="24"/>
                <w:szCs w:val="24"/>
              </w:rPr>
              <w:t>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6"/>
                <w:sz w:val="24"/>
                <w:szCs w:val="24"/>
              </w:rPr>
              <w:t>不同投标人的投标文件载明的项目管理成员或者联系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w:t>
            </w:r>
            <w:r>
              <w:rPr>
                <w:rFonts w:hint="eastAsia" w:asciiTheme="minorEastAsia" w:hAnsiTheme="minorEastAsia" w:eastAsiaTheme="minorEastAsia" w:cstheme="minorEastAsia"/>
                <w:spacing w:val="-64"/>
                <w:sz w:val="24"/>
                <w:szCs w:val="24"/>
              </w:rPr>
              <w:t xml:space="preserve"> </w:t>
            </w:r>
            <w:r>
              <w:rPr>
                <w:rFonts w:hint="eastAsia" w:asciiTheme="minorEastAsia" w:hAnsiTheme="minorEastAsia" w:eastAsiaTheme="minorEastAsia" w:cstheme="minorEastAsia"/>
                <w:spacing w:val="-6"/>
                <w:sz w:val="24"/>
                <w:szCs w:val="24"/>
              </w:rPr>
              <w:t>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rPr>
              <w:t>不同投标人的投标保证金从同一单位或者个人的账户转出；</w:t>
            </w:r>
          </w:p>
          <w:p>
            <w:pPr>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6"/>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2</w:t>
            </w:r>
          </w:p>
        </w:tc>
        <w:tc>
          <w:tcPr>
            <w:tcW w:w="1812" w:type="dxa"/>
            <w:vAlign w:val="top"/>
          </w:tcPr>
          <w:p>
            <w:pPr>
              <w:spacing w:before="228" w:line="219" w:lineRule="auto"/>
              <w:ind w:left="1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6727" w:type="dxa"/>
            <w:vAlign w:val="top"/>
          </w:tcPr>
          <w:p>
            <w:pPr>
              <w:spacing w:before="228" w:line="219" w:lineRule="auto"/>
              <w:ind w:left="11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pPr>
              <w:pStyle w:val="26"/>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pPr>
              <w:spacing w:before="226" w:line="221" w:lineRule="auto"/>
              <w:ind w:left="1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6727" w:type="dxa"/>
            <w:vAlign w:val="top"/>
          </w:tcPr>
          <w:p>
            <w:pPr>
              <w:spacing w:before="74" w:line="229" w:lineRule="auto"/>
              <w:ind w:left="115" w:right="136"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6"/>
                <w:sz w:val="24"/>
                <w:szCs w:val="24"/>
              </w:rPr>
              <w:t>其他无效情形。</w:t>
            </w:r>
          </w:p>
        </w:tc>
      </w:tr>
    </w:tbl>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488" w:firstLineChars="200"/>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 货物类，审查投标设备的技术指标、技术性能或产品技术说明和安装调试质量保证措施等是否符合招标要求。</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□服务类，审查服务方案、人员配备方案及人员基本情况等是否符合招标要求。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4.3投标人的澄清、说明或补正文件是投标文件的组成部分，并取代投标文件中被澄清、说明或补正的部分。</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 指投标文件满足招标文件全部实质性要求，且按照评审因素的量化指标评审得分最高的投标人为中标候选人的评标方法，见《评标标准》，招标文件中没有规定的评标标准不得作为评审的依据。</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 指投标文件满足招标文件全部实质性要求，且投标报价最低的投标人为中标候选人的评标方法。</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000000"/>
          <w:spacing w:val="2"/>
          <w:kern w:val="0"/>
          <w:position w:val="17"/>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u w:val="none"/>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000000"/>
          <w:spacing w:val="2"/>
          <w:kern w:val="0"/>
          <w:position w:val="17"/>
          <w:sz w:val="24"/>
          <w:szCs w:val="24"/>
          <w:u w:val="single"/>
          <w:lang w:val="en-US" w:eastAsia="zh-CN" w:bidi="ar-SA"/>
        </w:rPr>
        <w:t>优先选择报价低的</w:t>
      </w:r>
      <w:r>
        <w:rPr>
          <w:rFonts w:hint="eastAsia" w:asciiTheme="minorEastAsia" w:hAnsiTheme="minorEastAsia" w:eastAsiaTheme="minorEastAsia" w:cstheme="minorEastAsia"/>
          <w:snapToGrid w:val="0"/>
          <w:color w:val="000000"/>
          <w:spacing w:val="2"/>
          <w:kern w:val="0"/>
          <w:position w:val="17"/>
          <w:sz w:val="24"/>
          <w:szCs w:val="24"/>
          <w:u w:val="none"/>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2.3</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评标委员会将根据各投标人的评标排序，依次推荐本项目（各采购包）的中标候选人，起草并签署评标报告。本项目（采购包）评标委员会共推荐</w:t>
      </w:r>
      <w:r>
        <w:rPr>
          <w:rFonts w:hint="eastAsia" w:asciiTheme="minorEastAsia" w:hAnsiTheme="minorEastAsia" w:eastAsiaTheme="minorEastAsia" w:cstheme="minorEastAsia"/>
          <w:snapToGrid w:val="0"/>
          <w:color w:val="000000"/>
          <w:spacing w:val="2"/>
          <w:kern w:val="0"/>
          <w:position w:val="17"/>
          <w:sz w:val="24"/>
          <w:szCs w:val="24"/>
          <w:u w:val="single"/>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名中标候选人。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4.确定中标人</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根据采购人授权，评委会根据排名顺序直接确定排名第一的中标候选人为中标人。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7.1投标文件未按招标文件要求签署、盖章的；</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7.2不具备招标文件中规定的资格要求的；</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7.3报价超过招标文件中规定的预算金额或者最高限价的；</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7.4投标文件含有采购人不能接受的附加条件的；</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7.5不符合应提交投标文件资料数量要求的；</w:t>
      </w:r>
    </w:p>
    <w:p>
      <w:pPr>
        <w:widowControl w:val="0"/>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7.6开标解密时未在规定时间（30分钟）内进行解密成功的视为撤销其投标文件（因电子开标系统原因除外）；</w:t>
      </w:r>
    </w:p>
    <w:p>
      <w:pPr>
        <w:widowControl w:val="0"/>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7.7电子投标文件未使用</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电子营业执照认证并加密的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pPr>
        <w:widowControl w:val="0"/>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7.8未在投标截止时间前完成上传的；</w:t>
      </w:r>
    </w:p>
    <w:p>
      <w:pPr>
        <w:widowControl w:val="0"/>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7.9法律、法规和招标文件规定的其他无效情形。</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7.在招标采购中，出现下列情形之一的，应予废标：</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7.1符合专业条件的供应商或者对招标文件作实质性响应的供应商不足三家的；</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7.2出现影响采购公正的违法、违规行为的；</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7.3投标人的报价均超过了预算金额，采购人不能支付的；</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7.4因重大变故，采购任务取消的。</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pPr>
        <w:pStyle w:val="24"/>
        <w:rPr>
          <w:rFonts w:hint="default" w:eastAsiaTheme="minorEastAsia"/>
          <w:lang w:val="en-US" w:eastAsia="zh-CN"/>
        </w:rPr>
      </w:pPr>
    </w:p>
    <w:p>
      <w:pPr>
        <w:spacing w:line="256" w:lineRule="auto"/>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标</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pPr>
        <w:spacing w:before="40"/>
        <w:rPr>
          <w:rFonts w:hint="eastAsia" w:asciiTheme="minorEastAsia" w:hAnsiTheme="minorEastAsia" w:eastAsiaTheme="minorEastAsia" w:cstheme="minorEastAsia"/>
        </w:rPr>
      </w:pPr>
    </w:p>
    <w:p>
      <w:pPr>
        <w:spacing w:line="360" w:lineRule="auto"/>
        <w:ind w:firstLine="600" w:firstLineChars="249"/>
        <w:rPr>
          <w:rFonts w:hint="eastAsia" w:ascii="宋体" w:hAnsi="宋体" w:eastAsia="宋体" w:cs="宋体"/>
          <w:b/>
          <w:bCs/>
          <w:color w:val="auto"/>
          <w:sz w:val="24"/>
          <w:szCs w:val="24"/>
          <w:lang w:eastAsia="zh-CN"/>
        </w:rPr>
      </w:pPr>
    </w:p>
    <w:p>
      <w:pPr>
        <w:keepNext w:val="0"/>
        <w:keepLines w:val="0"/>
        <w:pageBreakBefore w:val="0"/>
        <w:wordWrap/>
        <w:overflowPunct/>
        <w:topLinePunct w:val="0"/>
        <w:bidi w:val="0"/>
        <w:snapToGrid w:val="0"/>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1、投标报价。  满分</w:t>
      </w:r>
      <w:r>
        <w:rPr>
          <w:rFonts w:hint="eastAsia" w:ascii="宋体" w:hAnsi="宋体" w:eastAsia="宋体" w:cs="宋体"/>
          <w:b/>
          <w:bCs/>
          <w:color w:val="auto"/>
          <w:sz w:val="24"/>
          <w:szCs w:val="24"/>
          <w:lang w:val="en-US" w:eastAsia="zh-CN"/>
        </w:rPr>
        <w:t>30</w:t>
      </w:r>
      <w:r>
        <w:rPr>
          <w:rFonts w:hint="eastAsia" w:ascii="宋体" w:hAnsi="宋体" w:eastAsia="宋体" w:cs="宋体"/>
          <w:b/>
          <w:bCs/>
          <w:color w:val="auto"/>
          <w:sz w:val="24"/>
          <w:szCs w:val="24"/>
          <w:lang w:eastAsia="zh-CN"/>
        </w:rPr>
        <w:t>分</w:t>
      </w:r>
    </w:p>
    <w:p>
      <w:pPr>
        <w:keepNext w:val="0"/>
        <w:keepLines w:val="0"/>
        <w:pageBreakBefore w:val="0"/>
        <w:wordWrap/>
        <w:overflowPunct/>
        <w:topLinePunct w:val="0"/>
        <w:bidi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满足招标文件要求且投标价格最低的投标报价为评标基准价，其价格分为满分。其余各投标人的投标报价得分=评标基准价÷投标报价×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注：根据《政府采购促进中小企业发展管理办法》（财库﹝2020﹞46 号）、《关于进一步加大政府采购支持中小企业力度的通知》、《财政部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12%后参与评审。对于同时属于小微企业、监狱企业或残疾人福利性单位的，不重复进行投标报价扣除。声明函</w:t>
      </w:r>
      <w:r>
        <w:rPr>
          <w:rFonts w:hint="eastAsia" w:ascii="宋体" w:hAnsi="宋体" w:eastAsia="宋体" w:cs="宋体"/>
          <w:color w:val="auto"/>
          <w:sz w:val="24"/>
          <w:szCs w:val="24"/>
          <w:lang w:val="en-US" w:eastAsia="zh-CN"/>
        </w:rPr>
        <w:t>以产品生产厂家为准。</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2、投标文件对货物需求及技术要求的响应程度。满</w:t>
      </w:r>
      <w:r>
        <w:rPr>
          <w:rFonts w:hint="eastAsia" w:ascii="宋体" w:hAnsi="宋体" w:eastAsia="宋体" w:cs="宋体"/>
          <w:b/>
          <w:color w:val="auto"/>
          <w:sz w:val="24"/>
          <w:szCs w:val="24"/>
          <w:lang w:val="en-US" w:eastAsia="zh-CN"/>
        </w:rPr>
        <w:t>48</w:t>
      </w:r>
      <w:r>
        <w:rPr>
          <w:rFonts w:hint="eastAsia" w:ascii="宋体" w:hAnsi="宋体" w:eastAsia="宋体" w:cs="宋体"/>
          <w:b/>
          <w:color w:val="auto"/>
          <w:sz w:val="24"/>
          <w:szCs w:val="24"/>
          <w:lang w:eastAsia="zh-CN"/>
        </w:rPr>
        <w:t xml:space="preserve">分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sz w:val="24"/>
          <w:szCs w:val="24"/>
        </w:rPr>
        <w:t>投标货物性能指标及技术参数，全部满足</w:t>
      </w:r>
      <w:r>
        <w:rPr>
          <w:rFonts w:hint="eastAsia" w:ascii="宋体" w:hAnsi="宋体" w:eastAsia="宋体" w:cs="宋体"/>
          <w:sz w:val="24"/>
          <w:szCs w:val="24"/>
          <w:lang w:eastAsia="zh-CN"/>
        </w:rPr>
        <w:t>招标</w:t>
      </w:r>
      <w:r>
        <w:rPr>
          <w:rFonts w:hint="eastAsia" w:ascii="宋体" w:hAnsi="宋体" w:eastAsia="宋体" w:cs="宋体"/>
          <w:sz w:val="24"/>
          <w:szCs w:val="24"/>
        </w:rPr>
        <w:t>文件要求得基本分</w:t>
      </w:r>
      <w:r>
        <w:rPr>
          <w:rFonts w:hint="eastAsia" w:ascii="宋体" w:hAnsi="宋体" w:eastAsia="宋体" w:cs="宋体"/>
          <w:sz w:val="24"/>
          <w:szCs w:val="24"/>
          <w:lang w:val="en-US" w:eastAsia="zh-CN"/>
        </w:rPr>
        <w:t>38</w:t>
      </w:r>
      <w:r>
        <w:rPr>
          <w:rFonts w:hint="eastAsia" w:ascii="宋体" w:hAnsi="宋体" w:eastAsia="宋体" w:cs="宋体"/>
          <w:sz w:val="24"/>
          <w:szCs w:val="24"/>
          <w:lang w:eastAsia="zh-CN"/>
        </w:rPr>
        <w:t>分。若所投产品技术指标与采购要求有负偏离，但负偏离不影响实质性响应，</w:t>
      </w:r>
      <w:r>
        <w:rPr>
          <w:rFonts w:hint="eastAsia" w:ascii="宋体" w:hAnsi="宋体" w:eastAsia="宋体" w:cs="宋体"/>
          <w:sz w:val="24"/>
          <w:szCs w:val="24"/>
          <w:lang w:val="en-US" w:eastAsia="zh-CN"/>
        </w:rPr>
        <w:t>评委会</w:t>
      </w:r>
      <w:r>
        <w:rPr>
          <w:rFonts w:hint="eastAsia" w:ascii="宋体" w:hAnsi="宋体" w:eastAsia="宋体" w:cs="宋体"/>
          <w:sz w:val="24"/>
          <w:szCs w:val="24"/>
          <w:lang w:eastAsia="zh-CN"/>
        </w:rPr>
        <w:t>按照每一处</w:t>
      </w:r>
      <w:r>
        <w:rPr>
          <w:rFonts w:hint="eastAsia" w:ascii="宋体" w:hAnsi="宋体" w:eastAsia="宋体" w:cs="宋体"/>
          <w:sz w:val="24"/>
          <w:szCs w:val="24"/>
          <w:lang w:val="en-US" w:eastAsia="zh-CN"/>
        </w:rPr>
        <w:t>加“</w:t>
      </w:r>
      <w:r>
        <w:rPr>
          <w:rFonts w:hint="eastAsia" w:ascii="仿宋" w:hAnsi="仿宋" w:eastAsia="仿宋" w:cs="仿宋"/>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负偏离扣</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分，每一处</w:t>
      </w:r>
      <w:r>
        <w:rPr>
          <w:rFonts w:hint="eastAsia" w:ascii="宋体" w:hAnsi="宋体" w:eastAsia="宋体" w:cs="宋体"/>
          <w:sz w:val="24"/>
          <w:szCs w:val="24"/>
          <w:lang w:val="en-US" w:eastAsia="zh-CN"/>
        </w:rPr>
        <w:t>一般</w:t>
      </w:r>
      <w:r>
        <w:rPr>
          <w:rFonts w:hint="eastAsia" w:ascii="宋体" w:hAnsi="宋体" w:eastAsia="宋体" w:cs="宋体"/>
          <w:sz w:val="24"/>
          <w:szCs w:val="24"/>
          <w:lang w:eastAsia="zh-CN"/>
        </w:rPr>
        <w:t>负偏离扣</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分，扣完为止；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（2）评委会根据投标人提供的安装调试质量保证措施综合打分，</w:t>
      </w:r>
      <w:r>
        <w:rPr>
          <w:rFonts w:hint="eastAsia" w:ascii="宋体" w:hAnsi="宋体" w:eastAsia="宋体" w:cs="宋体"/>
          <w:sz w:val="24"/>
          <w:szCs w:val="24"/>
          <w:lang w:eastAsia="zh-CN"/>
        </w:rPr>
        <w:t>实施要求理解细致到位，</w:t>
      </w:r>
      <w:r>
        <w:rPr>
          <w:rFonts w:hint="eastAsia" w:ascii="宋体" w:hAnsi="宋体" w:eastAsia="宋体" w:cs="宋体"/>
          <w:sz w:val="24"/>
          <w:szCs w:val="24"/>
          <w:lang w:val="en-US" w:eastAsia="zh-CN"/>
        </w:rPr>
        <w:t>措施</w:t>
      </w:r>
      <w:r>
        <w:rPr>
          <w:rFonts w:hint="eastAsia" w:ascii="宋体" w:hAnsi="宋体" w:eastAsia="宋体" w:cs="宋体"/>
          <w:sz w:val="24"/>
          <w:szCs w:val="24"/>
          <w:lang w:eastAsia="zh-CN"/>
        </w:rPr>
        <w:t>内容完全满足且优于本项目采购需求，完整详细，可行性强得</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分；实施需求理解基本完整，</w:t>
      </w:r>
      <w:r>
        <w:rPr>
          <w:rFonts w:hint="eastAsia" w:ascii="宋体" w:hAnsi="宋体" w:eastAsia="宋体" w:cs="宋体"/>
          <w:sz w:val="24"/>
          <w:szCs w:val="24"/>
          <w:lang w:val="en-US" w:eastAsia="zh-CN"/>
        </w:rPr>
        <w:t>措施</w:t>
      </w:r>
      <w:r>
        <w:rPr>
          <w:rFonts w:hint="eastAsia" w:ascii="宋体" w:hAnsi="宋体" w:eastAsia="宋体" w:cs="宋体"/>
          <w:sz w:val="24"/>
          <w:szCs w:val="24"/>
          <w:lang w:eastAsia="zh-CN"/>
        </w:rPr>
        <w:t>内容完全满足本项目采购需求，较为合理，基本可行得</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r>
        <w:rPr>
          <w:rFonts w:hint="eastAsia" w:ascii="宋体" w:hAnsi="宋体" w:eastAsia="宋体" w:cs="宋体"/>
          <w:sz w:val="24"/>
          <w:szCs w:val="24"/>
          <w:lang w:val="en-US" w:eastAsia="zh-CN"/>
        </w:rPr>
        <w:t>措施</w:t>
      </w:r>
      <w:r>
        <w:rPr>
          <w:rFonts w:hint="eastAsia" w:ascii="宋体" w:hAnsi="宋体" w:eastAsia="宋体" w:cs="宋体"/>
          <w:sz w:val="24"/>
          <w:szCs w:val="24"/>
          <w:lang w:eastAsia="zh-CN"/>
        </w:rPr>
        <w:t>内容不完全满足本项目采购需求，针对性不强得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r>
        <w:rPr>
          <w:rFonts w:hint="eastAsia" w:ascii="宋体" w:hAnsi="宋体" w:eastAsia="宋体" w:cs="宋体"/>
          <w:sz w:val="24"/>
          <w:szCs w:val="24"/>
          <w:lang w:val="en-US" w:eastAsia="en-US"/>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）节能产品政府采购品目清单产品：所投产品如为“节能产品政府采购品目清单”内非强制节能产品的，每有一项加 1 分，最多加 2 分，投标人须在投标文件中提供该产品处于有效期之内的《节</w:t>
      </w:r>
      <w:r>
        <w:rPr>
          <w:rFonts w:hint="eastAsia" w:ascii="宋体" w:hAnsi="宋体" w:eastAsia="宋体" w:cs="宋体"/>
          <w:color w:val="auto"/>
          <w:sz w:val="24"/>
          <w:szCs w:val="24"/>
          <w:lang w:eastAsia="zh-CN"/>
        </w:rPr>
        <w:t>能产品认证证书》，否则评标委员会有权不予认可；</w:t>
      </w:r>
    </w:p>
    <w:p>
      <w:pPr>
        <w:keepNext w:val="0"/>
        <w:keepLines w:val="0"/>
        <w:pageBreakBefore w:val="0"/>
        <w:wordWrap/>
        <w:overflowPunct/>
        <w:topLinePunct w:val="0"/>
        <w:bidi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）环境标志产品政府采购品目清单产品：所投产品如为“环境标志产品政府采购品目清单”内产品的，每有一项加 1 分，最多加 2 分， 投标人须在投标文件中提供该产品处于有效期之内的《环境标志产品认证证书》，否则评委委员会有权不予认可。</w:t>
      </w:r>
    </w:p>
    <w:p>
      <w:pPr>
        <w:keepNext w:val="0"/>
        <w:keepLines w:val="0"/>
        <w:pageBreakBefore w:val="0"/>
        <w:wordWrap/>
        <w:overflowPunct/>
        <w:topLinePunct w:val="0"/>
        <w:bidi w:val="0"/>
        <w:snapToGrid w:val="0"/>
        <w:spacing w:line="360" w:lineRule="auto"/>
        <w:ind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3、综合实力。满分</w:t>
      </w:r>
      <w:r>
        <w:rPr>
          <w:rFonts w:hint="eastAsia" w:ascii="宋体" w:hAnsi="宋体" w:eastAsia="宋体" w:cs="宋体"/>
          <w:b/>
          <w:color w:val="auto"/>
          <w:sz w:val="24"/>
          <w:szCs w:val="24"/>
          <w:lang w:val="en-US" w:eastAsia="zh-CN"/>
        </w:rPr>
        <w:t>16</w:t>
      </w:r>
      <w:r>
        <w:rPr>
          <w:rFonts w:hint="eastAsia" w:ascii="宋体" w:hAnsi="宋体" w:eastAsia="宋体" w:cs="宋体"/>
          <w:b/>
          <w:color w:val="auto"/>
          <w:sz w:val="24"/>
          <w:szCs w:val="24"/>
          <w:lang w:eastAsia="zh-CN"/>
        </w:rPr>
        <w:t>分</w:t>
      </w:r>
    </w:p>
    <w:p>
      <w:pPr>
        <w:keepNext w:val="0"/>
        <w:keepLines w:val="0"/>
        <w:pageBreakBefore w:val="0"/>
        <w:wordWrap/>
        <w:overflowPunct/>
        <w:topLinePunct w:val="0"/>
        <w:bidi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（1）投标文件符合招标文件所有条款，标书制作规范最多得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分；若投标文件与招标文件要求有偏离，但不影响到实质性响应，评委会根据情况扣1-2分；</w:t>
      </w:r>
    </w:p>
    <w:p>
      <w:pPr>
        <w:keepNext w:val="0"/>
        <w:keepLines w:val="0"/>
        <w:pageBreakBefore w:val="0"/>
        <w:wordWrap/>
        <w:overflowPunct/>
        <w:topLinePunct w:val="0"/>
        <w:bidi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（2）信用评价，满分2分。根据《南阳市政府采购信用评价实施办法》，投标人登录“南阳市政府采购信用管理系统”打印并提交《南阳市政府采购供应商信用记录表》，诚信评价为三星级的加 1 分，四星级的加 2 分，其他不得分；</w:t>
      </w:r>
    </w:p>
    <w:p>
      <w:pPr>
        <w:keepNext w:val="0"/>
        <w:keepLines w:val="0"/>
        <w:pageBreakBefore w:val="0"/>
        <w:wordWrap/>
        <w:overflowPunct/>
        <w:topLinePunct w:val="0"/>
        <w:bidi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lang w:val="en-US" w:eastAsia="zh-CN"/>
        </w:rPr>
        <w:t>提供本企业</w:t>
      </w:r>
      <w:r>
        <w:rPr>
          <w:rFonts w:hint="eastAsia" w:ascii="宋体" w:hAnsi="宋体" w:eastAsia="宋体" w:cs="宋体"/>
          <w:color w:val="auto"/>
          <w:sz w:val="24"/>
          <w:szCs w:val="24"/>
          <w:lang w:eastAsia="zh-CN"/>
        </w:rPr>
        <w:t>ISO9001质量管理体系认证证书、ISO45001职业健康安全管理体系认证证书、ISO14001环境管理体系认证证书、ISO27001信息安全管理体系认证证书、ISO20000信息技术服务管理体系认证证书、GB/T27922商品售后服务评价认证证书</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且证书认证范围含有本项目主要产品的，</w:t>
      </w:r>
      <w:r>
        <w:rPr>
          <w:rFonts w:hint="eastAsia" w:ascii="宋体" w:hAnsi="宋体" w:eastAsia="宋体" w:cs="宋体"/>
          <w:color w:val="auto"/>
          <w:sz w:val="24"/>
          <w:szCs w:val="24"/>
          <w:lang w:eastAsia="zh-CN"/>
        </w:rPr>
        <w:t>每提供一个得1分，最高得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分；</w:t>
      </w:r>
    </w:p>
    <w:p>
      <w:pPr>
        <w:keepNext w:val="0"/>
        <w:keepLines w:val="0"/>
        <w:pageBreakBefore w:val="0"/>
        <w:wordWrap/>
        <w:overflowPunct/>
        <w:topLinePunct w:val="0"/>
        <w:bidi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lang w:val="en-US" w:eastAsia="zh-CN"/>
        </w:rPr>
        <w:t>提供2021</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以来同类</w:t>
      </w:r>
      <w:r>
        <w:rPr>
          <w:rFonts w:hint="eastAsia" w:ascii="宋体" w:hAnsi="宋体" w:eastAsia="宋体" w:cs="宋体"/>
          <w:color w:val="auto"/>
          <w:sz w:val="24"/>
          <w:szCs w:val="24"/>
          <w:lang w:eastAsia="zh-CN"/>
        </w:rPr>
        <w:t>项目业绩</w:t>
      </w:r>
      <w:r>
        <w:rPr>
          <w:rFonts w:hint="eastAsia" w:ascii="宋体" w:hAnsi="宋体" w:eastAsia="宋体" w:cs="宋体"/>
          <w:color w:val="auto"/>
          <w:sz w:val="24"/>
          <w:szCs w:val="24"/>
          <w:lang w:val="en-US" w:eastAsia="zh-CN"/>
        </w:rPr>
        <w:t>合同</w:t>
      </w:r>
      <w:r>
        <w:rPr>
          <w:rFonts w:hint="eastAsia" w:ascii="宋体" w:hAnsi="宋体" w:eastAsia="宋体" w:cs="宋体"/>
          <w:color w:val="auto"/>
          <w:sz w:val="24"/>
          <w:szCs w:val="24"/>
          <w:lang w:eastAsia="zh-CN"/>
        </w:rPr>
        <w:t>，每个得1分，最多得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w:t>
      </w:r>
    </w:p>
    <w:p>
      <w:pPr>
        <w:keepNext w:val="0"/>
        <w:keepLines w:val="0"/>
        <w:pageBreakBefore w:val="0"/>
        <w:widowControl/>
        <w:wordWrap/>
        <w:overflowPunct/>
        <w:topLinePunct w:val="0"/>
        <w:bidi w:val="0"/>
        <w:snapToGrid w:val="0"/>
        <w:spacing w:line="360" w:lineRule="auto"/>
        <w:ind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4、售后服务承诺。满分</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lang w:eastAsia="zh-CN"/>
        </w:rPr>
        <w:t>分</w:t>
      </w:r>
    </w:p>
    <w:p>
      <w:pPr>
        <w:keepNext w:val="0"/>
        <w:keepLines w:val="0"/>
        <w:pageBreakBefore w:val="0"/>
        <w:wordWrap/>
        <w:overflowPunct/>
        <w:topLinePunct w:val="0"/>
        <w:bidi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委会对各投标人提供的售后服务及培训进行评价：服务理解细致到位，方案内容完全满足且优于本项目采购需求，完整详细，可行性强得6分；服务理解基本完整，方案内容完全满足本项目采购需求，较为合理，基本可行得4分；方案内容不完全满足本项目采购需求，针对性不强得2分。</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napToGrid w:val="0"/>
          <w:color w:val="000000"/>
          <w:kern w:val="2"/>
          <w:sz w:val="24"/>
          <w:szCs w:val="24"/>
          <w:lang w:val="en-US" w:eastAsia="zh-CN" w:bidi="ar-SA"/>
        </w:rPr>
      </w:pPr>
      <w:r>
        <w:rPr>
          <w:rFonts w:hint="eastAsia" w:ascii="宋体" w:hAnsi="宋体" w:eastAsia="宋体" w:cs="宋体"/>
          <w:b/>
          <w:bCs/>
          <w:snapToGrid w:val="0"/>
          <w:color w:val="000000"/>
          <w:kern w:val="2"/>
          <w:sz w:val="24"/>
          <w:szCs w:val="24"/>
          <w:lang w:val="en-US" w:eastAsia="zh-CN" w:bidi="ar-SA"/>
        </w:rPr>
        <w:t>注：1、如采购人所采购产品为政府强制采购的节能产品，投标人所投产品的品牌及型号必须为清单中有效期内产品并提供证明文件，否则其投标将被认定为投标无效。</w:t>
      </w:r>
    </w:p>
    <w:p>
      <w:pPr>
        <w:keepNext w:val="0"/>
        <w:keepLines w:val="0"/>
        <w:pageBreakBefore w:val="0"/>
        <w:widowControl/>
        <w:wordWrap/>
        <w:overflowPunct/>
        <w:topLinePunct w:val="0"/>
        <w:bidi w:val="0"/>
        <w:spacing w:line="360" w:lineRule="auto"/>
        <w:ind w:firstLine="482" w:firstLineChars="200"/>
        <w:rPr>
          <w:rFonts w:hint="eastAsia" w:ascii="宋体" w:hAnsi="宋体" w:eastAsia="宋体" w:cs="宋体"/>
          <w:b/>
          <w:bCs/>
          <w:snapToGrid w:val="0"/>
          <w:color w:val="000000"/>
          <w:kern w:val="2"/>
          <w:sz w:val="24"/>
          <w:szCs w:val="24"/>
          <w:lang w:val="en-US" w:eastAsia="zh-CN" w:bidi="ar-SA"/>
        </w:rPr>
      </w:pPr>
      <w:r>
        <w:rPr>
          <w:rFonts w:hint="eastAsia" w:ascii="宋体" w:hAnsi="宋体" w:eastAsia="宋体" w:cs="宋体"/>
          <w:b/>
          <w:bCs/>
          <w:snapToGrid w:val="0"/>
          <w:color w:val="000000"/>
          <w:kern w:val="2"/>
          <w:sz w:val="24"/>
          <w:szCs w:val="24"/>
          <w:lang w:val="en-US" w:eastAsia="zh-CN" w:bidi="ar-SA"/>
        </w:rPr>
        <w:t>2、评分标准中涉及各类证书、认证、证明、业绩等内容，必须是原件的扫描件。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napToGrid w:val="0"/>
          <w:color w:val="000000"/>
          <w:kern w:val="2"/>
          <w:sz w:val="24"/>
          <w:szCs w:val="24"/>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90" w:firstLineChars="200"/>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pPr>
        <w:spacing w:line="360" w:lineRule="auto"/>
        <w:ind w:firstLine="567"/>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1.1中标人被正式确定后，将在“河南省政府采购网”和“南阳市公共资源交易中心网”上公告中标结果，同时向中标人发出《中标通知书》。</w:t>
      </w:r>
    </w:p>
    <w:p>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1.2《中标通知书》将作为签订合同的依据之一。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1.3《中标通知书》发放办法：政府采购项目通过“南阳市公共资源交易中心公共服务平台向中标人发出电子《中标通知书》后，中标供应商可登录南阳市公共资源交易平台会员系统，自行打印加盖电子签章的《中标通知书》。</w:t>
      </w:r>
    </w:p>
    <w:p>
      <w:pPr>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1、中标供应商打印《中标通知书》后及时与采购人签订政府采购合同。合同签订后，采购人应通过“河南省电子化政府采购系统”(www.hngp.gov.cn)合同管理栏目上传合同原件扫描件完成备案。</w:t>
      </w:r>
    </w:p>
    <w:p>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2、招标文件、投标文件、答疑及澄清文件，均为签订合同的依据。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90" w:firstLineChars="200"/>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90" w:firstLineChars="200"/>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1.1开标及询标时，投标人法定代表人（负责人）或授权代表务必携带有效的身份证明，否则产生的不利后果由投标人自行承担。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1.2、各投标人应保证：投标文件中涉及到的所有内容，不会出现因第三方提出侵权而引发法律及经济纠纷，不论何种情况下若发生此类情况，其相应责任由投标人自行承担。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1.3开标、评标期间，投标人不得向评委询问评标情况，不得进行旨在影响评标结果的活动。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1.4为了保证评标的公正性，除询标外，评委不得与投标人交换意见。无论评标工作结束与否，参与评标的任何人均不得私下向外透露评标中的任何情况。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1.5投标人应本着公平竞争的原则参与投标，不得用任何方式对其它投标人恶意攻击。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1.6投标人如有违反上述要求或违反国家法律、法规的行为，无论评标结果如何，其投标资格将被取消。</w:t>
      </w:r>
    </w:p>
    <w:p>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河南省政府采购合同融资政策告知函</w:t>
      </w:r>
    </w:p>
    <w:p>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30" w:firstLineChars="200"/>
        <w:jc w:val="left"/>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 xml:space="preserve"> ），有需求的供应商，可按上述通知要求办理政采贷 。</w:t>
      </w:r>
    </w:p>
    <w:p>
      <w:pPr>
        <w:pStyle w:val="24"/>
        <w:rPr>
          <w:rFonts w:hint="eastAsia"/>
          <w:lang w:val="en-US" w:eastAsia="zh-CN"/>
        </w:rPr>
        <w:sectPr>
          <w:headerReference r:id="rId7" w:type="default"/>
          <w:footerReference r:id="rId8" w:type="default"/>
          <w:pgSz w:w="11907" w:h="16840"/>
          <w:pgMar w:top="1117" w:right="964" w:bottom="1060" w:left="1361" w:header="878" w:footer="886" w:gutter="0"/>
          <w:pgNumType w:fmt="decimal"/>
          <w:cols w:space="720" w:num="1"/>
        </w:sectPr>
      </w:pPr>
    </w:p>
    <w:p>
      <w:pPr>
        <w:pStyle w:val="5"/>
        <w:spacing w:before="353" w:line="219" w:lineRule="auto"/>
        <w:ind w:left="2294"/>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pPr>
        <w:spacing w:line="244" w:lineRule="auto"/>
        <w:rPr>
          <w:rFonts w:hint="eastAsia" w:asciiTheme="minorEastAsia" w:hAnsiTheme="minorEastAsia" w:eastAsiaTheme="minorEastAsia" w:cstheme="minorEastAsia"/>
          <w:sz w:val="21"/>
        </w:rPr>
      </w:pPr>
    </w:p>
    <w:p>
      <w:pPr>
        <w:spacing w:line="245" w:lineRule="auto"/>
        <w:rPr>
          <w:rFonts w:hint="eastAsia" w:asciiTheme="minorEastAsia" w:hAnsiTheme="minorEastAsia" w:eastAsiaTheme="minorEastAsia" w:cstheme="minorEastAsia"/>
          <w:sz w:val="21"/>
        </w:rPr>
      </w:pPr>
    </w:p>
    <w:p>
      <w:pPr>
        <w:autoSpaceDE w:val="0"/>
        <w:autoSpaceDN w:val="0"/>
        <w:adjustRightInd w:val="0"/>
        <w:rPr>
          <w:rFonts w:hint="eastAsia" w:ascii="楷体" w:hAnsi="楷体" w:eastAsia="楷体"/>
          <w:lang w:eastAsia="zh-CN"/>
        </w:rPr>
      </w:pPr>
    </w:p>
    <w:p>
      <w:pPr>
        <w:autoSpaceDE w:val="0"/>
        <w:autoSpaceDN w:val="0"/>
        <w:adjustRightInd w:val="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第一部分 合同书</w:t>
      </w:r>
    </w:p>
    <w:p>
      <w:pPr>
        <w:autoSpaceDE w:val="0"/>
        <w:autoSpaceDN w:val="0"/>
        <w:adjustRightInd w:val="0"/>
        <w:rPr>
          <w:rFonts w:hint="eastAsia" w:ascii="宋体" w:hAnsi="宋体" w:eastAsia="宋体" w:cs="宋体"/>
          <w:sz w:val="24"/>
          <w:szCs w:val="24"/>
          <w:lang w:eastAsia="zh-CN"/>
        </w:rPr>
      </w:pPr>
    </w:p>
    <w:p>
      <w:pPr>
        <w:autoSpaceDE w:val="0"/>
        <w:autoSpaceDN w:val="0"/>
        <w:adjustRightInd w:val="0"/>
        <w:rPr>
          <w:rFonts w:hint="eastAsia" w:ascii="宋体" w:hAnsi="宋体" w:eastAsia="宋体" w:cs="宋体"/>
          <w:sz w:val="24"/>
          <w:szCs w:val="24"/>
          <w:lang w:eastAsia="zh-CN"/>
        </w:rPr>
      </w:pPr>
    </w:p>
    <w:p>
      <w:pPr>
        <w:spacing w:before="120" w:line="22" w:lineRule="atLeast"/>
        <w:rPr>
          <w:rFonts w:hint="eastAsia" w:ascii="宋体" w:hAnsi="宋体" w:eastAsia="宋体" w:cs="宋体"/>
          <w:sz w:val="24"/>
          <w:szCs w:val="24"/>
          <w:lang w:eastAsia="zh-CN"/>
        </w:rPr>
      </w:pPr>
    </w:p>
    <w:p>
      <w:pPr>
        <w:spacing w:before="120" w:line="22"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r>
        <w:rPr>
          <w:rFonts w:hint="eastAsia" w:ascii="宋体" w:hAnsi="宋体" w:eastAsia="宋体" w:cs="宋体"/>
          <w:sz w:val="24"/>
          <w:szCs w:val="24"/>
          <w:u w:val="single"/>
          <w:lang w:eastAsia="zh-CN"/>
        </w:rPr>
        <w:t xml:space="preserve">                                   </w:t>
      </w:r>
    </w:p>
    <w:p>
      <w:pPr>
        <w:spacing w:before="120" w:line="22"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pPr>
        <w:spacing w:before="120" w:line="22" w:lineRule="atLeast"/>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项目编号：</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p>
    <w:p>
      <w:pPr>
        <w:rPr>
          <w:rFonts w:hint="eastAsia" w:ascii="宋体" w:hAnsi="宋体" w:eastAsia="宋体" w:cs="宋体"/>
          <w:sz w:val="24"/>
          <w:szCs w:val="24"/>
          <w:lang w:eastAsia="zh-CN"/>
        </w:rPr>
      </w:pPr>
    </w:p>
    <w:p>
      <w:pPr>
        <w:spacing w:before="120" w:line="22" w:lineRule="atLeast"/>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甲方：</w:t>
      </w:r>
      <w:r>
        <w:rPr>
          <w:rFonts w:hint="eastAsia" w:ascii="宋体" w:hAnsi="宋体" w:eastAsia="宋体" w:cs="宋体"/>
          <w:sz w:val="24"/>
          <w:szCs w:val="24"/>
          <w:u w:val="single"/>
          <w:lang w:eastAsia="zh-CN"/>
        </w:rPr>
        <w:t xml:space="preserve">                                       </w:t>
      </w:r>
    </w:p>
    <w:p>
      <w:pPr>
        <w:spacing w:before="120" w:line="22" w:lineRule="atLeast"/>
        <w:rPr>
          <w:rFonts w:hint="eastAsia" w:ascii="宋体" w:hAnsi="宋体" w:eastAsia="宋体" w:cs="宋体"/>
          <w:sz w:val="24"/>
          <w:szCs w:val="24"/>
          <w:lang w:eastAsia="zh-CN"/>
        </w:rPr>
      </w:pPr>
    </w:p>
    <w:p>
      <w:pPr>
        <w:spacing w:before="120" w:line="22" w:lineRule="atLeast"/>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乙方：</w:t>
      </w:r>
      <w:r>
        <w:rPr>
          <w:rFonts w:hint="eastAsia" w:ascii="宋体" w:hAnsi="宋体" w:eastAsia="宋体" w:cs="宋体"/>
          <w:sz w:val="24"/>
          <w:szCs w:val="24"/>
          <w:u w:val="single"/>
          <w:lang w:eastAsia="zh-CN"/>
        </w:rPr>
        <w:t xml:space="preserve">                                       </w:t>
      </w:r>
    </w:p>
    <w:p>
      <w:pPr>
        <w:spacing w:before="120" w:line="22" w:lineRule="atLeast"/>
        <w:rPr>
          <w:rFonts w:hint="eastAsia" w:ascii="宋体" w:hAnsi="宋体" w:eastAsia="宋体" w:cs="宋体"/>
          <w:sz w:val="24"/>
          <w:szCs w:val="24"/>
          <w:lang w:eastAsia="zh-CN"/>
        </w:rPr>
      </w:pPr>
    </w:p>
    <w:p>
      <w:pPr>
        <w:spacing w:before="120" w:line="22" w:lineRule="atLeast"/>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签订地：</w:t>
      </w:r>
      <w:r>
        <w:rPr>
          <w:rFonts w:hint="eastAsia" w:ascii="宋体" w:hAnsi="宋体" w:eastAsia="宋体" w:cs="宋体"/>
          <w:sz w:val="24"/>
          <w:szCs w:val="24"/>
          <w:u w:val="single"/>
          <w:lang w:eastAsia="zh-CN"/>
        </w:rPr>
        <w:t xml:space="preserve">                                     </w:t>
      </w:r>
    </w:p>
    <w:p>
      <w:pPr>
        <w:spacing w:before="120" w:line="22" w:lineRule="atLeast"/>
        <w:rPr>
          <w:rFonts w:hint="eastAsia" w:ascii="宋体" w:hAnsi="宋体" w:eastAsia="宋体" w:cs="宋体"/>
          <w:sz w:val="24"/>
          <w:szCs w:val="24"/>
          <w:lang w:eastAsia="zh-CN"/>
        </w:rPr>
      </w:pPr>
    </w:p>
    <w:p>
      <w:pPr>
        <w:spacing w:before="120" w:line="22" w:lineRule="atLeast"/>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签订日期：</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p>
      <w:pPr>
        <w:rPr>
          <w:rFonts w:hint="eastAsia" w:ascii="宋体" w:hAnsi="宋体" w:eastAsia="宋体" w:cs="宋体"/>
          <w:sz w:val="24"/>
          <w:szCs w:val="24"/>
          <w:lang w:eastAsia="zh-CN"/>
        </w:rPr>
        <w:sectPr>
          <w:pgSz w:w="11907" w:h="16840"/>
          <w:pgMar w:top="1474" w:right="1814" w:bottom="1474" w:left="1814" w:header="851" w:footer="851" w:gutter="0"/>
          <w:cols w:space="720" w:num="1"/>
          <w:docGrid w:linePitch="326" w:charSpace="0"/>
        </w:sectPr>
      </w:pP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年</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月</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日</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（采购人名称）   </w:t>
      </w:r>
      <w:r>
        <w:rPr>
          <w:rFonts w:hint="eastAsia" w:ascii="宋体" w:hAnsi="宋体" w:eastAsia="宋体" w:cs="宋体"/>
          <w:sz w:val="24"/>
          <w:szCs w:val="24"/>
          <w:lang w:eastAsia="zh-CN"/>
        </w:rPr>
        <w:t>以</w:t>
      </w:r>
      <w:r>
        <w:rPr>
          <w:rFonts w:hint="eastAsia" w:ascii="宋体" w:hAnsi="宋体" w:eastAsia="宋体" w:cs="宋体"/>
          <w:sz w:val="24"/>
          <w:szCs w:val="24"/>
          <w:u w:val="single"/>
          <w:lang w:eastAsia="zh-CN"/>
        </w:rPr>
        <w:t xml:space="preserve">   （政府采购方式）  </w:t>
      </w:r>
      <w:r>
        <w:rPr>
          <w:rFonts w:hint="eastAsia" w:ascii="宋体" w:hAnsi="宋体" w:eastAsia="宋体" w:cs="宋体"/>
          <w:sz w:val="24"/>
          <w:szCs w:val="24"/>
          <w:lang w:eastAsia="zh-CN"/>
        </w:rPr>
        <w:t>对</w:t>
      </w:r>
      <w:r>
        <w:rPr>
          <w:rFonts w:hint="eastAsia" w:ascii="宋体" w:hAnsi="宋体" w:eastAsia="宋体" w:cs="宋体"/>
          <w:sz w:val="24"/>
          <w:szCs w:val="24"/>
          <w:u w:val="single"/>
          <w:lang w:eastAsia="zh-CN"/>
        </w:rPr>
        <w:t xml:space="preserve">   （同前页项目名称）   </w:t>
      </w:r>
      <w:r>
        <w:rPr>
          <w:rFonts w:hint="eastAsia" w:ascii="宋体" w:hAnsi="宋体" w:eastAsia="宋体" w:cs="宋体"/>
          <w:sz w:val="24"/>
          <w:szCs w:val="24"/>
          <w:lang w:eastAsia="zh-CN"/>
        </w:rPr>
        <w:t>项目进行了采购。经</w:t>
      </w:r>
      <w:r>
        <w:rPr>
          <w:rFonts w:hint="eastAsia" w:ascii="宋体" w:hAnsi="宋体" w:eastAsia="宋体" w:cs="宋体"/>
          <w:sz w:val="24"/>
          <w:szCs w:val="24"/>
          <w:u w:val="single"/>
          <w:lang w:eastAsia="zh-CN"/>
        </w:rPr>
        <w:t xml:space="preserve">   （相关评定主体名称）   </w:t>
      </w:r>
      <w:r>
        <w:rPr>
          <w:rFonts w:hint="eastAsia" w:ascii="宋体" w:hAnsi="宋体" w:eastAsia="宋体" w:cs="宋体"/>
          <w:sz w:val="24"/>
          <w:szCs w:val="24"/>
          <w:lang w:eastAsia="zh-CN"/>
        </w:rPr>
        <w:t>评定，</w:t>
      </w:r>
      <w:r>
        <w:rPr>
          <w:rFonts w:hint="eastAsia" w:ascii="宋体" w:hAnsi="宋体" w:eastAsia="宋体" w:cs="宋体"/>
          <w:sz w:val="24"/>
          <w:szCs w:val="24"/>
          <w:u w:val="single"/>
          <w:lang w:eastAsia="zh-CN"/>
        </w:rPr>
        <w:t xml:space="preserve">   （中标供应商名称）</w:t>
      </w:r>
      <w:r>
        <w:rPr>
          <w:rFonts w:hint="eastAsia" w:ascii="宋体" w:hAnsi="宋体" w:eastAsia="宋体" w:cs="宋体"/>
          <w:sz w:val="24"/>
          <w:szCs w:val="24"/>
          <w:lang w:eastAsia="zh-CN"/>
        </w:rPr>
        <w:t>为该项目中标供应商。现于中标通知书发出之日起三十日内，按照采购文件确定的事项签订本合同。</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zh-CN" w:eastAsia="zh-CN"/>
        </w:rPr>
        <w:t>根据《中华人民共和国民法典》、《中华人民共和国政府采购法》等相关法律法规之规定，按照平等、自愿、公平和诚实信用的原则，经</w:t>
      </w:r>
      <w:r>
        <w:rPr>
          <w:rFonts w:hint="eastAsia" w:ascii="宋体" w:hAnsi="宋体" w:eastAsia="宋体" w:cs="宋体"/>
          <w:sz w:val="24"/>
          <w:szCs w:val="24"/>
          <w:u w:val="single"/>
          <w:lang w:eastAsia="zh-CN"/>
        </w:rPr>
        <w:t xml:space="preserve">   （采购人名称）   </w:t>
      </w:r>
      <w:r>
        <w:rPr>
          <w:rFonts w:hint="eastAsia" w:ascii="宋体" w:hAnsi="宋体" w:eastAsia="宋体" w:cs="宋体"/>
          <w:sz w:val="24"/>
          <w:szCs w:val="24"/>
          <w:lang w:val="zh-CN" w:eastAsia="zh-CN"/>
        </w:rPr>
        <w:t>(以下简称：甲方)和</w:t>
      </w:r>
      <w:r>
        <w:rPr>
          <w:rFonts w:hint="eastAsia" w:ascii="宋体" w:hAnsi="宋体" w:eastAsia="宋体" w:cs="宋体"/>
          <w:sz w:val="24"/>
          <w:szCs w:val="24"/>
          <w:u w:val="single"/>
          <w:lang w:eastAsia="zh-CN"/>
        </w:rPr>
        <w:t xml:space="preserve">   （中标供应商名称）   </w:t>
      </w:r>
      <w:r>
        <w:rPr>
          <w:rFonts w:hint="eastAsia" w:ascii="宋体" w:hAnsi="宋体" w:eastAsia="宋体" w:cs="宋体"/>
          <w:sz w:val="24"/>
          <w:szCs w:val="24"/>
          <w:lang w:val="zh-CN" w:eastAsia="zh-CN"/>
        </w:rPr>
        <w:t>(以下简称：乙方)协商一致，约定以下合同</w:t>
      </w:r>
      <w:r>
        <w:rPr>
          <w:rFonts w:hint="eastAsia" w:ascii="宋体" w:hAnsi="宋体" w:eastAsia="宋体" w:cs="宋体"/>
          <w:sz w:val="24"/>
          <w:szCs w:val="24"/>
          <w:lang w:eastAsia="zh-CN"/>
        </w:rPr>
        <w:t>条款，以兹共同遵守、全面履行。</w:t>
      </w:r>
    </w:p>
    <w:p>
      <w:pPr>
        <w:spacing w:line="560" w:lineRule="exact"/>
        <w:ind w:firstLine="482" w:firstLineChars="200"/>
        <w:outlineLvl w:val="0"/>
        <w:rPr>
          <w:rFonts w:hint="eastAsia" w:ascii="宋体" w:hAnsi="宋体" w:eastAsia="宋体" w:cs="宋体"/>
          <w:b/>
          <w:sz w:val="24"/>
          <w:szCs w:val="24"/>
          <w:lang w:eastAsia="zh-CN"/>
        </w:rPr>
      </w:pPr>
      <w:bookmarkStart w:id="2" w:name="_Toc2232"/>
      <w:bookmarkStart w:id="3" w:name="_Toc3029"/>
      <w:bookmarkStart w:id="4" w:name="_Toc24059"/>
      <w:r>
        <w:rPr>
          <w:rFonts w:hint="eastAsia" w:ascii="宋体" w:hAnsi="宋体" w:eastAsia="宋体" w:cs="宋体"/>
          <w:b/>
          <w:sz w:val="24"/>
          <w:szCs w:val="24"/>
          <w:lang w:eastAsia="zh-CN"/>
        </w:rPr>
        <w:t>1.1 合同组成部分</w:t>
      </w:r>
      <w:bookmarkEnd w:id="2"/>
      <w:bookmarkEnd w:id="3"/>
      <w:bookmarkEnd w:id="4"/>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1.1.1 本合同及其补充合同、变更协议；</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1.1.2 中标通知书；</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1.1.3 投标文件（含澄清或者说明文件）；</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1.1.4 招标文件（含澄清或者修改文件）；</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1.1.5 其他相关采购文件。</w:t>
      </w:r>
    </w:p>
    <w:p>
      <w:pPr>
        <w:spacing w:line="560" w:lineRule="exact"/>
        <w:ind w:firstLine="482" w:firstLineChars="200"/>
        <w:outlineLvl w:val="0"/>
        <w:rPr>
          <w:rFonts w:hint="eastAsia" w:ascii="宋体" w:hAnsi="宋体" w:eastAsia="宋体" w:cs="宋体"/>
          <w:b/>
          <w:sz w:val="24"/>
          <w:szCs w:val="24"/>
          <w:lang w:eastAsia="zh-CN"/>
        </w:rPr>
      </w:pPr>
      <w:bookmarkStart w:id="5" w:name="_Toc27126"/>
      <w:bookmarkStart w:id="6" w:name="_Toc21295"/>
      <w:bookmarkStart w:id="7" w:name="_Toc24300"/>
      <w:r>
        <w:rPr>
          <w:rFonts w:hint="eastAsia" w:ascii="宋体" w:hAnsi="宋体" w:eastAsia="宋体" w:cs="宋体"/>
          <w:b/>
          <w:sz w:val="24"/>
          <w:szCs w:val="24"/>
          <w:lang w:eastAsia="zh-CN"/>
        </w:rPr>
        <w:t>1.2 货物</w:t>
      </w:r>
      <w:bookmarkEnd w:id="5"/>
      <w:bookmarkEnd w:id="6"/>
      <w:bookmarkEnd w:id="7"/>
    </w:p>
    <w:p>
      <w:pPr>
        <w:spacing w:line="560" w:lineRule="exact"/>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1.2.1 货物名称：</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560" w:lineRule="exact"/>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1.2.2 货物数量：</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1.2.3 货物质量：</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560" w:lineRule="exact"/>
        <w:ind w:firstLine="482" w:firstLineChars="200"/>
        <w:outlineLvl w:val="0"/>
        <w:rPr>
          <w:rFonts w:hint="eastAsia" w:ascii="宋体" w:hAnsi="宋体" w:eastAsia="宋体" w:cs="宋体"/>
          <w:b/>
          <w:sz w:val="24"/>
          <w:szCs w:val="24"/>
          <w:lang w:eastAsia="zh-CN"/>
        </w:rPr>
      </w:pPr>
      <w:bookmarkStart w:id="8" w:name="_Toc23292"/>
      <w:bookmarkStart w:id="9" w:name="_Toc21551"/>
      <w:bookmarkStart w:id="10" w:name="_Toc21631"/>
      <w:r>
        <w:rPr>
          <w:rFonts w:hint="eastAsia" w:ascii="宋体" w:hAnsi="宋体" w:eastAsia="宋体" w:cs="宋体"/>
          <w:b/>
          <w:sz w:val="24"/>
          <w:szCs w:val="24"/>
          <w:lang w:eastAsia="zh-CN"/>
        </w:rPr>
        <w:t>1.3 价款</w:t>
      </w:r>
      <w:bookmarkEnd w:id="8"/>
      <w:bookmarkEnd w:id="9"/>
      <w:bookmarkEnd w:id="10"/>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本合同总价为：￥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元（大写：</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元人民币）。</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00"/>
              <w:jc w:val="center"/>
              <w:rPr>
                <w:rFonts w:hint="eastAsia" w:ascii="宋体" w:hAnsi="宋体" w:eastAsia="宋体" w:cs="宋体"/>
                <w:sz w:val="24"/>
                <w:szCs w:val="24"/>
              </w:rPr>
            </w:pPr>
          </w:p>
        </w:tc>
      </w:tr>
    </w:tbl>
    <w:p>
      <w:pPr>
        <w:spacing w:line="560" w:lineRule="exact"/>
        <w:ind w:firstLine="482" w:firstLineChars="200"/>
        <w:outlineLvl w:val="0"/>
        <w:rPr>
          <w:rFonts w:hint="eastAsia" w:ascii="宋体" w:hAnsi="宋体" w:eastAsia="宋体" w:cs="宋体"/>
          <w:b/>
          <w:sz w:val="24"/>
          <w:szCs w:val="24"/>
          <w:lang w:eastAsia="zh-CN"/>
        </w:rPr>
      </w:pPr>
      <w:bookmarkStart w:id="11" w:name="_Toc10340"/>
      <w:bookmarkStart w:id="12" w:name="_Toc22618"/>
      <w:bookmarkStart w:id="13" w:name="_Toc1814"/>
      <w:r>
        <w:rPr>
          <w:rFonts w:hint="eastAsia" w:ascii="宋体" w:hAnsi="宋体" w:eastAsia="宋体" w:cs="宋体"/>
          <w:b/>
          <w:sz w:val="24"/>
          <w:szCs w:val="24"/>
          <w:lang w:eastAsia="zh-CN"/>
        </w:rPr>
        <w:t>1.4 付款方式和发票开具方式</w:t>
      </w:r>
      <w:bookmarkEnd w:id="11"/>
      <w:bookmarkEnd w:id="12"/>
      <w:bookmarkEnd w:id="13"/>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1.4.1 付款方式：</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1.4.2 发票开具方式：</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560" w:lineRule="exact"/>
        <w:ind w:firstLine="482" w:firstLineChars="200"/>
        <w:outlineLvl w:val="0"/>
        <w:rPr>
          <w:rFonts w:hint="eastAsia" w:ascii="宋体" w:hAnsi="宋体" w:eastAsia="宋体" w:cs="宋体"/>
          <w:b/>
          <w:sz w:val="24"/>
          <w:szCs w:val="24"/>
          <w:lang w:eastAsia="zh-CN"/>
        </w:rPr>
      </w:pPr>
      <w:bookmarkStart w:id="14" w:name="_Toc2846"/>
      <w:bookmarkStart w:id="15" w:name="_Toc19304"/>
      <w:bookmarkStart w:id="16" w:name="_Toc32071"/>
      <w:r>
        <w:rPr>
          <w:rFonts w:hint="eastAsia" w:ascii="宋体" w:hAnsi="宋体" w:eastAsia="宋体" w:cs="宋体"/>
          <w:b/>
          <w:sz w:val="24"/>
          <w:szCs w:val="24"/>
          <w:lang w:eastAsia="zh-CN"/>
        </w:rPr>
        <w:t>1.5 货物交付期限、地点和方式</w:t>
      </w:r>
      <w:bookmarkEnd w:id="14"/>
      <w:bookmarkEnd w:id="15"/>
      <w:bookmarkEnd w:id="16"/>
    </w:p>
    <w:p>
      <w:pPr>
        <w:spacing w:line="560" w:lineRule="exact"/>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1.5.1 交付期限：</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1.5.2 交付地点：</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1.5.3 交付方式：</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spacing w:line="560" w:lineRule="exact"/>
        <w:ind w:firstLine="482" w:firstLineChars="200"/>
        <w:outlineLvl w:val="0"/>
        <w:rPr>
          <w:rFonts w:hint="eastAsia" w:ascii="宋体" w:hAnsi="宋体" w:eastAsia="宋体" w:cs="宋体"/>
          <w:b/>
          <w:sz w:val="24"/>
          <w:szCs w:val="24"/>
          <w:lang w:eastAsia="zh-CN"/>
        </w:rPr>
      </w:pPr>
      <w:bookmarkStart w:id="17" w:name="_Toc19554"/>
      <w:bookmarkStart w:id="18" w:name="_Toc21423"/>
      <w:bookmarkStart w:id="19" w:name="_Toc27250"/>
      <w:r>
        <w:rPr>
          <w:rFonts w:hint="eastAsia" w:ascii="宋体" w:hAnsi="宋体" w:eastAsia="宋体" w:cs="宋体"/>
          <w:b/>
          <w:sz w:val="24"/>
          <w:szCs w:val="24"/>
          <w:lang w:eastAsia="zh-CN"/>
        </w:rPr>
        <w:t>1.6 违约责任</w:t>
      </w:r>
      <w:bookmarkEnd w:id="17"/>
      <w:bookmarkEnd w:id="18"/>
      <w:bookmarkEnd w:id="19"/>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%计算，最高限额为本合同总价的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%计算，最高限额为本合同总价的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hint="eastAsia" w:ascii="宋体" w:hAnsi="宋体" w:eastAsia="宋体" w:cs="宋体"/>
          <w:b/>
          <w:sz w:val="24"/>
          <w:szCs w:val="24"/>
          <w:lang w:eastAsia="zh-CN"/>
        </w:rPr>
      </w:pPr>
      <w:bookmarkStart w:id="20" w:name="_Toc28375"/>
      <w:bookmarkStart w:id="21" w:name="_Toc16021"/>
      <w:bookmarkStart w:id="22" w:name="_Toc15583"/>
      <w:r>
        <w:rPr>
          <w:rFonts w:hint="eastAsia" w:ascii="宋体" w:hAnsi="宋体" w:eastAsia="宋体" w:cs="宋体"/>
          <w:b/>
          <w:sz w:val="24"/>
          <w:szCs w:val="24"/>
          <w:lang w:eastAsia="zh-CN"/>
        </w:rPr>
        <w:t>1.7 合同争议的解决</w:t>
      </w:r>
      <w:bookmarkEnd w:id="20"/>
      <w:bookmarkEnd w:id="21"/>
      <w:bookmarkEnd w:id="22"/>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种方式解决：</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1.7.1 将争议提交</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仲裁委员会依申请仲裁时其现行有效的仲裁规则裁决；</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1.7.2 向</w:t>
      </w:r>
      <w:r>
        <w:rPr>
          <w:rFonts w:hint="eastAsia" w:ascii="宋体" w:hAnsi="宋体" w:eastAsia="宋体" w:cs="宋体"/>
          <w:sz w:val="24"/>
          <w:szCs w:val="24"/>
          <w:u w:val="single"/>
          <w:lang w:eastAsia="zh-CN"/>
        </w:rPr>
        <w:t xml:space="preserve">   （被告住所地、合同履行地、合同签订地、原告住所地、标的物所在地等与争议有实际联系的地点中选出的人民法院名称）    </w:t>
      </w:r>
      <w:r>
        <w:rPr>
          <w:rFonts w:hint="eastAsia" w:ascii="宋体" w:hAnsi="宋体" w:eastAsia="宋体" w:cs="宋体"/>
          <w:sz w:val="24"/>
          <w:szCs w:val="24"/>
          <w:lang w:eastAsia="zh-CN"/>
        </w:rPr>
        <w:t>人民法院起诉。</w:t>
      </w:r>
    </w:p>
    <w:p>
      <w:pPr>
        <w:spacing w:line="560" w:lineRule="exact"/>
        <w:ind w:firstLine="482" w:firstLineChars="200"/>
        <w:outlineLvl w:val="0"/>
        <w:rPr>
          <w:rFonts w:hint="eastAsia" w:ascii="宋体" w:hAnsi="宋体" w:eastAsia="宋体" w:cs="宋体"/>
          <w:b/>
          <w:sz w:val="24"/>
          <w:szCs w:val="24"/>
          <w:lang w:eastAsia="zh-CN"/>
        </w:rPr>
      </w:pPr>
      <w:bookmarkStart w:id="23" w:name="_Toc15322"/>
      <w:bookmarkStart w:id="24" w:name="_Toc7245"/>
      <w:bookmarkStart w:id="25" w:name="_Toc11173"/>
      <w:r>
        <w:rPr>
          <w:rFonts w:hint="eastAsia" w:ascii="宋体" w:hAnsi="宋体" w:eastAsia="宋体" w:cs="宋体"/>
          <w:b/>
          <w:sz w:val="24"/>
          <w:szCs w:val="24"/>
          <w:lang w:eastAsia="zh-CN"/>
        </w:rPr>
        <w:t>1.8 合同生效</w:t>
      </w:r>
      <w:bookmarkEnd w:id="23"/>
      <w:bookmarkEnd w:id="24"/>
      <w:bookmarkEnd w:id="25"/>
    </w:p>
    <w:p>
      <w:pPr>
        <w:spacing w:line="560" w:lineRule="exact"/>
        <w:ind w:firstLine="480" w:firstLineChars="200"/>
        <w:rPr>
          <w:rFonts w:hint="eastAsia" w:ascii="宋体" w:hAnsi="宋体" w:eastAsia="宋体" w:cs="宋体"/>
          <w:b/>
          <w:sz w:val="24"/>
          <w:szCs w:val="24"/>
          <w:lang w:eastAsia="zh-CN"/>
        </w:rPr>
      </w:pPr>
      <w:r>
        <w:rPr>
          <w:rFonts w:hint="eastAsia" w:ascii="宋体" w:hAnsi="宋体" w:eastAsia="宋体" w:cs="宋体"/>
          <w:sz w:val="24"/>
          <w:szCs w:val="24"/>
          <w:lang w:eastAsia="zh-CN"/>
        </w:rPr>
        <w:t>本合同自双方当事人盖章或者签字时生效。</w:t>
      </w:r>
    </w:p>
    <w:p>
      <w:pPr>
        <w:autoSpaceDE w:val="0"/>
        <w:autoSpaceDN w:val="0"/>
        <w:adjustRightInd w:val="0"/>
        <w:spacing w:line="560" w:lineRule="exact"/>
        <w:rPr>
          <w:rFonts w:hint="eastAsia" w:ascii="宋体" w:hAnsi="宋体" w:eastAsia="宋体" w:cs="宋体"/>
          <w:sz w:val="24"/>
          <w:szCs w:val="24"/>
          <w:lang w:val="zh-CN" w:eastAsia="zh-CN"/>
        </w:rPr>
      </w:pPr>
    </w:p>
    <w:p>
      <w:pPr>
        <w:autoSpaceDE w:val="0"/>
        <w:autoSpaceDN w:val="0"/>
        <w:adjustRightInd w:val="0"/>
        <w:spacing w:line="560" w:lineRule="exact"/>
        <w:rPr>
          <w:rFonts w:hint="eastAsia" w:ascii="宋体" w:hAnsi="宋体" w:eastAsia="宋体" w:cs="宋体"/>
          <w:sz w:val="24"/>
          <w:szCs w:val="24"/>
          <w:lang w:val="zh-CN" w:eastAsia="zh-CN"/>
        </w:rPr>
      </w:pPr>
      <w:r>
        <w:rPr>
          <w:rFonts w:hint="eastAsia" w:ascii="宋体" w:hAnsi="宋体" w:eastAsia="宋体" w:cs="宋体"/>
          <w:b/>
          <w:sz w:val="24"/>
          <w:szCs w:val="24"/>
          <w:lang w:val="zh-CN" w:eastAsia="zh-CN"/>
        </w:rPr>
        <w:t>甲方</w:t>
      </w:r>
      <w:r>
        <w:rPr>
          <w:rFonts w:hint="eastAsia" w:ascii="宋体" w:hAnsi="宋体" w:eastAsia="宋体" w:cs="宋体"/>
          <w:sz w:val="24"/>
          <w:szCs w:val="24"/>
          <w:lang w:val="zh-CN" w:eastAsia="zh-CN"/>
        </w:rPr>
        <w:t xml:space="preserve">：                             </w:t>
      </w:r>
      <w:r>
        <w:rPr>
          <w:rFonts w:hint="eastAsia" w:ascii="宋体" w:hAnsi="宋体" w:eastAsia="宋体" w:cs="宋体"/>
          <w:b/>
          <w:sz w:val="24"/>
          <w:szCs w:val="24"/>
          <w:lang w:val="zh-CN" w:eastAsia="zh-CN"/>
        </w:rPr>
        <w:t xml:space="preserve">      乙方</w:t>
      </w:r>
      <w:r>
        <w:rPr>
          <w:rFonts w:hint="eastAsia" w:ascii="宋体" w:hAnsi="宋体" w:eastAsia="宋体" w:cs="宋体"/>
          <w:sz w:val="24"/>
          <w:szCs w:val="24"/>
          <w:lang w:val="zh-CN" w:eastAsia="zh-CN"/>
        </w:rPr>
        <w:t>：</w:t>
      </w:r>
    </w:p>
    <w:p>
      <w:pPr>
        <w:autoSpaceDE w:val="0"/>
        <w:autoSpaceDN w:val="0"/>
        <w:adjustRightInd w:val="0"/>
        <w:spacing w:line="560" w:lineRule="exac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统一社会信用代码：                        统一社会信用代码或身份证号码：</w:t>
      </w:r>
    </w:p>
    <w:p>
      <w:pPr>
        <w:autoSpaceDE w:val="0"/>
        <w:autoSpaceDN w:val="0"/>
        <w:adjustRightInd w:val="0"/>
        <w:spacing w:line="560" w:lineRule="exact"/>
        <w:rPr>
          <w:rFonts w:hint="eastAsia" w:ascii="宋体" w:hAnsi="宋体" w:eastAsia="宋体" w:cs="宋体"/>
          <w:sz w:val="24"/>
          <w:szCs w:val="24"/>
          <w:lang w:val="zh-CN" w:eastAsia="zh-CN"/>
        </w:rPr>
      </w:pPr>
    </w:p>
    <w:p>
      <w:pPr>
        <w:autoSpaceDE w:val="0"/>
        <w:autoSpaceDN w:val="0"/>
        <w:adjustRightInd w:val="0"/>
        <w:spacing w:line="560" w:lineRule="exac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住所：                                   住所：</w:t>
      </w:r>
    </w:p>
    <w:p>
      <w:pPr>
        <w:autoSpaceDE w:val="0"/>
        <w:autoSpaceDN w:val="0"/>
        <w:adjustRightInd w:val="0"/>
        <w:spacing w:line="560" w:lineRule="exac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法定代表人（负责人）                             法定代表人（负责人）</w:t>
      </w:r>
    </w:p>
    <w:p>
      <w:pPr>
        <w:autoSpaceDE w:val="0"/>
        <w:autoSpaceDN w:val="0"/>
        <w:adjustRightInd w:val="0"/>
        <w:spacing w:line="560" w:lineRule="exac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授权代表（签字）：                        授权代表（签字）: </w:t>
      </w:r>
    </w:p>
    <w:p>
      <w:pPr>
        <w:autoSpaceDE w:val="0"/>
        <w:autoSpaceDN w:val="0"/>
        <w:adjustRightInd w:val="0"/>
        <w:spacing w:line="560" w:lineRule="exac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联系人：                                 联系人：</w:t>
      </w:r>
    </w:p>
    <w:p>
      <w:pPr>
        <w:autoSpaceDE w:val="0"/>
        <w:autoSpaceDN w:val="0"/>
        <w:adjustRightInd w:val="0"/>
        <w:spacing w:line="560" w:lineRule="exac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约定送达地址：                           约定送达地址：</w:t>
      </w:r>
    </w:p>
    <w:p>
      <w:pPr>
        <w:autoSpaceDE w:val="0"/>
        <w:autoSpaceDN w:val="0"/>
        <w:adjustRightInd w:val="0"/>
        <w:spacing w:line="560" w:lineRule="exac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邮政编码：                               邮政编码：</w:t>
      </w:r>
    </w:p>
    <w:p>
      <w:pPr>
        <w:autoSpaceDE w:val="0"/>
        <w:autoSpaceDN w:val="0"/>
        <w:adjustRightInd w:val="0"/>
        <w:spacing w:line="560" w:lineRule="exac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电话:                                    电话: </w:t>
      </w:r>
    </w:p>
    <w:p>
      <w:pPr>
        <w:autoSpaceDE w:val="0"/>
        <w:autoSpaceDN w:val="0"/>
        <w:adjustRightInd w:val="0"/>
        <w:spacing w:line="560" w:lineRule="exac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传真:                                    传真:</w:t>
      </w:r>
    </w:p>
    <w:p>
      <w:pPr>
        <w:autoSpaceDE w:val="0"/>
        <w:autoSpaceDN w:val="0"/>
        <w:adjustRightInd w:val="0"/>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val="zh-CN" w:eastAsia="zh-CN"/>
        </w:rPr>
        <w:t>电子邮箱：                               电子邮箱：</w:t>
      </w:r>
    </w:p>
    <w:p>
      <w:pPr>
        <w:autoSpaceDE w:val="0"/>
        <w:autoSpaceDN w:val="0"/>
        <w:adjustRightInd w:val="0"/>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开户银行：                               开户银行： </w:t>
      </w:r>
    </w:p>
    <w:p>
      <w:pPr>
        <w:autoSpaceDE w:val="0"/>
        <w:autoSpaceDN w:val="0"/>
        <w:adjustRightInd w:val="0"/>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开户名称：                               开户名称： </w:t>
      </w:r>
    </w:p>
    <w:p>
      <w:pPr>
        <w:autoSpaceDE w:val="0"/>
        <w:autoSpaceDN w:val="0"/>
        <w:adjustRightInd w:val="0"/>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开户账号：</w:t>
      </w:r>
      <w:r>
        <w:rPr>
          <w:rFonts w:hint="eastAsia" w:ascii="宋体" w:hAnsi="宋体" w:eastAsia="宋体" w:cs="宋体"/>
          <w:sz w:val="24"/>
          <w:szCs w:val="24"/>
          <w:lang w:val="zh-CN" w:eastAsia="zh-CN"/>
        </w:rPr>
        <w:t xml:space="preserve">                               </w:t>
      </w:r>
      <w:r>
        <w:rPr>
          <w:rFonts w:hint="eastAsia" w:ascii="宋体" w:hAnsi="宋体" w:eastAsia="宋体" w:cs="宋体"/>
          <w:sz w:val="24"/>
          <w:szCs w:val="24"/>
          <w:lang w:eastAsia="zh-CN"/>
        </w:rPr>
        <w:t>开户账号：</w:t>
      </w:r>
    </w:p>
    <w:p>
      <w:pPr>
        <w:spacing w:line="560" w:lineRule="exact"/>
        <w:rPr>
          <w:rFonts w:hint="eastAsia" w:ascii="宋体" w:hAnsi="宋体" w:eastAsia="宋体" w:cs="宋体"/>
          <w:b/>
          <w:sz w:val="24"/>
          <w:szCs w:val="24"/>
          <w:lang w:eastAsia="zh-CN"/>
        </w:rPr>
      </w:pPr>
      <w:bookmarkStart w:id="26" w:name="_Toc331685783"/>
    </w:p>
    <w:p>
      <w:pPr>
        <w:spacing w:line="560" w:lineRule="exact"/>
        <w:rPr>
          <w:rFonts w:hint="eastAsia" w:ascii="宋体" w:hAnsi="宋体" w:eastAsia="宋体" w:cs="宋体"/>
          <w:b/>
          <w:sz w:val="24"/>
          <w:szCs w:val="24"/>
          <w:lang w:eastAsia="zh-CN"/>
        </w:rPr>
      </w:pPr>
    </w:p>
    <w:p>
      <w:pPr>
        <w:spacing w:line="560" w:lineRule="exact"/>
        <w:rPr>
          <w:rFonts w:hint="eastAsia" w:ascii="宋体" w:hAnsi="宋体" w:eastAsia="宋体" w:cs="宋体"/>
          <w:b/>
          <w:sz w:val="24"/>
          <w:szCs w:val="24"/>
          <w:lang w:eastAsia="zh-CN"/>
        </w:rPr>
      </w:pPr>
    </w:p>
    <w:p>
      <w:pPr>
        <w:spacing w:line="560" w:lineRule="exact"/>
        <w:rPr>
          <w:rFonts w:hint="eastAsia" w:ascii="宋体" w:hAnsi="宋体" w:eastAsia="宋体" w:cs="宋体"/>
          <w:b/>
          <w:sz w:val="24"/>
          <w:szCs w:val="24"/>
          <w:lang w:eastAsia="zh-CN"/>
        </w:rPr>
      </w:pPr>
    </w:p>
    <w:p>
      <w:pPr>
        <w:spacing w:line="560" w:lineRule="exact"/>
        <w:rPr>
          <w:rFonts w:hint="eastAsia" w:ascii="宋体" w:hAnsi="宋体" w:eastAsia="宋体" w:cs="宋体"/>
          <w:b/>
          <w:sz w:val="24"/>
          <w:szCs w:val="24"/>
          <w:lang w:eastAsia="zh-CN"/>
        </w:rPr>
      </w:pPr>
    </w:p>
    <w:p>
      <w:pPr>
        <w:autoSpaceDE w:val="0"/>
        <w:autoSpaceDN w:val="0"/>
        <w:adjustRightInd w:val="0"/>
        <w:spacing w:line="560" w:lineRule="exact"/>
        <w:ind w:firstLine="20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第二部分 合同一般条款</w:t>
      </w:r>
      <w:bookmarkEnd w:id="26"/>
    </w:p>
    <w:p>
      <w:pPr>
        <w:spacing w:line="560" w:lineRule="exact"/>
        <w:ind w:firstLine="482" w:firstLineChars="200"/>
        <w:outlineLvl w:val="0"/>
        <w:rPr>
          <w:rFonts w:hint="eastAsia" w:ascii="宋体" w:hAnsi="宋体" w:eastAsia="宋体" w:cs="宋体"/>
          <w:b/>
          <w:sz w:val="24"/>
          <w:szCs w:val="24"/>
          <w:lang w:eastAsia="zh-CN"/>
        </w:rPr>
      </w:pPr>
      <w:bookmarkStart w:id="27" w:name="_Ref467379195"/>
      <w:bookmarkStart w:id="28" w:name="_Ref467379225"/>
      <w:bookmarkStart w:id="29" w:name="_Toc19614"/>
      <w:bookmarkStart w:id="30" w:name="_Ref467379101"/>
      <w:bookmarkStart w:id="31" w:name="_Ref467378404"/>
      <w:bookmarkStart w:id="32" w:name="_Ref467379205"/>
      <w:bookmarkStart w:id="33" w:name="_Toc279701240"/>
      <w:bookmarkStart w:id="34" w:name="_Ref467378463"/>
      <w:bookmarkStart w:id="35" w:name="_Toc487900349"/>
      <w:bookmarkStart w:id="36" w:name="_Ref467379214"/>
      <w:bookmarkStart w:id="37" w:name="_Toc28763"/>
      <w:bookmarkStart w:id="38" w:name="_Toc259093669"/>
      <w:bookmarkStart w:id="39" w:name="_Toc16917"/>
      <w:bookmarkStart w:id="40" w:name="_Ref467378499"/>
      <w:bookmarkStart w:id="41" w:name="_Ref467379109"/>
      <w:bookmarkStart w:id="42" w:name="_Ref467379094"/>
      <w:r>
        <w:rPr>
          <w:rFonts w:hint="eastAsia" w:ascii="宋体" w:hAnsi="宋体" w:eastAsia="宋体" w:cs="宋体"/>
          <w:b/>
          <w:sz w:val="24"/>
          <w:szCs w:val="24"/>
          <w:lang w:eastAsia="zh-CN"/>
        </w:rPr>
        <w:t>2.1 定义</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本合同中的下列词语应按以下内容进行解释：</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2.1.2 “合同价”系指根据合同约定，中标供应商在完全履行合同义务后，采购人应支付给中标供应商的价格。</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宋体" w:hAnsi="宋体" w:eastAsia="宋体" w:cs="宋体"/>
          <w:sz w:val="24"/>
          <w:szCs w:val="24"/>
          <w:lang w:eastAsia="zh-CN"/>
        </w:rPr>
      </w:pPr>
      <w:bookmarkStart w:id="43" w:name="_Ref467378840"/>
      <w:r>
        <w:rPr>
          <w:rFonts w:hint="eastAsia" w:ascii="宋体" w:hAnsi="宋体" w:eastAsia="宋体" w:cs="宋体"/>
          <w:sz w:val="24"/>
          <w:szCs w:val="24"/>
          <w:lang w:eastAsia="zh-CN"/>
        </w:rPr>
        <w:t>2.1.4 “甲方”系指与中标供应商签署合同的采购人</w:t>
      </w:r>
      <w:bookmarkEnd w:id="43"/>
      <w:r>
        <w:rPr>
          <w:rFonts w:hint="eastAsia" w:ascii="宋体" w:hAnsi="宋体" w:eastAsia="宋体" w:cs="宋体"/>
          <w:sz w:val="24"/>
          <w:szCs w:val="24"/>
          <w:lang w:eastAsia="zh-CN"/>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sz w:val="24"/>
          <w:szCs w:val="24"/>
          <w:lang w:eastAsia="zh-CN"/>
        </w:rPr>
      </w:pPr>
      <w:bookmarkStart w:id="44" w:name="_Ref467379400"/>
      <w:r>
        <w:rPr>
          <w:rFonts w:hint="eastAsia" w:ascii="宋体" w:hAnsi="宋体" w:eastAsia="宋体" w:cs="宋体"/>
          <w:sz w:val="24"/>
          <w:szCs w:val="24"/>
          <w:lang w:eastAsia="zh-CN"/>
        </w:rPr>
        <w:t>2.1.5 “乙方”系指根据合同约定交付货物的中标供应商</w:t>
      </w:r>
      <w:bookmarkEnd w:id="44"/>
      <w:r>
        <w:rPr>
          <w:rFonts w:hint="eastAsia" w:ascii="宋体" w:hAnsi="宋体" w:eastAsia="宋体" w:cs="宋体"/>
          <w:sz w:val="24"/>
          <w:szCs w:val="24"/>
          <w:lang w:eastAsia="zh-CN"/>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sz w:val="24"/>
          <w:szCs w:val="24"/>
          <w:lang w:eastAsia="zh-CN"/>
        </w:rPr>
      </w:pPr>
      <w:bookmarkStart w:id="45" w:name="_Ref467379436"/>
      <w:r>
        <w:rPr>
          <w:rFonts w:hint="eastAsia" w:ascii="宋体" w:hAnsi="宋体" w:eastAsia="宋体" w:cs="宋体"/>
          <w:sz w:val="24"/>
          <w:szCs w:val="24"/>
          <w:lang w:eastAsia="zh-CN"/>
        </w:rPr>
        <w:t>2.1.6 “现场”系指合同约定货物将要运至或者安装的地点。</w:t>
      </w:r>
      <w:bookmarkEnd w:id="45"/>
    </w:p>
    <w:p>
      <w:pPr>
        <w:spacing w:line="560" w:lineRule="exact"/>
        <w:ind w:firstLine="482" w:firstLineChars="200"/>
        <w:outlineLvl w:val="0"/>
        <w:rPr>
          <w:rFonts w:hint="eastAsia" w:ascii="宋体" w:hAnsi="宋体" w:eastAsia="宋体" w:cs="宋体"/>
          <w:b/>
          <w:sz w:val="24"/>
          <w:szCs w:val="24"/>
          <w:lang w:eastAsia="zh-CN"/>
        </w:rPr>
      </w:pPr>
      <w:bookmarkStart w:id="46" w:name="_Toc259093670"/>
      <w:bookmarkStart w:id="47" w:name="_Toc279701241"/>
      <w:bookmarkStart w:id="48" w:name="_Toc32504"/>
      <w:bookmarkStart w:id="49" w:name="_Toc13336"/>
      <w:bookmarkStart w:id="50" w:name="_Toc27635"/>
      <w:bookmarkStart w:id="51" w:name="_Toc487900350"/>
      <w:r>
        <w:rPr>
          <w:rFonts w:hint="eastAsia" w:ascii="宋体" w:hAnsi="宋体" w:eastAsia="宋体" w:cs="宋体"/>
          <w:b/>
          <w:sz w:val="24"/>
          <w:szCs w:val="24"/>
          <w:lang w:eastAsia="zh-CN"/>
        </w:rPr>
        <w:t>2.2 技术规范</w:t>
      </w:r>
      <w:bookmarkEnd w:id="46"/>
      <w:bookmarkEnd w:id="47"/>
      <w:bookmarkEnd w:id="48"/>
      <w:bookmarkEnd w:id="49"/>
      <w:bookmarkEnd w:id="50"/>
      <w:bookmarkEnd w:id="51"/>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sz w:val="24"/>
          <w:szCs w:val="24"/>
          <w:lang w:eastAsia="zh-CN"/>
        </w:rPr>
      </w:pPr>
      <w:bookmarkStart w:id="52" w:name="_Toc487900351"/>
      <w:bookmarkStart w:id="53" w:name="_Toc259093671"/>
      <w:bookmarkStart w:id="54" w:name="_Toc9829"/>
      <w:bookmarkStart w:id="55" w:name="_Toc31634"/>
      <w:bookmarkStart w:id="56" w:name="_Toc279701242"/>
      <w:bookmarkStart w:id="57" w:name="_Toc27853"/>
      <w:r>
        <w:rPr>
          <w:rFonts w:hint="eastAsia" w:ascii="宋体" w:hAnsi="宋体" w:eastAsia="宋体" w:cs="宋体"/>
          <w:b/>
          <w:sz w:val="24"/>
          <w:szCs w:val="24"/>
          <w:lang w:eastAsia="zh-CN"/>
        </w:rPr>
        <w:t>2.3 知识产权</w:t>
      </w:r>
      <w:bookmarkEnd w:id="52"/>
      <w:bookmarkEnd w:id="53"/>
      <w:bookmarkEnd w:id="54"/>
      <w:bookmarkEnd w:id="55"/>
      <w:bookmarkEnd w:id="56"/>
      <w:bookmarkEnd w:id="57"/>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2.3.2具有知识产权的计算机软件等货物的知识产权归属，详见</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w:t>
      </w:r>
    </w:p>
    <w:p>
      <w:pPr>
        <w:spacing w:line="560" w:lineRule="exact"/>
        <w:ind w:firstLine="482" w:firstLineChars="200"/>
        <w:outlineLvl w:val="0"/>
        <w:rPr>
          <w:rFonts w:hint="eastAsia" w:ascii="宋体" w:hAnsi="宋体" w:eastAsia="宋体" w:cs="宋体"/>
          <w:b/>
          <w:sz w:val="24"/>
          <w:szCs w:val="24"/>
          <w:lang w:eastAsia="zh-CN"/>
        </w:rPr>
      </w:pPr>
      <w:bookmarkStart w:id="58" w:name="_Toc11932"/>
      <w:bookmarkStart w:id="59" w:name="_Toc29149"/>
      <w:bookmarkStart w:id="60" w:name="_Toc4194"/>
      <w:r>
        <w:rPr>
          <w:rFonts w:hint="eastAsia" w:ascii="宋体" w:hAnsi="宋体" w:eastAsia="宋体" w:cs="宋体"/>
          <w:b/>
          <w:sz w:val="24"/>
          <w:szCs w:val="24"/>
          <w:lang w:eastAsia="zh-CN"/>
        </w:rPr>
        <w:t>2.4 包装和装运</w:t>
      </w:r>
      <w:bookmarkEnd w:id="58"/>
      <w:bookmarkEnd w:id="59"/>
      <w:bookmarkEnd w:id="60"/>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2.4.1除</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2.4.2 装运货物的要求和通知，详见</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w:t>
      </w:r>
    </w:p>
    <w:p>
      <w:pPr>
        <w:spacing w:line="560" w:lineRule="exact"/>
        <w:ind w:firstLine="482" w:firstLineChars="200"/>
        <w:outlineLvl w:val="0"/>
        <w:rPr>
          <w:rFonts w:hint="eastAsia" w:ascii="宋体" w:hAnsi="宋体" w:eastAsia="宋体" w:cs="宋体"/>
          <w:b/>
          <w:sz w:val="24"/>
          <w:szCs w:val="24"/>
          <w:lang w:eastAsia="zh-CN"/>
        </w:rPr>
      </w:pPr>
      <w:bookmarkStart w:id="61" w:name="_Toc259093674"/>
      <w:bookmarkStart w:id="62" w:name="_Toc279701245"/>
      <w:bookmarkStart w:id="63" w:name="_Ref467378541"/>
      <w:bookmarkStart w:id="64" w:name="_Ref467379542"/>
      <w:bookmarkStart w:id="65" w:name="_Toc487900354"/>
      <w:bookmarkStart w:id="66" w:name="_Ref467379536"/>
      <w:bookmarkStart w:id="67" w:name="_Ref467379527"/>
      <w:bookmarkStart w:id="68" w:name="_Ref467378591"/>
      <w:bookmarkStart w:id="69" w:name="_Toc30272"/>
      <w:bookmarkStart w:id="70" w:name="_Toc19074"/>
      <w:bookmarkStart w:id="71" w:name="_Toc26182"/>
      <w:r>
        <w:rPr>
          <w:rFonts w:hint="eastAsia" w:ascii="宋体" w:hAnsi="宋体" w:eastAsia="宋体" w:cs="宋体"/>
          <w:b/>
          <w:sz w:val="24"/>
          <w:szCs w:val="24"/>
          <w:lang w:eastAsia="zh-CN"/>
        </w:rPr>
        <w:t>2.</w:t>
      </w:r>
      <w:bookmarkEnd w:id="61"/>
      <w:bookmarkEnd w:id="62"/>
      <w:bookmarkEnd w:id="63"/>
      <w:bookmarkEnd w:id="64"/>
      <w:bookmarkEnd w:id="65"/>
      <w:bookmarkEnd w:id="66"/>
      <w:bookmarkEnd w:id="67"/>
      <w:bookmarkEnd w:id="68"/>
      <w:r>
        <w:rPr>
          <w:rFonts w:hint="eastAsia" w:ascii="宋体" w:hAnsi="宋体" w:eastAsia="宋体" w:cs="宋体"/>
          <w:b/>
          <w:sz w:val="24"/>
          <w:szCs w:val="24"/>
          <w:lang w:eastAsia="zh-CN"/>
        </w:rPr>
        <w:t>5 履约检查和问题反馈</w:t>
      </w:r>
      <w:bookmarkEnd w:id="69"/>
      <w:bookmarkEnd w:id="70"/>
      <w:bookmarkEnd w:id="71"/>
    </w:p>
    <w:p>
      <w:pPr>
        <w:spacing w:line="560" w:lineRule="exact"/>
        <w:ind w:firstLine="480" w:firstLineChars="200"/>
        <w:rPr>
          <w:rFonts w:hint="eastAsia" w:ascii="宋体" w:hAnsi="宋体" w:eastAsia="宋体" w:cs="宋体"/>
          <w:sz w:val="24"/>
          <w:szCs w:val="24"/>
          <w:lang w:eastAsia="zh-CN"/>
        </w:rPr>
      </w:pPr>
      <w:bookmarkStart w:id="72" w:name="_Ref467379657"/>
      <w:r>
        <w:rPr>
          <w:rFonts w:hint="eastAsia" w:ascii="宋体" w:hAnsi="宋体" w:eastAsia="宋体" w:cs="宋体"/>
          <w:sz w:val="24"/>
          <w:szCs w:val="24"/>
          <w:lang w:eastAsia="zh-CN"/>
        </w:rPr>
        <w:t>2.5.1</w:t>
      </w:r>
      <w:bookmarkEnd w:id="72"/>
      <w:bookmarkStart w:id="73" w:name="_Toc186431854"/>
      <w:bookmarkStart w:id="74" w:name="_Ref467379793"/>
      <w:bookmarkStart w:id="75" w:name="_Ref467379807"/>
      <w:bookmarkStart w:id="76" w:name="_Toc487900357"/>
      <w:bookmarkStart w:id="77" w:name="_Toc259093676"/>
      <w:bookmarkStart w:id="78" w:name="_Toc279701247"/>
      <w:r>
        <w:rPr>
          <w:rFonts w:hint="eastAsia" w:ascii="宋体" w:hAnsi="宋体" w:eastAsia="宋体" w:cs="宋体"/>
          <w:sz w:val="24"/>
          <w:szCs w:val="24"/>
          <w:lang w:eastAsia="zh-CN"/>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2.5.2 合同履行期间，甲方有权将履行过程中出现的问题反馈给乙方，双方当事人应以书面形式约定需要完善和改进的内容</w:t>
      </w:r>
      <w:bookmarkEnd w:id="73"/>
      <w:bookmarkStart w:id="79" w:name="_Toc186431855"/>
      <w:r>
        <w:rPr>
          <w:rFonts w:hint="eastAsia" w:ascii="宋体" w:hAnsi="宋体" w:eastAsia="宋体" w:cs="宋体"/>
          <w:sz w:val="24"/>
          <w:szCs w:val="24"/>
          <w:lang w:eastAsia="zh-CN"/>
        </w:rPr>
        <w:t>。</w:t>
      </w:r>
    </w:p>
    <w:bookmarkEnd w:id="79"/>
    <w:p>
      <w:pPr>
        <w:spacing w:line="560" w:lineRule="exact"/>
        <w:ind w:firstLine="482" w:firstLineChars="200"/>
        <w:outlineLvl w:val="0"/>
        <w:rPr>
          <w:rFonts w:hint="eastAsia" w:ascii="宋体" w:hAnsi="宋体" w:eastAsia="宋体" w:cs="宋体"/>
          <w:b/>
          <w:sz w:val="24"/>
          <w:szCs w:val="24"/>
          <w:lang w:eastAsia="zh-CN"/>
        </w:rPr>
      </w:pPr>
      <w:bookmarkStart w:id="80" w:name="_Toc28451"/>
      <w:bookmarkStart w:id="81" w:name="_Toc19219"/>
      <w:bookmarkStart w:id="82" w:name="_Toc7836"/>
      <w:r>
        <w:rPr>
          <w:rFonts w:hint="eastAsia" w:ascii="宋体" w:hAnsi="宋体" w:eastAsia="宋体" w:cs="宋体"/>
          <w:b/>
          <w:sz w:val="24"/>
          <w:szCs w:val="24"/>
          <w:lang w:eastAsia="zh-CN"/>
        </w:rPr>
        <w:t>2.6 结算方式和付款条件</w:t>
      </w:r>
      <w:bookmarkEnd w:id="74"/>
      <w:bookmarkEnd w:id="75"/>
      <w:bookmarkEnd w:id="76"/>
      <w:bookmarkEnd w:id="77"/>
      <w:bookmarkEnd w:id="78"/>
      <w:bookmarkEnd w:id="80"/>
      <w:bookmarkEnd w:id="81"/>
      <w:bookmarkEnd w:id="82"/>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详见</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w:t>
      </w:r>
    </w:p>
    <w:p>
      <w:pPr>
        <w:spacing w:line="560" w:lineRule="exact"/>
        <w:ind w:firstLine="482" w:firstLineChars="200"/>
        <w:outlineLvl w:val="0"/>
        <w:rPr>
          <w:rFonts w:hint="eastAsia" w:ascii="宋体" w:hAnsi="宋体" w:eastAsia="宋体" w:cs="宋体"/>
          <w:b/>
          <w:sz w:val="24"/>
          <w:szCs w:val="24"/>
          <w:lang w:eastAsia="zh-CN"/>
        </w:rPr>
      </w:pPr>
      <w:bookmarkStart w:id="83" w:name="_Toc279701248"/>
      <w:bookmarkStart w:id="84" w:name="_Ref467379852"/>
      <w:bookmarkStart w:id="85" w:name="_Toc259093677"/>
      <w:bookmarkStart w:id="86" w:name="_Toc487900358"/>
      <w:bookmarkStart w:id="87" w:name="_Ref467379863"/>
      <w:bookmarkStart w:id="88" w:name="_Ref467379923"/>
      <w:bookmarkStart w:id="89" w:name="_Toc774"/>
      <w:bookmarkStart w:id="90" w:name="_Toc16110"/>
      <w:bookmarkStart w:id="91" w:name="_Toc3225"/>
      <w:r>
        <w:rPr>
          <w:rFonts w:hint="eastAsia" w:ascii="宋体" w:hAnsi="宋体" w:eastAsia="宋体" w:cs="宋体"/>
          <w:b/>
          <w:sz w:val="24"/>
          <w:szCs w:val="24"/>
          <w:lang w:eastAsia="zh-CN"/>
        </w:rPr>
        <w:t>2.7 技术资料</w:t>
      </w:r>
      <w:bookmarkEnd w:id="83"/>
      <w:bookmarkEnd w:id="84"/>
      <w:bookmarkEnd w:id="85"/>
      <w:bookmarkEnd w:id="86"/>
      <w:bookmarkEnd w:id="87"/>
      <w:bookmarkEnd w:id="88"/>
      <w:r>
        <w:rPr>
          <w:rFonts w:hint="eastAsia" w:ascii="宋体" w:hAnsi="宋体" w:eastAsia="宋体" w:cs="宋体"/>
          <w:b/>
          <w:sz w:val="24"/>
          <w:szCs w:val="24"/>
          <w:lang w:eastAsia="zh-CN"/>
        </w:rPr>
        <w:t>和保密义务</w:t>
      </w:r>
      <w:bookmarkEnd w:id="89"/>
      <w:bookmarkEnd w:id="90"/>
      <w:bookmarkEnd w:id="91"/>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2.7.1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2.7.2 乙方有义务妥善保管和保护由甲方提供的前款信息和资料等；</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sz w:val="24"/>
          <w:szCs w:val="24"/>
          <w:lang w:eastAsia="zh-CN"/>
        </w:rPr>
      </w:pPr>
      <w:bookmarkStart w:id="92" w:name="_Toc7860"/>
      <w:r>
        <w:rPr>
          <w:rFonts w:hint="eastAsia" w:ascii="宋体" w:hAnsi="宋体" w:eastAsia="宋体" w:cs="宋体"/>
          <w:b/>
          <w:sz w:val="24"/>
          <w:szCs w:val="24"/>
          <w:lang w:eastAsia="zh-CN"/>
        </w:rPr>
        <w:t>2.8 质量保证</w:t>
      </w:r>
      <w:bookmarkEnd w:id="92"/>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2.8.1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2.8.2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sz w:val="24"/>
          <w:szCs w:val="24"/>
          <w:lang w:eastAsia="zh-CN"/>
        </w:rPr>
      </w:pPr>
      <w:bookmarkStart w:id="93" w:name="_Toc17244"/>
      <w:bookmarkStart w:id="94" w:name="_Toc259093681"/>
      <w:bookmarkStart w:id="95" w:name="_Toc487900362"/>
      <w:bookmarkStart w:id="96" w:name="_Toc279701252"/>
      <w:r>
        <w:rPr>
          <w:rFonts w:hint="eastAsia" w:ascii="宋体" w:hAnsi="宋体" w:eastAsia="宋体" w:cs="宋体"/>
          <w:b/>
          <w:sz w:val="24"/>
          <w:szCs w:val="24"/>
          <w:lang w:eastAsia="zh-CN"/>
        </w:rPr>
        <w:t>2.9 货物的风险负担</w:t>
      </w:r>
      <w:bookmarkEnd w:id="93"/>
    </w:p>
    <w:p>
      <w:pPr>
        <w:spacing w:line="560" w:lineRule="exact"/>
        <w:ind w:firstLine="480" w:firstLineChars="200"/>
        <w:rPr>
          <w:rFonts w:hint="eastAsia" w:ascii="宋体" w:hAnsi="宋体" w:eastAsia="宋体" w:cs="宋体"/>
          <w:b/>
          <w:sz w:val="24"/>
          <w:szCs w:val="24"/>
          <w:lang w:eastAsia="zh-CN"/>
        </w:rPr>
      </w:pPr>
      <w:r>
        <w:rPr>
          <w:rFonts w:hint="eastAsia" w:ascii="宋体" w:hAnsi="宋体" w:eastAsia="宋体" w:cs="宋体"/>
          <w:sz w:val="24"/>
          <w:szCs w:val="24"/>
          <w:lang w:eastAsia="zh-CN"/>
        </w:rPr>
        <w:t>货物或者在途货物或者交付给第一承运人后的货物毁损、灭失的风险负担详见</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w:t>
      </w:r>
    </w:p>
    <w:p>
      <w:pPr>
        <w:spacing w:line="560" w:lineRule="exact"/>
        <w:ind w:firstLine="482" w:firstLineChars="200"/>
        <w:outlineLvl w:val="0"/>
        <w:rPr>
          <w:rFonts w:hint="eastAsia" w:ascii="宋体" w:hAnsi="宋体" w:eastAsia="宋体" w:cs="宋体"/>
          <w:b/>
          <w:sz w:val="24"/>
          <w:szCs w:val="24"/>
          <w:lang w:eastAsia="zh-CN"/>
        </w:rPr>
      </w:pPr>
      <w:bookmarkStart w:id="97" w:name="_Toc14055"/>
      <w:r>
        <w:rPr>
          <w:rFonts w:hint="eastAsia" w:ascii="宋体" w:hAnsi="宋体" w:eastAsia="宋体" w:cs="宋体"/>
          <w:b/>
          <w:sz w:val="24"/>
          <w:szCs w:val="24"/>
          <w:lang w:eastAsia="zh-CN"/>
        </w:rPr>
        <w:t>2.10 延迟交货</w:t>
      </w:r>
      <w:bookmarkEnd w:id="94"/>
      <w:bookmarkEnd w:id="95"/>
      <w:bookmarkEnd w:id="96"/>
      <w:bookmarkEnd w:id="97"/>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宋体" w:hAnsi="宋体" w:eastAsia="宋体" w:cs="宋体"/>
          <w:b/>
          <w:sz w:val="24"/>
          <w:szCs w:val="24"/>
          <w:lang w:eastAsia="zh-CN"/>
        </w:rPr>
      </w:pPr>
      <w:bookmarkStart w:id="98" w:name="_Toc7502"/>
      <w:bookmarkStart w:id="99" w:name="_Ref467378121"/>
      <w:bookmarkStart w:id="100" w:name="_Toc279701254"/>
      <w:bookmarkStart w:id="101" w:name="_Toc487900364"/>
      <w:bookmarkStart w:id="102" w:name="_Toc259093683"/>
      <w:r>
        <w:rPr>
          <w:rFonts w:hint="eastAsia" w:ascii="宋体" w:hAnsi="宋体" w:eastAsia="宋体" w:cs="宋体"/>
          <w:b/>
          <w:sz w:val="24"/>
          <w:szCs w:val="24"/>
          <w:lang w:eastAsia="zh-CN"/>
        </w:rPr>
        <w:t>2.11 合同变更</w:t>
      </w:r>
      <w:bookmarkEnd w:id="98"/>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2.11.2 合同继续履行将损害国家利益和社会公共利益的，双方当事人应当以书面形式变更合同。有过错的一方应当承担赔偿责任，双方当事人都有过错的，各自承担相应的责任。</w:t>
      </w:r>
      <w:bookmarkStart w:id="103" w:name="_Toc259093688"/>
      <w:bookmarkStart w:id="104" w:name="_Toc487900369"/>
      <w:bookmarkStart w:id="105" w:name="_Toc279701259"/>
    </w:p>
    <w:p>
      <w:pPr>
        <w:spacing w:line="560" w:lineRule="exact"/>
        <w:ind w:firstLine="482" w:firstLineChars="200"/>
        <w:outlineLvl w:val="0"/>
        <w:rPr>
          <w:rFonts w:hint="eastAsia" w:ascii="宋体" w:hAnsi="宋体" w:eastAsia="宋体" w:cs="宋体"/>
          <w:b/>
          <w:sz w:val="24"/>
          <w:szCs w:val="24"/>
          <w:lang w:eastAsia="zh-CN"/>
        </w:rPr>
      </w:pPr>
      <w:bookmarkStart w:id="106" w:name="_Toc10366"/>
      <w:bookmarkStart w:id="107" w:name="_Toc15237"/>
      <w:bookmarkStart w:id="108" w:name="_Toc22955"/>
      <w:r>
        <w:rPr>
          <w:rFonts w:hint="eastAsia" w:ascii="宋体" w:hAnsi="宋体" w:eastAsia="宋体" w:cs="宋体"/>
          <w:b/>
          <w:sz w:val="24"/>
          <w:szCs w:val="24"/>
          <w:lang w:eastAsia="zh-CN"/>
        </w:rPr>
        <w:t>2.12 合同转让</w:t>
      </w:r>
      <w:bookmarkEnd w:id="103"/>
      <w:bookmarkEnd w:id="104"/>
      <w:bookmarkEnd w:id="105"/>
      <w:r>
        <w:rPr>
          <w:rFonts w:hint="eastAsia" w:ascii="宋体" w:hAnsi="宋体" w:eastAsia="宋体" w:cs="宋体"/>
          <w:b/>
          <w:sz w:val="24"/>
          <w:szCs w:val="24"/>
          <w:lang w:eastAsia="zh-CN"/>
        </w:rPr>
        <w:t>和分包</w:t>
      </w:r>
      <w:bookmarkEnd w:id="106"/>
      <w:bookmarkEnd w:id="107"/>
      <w:bookmarkEnd w:id="108"/>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sz w:val="24"/>
          <w:szCs w:val="24"/>
          <w:lang w:eastAsia="zh-CN"/>
        </w:rPr>
      </w:pPr>
      <w:bookmarkStart w:id="109" w:name="_Toc13566"/>
      <w:bookmarkStart w:id="110" w:name="_Toc14066"/>
      <w:bookmarkStart w:id="111" w:name="_Toc16508"/>
      <w:r>
        <w:rPr>
          <w:rFonts w:hint="eastAsia" w:ascii="宋体" w:hAnsi="宋体" w:eastAsia="宋体" w:cs="宋体"/>
          <w:b/>
          <w:sz w:val="24"/>
          <w:szCs w:val="24"/>
          <w:lang w:eastAsia="zh-CN"/>
        </w:rPr>
        <w:t>2.13 不可抗力</w:t>
      </w:r>
      <w:bookmarkEnd w:id="109"/>
      <w:bookmarkEnd w:id="110"/>
      <w:bookmarkEnd w:id="111"/>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2.13.2 因不可抗力致使不能实现合同目的的，当事人可以解除合同；</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2.13.3 因不可抗力致使合同有变更必要的，双方当事人应在</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约定时间内以书面形式变更合同；</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2.13.4受不可抗力影响的一方在不可抗力发生后，应在</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约定时间内以书面形式通知对方当事人，并在</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约定时间内，将有关部门出具的证明文件送达对方当事人。</w:t>
      </w:r>
    </w:p>
    <w:p>
      <w:pPr>
        <w:spacing w:line="560" w:lineRule="exact"/>
        <w:ind w:firstLine="482" w:firstLineChars="200"/>
        <w:outlineLvl w:val="0"/>
        <w:rPr>
          <w:rFonts w:hint="eastAsia" w:ascii="宋体" w:hAnsi="宋体" w:eastAsia="宋体" w:cs="宋体"/>
          <w:b/>
          <w:sz w:val="24"/>
          <w:szCs w:val="24"/>
          <w:lang w:eastAsia="zh-CN"/>
        </w:rPr>
      </w:pPr>
      <w:bookmarkStart w:id="112" w:name="_Toc487900365"/>
      <w:bookmarkStart w:id="113" w:name="_Toc6969"/>
      <w:bookmarkStart w:id="114" w:name="_Toc30676"/>
      <w:bookmarkStart w:id="115" w:name="_Toc259093684"/>
      <w:bookmarkStart w:id="116" w:name="_Toc689"/>
      <w:bookmarkStart w:id="117" w:name="_Toc279701255"/>
      <w:r>
        <w:rPr>
          <w:rFonts w:hint="eastAsia" w:ascii="宋体" w:hAnsi="宋体" w:eastAsia="宋体" w:cs="宋体"/>
          <w:b/>
          <w:sz w:val="24"/>
          <w:szCs w:val="24"/>
          <w:lang w:eastAsia="zh-CN"/>
        </w:rPr>
        <w:t>2.14 税费</w:t>
      </w:r>
      <w:bookmarkEnd w:id="112"/>
      <w:bookmarkEnd w:id="113"/>
      <w:bookmarkEnd w:id="114"/>
      <w:bookmarkEnd w:id="115"/>
      <w:bookmarkEnd w:id="116"/>
      <w:bookmarkEnd w:id="117"/>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与合同有关的一切税费，均按照中华人民共和国法律的相关规定。</w:t>
      </w:r>
    </w:p>
    <w:p>
      <w:pPr>
        <w:spacing w:line="560" w:lineRule="exact"/>
        <w:ind w:firstLine="482" w:firstLineChars="200"/>
        <w:outlineLvl w:val="0"/>
        <w:rPr>
          <w:rFonts w:hint="eastAsia" w:ascii="宋体" w:hAnsi="宋体" w:eastAsia="宋体" w:cs="宋体"/>
          <w:b/>
          <w:sz w:val="24"/>
          <w:szCs w:val="24"/>
          <w:lang w:eastAsia="zh-CN"/>
        </w:rPr>
      </w:pPr>
      <w:bookmarkStart w:id="118" w:name="_Toc259093687"/>
      <w:bookmarkStart w:id="119" w:name="_Toc16959"/>
      <w:bookmarkStart w:id="120" w:name="_Toc8298"/>
      <w:bookmarkStart w:id="121" w:name="_Toc487900368"/>
      <w:bookmarkStart w:id="122" w:name="_Toc279701258"/>
      <w:bookmarkStart w:id="123" w:name="_Toc7102"/>
      <w:r>
        <w:rPr>
          <w:rFonts w:hint="eastAsia" w:ascii="宋体" w:hAnsi="宋体" w:eastAsia="宋体" w:cs="宋体"/>
          <w:b/>
          <w:sz w:val="24"/>
          <w:szCs w:val="24"/>
          <w:lang w:eastAsia="zh-CN"/>
        </w:rPr>
        <w:t>2.15 乙方破产</w:t>
      </w:r>
      <w:bookmarkEnd w:id="118"/>
      <w:bookmarkEnd w:id="119"/>
      <w:bookmarkEnd w:id="120"/>
      <w:bookmarkEnd w:id="121"/>
      <w:bookmarkEnd w:id="122"/>
      <w:bookmarkEnd w:id="123"/>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sz w:val="24"/>
          <w:szCs w:val="24"/>
          <w:lang w:eastAsia="zh-CN"/>
        </w:rPr>
      </w:pPr>
      <w:bookmarkStart w:id="124" w:name="_Toc6134"/>
      <w:bookmarkStart w:id="125" w:name="_Toc29333"/>
      <w:bookmarkStart w:id="126" w:name="_Toc15387"/>
      <w:r>
        <w:rPr>
          <w:rFonts w:hint="eastAsia" w:ascii="宋体" w:hAnsi="宋体" w:eastAsia="宋体" w:cs="宋体"/>
          <w:b/>
          <w:sz w:val="24"/>
          <w:szCs w:val="24"/>
          <w:lang w:eastAsia="zh-CN"/>
        </w:rPr>
        <w:t>2.16 合同中止、终止</w:t>
      </w:r>
      <w:bookmarkEnd w:id="124"/>
      <w:bookmarkEnd w:id="125"/>
      <w:bookmarkEnd w:id="126"/>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2.16.1 双方当事人不得擅自中止或者终止合同；</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2.16.2合同继续履行将损害国家利益和社会公共利益的，双方当事人应当中止或者终止合同。有过错的一方应当承担赔偿责任，双方当事人都有过错的，各自承担相应的责任。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sz w:val="24"/>
          <w:szCs w:val="24"/>
          <w:lang w:eastAsia="zh-CN"/>
        </w:rPr>
      </w:pPr>
      <w:bookmarkStart w:id="127" w:name="_Toc6596"/>
      <w:bookmarkStart w:id="128" w:name="_Toc14563"/>
      <w:bookmarkStart w:id="129" w:name="_Toc1125"/>
      <w:r>
        <w:rPr>
          <w:rFonts w:hint="eastAsia" w:ascii="宋体" w:hAnsi="宋体" w:eastAsia="宋体" w:cs="宋体"/>
          <w:b/>
          <w:sz w:val="24"/>
          <w:szCs w:val="24"/>
          <w:lang w:eastAsia="zh-CN"/>
        </w:rPr>
        <w:t>2.17 检验和验收</w:t>
      </w:r>
      <w:bookmarkEnd w:id="127"/>
      <w:bookmarkEnd w:id="128"/>
      <w:bookmarkEnd w:id="129"/>
    </w:p>
    <w:p>
      <w:pPr>
        <w:tabs>
          <w:tab w:val="left" w:pos="360"/>
          <w:tab w:val="left" w:pos="540"/>
          <w:tab w:val="left" w:pos="1080"/>
        </w:tabs>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2.17.1货物交付前，乙方应对货物的质量、数量等方面进行详细、全面的检验，并向甲方出具证明货物符合合同约定的文件；货物交付时，乙方在</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2.17.3 检验和验收标准、程序等具体内容以及前述验收书的效力详见</w:t>
      </w:r>
      <w:r>
        <w:rPr>
          <w:rFonts w:hint="eastAsia" w:ascii="宋体" w:hAnsi="宋体" w:eastAsia="宋体" w:cs="宋体"/>
          <w:b/>
          <w:i/>
          <w:sz w:val="24"/>
          <w:szCs w:val="24"/>
          <w:u w:val="single"/>
          <w:lang w:eastAsia="zh-CN"/>
        </w:rPr>
        <w:t>合同专用条款</w:t>
      </w:r>
      <w:r>
        <w:rPr>
          <w:rFonts w:hint="eastAsia" w:ascii="宋体" w:hAnsi="宋体" w:eastAsia="宋体" w:cs="宋体"/>
          <w:i/>
          <w:sz w:val="24"/>
          <w:szCs w:val="24"/>
          <w:lang w:eastAsia="zh-CN"/>
        </w:rPr>
        <w:t>。</w:t>
      </w:r>
    </w:p>
    <w:bookmarkEnd w:id="99"/>
    <w:bookmarkEnd w:id="100"/>
    <w:bookmarkEnd w:id="101"/>
    <w:bookmarkEnd w:id="102"/>
    <w:p>
      <w:pPr>
        <w:spacing w:line="560" w:lineRule="exact"/>
        <w:ind w:firstLine="482" w:firstLineChars="200"/>
        <w:outlineLvl w:val="0"/>
        <w:rPr>
          <w:rFonts w:hint="eastAsia" w:ascii="宋体" w:hAnsi="宋体" w:eastAsia="宋体" w:cs="宋体"/>
          <w:b/>
          <w:sz w:val="24"/>
          <w:szCs w:val="24"/>
          <w:lang w:eastAsia="zh-CN"/>
        </w:rPr>
      </w:pPr>
      <w:bookmarkStart w:id="130" w:name="_Toc279701261"/>
      <w:bookmarkStart w:id="131" w:name="_Toc487900371"/>
      <w:bookmarkStart w:id="132" w:name="_Toc259093690"/>
      <w:bookmarkStart w:id="133" w:name="_Toc11284"/>
      <w:bookmarkStart w:id="134" w:name="_Toc19604"/>
      <w:bookmarkStart w:id="135" w:name="_Toc25182"/>
      <w:r>
        <w:rPr>
          <w:rFonts w:hint="eastAsia" w:ascii="宋体" w:hAnsi="宋体" w:eastAsia="宋体" w:cs="宋体"/>
          <w:b/>
          <w:sz w:val="24"/>
          <w:szCs w:val="24"/>
          <w:lang w:eastAsia="zh-CN"/>
        </w:rPr>
        <w:t>2.18 通知</w:t>
      </w:r>
      <w:bookmarkEnd w:id="130"/>
      <w:bookmarkEnd w:id="131"/>
      <w:bookmarkEnd w:id="132"/>
      <w:r>
        <w:rPr>
          <w:rFonts w:hint="eastAsia" w:ascii="宋体" w:hAnsi="宋体" w:eastAsia="宋体" w:cs="宋体"/>
          <w:b/>
          <w:sz w:val="24"/>
          <w:szCs w:val="24"/>
          <w:lang w:eastAsia="zh-CN"/>
        </w:rPr>
        <w:t>和送达</w:t>
      </w:r>
      <w:bookmarkEnd w:id="133"/>
      <w:bookmarkEnd w:id="134"/>
      <w:bookmarkEnd w:id="135"/>
    </w:p>
    <w:p>
      <w:pPr>
        <w:spacing w:line="560" w:lineRule="exact"/>
        <w:ind w:firstLine="480" w:firstLineChars="200"/>
        <w:rPr>
          <w:rFonts w:hint="eastAsia" w:ascii="宋体" w:hAnsi="宋体" w:eastAsia="宋体" w:cs="宋体"/>
          <w:sz w:val="24"/>
          <w:szCs w:val="24"/>
          <w:lang w:eastAsia="zh-CN"/>
        </w:rPr>
      </w:pPr>
      <w:bookmarkStart w:id="136" w:name="_Toc6698"/>
      <w:bookmarkStart w:id="137" w:name="_Toc3135"/>
      <w:bookmarkStart w:id="138" w:name="_Toc279701262"/>
      <w:bookmarkStart w:id="139" w:name="_Toc487900372"/>
      <w:bookmarkStart w:id="140" w:name="_Toc259093691"/>
      <w:r>
        <w:rPr>
          <w:rFonts w:hint="eastAsia" w:ascii="宋体" w:hAnsi="宋体" w:eastAsia="宋体" w:cs="宋体"/>
          <w:sz w:val="24"/>
          <w:szCs w:val="24"/>
          <w:lang w:eastAsia="zh-CN"/>
        </w:rPr>
        <w:t>2.18.1 任何一方因履行合同而以合同第一部分尾部所列明的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发出的所有通知、文件、材料，均视为已向对方当事人送达；任何一方变更上述送达方式或者地址的，应于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个工作日内书面通知对方当事人，在对方当事人收到有关变更通知之前，变更前的约定送达方式或者地址仍视为有效。</w:t>
      </w:r>
      <w:bookmarkEnd w:id="136"/>
      <w:bookmarkEnd w:id="137"/>
    </w:p>
    <w:p>
      <w:pPr>
        <w:spacing w:line="560" w:lineRule="exact"/>
        <w:ind w:firstLine="480" w:firstLineChars="200"/>
        <w:rPr>
          <w:rFonts w:hint="eastAsia" w:ascii="宋体" w:hAnsi="宋体" w:eastAsia="宋体" w:cs="宋体"/>
          <w:sz w:val="24"/>
          <w:szCs w:val="24"/>
          <w:lang w:eastAsia="zh-CN"/>
        </w:rPr>
      </w:pPr>
      <w:bookmarkStart w:id="141" w:name="_Toc23128"/>
      <w:bookmarkStart w:id="142" w:name="_Toc23294"/>
      <w:r>
        <w:rPr>
          <w:rFonts w:hint="eastAsia" w:ascii="宋体" w:hAnsi="宋体" w:eastAsia="宋体" w:cs="宋体"/>
          <w:sz w:val="24"/>
          <w:szCs w:val="24"/>
          <w:lang w:eastAsia="zh-CN"/>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1"/>
      <w:bookmarkEnd w:id="142"/>
    </w:p>
    <w:p>
      <w:pPr>
        <w:spacing w:line="560" w:lineRule="exact"/>
        <w:ind w:firstLine="482" w:firstLineChars="200"/>
        <w:outlineLvl w:val="0"/>
        <w:rPr>
          <w:rFonts w:hint="eastAsia" w:ascii="宋体" w:hAnsi="宋体" w:eastAsia="宋体" w:cs="宋体"/>
          <w:b/>
          <w:sz w:val="24"/>
          <w:szCs w:val="24"/>
          <w:lang w:eastAsia="zh-CN"/>
        </w:rPr>
      </w:pPr>
      <w:bookmarkStart w:id="143" w:name="_Toc4355"/>
      <w:bookmarkStart w:id="144" w:name="_Toc18540"/>
      <w:bookmarkStart w:id="145" w:name="_Toc30599"/>
      <w:r>
        <w:rPr>
          <w:rFonts w:hint="eastAsia" w:ascii="宋体" w:hAnsi="宋体" w:eastAsia="宋体" w:cs="宋体"/>
          <w:b/>
          <w:sz w:val="24"/>
          <w:szCs w:val="24"/>
          <w:lang w:eastAsia="zh-CN"/>
        </w:rPr>
        <w:t>2.19 计量单位</w:t>
      </w:r>
      <w:bookmarkEnd w:id="138"/>
      <w:bookmarkEnd w:id="139"/>
      <w:bookmarkEnd w:id="140"/>
      <w:bookmarkEnd w:id="143"/>
      <w:bookmarkEnd w:id="144"/>
      <w:bookmarkEnd w:id="145"/>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除技术规范中另有规定外,合同的计量单位均使用国家法定计量单位。</w:t>
      </w:r>
    </w:p>
    <w:p>
      <w:pPr>
        <w:spacing w:line="360" w:lineRule="auto"/>
        <w:ind w:firstLine="482" w:firstLineChars="200"/>
        <w:outlineLvl w:val="0"/>
        <w:rPr>
          <w:rFonts w:hint="eastAsia" w:ascii="宋体" w:hAnsi="宋体" w:eastAsia="宋体" w:cs="宋体"/>
          <w:b/>
          <w:sz w:val="24"/>
          <w:szCs w:val="24"/>
          <w:lang w:eastAsia="zh-CN"/>
        </w:rPr>
      </w:pPr>
      <w:bookmarkStart w:id="146" w:name="_Toc18567"/>
      <w:bookmarkStart w:id="147" w:name="_Toc279701263"/>
      <w:bookmarkStart w:id="148" w:name="_Toc259093692"/>
      <w:bookmarkStart w:id="149" w:name="_Toc12773"/>
      <w:bookmarkStart w:id="150" w:name="_Toc487900373"/>
      <w:bookmarkStart w:id="151" w:name="_Toc10330"/>
      <w:r>
        <w:rPr>
          <w:rFonts w:hint="eastAsia" w:ascii="宋体" w:hAnsi="宋体" w:eastAsia="宋体" w:cs="宋体"/>
          <w:b/>
          <w:sz w:val="24"/>
          <w:szCs w:val="24"/>
          <w:lang w:eastAsia="zh-CN"/>
        </w:rPr>
        <w:t>2.20 合同使用的文字和适用的法律</w:t>
      </w:r>
      <w:bookmarkEnd w:id="146"/>
      <w:bookmarkEnd w:id="147"/>
      <w:bookmarkEnd w:id="148"/>
      <w:bookmarkEnd w:id="149"/>
      <w:bookmarkEnd w:id="150"/>
      <w:bookmarkEnd w:id="151"/>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2.20.1 合同使用汉语书就、变更和解释；</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2.20.2 合同适用中华人民共和国法律。</w:t>
      </w:r>
    </w:p>
    <w:p>
      <w:pPr>
        <w:spacing w:line="360" w:lineRule="auto"/>
        <w:ind w:firstLine="482" w:firstLineChars="200"/>
        <w:outlineLvl w:val="0"/>
        <w:rPr>
          <w:rFonts w:hint="eastAsia" w:ascii="宋体" w:hAnsi="宋体" w:eastAsia="宋体" w:cs="宋体"/>
          <w:b/>
          <w:sz w:val="24"/>
          <w:szCs w:val="24"/>
          <w:lang w:eastAsia="zh-CN"/>
        </w:rPr>
      </w:pPr>
      <w:bookmarkStart w:id="152" w:name="_Toc259093693"/>
      <w:bookmarkStart w:id="153" w:name="_Toc16673"/>
      <w:bookmarkStart w:id="154" w:name="_Toc12004"/>
      <w:bookmarkStart w:id="155" w:name="_Toc279701264"/>
      <w:bookmarkStart w:id="156" w:name="_Toc3148"/>
      <w:bookmarkStart w:id="157" w:name="_Toc14001"/>
      <w:bookmarkStart w:id="158" w:name="_Toc6885"/>
      <w:bookmarkStart w:id="159" w:name="_Toc19890"/>
      <w:r>
        <w:rPr>
          <w:rFonts w:hint="eastAsia" w:ascii="宋体" w:hAnsi="宋体" w:eastAsia="宋体" w:cs="宋体"/>
          <w:b/>
          <w:sz w:val="24"/>
          <w:szCs w:val="24"/>
          <w:lang w:eastAsia="zh-CN"/>
        </w:rPr>
        <w:t>2.21 履约保证金</w:t>
      </w:r>
      <w:bookmarkEnd w:id="152"/>
      <w:bookmarkEnd w:id="153"/>
      <w:bookmarkEnd w:id="154"/>
      <w:bookmarkEnd w:id="155"/>
      <w:bookmarkEnd w:id="156"/>
      <w:r>
        <w:rPr>
          <w:rFonts w:hint="eastAsia" w:ascii="宋体" w:hAnsi="宋体" w:eastAsia="宋体" w:cs="宋体"/>
          <w:b/>
          <w:sz w:val="24"/>
          <w:szCs w:val="24"/>
          <w:lang w:eastAsia="zh-CN"/>
        </w:rPr>
        <w:t>和质量保证金</w:t>
      </w:r>
    </w:p>
    <w:p>
      <w:pPr>
        <w:spacing w:line="360" w:lineRule="auto"/>
        <w:ind w:firstLine="480" w:firstLineChars="200"/>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依据河南省财政厅豫财购（2019）4号文</w:t>
      </w:r>
      <w:r>
        <w:rPr>
          <w:rFonts w:hint="eastAsia" w:ascii="宋体" w:hAnsi="宋体" w:eastAsia="宋体" w:cs="宋体"/>
          <w:sz w:val="24"/>
          <w:szCs w:val="24"/>
          <w:lang w:val="en-US" w:eastAsia="zh-CN"/>
        </w:rPr>
        <w:t>和南阳市财政局关于优化政府采购营商环境有关问题的通知</w:t>
      </w:r>
      <w:r>
        <w:rPr>
          <w:rFonts w:hint="eastAsia" w:ascii="宋体" w:hAnsi="宋体" w:eastAsia="宋体" w:cs="宋体"/>
          <w:sz w:val="24"/>
          <w:szCs w:val="24"/>
          <w:lang w:eastAsia="zh-CN"/>
        </w:rPr>
        <w:t>要求，本项目无履约保证金和质量保证金。</w:t>
      </w:r>
    </w:p>
    <w:p>
      <w:pPr>
        <w:spacing w:line="360" w:lineRule="auto"/>
        <w:ind w:firstLine="482" w:firstLineChars="200"/>
        <w:outlineLvl w:val="0"/>
        <w:rPr>
          <w:rFonts w:hint="eastAsia" w:ascii="宋体" w:hAnsi="宋体" w:eastAsia="宋体" w:cs="宋体"/>
          <w:b/>
          <w:sz w:val="24"/>
          <w:szCs w:val="24"/>
          <w:lang w:eastAsia="zh-CN"/>
        </w:rPr>
      </w:pPr>
      <w:r>
        <w:rPr>
          <w:rFonts w:hint="eastAsia" w:ascii="宋体" w:hAnsi="宋体" w:eastAsia="宋体" w:cs="宋体"/>
          <w:b/>
          <w:sz w:val="24"/>
          <w:szCs w:val="24"/>
          <w:lang w:eastAsia="zh-CN"/>
        </w:rPr>
        <w:t>2.21合同份数</w:t>
      </w:r>
      <w:bookmarkEnd w:id="157"/>
      <w:bookmarkEnd w:id="158"/>
      <w:bookmarkEnd w:id="159"/>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合同份数按</w:t>
      </w:r>
      <w:r>
        <w:rPr>
          <w:rFonts w:hint="eastAsia" w:ascii="宋体" w:hAnsi="宋体" w:eastAsia="宋体" w:cs="宋体"/>
          <w:b/>
          <w:i/>
          <w:sz w:val="24"/>
          <w:szCs w:val="24"/>
          <w:u w:val="single"/>
          <w:lang w:eastAsia="zh-CN"/>
        </w:rPr>
        <w:t>合同专用条款</w:t>
      </w:r>
      <w:r>
        <w:rPr>
          <w:rFonts w:hint="eastAsia" w:ascii="宋体" w:hAnsi="宋体" w:eastAsia="宋体" w:cs="宋体"/>
          <w:sz w:val="24"/>
          <w:szCs w:val="24"/>
          <w:lang w:eastAsia="zh-CN"/>
        </w:rPr>
        <w:t>规定，每份均具有同等法律效力。</w:t>
      </w:r>
    </w:p>
    <w:p>
      <w:pPr>
        <w:autoSpaceDE w:val="0"/>
        <w:autoSpaceDN w:val="0"/>
        <w:adjustRightInd w:val="0"/>
        <w:spacing w:line="560" w:lineRule="exact"/>
        <w:jc w:val="center"/>
        <w:rPr>
          <w:rFonts w:hint="eastAsia" w:ascii="宋体" w:hAnsi="宋体" w:eastAsia="宋体" w:cs="宋体"/>
          <w:b/>
          <w:sz w:val="24"/>
          <w:szCs w:val="24"/>
          <w:lang w:eastAsia="zh-CN"/>
        </w:rPr>
      </w:pPr>
      <w:bookmarkStart w:id="160" w:name="_Toc331685784"/>
    </w:p>
    <w:p>
      <w:pPr>
        <w:autoSpaceDE w:val="0"/>
        <w:autoSpaceDN w:val="0"/>
        <w:adjustRightInd w:val="0"/>
        <w:spacing w:line="560" w:lineRule="exact"/>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第三部分  合同专用条款</w:t>
      </w:r>
      <w:bookmarkEnd w:id="160"/>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4"/>
                <w:szCs w:val="24"/>
              </w:rPr>
            </w:pPr>
          </w:p>
        </w:tc>
      </w:tr>
    </w:tbl>
    <w:p>
      <w:pPr>
        <w:spacing w:line="220" w:lineRule="auto"/>
        <w:rPr>
          <w:rFonts w:hint="eastAsia" w:ascii="宋体" w:hAnsi="宋体" w:eastAsia="宋体" w:cs="宋体"/>
          <w:sz w:val="24"/>
          <w:szCs w:val="24"/>
        </w:rPr>
        <w:sectPr>
          <w:headerReference r:id="rId9" w:type="default"/>
          <w:footerReference r:id="rId10" w:type="default"/>
          <w:pgSz w:w="11907" w:h="16840"/>
          <w:pgMar w:top="1117" w:right="1130" w:bottom="1060" w:left="1700" w:header="878" w:footer="886" w:gutter="0"/>
          <w:pgNumType w:fmt="decimal"/>
          <w:cols w:space="720" w:num="1"/>
        </w:sectPr>
      </w:pPr>
    </w:p>
    <w:p>
      <w:pPr>
        <w:pStyle w:val="5"/>
        <w:spacing w:before="353" w:line="219" w:lineRule="auto"/>
        <w:ind w:left="2654"/>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pPr>
        <w:spacing w:line="252" w:lineRule="auto"/>
        <w:rPr>
          <w:rFonts w:hint="eastAsia" w:asciiTheme="minorEastAsia" w:hAnsiTheme="minorEastAsia" w:eastAsiaTheme="minorEastAsia" w:cstheme="minorEastAsia"/>
          <w:sz w:val="21"/>
        </w:rPr>
      </w:pPr>
    </w:p>
    <w:p>
      <w:pPr>
        <w:spacing w:line="252" w:lineRule="auto"/>
        <w:rPr>
          <w:rFonts w:hint="eastAsia" w:asciiTheme="minorEastAsia" w:hAnsiTheme="minorEastAsia" w:eastAsiaTheme="minorEastAsia" w:cstheme="minorEastAsia"/>
          <w:sz w:val="21"/>
        </w:rPr>
      </w:pPr>
    </w:p>
    <w:p>
      <w:pPr>
        <w:spacing w:line="252" w:lineRule="auto"/>
        <w:rPr>
          <w:rFonts w:hint="eastAsia" w:asciiTheme="minorEastAsia" w:hAnsiTheme="minorEastAsia" w:eastAsiaTheme="minorEastAsia" w:cstheme="minorEastAsia"/>
          <w:sz w:val="21"/>
        </w:rPr>
      </w:pPr>
    </w:p>
    <w:p>
      <w:pPr>
        <w:spacing w:line="253" w:lineRule="auto"/>
        <w:rPr>
          <w:rFonts w:hint="eastAsia" w:asciiTheme="minorEastAsia" w:hAnsiTheme="minorEastAsia" w:eastAsiaTheme="minorEastAsia" w:cstheme="minorEastAsia"/>
          <w:sz w:val="21"/>
        </w:rPr>
      </w:pPr>
    </w:p>
    <w:p>
      <w:pPr>
        <w:pStyle w:val="5"/>
        <w:spacing w:before="78" w:line="220" w:lineRule="auto"/>
        <w:ind w:left="1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pPr>
        <w:pStyle w:val="5"/>
        <w:spacing w:before="181" w:line="307" w:lineRule="auto"/>
        <w:ind w:left="150" w:right="11" w:firstLine="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pPr>
        <w:spacing w:line="174" w:lineRule="auto"/>
        <w:ind w:left="1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pPr>
        <w:pStyle w:val="5"/>
        <w:spacing w:before="146" w:line="219" w:lineRule="auto"/>
        <w:ind w:left="1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pPr>
        <w:spacing w:line="219" w:lineRule="auto"/>
        <w:rPr>
          <w:rFonts w:hint="eastAsia" w:asciiTheme="minorEastAsia" w:hAnsiTheme="minorEastAsia" w:eastAsiaTheme="minorEastAsia" w:cstheme="minorEastAsia"/>
          <w:sz w:val="24"/>
          <w:szCs w:val="24"/>
        </w:rPr>
        <w:sectPr>
          <w:headerReference r:id="rId11" w:type="default"/>
          <w:footerReference r:id="rId12" w:type="default"/>
          <w:pgSz w:w="11907" w:h="16840"/>
          <w:pgMar w:top="1117" w:right="1132" w:bottom="1060" w:left="1700" w:header="878" w:footer="886" w:gutter="0"/>
          <w:pgNumType w:fmt="decimal"/>
          <w:cols w:space="720" w:num="1"/>
        </w:sectPr>
      </w:pPr>
    </w:p>
    <w:p>
      <w:pPr>
        <w:pStyle w:val="5"/>
        <w:spacing w:before="78" w:line="220" w:lineRule="auto"/>
        <w:ind w:left="13"/>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资格证明文件格式</w:t>
      </w:r>
    </w:p>
    <w:p>
      <w:pPr>
        <w:spacing w:line="267" w:lineRule="auto"/>
        <w:rPr>
          <w:rFonts w:hint="eastAsia" w:asciiTheme="minorEastAsia" w:hAnsiTheme="minorEastAsia" w:eastAsiaTheme="minorEastAsia" w:cstheme="minorEastAsia"/>
          <w:sz w:val="21"/>
        </w:rPr>
      </w:pPr>
    </w:p>
    <w:p>
      <w:pPr>
        <w:numPr>
          <w:ilvl w:val="0"/>
          <w:numId w:val="2"/>
        </w:num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bl>
      <w:tblPr>
        <w:tblStyle w:val="19"/>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 标 人</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   注</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p>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投  标  人（公章）：     法定代表人（负责人）或授权代表（签字）： </w:t>
      </w:r>
    </w:p>
    <w:p>
      <w:pPr>
        <w:spacing w:line="360" w:lineRule="auto"/>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701" w:right="1701" w:bottom="1701" w:left="1701" w:header="851" w:footer="992" w:gutter="0"/>
          <w:pgNumType w:fmt="decimal"/>
          <w:cols w:space="720" w:num="1"/>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   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eastAsia="zh-CN"/>
        </w:rPr>
        <w:t xml:space="preserve">  </w:t>
      </w:r>
    </w:p>
    <w:p>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pPr>
        <w:spacing w:line="360" w:lineRule="auto"/>
        <w:ind w:firstLine="567"/>
        <w:jc w:val="center"/>
        <w:rPr>
          <w:rFonts w:hint="eastAsia" w:asciiTheme="minorEastAsia" w:hAnsiTheme="minorEastAsia" w:eastAsiaTheme="minorEastAsia" w:cstheme="minorEastAsia"/>
          <w:b/>
          <w:sz w:val="24"/>
          <w:szCs w:val="24"/>
          <w:lang w:eastAsia="zh-CN"/>
        </w:rPr>
      </w:pPr>
    </w:p>
    <w:p>
      <w:pPr>
        <w:spacing w:line="360" w:lineRule="auto"/>
        <w:ind w:firstLine="567"/>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pPr>
        <w:spacing w:line="360" w:lineRule="auto"/>
        <w:ind w:firstLine="567"/>
        <w:rPr>
          <w:rFonts w:hint="eastAsia" w:asciiTheme="minorEastAsia" w:hAnsiTheme="minorEastAsia" w:eastAsiaTheme="minorEastAsia" w:cstheme="minorEastAsia"/>
          <w:sz w:val="24"/>
          <w:szCs w:val="24"/>
          <w:lang w:eastAsia="zh-CN"/>
        </w:rPr>
      </w:pP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委托单位： </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地址：                            法定代表人（负责人）：   </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      性别：        出生日期：  年  月  日</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 份 证：   现 住：</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 xml:space="preserve"> 参加</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项目事宜，并授权其全权办理以下事宜：</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pPr>
        <w:pStyle w:val="18"/>
        <w:rPr>
          <w:rFonts w:hint="eastAsia" w:asciiTheme="minorEastAsia" w:hAnsiTheme="minorEastAsia" w:eastAsiaTheme="minorEastAsia" w:cstheme="minorEastAsia"/>
          <w:sz w:val="24"/>
          <w:szCs w:val="24"/>
          <w:lang w:eastAsia="zh-CN"/>
        </w:rPr>
      </w:pP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委托单位（公章）： </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法定代表人（负责人）（签字）：   </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授权代表（签字）：   </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时间：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spacing w:line="360" w:lineRule="auto"/>
        <w:ind w:firstLine="567"/>
        <w:rPr>
          <w:rFonts w:hint="eastAsia" w:asciiTheme="minorEastAsia" w:hAnsiTheme="minorEastAsia" w:eastAsiaTheme="minorEastAsia" w:cstheme="minorEastAsia"/>
          <w:sz w:val="24"/>
          <w:szCs w:val="24"/>
          <w:lang w:eastAsia="zh-CN"/>
        </w:rPr>
      </w:pPr>
    </w:p>
    <w:p>
      <w:pPr>
        <w:spacing w:line="360" w:lineRule="auto"/>
        <w:ind w:firstLine="604" w:firstLineChars="252"/>
        <w:rPr>
          <w:rFonts w:hint="eastAsia" w:ascii="仿宋_GB2312" w:hAnsi="宋体" w:eastAsia="仿宋_GB2312"/>
          <w:sz w:val="28"/>
          <w:szCs w:val="28"/>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pPr>
        <w:spacing w:line="220" w:lineRule="auto"/>
        <w:rPr>
          <w:rFonts w:hint="eastAsia" w:asciiTheme="minorEastAsia" w:hAnsiTheme="minorEastAsia" w:eastAsiaTheme="minorEastAsia" w:cstheme="minorEastAsia"/>
          <w:sz w:val="24"/>
          <w:szCs w:val="24"/>
        </w:rPr>
        <w:sectPr>
          <w:headerReference r:id="rId13" w:type="default"/>
          <w:footerReference r:id="rId14" w:type="default"/>
          <w:pgSz w:w="11907" w:h="16840"/>
          <w:pgMar w:top="1117" w:right="1133" w:bottom="1060" w:left="1700" w:header="878" w:footer="886" w:gutter="0"/>
          <w:pgNumType w:fmt="decimal"/>
          <w:cols w:space="720" w:num="1"/>
        </w:sectPr>
      </w:pPr>
    </w:p>
    <w:p>
      <w:pPr>
        <w:spacing w:line="256" w:lineRule="auto"/>
        <w:rPr>
          <w:rFonts w:hint="eastAsia" w:asciiTheme="minorEastAsia" w:hAnsiTheme="minorEastAsia" w:eastAsiaTheme="minorEastAsia" w:cstheme="minorEastAsia"/>
          <w:sz w:val="21"/>
        </w:rPr>
      </w:pPr>
    </w:p>
    <w:p>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pPr>
        <w:spacing w:line="360" w:lineRule="auto"/>
        <w:ind w:firstLine="567"/>
        <w:jc w:val="center"/>
        <w:rPr>
          <w:rFonts w:hint="eastAsia" w:ascii="仿宋_GB2312" w:hAnsi="宋体" w:eastAsia="仿宋_GB2312"/>
          <w:sz w:val="28"/>
          <w:szCs w:val="28"/>
          <w:lang w:eastAsia="zh-CN"/>
        </w:rPr>
      </w:pPr>
    </w:p>
    <w:p>
      <w:pPr>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关于资格的声明函</w:t>
      </w:r>
    </w:p>
    <w:p>
      <w:pPr>
        <w:spacing w:line="360" w:lineRule="auto"/>
        <w:ind w:firstLine="567"/>
        <w:rPr>
          <w:rFonts w:hint="eastAsia" w:ascii="仿宋_GB2312" w:hAnsi="宋体" w:eastAsia="仿宋_GB2312"/>
          <w:sz w:val="28"/>
          <w:szCs w:val="28"/>
          <w:lang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lang w:eastAsia="zh-CN"/>
        </w:rPr>
        <w:t>公开招标，本签字人愿意参加投标，提供“采购内容及要求”中规定的服务，并证明提交的下列文件和说明是准确的真实的。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pacing w:val="-3"/>
          <w:sz w:val="24"/>
          <w:szCs w:val="24"/>
          <w:lang w:eastAsia="zh-CN"/>
        </w:rPr>
        <w:t>市场监管局签发的我方工商营业执照副本。</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 xml:space="preserve"> 投 标 人（公章）：     法定代表人（负责人）或授权代表（签字）：</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 xml:space="preserve"> 时间：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spacing w:val="-96"/>
          <w:sz w:val="24"/>
          <w:szCs w:val="24"/>
        </w:rPr>
        <w:t xml:space="preserve"> </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21"/>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有关规定予以处理。</w:t>
      </w:r>
    </w:p>
    <w:p>
      <w:pPr>
        <w:spacing w:line="220" w:lineRule="auto"/>
        <w:rPr>
          <w:rFonts w:hint="eastAsia" w:asciiTheme="minorEastAsia" w:hAnsiTheme="minorEastAsia" w:eastAsiaTheme="minorEastAsia" w:cstheme="minorEastAsia"/>
          <w:sz w:val="24"/>
          <w:szCs w:val="24"/>
        </w:rPr>
        <w:sectPr>
          <w:footerReference r:id="rId15" w:type="default"/>
          <w:pgSz w:w="11907" w:h="16840"/>
          <w:pgMar w:top="1117" w:right="1133" w:bottom="1060" w:left="1700" w:header="878" w:footer="886" w:gutter="0"/>
          <w:pgNumType w:fmt="decimal"/>
          <w:cols w:space="720" w:num="1"/>
        </w:sectPr>
      </w:pPr>
    </w:p>
    <w:p>
      <w:pPr>
        <w:spacing w:line="256" w:lineRule="auto"/>
        <w:rPr>
          <w:rFonts w:hint="eastAsia" w:asciiTheme="minorEastAsia" w:hAnsiTheme="minorEastAsia" w:eastAsiaTheme="minorEastAsia" w:cstheme="minorEastAsia"/>
          <w:sz w:val="21"/>
        </w:rPr>
      </w:pP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pPr>
        <w:spacing w:line="360" w:lineRule="auto"/>
        <w:ind w:firstLine="604" w:firstLineChars="252"/>
        <w:rPr>
          <w:rFonts w:hint="eastAsia" w:asciiTheme="minorEastAsia" w:hAnsiTheme="minorEastAsia" w:eastAsiaTheme="minorEastAsia" w:cstheme="minorEastAsia"/>
          <w:sz w:val="24"/>
          <w:szCs w:val="24"/>
          <w:lang w:eastAsia="zh-CN"/>
        </w:rPr>
      </w:pPr>
    </w:p>
    <w:p>
      <w:pPr>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pPr>
        <w:spacing w:line="360" w:lineRule="auto"/>
        <w:ind w:firstLine="604" w:firstLineChars="252"/>
        <w:rPr>
          <w:rFonts w:hint="eastAsia" w:asciiTheme="minorEastAsia" w:hAnsiTheme="minorEastAsia" w:eastAsiaTheme="minorEastAsia" w:cstheme="minorEastAsia"/>
          <w:sz w:val="24"/>
          <w:szCs w:val="24"/>
          <w:lang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项目的投标。</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pPr>
        <w:spacing w:line="360" w:lineRule="auto"/>
        <w:ind w:firstLine="604" w:firstLineChars="252"/>
        <w:rPr>
          <w:rFonts w:hint="eastAsia" w:asciiTheme="minorEastAsia" w:hAnsiTheme="minorEastAsia" w:eastAsiaTheme="minorEastAsia" w:cstheme="minorEastAsia"/>
          <w:sz w:val="24"/>
          <w:szCs w:val="24"/>
          <w:lang w:eastAsia="zh-CN"/>
        </w:rPr>
      </w:pP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 标 人（公章）：      法定代表人（负责人）或授权代表（签字）：</w:t>
      </w:r>
    </w:p>
    <w:p>
      <w:pPr>
        <w:spacing w:line="360" w:lineRule="auto"/>
        <w:ind w:firstLine="604" w:firstLineChars="252"/>
        <w:rPr>
          <w:rFonts w:hint="eastAsia" w:asciiTheme="minorEastAsia" w:hAnsiTheme="minorEastAsia" w:eastAsiaTheme="minorEastAsia" w:cstheme="minorEastAsia"/>
          <w:sz w:val="24"/>
          <w:szCs w:val="24"/>
          <w:lang w:eastAsia="zh-CN"/>
        </w:rPr>
      </w:pP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时间：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spacing w:line="256"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line="360" w:lineRule="auto"/>
        <w:jc w:val="lef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p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p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 (提供近半年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p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pPr>
        <w:spacing w:line="360" w:lineRule="auto"/>
        <w:ind w:firstLine="607" w:firstLineChars="252"/>
        <w:jc w:val="left"/>
        <w:rPr>
          <w:rFonts w:hint="eastAsia" w:asciiTheme="minorEastAsia" w:hAnsiTheme="minorEastAsia" w:eastAsiaTheme="minorEastAsia" w:cstheme="minorEastAsia"/>
          <w:b/>
          <w:bCs/>
          <w:sz w:val="24"/>
          <w:szCs w:val="24"/>
          <w:lang w:eastAsia="zh-CN"/>
        </w:rPr>
      </w:pPr>
    </w:p>
    <w:p>
      <w:pPr>
        <w:spacing w:line="360" w:lineRule="auto"/>
        <w:ind w:firstLine="607" w:firstLineChars="252"/>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说明：</w:t>
      </w:r>
    </w:p>
    <w:p>
      <w:pPr>
        <w:spacing w:line="360" w:lineRule="auto"/>
        <w:ind w:firstLine="607" w:firstLineChars="252"/>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p>
    <w:p>
      <w:pPr>
        <w:spacing w:line="360" w:lineRule="auto"/>
        <w:ind w:firstLine="607" w:firstLineChars="252"/>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eastAsia="zh-CN"/>
        </w:rPr>
        <w:t>）投标人提供企业有关财务会计制度。</w:t>
      </w:r>
    </w:p>
    <w:p>
      <w:pPr>
        <w:spacing w:line="360" w:lineRule="auto"/>
        <w:ind w:firstLine="607" w:firstLineChars="252"/>
        <w:jc w:val="left"/>
        <w:rPr>
          <w:rFonts w:hint="eastAsia" w:asciiTheme="minorEastAsia" w:hAnsiTheme="minorEastAsia" w:eastAsiaTheme="minorEastAsia" w:cstheme="minorEastAsia"/>
          <w:b/>
          <w:bCs/>
          <w:sz w:val="24"/>
          <w:szCs w:val="24"/>
          <w:lang w:eastAsia="zh-CN"/>
        </w:rPr>
      </w:pPr>
    </w:p>
    <w:p>
      <w:p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投标人出具202</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eastAsia="zh-CN"/>
        </w:rPr>
        <w:t>年以来在经营活动中没有重大违法记录的书面声明（加盖单位公章）</w:t>
      </w:r>
    </w:p>
    <w:p>
      <w:p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pPr>
        <w:spacing w:line="360" w:lineRule="auto"/>
        <w:ind w:firstLine="607" w:firstLineChars="252"/>
        <w:jc w:val="left"/>
        <w:rPr>
          <w:rFonts w:hint="eastAsia" w:asciiTheme="minorEastAsia" w:hAnsiTheme="minorEastAsia" w:eastAsiaTheme="minorEastAsia" w:cstheme="minorEastAsia"/>
          <w:b/>
          <w:bCs/>
          <w:sz w:val="24"/>
          <w:szCs w:val="24"/>
          <w:lang w:eastAsia="zh-CN"/>
        </w:rPr>
      </w:pPr>
    </w:p>
    <w:p>
      <w:pPr>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 信 承 诺 书</w:t>
      </w:r>
    </w:p>
    <w:p>
      <w:pPr>
        <w:spacing w:line="360" w:lineRule="auto"/>
        <w:ind w:firstLine="607" w:firstLineChars="252"/>
        <w:jc w:val="left"/>
        <w:rPr>
          <w:rFonts w:hint="eastAsia" w:asciiTheme="minorEastAsia" w:hAnsiTheme="minorEastAsia" w:eastAsiaTheme="minorEastAsia" w:cstheme="minorEastAsia"/>
          <w:b/>
          <w:bCs/>
          <w:sz w:val="24"/>
          <w:szCs w:val="24"/>
          <w:lang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承诺人法定名称（盖章）：</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承诺人法定地址：</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授权代表（签字或盖章）：</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 xml:space="preserve">电话：           </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                                    </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spacing w:line="360" w:lineRule="auto"/>
        <w:ind w:firstLine="607" w:firstLineChars="252"/>
        <w:jc w:val="left"/>
        <w:rPr>
          <w:rFonts w:hint="eastAsia" w:asciiTheme="minorEastAsia" w:hAnsiTheme="minorEastAsia" w:eastAsiaTheme="minorEastAsia" w:cstheme="minorEastAsia"/>
          <w:b/>
          <w:bCs/>
          <w:sz w:val="24"/>
          <w:szCs w:val="24"/>
          <w:lang w:eastAsia="zh-CN"/>
        </w:rPr>
      </w:pPr>
    </w:p>
    <w:p>
      <w:pPr>
        <w:numPr>
          <w:ilvl w:val="0"/>
          <w:numId w:val="0"/>
        </w:num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pPr>
        <w:pStyle w:val="5"/>
        <w:spacing w:before="78" w:line="220" w:lineRule="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商务技术文件格式</w:t>
      </w:r>
    </w:p>
    <w:p>
      <w:pPr>
        <w:spacing w:line="360" w:lineRule="auto"/>
        <w:jc w:val="left"/>
        <w:rPr>
          <w:rFonts w:hint="eastAsia" w:asciiTheme="minorEastAsia" w:hAnsiTheme="minorEastAsia" w:eastAsiaTheme="minorEastAsia" w:cstheme="minorEastAsia"/>
          <w:b w:val="0"/>
          <w:bCs w:val="0"/>
          <w:sz w:val="24"/>
          <w:szCs w:val="24"/>
          <w:lang w:val="en-US" w:eastAsia="zh-CN"/>
        </w:rPr>
      </w:pPr>
    </w:p>
    <w:p>
      <w:pPr>
        <w:spacing w:line="360" w:lineRule="auto"/>
        <w:jc w:val="left"/>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p>
    <w:p>
      <w:pPr>
        <w:spacing w:line="360" w:lineRule="auto"/>
        <w:ind w:firstLine="607" w:firstLineChars="252"/>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投  标  书</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 的公开招标公告，签字代表</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eastAsia="zh-CN"/>
        </w:rPr>
        <w:t>（全名、职务）经正式授权并代表投标人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eastAsia="zh-CN"/>
        </w:rPr>
        <w:t>（投标人名称、地址）提交电子投标文件一份，并对之负法律责任。</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sz w:val="24"/>
          <w:szCs w:val="24"/>
          <w:u w:val="single"/>
          <w:lang w:val="en-US" w:eastAsia="zh-CN"/>
        </w:rPr>
        <w:t>11</w:t>
      </w:r>
      <w:r>
        <w:rPr>
          <w:rFonts w:hint="eastAsia" w:asciiTheme="minorEastAsia" w:hAnsiTheme="minorEastAsia" w:eastAsiaTheme="minorEastAsia" w:cstheme="minorEastAsia"/>
          <w:b w:val="0"/>
          <w:bCs w:val="0"/>
          <w:sz w:val="24"/>
          <w:szCs w:val="24"/>
          <w:lang w:eastAsia="zh-CN"/>
        </w:rPr>
        <w:t>项，商务技术文件第1至</w:t>
      </w:r>
      <w:r>
        <w:rPr>
          <w:rFonts w:hint="eastAsia" w:asciiTheme="minorEastAsia" w:hAnsiTheme="minorEastAsia" w:eastAsiaTheme="minorEastAsia" w:cstheme="minorEastAsia"/>
          <w:sz w:val="24"/>
          <w:szCs w:val="24"/>
          <w:u w:val="single"/>
          <w:lang w:val="en-US" w:eastAsia="zh-CN"/>
        </w:rPr>
        <w:t>11</w:t>
      </w:r>
      <w:r>
        <w:rPr>
          <w:rFonts w:hint="eastAsia" w:asciiTheme="minorEastAsia" w:hAnsiTheme="minorEastAsia" w:eastAsiaTheme="minorEastAsia" w:cstheme="minorEastAsia"/>
          <w:b w:val="0"/>
          <w:bCs w:val="0"/>
          <w:sz w:val="24"/>
          <w:szCs w:val="24"/>
          <w:lang w:eastAsia="zh-CN"/>
        </w:rPr>
        <w:t>项。</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地址：                          </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电话（传真）：                             </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sectPr>
          <w:headerReference r:id="rId16" w:type="default"/>
          <w:footerReference r:id="rId17" w:type="default"/>
          <w:pgSz w:w="11907" w:h="16840"/>
          <w:pgMar w:top="1117" w:right="1077" w:bottom="1060" w:left="1592"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jc w:val="both"/>
        <w:rPr>
          <w:rFonts w:hint="eastAsia"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、投标分项报价一览表（</w:t>
      </w:r>
      <w:r>
        <w:rPr>
          <w:rFonts w:hint="eastAsia" w:ascii="宋体" w:hAnsi="宋体"/>
          <w:b/>
          <w:sz w:val="24"/>
          <w:szCs w:val="24"/>
          <w:lang w:val="en-US" w:eastAsia="zh-CN"/>
        </w:rPr>
        <w:t>适用于货物</w:t>
      </w:r>
      <w:r>
        <w:rPr>
          <w:rFonts w:hint="eastAsia" w:ascii="宋体" w:hAnsi="宋体"/>
          <w:b/>
          <w:sz w:val="24"/>
          <w:szCs w:val="24"/>
          <w:lang w:eastAsia="zh-CN"/>
        </w:rPr>
        <w:t>）</w:t>
      </w:r>
    </w:p>
    <w:p>
      <w:pPr>
        <w:jc w:val="center"/>
        <w:rPr>
          <w:rFonts w:hint="eastAsia" w:ascii="宋体" w:hAnsi="宋体"/>
          <w:b/>
          <w:sz w:val="24"/>
          <w:szCs w:val="24"/>
        </w:rPr>
      </w:pPr>
    </w:p>
    <w:p>
      <w:pPr>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9"/>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pPr>
              <w:spacing w:line="360" w:lineRule="auto"/>
              <w:ind w:firstLine="567"/>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pPr>
              <w:spacing w:line="360" w:lineRule="auto"/>
              <w:ind w:firstLine="567"/>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pPr>
              <w:spacing w:line="360" w:lineRule="auto"/>
              <w:ind w:firstLine="567"/>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pPr>
              <w:spacing w:line="360" w:lineRule="auto"/>
              <w:ind w:firstLine="360" w:firstLineChars="15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pPr>
              <w:spacing w:line="360" w:lineRule="auto"/>
              <w:ind w:firstLine="56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pPr>
        <w:spacing w:line="360" w:lineRule="auto"/>
        <w:rPr>
          <w:rFonts w:hint="eastAsia" w:asciiTheme="minorEastAsia" w:hAnsiTheme="minorEastAsia" w:eastAsiaTheme="minorEastAsia" w:cstheme="minorEastAsia"/>
          <w:sz w:val="24"/>
          <w:szCs w:val="24"/>
          <w:lang w:eastAsia="zh-CN"/>
        </w:rPr>
      </w:pPr>
    </w:p>
    <w:p>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                                   时间：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spacing w:line="360" w:lineRule="auto"/>
        <w:ind w:firstLine="240" w:firstLineChars="100"/>
        <w:rPr>
          <w:rFonts w:hint="eastAsia" w:asciiTheme="minorEastAsia" w:hAnsiTheme="minorEastAsia" w:eastAsiaTheme="minorEastAsia" w:cstheme="minorEastAsia"/>
          <w:sz w:val="24"/>
          <w:szCs w:val="24"/>
          <w:lang w:eastAsia="zh-CN"/>
        </w:rPr>
      </w:pPr>
    </w:p>
    <w:p>
      <w:pPr>
        <w:spacing w:line="360" w:lineRule="auto"/>
        <w:ind w:firstLine="240" w:firstLineChars="100"/>
        <w:rPr>
          <w:rFonts w:hint="eastAsia" w:asciiTheme="minorEastAsia" w:hAnsiTheme="minorEastAsia" w:eastAsiaTheme="minorEastAsia" w:cstheme="minorEastAsia"/>
          <w:sz w:val="24"/>
          <w:szCs w:val="24"/>
          <w:lang w:eastAsia="zh-CN"/>
        </w:rPr>
        <w:sectPr>
          <w:pgSz w:w="16840" w:h="11907" w:orient="landscape"/>
          <w:pgMar w:top="1803" w:right="1440" w:bottom="1803" w:left="1440" w:header="851" w:footer="992" w:gutter="0"/>
          <w:pgNumType w:fmt="decimal"/>
          <w:cols w:space="720" w:num="1"/>
          <w:docGrid w:linePitch="332" w:charSpace="0"/>
        </w:sectPr>
      </w:pPr>
    </w:p>
    <w:p>
      <w:pPr>
        <w:rPr>
          <w:rFonts w:hint="eastAsia" w:asciiTheme="minorEastAsia" w:hAnsiTheme="minorEastAsia" w:eastAsiaTheme="minorEastAsia" w:cstheme="minorEastAsia"/>
          <w:b/>
          <w:bCs w:val="0"/>
          <w:sz w:val="24"/>
          <w:szCs w:val="24"/>
          <w:lang w:val="en-US" w:eastAsia="zh-CN"/>
        </w:rPr>
      </w:pPr>
    </w:p>
    <w:p>
      <w:pPr>
        <w:spacing w:line="360" w:lineRule="auto"/>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lang w:eastAsia="zh-CN"/>
        </w:rPr>
        <w:t>主要设备技术指标及技术性能说明</w:t>
      </w:r>
    </w:p>
    <w:p>
      <w:pPr>
        <w:spacing w:line="360" w:lineRule="auto"/>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val="en-US" w:eastAsia="zh-CN"/>
        </w:rPr>
        <w:t>4</w:t>
      </w:r>
      <w:r>
        <w:rPr>
          <w:rFonts w:hint="eastAsia" w:asciiTheme="minorEastAsia" w:hAnsiTheme="minorEastAsia" w:eastAsiaTheme="minorEastAsia" w:cstheme="minorEastAsia"/>
          <w:b/>
          <w:bCs w:val="0"/>
          <w:sz w:val="24"/>
          <w:szCs w:val="24"/>
          <w:lang w:val="en-US" w:eastAsia="zh-CN"/>
        </w:rPr>
        <w:t>.安装调试质量保证措施</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sz w:val="24"/>
          <w:szCs w:val="24"/>
          <w:lang w:val="en-US" w:eastAsia="zh-CN"/>
        </w:rPr>
        <w:t>5.</w:t>
      </w:r>
      <w:r>
        <w:rPr>
          <w:rFonts w:hint="eastAsia" w:asciiTheme="minorEastAsia" w:hAnsiTheme="minorEastAsia" w:eastAsiaTheme="minorEastAsia" w:cstheme="minorEastAsia"/>
          <w:b/>
          <w:bCs w:val="0"/>
          <w:sz w:val="24"/>
          <w:szCs w:val="24"/>
          <w:lang w:eastAsia="zh-CN"/>
        </w:rPr>
        <w:t>技术偏差情况</w:t>
      </w:r>
    </w:p>
    <w:p>
      <w:pPr>
        <w:pStyle w:val="5"/>
        <w:rPr>
          <w:rFonts w:hint="eastAsia" w:asciiTheme="minorEastAsia" w:hAnsiTheme="minorEastAsia" w:eastAsiaTheme="minorEastAsia" w:cstheme="minorEastAsia"/>
          <w:sz w:val="24"/>
          <w:szCs w:val="24"/>
          <w:lang w:bidi="en-US"/>
        </w:rPr>
      </w:pPr>
    </w:p>
    <w:p>
      <w:pPr>
        <w:spacing w:line="240" w:lineRule="atLeast"/>
        <w:jc w:val="center"/>
        <w:rPr>
          <w:rFonts w:hint="eastAsia" w:asciiTheme="minorEastAsia" w:hAnsiTheme="minorEastAsia" w:eastAsiaTheme="minorEastAsia" w:cstheme="minorEastAsia"/>
          <w:b/>
          <w:bCs/>
          <w:sz w:val="24"/>
          <w:szCs w:val="24"/>
          <w:lang w:eastAsia="zh-CN"/>
        </w:rPr>
      </w:pPr>
    </w:p>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pPr>
        <w:spacing w:line="240" w:lineRule="atLeast"/>
        <w:ind w:left="1080" w:leftChars="257" w:hanging="540"/>
        <w:rPr>
          <w:rFonts w:hint="eastAsia" w:asciiTheme="minorEastAsia" w:hAnsiTheme="minorEastAsia" w:eastAsiaTheme="minorEastAsia" w:cstheme="minorEastAsia"/>
          <w:sz w:val="24"/>
          <w:szCs w:val="24"/>
          <w:lang w:eastAsia="zh-CN"/>
        </w:rPr>
      </w:pPr>
    </w:p>
    <w:p>
      <w:pPr>
        <w:spacing w:line="240" w:lineRule="atLeast"/>
        <w:ind w:left="1154" w:leftChars="485" w:hanging="136" w:hangingChars="5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项目名称:                      项目编号: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bl>
    <w:p>
      <w:pPr>
        <w:spacing w:line="360" w:lineRule="auto"/>
        <w:ind w:firstLine="482" w:firstLineChars="20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    法定代表人（负责人）或授权代表（签字）：</w:t>
      </w:r>
    </w:p>
    <w:p>
      <w:pPr>
        <w:spacing w:line="360" w:lineRule="auto"/>
        <w:ind w:firstLine="482" w:firstLineChars="20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时间：</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spacing w:line="360" w:lineRule="auto"/>
        <w:rPr>
          <w:rFonts w:hint="eastAsia" w:asciiTheme="minorEastAsia" w:hAnsiTheme="minorEastAsia" w:eastAsiaTheme="minorEastAsia" w:cstheme="minorEastAsia"/>
          <w:b/>
          <w:sz w:val="24"/>
          <w:szCs w:val="24"/>
          <w:lang w:eastAsia="zh-CN"/>
        </w:rPr>
      </w:pPr>
    </w:p>
    <w:p>
      <w:pPr>
        <w:spacing w:line="360" w:lineRule="auto"/>
        <w:rPr>
          <w:rFonts w:hint="eastAsia" w:asciiTheme="minorEastAsia" w:hAnsiTheme="minorEastAsia" w:eastAsiaTheme="minorEastAsia" w:cstheme="minorEastAsia"/>
          <w:b/>
          <w:sz w:val="24"/>
          <w:szCs w:val="24"/>
          <w:lang w:val="en-US" w:eastAsia="zh-CN"/>
        </w:rPr>
      </w:pPr>
    </w:p>
    <w:p>
      <w:pPr>
        <w:spacing w:line="360" w:lineRule="auto"/>
        <w:rPr>
          <w:rFonts w:hint="eastAsia" w:asciiTheme="minorEastAsia" w:hAnsiTheme="minorEastAsia" w:eastAsiaTheme="minorEastAsia" w:cstheme="minorEastAsia"/>
          <w:b/>
          <w:sz w:val="24"/>
          <w:szCs w:val="24"/>
          <w:lang w:val="en-US" w:eastAsia="zh-CN"/>
        </w:rPr>
      </w:pPr>
    </w:p>
    <w:p>
      <w:pPr>
        <w:spacing w:line="360" w:lineRule="auto"/>
        <w:rPr>
          <w:rFonts w:hint="eastAsia" w:asciiTheme="minorEastAsia" w:hAnsiTheme="minorEastAsia" w:eastAsiaTheme="minorEastAsia" w:cstheme="minorEastAsia"/>
          <w:b/>
          <w:sz w:val="24"/>
          <w:szCs w:val="24"/>
          <w:lang w:val="en-US" w:eastAsia="zh-CN"/>
        </w:rPr>
      </w:pPr>
    </w:p>
    <w:p>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商务偏差表格式</w:t>
      </w:r>
    </w:p>
    <w:p>
      <w:pPr>
        <w:ind w:firstLine="482"/>
        <w:jc w:val="center"/>
        <w:rPr>
          <w:rFonts w:hint="eastAsia" w:asciiTheme="minorEastAsia" w:hAnsiTheme="minorEastAsia" w:eastAsiaTheme="minorEastAsia" w:cstheme="minorEastAsia"/>
          <w:b/>
          <w:sz w:val="24"/>
          <w:szCs w:val="24"/>
          <w:lang w:eastAsia="zh-CN"/>
        </w:rPr>
      </w:pPr>
    </w:p>
    <w:p>
      <w:pPr>
        <w:ind w:firstLine="3373" w:firstLineChars="14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pPr>
        <w:spacing w:line="360" w:lineRule="auto"/>
        <w:jc w:val="both"/>
        <w:rPr>
          <w:rFonts w:hint="eastAsia" w:asciiTheme="minorEastAsia" w:hAnsiTheme="minorEastAsia" w:eastAsiaTheme="minorEastAsia" w:cstheme="minorEastAsia"/>
          <w:sz w:val="24"/>
          <w:szCs w:val="24"/>
          <w:lang w:eastAsia="zh-CN"/>
        </w:rPr>
      </w:pPr>
    </w:p>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项目名称：                        项目编号：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bl>
    <w:p>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      法定代表人（负责人）或授权代表（签字）：</w:t>
      </w:r>
    </w:p>
    <w:p>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时间：</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numPr>
          <w:ilvl w:val="0"/>
          <w:numId w:val="0"/>
        </w:numPr>
        <w:spacing w:line="360" w:lineRule="auto"/>
        <w:rPr>
          <w:rFonts w:hint="eastAsia" w:asciiTheme="minorEastAsia" w:hAnsiTheme="minorEastAsia" w:eastAsiaTheme="minorEastAsia" w:cstheme="minorEastAsia"/>
          <w:b/>
          <w:sz w:val="24"/>
          <w:szCs w:val="24"/>
          <w:lang w:eastAsia="zh-CN"/>
        </w:rPr>
      </w:pPr>
    </w:p>
    <w:p>
      <w:pPr>
        <w:numPr>
          <w:ilvl w:val="0"/>
          <w:numId w:val="0"/>
        </w:numPr>
        <w:spacing w:line="360" w:lineRule="auto"/>
        <w:rPr>
          <w:rFonts w:hint="eastAsia" w:asciiTheme="minorEastAsia" w:hAnsiTheme="minorEastAsia" w:eastAsiaTheme="minorEastAsia" w:cstheme="minorEastAsia"/>
          <w:b/>
          <w:sz w:val="24"/>
          <w:szCs w:val="24"/>
          <w:lang w:eastAsia="zh-CN"/>
        </w:rPr>
      </w:pPr>
    </w:p>
    <w:p>
      <w:pPr>
        <w:numPr>
          <w:ilvl w:val="0"/>
          <w:numId w:val="0"/>
        </w:numPr>
        <w:spacing w:line="360" w:lineRule="auto"/>
        <w:rPr>
          <w:rFonts w:hint="eastAsia" w:ascii="宋体" w:hAnsi="宋体"/>
          <w:b/>
          <w:sz w:val="24"/>
          <w:szCs w:val="24"/>
          <w:lang w:eastAsia="zh-CN"/>
        </w:rPr>
      </w:pPr>
      <w:r>
        <w:rPr>
          <w:rFonts w:hint="eastAsia" w:asciiTheme="minorEastAsia" w:hAnsiTheme="minorEastAsia" w:eastAsiaTheme="minorEastAsia" w:cstheme="minorEastAsia"/>
          <w:b/>
          <w:sz w:val="24"/>
          <w:szCs w:val="24"/>
          <w:lang w:val="en-US" w:eastAsia="zh-CN"/>
        </w:rPr>
        <w:t>7.售</w:t>
      </w:r>
      <w:r>
        <w:rPr>
          <w:rFonts w:hint="eastAsia" w:asciiTheme="minorEastAsia" w:hAnsiTheme="minorEastAsia" w:eastAsiaTheme="minorEastAsia" w:cstheme="minorEastAsia"/>
          <w:b/>
          <w:sz w:val="24"/>
          <w:szCs w:val="24"/>
          <w:lang w:eastAsia="zh-CN"/>
        </w:rPr>
        <w:t>后服务计划</w:t>
      </w:r>
    </w:p>
    <w:p>
      <w:pPr>
        <w:spacing w:line="360" w:lineRule="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lang w:eastAsia="zh-CN"/>
        </w:rPr>
        <w:t>投标人业绩</w:t>
      </w:r>
    </w:p>
    <w:p>
      <w:pPr>
        <w:spacing w:after="120"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lang w:eastAsia="zh-CN"/>
        </w:rPr>
        <w:t>节能产品、环境标志产品明细表</w:t>
      </w:r>
    </w:p>
    <w:p>
      <w:pPr>
        <w:spacing w:line="360" w:lineRule="auto"/>
        <w:jc w:val="center"/>
        <w:rPr>
          <w:rFonts w:hint="eastAsia" w:asciiTheme="minorEastAsia" w:hAnsiTheme="minorEastAsia" w:eastAsiaTheme="minorEastAsia" w:cstheme="minorEastAsia"/>
          <w:b/>
          <w:sz w:val="24"/>
          <w:szCs w:val="24"/>
          <w:lang w:eastAsia="zh-CN"/>
        </w:rPr>
      </w:pPr>
    </w:p>
    <w:p>
      <w:pPr>
        <w:spacing w:line="360" w:lineRule="auto"/>
        <w:ind w:firstLine="3373" w:firstLineChars="14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pPr>
        <w:spacing w:line="360" w:lineRule="auto"/>
        <w:jc w:val="center"/>
        <w:rPr>
          <w:rFonts w:hint="eastAsia" w:asciiTheme="minorEastAsia" w:hAnsiTheme="minorEastAsia" w:eastAsiaTheme="minorEastAsia" w:cstheme="minorEastAsia"/>
          <w:b/>
          <w:sz w:val="24"/>
          <w:szCs w:val="24"/>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品牌 </w:t>
            </w:r>
          </w:p>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国家节能产品认证证书有效截止日期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r>
    </w:tbl>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法定代表人（负责人）或被授权人（签字或盖章）： </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投标人（盖章）： </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spacing w:line="360" w:lineRule="auto"/>
        <w:jc w:val="center"/>
        <w:rPr>
          <w:rFonts w:hint="eastAsia" w:asciiTheme="minorEastAsia" w:hAnsiTheme="minorEastAsia" w:eastAsiaTheme="minorEastAsia" w:cstheme="minorEastAsia"/>
          <w:b/>
          <w:sz w:val="24"/>
          <w:szCs w:val="24"/>
          <w:lang w:eastAsia="zh-CN"/>
        </w:rPr>
      </w:pPr>
    </w:p>
    <w:p>
      <w:pPr>
        <w:spacing w:line="360" w:lineRule="auto"/>
        <w:ind w:firstLine="3132" w:firstLineChars="13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品牌 </w:t>
            </w:r>
          </w:p>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认证证书有效截止日期  </w:t>
            </w:r>
          </w:p>
        </w:tc>
        <w:tc>
          <w:tcPr>
            <w:tcW w:w="75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r>
    </w:tbl>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法定代表人（负责人）或授权代表（签字）： </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投标人（盖章）： </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spacing w:line="360" w:lineRule="auto"/>
        <w:rPr>
          <w:rFonts w:hint="eastAsia" w:asciiTheme="minorEastAsia" w:hAnsiTheme="minorEastAsia" w:eastAsiaTheme="minorEastAsia" w:cstheme="minorEastAsia"/>
          <w:bCs/>
          <w:sz w:val="24"/>
          <w:szCs w:val="24"/>
          <w:lang w:eastAsia="zh-CN"/>
        </w:rPr>
      </w:pP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填报要求： </w:t>
      </w:r>
    </w:p>
    <w:p>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1. 本表的设备名称、品牌型号、金额应与货物分项报价一览表一致。 </w:t>
      </w:r>
    </w:p>
    <w:p>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2. 节能产品是指财政部和国家发展和改革委员会公布的《节能产品政府采购品目清单》中的产品。投标人须在投标文件中附该产品节能证书，否则评标委员会有权不予认可。 </w:t>
      </w:r>
    </w:p>
    <w:p>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3. 环境标志产品是指财政部、生态环境部发布的《环境标志产品政府采购品目清单》中的产品。投标人须在投标文件中附该产品环保证书，否则评委委员会有权不予认可。 </w:t>
      </w:r>
    </w:p>
    <w:p>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 xml:space="preserve">4. 请投标人正确填写本表，所填内容将作为评审的依据。其内容或数据应与对应的证明资料相符。 </w:t>
      </w:r>
    </w:p>
    <w:p>
      <w:pPr>
        <w:spacing w:line="360" w:lineRule="auto"/>
        <w:ind w:firstLine="480" w:firstLineChars="200"/>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 没有相关产品可不提供本表。</w:t>
      </w:r>
    </w:p>
    <w:p>
      <w:pPr>
        <w:pStyle w:val="5"/>
        <w:spacing w:before="333" w:line="219"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10</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pPr>
        <w:pStyle w:val="5"/>
        <w:spacing w:before="333" w:line="219" w:lineRule="auto"/>
        <w:jc w:val="cente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8"/>
          <w:sz w:val="24"/>
          <w:szCs w:val="24"/>
        </w:rPr>
        <w:t>的具体情况如下：</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2"/>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0"/>
          <w:sz w:val="24"/>
          <w:szCs w:val="24"/>
        </w:rPr>
        <w:t xml:space="preserve"> </w:t>
      </w:r>
      <w:r>
        <w:rPr>
          <w:rFonts w:hint="eastAsia" w:asciiTheme="minorEastAsia" w:hAnsiTheme="minorEastAsia" w:eastAsiaTheme="minorEastAsia" w:cstheme="minorEastAsia"/>
          <w:spacing w:val="3"/>
          <w:sz w:val="24"/>
          <w:szCs w:val="24"/>
        </w:rPr>
        <w:t>人，营业收入为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7"/>
          <w:sz w:val="24"/>
          <w:szCs w:val="24"/>
        </w:rPr>
        <w:t xml:space="preserve"> </w:t>
      </w:r>
      <w:r>
        <w:rPr>
          <w:rFonts w:hint="eastAsia" w:asciiTheme="minorEastAsia" w:hAnsiTheme="minorEastAsia" w:eastAsiaTheme="minorEastAsia" w:cstheme="minorEastAsia"/>
          <w:spacing w:val="3"/>
          <w:sz w:val="24"/>
          <w:szCs w:val="24"/>
        </w:rPr>
        <w:t>万元，资产总额为</w:t>
      </w:r>
      <w:r>
        <w:rPr>
          <w:rFonts w:hint="eastAsia" w:asciiTheme="minorEastAsia" w:hAnsiTheme="minorEastAsia" w:eastAsiaTheme="minorEastAsia" w:cstheme="minorEastAsia"/>
          <w:spacing w:val="-109"/>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3"/>
          <w:sz w:val="24"/>
          <w:szCs w:val="24"/>
        </w:rPr>
        <w:t>万元</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3"/>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3"/>
          <w:sz w:val="24"/>
          <w:szCs w:val="24"/>
        </w:rPr>
        <w:t>，属于</w:t>
      </w:r>
    </w:p>
    <w:p>
      <w:pPr>
        <w:pStyle w:val="5"/>
        <w:keepNext w:val="0"/>
        <w:keepLines w:val="0"/>
        <w:pageBreakBefore w:val="0"/>
        <w:widowControl/>
        <w:tabs>
          <w:tab w:val="left" w:pos="243"/>
        </w:tabs>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9"/>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1"/>
          <w:sz w:val="24"/>
          <w:szCs w:val="24"/>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4"/>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7"/>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Theme="minorEastAsia" w:hAnsiTheme="minorEastAsia" w:eastAsiaTheme="minorEastAsia" w:cstheme="minorEastAsia"/>
          <w:spacing w:val="4"/>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58" w:firstLineChars="29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4" w:firstLineChars="4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9"/>
          <w:sz w:val="24"/>
          <w:szCs w:val="24"/>
        </w:rPr>
        <w:t>日</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49"/>
          <w:sz w:val="24"/>
          <w:szCs w:val="24"/>
        </w:rPr>
        <w:t>期：</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w:t>
      </w:r>
      <w:r>
        <w:rPr>
          <w:rFonts w:hint="eastAsia" w:asciiTheme="minorEastAsia" w:hAnsiTheme="minorEastAsia" w:eastAsiaTheme="minorEastAsia" w:cstheme="minorEastAsia"/>
          <w:spacing w:val="70"/>
          <w:position w:val="26"/>
          <w:sz w:val="24"/>
          <w:szCs w:val="24"/>
        </w:rPr>
        <w:t xml:space="preserve"> </w:t>
      </w:r>
      <w:r>
        <w:rPr>
          <w:rFonts w:hint="eastAsia" w:asciiTheme="minorEastAsia" w:hAnsiTheme="minorEastAsia" w:eastAsiaTheme="minorEastAsia" w:cstheme="minorEastAsia"/>
          <w:spacing w:val="8"/>
          <w:position w:val="26"/>
          <w:sz w:val="24"/>
          <w:szCs w:val="24"/>
        </w:rPr>
        <w:t>民政部</w:t>
      </w:r>
      <w:r>
        <w:rPr>
          <w:rFonts w:hint="eastAsia" w:asciiTheme="minorEastAsia" w:hAnsiTheme="minorEastAsia" w:eastAsiaTheme="minorEastAsia" w:cstheme="minorEastAsia"/>
          <w:spacing w:val="56"/>
          <w:position w:val="26"/>
          <w:sz w:val="24"/>
          <w:szCs w:val="24"/>
        </w:rPr>
        <w:t xml:space="preserve"> </w:t>
      </w:r>
      <w:r>
        <w:rPr>
          <w:rFonts w:hint="eastAsia" w:asciiTheme="minorEastAsia" w:hAnsiTheme="minorEastAsia" w:eastAsiaTheme="minorEastAsia" w:cstheme="minorEastAsia"/>
          <w:spacing w:val="8"/>
          <w:position w:val="26"/>
          <w:sz w:val="24"/>
          <w:szCs w:val="24"/>
        </w:rPr>
        <w:t>中国残疾人联合会关于促进残疾人就</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 号）</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3"/>
          <w:sz w:val="24"/>
          <w:szCs w:val="24"/>
        </w:rPr>
        <w:t>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0" w:firstLineChars="20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148" w:firstLineChars="26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日</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21"/>
          <w:sz w:val="24"/>
          <w:szCs w:val="24"/>
        </w:rPr>
        <w:t>期：</w:t>
      </w:r>
      <w:r>
        <w:rPr>
          <w:rFonts w:hint="eastAsia" w:asciiTheme="minorEastAsia" w:hAnsiTheme="minorEastAsia" w:eastAsiaTheme="minorEastAsia" w:cstheme="minorEastAsia"/>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60" w:firstLineChars="2900"/>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b/>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b/>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pPr>
        <w:keepNext w:val="0"/>
        <w:keepLines w:val="0"/>
        <w:pageBreakBefore w:val="0"/>
        <w:widowControl/>
        <w:tabs>
          <w:tab w:val="left" w:pos="4860"/>
        </w:tabs>
        <w:kinsoku w:val="0"/>
        <w:wordWrap/>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pPr>
        <w:keepNext w:val="0"/>
        <w:keepLines w:val="0"/>
        <w:pageBreakBefore w:val="0"/>
        <w:widowControl/>
        <w:tabs>
          <w:tab w:val="left" w:pos="4860"/>
        </w:tabs>
        <w:kinsoku w:val="0"/>
        <w:wordWrap/>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6604" w:firstLineChars="2600"/>
        <w:textAlignment w:val="baseline"/>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日  期：</w:t>
      </w:r>
      <w:r>
        <w:rPr>
          <w:rFonts w:hint="eastAsia" w:asciiTheme="minorEastAsia" w:hAnsiTheme="minorEastAsia" w:eastAsiaTheme="minorEastAsia" w:cstheme="minorEastAsia"/>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11.招标文件要求的其它材料及投标人认为有必要提供的材料</w:t>
      </w:r>
    </w:p>
    <w:sectPr>
      <w:headerReference r:id="rId18" w:type="default"/>
      <w:footerReference r:id="rId19" w:type="default"/>
      <w:pgSz w:w="11907" w:h="16840"/>
      <w:pgMar w:top="1117" w:right="1133" w:bottom="1060" w:left="17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16803B"/>
    <w:multiLevelType w:val="singleLevel"/>
    <w:tmpl w:val="4516803B"/>
    <w:lvl w:ilvl="0" w:tentative="0">
      <w:start w:val="1"/>
      <w:numFmt w:val="decimal"/>
      <w:suff w:val="nothing"/>
      <w:lvlText w:val="%1、"/>
      <w:lvlJc w:val="left"/>
    </w:lvl>
  </w:abstractNum>
  <w:abstractNum w:abstractNumId="1">
    <w:nsid w:val="5956AE43"/>
    <w:multiLevelType w:val="singleLevel"/>
    <w:tmpl w:val="5956AE4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TUyM2UwYjBmYzc3YmM3ZjI1ODg2NTk3ZGJhZGNiNGIifQ=="/>
  </w:docVars>
  <w:rsids>
    <w:rsidRoot w:val="00000000"/>
    <w:rsid w:val="014E35A1"/>
    <w:rsid w:val="02FA03F5"/>
    <w:rsid w:val="03C26B83"/>
    <w:rsid w:val="042D1DAE"/>
    <w:rsid w:val="046E59EF"/>
    <w:rsid w:val="055748A3"/>
    <w:rsid w:val="06504C3B"/>
    <w:rsid w:val="092D385C"/>
    <w:rsid w:val="09E3271C"/>
    <w:rsid w:val="0A4C2C41"/>
    <w:rsid w:val="0A633B33"/>
    <w:rsid w:val="0AB46C2A"/>
    <w:rsid w:val="0ABE6FC5"/>
    <w:rsid w:val="0AD86A92"/>
    <w:rsid w:val="0B3B7AF5"/>
    <w:rsid w:val="0CD24796"/>
    <w:rsid w:val="0EE83F9D"/>
    <w:rsid w:val="102C0845"/>
    <w:rsid w:val="105424DD"/>
    <w:rsid w:val="10572538"/>
    <w:rsid w:val="11B43A6A"/>
    <w:rsid w:val="11D376A0"/>
    <w:rsid w:val="12417927"/>
    <w:rsid w:val="126E021D"/>
    <w:rsid w:val="12FD5FFB"/>
    <w:rsid w:val="13EE2BFD"/>
    <w:rsid w:val="13FF327C"/>
    <w:rsid w:val="148C2E9C"/>
    <w:rsid w:val="14C104E4"/>
    <w:rsid w:val="16F45CE8"/>
    <w:rsid w:val="16FC049F"/>
    <w:rsid w:val="19E260C0"/>
    <w:rsid w:val="1A464AA0"/>
    <w:rsid w:val="1AC47924"/>
    <w:rsid w:val="1B4F168F"/>
    <w:rsid w:val="1D391455"/>
    <w:rsid w:val="1D9D7C75"/>
    <w:rsid w:val="1E0754FF"/>
    <w:rsid w:val="1F8737CC"/>
    <w:rsid w:val="210939CE"/>
    <w:rsid w:val="212D6A29"/>
    <w:rsid w:val="22937C80"/>
    <w:rsid w:val="246A6D88"/>
    <w:rsid w:val="24E94D19"/>
    <w:rsid w:val="256253DA"/>
    <w:rsid w:val="260373D2"/>
    <w:rsid w:val="26BD2E08"/>
    <w:rsid w:val="273561BC"/>
    <w:rsid w:val="27F6032D"/>
    <w:rsid w:val="29462E99"/>
    <w:rsid w:val="2A725627"/>
    <w:rsid w:val="2ABA04F6"/>
    <w:rsid w:val="2B32017A"/>
    <w:rsid w:val="2E037ECE"/>
    <w:rsid w:val="2F7E5B21"/>
    <w:rsid w:val="305F18E8"/>
    <w:rsid w:val="311741D6"/>
    <w:rsid w:val="31481613"/>
    <w:rsid w:val="31AF1E34"/>
    <w:rsid w:val="36EB13FA"/>
    <w:rsid w:val="374E72FE"/>
    <w:rsid w:val="37AA5D31"/>
    <w:rsid w:val="3B7C15ED"/>
    <w:rsid w:val="3BDC4EDA"/>
    <w:rsid w:val="3C37498E"/>
    <w:rsid w:val="3DDE7B24"/>
    <w:rsid w:val="3E807399"/>
    <w:rsid w:val="3FAF3B7B"/>
    <w:rsid w:val="3FCE3BC4"/>
    <w:rsid w:val="423849B8"/>
    <w:rsid w:val="43451E6D"/>
    <w:rsid w:val="44EB7156"/>
    <w:rsid w:val="49AC2E6D"/>
    <w:rsid w:val="4A3F3154"/>
    <w:rsid w:val="4A4562D3"/>
    <w:rsid w:val="4A52328E"/>
    <w:rsid w:val="4B227F62"/>
    <w:rsid w:val="4B6545C2"/>
    <w:rsid w:val="4D676AD6"/>
    <w:rsid w:val="4E7A34EC"/>
    <w:rsid w:val="50441F10"/>
    <w:rsid w:val="518C2D8F"/>
    <w:rsid w:val="519F1DA4"/>
    <w:rsid w:val="52DC3333"/>
    <w:rsid w:val="54EB3E53"/>
    <w:rsid w:val="56682D63"/>
    <w:rsid w:val="574C04C4"/>
    <w:rsid w:val="57E53B9E"/>
    <w:rsid w:val="58AC00F0"/>
    <w:rsid w:val="59272568"/>
    <w:rsid w:val="59C641E6"/>
    <w:rsid w:val="59D65347"/>
    <w:rsid w:val="5C2D5181"/>
    <w:rsid w:val="5CA02E79"/>
    <w:rsid w:val="5CEA5B79"/>
    <w:rsid w:val="5D3550FB"/>
    <w:rsid w:val="5E3606EF"/>
    <w:rsid w:val="5EDA32DC"/>
    <w:rsid w:val="600E6D7C"/>
    <w:rsid w:val="607F1E09"/>
    <w:rsid w:val="618C2692"/>
    <w:rsid w:val="62E015B0"/>
    <w:rsid w:val="6329519C"/>
    <w:rsid w:val="642053CC"/>
    <w:rsid w:val="658A75F4"/>
    <w:rsid w:val="672526A7"/>
    <w:rsid w:val="69413090"/>
    <w:rsid w:val="69855FCD"/>
    <w:rsid w:val="6AE37CE3"/>
    <w:rsid w:val="6B5442BA"/>
    <w:rsid w:val="6B5A3693"/>
    <w:rsid w:val="6C68544B"/>
    <w:rsid w:val="6E0E0C0F"/>
    <w:rsid w:val="6EEB0447"/>
    <w:rsid w:val="71FC098F"/>
    <w:rsid w:val="72415D05"/>
    <w:rsid w:val="730225C6"/>
    <w:rsid w:val="73803FEB"/>
    <w:rsid w:val="748C5DD6"/>
    <w:rsid w:val="77146C1B"/>
    <w:rsid w:val="788C166D"/>
    <w:rsid w:val="78AC0934"/>
    <w:rsid w:val="78E700F4"/>
    <w:rsid w:val="78EE7B24"/>
    <w:rsid w:val="792E7F96"/>
    <w:rsid w:val="7A9F64F4"/>
    <w:rsid w:val="7AB10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autoRedefine/>
    <w:unhideWhenUsed/>
    <w:qFormat/>
    <w:uiPriority w:val="0"/>
    <w:pPr>
      <w:keepNext/>
      <w:keepLines/>
      <w:spacing w:before="240" w:after="160"/>
      <w:outlineLvl w:val="3"/>
    </w:pPr>
    <w:rPr>
      <w:b/>
      <w:sz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6"/>
    <w:autoRedefine/>
    <w:semiHidden/>
    <w:qFormat/>
    <w:uiPriority w:val="0"/>
    <w:rPr>
      <w:rFonts w:ascii="宋体" w:hAnsi="宋体" w:eastAsia="宋体" w:cs="宋体"/>
      <w:sz w:val="31"/>
      <w:szCs w:val="31"/>
      <w:lang w:val="en-US" w:eastAsia="en-US" w:bidi="ar-SA"/>
    </w:rPr>
  </w:style>
  <w:style w:type="paragraph" w:customStyle="1" w:styleId="6">
    <w:name w:val="Default"/>
    <w:next w:val="7"/>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7">
    <w:name w:val="Char Char10 Char Char Char Char"/>
    <w:basedOn w:val="1"/>
    <w:next w:val="8"/>
    <w:autoRedefine/>
    <w:qFormat/>
    <w:uiPriority w:val="99"/>
    <w:pPr>
      <w:autoSpaceDE w:val="0"/>
      <w:autoSpaceDN w:val="0"/>
      <w:jc w:val="left"/>
    </w:pPr>
    <w:rPr>
      <w:rFonts w:ascii="宋体" w:hAnsi="宋体" w:cs="宋体"/>
      <w:lang w:val="zh-CN" w:bidi="zh-CN"/>
    </w:rPr>
  </w:style>
  <w:style w:type="paragraph" w:customStyle="1" w:styleId="8">
    <w:name w:val="xl87"/>
    <w:basedOn w:val="1"/>
    <w:next w:val="9"/>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9">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styleId="10">
    <w:name w:val="Date"/>
    <w:basedOn w:val="1"/>
    <w:next w:val="1"/>
    <w:autoRedefine/>
    <w:qFormat/>
    <w:uiPriority w:val="0"/>
    <w:rPr>
      <w:kern w:val="2"/>
      <w:sz w:val="21"/>
      <w:lang w:eastAsia="zh-CN" w:bidi="ar-SA"/>
    </w:rPr>
  </w:style>
  <w:style w:type="paragraph" w:styleId="11">
    <w:name w:val="Body Text Indent"/>
    <w:basedOn w:val="1"/>
    <w:next w:val="1"/>
    <w:autoRedefine/>
    <w:qFormat/>
    <w:uiPriority w:val="99"/>
    <w:pPr>
      <w:spacing w:after="120" w:afterLines="0"/>
      <w:ind w:left="420" w:leftChars="200"/>
    </w:pPr>
    <w:rPr>
      <w:kern w:val="2"/>
      <w:sz w:val="21"/>
      <w:lang w:eastAsia="zh-CN" w:bidi="ar-SA"/>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envelope return"/>
    <w:basedOn w:val="1"/>
    <w:autoRedefine/>
    <w:qFormat/>
    <w:uiPriority w:val="0"/>
    <w:pPr>
      <w:snapToGrid w:val="0"/>
    </w:pPr>
    <w:rPr>
      <w:rFonts w:ascii="Arial" w:hAnsi="Arial"/>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autoRedefine/>
    <w:qFormat/>
    <w:uiPriority w:val="0"/>
    <w:pPr>
      <w:spacing w:after="120" w:line="480" w:lineRule="auto"/>
    </w:pPr>
    <w:rPr>
      <w:rFonts w:ascii="Tahoma" w:hAnsi="Tahoma"/>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5"/>
    <w:next w:val="1"/>
    <w:autoRedefine/>
    <w:qFormat/>
    <w:uiPriority w:val="99"/>
    <w:pPr>
      <w:spacing w:after="120" w:afterLines="0"/>
      <w:ind w:firstLine="420" w:firstLineChars="100"/>
    </w:pPr>
    <w:rPr>
      <w:rFonts w:ascii="Times New Roman" w:eastAsia="宋体"/>
      <w:sz w:val="21"/>
    </w:rPr>
  </w:style>
  <w:style w:type="paragraph" w:styleId="18">
    <w:name w:val="Body Text First Indent 2"/>
    <w:basedOn w:val="11"/>
    <w:next w:val="1"/>
    <w:autoRedefine/>
    <w:qFormat/>
    <w:uiPriority w:val="0"/>
    <w:pPr>
      <w:ind w:firstLine="200" w:firstLineChars="200"/>
    </w:pPr>
    <w:rPr>
      <w:kern w:val="2"/>
      <w:sz w:val="28"/>
      <w:lang w:eastAsia="zh-CN" w:bidi="ar-SA"/>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autoRedefine/>
    <w:qFormat/>
    <w:uiPriority w:val="0"/>
    <w:rPr>
      <w:color w:val="333333"/>
      <w:u w:val="none"/>
    </w:rPr>
  </w:style>
  <w:style w:type="character" w:styleId="23">
    <w:name w:val="Hyperlink"/>
    <w:basedOn w:val="21"/>
    <w:autoRedefine/>
    <w:qFormat/>
    <w:uiPriority w:val="0"/>
    <w:rPr>
      <w:color w:val="0000FF"/>
      <w:u w:val="single"/>
    </w:rPr>
  </w:style>
  <w:style w:type="paragraph" w:customStyle="1" w:styleId="24">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rPr>
      <w:rFonts w:ascii="Arial" w:hAnsi="Arial" w:eastAsia="Arial" w:cs="Arial"/>
      <w:sz w:val="21"/>
      <w:szCs w:val="21"/>
      <w:lang w:val="en-US" w:eastAsia="en-US" w:bidi="ar-SA"/>
    </w:rPr>
  </w:style>
  <w:style w:type="paragraph" w:customStyle="1" w:styleId="27">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paragraph" w:customStyle="1" w:styleId="28">
    <w:name w:val="表格文字"/>
    <w:basedOn w:val="1"/>
    <w:autoRedefine/>
    <w:qFormat/>
    <w:uiPriority w:val="0"/>
    <w:pPr>
      <w:widowControl w:val="0"/>
      <w:adjustRightInd w:val="0"/>
      <w:spacing w:line="420" w:lineRule="atLeast"/>
      <w:textAlignment w:val="baseline"/>
    </w:pPr>
    <w:rPr>
      <w:sz w:val="21"/>
      <w:szCs w:val="20"/>
      <w:lang w:eastAsia="zh-CN" w:bidi="ar-SA"/>
    </w:rPr>
  </w:style>
  <w:style w:type="character" w:customStyle="1" w:styleId="29">
    <w:name w:val="font21"/>
    <w:basedOn w:val="21"/>
    <w:autoRedefine/>
    <w:qFormat/>
    <w:uiPriority w:val="0"/>
    <w:rPr>
      <w:rFonts w:hint="eastAsia" w:ascii="仿宋" w:hAnsi="仿宋" w:eastAsia="仿宋" w:cs="仿宋"/>
      <w:color w:val="FF0000"/>
      <w:sz w:val="24"/>
      <w:szCs w:val="24"/>
      <w:u w:val="none"/>
    </w:rPr>
  </w:style>
  <w:style w:type="character" w:customStyle="1" w:styleId="30">
    <w:name w:val="font31"/>
    <w:basedOn w:val="21"/>
    <w:autoRedefine/>
    <w:qFormat/>
    <w:uiPriority w:val="0"/>
    <w:rPr>
      <w:rFonts w:hint="eastAsia" w:ascii="仿宋" w:hAnsi="仿宋" w:eastAsia="仿宋" w:cs="仿宋"/>
      <w:b/>
      <w:bCs/>
      <w:color w:val="FF0000"/>
      <w:sz w:val="24"/>
      <w:szCs w:val="24"/>
      <w:u w:val="none"/>
    </w:rPr>
  </w:style>
  <w:style w:type="character" w:customStyle="1" w:styleId="31">
    <w:name w:val="font01"/>
    <w:basedOn w:val="21"/>
    <w:autoRedefine/>
    <w:qFormat/>
    <w:uiPriority w:val="0"/>
    <w:rPr>
      <w:rFonts w:hint="eastAsia" w:ascii="等线" w:hAnsi="等线" w:eastAsia="等线" w:cs="等线"/>
      <w:color w:val="000000"/>
      <w:sz w:val="22"/>
      <w:szCs w:val="22"/>
      <w:u w:val="none"/>
    </w:rPr>
  </w:style>
  <w:style w:type="character" w:customStyle="1" w:styleId="32">
    <w:name w:val="font11"/>
    <w:basedOn w:val="21"/>
    <w:autoRedefine/>
    <w:qFormat/>
    <w:uiPriority w:val="0"/>
    <w:rPr>
      <w:rFonts w:hint="eastAsia" w:ascii="等线" w:hAnsi="等线" w:eastAsia="等线" w:cs="等线"/>
      <w:b/>
      <w:bCs/>
      <w:color w:val="FF0000"/>
      <w:sz w:val="22"/>
      <w:szCs w:val="22"/>
      <w:u w:val="none"/>
    </w:rPr>
  </w:style>
  <w:style w:type="character" w:customStyle="1" w:styleId="33">
    <w:name w:val="font41"/>
    <w:basedOn w:val="21"/>
    <w:autoRedefine/>
    <w:qFormat/>
    <w:uiPriority w:val="0"/>
    <w:rPr>
      <w:rFonts w:ascii="Calibri" w:hAnsi="Calibri" w:cs="Calibri"/>
      <w:color w:val="FF0000"/>
      <w:sz w:val="24"/>
      <w:szCs w:val="24"/>
      <w:u w:val="none"/>
    </w:rPr>
  </w:style>
  <w:style w:type="character" w:customStyle="1" w:styleId="34">
    <w:name w:val="font51"/>
    <w:basedOn w:val="21"/>
    <w:autoRedefine/>
    <w:qFormat/>
    <w:uiPriority w:val="0"/>
    <w:rPr>
      <w:rFonts w:hint="default" w:ascii="Calibri" w:hAnsi="Calibri" w:cs="Calibri"/>
      <w:color w:val="000000"/>
      <w:sz w:val="24"/>
      <w:szCs w:val="24"/>
      <w:u w:val="none"/>
    </w:rPr>
  </w:style>
  <w:style w:type="paragraph" w:styleId="35">
    <w:name w:val="No Spacing"/>
    <w:autoRedefine/>
    <w:qFormat/>
    <w:uiPriority w:val="1"/>
    <w:pPr>
      <w:widowControl w:val="0"/>
      <w:jc w:val="both"/>
    </w:pPr>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Office_12.1.0.16364_F1E327BC-269C-435d-A152-05C5408002CA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Jinz</cp:lastModifiedBy>
  <dcterms:modified xsi:type="dcterms:W3CDTF">2024-02-08T01:50:33Z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2052-12.1.0.16364</vt:lpwstr>
  </property>
  <property fmtid="{D5CDD505-2E9C-101B-9397-08002B2CF9AE}" pid="5" name="ICV">
    <vt:lpwstr>AD1E55E5620445998B25E83E9EE34FA3_13</vt:lpwstr>
  </property>
</Properties>
</file>