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D49C">
      <w:pPr>
        <w:spacing w:line="360" w:lineRule="auto"/>
        <w:ind w:firstLine="420"/>
        <w:jc w:val="center"/>
        <w:rPr>
          <w:rFonts w:hint="default" w:ascii="宋体" w:hAnsi="宋体" w:eastAsia="宋体" w:cs="宋体"/>
          <w:color w:val="auto"/>
          <w:sz w:val="48"/>
          <w:szCs w:val="48"/>
          <w:highlight w:val="none"/>
          <w:lang w:val="en-US" w:eastAsia="zh-CN"/>
        </w:rPr>
      </w:pPr>
      <w:bookmarkStart w:id="0" w:name="OLE_LINK92"/>
      <w:r>
        <w:rPr>
          <w:rFonts w:hint="eastAsia" w:cs="宋体"/>
          <w:color w:val="auto"/>
          <w:sz w:val="48"/>
          <w:szCs w:val="48"/>
          <w:highlight w:val="none"/>
          <w:lang w:val="en-US" w:eastAsia="zh-CN"/>
        </w:rPr>
        <w:t>采购需求</w:t>
      </w:r>
    </w:p>
    <w:p w14:paraId="6B7F8070">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本次项目建设包括软硬件建设，将建设成可支撑财会课程开展的实训中心，预计可同时满足70个工位进行教学实训等。</w:t>
      </w:r>
    </w:p>
    <w:p w14:paraId="212DDE38">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（一）硬件建设</w:t>
      </w:r>
    </w:p>
    <w:p w14:paraId="592A225C">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根据数智化财务“学练训赛</w:t>
      </w:r>
      <w:bookmarkStart w:id="10" w:name="_GoBack"/>
      <w:bookmarkEnd w:id="10"/>
      <w:r>
        <w:rPr>
          <w:rFonts w:hint="eastAsia" w:ascii="宋体" w:hAnsi="宋体" w:cs="宋体"/>
          <w:color w:val="auto"/>
          <w:sz w:val="21"/>
          <w:szCs w:val="21"/>
          <w:highlight w:val="none"/>
        </w:rPr>
        <w:t>”综合实训中心建设项目，拟在现有电算化会计实训室基础上进行升级，建设1个约100㎡，可以满足70人同时操作，配套实训教学平台，以保证实训教学工作有效开展。</w:t>
      </w:r>
    </w:p>
    <w:p w14:paraId="0B1F87BC">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（二）软件建设</w:t>
      </w:r>
    </w:p>
    <w:p w14:paraId="51E4706D">
      <w:pPr>
        <w:spacing w:line="360" w:lineRule="auto"/>
        <w:ind w:firstLine="420"/>
        <w:rPr>
          <w:rFonts w:hint="eastAsia" w:ascii="黑体" w:eastAsia="黑体"/>
          <w:b/>
          <w:bCs/>
          <w:color w:val="auto"/>
          <w:sz w:val="21"/>
          <w:szCs w:val="21"/>
          <w:highlight w:val="none"/>
        </w:rPr>
      </w:pPr>
      <w:r>
        <w:rPr>
          <w:rFonts w:hint="eastAsia" w:ascii="宋体" w:hAnsi="宋体" w:cs="宋体"/>
          <w:color w:val="auto"/>
          <w:sz w:val="21"/>
          <w:szCs w:val="21"/>
          <w:highlight w:val="none"/>
        </w:rPr>
        <w:t>数智化财务“学练训赛”综合实训中心建设项目根据专业人才培养方案进行规划，配套实训设备，满足大数据与会计专业学生教学、竞赛、实训需求，优化了专业实训条件，缩短了学生与岗位之间的距离，提升学生就业竞争力。</w:t>
      </w:r>
    </w:p>
    <w:bookmarkEnd w:id="0"/>
    <w:p w14:paraId="1CCF953D">
      <w:pPr>
        <w:pStyle w:val="3"/>
        <w:rPr>
          <w:rFonts w:hint="eastAsia"/>
          <w:color w:val="auto"/>
          <w:highlight w:val="none"/>
        </w:rPr>
      </w:pPr>
    </w:p>
    <w:p w14:paraId="6272D340">
      <w:pPr>
        <w:spacing w:line="360" w:lineRule="auto"/>
        <w:jc w:val="center"/>
        <w:rPr>
          <w:rFonts w:hint="eastAsia" w:ascii="黑体" w:eastAsia="黑体"/>
          <w:b/>
          <w:bCs/>
          <w:sz w:val="28"/>
          <w:szCs w:val="28"/>
        </w:rPr>
      </w:pPr>
      <w:r>
        <w:rPr>
          <w:rFonts w:hint="eastAsia" w:ascii="黑体" w:eastAsia="黑体"/>
          <w:b/>
          <w:bCs/>
          <w:sz w:val="28"/>
          <w:szCs w:val="28"/>
        </w:rPr>
        <w:t>产品清单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780"/>
        <w:gridCol w:w="2413"/>
        <w:gridCol w:w="1863"/>
      </w:tblGrid>
      <w:tr w14:paraId="3EC8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487121BB">
            <w:pPr>
              <w:widowControl/>
              <w:spacing w:line="360" w:lineRule="auto"/>
              <w:jc w:val="center"/>
              <w:textAlignment w:val="center"/>
              <w:rPr>
                <w:rFonts w:hint="eastAsia"/>
                <w:bCs/>
                <w:szCs w:val="21"/>
              </w:rPr>
            </w:pPr>
            <w:r>
              <w:rPr>
                <w:rFonts w:hint="eastAsia"/>
                <w:b/>
                <w:bCs/>
                <w:kern w:val="0"/>
                <w:szCs w:val="21"/>
              </w:rPr>
              <w:t>序号</w:t>
            </w:r>
          </w:p>
        </w:tc>
        <w:tc>
          <w:tcPr>
            <w:tcW w:w="2780" w:type="dxa"/>
            <w:noWrap w:val="0"/>
            <w:vAlign w:val="center"/>
          </w:tcPr>
          <w:p w14:paraId="2FA714C7">
            <w:pPr>
              <w:widowControl/>
              <w:spacing w:line="360" w:lineRule="auto"/>
              <w:jc w:val="center"/>
              <w:textAlignment w:val="center"/>
              <w:rPr>
                <w:rFonts w:hint="eastAsia"/>
                <w:bCs/>
                <w:szCs w:val="21"/>
              </w:rPr>
            </w:pPr>
            <w:r>
              <w:rPr>
                <w:rFonts w:hint="eastAsia"/>
                <w:b/>
                <w:bCs/>
                <w:kern w:val="0"/>
                <w:szCs w:val="21"/>
              </w:rPr>
              <w:t>采购商品名称</w:t>
            </w:r>
          </w:p>
        </w:tc>
        <w:tc>
          <w:tcPr>
            <w:tcW w:w="2413" w:type="dxa"/>
            <w:noWrap w:val="0"/>
            <w:vAlign w:val="center"/>
          </w:tcPr>
          <w:p w14:paraId="16666454">
            <w:pPr>
              <w:widowControl/>
              <w:spacing w:line="360" w:lineRule="auto"/>
              <w:jc w:val="center"/>
              <w:textAlignment w:val="center"/>
              <w:rPr>
                <w:rFonts w:hint="eastAsia"/>
                <w:bCs/>
                <w:szCs w:val="21"/>
              </w:rPr>
            </w:pPr>
            <w:r>
              <w:rPr>
                <w:rFonts w:hint="eastAsia"/>
                <w:b/>
                <w:bCs/>
                <w:kern w:val="0"/>
                <w:szCs w:val="21"/>
              </w:rPr>
              <w:t>单位</w:t>
            </w:r>
          </w:p>
        </w:tc>
        <w:tc>
          <w:tcPr>
            <w:tcW w:w="1863" w:type="dxa"/>
            <w:noWrap w:val="0"/>
            <w:vAlign w:val="center"/>
          </w:tcPr>
          <w:p w14:paraId="2D702EDD">
            <w:pPr>
              <w:widowControl/>
              <w:spacing w:line="360" w:lineRule="auto"/>
              <w:jc w:val="center"/>
              <w:textAlignment w:val="center"/>
              <w:rPr>
                <w:rFonts w:hint="eastAsia"/>
                <w:bCs/>
                <w:szCs w:val="21"/>
              </w:rPr>
            </w:pPr>
            <w:r>
              <w:rPr>
                <w:rFonts w:hint="eastAsia"/>
                <w:b/>
                <w:bCs/>
                <w:kern w:val="0"/>
                <w:szCs w:val="21"/>
              </w:rPr>
              <w:t>数量</w:t>
            </w:r>
          </w:p>
        </w:tc>
      </w:tr>
      <w:tr w14:paraId="6F4C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482" w:type="dxa"/>
            <w:noWrap w:val="0"/>
            <w:vAlign w:val="center"/>
          </w:tcPr>
          <w:p w14:paraId="62CB0369">
            <w:pPr>
              <w:adjustRightInd w:val="0"/>
              <w:snapToGrid w:val="0"/>
              <w:spacing w:line="360" w:lineRule="auto"/>
              <w:jc w:val="center"/>
              <w:rPr>
                <w:rFonts w:hint="eastAsia"/>
                <w:bCs/>
                <w:szCs w:val="21"/>
              </w:rPr>
            </w:pPr>
            <w:r>
              <w:rPr>
                <w:rFonts w:hint="eastAsia"/>
                <w:bCs/>
                <w:szCs w:val="21"/>
              </w:rPr>
              <w:t>1</w:t>
            </w:r>
          </w:p>
        </w:tc>
        <w:tc>
          <w:tcPr>
            <w:tcW w:w="2780" w:type="dxa"/>
            <w:noWrap w:val="0"/>
            <w:vAlign w:val="center"/>
          </w:tcPr>
          <w:p w14:paraId="4E0685FF">
            <w:pPr>
              <w:widowControl/>
              <w:spacing w:line="360" w:lineRule="auto"/>
              <w:jc w:val="left"/>
              <w:textAlignment w:val="center"/>
              <w:rPr>
                <w:rFonts w:hint="eastAsia"/>
                <w:bCs/>
                <w:szCs w:val="21"/>
              </w:rPr>
            </w:pPr>
            <w:r>
              <w:rPr>
                <w:rFonts w:hint="eastAsia"/>
                <w:kern w:val="0"/>
                <w:szCs w:val="21"/>
              </w:rPr>
              <w:t>财务数字化训赛平台及资源包</w:t>
            </w:r>
          </w:p>
        </w:tc>
        <w:tc>
          <w:tcPr>
            <w:tcW w:w="2413" w:type="dxa"/>
            <w:noWrap w:val="0"/>
            <w:vAlign w:val="center"/>
          </w:tcPr>
          <w:p w14:paraId="42FF83BB">
            <w:pPr>
              <w:widowControl/>
              <w:spacing w:line="360" w:lineRule="auto"/>
              <w:jc w:val="center"/>
              <w:textAlignment w:val="center"/>
              <w:rPr>
                <w:rFonts w:hint="eastAsia"/>
                <w:bCs/>
                <w:szCs w:val="21"/>
              </w:rPr>
            </w:pPr>
            <w:r>
              <w:rPr>
                <w:rFonts w:hint="eastAsia"/>
                <w:szCs w:val="21"/>
              </w:rPr>
              <w:t>套</w:t>
            </w:r>
          </w:p>
        </w:tc>
        <w:tc>
          <w:tcPr>
            <w:tcW w:w="1863" w:type="dxa"/>
            <w:noWrap w:val="0"/>
            <w:vAlign w:val="center"/>
          </w:tcPr>
          <w:p w14:paraId="10701DA5">
            <w:pPr>
              <w:widowControl/>
              <w:spacing w:line="360" w:lineRule="auto"/>
              <w:jc w:val="center"/>
              <w:textAlignment w:val="center"/>
              <w:rPr>
                <w:rFonts w:hint="eastAsia"/>
                <w:bCs/>
                <w:szCs w:val="21"/>
              </w:rPr>
            </w:pPr>
            <w:r>
              <w:rPr>
                <w:rFonts w:hint="eastAsia"/>
                <w:szCs w:val="21"/>
              </w:rPr>
              <w:t>1</w:t>
            </w:r>
          </w:p>
        </w:tc>
      </w:tr>
      <w:tr w14:paraId="61D2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2B342D6D">
            <w:pPr>
              <w:adjustRightInd w:val="0"/>
              <w:snapToGrid w:val="0"/>
              <w:spacing w:line="360" w:lineRule="auto"/>
              <w:jc w:val="center"/>
              <w:rPr>
                <w:rFonts w:hint="eastAsia"/>
                <w:bCs/>
                <w:szCs w:val="21"/>
              </w:rPr>
            </w:pPr>
            <w:r>
              <w:rPr>
                <w:rFonts w:hint="eastAsia"/>
                <w:bCs/>
                <w:szCs w:val="21"/>
              </w:rPr>
              <w:t>2</w:t>
            </w:r>
          </w:p>
        </w:tc>
        <w:tc>
          <w:tcPr>
            <w:tcW w:w="2780" w:type="dxa"/>
            <w:noWrap w:val="0"/>
            <w:vAlign w:val="center"/>
          </w:tcPr>
          <w:p w14:paraId="3EF32BF8">
            <w:pPr>
              <w:widowControl/>
              <w:spacing w:line="360" w:lineRule="auto"/>
              <w:jc w:val="left"/>
              <w:textAlignment w:val="center"/>
              <w:rPr>
                <w:rFonts w:hint="eastAsia"/>
                <w:bCs/>
                <w:szCs w:val="21"/>
              </w:rPr>
            </w:pPr>
            <w:r>
              <w:rPr>
                <w:rFonts w:hint="eastAsia"/>
                <w:kern w:val="0"/>
                <w:szCs w:val="21"/>
              </w:rPr>
              <w:t>企业数字化系统</w:t>
            </w:r>
          </w:p>
        </w:tc>
        <w:tc>
          <w:tcPr>
            <w:tcW w:w="2413" w:type="dxa"/>
            <w:noWrap w:val="0"/>
            <w:vAlign w:val="center"/>
          </w:tcPr>
          <w:p w14:paraId="4F4B6A34">
            <w:pPr>
              <w:widowControl/>
              <w:spacing w:line="360" w:lineRule="auto"/>
              <w:jc w:val="center"/>
              <w:textAlignment w:val="center"/>
              <w:rPr>
                <w:rFonts w:hint="eastAsia"/>
                <w:bCs/>
                <w:szCs w:val="21"/>
              </w:rPr>
            </w:pPr>
            <w:r>
              <w:rPr>
                <w:rFonts w:hint="eastAsia"/>
                <w:szCs w:val="21"/>
              </w:rPr>
              <w:t>套</w:t>
            </w:r>
          </w:p>
        </w:tc>
        <w:tc>
          <w:tcPr>
            <w:tcW w:w="1863" w:type="dxa"/>
            <w:noWrap w:val="0"/>
            <w:vAlign w:val="center"/>
          </w:tcPr>
          <w:p w14:paraId="5F52F62E">
            <w:pPr>
              <w:widowControl/>
              <w:spacing w:line="360" w:lineRule="auto"/>
              <w:jc w:val="center"/>
              <w:textAlignment w:val="center"/>
              <w:rPr>
                <w:rFonts w:hint="eastAsia"/>
                <w:bCs/>
                <w:szCs w:val="21"/>
              </w:rPr>
            </w:pPr>
            <w:r>
              <w:rPr>
                <w:rFonts w:hint="eastAsia"/>
                <w:szCs w:val="21"/>
              </w:rPr>
              <w:t>1</w:t>
            </w:r>
          </w:p>
        </w:tc>
      </w:tr>
      <w:tr w14:paraId="21FD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82" w:type="dxa"/>
            <w:noWrap w:val="0"/>
            <w:vAlign w:val="center"/>
          </w:tcPr>
          <w:p w14:paraId="1B96815F">
            <w:pPr>
              <w:adjustRightInd w:val="0"/>
              <w:snapToGrid w:val="0"/>
              <w:spacing w:line="360" w:lineRule="auto"/>
              <w:jc w:val="center"/>
              <w:rPr>
                <w:rFonts w:hint="eastAsia"/>
                <w:bCs/>
                <w:szCs w:val="21"/>
              </w:rPr>
            </w:pPr>
            <w:r>
              <w:rPr>
                <w:rFonts w:hint="eastAsia"/>
                <w:bCs/>
                <w:szCs w:val="21"/>
              </w:rPr>
              <w:t>3</w:t>
            </w:r>
          </w:p>
        </w:tc>
        <w:tc>
          <w:tcPr>
            <w:tcW w:w="2780" w:type="dxa"/>
            <w:noWrap w:val="0"/>
            <w:vAlign w:val="center"/>
          </w:tcPr>
          <w:p w14:paraId="02A8FA0F">
            <w:pPr>
              <w:widowControl/>
              <w:spacing w:line="360" w:lineRule="auto"/>
              <w:jc w:val="left"/>
              <w:textAlignment w:val="center"/>
              <w:rPr>
                <w:rFonts w:hint="eastAsia"/>
                <w:bCs/>
                <w:szCs w:val="21"/>
              </w:rPr>
            </w:pPr>
            <w:r>
              <w:rPr>
                <w:rFonts w:hint="eastAsia"/>
                <w:szCs w:val="21"/>
              </w:rPr>
              <w:t>智慧化财务实验实训平台</w:t>
            </w:r>
          </w:p>
        </w:tc>
        <w:tc>
          <w:tcPr>
            <w:tcW w:w="2413" w:type="dxa"/>
            <w:noWrap w:val="0"/>
            <w:vAlign w:val="center"/>
          </w:tcPr>
          <w:p w14:paraId="1E6A1EF3">
            <w:pPr>
              <w:widowControl/>
              <w:spacing w:line="360" w:lineRule="auto"/>
              <w:jc w:val="center"/>
              <w:textAlignment w:val="center"/>
              <w:rPr>
                <w:rFonts w:hint="eastAsia"/>
                <w:szCs w:val="21"/>
              </w:rPr>
            </w:pPr>
            <w:r>
              <w:rPr>
                <w:rFonts w:hint="eastAsia"/>
                <w:szCs w:val="21"/>
              </w:rPr>
              <w:t>套</w:t>
            </w:r>
          </w:p>
        </w:tc>
        <w:tc>
          <w:tcPr>
            <w:tcW w:w="1863" w:type="dxa"/>
            <w:noWrap w:val="0"/>
            <w:vAlign w:val="center"/>
          </w:tcPr>
          <w:p w14:paraId="74C6837D">
            <w:pPr>
              <w:widowControl/>
              <w:spacing w:line="360" w:lineRule="auto"/>
              <w:jc w:val="center"/>
              <w:textAlignment w:val="center"/>
              <w:rPr>
                <w:rFonts w:hint="eastAsia"/>
                <w:szCs w:val="21"/>
              </w:rPr>
            </w:pPr>
            <w:r>
              <w:rPr>
                <w:rFonts w:hint="eastAsia"/>
                <w:szCs w:val="21"/>
              </w:rPr>
              <w:t>1</w:t>
            </w:r>
          </w:p>
        </w:tc>
      </w:tr>
      <w:tr w14:paraId="55B3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482" w:type="dxa"/>
            <w:noWrap w:val="0"/>
            <w:vAlign w:val="center"/>
          </w:tcPr>
          <w:p w14:paraId="1D9BAD12">
            <w:pPr>
              <w:adjustRightInd w:val="0"/>
              <w:snapToGrid w:val="0"/>
              <w:spacing w:line="360" w:lineRule="auto"/>
              <w:jc w:val="center"/>
              <w:rPr>
                <w:rFonts w:hint="eastAsia"/>
                <w:bCs/>
                <w:szCs w:val="21"/>
              </w:rPr>
            </w:pPr>
            <w:r>
              <w:rPr>
                <w:rFonts w:hint="eastAsia"/>
                <w:bCs/>
                <w:szCs w:val="21"/>
              </w:rPr>
              <w:t>4</w:t>
            </w:r>
          </w:p>
        </w:tc>
        <w:tc>
          <w:tcPr>
            <w:tcW w:w="2780" w:type="dxa"/>
            <w:noWrap w:val="0"/>
            <w:vAlign w:val="center"/>
          </w:tcPr>
          <w:p w14:paraId="7B1AD192">
            <w:pPr>
              <w:widowControl/>
              <w:spacing w:line="360" w:lineRule="auto"/>
              <w:jc w:val="left"/>
              <w:textAlignment w:val="center"/>
              <w:rPr>
                <w:rFonts w:hint="eastAsia"/>
                <w:bCs/>
                <w:szCs w:val="21"/>
              </w:rPr>
            </w:pPr>
            <w:r>
              <w:rPr>
                <w:rFonts w:hint="eastAsia"/>
                <w:bCs/>
                <w:kern w:val="0"/>
                <w:szCs w:val="21"/>
                <w:lang w:bidi="en-US"/>
              </w:rPr>
              <w:t>财会职业能力养成平台</w:t>
            </w:r>
          </w:p>
        </w:tc>
        <w:tc>
          <w:tcPr>
            <w:tcW w:w="2413" w:type="dxa"/>
            <w:noWrap w:val="0"/>
            <w:vAlign w:val="center"/>
          </w:tcPr>
          <w:p w14:paraId="5B60F4A9">
            <w:pPr>
              <w:widowControl/>
              <w:spacing w:line="360" w:lineRule="auto"/>
              <w:jc w:val="center"/>
              <w:textAlignment w:val="center"/>
              <w:rPr>
                <w:rFonts w:hint="eastAsia"/>
                <w:bCs/>
                <w:szCs w:val="21"/>
              </w:rPr>
            </w:pPr>
            <w:r>
              <w:rPr>
                <w:rFonts w:hint="eastAsia"/>
                <w:szCs w:val="21"/>
              </w:rPr>
              <w:t>套</w:t>
            </w:r>
          </w:p>
        </w:tc>
        <w:tc>
          <w:tcPr>
            <w:tcW w:w="1863" w:type="dxa"/>
            <w:noWrap w:val="0"/>
            <w:vAlign w:val="center"/>
          </w:tcPr>
          <w:p w14:paraId="17202DEF">
            <w:pPr>
              <w:widowControl/>
              <w:spacing w:line="360" w:lineRule="auto"/>
              <w:jc w:val="center"/>
              <w:textAlignment w:val="center"/>
              <w:rPr>
                <w:rFonts w:hint="eastAsia"/>
                <w:bCs/>
                <w:szCs w:val="21"/>
              </w:rPr>
            </w:pPr>
            <w:r>
              <w:rPr>
                <w:rFonts w:hint="eastAsia"/>
                <w:szCs w:val="21"/>
              </w:rPr>
              <w:t>1</w:t>
            </w:r>
          </w:p>
        </w:tc>
      </w:tr>
      <w:tr w14:paraId="68BD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33AB05C2">
            <w:pPr>
              <w:adjustRightInd w:val="0"/>
              <w:snapToGrid w:val="0"/>
              <w:spacing w:line="360" w:lineRule="auto"/>
              <w:jc w:val="center"/>
              <w:rPr>
                <w:rFonts w:hint="eastAsia"/>
                <w:bCs/>
                <w:szCs w:val="21"/>
              </w:rPr>
            </w:pPr>
            <w:r>
              <w:rPr>
                <w:rFonts w:hint="eastAsia"/>
                <w:bCs/>
                <w:szCs w:val="21"/>
              </w:rPr>
              <w:t>5</w:t>
            </w:r>
          </w:p>
        </w:tc>
        <w:tc>
          <w:tcPr>
            <w:tcW w:w="2780" w:type="dxa"/>
            <w:noWrap w:val="0"/>
            <w:vAlign w:val="center"/>
          </w:tcPr>
          <w:p w14:paraId="2F0F3976">
            <w:pPr>
              <w:widowControl/>
              <w:spacing w:line="360" w:lineRule="auto"/>
              <w:jc w:val="left"/>
              <w:textAlignment w:val="center"/>
              <w:rPr>
                <w:rFonts w:hint="eastAsia"/>
                <w:bCs/>
                <w:szCs w:val="21"/>
              </w:rPr>
            </w:pPr>
            <w:r>
              <w:rPr>
                <w:rFonts w:hint="eastAsia"/>
                <w:kern w:val="0"/>
                <w:szCs w:val="21"/>
              </w:rPr>
              <w:t>学生实训终端</w:t>
            </w:r>
          </w:p>
        </w:tc>
        <w:tc>
          <w:tcPr>
            <w:tcW w:w="2413" w:type="dxa"/>
            <w:noWrap w:val="0"/>
            <w:vAlign w:val="center"/>
          </w:tcPr>
          <w:p w14:paraId="47E81641">
            <w:pPr>
              <w:widowControl/>
              <w:spacing w:line="360" w:lineRule="auto"/>
              <w:jc w:val="center"/>
              <w:textAlignment w:val="center"/>
              <w:rPr>
                <w:rFonts w:hint="eastAsia"/>
                <w:bCs/>
                <w:szCs w:val="21"/>
              </w:rPr>
            </w:pPr>
            <w:r>
              <w:rPr>
                <w:rFonts w:hint="eastAsia"/>
                <w:szCs w:val="21"/>
              </w:rPr>
              <w:t>台</w:t>
            </w:r>
          </w:p>
        </w:tc>
        <w:tc>
          <w:tcPr>
            <w:tcW w:w="1863" w:type="dxa"/>
            <w:noWrap w:val="0"/>
            <w:vAlign w:val="center"/>
          </w:tcPr>
          <w:p w14:paraId="2B2E009D">
            <w:pPr>
              <w:widowControl/>
              <w:spacing w:line="360" w:lineRule="auto"/>
              <w:jc w:val="center"/>
              <w:textAlignment w:val="center"/>
              <w:rPr>
                <w:rFonts w:hint="eastAsia"/>
                <w:bCs/>
                <w:szCs w:val="21"/>
              </w:rPr>
            </w:pPr>
            <w:r>
              <w:rPr>
                <w:rFonts w:hint="eastAsia"/>
                <w:szCs w:val="21"/>
              </w:rPr>
              <w:t>70</w:t>
            </w:r>
          </w:p>
        </w:tc>
      </w:tr>
      <w:tr w14:paraId="27C1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6D0E0B56">
            <w:pPr>
              <w:adjustRightInd w:val="0"/>
              <w:snapToGrid w:val="0"/>
              <w:spacing w:line="360" w:lineRule="auto"/>
              <w:jc w:val="center"/>
              <w:rPr>
                <w:rFonts w:hint="eastAsia"/>
                <w:bCs/>
                <w:szCs w:val="21"/>
              </w:rPr>
            </w:pPr>
            <w:r>
              <w:rPr>
                <w:rFonts w:hint="eastAsia"/>
                <w:bCs/>
                <w:szCs w:val="21"/>
              </w:rPr>
              <w:t>6</w:t>
            </w:r>
          </w:p>
        </w:tc>
        <w:tc>
          <w:tcPr>
            <w:tcW w:w="2780" w:type="dxa"/>
            <w:noWrap w:val="0"/>
            <w:vAlign w:val="center"/>
          </w:tcPr>
          <w:p w14:paraId="0794F193">
            <w:pPr>
              <w:widowControl/>
              <w:spacing w:line="360" w:lineRule="auto"/>
              <w:jc w:val="left"/>
              <w:textAlignment w:val="center"/>
              <w:rPr>
                <w:rFonts w:hint="eastAsia"/>
                <w:bCs/>
                <w:szCs w:val="21"/>
              </w:rPr>
            </w:pPr>
            <w:r>
              <w:rPr>
                <w:rFonts w:hint="eastAsia"/>
                <w:kern w:val="0"/>
                <w:szCs w:val="21"/>
              </w:rPr>
              <w:t>教师实训终端</w:t>
            </w:r>
          </w:p>
        </w:tc>
        <w:tc>
          <w:tcPr>
            <w:tcW w:w="2413" w:type="dxa"/>
            <w:noWrap w:val="0"/>
            <w:vAlign w:val="center"/>
          </w:tcPr>
          <w:p w14:paraId="6E1392BD">
            <w:pPr>
              <w:widowControl/>
              <w:spacing w:line="360" w:lineRule="auto"/>
              <w:jc w:val="center"/>
              <w:textAlignment w:val="center"/>
              <w:rPr>
                <w:rFonts w:hint="eastAsia"/>
                <w:bCs/>
                <w:szCs w:val="21"/>
              </w:rPr>
            </w:pPr>
            <w:r>
              <w:rPr>
                <w:rFonts w:hint="eastAsia"/>
                <w:szCs w:val="21"/>
              </w:rPr>
              <w:t>台</w:t>
            </w:r>
          </w:p>
        </w:tc>
        <w:tc>
          <w:tcPr>
            <w:tcW w:w="1863" w:type="dxa"/>
            <w:noWrap w:val="0"/>
            <w:vAlign w:val="center"/>
          </w:tcPr>
          <w:p w14:paraId="424B2F2C">
            <w:pPr>
              <w:widowControl/>
              <w:spacing w:line="360" w:lineRule="auto"/>
              <w:jc w:val="center"/>
              <w:textAlignment w:val="center"/>
              <w:rPr>
                <w:rFonts w:hint="eastAsia"/>
                <w:bCs/>
                <w:szCs w:val="21"/>
              </w:rPr>
            </w:pPr>
            <w:r>
              <w:rPr>
                <w:rFonts w:hint="eastAsia"/>
                <w:szCs w:val="21"/>
              </w:rPr>
              <w:t>1</w:t>
            </w:r>
          </w:p>
        </w:tc>
      </w:tr>
      <w:tr w14:paraId="4FC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248B5E20">
            <w:pPr>
              <w:adjustRightInd w:val="0"/>
              <w:snapToGrid w:val="0"/>
              <w:spacing w:line="360" w:lineRule="auto"/>
              <w:jc w:val="center"/>
              <w:rPr>
                <w:rFonts w:hint="eastAsia"/>
                <w:bCs/>
                <w:szCs w:val="21"/>
              </w:rPr>
            </w:pPr>
            <w:r>
              <w:rPr>
                <w:rFonts w:hint="eastAsia"/>
                <w:bCs/>
                <w:szCs w:val="21"/>
              </w:rPr>
              <w:t>7</w:t>
            </w:r>
          </w:p>
        </w:tc>
        <w:tc>
          <w:tcPr>
            <w:tcW w:w="2780" w:type="dxa"/>
            <w:noWrap w:val="0"/>
            <w:vAlign w:val="center"/>
          </w:tcPr>
          <w:p w14:paraId="72D29C79">
            <w:pPr>
              <w:widowControl/>
              <w:spacing w:line="360" w:lineRule="auto"/>
              <w:jc w:val="left"/>
              <w:textAlignment w:val="center"/>
              <w:rPr>
                <w:rFonts w:hint="eastAsia"/>
                <w:bCs/>
                <w:szCs w:val="21"/>
              </w:rPr>
            </w:pPr>
            <w:r>
              <w:rPr>
                <w:rFonts w:hint="eastAsia"/>
                <w:kern w:val="0"/>
                <w:szCs w:val="21"/>
              </w:rPr>
              <w:t>云桌面管理系统</w:t>
            </w:r>
          </w:p>
        </w:tc>
        <w:tc>
          <w:tcPr>
            <w:tcW w:w="2413" w:type="dxa"/>
            <w:noWrap w:val="0"/>
            <w:vAlign w:val="center"/>
          </w:tcPr>
          <w:p w14:paraId="322ED86E">
            <w:pPr>
              <w:widowControl/>
              <w:spacing w:line="360" w:lineRule="auto"/>
              <w:jc w:val="center"/>
              <w:textAlignment w:val="center"/>
              <w:rPr>
                <w:rFonts w:hint="eastAsia"/>
                <w:bCs/>
                <w:szCs w:val="21"/>
              </w:rPr>
            </w:pPr>
            <w:r>
              <w:rPr>
                <w:rFonts w:hint="eastAsia"/>
                <w:szCs w:val="21"/>
              </w:rPr>
              <w:t>套</w:t>
            </w:r>
          </w:p>
        </w:tc>
        <w:tc>
          <w:tcPr>
            <w:tcW w:w="1863" w:type="dxa"/>
            <w:noWrap w:val="0"/>
            <w:vAlign w:val="center"/>
          </w:tcPr>
          <w:p w14:paraId="5EB126D6">
            <w:pPr>
              <w:widowControl/>
              <w:spacing w:line="360" w:lineRule="auto"/>
              <w:jc w:val="center"/>
              <w:textAlignment w:val="center"/>
              <w:rPr>
                <w:rFonts w:hint="eastAsia"/>
                <w:bCs/>
                <w:szCs w:val="21"/>
              </w:rPr>
            </w:pPr>
            <w:r>
              <w:rPr>
                <w:rFonts w:hint="eastAsia"/>
                <w:szCs w:val="21"/>
              </w:rPr>
              <w:t>1</w:t>
            </w:r>
          </w:p>
        </w:tc>
      </w:tr>
      <w:tr w14:paraId="01DF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75FD1EF0">
            <w:pPr>
              <w:adjustRightInd w:val="0"/>
              <w:snapToGrid w:val="0"/>
              <w:spacing w:line="360" w:lineRule="auto"/>
              <w:jc w:val="center"/>
              <w:rPr>
                <w:rFonts w:hint="eastAsia"/>
                <w:bCs/>
                <w:color w:val="auto"/>
                <w:szCs w:val="21"/>
              </w:rPr>
            </w:pPr>
            <w:r>
              <w:rPr>
                <w:rFonts w:hint="eastAsia"/>
                <w:bCs/>
                <w:color w:val="auto"/>
                <w:szCs w:val="21"/>
              </w:rPr>
              <w:t>8</w:t>
            </w:r>
          </w:p>
        </w:tc>
        <w:tc>
          <w:tcPr>
            <w:tcW w:w="2780" w:type="dxa"/>
            <w:noWrap w:val="0"/>
            <w:vAlign w:val="center"/>
          </w:tcPr>
          <w:p w14:paraId="7C742357">
            <w:pPr>
              <w:widowControl/>
              <w:spacing w:line="360" w:lineRule="auto"/>
              <w:jc w:val="left"/>
              <w:textAlignment w:val="center"/>
              <w:rPr>
                <w:rFonts w:hint="eastAsia"/>
                <w:bCs/>
                <w:color w:val="auto"/>
                <w:szCs w:val="21"/>
              </w:rPr>
            </w:pPr>
            <w:r>
              <w:rPr>
                <w:rFonts w:hint="eastAsia"/>
                <w:color w:val="auto"/>
                <w:kern w:val="0"/>
                <w:szCs w:val="21"/>
              </w:rPr>
              <w:t>液晶互联黑板</w:t>
            </w:r>
          </w:p>
        </w:tc>
        <w:tc>
          <w:tcPr>
            <w:tcW w:w="2413" w:type="dxa"/>
            <w:noWrap w:val="0"/>
            <w:vAlign w:val="center"/>
          </w:tcPr>
          <w:p w14:paraId="06143ACA">
            <w:pPr>
              <w:widowControl/>
              <w:spacing w:line="360" w:lineRule="auto"/>
              <w:jc w:val="center"/>
              <w:textAlignment w:val="center"/>
              <w:rPr>
                <w:rFonts w:hint="eastAsia"/>
                <w:bCs/>
                <w:szCs w:val="21"/>
              </w:rPr>
            </w:pPr>
            <w:r>
              <w:rPr>
                <w:rFonts w:hint="eastAsia"/>
                <w:szCs w:val="21"/>
              </w:rPr>
              <w:t>台</w:t>
            </w:r>
          </w:p>
        </w:tc>
        <w:tc>
          <w:tcPr>
            <w:tcW w:w="1863" w:type="dxa"/>
            <w:noWrap w:val="0"/>
            <w:vAlign w:val="center"/>
          </w:tcPr>
          <w:p w14:paraId="2FC94458">
            <w:pPr>
              <w:widowControl/>
              <w:spacing w:line="360" w:lineRule="auto"/>
              <w:jc w:val="center"/>
              <w:textAlignment w:val="center"/>
              <w:rPr>
                <w:rFonts w:hint="eastAsia"/>
                <w:bCs/>
                <w:szCs w:val="21"/>
              </w:rPr>
            </w:pPr>
            <w:r>
              <w:rPr>
                <w:rFonts w:hint="eastAsia"/>
                <w:szCs w:val="21"/>
              </w:rPr>
              <w:t>1</w:t>
            </w:r>
          </w:p>
        </w:tc>
      </w:tr>
      <w:tr w14:paraId="2DA5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7F43DBC3">
            <w:pPr>
              <w:adjustRightInd w:val="0"/>
              <w:snapToGrid w:val="0"/>
              <w:spacing w:line="360" w:lineRule="auto"/>
              <w:jc w:val="center"/>
              <w:rPr>
                <w:rFonts w:hint="eastAsia"/>
                <w:bCs/>
                <w:szCs w:val="21"/>
              </w:rPr>
            </w:pPr>
            <w:r>
              <w:rPr>
                <w:rFonts w:hint="eastAsia"/>
                <w:bCs/>
                <w:szCs w:val="21"/>
              </w:rPr>
              <w:t>9</w:t>
            </w:r>
          </w:p>
        </w:tc>
        <w:tc>
          <w:tcPr>
            <w:tcW w:w="2780" w:type="dxa"/>
            <w:noWrap w:val="0"/>
            <w:vAlign w:val="center"/>
          </w:tcPr>
          <w:p w14:paraId="540BF61F">
            <w:pPr>
              <w:widowControl/>
              <w:spacing w:line="360" w:lineRule="auto"/>
              <w:jc w:val="left"/>
              <w:textAlignment w:val="center"/>
              <w:rPr>
                <w:rFonts w:hint="eastAsia"/>
                <w:bCs/>
                <w:szCs w:val="21"/>
              </w:rPr>
            </w:pPr>
            <w:r>
              <w:rPr>
                <w:rFonts w:hint="eastAsia"/>
                <w:kern w:val="0"/>
                <w:szCs w:val="21"/>
              </w:rPr>
              <w:t>多媒体讲桌</w:t>
            </w:r>
          </w:p>
        </w:tc>
        <w:tc>
          <w:tcPr>
            <w:tcW w:w="2413" w:type="dxa"/>
            <w:noWrap w:val="0"/>
            <w:vAlign w:val="center"/>
          </w:tcPr>
          <w:p w14:paraId="7887CB09">
            <w:pPr>
              <w:widowControl/>
              <w:spacing w:line="360" w:lineRule="auto"/>
              <w:jc w:val="center"/>
              <w:textAlignment w:val="center"/>
              <w:rPr>
                <w:rFonts w:hint="eastAsia"/>
                <w:bCs/>
                <w:szCs w:val="21"/>
              </w:rPr>
            </w:pPr>
            <w:r>
              <w:rPr>
                <w:rFonts w:hint="eastAsia"/>
                <w:szCs w:val="21"/>
              </w:rPr>
              <w:t>台</w:t>
            </w:r>
          </w:p>
        </w:tc>
        <w:tc>
          <w:tcPr>
            <w:tcW w:w="1863" w:type="dxa"/>
            <w:noWrap w:val="0"/>
            <w:vAlign w:val="center"/>
          </w:tcPr>
          <w:p w14:paraId="7E94FAEA">
            <w:pPr>
              <w:widowControl/>
              <w:spacing w:line="360" w:lineRule="auto"/>
              <w:jc w:val="center"/>
              <w:textAlignment w:val="center"/>
              <w:rPr>
                <w:rFonts w:hint="eastAsia"/>
                <w:bCs/>
                <w:szCs w:val="21"/>
              </w:rPr>
            </w:pPr>
            <w:r>
              <w:rPr>
                <w:rFonts w:hint="eastAsia"/>
                <w:szCs w:val="21"/>
              </w:rPr>
              <w:t>1</w:t>
            </w:r>
          </w:p>
        </w:tc>
      </w:tr>
      <w:tr w14:paraId="68B2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249A1CFA">
            <w:pPr>
              <w:adjustRightInd w:val="0"/>
              <w:snapToGrid w:val="0"/>
              <w:spacing w:line="360" w:lineRule="auto"/>
              <w:jc w:val="center"/>
              <w:rPr>
                <w:rFonts w:hint="eastAsia"/>
                <w:bCs/>
                <w:szCs w:val="21"/>
              </w:rPr>
            </w:pPr>
            <w:r>
              <w:rPr>
                <w:rFonts w:hint="eastAsia"/>
                <w:bCs/>
                <w:szCs w:val="21"/>
              </w:rPr>
              <w:t>10</w:t>
            </w:r>
          </w:p>
        </w:tc>
        <w:tc>
          <w:tcPr>
            <w:tcW w:w="2780" w:type="dxa"/>
            <w:noWrap w:val="0"/>
            <w:vAlign w:val="center"/>
          </w:tcPr>
          <w:p w14:paraId="764DBFB5">
            <w:pPr>
              <w:widowControl/>
              <w:spacing w:line="360" w:lineRule="auto"/>
              <w:jc w:val="left"/>
              <w:textAlignment w:val="center"/>
              <w:rPr>
                <w:rFonts w:hint="eastAsia"/>
                <w:bCs/>
                <w:szCs w:val="21"/>
              </w:rPr>
            </w:pPr>
            <w:r>
              <w:rPr>
                <w:rFonts w:hint="eastAsia"/>
                <w:kern w:val="0"/>
                <w:szCs w:val="21"/>
              </w:rPr>
              <w:t>多功能教学软件</w:t>
            </w:r>
          </w:p>
        </w:tc>
        <w:tc>
          <w:tcPr>
            <w:tcW w:w="2413" w:type="dxa"/>
            <w:noWrap w:val="0"/>
            <w:vAlign w:val="center"/>
          </w:tcPr>
          <w:p w14:paraId="37A8AFC2">
            <w:pPr>
              <w:widowControl/>
              <w:spacing w:line="360" w:lineRule="auto"/>
              <w:jc w:val="center"/>
              <w:textAlignment w:val="center"/>
              <w:rPr>
                <w:rFonts w:hint="eastAsia"/>
                <w:bCs/>
                <w:szCs w:val="21"/>
              </w:rPr>
            </w:pPr>
            <w:r>
              <w:rPr>
                <w:rFonts w:hint="eastAsia"/>
                <w:szCs w:val="21"/>
              </w:rPr>
              <w:t>套</w:t>
            </w:r>
          </w:p>
        </w:tc>
        <w:tc>
          <w:tcPr>
            <w:tcW w:w="1863" w:type="dxa"/>
            <w:noWrap w:val="0"/>
            <w:vAlign w:val="center"/>
          </w:tcPr>
          <w:p w14:paraId="69A65CE5">
            <w:pPr>
              <w:widowControl/>
              <w:spacing w:line="360" w:lineRule="auto"/>
              <w:jc w:val="center"/>
              <w:textAlignment w:val="center"/>
              <w:rPr>
                <w:rFonts w:hint="eastAsia"/>
                <w:bCs/>
                <w:szCs w:val="21"/>
              </w:rPr>
            </w:pPr>
            <w:r>
              <w:rPr>
                <w:rFonts w:hint="eastAsia"/>
                <w:szCs w:val="21"/>
              </w:rPr>
              <w:t>1</w:t>
            </w:r>
          </w:p>
        </w:tc>
      </w:tr>
      <w:tr w14:paraId="4B35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5D64D74B">
            <w:pPr>
              <w:adjustRightInd w:val="0"/>
              <w:snapToGrid w:val="0"/>
              <w:spacing w:line="360" w:lineRule="auto"/>
              <w:jc w:val="center"/>
              <w:rPr>
                <w:rFonts w:hint="eastAsia"/>
                <w:bCs/>
                <w:szCs w:val="21"/>
              </w:rPr>
            </w:pPr>
            <w:r>
              <w:rPr>
                <w:rFonts w:hint="eastAsia"/>
                <w:bCs/>
                <w:szCs w:val="21"/>
              </w:rPr>
              <w:t>11</w:t>
            </w:r>
          </w:p>
        </w:tc>
        <w:tc>
          <w:tcPr>
            <w:tcW w:w="2780" w:type="dxa"/>
            <w:noWrap w:val="0"/>
            <w:vAlign w:val="center"/>
          </w:tcPr>
          <w:p w14:paraId="5C241320">
            <w:pPr>
              <w:widowControl/>
              <w:spacing w:line="360" w:lineRule="auto"/>
              <w:jc w:val="left"/>
              <w:textAlignment w:val="center"/>
              <w:rPr>
                <w:rFonts w:hint="eastAsia"/>
                <w:bCs/>
                <w:szCs w:val="21"/>
              </w:rPr>
            </w:pPr>
            <w:r>
              <w:rPr>
                <w:rFonts w:hint="eastAsia"/>
                <w:kern w:val="0"/>
                <w:szCs w:val="21"/>
              </w:rPr>
              <w:t>学生桌子</w:t>
            </w:r>
          </w:p>
        </w:tc>
        <w:tc>
          <w:tcPr>
            <w:tcW w:w="2413" w:type="dxa"/>
            <w:noWrap w:val="0"/>
            <w:vAlign w:val="center"/>
          </w:tcPr>
          <w:p w14:paraId="45227F6F">
            <w:pPr>
              <w:widowControl/>
              <w:spacing w:line="360" w:lineRule="auto"/>
              <w:jc w:val="center"/>
              <w:textAlignment w:val="center"/>
              <w:rPr>
                <w:rFonts w:hint="eastAsia"/>
                <w:bCs/>
                <w:szCs w:val="21"/>
              </w:rPr>
            </w:pPr>
            <w:r>
              <w:rPr>
                <w:rFonts w:hint="eastAsia"/>
                <w:szCs w:val="21"/>
              </w:rPr>
              <w:t>张</w:t>
            </w:r>
          </w:p>
        </w:tc>
        <w:tc>
          <w:tcPr>
            <w:tcW w:w="1863" w:type="dxa"/>
            <w:noWrap w:val="0"/>
            <w:vAlign w:val="center"/>
          </w:tcPr>
          <w:p w14:paraId="5D4AE6B6">
            <w:pPr>
              <w:widowControl/>
              <w:spacing w:line="360" w:lineRule="auto"/>
              <w:jc w:val="center"/>
              <w:textAlignment w:val="center"/>
              <w:rPr>
                <w:rFonts w:hint="eastAsia"/>
                <w:bCs/>
                <w:szCs w:val="21"/>
              </w:rPr>
            </w:pPr>
            <w:r>
              <w:rPr>
                <w:rFonts w:hint="eastAsia"/>
                <w:szCs w:val="21"/>
              </w:rPr>
              <w:t>10</w:t>
            </w:r>
          </w:p>
        </w:tc>
      </w:tr>
      <w:tr w14:paraId="209F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39302516">
            <w:pPr>
              <w:adjustRightInd w:val="0"/>
              <w:snapToGrid w:val="0"/>
              <w:spacing w:line="360" w:lineRule="auto"/>
              <w:jc w:val="center"/>
              <w:rPr>
                <w:rFonts w:hint="eastAsia"/>
                <w:bCs/>
                <w:szCs w:val="21"/>
              </w:rPr>
            </w:pPr>
            <w:r>
              <w:rPr>
                <w:rFonts w:hint="eastAsia"/>
                <w:bCs/>
                <w:szCs w:val="21"/>
              </w:rPr>
              <w:t>12</w:t>
            </w:r>
          </w:p>
        </w:tc>
        <w:tc>
          <w:tcPr>
            <w:tcW w:w="2780" w:type="dxa"/>
            <w:noWrap w:val="0"/>
            <w:vAlign w:val="center"/>
          </w:tcPr>
          <w:p w14:paraId="0D6C17B8">
            <w:pPr>
              <w:widowControl/>
              <w:spacing w:line="360" w:lineRule="auto"/>
              <w:jc w:val="left"/>
              <w:textAlignment w:val="center"/>
              <w:rPr>
                <w:rFonts w:hint="eastAsia"/>
                <w:kern w:val="0"/>
                <w:szCs w:val="21"/>
              </w:rPr>
            </w:pPr>
            <w:r>
              <w:rPr>
                <w:rFonts w:hint="eastAsia"/>
                <w:kern w:val="0"/>
                <w:szCs w:val="21"/>
              </w:rPr>
              <w:t>学生椅子</w:t>
            </w:r>
          </w:p>
        </w:tc>
        <w:tc>
          <w:tcPr>
            <w:tcW w:w="2413" w:type="dxa"/>
            <w:noWrap w:val="0"/>
            <w:vAlign w:val="center"/>
          </w:tcPr>
          <w:p w14:paraId="51F4FFAD">
            <w:pPr>
              <w:widowControl/>
              <w:spacing w:line="360" w:lineRule="auto"/>
              <w:jc w:val="center"/>
              <w:textAlignment w:val="center"/>
              <w:rPr>
                <w:rFonts w:hint="eastAsia"/>
                <w:szCs w:val="21"/>
              </w:rPr>
            </w:pPr>
            <w:r>
              <w:rPr>
                <w:rFonts w:hint="eastAsia"/>
                <w:szCs w:val="21"/>
              </w:rPr>
              <w:t>把</w:t>
            </w:r>
          </w:p>
        </w:tc>
        <w:tc>
          <w:tcPr>
            <w:tcW w:w="1863" w:type="dxa"/>
            <w:noWrap w:val="0"/>
            <w:vAlign w:val="center"/>
          </w:tcPr>
          <w:p w14:paraId="0CD165D5">
            <w:pPr>
              <w:widowControl/>
              <w:spacing w:line="360" w:lineRule="auto"/>
              <w:jc w:val="center"/>
              <w:textAlignment w:val="center"/>
              <w:rPr>
                <w:rFonts w:hint="eastAsia"/>
                <w:szCs w:val="21"/>
              </w:rPr>
            </w:pPr>
            <w:r>
              <w:rPr>
                <w:rFonts w:hint="eastAsia"/>
                <w:szCs w:val="21"/>
              </w:rPr>
              <w:t>70</w:t>
            </w:r>
          </w:p>
        </w:tc>
      </w:tr>
      <w:tr w14:paraId="1946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41D5A167">
            <w:pPr>
              <w:adjustRightInd w:val="0"/>
              <w:snapToGrid w:val="0"/>
              <w:spacing w:line="360" w:lineRule="auto"/>
              <w:jc w:val="center"/>
              <w:rPr>
                <w:rFonts w:hint="eastAsia"/>
                <w:bCs/>
                <w:szCs w:val="21"/>
              </w:rPr>
            </w:pPr>
            <w:r>
              <w:rPr>
                <w:rFonts w:hint="eastAsia"/>
                <w:bCs/>
                <w:szCs w:val="21"/>
              </w:rPr>
              <w:t>13</w:t>
            </w:r>
          </w:p>
        </w:tc>
        <w:tc>
          <w:tcPr>
            <w:tcW w:w="2780" w:type="dxa"/>
            <w:noWrap w:val="0"/>
            <w:vAlign w:val="center"/>
          </w:tcPr>
          <w:p w14:paraId="527C55E3">
            <w:pPr>
              <w:widowControl/>
              <w:spacing w:line="360" w:lineRule="auto"/>
              <w:jc w:val="left"/>
              <w:textAlignment w:val="center"/>
              <w:rPr>
                <w:rFonts w:hint="eastAsia"/>
                <w:bCs/>
                <w:szCs w:val="21"/>
              </w:rPr>
            </w:pPr>
            <w:r>
              <w:rPr>
                <w:rFonts w:hint="eastAsia"/>
                <w:kern w:val="0"/>
                <w:szCs w:val="21"/>
              </w:rPr>
              <w:t>千兆网络交换机</w:t>
            </w:r>
          </w:p>
        </w:tc>
        <w:tc>
          <w:tcPr>
            <w:tcW w:w="2413" w:type="dxa"/>
            <w:noWrap w:val="0"/>
            <w:vAlign w:val="center"/>
          </w:tcPr>
          <w:p w14:paraId="42DB3DEF">
            <w:pPr>
              <w:widowControl/>
              <w:spacing w:line="360" w:lineRule="auto"/>
              <w:jc w:val="center"/>
              <w:textAlignment w:val="center"/>
              <w:rPr>
                <w:rFonts w:hint="eastAsia"/>
                <w:bCs/>
                <w:szCs w:val="21"/>
              </w:rPr>
            </w:pPr>
            <w:r>
              <w:rPr>
                <w:rFonts w:hint="eastAsia"/>
                <w:szCs w:val="21"/>
              </w:rPr>
              <w:t>台</w:t>
            </w:r>
          </w:p>
        </w:tc>
        <w:tc>
          <w:tcPr>
            <w:tcW w:w="1863" w:type="dxa"/>
            <w:noWrap w:val="0"/>
            <w:vAlign w:val="center"/>
          </w:tcPr>
          <w:p w14:paraId="7D6216B6">
            <w:pPr>
              <w:widowControl/>
              <w:spacing w:line="360" w:lineRule="auto"/>
              <w:jc w:val="center"/>
              <w:textAlignment w:val="center"/>
              <w:rPr>
                <w:rFonts w:hint="eastAsia"/>
                <w:bCs/>
                <w:szCs w:val="21"/>
              </w:rPr>
            </w:pPr>
            <w:r>
              <w:rPr>
                <w:rFonts w:hint="eastAsia"/>
                <w:szCs w:val="21"/>
              </w:rPr>
              <w:t>2</w:t>
            </w:r>
          </w:p>
        </w:tc>
      </w:tr>
      <w:tr w14:paraId="059C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333264E9">
            <w:pPr>
              <w:adjustRightInd w:val="0"/>
              <w:snapToGrid w:val="0"/>
              <w:spacing w:line="360" w:lineRule="auto"/>
              <w:jc w:val="center"/>
              <w:rPr>
                <w:rFonts w:hint="eastAsia"/>
                <w:bCs/>
                <w:szCs w:val="21"/>
              </w:rPr>
            </w:pPr>
            <w:r>
              <w:rPr>
                <w:rFonts w:hint="eastAsia"/>
                <w:bCs/>
                <w:szCs w:val="21"/>
              </w:rPr>
              <w:t>14</w:t>
            </w:r>
          </w:p>
        </w:tc>
        <w:tc>
          <w:tcPr>
            <w:tcW w:w="2780" w:type="dxa"/>
            <w:noWrap w:val="0"/>
            <w:vAlign w:val="center"/>
          </w:tcPr>
          <w:p w14:paraId="4EAFF74D">
            <w:pPr>
              <w:widowControl/>
              <w:spacing w:line="360" w:lineRule="auto"/>
              <w:jc w:val="left"/>
              <w:textAlignment w:val="center"/>
              <w:rPr>
                <w:rFonts w:hint="eastAsia"/>
                <w:bCs/>
                <w:szCs w:val="21"/>
              </w:rPr>
            </w:pPr>
            <w:r>
              <w:rPr>
                <w:rFonts w:hint="eastAsia"/>
                <w:kern w:val="0"/>
                <w:szCs w:val="21"/>
              </w:rPr>
              <w:t>服务器</w:t>
            </w:r>
          </w:p>
        </w:tc>
        <w:tc>
          <w:tcPr>
            <w:tcW w:w="2413" w:type="dxa"/>
            <w:noWrap w:val="0"/>
            <w:vAlign w:val="center"/>
          </w:tcPr>
          <w:p w14:paraId="7F68B8EA">
            <w:pPr>
              <w:widowControl/>
              <w:spacing w:line="360" w:lineRule="auto"/>
              <w:jc w:val="center"/>
              <w:textAlignment w:val="center"/>
              <w:rPr>
                <w:rFonts w:hint="eastAsia"/>
                <w:bCs/>
                <w:szCs w:val="21"/>
              </w:rPr>
            </w:pPr>
            <w:r>
              <w:rPr>
                <w:rFonts w:hint="eastAsia"/>
                <w:szCs w:val="21"/>
              </w:rPr>
              <w:t>台</w:t>
            </w:r>
          </w:p>
        </w:tc>
        <w:tc>
          <w:tcPr>
            <w:tcW w:w="1863" w:type="dxa"/>
            <w:noWrap w:val="0"/>
            <w:vAlign w:val="center"/>
          </w:tcPr>
          <w:p w14:paraId="7519B045">
            <w:pPr>
              <w:widowControl/>
              <w:spacing w:line="360" w:lineRule="auto"/>
              <w:jc w:val="center"/>
              <w:textAlignment w:val="center"/>
              <w:rPr>
                <w:rFonts w:hint="eastAsia"/>
                <w:bCs/>
                <w:szCs w:val="21"/>
              </w:rPr>
            </w:pPr>
            <w:r>
              <w:rPr>
                <w:rFonts w:hint="eastAsia"/>
                <w:szCs w:val="21"/>
              </w:rPr>
              <w:t>1</w:t>
            </w:r>
          </w:p>
        </w:tc>
      </w:tr>
      <w:tr w14:paraId="2F56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2553E445">
            <w:pPr>
              <w:adjustRightInd w:val="0"/>
              <w:snapToGrid w:val="0"/>
              <w:spacing w:line="360" w:lineRule="auto"/>
              <w:jc w:val="center"/>
              <w:rPr>
                <w:rFonts w:hint="eastAsia"/>
                <w:bCs/>
                <w:szCs w:val="21"/>
              </w:rPr>
            </w:pPr>
            <w:r>
              <w:rPr>
                <w:rFonts w:hint="eastAsia"/>
                <w:bCs/>
                <w:szCs w:val="21"/>
              </w:rPr>
              <w:t>15</w:t>
            </w:r>
          </w:p>
        </w:tc>
        <w:tc>
          <w:tcPr>
            <w:tcW w:w="2780" w:type="dxa"/>
            <w:noWrap w:val="0"/>
            <w:vAlign w:val="center"/>
          </w:tcPr>
          <w:p w14:paraId="0F8020F4">
            <w:pPr>
              <w:widowControl/>
              <w:spacing w:line="360" w:lineRule="auto"/>
              <w:jc w:val="left"/>
              <w:textAlignment w:val="center"/>
              <w:rPr>
                <w:rFonts w:hint="eastAsia"/>
                <w:bCs/>
                <w:szCs w:val="21"/>
              </w:rPr>
            </w:pPr>
            <w:r>
              <w:rPr>
                <w:rFonts w:hint="eastAsia"/>
                <w:kern w:val="0"/>
                <w:szCs w:val="21"/>
              </w:rPr>
              <w:t>屏幕显示器设备</w:t>
            </w:r>
          </w:p>
        </w:tc>
        <w:tc>
          <w:tcPr>
            <w:tcW w:w="2413" w:type="dxa"/>
            <w:noWrap w:val="0"/>
            <w:vAlign w:val="center"/>
          </w:tcPr>
          <w:p w14:paraId="7BCE5FC1">
            <w:pPr>
              <w:widowControl/>
              <w:spacing w:line="360" w:lineRule="auto"/>
              <w:jc w:val="center"/>
              <w:textAlignment w:val="center"/>
              <w:rPr>
                <w:rFonts w:hint="eastAsia"/>
                <w:bCs/>
                <w:szCs w:val="21"/>
              </w:rPr>
            </w:pPr>
            <w:r>
              <w:rPr>
                <w:rFonts w:hint="eastAsia"/>
                <w:szCs w:val="21"/>
              </w:rPr>
              <w:t>台</w:t>
            </w:r>
          </w:p>
        </w:tc>
        <w:tc>
          <w:tcPr>
            <w:tcW w:w="1863" w:type="dxa"/>
            <w:noWrap w:val="0"/>
            <w:vAlign w:val="center"/>
          </w:tcPr>
          <w:p w14:paraId="60BE7468">
            <w:pPr>
              <w:widowControl/>
              <w:spacing w:line="360" w:lineRule="auto"/>
              <w:jc w:val="center"/>
              <w:textAlignment w:val="center"/>
              <w:rPr>
                <w:rFonts w:hint="eastAsia"/>
                <w:bCs/>
                <w:szCs w:val="21"/>
              </w:rPr>
            </w:pPr>
            <w:r>
              <w:rPr>
                <w:rFonts w:hint="eastAsia"/>
                <w:szCs w:val="21"/>
              </w:rPr>
              <w:t>2</w:t>
            </w:r>
          </w:p>
        </w:tc>
      </w:tr>
      <w:tr w14:paraId="6377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2F47828D">
            <w:pPr>
              <w:adjustRightInd w:val="0"/>
              <w:snapToGrid w:val="0"/>
              <w:spacing w:line="360" w:lineRule="auto"/>
              <w:jc w:val="center"/>
              <w:rPr>
                <w:rFonts w:hint="eastAsia"/>
                <w:bCs/>
                <w:szCs w:val="21"/>
              </w:rPr>
            </w:pPr>
            <w:r>
              <w:rPr>
                <w:rFonts w:hint="eastAsia"/>
                <w:bCs/>
                <w:szCs w:val="21"/>
              </w:rPr>
              <w:t>16</w:t>
            </w:r>
          </w:p>
        </w:tc>
        <w:tc>
          <w:tcPr>
            <w:tcW w:w="2780" w:type="dxa"/>
            <w:noWrap w:val="0"/>
            <w:vAlign w:val="center"/>
          </w:tcPr>
          <w:p w14:paraId="794519E9">
            <w:pPr>
              <w:widowControl/>
              <w:spacing w:line="360" w:lineRule="auto"/>
              <w:jc w:val="left"/>
              <w:textAlignment w:val="center"/>
              <w:rPr>
                <w:rFonts w:hint="eastAsia"/>
                <w:bCs/>
                <w:szCs w:val="21"/>
              </w:rPr>
            </w:pPr>
            <w:r>
              <w:rPr>
                <w:rFonts w:hint="eastAsia"/>
                <w:kern w:val="0"/>
                <w:szCs w:val="21"/>
              </w:rPr>
              <w:t>高清摄像机</w:t>
            </w:r>
          </w:p>
        </w:tc>
        <w:tc>
          <w:tcPr>
            <w:tcW w:w="2413" w:type="dxa"/>
            <w:noWrap w:val="0"/>
            <w:vAlign w:val="center"/>
          </w:tcPr>
          <w:p w14:paraId="06206096">
            <w:pPr>
              <w:widowControl/>
              <w:spacing w:line="360" w:lineRule="auto"/>
              <w:jc w:val="center"/>
              <w:textAlignment w:val="center"/>
              <w:rPr>
                <w:rFonts w:hint="eastAsia"/>
                <w:bCs/>
                <w:szCs w:val="21"/>
              </w:rPr>
            </w:pPr>
            <w:r>
              <w:rPr>
                <w:rFonts w:hint="eastAsia"/>
                <w:szCs w:val="21"/>
              </w:rPr>
              <w:t>个</w:t>
            </w:r>
          </w:p>
        </w:tc>
        <w:tc>
          <w:tcPr>
            <w:tcW w:w="1863" w:type="dxa"/>
            <w:noWrap w:val="0"/>
            <w:vAlign w:val="center"/>
          </w:tcPr>
          <w:p w14:paraId="01BA0AB0">
            <w:pPr>
              <w:widowControl/>
              <w:spacing w:line="360" w:lineRule="auto"/>
              <w:jc w:val="center"/>
              <w:textAlignment w:val="center"/>
              <w:rPr>
                <w:rFonts w:hint="eastAsia"/>
                <w:bCs/>
                <w:szCs w:val="21"/>
              </w:rPr>
            </w:pPr>
            <w:r>
              <w:rPr>
                <w:rFonts w:hint="eastAsia"/>
                <w:szCs w:val="21"/>
              </w:rPr>
              <w:t>1</w:t>
            </w:r>
          </w:p>
        </w:tc>
      </w:tr>
      <w:tr w14:paraId="69B1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0264C6D1">
            <w:pPr>
              <w:adjustRightInd w:val="0"/>
              <w:snapToGrid w:val="0"/>
              <w:spacing w:line="360" w:lineRule="auto"/>
              <w:jc w:val="center"/>
              <w:rPr>
                <w:rFonts w:hint="eastAsia"/>
                <w:bCs/>
                <w:szCs w:val="21"/>
              </w:rPr>
            </w:pPr>
            <w:r>
              <w:rPr>
                <w:rFonts w:hint="eastAsia"/>
                <w:bCs/>
                <w:szCs w:val="21"/>
              </w:rPr>
              <w:t>17</w:t>
            </w:r>
          </w:p>
        </w:tc>
        <w:tc>
          <w:tcPr>
            <w:tcW w:w="2780" w:type="dxa"/>
            <w:noWrap w:val="0"/>
            <w:vAlign w:val="center"/>
          </w:tcPr>
          <w:p w14:paraId="0417F381">
            <w:pPr>
              <w:widowControl/>
              <w:spacing w:line="360" w:lineRule="auto"/>
              <w:jc w:val="left"/>
              <w:textAlignment w:val="center"/>
              <w:rPr>
                <w:rFonts w:hint="eastAsia"/>
                <w:bCs/>
                <w:szCs w:val="21"/>
              </w:rPr>
            </w:pPr>
            <w:r>
              <w:rPr>
                <w:rFonts w:hint="eastAsia"/>
                <w:kern w:val="0"/>
                <w:szCs w:val="21"/>
              </w:rPr>
              <w:t>音频处理套装</w:t>
            </w:r>
          </w:p>
        </w:tc>
        <w:tc>
          <w:tcPr>
            <w:tcW w:w="2413" w:type="dxa"/>
            <w:noWrap w:val="0"/>
            <w:vAlign w:val="center"/>
          </w:tcPr>
          <w:p w14:paraId="3B6B612D">
            <w:pPr>
              <w:widowControl/>
              <w:spacing w:line="360" w:lineRule="auto"/>
              <w:jc w:val="center"/>
              <w:textAlignment w:val="center"/>
              <w:rPr>
                <w:rFonts w:hint="eastAsia"/>
                <w:bCs/>
                <w:szCs w:val="21"/>
              </w:rPr>
            </w:pPr>
            <w:r>
              <w:rPr>
                <w:rFonts w:hint="eastAsia"/>
                <w:szCs w:val="21"/>
              </w:rPr>
              <w:t>套</w:t>
            </w:r>
          </w:p>
        </w:tc>
        <w:tc>
          <w:tcPr>
            <w:tcW w:w="1863" w:type="dxa"/>
            <w:noWrap w:val="0"/>
            <w:vAlign w:val="center"/>
          </w:tcPr>
          <w:p w14:paraId="4EF413E1">
            <w:pPr>
              <w:widowControl/>
              <w:spacing w:line="360" w:lineRule="auto"/>
              <w:jc w:val="center"/>
              <w:textAlignment w:val="center"/>
              <w:rPr>
                <w:rFonts w:hint="eastAsia"/>
                <w:bCs/>
                <w:szCs w:val="21"/>
              </w:rPr>
            </w:pPr>
            <w:r>
              <w:rPr>
                <w:rFonts w:hint="eastAsia"/>
                <w:szCs w:val="21"/>
              </w:rPr>
              <w:t>1</w:t>
            </w:r>
          </w:p>
        </w:tc>
      </w:tr>
      <w:tr w14:paraId="21A8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527F4BA3">
            <w:pPr>
              <w:adjustRightInd w:val="0"/>
              <w:snapToGrid w:val="0"/>
              <w:spacing w:line="360" w:lineRule="auto"/>
              <w:jc w:val="center"/>
              <w:rPr>
                <w:rFonts w:hint="eastAsia"/>
                <w:bCs/>
                <w:szCs w:val="21"/>
              </w:rPr>
            </w:pPr>
            <w:r>
              <w:rPr>
                <w:rFonts w:hint="eastAsia"/>
                <w:bCs/>
                <w:szCs w:val="21"/>
              </w:rPr>
              <w:t>18</w:t>
            </w:r>
          </w:p>
        </w:tc>
        <w:tc>
          <w:tcPr>
            <w:tcW w:w="2780" w:type="dxa"/>
            <w:noWrap w:val="0"/>
            <w:vAlign w:val="center"/>
          </w:tcPr>
          <w:p w14:paraId="24D5324D">
            <w:pPr>
              <w:widowControl/>
              <w:spacing w:line="360" w:lineRule="auto"/>
              <w:jc w:val="left"/>
              <w:textAlignment w:val="center"/>
              <w:rPr>
                <w:rFonts w:hint="eastAsia"/>
                <w:bCs/>
                <w:szCs w:val="21"/>
              </w:rPr>
            </w:pPr>
            <w:r>
              <w:rPr>
                <w:rFonts w:hint="eastAsia"/>
                <w:kern w:val="0"/>
                <w:szCs w:val="21"/>
              </w:rPr>
              <w:t>音响</w:t>
            </w:r>
          </w:p>
        </w:tc>
        <w:tc>
          <w:tcPr>
            <w:tcW w:w="2413" w:type="dxa"/>
            <w:noWrap w:val="0"/>
            <w:vAlign w:val="center"/>
          </w:tcPr>
          <w:p w14:paraId="206C92FD">
            <w:pPr>
              <w:widowControl/>
              <w:spacing w:line="360" w:lineRule="auto"/>
              <w:jc w:val="center"/>
              <w:textAlignment w:val="center"/>
              <w:rPr>
                <w:rFonts w:hint="eastAsia"/>
                <w:bCs/>
                <w:szCs w:val="21"/>
              </w:rPr>
            </w:pPr>
            <w:r>
              <w:rPr>
                <w:rFonts w:hint="eastAsia"/>
                <w:szCs w:val="21"/>
              </w:rPr>
              <w:t>套</w:t>
            </w:r>
          </w:p>
        </w:tc>
        <w:tc>
          <w:tcPr>
            <w:tcW w:w="1863" w:type="dxa"/>
            <w:noWrap w:val="0"/>
            <w:vAlign w:val="center"/>
          </w:tcPr>
          <w:p w14:paraId="3654420E">
            <w:pPr>
              <w:widowControl/>
              <w:spacing w:line="360" w:lineRule="auto"/>
              <w:jc w:val="center"/>
              <w:textAlignment w:val="center"/>
              <w:rPr>
                <w:rFonts w:hint="eastAsia"/>
                <w:bCs/>
                <w:szCs w:val="21"/>
              </w:rPr>
            </w:pPr>
            <w:r>
              <w:rPr>
                <w:rFonts w:hint="eastAsia"/>
                <w:szCs w:val="21"/>
              </w:rPr>
              <w:t>1</w:t>
            </w:r>
          </w:p>
        </w:tc>
      </w:tr>
      <w:tr w14:paraId="4E23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482" w:type="dxa"/>
            <w:noWrap w:val="0"/>
            <w:vAlign w:val="center"/>
          </w:tcPr>
          <w:p w14:paraId="765EF5E6">
            <w:pPr>
              <w:adjustRightInd w:val="0"/>
              <w:snapToGrid w:val="0"/>
              <w:spacing w:line="360" w:lineRule="auto"/>
              <w:jc w:val="center"/>
              <w:rPr>
                <w:rFonts w:hint="eastAsia"/>
                <w:bCs/>
                <w:szCs w:val="21"/>
              </w:rPr>
            </w:pPr>
            <w:r>
              <w:rPr>
                <w:rFonts w:hint="eastAsia"/>
                <w:bCs/>
                <w:szCs w:val="21"/>
              </w:rPr>
              <w:t>19</w:t>
            </w:r>
          </w:p>
        </w:tc>
        <w:tc>
          <w:tcPr>
            <w:tcW w:w="2780" w:type="dxa"/>
            <w:noWrap w:val="0"/>
            <w:vAlign w:val="center"/>
          </w:tcPr>
          <w:p w14:paraId="7DD435E2">
            <w:pPr>
              <w:widowControl/>
              <w:spacing w:line="360" w:lineRule="auto"/>
              <w:jc w:val="left"/>
              <w:textAlignment w:val="center"/>
              <w:rPr>
                <w:rFonts w:hint="eastAsia"/>
                <w:bCs/>
                <w:szCs w:val="21"/>
              </w:rPr>
            </w:pPr>
            <w:r>
              <w:rPr>
                <w:rFonts w:hint="eastAsia"/>
                <w:kern w:val="0"/>
                <w:szCs w:val="21"/>
              </w:rPr>
              <w:t>综合布线、墙壁粉刷</w:t>
            </w:r>
          </w:p>
        </w:tc>
        <w:tc>
          <w:tcPr>
            <w:tcW w:w="2413" w:type="dxa"/>
            <w:noWrap w:val="0"/>
            <w:vAlign w:val="center"/>
          </w:tcPr>
          <w:p w14:paraId="0C4730AF">
            <w:pPr>
              <w:widowControl/>
              <w:spacing w:line="360" w:lineRule="auto"/>
              <w:jc w:val="center"/>
              <w:textAlignment w:val="center"/>
              <w:rPr>
                <w:rFonts w:hint="eastAsia"/>
                <w:bCs/>
                <w:szCs w:val="21"/>
              </w:rPr>
            </w:pPr>
            <w:r>
              <w:rPr>
                <w:rFonts w:hint="eastAsia"/>
                <w:szCs w:val="21"/>
              </w:rPr>
              <w:t>批</w:t>
            </w:r>
          </w:p>
        </w:tc>
        <w:tc>
          <w:tcPr>
            <w:tcW w:w="1863" w:type="dxa"/>
            <w:noWrap w:val="0"/>
            <w:vAlign w:val="center"/>
          </w:tcPr>
          <w:p w14:paraId="112E381C">
            <w:pPr>
              <w:widowControl/>
              <w:spacing w:line="360" w:lineRule="auto"/>
              <w:jc w:val="center"/>
              <w:textAlignment w:val="center"/>
              <w:rPr>
                <w:rFonts w:hint="eastAsia"/>
                <w:bCs/>
                <w:szCs w:val="21"/>
              </w:rPr>
            </w:pPr>
            <w:r>
              <w:rPr>
                <w:rFonts w:hint="eastAsia"/>
                <w:szCs w:val="21"/>
              </w:rPr>
              <w:t>1</w:t>
            </w:r>
          </w:p>
        </w:tc>
      </w:tr>
    </w:tbl>
    <w:p w14:paraId="0F02FFE2">
      <w:pPr>
        <w:rPr>
          <w:rFonts w:hint="eastAsia"/>
        </w:rPr>
      </w:pPr>
    </w:p>
    <w:p w14:paraId="5781B544">
      <w:pPr>
        <w:rPr>
          <w:rFonts w:hint="eastAsia"/>
          <w:sz w:val="32"/>
          <w:szCs w:val="32"/>
        </w:rPr>
      </w:pPr>
      <w:r>
        <w:rPr>
          <w:rFonts w:hint="eastAsia"/>
          <w:b/>
          <w:bCs/>
          <w:kern w:val="0"/>
          <w:sz w:val="32"/>
          <w:szCs w:val="32"/>
          <w:u w:val="single"/>
        </w:rPr>
        <w:t>注：投标人可以将演示视频上传到交易系统大附件的位置。</w:t>
      </w:r>
    </w:p>
    <w:p w14:paraId="4974ED75">
      <w:pPr>
        <w:pStyle w:val="2"/>
        <w:rPr>
          <w:rFonts w:hint="eastAsia" w:ascii="宋体" w:hAnsi="宋体"/>
          <w:bCs/>
          <w:sz w:val="28"/>
          <w:szCs w:val="28"/>
        </w:rPr>
      </w:pPr>
      <w:r>
        <w:rPr>
          <w:rFonts w:hint="eastAsia" w:ascii="宋体" w:hAnsi="宋体"/>
          <w:bCs/>
          <w:sz w:val="28"/>
          <w:szCs w:val="28"/>
        </w:rPr>
        <w:t>技术参数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985"/>
        <w:gridCol w:w="6214"/>
      </w:tblGrid>
      <w:tr w14:paraId="723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6EF82482">
            <w:pPr>
              <w:widowControl/>
              <w:jc w:val="center"/>
              <w:textAlignment w:val="center"/>
              <w:rPr>
                <w:rFonts w:hint="eastAsia"/>
                <w:b/>
                <w:bCs/>
                <w:szCs w:val="21"/>
              </w:rPr>
            </w:pPr>
            <w:r>
              <w:rPr>
                <w:rFonts w:hint="eastAsia"/>
                <w:b/>
                <w:bCs/>
                <w:kern w:val="0"/>
                <w:szCs w:val="21"/>
              </w:rPr>
              <w:t>序号</w:t>
            </w:r>
          </w:p>
        </w:tc>
        <w:tc>
          <w:tcPr>
            <w:tcW w:w="1985" w:type="dxa"/>
            <w:noWrap w:val="0"/>
            <w:vAlign w:val="center"/>
          </w:tcPr>
          <w:p w14:paraId="600E25AD">
            <w:pPr>
              <w:widowControl/>
              <w:jc w:val="center"/>
              <w:textAlignment w:val="center"/>
              <w:rPr>
                <w:rFonts w:hint="eastAsia"/>
                <w:b/>
                <w:bCs/>
                <w:szCs w:val="21"/>
              </w:rPr>
            </w:pPr>
            <w:r>
              <w:rPr>
                <w:rFonts w:hint="eastAsia"/>
                <w:b/>
                <w:bCs/>
                <w:kern w:val="0"/>
                <w:szCs w:val="21"/>
              </w:rPr>
              <w:t>采购商品名称</w:t>
            </w:r>
          </w:p>
        </w:tc>
        <w:tc>
          <w:tcPr>
            <w:tcW w:w="6214" w:type="dxa"/>
            <w:noWrap w:val="0"/>
            <w:vAlign w:val="center"/>
          </w:tcPr>
          <w:p w14:paraId="76DC66B0">
            <w:pPr>
              <w:widowControl/>
              <w:jc w:val="center"/>
              <w:textAlignment w:val="center"/>
              <w:rPr>
                <w:rFonts w:hint="eastAsia"/>
                <w:b/>
                <w:bCs/>
                <w:szCs w:val="21"/>
              </w:rPr>
            </w:pPr>
            <w:r>
              <w:rPr>
                <w:rFonts w:hint="eastAsia"/>
                <w:b/>
                <w:bCs/>
                <w:kern w:val="0"/>
                <w:szCs w:val="21"/>
              </w:rPr>
              <w:t>技术参数</w:t>
            </w:r>
          </w:p>
        </w:tc>
      </w:tr>
      <w:tr w14:paraId="47B1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4B2F1E85">
            <w:pPr>
              <w:widowControl/>
              <w:jc w:val="center"/>
              <w:textAlignment w:val="center"/>
              <w:rPr>
                <w:rFonts w:hint="eastAsia"/>
                <w:kern w:val="0"/>
                <w:szCs w:val="21"/>
              </w:rPr>
            </w:pPr>
            <w:r>
              <w:rPr>
                <w:rFonts w:hint="eastAsia"/>
                <w:kern w:val="0"/>
                <w:szCs w:val="21"/>
              </w:rPr>
              <w:t>1</w:t>
            </w:r>
          </w:p>
        </w:tc>
        <w:tc>
          <w:tcPr>
            <w:tcW w:w="1985" w:type="dxa"/>
            <w:noWrap w:val="0"/>
            <w:vAlign w:val="center"/>
          </w:tcPr>
          <w:p w14:paraId="56B4E787">
            <w:pPr>
              <w:widowControl/>
              <w:jc w:val="center"/>
              <w:textAlignment w:val="center"/>
              <w:rPr>
                <w:rFonts w:hint="eastAsia"/>
                <w:kern w:val="0"/>
                <w:szCs w:val="21"/>
              </w:rPr>
            </w:pPr>
            <w:r>
              <w:rPr>
                <w:rFonts w:hint="eastAsia"/>
                <w:b/>
                <w:bCs/>
                <w:kern w:val="0"/>
                <w:szCs w:val="21"/>
              </w:rPr>
              <w:t>财务数字化训赛平台及资源包（核心产品）</w:t>
            </w:r>
          </w:p>
        </w:tc>
        <w:tc>
          <w:tcPr>
            <w:tcW w:w="6214" w:type="dxa"/>
            <w:noWrap w:val="0"/>
            <w:vAlign w:val="center"/>
          </w:tcPr>
          <w:p w14:paraId="538CD90E">
            <w:pPr>
              <w:rPr>
                <w:rFonts w:hint="eastAsia"/>
                <w:szCs w:val="21"/>
              </w:rPr>
            </w:pPr>
            <w:r>
              <w:rPr>
                <w:rFonts w:hint="eastAsia"/>
                <w:szCs w:val="21"/>
              </w:rPr>
              <w:t>1.平台无缝集成：赛务模块、答题模块及业务系统模块组成。</w:t>
            </w:r>
          </w:p>
          <w:p w14:paraId="1B35D3D6">
            <w:pPr>
              <w:rPr>
                <w:rFonts w:hint="eastAsia"/>
                <w:strike/>
                <w:szCs w:val="21"/>
              </w:rPr>
            </w:pPr>
            <w:r>
              <w:rPr>
                <w:rFonts w:hint="eastAsia"/>
                <w:szCs w:val="21"/>
              </w:rPr>
              <w:t>2.分析平台需包含筛选器功能、主要包括日期筛选器、文本筛选器、树形筛选器、数值区间筛选器、按钮等功能。</w:t>
            </w:r>
          </w:p>
          <w:p w14:paraId="3051F4F1">
            <w:pPr>
              <w:rPr>
                <w:rFonts w:hint="eastAsia"/>
                <w:szCs w:val="21"/>
              </w:rPr>
            </w:pPr>
            <w:r>
              <w:rPr>
                <w:rFonts w:hint="eastAsia"/>
                <w:szCs w:val="21"/>
              </w:rPr>
              <w:t>3.支持新建管理员、赛事界面定制、账号管理、试卷授权、授权清理。</w:t>
            </w:r>
          </w:p>
          <w:p w14:paraId="2F99BA97">
            <w:pPr>
              <w:rPr>
                <w:rFonts w:hint="eastAsia"/>
                <w:szCs w:val="21"/>
              </w:rPr>
            </w:pPr>
            <w:r>
              <w:rPr>
                <w:rFonts w:hint="eastAsia"/>
                <w:szCs w:val="21"/>
              </w:rPr>
              <w:t>4.赛务模块：主要功能包括参赛人员信息管理、竞赛过程管理和成绩管理，可通过数字化大屏实施监控学生答题情况，动态观察学生考试成绩。</w:t>
            </w:r>
          </w:p>
          <w:p w14:paraId="620BF740">
            <w:pPr>
              <w:rPr>
                <w:rFonts w:hint="eastAsia"/>
                <w:szCs w:val="21"/>
              </w:rPr>
            </w:pPr>
            <w:r>
              <w:rPr>
                <w:rFonts w:hint="eastAsia"/>
                <w:szCs w:val="21"/>
              </w:rPr>
              <w:t>5.支持新建场次、场次界面设置、场次参数设置、场次时间管理、场次试卷、场次岗位设置、场次考生导入、考生组卷。</w:t>
            </w:r>
          </w:p>
          <w:p w14:paraId="2E38C600">
            <w:pPr>
              <w:rPr>
                <w:rFonts w:hint="eastAsia"/>
                <w:szCs w:val="21"/>
              </w:rPr>
            </w:pPr>
            <w:r>
              <w:rPr>
                <w:rFonts w:hint="eastAsia"/>
                <w:szCs w:val="21"/>
              </w:rPr>
              <w:t xml:space="preserve">6.支持对全部考生进行开始登录、结束考赛操作；支持针对全部考生进行暂停操作；阶段控制：显示当前场次所选试卷、阶段及任务； </w:t>
            </w:r>
          </w:p>
          <w:p w14:paraId="58D5BABB">
            <w:pPr>
              <w:rPr>
                <w:rFonts w:hint="eastAsia"/>
                <w:b/>
                <w:bCs/>
                <w:szCs w:val="21"/>
              </w:rPr>
            </w:pPr>
            <w:r>
              <w:rPr>
                <w:rFonts w:hint="eastAsia"/>
                <w:szCs w:val="21"/>
              </w:rPr>
              <w:t>7.支持以一个学生为最小单位进行暂停、恢复、延时、强制交卷、取消交卷、IP锁定；支持针对当前场次总人数、在线人数、离线人数、暂停人数、已结束已交卷人数、已结束未交卷人数、IP异常人数、ERP异常人数、ERP初始化完成人数汇总数据进行查询；支持对考赛状态进行刷新；支持按照已登录、未登录、已交卷、未交卷四种考赛状态筛选查看数据；支持按照姓名或手机号搜索考生；支持按照考试号、剩余时间、延时记录、考赛状态进行排序。</w:t>
            </w:r>
          </w:p>
          <w:p w14:paraId="5A194C8C">
            <w:pPr>
              <w:rPr>
                <w:rFonts w:hint="eastAsia"/>
                <w:szCs w:val="21"/>
              </w:rPr>
            </w:pPr>
            <w:r>
              <w:rPr>
                <w:rFonts w:hint="eastAsia"/>
                <w:szCs w:val="21"/>
              </w:rPr>
              <w:t>8.数据大屏：支持考试或比赛过程中以柱状图的形式显示所有团队的实时成绩，支持全屏展示；成绩查询：支持按照队伍号、院校名称查询团队成绩和个人成绩.</w:t>
            </w:r>
          </w:p>
          <w:p w14:paraId="7507A569">
            <w:pPr>
              <w:rPr>
                <w:rFonts w:hint="eastAsia"/>
                <w:szCs w:val="21"/>
              </w:rPr>
            </w:pPr>
            <w:r>
              <w:rPr>
                <w:rFonts w:hint="eastAsia"/>
                <w:szCs w:val="21"/>
              </w:rPr>
              <w:t>9.提供平台配套业财信息化及财务数字化样题各一套、操作手册一套。</w:t>
            </w:r>
          </w:p>
          <w:p w14:paraId="09F80712">
            <w:pPr>
              <w:rPr>
                <w:rFonts w:hint="eastAsia"/>
                <w:szCs w:val="21"/>
              </w:rPr>
            </w:pPr>
            <w:r>
              <w:rPr>
                <w:rFonts w:hint="eastAsia"/>
                <w:szCs w:val="21"/>
              </w:rPr>
              <w:t>10. 具有对多个数据源设置关联功能，包含填报数据、本地数据（Excel、CSV）的不同表之间设置关联、企业数据库；支持拖拽方式追加多张表。</w:t>
            </w:r>
          </w:p>
          <w:p w14:paraId="6C1857DE">
            <w:pPr>
              <w:rPr>
                <w:rFonts w:hint="eastAsia"/>
                <w:szCs w:val="21"/>
              </w:rPr>
            </w:pPr>
            <w:r>
              <w:rPr>
                <w:rFonts w:hint="eastAsia"/>
                <w:szCs w:val="21"/>
              </w:rPr>
              <w:t>11.全部任务：支持按阶段查看任务简要说明；支持按任务状态状态查看所有任务；支持查看和切换考核单据、支持保存并查看下一步考核单据；支持退回上一步修改答题记录、支持答题过程中随时查看倒计时。支持按场次管理员设置的交卷岗位进行交卷。</w:t>
            </w:r>
          </w:p>
          <w:p w14:paraId="0039E8BB">
            <w:pPr>
              <w:rPr>
                <w:rFonts w:hint="eastAsia"/>
                <w:color w:val="000000"/>
                <w:szCs w:val="21"/>
              </w:rPr>
            </w:pPr>
            <w:r>
              <w:rPr>
                <w:rFonts w:hint="eastAsia"/>
                <w:szCs w:val="21"/>
              </w:rPr>
              <w:t>▲12.支持接入真实的大型企业数字化平台系统、支持接入python系统、支持接入数据清洗系统、支持接入数据算法系统、支持接入RPA系统</w:t>
            </w:r>
            <w:r>
              <w:rPr>
                <w:rFonts w:hint="eastAsia"/>
                <w:b/>
                <w:bCs/>
                <w:szCs w:val="21"/>
              </w:rPr>
              <w:t>（提供功能截图及与截图一致的演示视频，</w:t>
            </w:r>
            <w:r>
              <w:rPr>
                <w:rFonts w:hint="eastAsia"/>
                <w:b/>
                <w:bCs/>
                <w:color w:val="000000"/>
                <w:szCs w:val="21"/>
              </w:rPr>
              <w:t>证明所投产品满足功能需求）</w:t>
            </w:r>
          </w:p>
          <w:p w14:paraId="2C000788">
            <w:pPr>
              <w:rPr>
                <w:rFonts w:hint="eastAsia"/>
                <w:szCs w:val="21"/>
              </w:rPr>
            </w:pPr>
            <w:r>
              <w:rPr>
                <w:rFonts w:hint="eastAsia"/>
                <w:szCs w:val="21"/>
              </w:rPr>
              <w:t>13.评分模块：系统能够根据客观题、excel题、系统单据、ppt题、分析平台、python等题型进行自动评分。</w:t>
            </w:r>
          </w:p>
          <w:p w14:paraId="76ABF2F4">
            <w:pPr>
              <w:rPr>
                <w:rFonts w:hint="eastAsia"/>
                <w:szCs w:val="21"/>
              </w:rPr>
            </w:pPr>
            <w:r>
              <w:rPr>
                <w:rFonts w:hint="eastAsia"/>
                <w:szCs w:val="21"/>
              </w:rPr>
              <w:t>14.分析平台需内置至少30种图表，包括柱状图、阶梯瀑布图、条形图、图案填充条形图、堆叠柱状图、堆叠条形图、饼图、环形图、玫瑰图、折线图、堆叠区域图、中国地图、散点中国地图、世界地图、迁徙图、百度地图、双轴图、仪表盘、表格、指标图、气泡图、漏斗图、热力图、矩形树图、雷达图、桑基图、和弦图、词云图、时序预测图、回归分析图、子弹图、直方图等。</w:t>
            </w:r>
          </w:p>
          <w:p w14:paraId="475BA3BE">
            <w:pPr>
              <w:rPr>
                <w:rFonts w:hint="eastAsia"/>
                <w:szCs w:val="21"/>
              </w:rPr>
            </w:pPr>
            <w:r>
              <w:rPr>
                <w:rFonts w:hint="eastAsia"/>
                <w:szCs w:val="21"/>
              </w:rPr>
              <w:t>15.用户通过辅助线可以快速识别出数据中的异常值；预警线除了识别出异常值，还支持用户设置预警的级别和预警推送的对象，不同层级对象对于同一个指标可以设置不同的预警规则。</w:t>
            </w:r>
          </w:p>
          <w:p w14:paraId="3AC92E7A">
            <w:pPr>
              <w:rPr>
                <w:rFonts w:hint="eastAsia"/>
                <w:szCs w:val="21"/>
              </w:rPr>
            </w:pPr>
            <w:r>
              <w:rPr>
                <w:rFonts w:hint="eastAsia"/>
                <w:szCs w:val="21"/>
              </w:rPr>
              <w:t>16.支持用户选择可视化、设置联动、链接；把可视化对象在页面中拖拽布局；支持页面灵活布局，拖拽位置和可视化对象大小；支持设置展示属性，添加全局筛选、文本、图片；</w:t>
            </w:r>
          </w:p>
          <w:p w14:paraId="2A8DE8D4">
            <w:pPr>
              <w:rPr>
                <w:rFonts w:hint="eastAsia"/>
                <w:szCs w:val="21"/>
              </w:rPr>
            </w:pPr>
            <w:r>
              <w:rPr>
                <w:rFonts w:hint="eastAsia"/>
                <w:szCs w:val="21"/>
              </w:rPr>
              <w:t>17.数据清洗系统与教学管理平台无缝集成，需有全局清洗、个别字段清洗多类规则设置选项，支持不少于2种字符清理、不少于4种字符替换、不少于5个自定义字段分隔或合并.</w:t>
            </w:r>
          </w:p>
          <w:p w14:paraId="0BD8125D">
            <w:pPr>
              <w:rPr>
                <w:rFonts w:hint="eastAsia"/>
                <w:szCs w:val="21"/>
              </w:rPr>
            </w:pPr>
            <w:r>
              <w:rPr>
                <w:rFonts w:hint="eastAsia"/>
                <w:szCs w:val="21"/>
              </w:rPr>
              <w:t>★18.Python编辑器通过浏览器即可访问使用，支持Python脚本的在线编辑和运行。支持任务描述、操作步骤、操作视频、参考答案等功能，可进行新增脚本、新建文件夹、上传文件，文件格式支持不少于10种格式。</w:t>
            </w:r>
            <w:r>
              <w:rPr>
                <w:rFonts w:hint="eastAsia"/>
                <w:b/>
                <w:bCs/>
                <w:szCs w:val="21"/>
              </w:rPr>
              <w:t>（提供功能截图及与截图一致的演示视频，</w:t>
            </w:r>
            <w:r>
              <w:rPr>
                <w:rFonts w:hint="eastAsia"/>
                <w:b/>
                <w:bCs/>
                <w:color w:val="000000"/>
                <w:szCs w:val="21"/>
              </w:rPr>
              <w:t>证明所投产品满足功能需求）</w:t>
            </w:r>
          </w:p>
          <w:p w14:paraId="27995C92">
            <w:pPr>
              <w:rPr>
                <w:rFonts w:hint="eastAsia"/>
                <w:szCs w:val="21"/>
              </w:rPr>
            </w:pPr>
            <w:r>
              <w:rPr>
                <w:rFonts w:hint="eastAsia"/>
                <w:szCs w:val="21"/>
              </w:rPr>
              <w:t>★19.算法工具为选择数据源-配置模型-开始建模-选择预测数据-开始预测，采用流式非闭环模式，执行数据挖掘时将严格按照此流程顺序执行。内置机器学习算法库。算法库不少于10种，并且支持自定义算法参数。</w:t>
            </w:r>
            <w:r>
              <w:rPr>
                <w:rFonts w:hint="eastAsia"/>
                <w:b/>
                <w:bCs/>
                <w:szCs w:val="21"/>
              </w:rPr>
              <w:t>（提供功能截图及与截图一致的演示视频，</w:t>
            </w:r>
            <w:r>
              <w:rPr>
                <w:rFonts w:hint="eastAsia"/>
                <w:b/>
                <w:bCs/>
                <w:color w:val="000000"/>
                <w:szCs w:val="21"/>
              </w:rPr>
              <w:t>证明所投产品满足功能需求）</w:t>
            </w:r>
          </w:p>
          <w:p w14:paraId="115CDFAE">
            <w:pPr>
              <w:numPr>
                <w:ilvl w:val="0"/>
                <w:numId w:val="1"/>
              </w:numPr>
              <w:rPr>
                <w:rFonts w:hint="eastAsia"/>
                <w:szCs w:val="21"/>
              </w:rPr>
            </w:pPr>
            <w:r>
              <w:rPr>
                <w:rFonts w:hint="eastAsia"/>
                <w:kern w:val="0"/>
                <w:szCs w:val="21"/>
              </w:rPr>
              <w:t>提供教师及学生训练和培训的资源库，该资源库不少于六套题</w:t>
            </w:r>
            <w:r>
              <w:rPr>
                <w:rFonts w:hint="eastAsia"/>
                <w:szCs w:val="21"/>
              </w:rPr>
              <w:t>。采用业财信息化、财务数字化两个阶段设计，体现企业从基础数据管理到智能化决策的转型路径。其中：业财信息化包含基础档案维护、业财税资融合业务处理、财务报表编制、大数据业财分析四部分。财务数字化包含案例介绍、投融资管理、预算管理、营运分析、绩效内控五部分。</w:t>
            </w:r>
          </w:p>
          <w:p w14:paraId="430AD7CE">
            <w:pPr>
              <w:rPr>
                <w:rFonts w:hint="eastAsia"/>
                <w:szCs w:val="21"/>
              </w:rPr>
            </w:pPr>
            <w:r>
              <w:rPr>
                <w:rFonts w:hint="eastAsia"/>
                <w:szCs w:val="21"/>
              </w:rPr>
              <w:t>★21.对数据综合分析功能，包括但不限于绩效标准、行业效应、资讯分析、会计政策应用、重要会计估计应用、存货等准则项目、战略选择与评价、风险识别与评价、业绩驱动与评价、核心竞争力分析、行业发展与评价、经营发展决策、投资扩张决策、收入资产费用财务舞弊、关键审计事项、内部控制评价等，并提供大数据可视化看板。</w:t>
            </w:r>
            <w:r>
              <w:rPr>
                <w:rFonts w:hint="eastAsia"/>
                <w:b/>
                <w:bCs/>
                <w:szCs w:val="21"/>
              </w:rPr>
              <w:t>（提供功能截图及与截图一致的演示视频，</w:t>
            </w:r>
            <w:r>
              <w:rPr>
                <w:rFonts w:hint="eastAsia"/>
                <w:b/>
                <w:bCs/>
                <w:color w:val="000000"/>
                <w:szCs w:val="21"/>
              </w:rPr>
              <w:t>证明所投产品满足功能需求）</w:t>
            </w:r>
          </w:p>
          <w:p w14:paraId="1F3A230C">
            <w:pPr>
              <w:rPr>
                <w:rFonts w:hint="eastAsia"/>
                <w:szCs w:val="21"/>
              </w:rPr>
            </w:pPr>
            <w:r>
              <w:rPr>
                <w:rFonts w:hint="eastAsia"/>
                <w:szCs w:val="21"/>
              </w:rPr>
              <w:t>★22.包含坏账舞弊偏离情况分析，从应收账款、坏账准备、营业收入等进行对比统计；包含现销收入、赊销收入、营业收入和营业成本等指标对比统计；并能根据统计数据分析坏账情况。</w:t>
            </w:r>
            <w:r>
              <w:rPr>
                <w:rFonts w:hint="eastAsia"/>
                <w:b/>
                <w:bCs/>
                <w:szCs w:val="21"/>
              </w:rPr>
              <w:t>（提供功能截图及与截图一致的演示视频，</w:t>
            </w:r>
            <w:r>
              <w:rPr>
                <w:rFonts w:hint="eastAsia"/>
                <w:b/>
                <w:bCs/>
                <w:color w:val="000000"/>
                <w:szCs w:val="21"/>
              </w:rPr>
              <w:t>证明所投产品满足功能需求）</w:t>
            </w:r>
          </w:p>
        </w:tc>
      </w:tr>
      <w:tr w14:paraId="5D40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5F6AADFB">
            <w:pPr>
              <w:widowControl/>
              <w:jc w:val="center"/>
              <w:textAlignment w:val="center"/>
              <w:rPr>
                <w:rFonts w:hint="eastAsia"/>
                <w:kern w:val="0"/>
                <w:szCs w:val="21"/>
              </w:rPr>
            </w:pPr>
            <w:r>
              <w:rPr>
                <w:rFonts w:hint="eastAsia"/>
                <w:kern w:val="0"/>
                <w:szCs w:val="21"/>
              </w:rPr>
              <w:t>2</w:t>
            </w:r>
          </w:p>
        </w:tc>
        <w:tc>
          <w:tcPr>
            <w:tcW w:w="1985" w:type="dxa"/>
            <w:noWrap w:val="0"/>
            <w:vAlign w:val="center"/>
          </w:tcPr>
          <w:p w14:paraId="2E4B8DC3">
            <w:pPr>
              <w:widowControl/>
              <w:jc w:val="center"/>
              <w:textAlignment w:val="center"/>
              <w:rPr>
                <w:rFonts w:hint="eastAsia"/>
                <w:kern w:val="0"/>
                <w:szCs w:val="21"/>
              </w:rPr>
            </w:pPr>
            <w:r>
              <w:rPr>
                <w:rFonts w:hint="eastAsia"/>
                <w:kern w:val="0"/>
                <w:szCs w:val="21"/>
              </w:rPr>
              <w:t>企业数字化系统</w:t>
            </w:r>
          </w:p>
        </w:tc>
        <w:tc>
          <w:tcPr>
            <w:tcW w:w="6214" w:type="dxa"/>
            <w:noWrap w:val="0"/>
            <w:vAlign w:val="center"/>
          </w:tcPr>
          <w:p w14:paraId="4A2B1D5A">
            <w:pPr>
              <w:rPr>
                <w:rFonts w:hint="eastAsia"/>
                <w:szCs w:val="21"/>
              </w:rPr>
            </w:pPr>
            <w:r>
              <w:rPr>
                <w:rFonts w:hint="eastAsia"/>
                <w:szCs w:val="21"/>
              </w:rPr>
              <w:t>1.包含但不限于费用汇总查询、费用明细查询、部门费用汇总查询、部门费用明细查询、应收款情况查询、客户明细账、固定资产统计分析表、共享初审绩效汇总表、作业组单据量统计表、全流程绩效汇总表、共享结算绩效汇总表、应付款情况查询、供应商明细账、固定资产明细账、科目余额表、三栏式总账、三栏式明细账、辅助余额表、辅助明细账、分析报表设计、分析报表设计。</w:t>
            </w:r>
          </w:p>
          <w:p w14:paraId="59E47A63">
            <w:pPr>
              <w:rPr>
                <w:rFonts w:hint="eastAsia"/>
                <w:szCs w:val="21"/>
              </w:rPr>
            </w:pPr>
            <w:r>
              <w:rPr>
                <w:rFonts w:hint="eastAsia"/>
                <w:szCs w:val="21"/>
              </w:rPr>
              <w:t>2.共享稽核包含但不限于：稽核内容、稽核问题类型、稽核任务、单据抽取、单据稽核、稽核报告、凭证管理需包含以下内容：凭证维护、新增周期凭证、凭证签字、凭证审核、凭证记账、凭证查询、凭证冲销、凭证整理。</w:t>
            </w:r>
          </w:p>
          <w:p w14:paraId="06BD04A6">
            <w:pPr>
              <w:widowControl/>
              <w:textAlignment w:val="center"/>
              <w:rPr>
                <w:rFonts w:hint="eastAsia"/>
                <w:szCs w:val="21"/>
              </w:rPr>
            </w:pPr>
            <w:r>
              <w:rPr>
                <w:rFonts w:hint="eastAsia"/>
                <w:szCs w:val="21"/>
              </w:rPr>
              <w:t>3.供应商管理包含但不限于：供应商基本分类、供应商、供应商申请单、供应商银行账户启用、供应商银行账户申请单、采购管理：采购订单维护、采购订单明细查询、到货单检验、采购发票维护、应付单管理、付款单管理、仓管业务：到货单维护、发货单维护、采购入库、销售业务：销售出库、销售订单维护、销售订单执行查询、销售发票维护、应收单管理、收款单管理。</w:t>
            </w:r>
          </w:p>
          <w:p w14:paraId="02969CE8">
            <w:pPr>
              <w:widowControl/>
              <w:textAlignment w:val="center"/>
              <w:rPr>
                <w:rFonts w:hint="eastAsia"/>
                <w:szCs w:val="21"/>
              </w:rPr>
            </w:pPr>
            <w:r>
              <w:rPr>
                <w:rFonts w:hint="eastAsia"/>
                <w:szCs w:val="21"/>
              </w:rPr>
              <w:t>4.费用管理包含但不限于：差旅费报销单、通用报销单、费用申请单、收付款合同：收款合同期初、收款合同管理、收款合同台账、收款合同台账明细、付款合同期初、付款合同管理、付款合同台账、付款合同台账明细、固定资产：固定资产卡片维护、固定资产变动、现金管理：收款结算、付款结算、结算。</w:t>
            </w:r>
          </w:p>
          <w:p w14:paraId="6BB80C97">
            <w:pPr>
              <w:widowControl/>
              <w:textAlignment w:val="center"/>
              <w:rPr>
                <w:rFonts w:hint="eastAsia"/>
                <w:szCs w:val="21"/>
              </w:rPr>
            </w:pPr>
            <w:r>
              <w:rPr>
                <w:rFonts w:hint="eastAsia"/>
                <w:szCs w:val="21"/>
              </w:rPr>
              <w:t>5.资金管理包含但不限于：资金上收、资金上收支付、下拨申请核准、资金下拨、资金下拨支付、上缴单、下拨申请、单位上收回单、单位下拨回单、委托付款、委托付款支付、支付指令状态、信用管理：信用档案、人员信用等级、信用评价标准、信用评价。</w:t>
            </w:r>
          </w:p>
          <w:p w14:paraId="5A94904D">
            <w:pPr>
              <w:rPr>
                <w:rFonts w:hint="eastAsia"/>
                <w:b/>
                <w:bCs/>
                <w:szCs w:val="21"/>
              </w:rPr>
            </w:pPr>
            <w:r>
              <w:rPr>
                <w:rFonts w:hint="eastAsia"/>
                <w:szCs w:val="21"/>
              </w:rPr>
              <w:t>▲6.包含但不限于：组织管理、权限管理、基础数据、流程管理、会计平台、客户化配置、系统管理、开发配置、报表平台、企业绩效管理平台、影像管理、报账平台、条码配置、发票管理；作业平台、工单、绩效看板、共享稽核、知识管理、绩效分析；全面预算、集团财务合并、外系统数据采集、集团报表、企业绩效分析等功能。</w:t>
            </w:r>
            <w:r>
              <w:rPr>
                <w:rFonts w:hint="eastAsia"/>
                <w:b/>
                <w:bCs/>
                <w:szCs w:val="21"/>
              </w:rPr>
              <w:t>（提供功能截图及与截图一致的演示视频，</w:t>
            </w:r>
            <w:r>
              <w:rPr>
                <w:rFonts w:hint="eastAsia"/>
                <w:b/>
                <w:bCs/>
                <w:color w:val="000000"/>
                <w:szCs w:val="21"/>
              </w:rPr>
              <w:t>证明所投产品满足功能需求）</w:t>
            </w:r>
          </w:p>
          <w:p w14:paraId="3F0DB06B">
            <w:pPr>
              <w:widowControl/>
              <w:textAlignment w:val="center"/>
              <w:rPr>
                <w:rFonts w:hint="eastAsia"/>
                <w:szCs w:val="21"/>
              </w:rPr>
            </w:pPr>
            <w:r>
              <w:rPr>
                <w:rFonts w:hint="eastAsia"/>
                <w:szCs w:val="21"/>
              </w:rPr>
              <w:t>7.财务会计</w:t>
            </w:r>
            <w:bookmarkStart w:id="1" w:name="_Hlk193132200"/>
            <w:r>
              <w:rPr>
                <w:rFonts w:hint="eastAsia"/>
                <w:szCs w:val="21"/>
              </w:rPr>
              <w:t>包含但不限于：</w:t>
            </w:r>
            <w:bookmarkEnd w:id="1"/>
            <w:r>
              <w:rPr>
                <w:rFonts w:hint="eastAsia"/>
                <w:szCs w:val="21"/>
              </w:rPr>
              <w:t>基础档案及规则、总账、收付款合同、电子会计档案归档、应收管理、应付管理、费用管理、固定资产、存货核算、财务自助分析、财资管理包含以下内容：资金基础设置、账户管理、现金管理、银企直联、商业汇票、资金结算、资金调度、内部存款管理、资金计划、授信管理、担保管理、贷款管理、发债管理、投融资费用管理、投资管理、投融资报表。</w:t>
            </w:r>
          </w:p>
          <w:p w14:paraId="18A4346F">
            <w:pPr>
              <w:widowControl/>
              <w:textAlignment w:val="center"/>
              <w:rPr>
                <w:rFonts w:hint="eastAsia"/>
                <w:szCs w:val="21"/>
              </w:rPr>
            </w:pPr>
            <w:r>
              <w:rPr>
                <w:rFonts w:hint="eastAsia"/>
                <w:szCs w:val="21"/>
              </w:rPr>
              <w:t>8.管理会计包含但不限于：管理会计基础设置、利润中心会计、产品成本、标准成本、供应链包含以下内容：供应链基础设置、采购管理、采购价格、委外加工、库存管理、销售管理、销售价格、销售信用、内部交易、营销费用管理、条码管理、无线设备接口、WMS集成接口、序列号管理。</w:t>
            </w:r>
          </w:p>
          <w:p w14:paraId="1985F495">
            <w:pPr>
              <w:widowControl/>
              <w:textAlignment w:val="center"/>
              <w:rPr>
                <w:rFonts w:hint="eastAsia"/>
                <w:szCs w:val="21"/>
              </w:rPr>
            </w:pPr>
            <w:r>
              <w:rPr>
                <w:rFonts w:hint="eastAsia"/>
                <w:szCs w:val="21"/>
              </w:rPr>
              <w:t>9.资产基础设置：期初数据导入、资产期初数据导入、资产信息设置、资产状态、使用信息设置、封存原因、变动原因、减少原因、增减方式、规则设置、交易规则设置、资产类别与固定资产类别对照、资产与固定资产关系设置、资产与固定资产取消关系设置、故障设置、故障类别、故障现象、故障原因、维修措施、故障树、故障发现途径、维修设置、工具、标准工作包-维修组织、危险与安全措施、危险与安全措施-维修组织、隔离模板、安全工作包、检修路线、巡检路线、租金计算项目、租金计算方法、赔偿原因、停租原因。</w:t>
            </w:r>
          </w:p>
          <w:p w14:paraId="5782BF12">
            <w:pPr>
              <w:widowControl/>
              <w:textAlignment w:val="center"/>
              <w:rPr>
                <w:rFonts w:hint="eastAsia"/>
                <w:szCs w:val="21"/>
              </w:rPr>
            </w:pPr>
            <w:r>
              <w:rPr>
                <w:rFonts w:hint="eastAsia"/>
                <w:szCs w:val="21"/>
              </w:rPr>
              <w:t>10.全面预算模块包含但不限于：基础设置、应用模型-全局、套表管理-全局、业务规则-全局、控制策略、控制规则-全局、零预算规则-全局、任务管理-全局、预算数据处理、预算编制、日常执行、预算调整、直接调整、局部调整、预算调剂、调整单管理、报送审批、预算审批、报送管理、预算监控、控制方案、预算外币折算、折算方案、折算执行、折算数据中心、数据查阅、预算查阅、版本查询、分析查询。</w:t>
            </w:r>
          </w:p>
          <w:p w14:paraId="41F34F86">
            <w:pPr>
              <w:rPr>
                <w:rFonts w:hint="eastAsia"/>
                <w:szCs w:val="21"/>
              </w:rPr>
            </w:pPr>
            <w:r>
              <w:rPr>
                <w:rFonts w:hint="eastAsia"/>
                <w:szCs w:val="21"/>
              </w:rPr>
              <w:t>★11.资产使用管理包含但不限于：借用管理、资产借用申请、资产借用申请处理、借用单维护、借用归还台账、领用管理、资产领用申请、资产领用申请处理、领用单维护、领用归还台账、归还处理、归还处理、借用归还、领用归还、资产管理部门变动、资产使用部门变动、资产责任人变动、资产位置变动、资产状态变动、资产项目变动、资产变动、调拨管理、资产处置、待处置资产处理、资产处置台账、抵押管理、资产抵押管理、资产盘点管理、盘点计划编制、盘点单维护、盘点报告。</w:t>
            </w:r>
            <w:r>
              <w:rPr>
                <w:rFonts w:hint="eastAsia"/>
                <w:b/>
                <w:bCs/>
                <w:szCs w:val="21"/>
              </w:rPr>
              <w:t>（提供功能截图及与截图一致的演示视频，</w:t>
            </w:r>
            <w:r>
              <w:rPr>
                <w:rFonts w:hint="eastAsia"/>
                <w:b/>
                <w:bCs/>
                <w:color w:val="000000"/>
                <w:szCs w:val="21"/>
              </w:rPr>
              <w:t>证明所投产品满足功能需求）</w:t>
            </w:r>
          </w:p>
        </w:tc>
      </w:tr>
      <w:tr w14:paraId="4339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271E8CCB">
            <w:pPr>
              <w:widowControl/>
              <w:jc w:val="center"/>
              <w:textAlignment w:val="center"/>
              <w:rPr>
                <w:rFonts w:hint="eastAsia"/>
                <w:kern w:val="0"/>
                <w:szCs w:val="21"/>
              </w:rPr>
            </w:pPr>
            <w:r>
              <w:rPr>
                <w:rFonts w:hint="eastAsia"/>
                <w:kern w:val="0"/>
                <w:szCs w:val="21"/>
              </w:rPr>
              <w:t>3</w:t>
            </w:r>
          </w:p>
        </w:tc>
        <w:tc>
          <w:tcPr>
            <w:tcW w:w="1985" w:type="dxa"/>
            <w:noWrap w:val="0"/>
            <w:vAlign w:val="center"/>
          </w:tcPr>
          <w:p w14:paraId="26A2D804">
            <w:pPr>
              <w:widowControl/>
              <w:jc w:val="center"/>
              <w:textAlignment w:val="center"/>
              <w:rPr>
                <w:rFonts w:hint="eastAsia"/>
                <w:kern w:val="0"/>
                <w:szCs w:val="21"/>
              </w:rPr>
            </w:pPr>
            <w:r>
              <w:rPr>
                <w:rFonts w:hint="eastAsia"/>
                <w:szCs w:val="21"/>
              </w:rPr>
              <w:t>智慧化财务实验实训平台</w:t>
            </w:r>
          </w:p>
        </w:tc>
        <w:tc>
          <w:tcPr>
            <w:tcW w:w="6214" w:type="dxa"/>
            <w:noWrap w:val="0"/>
            <w:vAlign w:val="center"/>
          </w:tcPr>
          <w:p w14:paraId="5A755EAA">
            <w:pPr>
              <w:rPr>
                <w:rFonts w:hint="eastAsia"/>
                <w:szCs w:val="21"/>
              </w:rPr>
            </w:pPr>
            <w:r>
              <w:rPr>
                <w:rFonts w:hint="eastAsia"/>
                <w:szCs w:val="21"/>
              </w:rPr>
              <w:t>1.平台需包含但不限于课程简介、班级人数、学习人次、实战项目、理论项目、总能力值、训练计划等数据统计课程图谱，课程支持探索图谱、课程思维导图、全屏展示、能力项、主讲老师、公告等功能。</w:t>
            </w:r>
          </w:p>
          <w:p w14:paraId="2303DC9F">
            <w:pPr>
              <w:rPr>
                <w:rFonts w:hint="eastAsia"/>
                <w:szCs w:val="21"/>
              </w:rPr>
            </w:pPr>
            <w:r>
              <w:rPr>
                <w:rFonts w:hint="eastAsia"/>
                <w:szCs w:val="21"/>
              </w:rPr>
              <w:t>★2.知识图谱功能，有引导操作提示，支持自由切换课程图谱和能力图谱，支持导航探索图谱，导航下显示课程所有章节知识点，点击即可打开知识点。支持搜索、筛选、标记知识点。支持锁定图谱，定位图谱，按照百分比放大缩小图谱。</w:t>
            </w:r>
            <w:r>
              <w:rPr>
                <w:rFonts w:hint="eastAsia"/>
                <w:b/>
                <w:bCs/>
                <w:szCs w:val="21"/>
              </w:rPr>
              <w:t>（提供功能截图及与截图一致的演示视频，</w:t>
            </w:r>
            <w:r>
              <w:rPr>
                <w:rFonts w:hint="eastAsia"/>
                <w:b/>
                <w:bCs/>
                <w:color w:val="000000"/>
                <w:szCs w:val="21"/>
              </w:rPr>
              <w:t>证明所投产品满足功能需求）</w:t>
            </w:r>
          </w:p>
          <w:p w14:paraId="6202070D">
            <w:pPr>
              <w:rPr>
                <w:rFonts w:hint="eastAsia"/>
                <w:szCs w:val="21"/>
              </w:rPr>
            </w:pPr>
            <w:r>
              <w:rPr>
                <w:rFonts w:hint="eastAsia"/>
                <w:szCs w:val="21"/>
              </w:rPr>
              <w:t>3.支持查看能力的能力概述、能力实践、学习资源、知识校验，通过点击能力实践可直接进入实操界面，点击学习资源即可查看该能力项对应的学习资源，点击知识教研可查看该能力对应的作业。</w:t>
            </w:r>
          </w:p>
          <w:p w14:paraId="064E0532">
            <w:pPr>
              <w:rPr>
                <w:rFonts w:hint="eastAsia"/>
                <w:szCs w:val="21"/>
              </w:rPr>
            </w:pPr>
            <w:r>
              <w:rPr>
                <w:rFonts w:hint="eastAsia"/>
                <w:szCs w:val="21"/>
              </w:rPr>
              <w:t>★4.课程图谱：包含班级人数、知识点、能力点、思政点、数字化点、关系、资源、今日学习人数、今日平均学习时长、教学成果、平均掌握度、学生达标率、学生掌握度、进度分布、学习时长排行榜、学生进度排行榜、课程能力画像、学生学习详情、职业分析等指标。</w:t>
            </w:r>
            <w:r>
              <w:rPr>
                <w:rFonts w:hint="eastAsia"/>
                <w:b/>
                <w:bCs/>
                <w:szCs w:val="21"/>
              </w:rPr>
              <w:t>（提供功能截图及与截图一致的演示视频，</w:t>
            </w:r>
            <w:r>
              <w:rPr>
                <w:rFonts w:hint="eastAsia"/>
                <w:b/>
                <w:bCs/>
                <w:color w:val="000000"/>
                <w:szCs w:val="21"/>
              </w:rPr>
              <w:t>证明所投产品满足功能需求）</w:t>
            </w:r>
          </w:p>
          <w:p w14:paraId="7290B24F">
            <w:pPr>
              <w:rPr>
                <w:rFonts w:hint="eastAsia"/>
                <w:szCs w:val="21"/>
              </w:rPr>
            </w:pPr>
            <w:r>
              <w:rPr>
                <w:rFonts w:hint="eastAsia"/>
                <w:szCs w:val="21"/>
              </w:rPr>
              <w:t>5.学生学习详情包含排名学生姓名 、学号 、学习时长 、学习进度 、图谱掌握度 、是否达到课程要求 、操作进行查看，支持按照进度和掌握度进行排序，支持点击查看详情即可查看该学生的课程图谱。能力画像支持用雷达图展示，支持查看班级所有能力项，支持查看班级平均和个人能力掌握情况。</w:t>
            </w:r>
          </w:p>
          <w:p w14:paraId="4154A7C1">
            <w:pPr>
              <w:rPr>
                <w:rFonts w:hint="eastAsia"/>
                <w:szCs w:val="21"/>
              </w:rPr>
            </w:pPr>
            <w:r>
              <w:rPr>
                <w:rFonts w:hint="eastAsia"/>
                <w:szCs w:val="21"/>
              </w:rPr>
              <w:t>6.应包含总成绩、成长值、分项成绩、项目任务成绩等内容，应通过柱状图展现学生的项目得分情况，完成度情况，通过柱状图与折线图展现学生的作业得分情况、随堂测验得分情况、视频测验得分情况，通过环形图展现学生的作业完成情况、习题正确情况等。提供可下载的学生成绩报告。</w:t>
            </w:r>
          </w:p>
          <w:p w14:paraId="03DA01A3">
            <w:pPr>
              <w:rPr>
                <w:rFonts w:hint="eastAsia"/>
                <w:szCs w:val="21"/>
              </w:rPr>
            </w:pPr>
            <w:r>
              <w:rPr>
                <w:rFonts w:hint="eastAsia"/>
                <w:szCs w:val="21"/>
              </w:rPr>
              <w:t>7.应包含老师人数、学生人数、应通过柱状图展示班级进度、考勤率、作业提交人数、学习偏好等数据，应包含学生完成度排名，应进行课堂疑点难点分析，分析每一道题每一个选项答题率，以可视化的形式展示全班习题完成正确、错误、未作答情况。</w:t>
            </w:r>
          </w:p>
          <w:p w14:paraId="6174E298">
            <w:pPr>
              <w:rPr>
                <w:rFonts w:hint="eastAsia"/>
                <w:szCs w:val="21"/>
              </w:rPr>
            </w:pPr>
            <w:r>
              <w:rPr>
                <w:rFonts w:hint="eastAsia"/>
                <w:szCs w:val="21"/>
              </w:rPr>
              <w:t>8.支持展示学生当前正在学习课程、尚未完成考试的数量；支持展示所学课程的有效期、学习进度；支持展示考试的截止时间；支持学生通过点击待办列表中待办项的“马上去学习”按钮进入教学班或考试。</w:t>
            </w:r>
          </w:p>
          <w:p w14:paraId="0F3772AF">
            <w:pPr>
              <w:rPr>
                <w:rFonts w:hint="eastAsia"/>
                <w:szCs w:val="21"/>
              </w:rPr>
            </w:pPr>
            <w:r>
              <w:rPr>
                <w:rFonts w:hint="eastAsia"/>
                <w:szCs w:val="21"/>
              </w:rPr>
              <w:t>9.支持在院校配置完成岗位且学生加入课程后，展示学生当前的能力掌握情况与能力进阶情况；支持展示学生的能力情况与岗位能力要求的匹配度；支持学生切换不同岗位查看岗位匹配度。</w:t>
            </w:r>
          </w:p>
          <w:p w14:paraId="09D7268A">
            <w:pPr>
              <w:rPr>
                <w:rFonts w:hint="eastAsia"/>
                <w:szCs w:val="21"/>
              </w:rPr>
            </w:pPr>
            <w:r>
              <w:rPr>
                <w:rFonts w:hint="eastAsia"/>
                <w:szCs w:val="21"/>
              </w:rPr>
              <w:t>10.</w:t>
            </w:r>
            <w:r>
              <w:rPr>
                <w:rFonts w:hint="eastAsia"/>
                <w:szCs w:val="21"/>
              </w:rPr>
              <w:tab/>
            </w:r>
            <w:r>
              <w:rPr>
                <w:rFonts w:hint="eastAsia"/>
                <w:szCs w:val="21"/>
              </w:rPr>
              <w:t>支持在学生加入课程后，根据学生学习情况智能推荐项目；支持展示项目的名称、难度等信息。支持查看院校、班级发出的公告；支持展示公告的标题、内容以及时间；支持展示公告的数量。</w:t>
            </w:r>
          </w:p>
          <w:p w14:paraId="41D96501">
            <w:pPr>
              <w:rPr>
                <w:rFonts w:hint="eastAsia"/>
                <w:szCs w:val="21"/>
              </w:rPr>
            </w:pPr>
            <w:r>
              <w:rPr>
                <w:rFonts w:hint="eastAsia"/>
                <w:szCs w:val="21"/>
              </w:rPr>
              <w:t xml:space="preserve">11.支持教师在课堂中新增视频任务、文档任务、富文本、网页链接，实战项目支持新增作业任务、测验任务、团队成果；作业任务中，可支持修改作业名称、作业描述、评分方式等，支持上传参考资料与参考答案，设置答案可否下载，评分方式为系统评分可设置关键词； </w:t>
            </w:r>
          </w:p>
          <w:p w14:paraId="1E0978BA">
            <w:pPr>
              <w:rPr>
                <w:rFonts w:hint="eastAsia"/>
                <w:szCs w:val="21"/>
              </w:rPr>
            </w:pPr>
            <w:r>
              <w:rPr>
                <w:rFonts w:hint="eastAsia"/>
                <w:szCs w:val="21"/>
              </w:rPr>
              <w:t>12.虚拟仿真任务：同时支持PC机、VR一体机使用。支持学生随时查看任务模块、步骤及时长、进度、得分，支持学生设置背景音乐，调出虚拟助手；支持学生在场景中进行漫游、完成任务等操作；支持学生反复进入完成实验。</w:t>
            </w:r>
            <w:r>
              <w:rPr>
                <w:rFonts w:hint="eastAsia"/>
                <w:b/>
                <w:bCs/>
                <w:szCs w:val="21"/>
              </w:rPr>
              <w:t>（提供功能截图及与截图一致的演示视频，</w:t>
            </w:r>
            <w:r>
              <w:rPr>
                <w:rFonts w:hint="eastAsia"/>
                <w:b/>
                <w:bCs/>
                <w:color w:val="000000"/>
                <w:szCs w:val="21"/>
              </w:rPr>
              <w:t>证明所投产品满足功能需求）</w:t>
            </w:r>
          </w:p>
          <w:p w14:paraId="18509782">
            <w:pPr>
              <w:rPr>
                <w:rFonts w:hint="eastAsia"/>
                <w:szCs w:val="21"/>
              </w:rPr>
            </w:pPr>
            <w:r>
              <w:rPr>
                <w:rFonts w:hint="eastAsia"/>
                <w:szCs w:val="21"/>
              </w:rPr>
              <w:t>13.教师端功能描述：VR任务推送：教师可对VR任务进行推送或收回；VR任务操作：教师可通过PC和VR头盔两种方式进入VR任务进行操作，与学生视角一致；VR任务进度查看：教师可通过学生个人维度/VR任务维度两个维度查看学生任务完成情况、完成次数、时长等信息；VR任务考核：教师可在课程中给VR任务设置考核权重，并实时显示学生得分，支持以学生多次操作的最高一次得分作为最终成绩。</w:t>
            </w:r>
          </w:p>
          <w:p w14:paraId="76A0B570">
            <w:pPr>
              <w:rPr>
                <w:rFonts w:hint="eastAsia"/>
                <w:szCs w:val="21"/>
              </w:rPr>
            </w:pPr>
            <w:r>
              <w:rPr>
                <w:rFonts w:hint="eastAsia"/>
                <w:szCs w:val="21"/>
              </w:rPr>
              <w:t>▲14.学生能通过系统介绍直观了解财务共享服务中心的空间结构，熟悉其业务处理室、报账开放办公区、结算区、资金管理区、副总经理办公室、会计档案室、专家中心室、服务管理区等10个部门布局；通过财务共享服务中心场景漫游打卡（涵盖部门、岗位、工作流程、规章制度、办公设备等内容）结合具体场景下的客观题任务提升学习积极性，并通过VR与收单机器人的交互沉浸式体验自助投单和智能收单服务；同时学生还可通过VR直观体验填制、审批、初审、审核、复核、结算、凭证审核等8个环节的全流程操作，从而建立对财务共享服务中心核心业务流程的认知。</w:t>
            </w:r>
            <w:r>
              <w:rPr>
                <w:rFonts w:hint="eastAsia"/>
                <w:b/>
                <w:bCs/>
                <w:szCs w:val="21"/>
              </w:rPr>
              <w:t>（提供功能截图及与截图一致的演示视频，</w:t>
            </w:r>
            <w:r>
              <w:rPr>
                <w:rFonts w:hint="eastAsia"/>
                <w:b/>
                <w:bCs/>
                <w:color w:val="000000"/>
                <w:szCs w:val="21"/>
              </w:rPr>
              <w:t>证明所投产品满足功能需求）</w:t>
            </w:r>
          </w:p>
          <w:p w14:paraId="39997DD8">
            <w:pPr>
              <w:rPr>
                <w:rFonts w:hint="eastAsia"/>
                <w:szCs w:val="21"/>
              </w:rPr>
            </w:pPr>
            <w:r>
              <w:rPr>
                <w:rFonts w:hint="eastAsia"/>
                <w:szCs w:val="21"/>
              </w:rPr>
              <w:t>15.电子凭证系统，模拟电子凭证的立卷、归档、查询与借阅等相关操作。支持多种影像采集方式对纸质档案进行采集，支持凭证以及影像文件的装册、浏览，档案装册完成后所有已装册的档案盒自动归档，归档的档案盒对应的纸质档案自动上架到档案保管位置方便调阅。</w:t>
            </w:r>
          </w:p>
          <w:p w14:paraId="31695D0A">
            <w:pPr>
              <w:rPr>
                <w:rFonts w:hint="eastAsia"/>
                <w:szCs w:val="21"/>
              </w:rPr>
            </w:pPr>
            <w:r>
              <w:rPr>
                <w:rFonts w:hint="eastAsia"/>
                <w:szCs w:val="21"/>
              </w:rPr>
              <w:t xml:space="preserve">16.税务应用：仿真企业运营中涉及税务及发票的管理、核算、风险管控等功能；支持教学应用系统与仿真税务云的无缝集成；实现增值税电子普通发票的开票、发票验真、进项税认证、增值税与附加税费申报与缴纳、等为核心的全方位税务管理，并和仿真国家电子税务局连接，完成一键报税； </w:t>
            </w:r>
          </w:p>
          <w:p w14:paraId="0A3B78C2">
            <w:pPr>
              <w:rPr>
                <w:rFonts w:hint="eastAsia"/>
                <w:b/>
                <w:bCs/>
                <w:szCs w:val="21"/>
              </w:rPr>
            </w:pPr>
            <w:r>
              <w:rPr>
                <w:rFonts w:hint="eastAsia"/>
                <w:szCs w:val="21"/>
              </w:rPr>
              <w:t>★17.商旅应用：支持教学应用系统与仿真移动商旅无缝集成，实现移动报销平台与社会化商业平台连接。学生通过此工作应用完成预订机票、打车、酒店等操作，形成差旅费报销单。</w:t>
            </w:r>
            <w:r>
              <w:rPr>
                <w:rFonts w:hint="eastAsia"/>
                <w:b/>
                <w:bCs/>
                <w:szCs w:val="21"/>
              </w:rPr>
              <w:t>（提供功能截图及与截图一致的演示视频，</w:t>
            </w:r>
            <w:r>
              <w:rPr>
                <w:rFonts w:hint="eastAsia"/>
                <w:b/>
                <w:bCs/>
                <w:color w:val="000000"/>
                <w:szCs w:val="21"/>
              </w:rPr>
              <w:t>证明所投产品满足功能需求）</w:t>
            </w:r>
          </w:p>
        </w:tc>
      </w:tr>
      <w:tr w14:paraId="0838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BC13C67">
            <w:pPr>
              <w:widowControl/>
              <w:jc w:val="center"/>
              <w:textAlignment w:val="center"/>
              <w:rPr>
                <w:rFonts w:hint="eastAsia"/>
                <w:kern w:val="0"/>
                <w:szCs w:val="21"/>
              </w:rPr>
            </w:pPr>
            <w:r>
              <w:rPr>
                <w:rFonts w:hint="eastAsia"/>
                <w:kern w:val="0"/>
                <w:szCs w:val="21"/>
              </w:rPr>
              <w:t>4</w:t>
            </w:r>
          </w:p>
        </w:tc>
        <w:tc>
          <w:tcPr>
            <w:tcW w:w="1985" w:type="dxa"/>
            <w:noWrap w:val="0"/>
            <w:vAlign w:val="center"/>
          </w:tcPr>
          <w:p w14:paraId="7C045D1B">
            <w:pPr>
              <w:widowControl/>
              <w:jc w:val="center"/>
              <w:textAlignment w:val="center"/>
              <w:rPr>
                <w:rFonts w:hint="eastAsia"/>
                <w:kern w:val="0"/>
                <w:szCs w:val="21"/>
              </w:rPr>
            </w:pPr>
            <w:r>
              <w:rPr>
                <w:rFonts w:hint="eastAsia"/>
                <w:bCs/>
                <w:kern w:val="0"/>
                <w:szCs w:val="21"/>
                <w:lang w:bidi="en-US"/>
              </w:rPr>
              <w:t>财会职业能力养成平台</w:t>
            </w:r>
          </w:p>
        </w:tc>
        <w:tc>
          <w:tcPr>
            <w:tcW w:w="6214" w:type="dxa"/>
            <w:noWrap w:val="0"/>
            <w:vAlign w:val="center"/>
          </w:tcPr>
          <w:p w14:paraId="7AA6DB79">
            <w:pPr>
              <w:rPr>
                <w:rFonts w:hint="eastAsia"/>
                <w:szCs w:val="21"/>
              </w:rPr>
            </w:pPr>
            <w:r>
              <w:rPr>
                <w:rFonts w:hint="eastAsia"/>
                <w:spacing w:val="-3"/>
                <w:szCs w:val="21"/>
              </w:rPr>
              <w:t>1.能传递</w:t>
            </w:r>
            <w:r>
              <w:rPr>
                <w:rFonts w:hint="eastAsia"/>
                <w:szCs w:val="21"/>
              </w:rPr>
              <w:t>碳中和的理念，通过一定方式中和生产中所产生的碳排放；能查询当前企业的财务状态数据；能查看其他企业的实时数据市场调研；能展示经销商市场的市场需求量概况；能展示经营成绩的排行，包含得分的细项分数。</w:t>
            </w:r>
          </w:p>
          <w:p w14:paraId="2804C717">
            <w:pPr>
              <w:rPr>
                <w:rFonts w:hint="eastAsia"/>
                <w:szCs w:val="21"/>
              </w:rPr>
            </w:pPr>
            <w:r>
              <w:rPr>
                <w:rFonts w:hint="eastAsia"/>
                <w:szCs w:val="21"/>
              </w:rPr>
              <w:t xml:space="preserve">2.财务总监支持：预算控制、融资管理、应收账款管理 、应付账款管理、费用管理、报表管理 </w:t>
            </w:r>
          </w:p>
          <w:p w14:paraId="48CB845E">
            <w:pPr>
              <w:rPr>
                <w:rFonts w:hint="eastAsia"/>
                <w:szCs w:val="21"/>
              </w:rPr>
            </w:pPr>
            <w:r>
              <w:rPr>
                <w:rFonts w:hint="eastAsia"/>
                <w:szCs w:val="21"/>
              </w:rPr>
              <w:t>3.人力资源总监：招聘管理、培训管理、激励管理、岗位管理。</w:t>
            </w:r>
          </w:p>
          <w:p w14:paraId="23E553BC">
            <w:pPr>
              <w:rPr>
                <w:rFonts w:hint="eastAsia"/>
                <w:szCs w:val="21"/>
              </w:rPr>
            </w:pPr>
            <w:r>
              <w:rPr>
                <w:rFonts w:hint="eastAsia"/>
                <w:szCs w:val="21"/>
              </w:rPr>
              <w:t>4.生产总监支持：工人管理、设备管理、库存管理、设计管理、研发管理 。</w:t>
            </w:r>
          </w:p>
          <w:p w14:paraId="32B4C351">
            <w:pPr>
              <w:rPr>
                <w:rFonts w:hint="eastAsia"/>
                <w:szCs w:val="21"/>
              </w:rPr>
            </w:pPr>
            <w:r>
              <w:rPr>
                <w:rFonts w:hint="eastAsia"/>
                <w:szCs w:val="21"/>
              </w:rPr>
              <w:t>5.营销总监支持：渠道管理、产品管理、促销管理、竟单管理</w:t>
            </w:r>
          </w:p>
          <w:p w14:paraId="430C167A">
            <w:pPr>
              <w:rPr>
                <w:rFonts w:hint="eastAsia"/>
                <w:szCs w:val="21"/>
              </w:rPr>
            </w:pPr>
            <w:r>
              <w:rPr>
                <w:rFonts w:hint="eastAsia"/>
                <w:szCs w:val="21"/>
              </w:rPr>
              <w:t>6.要求平台可以实现多维度评分：平台内置多维度评分模式，教师可以在实践得分、总结得分、主观评分三项内容范围内自由设定比例，系统可自动计算出学生的最终得分。</w:t>
            </w:r>
          </w:p>
          <w:p w14:paraId="1BBB4510">
            <w:pPr>
              <w:rPr>
                <w:rFonts w:hint="eastAsia"/>
                <w:szCs w:val="21"/>
              </w:rPr>
            </w:pPr>
            <w:r>
              <w:rPr>
                <w:rFonts w:hint="eastAsia"/>
                <w:szCs w:val="21"/>
              </w:rPr>
              <w:t>7.教学内容：提供模拟实训的相关知识点PPT，并可在线查看。</w:t>
            </w:r>
          </w:p>
          <w:p w14:paraId="1C755274">
            <w:pPr>
              <w:rPr>
                <w:rFonts w:hint="eastAsia"/>
                <w:szCs w:val="21"/>
              </w:rPr>
            </w:pPr>
            <w:r>
              <w:rPr>
                <w:rFonts w:hint="eastAsia"/>
                <w:szCs w:val="21"/>
              </w:rPr>
              <w:t>8.智能分析：需提供数字化的分析工具，内置算法，将学生的关键数据指标化，并形成图形进行对比。</w:t>
            </w:r>
          </w:p>
          <w:p w14:paraId="4BA2DDAE">
            <w:pPr>
              <w:rPr>
                <w:rFonts w:hint="eastAsia"/>
                <w:szCs w:val="21"/>
              </w:rPr>
            </w:pPr>
            <w:r>
              <w:rPr>
                <w:rFonts w:hint="eastAsia"/>
                <w:szCs w:val="21"/>
              </w:rPr>
              <w:t>9.教师管理功能指标：账户设置、教师管理、标准案例管理</w:t>
            </w:r>
            <w:bookmarkStart w:id="2" w:name="_Toc28261754"/>
            <w:r>
              <w:rPr>
                <w:rFonts w:hint="eastAsia"/>
                <w:szCs w:val="21"/>
              </w:rPr>
              <w:t>、模型设定、时间轴设定、规则维护、课程学习、考评设置、教案管理、课堂总结、教学评分、学情分析。</w:t>
            </w:r>
          </w:p>
          <w:p w14:paraId="6CFCA9D5">
            <w:pPr>
              <w:rPr>
                <w:rFonts w:hint="eastAsia"/>
                <w:szCs w:val="21"/>
              </w:rPr>
            </w:pPr>
            <w:r>
              <w:rPr>
                <w:rFonts w:hint="eastAsia"/>
                <w:szCs w:val="21"/>
              </w:rPr>
              <w:t>10.实训信息显示、时间轴展示、实训工作台、智能分析、实时报表查看和订单明细</w:t>
            </w:r>
            <w:bookmarkEnd w:id="2"/>
            <w:r>
              <w:rPr>
                <w:rFonts w:hint="eastAsia"/>
                <w:szCs w:val="21"/>
              </w:rPr>
              <w:t>、账号管理、实训控制台、支持成绩查看</w:t>
            </w:r>
          </w:p>
          <w:p w14:paraId="7D3064FE">
            <w:pPr>
              <w:rPr>
                <w:rFonts w:hint="eastAsia"/>
                <w:szCs w:val="21"/>
              </w:rPr>
            </w:pPr>
            <w:r>
              <w:rPr>
                <w:rFonts w:hint="eastAsia"/>
                <w:szCs w:val="21"/>
              </w:rPr>
              <w:t>11.财务总监岗位应具备功能包括预算控制、融资管理、应收账款管理、应付账款管理、费用管理、报表管理。</w:t>
            </w:r>
          </w:p>
          <w:p w14:paraId="58D593C0">
            <w:pPr>
              <w:rPr>
                <w:rFonts w:hint="eastAsia"/>
                <w:szCs w:val="21"/>
              </w:rPr>
            </w:pPr>
            <w:r>
              <w:rPr>
                <w:rFonts w:hint="eastAsia"/>
                <w:szCs w:val="21"/>
              </w:rPr>
              <w:t>★12.需包含风险预警功能，通过算法，展示风险等级，具体包括债务风险：资产负债率、速动比率、已获利息倍数；现金流风险：现金总资产比、存货周转率、应收账款周转率；盈利能力风险：净资产收益率、营业利润比重、主营业务利润率。</w:t>
            </w:r>
            <w:r>
              <w:rPr>
                <w:rFonts w:hint="eastAsia"/>
                <w:b/>
                <w:bCs/>
                <w:szCs w:val="21"/>
              </w:rPr>
              <w:t>（提供功能截图及与截图一致的演示视频，</w:t>
            </w:r>
            <w:r>
              <w:rPr>
                <w:rFonts w:hint="eastAsia"/>
                <w:b/>
                <w:bCs/>
                <w:color w:val="000000"/>
                <w:szCs w:val="21"/>
              </w:rPr>
              <w:t>证明所投产品满足功能需求）</w:t>
            </w:r>
          </w:p>
          <w:p w14:paraId="678A351A">
            <w:pPr>
              <w:rPr>
                <w:rFonts w:hint="eastAsia"/>
                <w:szCs w:val="21"/>
              </w:rPr>
            </w:pPr>
            <w:r>
              <w:rPr>
                <w:rFonts w:hint="eastAsia"/>
                <w:szCs w:val="21"/>
              </w:rPr>
              <w:t>13.要求内置大数据分析功能、包含生产、营销、人力场景大数据功能，需支持自动爬取其他竞争对手的数据，进行挖掘清洗，形成看板，进行展示。</w:t>
            </w:r>
          </w:p>
          <w:p w14:paraId="71A733A3">
            <w:pPr>
              <w:rPr>
                <w:rFonts w:hint="eastAsia"/>
                <w:szCs w:val="21"/>
              </w:rPr>
            </w:pPr>
            <w:r>
              <w:rPr>
                <w:rFonts w:hint="eastAsia"/>
                <w:szCs w:val="21"/>
              </w:rPr>
              <w:t>14.人力资源岗位要求内置招聘管理功能，要求招聘时需要根据人才的能力、期望和市场情况综合判断定薪。</w:t>
            </w:r>
          </w:p>
          <w:p w14:paraId="1E3233F9">
            <w:pPr>
              <w:rPr>
                <w:rFonts w:hint="eastAsia"/>
                <w:szCs w:val="21"/>
              </w:rPr>
            </w:pPr>
            <w:r>
              <w:rPr>
                <w:rFonts w:hint="eastAsia"/>
                <w:szCs w:val="21"/>
              </w:rPr>
              <w:t>15.人力资源岗位可以对查看所有员工的工作状态，工作效率，对其中指定的员工进行激励，手段包括奖金和涨薪。</w:t>
            </w:r>
          </w:p>
          <w:p w14:paraId="298D6A10">
            <w:pPr>
              <w:rPr>
                <w:rFonts w:hint="eastAsia"/>
                <w:szCs w:val="21"/>
              </w:rPr>
            </w:pPr>
            <w:r>
              <w:rPr>
                <w:rFonts w:hint="eastAsia"/>
                <w:szCs w:val="21"/>
              </w:rPr>
              <w:t>16.生产总监要求拥有管理全部生产设备功能，可新增、删减和维修，产品研发功能、技术升级功能。</w:t>
            </w:r>
          </w:p>
          <w:p w14:paraId="25559E14">
            <w:pPr>
              <w:rPr>
                <w:rFonts w:hint="eastAsia"/>
                <w:b/>
                <w:bCs/>
                <w:szCs w:val="21"/>
              </w:rPr>
            </w:pPr>
            <w:r>
              <w:rPr>
                <w:rFonts w:hint="eastAsia"/>
                <w:szCs w:val="21"/>
              </w:rPr>
              <w:t>17.营销总监需拥开拓企业的销售渠道、申报公司的生产资质和质量认证、广告促销管理、订单申报、产品交付等功能。</w:t>
            </w:r>
          </w:p>
          <w:p w14:paraId="449B6228">
            <w:pPr>
              <w:rPr>
                <w:rFonts w:hint="eastAsia"/>
                <w:szCs w:val="21"/>
              </w:rPr>
            </w:pPr>
            <w:r>
              <w:rPr>
                <w:rFonts w:hint="eastAsia"/>
                <w:szCs w:val="21"/>
              </w:rPr>
              <w:t>18.食品类行业案例：经营范围包括三种以上产品。</w:t>
            </w:r>
          </w:p>
          <w:p w14:paraId="50E8D13D">
            <w:pPr>
              <w:rPr>
                <w:rFonts w:hint="eastAsia"/>
                <w:b/>
                <w:bCs/>
                <w:szCs w:val="21"/>
              </w:rPr>
            </w:pPr>
            <w:r>
              <w:rPr>
                <w:rFonts w:hint="eastAsia"/>
                <w:szCs w:val="21"/>
              </w:rPr>
              <w:t>19.智能制造类行业案例：包括三种以上产品类型。</w:t>
            </w:r>
          </w:p>
          <w:p w14:paraId="5041D60B">
            <w:pPr>
              <w:widowControl/>
              <w:jc w:val="left"/>
              <w:textAlignment w:val="center"/>
              <w:rPr>
                <w:rFonts w:hint="eastAsia"/>
                <w:kern w:val="0"/>
                <w:szCs w:val="21"/>
              </w:rPr>
            </w:pPr>
            <w:r>
              <w:rPr>
                <w:rFonts w:hint="eastAsia"/>
                <w:szCs w:val="21"/>
              </w:rPr>
              <w:t>20.传统制造类行业案例：包括三种以上产品系列。</w:t>
            </w:r>
            <w:r>
              <w:rPr>
                <w:rFonts w:hint="eastAsia"/>
                <w:kern w:val="0"/>
                <w:szCs w:val="21"/>
              </w:rPr>
              <w:t xml:space="preserve"> </w:t>
            </w:r>
          </w:p>
        </w:tc>
      </w:tr>
      <w:tr w14:paraId="2DFE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4F0D7C33">
            <w:pPr>
              <w:widowControl/>
              <w:jc w:val="center"/>
              <w:textAlignment w:val="center"/>
              <w:rPr>
                <w:rFonts w:hint="eastAsia"/>
                <w:kern w:val="0"/>
                <w:szCs w:val="21"/>
              </w:rPr>
            </w:pPr>
            <w:r>
              <w:rPr>
                <w:rFonts w:hint="eastAsia"/>
                <w:kern w:val="0"/>
                <w:szCs w:val="21"/>
              </w:rPr>
              <w:t>5</w:t>
            </w:r>
          </w:p>
        </w:tc>
        <w:tc>
          <w:tcPr>
            <w:tcW w:w="1985" w:type="dxa"/>
            <w:noWrap w:val="0"/>
            <w:vAlign w:val="center"/>
          </w:tcPr>
          <w:p w14:paraId="0F0E6426">
            <w:pPr>
              <w:widowControl/>
              <w:jc w:val="center"/>
              <w:textAlignment w:val="center"/>
              <w:rPr>
                <w:rFonts w:hint="eastAsia"/>
                <w:kern w:val="0"/>
                <w:szCs w:val="21"/>
              </w:rPr>
            </w:pPr>
            <w:r>
              <w:rPr>
                <w:rFonts w:hint="eastAsia"/>
                <w:kern w:val="0"/>
                <w:szCs w:val="21"/>
              </w:rPr>
              <w:t>学生实训终端</w:t>
            </w:r>
          </w:p>
        </w:tc>
        <w:tc>
          <w:tcPr>
            <w:tcW w:w="6214" w:type="dxa"/>
            <w:noWrap w:val="0"/>
            <w:vAlign w:val="center"/>
          </w:tcPr>
          <w:p w14:paraId="6FF44624">
            <w:pPr>
              <w:widowControl/>
              <w:jc w:val="left"/>
              <w:textAlignment w:val="center"/>
              <w:rPr>
                <w:rFonts w:hint="eastAsia"/>
                <w:spacing w:val="-3"/>
                <w:szCs w:val="21"/>
              </w:rPr>
            </w:pPr>
            <w:r>
              <w:rPr>
                <w:rFonts w:hint="eastAsia"/>
                <w:spacing w:val="-3"/>
                <w:szCs w:val="21"/>
              </w:rPr>
              <w:t>★1.CPU：≥i5 12400；</w:t>
            </w:r>
          </w:p>
          <w:p w14:paraId="2BB94DA5">
            <w:pPr>
              <w:widowControl/>
              <w:jc w:val="left"/>
              <w:textAlignment w:val="center"/>
              <w:rPr>
                <w:rFonts w:hint="eastAsia"/>
                <w:spacing w:val="-3"/>
                <w:szCs w:val="21"/>
              </w:rPr>
            </w:pPr>
            <w:r>
              <w:rPr>
                <w:rFonts w:hint="eastAsia"/>
                <w:spacing w:val="-3"/>
                <w:szCs w:val="21"/>
              </w:rPr>
              <w:t>2.主板：不低于B760芯片组主板 ，主板原生带不少于三个视频接口，其中VGA 1个、HDMI 1个、DP 1个，扩展槽：1个PCI-Ex16,2个PCI-Ex1,1个PCI，3个M.2；</w:t>
            </w:r>
          </w:p>
          <w:p w14:paraId="52958F81">
            <w:pPr>
              <w:widowControl/>
              <w:jc w:val="left"/>
              <w:textAlignment w:val="center"/>
              <w:rPr>
                <w:rFonts w:hint="eastAsia"/>
                <w:spacing w:val="-3"/>
                <w:szCs w:val="21"/>
              </w:rPr>
            </w:pPr>
            <w:r>
              <w:rPr>
                <w:rFonts w:hint="eastAsia"/>
                <w:spacing w:val="-3"/>
                <w:szCs w:val="21"/>
              </w:rPr>
              <w:t>★3.内存：≥16G ；</w:t>
            </w:r>
          </w:p>
          <w:p w14:paraId="79A73978">
            <w:pPr>
              <w:widowControl/>
              <w:jc w:val="left"/>
              <w:textAlignment w:val="center"/>
              <w:rPr>
                <w:rFonts w:hint="eastAsia"/>
                <w:spacing w:val="-3"/>
                <w:szCs w:val="21"/>
              </w:rPr>
            </w:pPr>
            <w:r>
              <w:rPr>
                <w:rFonts w:hint="eastAsia"/>
                <w:spacing w:val="-3"/>
                <w:szCs w:val="21"/>
              </w:rPr>
              <w:t>★4.硬盘：≥512G M.2 SSD（ NVMe）固态硬盘；</w:t>
            </w:r>
          </w:p>
          <w:p w14:paraId="17203ECB">
            <w:pPr>
              <w:widowControl/>
              <w:jc w:val="left"/>
              <w:textAlignment w:val="center"/>
              <w:rPr>
                <w:rFonts w:hint="eastAsia"/>
                <w:spacing w:val="-3"/>
                <w:szCs w:val="21"/>
              </w:rPr>
            </w:pPr>
            <w:r>
              <w:rPr>
                <w:rFonts w:hint="eastAsia"/>
                <w:spacing w:val="-3"/>
                <w:szCs w:val="21"/>
              </w:rPr>
              <w:t>5.声卡：集成，5.1声道；</w:t>
            </w:r>
          </w:p>
          <w:p w14:paraId="3B4A24BB">
            <w:pPr>
              <w:widowControl/>
              <w:jc w:val="left"/>
              <w:textAlignment w:val="center"/>
              <w:rPr>
                <w:rFonts w:hint="eastAsia"/>
                <w:spacing w:val="-3"/>
                <w:szCs w:val="21"/>
              </w:rPr>
            </w:pPr>
            <w:r>
              <w:rPr>
                <w:rFonts w:hint="eastAsia"/>
                <w:spacing w:val="-3"/>
                <w:szCs w:val="21"/>
              </w:rPr>
              <w:t>6.USB键鼠套装 ；</w:t>
            </w:r>
          </w:p>
          <w:p w14:paraId="5626885B">
            <w:pPr>
              <w:widowControl/>
              <w:jc w:val="left"/>
              <w:textAlignment w:val="center"/>
              <w:rPr>
                <w:rFonts w:hint="eastAsia"/>
                <w:spacing w:val="-3"/>
                <w:szCs w:val="21"/>
              </w:rPr>
            </w:pPr>
            <w:r>
              <w:rPr>
                <w:rFonts w:hint="eastAsia"/>
                <w:spacing w:val="-3"/>
                <w:szCs w:val="21"/>
              </w:rPr>
              <w:t>7.电源： 不小于180W静音电源；</w:t>
            </w:r>
          </w:p>
          <w:p w14:paraId="74F4F71F">
            <w:pPr>
              <w:widowControl/>
              <w:jc w:val="left"/>
              <w:textAlignment w:val="center"/>
              <w:rPr>
                <w:rFonts w:hint="eastAsia"/>
                <w:spacing w:val="-3"/>
                <w:szCs w:val="21"/>
              </w:rPr>
            </w:pPr>
            <w:r>
              <w:rPr>
                <w:rFonts w:hint="eastAsia"/>
                <w:spacing w:val="-3"/>
                <w:szCs w:val="21"/>
              </w:rPr>
              <w:t>8.显示器：≥23.8”LED宽屏 支持VGA+HDMI。</w:t>
            </w:r>
          </w:p>
          <w:p w14:paraId="4116FFD6">
            <w:pPr>
              <w:widowControl/>
              <w:jc w:val="left"/>
              <w:textAlignment w:val="center"/>
              <w:rPr>
                <w:rFonts w:hint="eastAsia"/>
                <w:spacing w:val="-3"/>
                <w:szCs w:val="21"/>
              </w:rPr>
            </w:pPr>
            <w:r>
              <w:rPr>
                <w:rFonts w:hint="eastAsia"/>
                <w:spacing w:val="-3"/>
                <w:szCs w:val="21"/>
              </w:rPr>
              <w:t>9.机箱：顶置机箱提手，主机前面板具有可拆卸防尘网、 顶置开关；</w:t>
            </w:r>
          </w:p>
          <w:p w14:paraId="45C54104">
            <w:pPr>
              <w:widowControl/>
              <w:jc w:val="left"/>
              <w:textAlignment w:val="center"/>
              <w:rPr>
                <w:rFonts w:hint="eastAsia"/>
                <w:spacing w:val="-3"/>
                <w:szCs w:val="21"/>
              </w:rPr>
            </w:pPr>
            <w:r>
              <w:rPr>
                <w:rFonts w:hint="eastAsia"/>
                <w:spacing w:val="-3"/>
                <w:szCs w:val="21"/>
              </w:rPr>
              <w:t xml:space="preserve">★10.具有快速重启功能； </w:t>
            </w:r>
            <w:r>
              <w:rPr>
                <w:rFonts w:hint="eastAsia"/>
                <w:color w:val="000000"/>
                <w:spacing w:val="-3"/>
                <w:szCs w:val="21"/>
              </w:rPr>
              <w:t>（</w:t>
            </w:r>
            <w:r>
              <w:rPr>
                <w:rFonts w:hint="eastAsia"/>
                <w:color w:val="000000"/>
                <w:szCs w:val="21"/>
              </w:rPr>
              <w:t>证明所投产品满足功能需求</w:t>
            </w:r>
            <w:r>
              <w:rPr>
                <w:rFonts w:hint="eastAsia"/>
                <w:color w:val="000000"/>
                <w:spacing w:val="-3"/>
                <w:szCs w:val="21"/>
              </w:rPr>
              <w:t>）</w:t>
            </w:r>
            <w:r>
              <w:rPr>
                <w:rFonts w:hint="eastAsia"/>
                <w:spacing w:val="-3"/>
                <w:szCs w:val="21"/>
              </w:rPr>
              <w:t xml:space="preserve">  </w:t>
            </w:r>
          </w:p>
          <w:p w14:paraId="3667D45A">
            <w:pPr>
              <w:widowControl/>
              <w:jc w:val="left"/>
              <w:textAlignment w:val="center"/>
              <w:rPr>
                <w:rFonts w:hint="eastAsia"/>
                <w:spacing w:val="-3"/>
                <w:szCs w:val="21"/>
              </w:rPr>
            </w:pPr>
            <w:r>
              <w:rPr>
                <w:rFonts w:hint="eastAsia"/>
                <w:spacing w:val="-3"/>
                <w:szCs w:val="21"/>
              </w:rPr>
              <w:t>11.接口：≥10个USB接口，其中前置4个USB 3.2 Gen2，2个USB 3.2 Gen1 ，后置4个USB2.0 ；</w:t>
            </w:r>
          </w:p>
          <w:p w14:paraId="5691D9CE">
            <w:pPr>
              <w:widowControl/>
              <w:jc w:val="left"/>
              <w:textAlignment w:val="center"/>
              <w:rPr>
                <w:rFonts w:hint="eastAsia"/>
                <w:spacing w:val="-3"/>
                <w:szCs w:val="21"/>
              </w:rPr>
            </w:pPr>
            <w:r>
              <w:rPr>
                <w:rFonts w:hint="eastAsia"/>
                <w:spacing w:val="-3"/>
                <w:szCs w:val="21"/>
              </w:rPr>
              <w:t>★12. 投标产品通过有关人体辐射的认证，提供相关证书。</w:t>
            </w:r>
          </w:p>
        </w:tc>
      </w:tr>
      <w:tr w14:paraId="2936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35841F20">
            <w:pPr>
              <w:widowControl/>
              <w:jc w:val="center"/>
              <w:textAlignment w:val="center"/>
              <w:rPr>
                <w:rFonts w:hint="eastAsia"/>
                <w:kern w:val="0"/>
                <w:szCs w:val="21"/>
              </w:rPr>
            </w:pPr>
            <w:r>
              <w:rPr>
                <w:rFonts w:hint="eastAsia"/>
                <w:kern w:val="0"/>
                <w:szCs w:val="21"/>
              </w:rPr>
              <w:t>6</w:t>
            </w:r>
          </w:p>
        </w:tc>
        <w:tc>
          <w:tcPr>
            <w:tcW w:w="1985" w:type="dxa"/>
            <w:noWrap w:val="0"/>
            <w:vAlign w:val="center"/>
          </w:tcPr>
          <w:p w14:paraId="1A899588">
            <w:pPr>
              <w:widowControl/>
              <w:jc w:val="center"/>
              <w:textAlignment w:val="center"/>
              <w:rPr>
                <w:rFonts w:hint="eastAsia"/>
                <w:kern w:val="0"/>
                <w:szCs w:val="21"/>
              </w:rPr>
            </w:pPr>
            <w:r>
              <w:rPr>
                <w:rFonts w:hint="eastAsia"/>
                <w:kern w:val="0"/>
                <w:szCs w:val="21"/>
              </w:rPr>
              <w:t>教师实训终端</w:t>
            </w:r>
          </w:p>
        </w:tc>
        <w:tc>
          <w:tcPr>
            <w:tcW w:w="6214" w:type="dxa"/>
            <w:noWrap w:val="0"/>
            <w:vAlign w:val="center"/>
          </w:tcPr>
          <w:p w14:paraId="159C6391">
            <w:pPr>
              <w:widowControl/>
              <w:jc w:val="left"/>
              <w:textAlignment w:val="center"/>
              <w:rPr>
                <w:rFonts w:hint="eastAsia"/>
                <w:spacing w:val="-3"/>
                <w:szCs w:val="21"/>
              </w:rPr>
            </w:pPr>
            <w:r>
              <w:rPr>
                <w:rFonts w:hint="eastAsia"/>
                <w:spacing w:val="-3"/>
                <w:szCs w:val="21"/>
              </w:rPr>
              <w:t>1.CPU：≥i5 12400；</w:t>
            </w:r>
          </w:p>
          <w:p w14:paraId="36D17D55">
            <w:pPr>
              <w:widowControl/>
              <w:jc w:val="left"/>
              <w:textAlignment w:val="center"/>
              <w:rPr>
                <w:rFonts w:hint="eastAsia"/>
                <w:spacing w:val="-3"/>
                <w:szCs w:val="21"/>
              </w:rPr>
            </w:pPr>
            <w:r>
              <w:rPr>
                <w:rFonts w:hint="eastAsia"/>
                <w:spacing w:val="-3"/>
                <w:szCs w:val="21"/>
              </w:rPr>
              <w:t>2.主板：不低于B760芯片组主板 ，主板原生带不少于三个视频接口，其中VGA 1个、HDMI 1个、DP 1个，扩展槽：1个PCI-Ex16,2个PCI-Ex1,1个PCI，3个M.2；</w:t>
            </w:r>
          </w:p>
          <w:p w14:paraId="731A3A0A">
            <w:pPr>
              <w:widowControl/>
              <w:jc w:val="left"/>
              <w:textAlignment w:val="center"/>
              <w:rPr>
                <w:rFonts w:hint="eastAsia"/>
                <w:spacing w:val="-3"/>
                <w:szCs w:val="21"/>
              </w:rPr>
            </w:pPr>
            <w:r>
              <w:rPr>
                <w:rFonts w:hint="eastAsia"/>
                <w:spacing w:val="-3"/>
                <w:szCs w:val="21"/>
              </w:rPr>
              <w:t>3.内存：≥16G ；</w:t>
            </w:r>
          </w:p>
          <w:p w14:paraId="6901EEA7">
            <w:pPr>
              <w:widowControl/>
              <w:jc w:val="left"/>
              <w:textAlignment w:val="center"/>
              <w:rPr>
                <w:rFonts w:hint="eastAsia"/>
                <w:spacing w:val="-3"/>
                <w:szCs w:val="21"/>
              </w:rPr>
            </w:pPr>
            <w:r>
              <w:rPr>
                <w:rFonts w:hint="eastAsia"/>
                <w:spacing w:val="-3"/>
                <w:szCs w:val="21"/>
              </w:rPr>
              <w:t>4.硬盘：≥512G M.2 SSD（ NVMe）固态硬盘；</w:t>
            </w:r>
          </w:p>
          <w:p w14:paraId="37FFDB93">
            <w:pPr>
              <w:widowControl/>
              <w:jc w:val="left"/>
              <w:textAlignment w:val="center"/>
              <w:rPr>
                <w:rFonts w:hint="eastAsia"/>
                <w:spacing w:val="-3"/>
                <w:szCs w:val="21"/>
              </w:rPr>
            </w:pPr>
            <w:r>
              <w:rPr>
                <w:rFonts w:hint="eastAsia"/>
                <w:spacing w:val="-3"/>
                <w:szCs w:val="21"/>
              </w:rPr>
              <w:t>5.声卡：集成，5.1声道；</w:t>
            </w:r>
          </w:p>
          <w:p w14:paraId="1D55AD72">
            <w:pPr>
              <w:widowControl/>
              <w:jc w:val="left"/>
              <w:textAlignment w:val="center"/>
              <w:rPr>
                <w:rFonts w:hint="eastAsia"/>
                <w:spacing w:val="-3"/>
                <w:szCs w:val="21"/>
              </w:rPr>
            </w:pPr>
            <w:r>
              <w:rPr>
                <w:rFonts w:hint="eastAsia"/>
                <w:spacing w:val="-3"/>
                <w:szCs w:val="21"/>
              </w:rPr>
              <w:t>6.USB键鼠套装 ；</w:t>
            </w:r>
          </w:p>
          <w:p w14:paraId="1370027B">
            <w:pPr>
              <w:widowControl/>
              <w:jc w:val="left"/>
              <w:textAlignment w:val="center"/>
              <w:rPr>
                <w:rFonts w:hint="eastAsia"/>
                <w:spacing w:val="-3"/>
                <w:szCs w:val="21"/>
              </w:rPr>
            </w:pPr>
            <w:r>
              <w:rPr>
                <w:rFonts w:hint="eastAsia"/>
                <w:spacing w:val="-3"/>
                <w:szCs w:val="21"/>
              </w:rPr>
              <w:t>7.电源： 不小于180W静音电源；</w:t>
            </w:r>
          </w:p>
          <w:p w14:paraId="230E7A27">
            <w:pPr>
              <w:widowControl/>
              <w:jc w:val="left"/>
              <w:textAlignment w:val="center"/>
              <w:rPr>
                <w:rFonts w:hint="eastAsia"/>
                <w:spacing w:val="-3"/>
                <w:szCs w:val="21"/>
              </w:rPr>
            </w:pPr>
            <w:r>
              <w:rPr>
                <w:rFonts w:hint="eastAsia"/>
                <w:spacing w:val="-3"/>
                <w:szCs w:val="21"/>
              </w:rPr>
              <w:t>8.显示器：≥23.8”LED宽屏 支持VGA+HDMI。</w:t>
            </w:r>
          </w:p>
          <w:p w14:paraId="3D089FDD">
            <w:pPr>
              <w:widowControl/>
              <w:jc w:val="left"/>
              <w:textAlignment w:val="center"/>
              <w:rPr>
                <w:rFonts w:hint="eastAsia"/>
                <w:spacing w:val="-3"/>
                <w:szCs w:val="21"/>
              </w:rPr>
            </w:pPr>
            <w:r>
              <w:rPr>
                <w:rFonts w:hint="eastAsia"/>
                <w:spacing w:val="-3"/>
                <w:szCs w:val="21"/>
              </w:rPr>
              <w:t>9.机箱：顶置机箱提手，主机前面板具有可拆卸防尘网、 顶置开关；</w:t>
            </w:r>
          </w:p>
          <w:p w14:paraId="0F367F1F">
            <w:pPr>
              <w:widowControl/>
              <w:jc w:val="left"/>
              <w:textAlignment w:val="center"/>
              <w:rPr>
                <w:rFonts w:hint="eastAsia"/>
                <w:spacing w:val="-3"/>
                <w:szCs w:val="21"/>
              </w:rPr>
            </w:pPr>
            <w:r>
              <w:rPr>
                <w:rFonts w:hint="eastAsia"/>
                <w:spacing w:val="-3"/>
                <w:szCs w:val="21"/>
              </w:rPr>
              <w:t xml:space="preserve">10.具有快速重启功能；   </w:t>
            </w:r>
          </w:p>
          <w:p w14:paraId="615C4C9B">
            <w:pPr>
              <w:widowControl/>
              <w:jc w:val="left"/>
              <w:textAlignment w:val="center"/>
              <w:rPr>
                <w:rFonts w:hint="eastAsia"/>
                <w:spacing w:val="-3"/>
                <w:szCs w:val="21"/>
              </w:rPr>
            </w:pPr>
            <w:r>
              <w:rPr>
                <w:rFonts w:hint="eastAsia"/>
                <w:spacing w:val="-3"/>
                <w:szCs w:val="21"/>
              </w:rPr>
              <w:t>11.接口：≥10个USB接口，其中前置4个USB 3.2 Gen2，2个USB 3.2 Gen1 ，后置4个USB2.0 ；</w:t>
            </w:r>
          </w:p>
          <w:p w14:paraId="121A0E3C">
            <w:pPr>
              <w:widowControl/>
              <w:jc w:val="left"/>
              <w:textAlignment w:val="center"/>
              <w:rPr>
                <w:rFonts w:hint="eastAsia"/>
                <w:kern w:val="0"/>
                <w:szCs w:val="21"/>
              </w:rPr>
            </w:pPr>
            <w:r>
              <w:rPr>
                <w:rFonts w:hint="eastAsia"/>
                <w:spacing w:val="-3"/>
                <w:szCs w:val="21"/>
              </w:rPr>
              <w:t>12. 投标产品通过有关人体辐射的认证，提供相关证书</w:t>
            </w:r>
          </w:p>
        </w:tc>
      </w:tr>
      <w:tr w14:paraId="216B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478C67EC">
            <w:pPr>
              <w:widowControl/>
              <w:jc w:val="center"/>
              <w:textAlignment w:val="center"/>
              <w:rPr>
                <w:rFonts w:hint="eastAsia"/>
                <w:kern w:val="0"/>
                <w:szCs w:val="21"/>
              </w:rPr>
            </w:pPr>
            <w:r>
              <w:rPr>
                <w:rFonts w:hint="eastAsia"/>
                <w:kern w:val="0"/>
                <w:szCs w:val="21"/>
              </w:rPr>
              <w:t>7</w:t>
            </w:r>
          </w:p>
        </w:tc>
        <w:tc>
          <w:tcPr>
            <w:tcW w:w="1985" w:type="dxa"/>
            <w:noWrap w:val="0"/>
            <w:vAlign w:val="center"/>
          </w:tcPr>
          <w:p w14:paraId="316A7E2C">
            <w:pPr>
              <w:widowControl/>
              <w:jc w:val="center"/>
              <w:textAlignment w:val="center"/>
              <w:rPr>
                <w:rFonts w:hint="eastAsia"/>
                <w:kern w:val="0"/>
                <w:szCs w:val="21"/>
              </w:rPr>
            </w:pPr>
            <w:r>
              <w:rPr>
                <w:rFonts w:hint="eastAsia"/>
                <w:kern w:val="0"/>
                <w:szCs w:val="21"/>
              </w:rPr>
              <w:t>云桌面管理系统</w:t>
            </w:r>
          </w:p>
        </w:tc>
        <w:tc>
          <w:tcPr>
            <w:tcW w:w="6214" w:type="dxa"/>
            <w:noWrap w:val="0"/>
            <w:vAlign w:val="center"/>
          </w:tcPr>
          <w:p w14:paraId="02C58E88">
            <w:pPr>
              <w:widowControl/>
              <w:jc w:val="left"/>
              <w:textAlignment w:val="center"/>
              <w:rPr>
                <w:rFonts w:hint="eastAsia"/>
                <w:kern w:val="0"/>
                <w:szCs w:val="21"/>
              </w:rPr>
            </w:pPr>
            <w:r>
              <w:rPr>
                <w:rFonts w:hint="eastAsia"/>
                <w:kern w:val="0"/>
                <w:szCs w:val="21"/>
              </w:rPr>
              <w:t>1.云桌面管理系统支持终端可独立运行，为确保服务器或网络发生故障时不影响教学工作的正常开展，要求服务器网络断开或服务器宕机的情况下，客户端可离线运行，保障业务过程不中断。</w:t>
            </w:r>
          </w:p>
          <w:p w14:paraId="787E85C6">
            <w:pPr>
              <w:widowControl/>
              <w:jc w:val="left"/>
              <w:textAlignment w:val="center"/>
              <w:rPr>
                <w:rFonts w:hint="eastAsia"/>
                <w:kern w:val="0"/>
                <w:szCs w:val="21"/>
              </w:rPr>
            </w:pPr>
            <w:r>
              <w:rPr>
                <w:rFonts w:hint="eastAsia"/>
                <w:kern w:val="0"/>
                <w:szCs w:val="21"/>
              </w:rPr>
              <w:t>2.云桌面管理系统服务端软件完美支持Windows10/11/Server等操作系统，可以和教师电脑共用，以免教师要在教师电脑和服务器之间切换使用。</w:t>
            </w:r>
          </w:p>
          <w:p w14:paraId="466B6A06">
            <w:pPr>
              <w:rPr>
                <w:rFonts w:hint="eastAsia"/>
                <w:kern w:val="0"/>
                <w:szCs w:val="21"/>
              </w:rPr>
            </w:pPr>
            <w:r>
              <w:rPr>
                <w:rFonts w:hint="eastAsia"/>
                <w:kern w:val="0"/>
                <w:szCs w:val="21"/>
              </w:rPr>
              <w:t>3.云桌面管理系统支持集中管理，镜像管理、终端管理、网络服务、系统设置等所有管理功能都集中在一个管理软件界面上，以便高效能管理。</w:t>
            </w:r>
            <w:r>
              <w:rPr>
                <w:rFonts w:hint="eastAsia"/>
                <w:color w:val="000000"/>
                <w:szCs w:val="21"/>
              </w:rPr>
              <w:t>（提供功能截图，证明所投产品满足功能需求）</w:t>
            </w:r>
          </w:p>
          <w:p w14:paraId="61D45A1E">
            <w:pPr>
              <w:widowControl/>
              <w:jc w:val="left"/>
              <w:textAlignment w:val="center"/>
              <w:rPr>
                <w:rFonts w:hint="eastAsia"/>
                <w:kern w:val="0"/>
                <w:szCs w:val="21"/>
              </w:rPr>
            </w:pPr>
            <w:r>
              <w:rPr>
                <w:rFonts w:hint="eastAsia"/>
                <w:kern w:val="0"/>
                <w:szCs w:val="21"/>
              </w:rPr>
              <w:t>4.云桌面管理系统支持选择全部或单独对终端设备远程设置，包括但不限于终端密码、修改终端管理频道、修改终端分辨率、镜像推送、终端升级与初始化等操作。</w:t>
            </w:r>
          </w:p>
          <w:p w14:paraId="0C822EB4">
            <w:pPr>
              <w:rPr>
                <w:rFonts w:hint="eastAsia"/>
                <w:color w:val="000000"/>
                <w:kern w:val="0"/>
                <w:szCs w:val="21"/>
              </w:rPr>
            </w:pPr>
            <w:r>
              <w:rPr>
                <w:rFonts w:hint="eastAsia"/>
                <w:kern w:val="0"/>
                <w:szCs w:val="21"/>
              </w:rPr>
              <w:t>5.支持管理员在服务端对终端进行批量配置管理，包括计算机名、IP地址与DNS等配置信息。</w:t>
            </w:r>
            <w:r>
              <w:rPr>
                <w:rFonts w:hint="eastAsia"/>
                <w:color w:val="000000"/>
                <w:szCs w:val="21"/>
              </w:rPr>
              <w:t>（提供功能截图，证明所投产品满足功能需求）</w:t>
            </w:r>
          </w:p>
          <w:p w14:paraId="72EBE991">
            <w:pPr>
              <w:widowControl/>
              <w:jc w:val="left"/>
              <w:textAlignment w:val="center"/>
              <w:rPr>
                <w:rFonts w:hint="eastAsia"/>
                <w:kern w:val="0"/>
                <w:szCs w:val="21"/>
              </w:rPr>
            </w:pPr>
            <w:r>
              <w:rPr>
                <w:rFonts w:hint="eastAsia"/>
                <w:kern w:val="0"/>
                <w:szCs w:val="21"/>
              </w:rPr>
              <w:t>6.云桌面管理系统支持应用软件批量更新，服务端更新好应用后，直接下发子镜像到终端即可完成应用更新，无需重新部署完整镜像。</w:t>
            </w:r>
          </w:p>
          <w:p w14:paraId="61EF462C">
            <w:pPr>
              <w:rPr>
                <w:rFonts w:hint="eastAsia"/>
                <w:color w:val="000000"/>
                <w:kern w:val="0"/>
                <w:szCs w:val="21"/>
              </w:rPr>
            </w:pPr>
            <w:r>
              <w:rPr>
                <w:rFonts w:hint="eastAsia"/>
                <w:kern w:val="0"/>
                <w:szCs w:val="21"/>
              </w:rPr>
              <w:t>7.</w:t>
            </w:r>
            <w:r>
              <w:rPr>
                <w:rFonts w:hint="eastAsia"/>
                <w:szCs w:val="21"/>
              </w:rPr>
              <w:t xml:space="preserve"> </w:t>
            </w:r>
            <w:r>
              <w:rPr>
                <w:rFonts w:hint="eastAsia"/>
                <w:kern w:val="0"/>
                <w:szCs w:val="21"/>
              </w:rPr>
              <w:t>为满足不同场景的还原需求，可随时在云桌面管理系统根据使用需求修改终端还原模式，可支持持久、每次启动、每天还原、每周还原、每月还原等不少于5种的场景模式。</w:t>
            </w:r>
            <w:r>
              <w:rPr>
                <w:rFonts w:hint="eastAsia"/>
                <w:color w:val="000000"/>
                <w:szCs w:val="21"/>
              </w:rPr>
              <w:t>（提供功能截图，证明所投产品满足功能需求）</w:t>
            </w:r>
          </w:p>
          <w:p w14:paraId="1F612086">
            <w:pPr>
              <w:rPr>
                <w:rFonts w:hint="eastAsia"/>
                <w:kern w:val="0"/>
                <w:szCs w:val="21"/>
              </w:rPr>
            </w:pPr>
            <w:r>
              <w:rPr>
                <w:rFonts w:hint="eastAsia"/>
                <w:kern w:val="0"/>
                <w:szCs w:val="21"/>
              </w:rPr>
              <w:t>8.</w:t>
            </w:r>
            <w:r>
              <w:rPr>
                <w:rFonts w:hint="eastAsia"/>
                <w:szCs w:val="21"/>
              </w:rPr>
              <w:t xml:space="preserve"> </w:t>
            </w:r>
            <w:r>
              <w:rPr>
                <w:rFonts w:hint="eastAsia"/>
                <w:kern w:val="0"/>
                <w:szCs w:val="21"/>
              </w:rPr>
              <w:t>为了保障终端系统安全，能够按照USB设备类型选择是否允许使用某类型的USB设备，要求设备类型支持音频设备、通讯设备、视频设备、人机交互设备、打印机设备、大容量存储设备、</w:t>
            </w:r>
          </w:p>
          <w:p w14:paraId="507D595B">
            <w:pPr>
              <w:rPr>
                <w:rFonts w:hint="eastAsia"/>
                <w:color w:val="000000"/>
                <w:kern w:val="0"/>
                <w:szCs w:val="21"/>
              </w:rPr>
            </w:pPr>
            <w:r>
              <w:rPr>
                <w:rFonts w:hint="eastAsia"/>
                <w:kern w:val="0"/>
                <w:szCs w:val="21"/>
              </w:rPr>
              <w:t>数据控制设备等不少于七种设备类型。</w:t>
            </w:r>
            <w:r>
              <w:rPr>
                <w:rFonts w:hint="eastAsia"/>
                <w:color w:val="000000"/>
                <w:szCs w:val="21"/>
              </w:rPr>
              <w:t>（提供功能截图证明，所投产品满足功能需求）</w:t>
            </w:r>
          </w:p>
          <w:p w14:paraId="77267123">
            <w:pPr>
              <w:widowControl/>
              <w:jc w:val="left"/>
              <w:textAlignment w:val="center"/>
              <w:rPr>
                <w:rFonts w:hint="eastAsia"/>
                <w:kern w:val="0"/>
                <w:szCs w:val="21"/>
              </w:rPr>
            </w:pPr>
            <w:r>
              <w:rPr>
                <w:rFonts w:hint="eastAsia"/>
                <w:kern w:val="0"/>
                <w:szCs w:val="21"/>
              </w:rPr>
              <w:t>9.</w:t>
            </w:r>
            <w:r>
              <w:rPr>
                <w:rFonts w:hint="eastAsia"/>
                <w:szCs w:val="21"/>
              </w:rPr>
              <w:t xml:space="preserve"> </w:t>
            </w:r>
            <w:r>
              <w:rPr>
                <w:rFonts w:hint="eastAsia"/>
                <w:kern w:val="0"/>
                <w:szCs w:val="21"/>
              </w:rPr>
              <w:t>支持镜像管理功能，管理员可对镜像进行编辑镜像信息、复制镜像、删除镜像、创建子镜像、合并子镜像、挂载镜像、卸载镜像等功能。</w:t>
            </w:r>
          </w:p>
          <w:p w14:paraId="38B7FA8A">
            <w:pPr>
              <w:widowControl/>
              <w:jc w:val="left"/>
              <w:textAlignment w:val="center"/>
              <w:rPr>
                <w:rFonts w:hint="eastAsia"/>
                <w:kern w:val="0"/>
                <w:szCs w:val="21"/>
              </w:rPr>
            </w:pPr>
            <w:r>
              <w:rPr>
                <w:rFonts w:hint="eastAsia"/>
                <w:kern w:val="0"/>
                <w:szCs w:val="21"/>
              </w:rPr>
              <w:t>10.</w:t>
            </w:r>
            <w:r>
              <w:rPr>
                <w:rFonts w:hint="eastAsia"/>
                <w:szCs w:val="21"/>
              </w:rPr>
              <w:t xml:space="preserve"> </w:t>
            </w:r>
            <w:r>
              <w:rPr>
                <w:rFonts w:hint="eastAsia"/>
                <w:kern w:val="0"/>
                <w:szCs w:val="21"/>
              </w:rPr>
              <w:t>为了便于终端不同操作系统之间数据共享，支持在管理平台上选择全部或单独终端为其设置共享数据盘，管理员可远程设置终端共享数据盘的空间大小；支持批量取消或删除共享数据盘，为避免删除共享数据盘时出现误操作，需输入服务端管理密码确认删除操作。</w:t>
            </w:r>
          </w:p>
        </w:tc>
      </w:tr>
      <w:tr w14:paraId="5E84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3C88FB8">
            <w:pPr>
              <w:widowControl/>
              <w:jc w:val="center"/>
              <w:textAlignment w:val="center"/>
              <w:rPr>
                <w:rFonts w:hint="eastAsia"/>
                <w:kern w:val="0"/>
                <w:szCs w:val="21"/>
              </w:rPr>
            </w:pPr>
            <w:r>
              <w:rPr>
                <w:rFonts w:hint="eastAsia"/>
                <w:kern w:val="0"/>
                <w:szCs w:val="21"/>
              </w:rPr>
              <w:t>8</w:t>
            </w:r>
          </w:p>
        </w:tc>
        <w:tc>
          <w:tcPr>
            <w:tcW w:w="1985" w:type="dxa"/>
            <w:noWrap w:val="0"/>
            <w:vAlign w:val="center"/>
          </w:tcPr>
          <w:p w14:paraId="488E1035">
            <w:pPr>
              <w:widowControl/>
              <w:jc w:val="center"/>
              <w:textAlignment w:val="center"/>
              <w:rPr>
                <w:rFonts w:hint="eastAsia"/>
                <w:kern w:val="0"/>
                <w:szCs w:val="21"/>
              </w:rPr>
            </w:pPr>
            <w:bookmarkStart w:id="3" w:name="_Hlk202555079"/>
            <w:r>
              <w:rPr>
                <w:rFonts w:hint="eastAsia"/>
                <w:kern w:val="0"/>
                <w:szCs w:val="21"/>
              </w:rPr>
              <w:t>液晶互联黑板</w:t>
            </w:r>
            <w:bookmarkEnd w:id="3"/>
          </w:p>
        </w:tc>
        <w:tc>
          <w:tcPr>
            <w:tcW w:w="6214" w:type="dxa"/>
            <w:noWrap w:val="0"/>
            <w:vAlign w:val="center"/>
          </w:tcPr>
          <w:p w14:paraId="65AED9DB">
            <w:pPr>
              <w:widowControl/>
              <w:jc w:val="left"/>
              <w:textAlignment w:val="center"/>
              <w:rPr>
                <w:rFonts w:hint="eastAsia"/>
                <w:kern w:val="0"/>
                <w:szCs w:val="21"/>
              </w:rPr>
            </w:pPr>
            <w:r>
              <w:rPr>
                <w:rFonts w:hint="eastAsia"/>
                <w:kern w:val="0"/>
                <w:szCs w:val="21"/>
              </w:rPr>
              <w:t>一、硬件配置：</w:t>
            </w:r>
          </w:p>
          <w:p w14:paraId="3288A145">
            <w:pPr>
              <w:widowControl/>
              <w:jc w:val="left"/>
              <w:textAlignment w:val="center"/>
              <w:rPr>
                <w:rFonts w:hint="eastAsia"/>
                <w:kern w:val="0"/>
                <w:szCs w:val="21"/>
              </w:rPr>
            </w:pPr>
            <w:r>
              <w:rPr>
                <w:rFonts w:hint="eastAsia"/>
                <w:kern w:val="0"/>
                <w:szCs w:val="21"/>
              </w:rPr>
              <w:t>1.整体尺寸≥4500*1150*120；中间显示屏幕：≥86英寸，LED背光源，亮度：≥500cd/m² ；对比度1200：1，图像分辨率：3840×2160。</w:t>
            </w:r>
          </w:p>
          <w:p w14:paraId="054BB42A">
            <w:pPr>
              <w:widowControl/>
              <w:jc w:val="left"/>
              <w:textAlignment w:val="center"/>
              <w:rPr>
                <w:rFonts w:hint="eastAsia"/>
                <w:kern w:val="0"/>
                <w:szCs w:val="21"/>
              </w:rPr>
            </w:pPr>
            <w:r>
              <w:rPr>
                <w:rFonts w:hint="eastAsia"/>
                <w:kern w:val="0"/>
                <w:szCs w:val="21"/>
              </w:rPr>
              <w:t>2.主屏屏幕显示比例16:9，4mm 防眩钢化玻璃。</w:t>
            </w:r>
          </w:p>
          <w:p w14:paraId="73999575">
            <w:pPr>
              <w:widowControl/>
              <w:jc w:val="left"/>
              <w:textAlignment w:val="center"/>
              <w:rPr>
                <w:rFonts w:hint="eastAsia"/>
                <w:kern w:val="0"/>
                <w:szCs w:val="21"/>
              </w:rPr>
            </w:pPr>
            <w:r>
              <w:rPr>
                <w:rFonts w:hint="eastAsia"/>
                <w:kern w:val="0"/>
                <w:szCs w:val="21"/>
              </w:rPr>
              <w:t>3.副屏采用无尘无耗材书写：凡是硬度适中的物体都可在板面上进行书写。</w:t>
            </w:r>
          </w:p>
          <w:p w14:paraId="6F808385">
            <w:pPr>
              <w:widowControl/>
              <w:jc w:val="left"/>
              <w:textAlignment w:val="center"/>
              <w:rPr>
                <w:rFonts w:hint="eastAsia"/>
                <w:kern w:val="0"/>
                <w:szCs w:val="21"/>
              </w:rPr>
            </w:pPr>
            <w:r>
              <w:rPr>
                <w:rFonts w:hint="eastAsia"/>
                <w:kern w:val="0"/>
                <w:szCs w:val="21"/>
              </w:rPr>
              <w:t>4.副屏透光率≥87%，雾度≤40%；书写笔迹可视距离≥40米，可视角度≥130°，对比度≥600:1。</w:t>
            </w:r>
          </w:p>
          <w:p w14:paraId="00AFEE97">
            <w:pPr>
              <w:widowControl/>
              <w:jc w:val="left"/>
              <w:textAlignment w:val="center"/>
              <w:rPr>
                <w:rFonts w:hint="eastAsia"/>
                <w:color w:val="000000"/>
                <w:kern w:val="0"/>
                <w:szCs w:val="21"/>
              </w:rPr>
            </w:pPr>
            <w:r>
              <w:rPr>
                <w:rFonts w:hint="eastAsia"/>
                <w:color w:val="000000"/>
                <w:spacing w:val="-3"/>
                <w:szCs w:val="21"/>
              </w:rPr>
              <w:t>★</w:t>
            </w:r>
            <w:r>
              <w:rPr>
                <w:rFonts w:hint="eastAsia"/>
                <w:color w:val="000000"/>
                <w:kern w:val="0"/>
                <w:szCs w:val="21"/>
              </w:rPr>
              <w:t>5.副屏擦除:可通过板擦任意对板书字迹进行局部擦除，同时支持一键清除屏幕内容，表面擦除精度＜10mm*10mm，擦除延时＜60ms。</w:t>
            </w:r>
            <w:r>
              <w:rPr>
                <w:rFonts w:hint="eastAsia"/>
                <w:color w:val="000000"/>
                <w:szCs w:val="21"/>
              </w:rPr>
              <w:t>（证明所投产品满足功能需求）</w:t>
            </w:r>
          </w:p>
          <w:p w14:paraId="13993692">
            <w:pPr>
              <w:widowControl/>
              <w:jc w:val="left"/>
              <w:textAlignment w:val="center"/>
              <w:rPr>
                <w:rFonts w:hint="eastAsia"/>
                <w:kern w:val="0"/>
                <w:szCs w:val="21"/>
              </w:rPr>
            </w:pPr>
            <w:r>
              <w:rPr>
                <w:rFonts w:hint="eastAsia"/>
                <w:kern w:val="0"/>
                <w:szCs w:val="21"/>
              </w:rPr>
              <w:t>6.采用红外触摸技术，触摸点数支持至少20点同时触控；触摸速度快至2ms。</w:t>
            </w:r>
          </w:p>
          <w:p w14:paraId="6BB9CCFF">
            <w:pPr>
              <w:widowControl/>
              <w:jc w:val="left"/>
              <w:textAlignment w:val="center"/>
              <w:rPr>
                <w:rFonts w:hint="eastAsia"/>
                <w:kern w:val="0"/>
                <w:szCs w:val="21"/>
              </w:rPr>
            </w:pPr>
            <w:r>
              <w:rPr>
                <w:rFonts w:hint="eastAsia"/>
                <w:kern w:val="0"/>
                <w:szCs w:val="21"/>
              </w:rPr>
              <w:t>7.前置扬声器：高保真音响前置，采用环绕双声道增强技术，高保真悬浮式设计，≥2×15W扬声器。</w:t>
            </w:r>
          </w:p>
          <w:p w14:paraId="0B55AC1A">
            <w:pPr>
              <w:widowControl/>
              <w:jc w:val="left"/>
              <w:textAlignment w:val="center"/>
              <w:rPr>
                <w:rFonts w:hint="eastAsia"/>
                <w:kern w:val="0"/>
                <w:szCs w:val="21"/>
              </w:rPr>
            </w:pPr>
            <w:r>
              <w:rPr>
                <w:rFonts w:hint="eastAsia"/>
                <w:kern w:val="0"/>
                <w:szCs w:val="21"/>
              </w:rPr>
              <w:t>8.快捷键：为方便老师操作，两侧副板板面配置课件模式、同步模式、板书模式、分屏模式、保存、擦除、智能快捷键，与主显示屏实现互联。</w:t>
            </w:r>
          </w:p>
          <w:p w14:paraId="788ACB4F">
            <w:pPr>
              <w:widowControl/>
              <w:jc w:val="left"/>
              <w:textAlignment w:val="center"/>
              <w:rPr>
                <w:rFonts w:hint="eastAsia"/>
                <w:color w:val="000000"/>
                <w:kern w:val="0"/>
                <w:szCs w:val="21"/>
              </w:rPr>
            </w:pPr>
            <w:r>
              <w:rPr>
                <w:rFonts w:hint="eastAsia"/>
                <w:color w:val="000000"/>
                <w:spacing w:val="-3"/>
                <w:szCs w:val="21"/>
              </w:rPr>
              <w:t>★</w:t>
            </w:r>
            <w:r>
              <w:rPr>
                <w:rFonts w:hint="eastAsia"/>
                <w:color w:val="000000"/>
                <w:kern w:val="0"/>
                <w:szCs w:val="21"/>
              </w:rPr>
              <w:t>9.内置摄像头≥1600万像素，拾音距离不少于10米。</w:t>
            </w:r>
            <w:r>
              <w:rPr>
                <w:rFonts w:hint="eastAsia"/>
                <w:color w:val="000000"/>
                <w:szCs w:val="21"/>
              </w:rPr>
              <w:t>（证明所投产品满足功能需求）</w:t>
            </w:r>
          </w:p>
          <w:p w14:paraId="3903E304">
            <w:pPr>
              <w:widowControl/>
              <w:jc w:val="left"/>
              <w:textAlignment w:val="center"/>
              <w:rPr>
                <w:rFonts w:hint="eastAsia"/>
                <w:kern w:val="0"/>
                <w:szCs w:val="21"/>
              </w:rPr>
            </w:pPr>
            <w:r>
              <w:rPr>
                <w:rFonts w:hint="eastAsia"/>
                <w:kern w:val="0"/>
                <w:szCs w:val="21"/>
              </w:rPr>
              <w:t>10.设备自带开放式嵌入式操作系统，Android系统运行内存：DDR4 ≥4G；存储≥32G；安卓版本11.0以上。</w:t>
            </w:r>
          </w:p>
          <w:p w14:paraId="6658C2C2">
            <w:pPr>
              <w:widowControl/>
              <w:jc w:val="left"/>
              <w:textAlignment w:val="center"/>
              <w:rPr>
                <w:rFonts w:hint="eastAsia"/>
                <w:kern w:val="0"/>
                <w:szCs w:val="21"/>
              </w:rPr>
            </w:pPr>
            <w:r>
              <w:rPr>
                <w:rFonts w:hint="eastAsia"/>
                <w:kern w:val="0"/>
                <w:szCs w:val="21"/>
              </w:rPr>
              <w:t>二、内置电脑：</w:t>
            </w:r>
          </w:p>
          <w:p w14:paraId="7B46E54B">
            <w:pPr>
              <w:widowControl/>
              <w:jc w:val="left"/>
              <w:textAlignment w:val="center"/>
              <w:rPr>
                <w:rFonts w:hint="eastAsia"/>
                <w:kern w:val="0"/>
                <w:szCs w:val="21"/>
              </w:rPr>
            </w:pPr>
            <w:r>
              <w:rPr>
                <w:rFonts w:hint="eastAsia"/>
                <w:kern w:val="0"/>
                <w:szCs w:val="21"/>
              </w:rPr>
              <w:t xml:space="preserve">1、为方便用户后续自主升级维护，ops采用下插式，位于设备底部，不用拆侧板就可对ops进行维护升级。 </w:t>
            </w:r>
          </w:p>
          <w:p w14:paraId="789A6A04">
            <w:pPr>
              <w:widowControl/>
              <w:jc w:val="left"/>
              <w:textAlignment w:val="center"/>
              <w:rPr>
                <w:rFonts w:hint="eastAsia"/>
                <w:kern w:val="0"/>
                <w:szCs w:val="21"/>
              </w:rPr>
            </w:pPr>
            <w:r>
              <w:rPr>
                <w:rFonts w:hint="eastAsia"/>
                <w:kern w:val="0"/>
                <w:szCs w:val="21"/>
              </w:rPr>
              <w:t>2、CPU：不低于Intel i5（11代），集成显卡，内存DDR4 8G，固态硬盘256G，集成网卡，WIFI。</w:t>
            </w:r>
          </w:p>
          <w:p w14:paraId="1A16A323">
            <w:pPr>
              <w:widowControl/>
              <w:jc w:val="left"/>
              <w:textAlignment w:val="center"/>
              <w:rPr>
                <w:rFonts w:hint="eastAsia"/>
                <w:kern w:val="0"/>
                <w:szCs w:val="21"/>
              </w:rPr>
            </w:pPr>
            <w:r>
              <w:rPr>
                <w:rFonts w:hint="eastAsia"/>
                <w:kern w:val="0"/>
                <w:szCs w:val="21"/>
              </w:rPr>
              <w:t>三、软件功能：</w:t>
            </w:r>
          </w:p>
          <w:p w14:paraId="6DBD8F4C">
            <w:pPr>
              <w:widowControl/>
              <w:jc w:val="left"/>
              <w:textAlignment w:val="center"/>
              <w:rPr>
                <w:rFonts w:hint="eastAsia"/>
                <w:kern w:val="0"/>
                <w:szCs w:val="21"/>
              </w:rPr>
            </w:pPr>
            <w:r>
              <w:rPr>
                <w:rFonts w:hint="eastAsia"/>
                <w:kern w:val="0"/>
                <w:szCs w:val="21"/>
              </w:rPr>
              <w:t>1、可通过两侧副板板面四种教学模式快捷键对主屏嵌入软件进行快捷操作，老师可根据授课习惯选择模式。</w:t>
            </w:r>
          </w:p>
          <w:p w14:paraId="3B0CA1D7">
            <w:pPr>
              <w:widowControl/>
              <w:jc w:val="left"/>
              <w:textAlignment w:val="center"/>
              <w:rPr>
                <w:rFonts w:hint="eastAsia"/>
                <w:kern w:val="0"/>
                <w:szCs w:val="21"/>
              </w:rPr>
            </w:pPr>
            <w:r>
              <w:rPr>
                <w:rFonts w:hint="eastAsia"/>
                <w:kern w:val="0"/>
                <w:szCs w:val="21"/>
              </w:rPr>
              <w:t>（1）同步模式。</w:t>
            </w:r>
          </w:p>
          <w:p w14:paraId="1F27DE5E">
            <w:pPr>
              <w:widowControl/>
              <w:jc w:val="left"/>
              <w:textAlignment w:val="center"/>
              <w:rPr>
                <w:rFonts w:hint="eastAsia"/>
                <w:kern w:val="0"/>
                <w:szCs w:val="21"/>
              </w:rPr>
            </w:pPr>
            <w:r>
              <w:rPr>
                <w:rFonts w:hint="eastAsia"/>
                <w:kern w:val="0"/>
                <w:szCs w:val="21"/>
              </w:rPr>
              <w:t>（2）课件模式。</w:t>
            </w:r>
          </w:p>
          <w:p w14:paraId="2A4BB726">
            <w:pPr>
              <w:widowControl/>
              <w:jc w:val="left"/>
              <w:textAlignment w:val="center"/>
              <w:rPr>
                <w:rFonts w:hint="eastAsia"/>
                <w:kern w:val="0"/>
                <w:szCs w:val="21"/>
              </w:rPr>
            </w:pPr>
            <w:r>
              <w:rPr>
                <w:rFonts w:hint="eastAsia"/>
                <w:kern w:val="0"/>
                <w:szCs w:val="21"/>
              </w:rPr>
              <w:t>（3）板书模式。</w:t>
            </w:r>
          </w:p>
          <w:p w14:paraId="17A1D1BC">
            <w:pPr>
              <w:widowControl/>
              <w:jc w:val="left"/>
              <w:textAlignment w:val="center"/>
              <w:rPr>
                <w:rFonts w:hint="eastAsia"/>
                <w:kern w:val="0"/>
                <w:szCs w:val="21"/>
              </w:rPr>
            </w:pPr>
            <w:r>
              <w:rPr>
                <w:rFonts w:hint="eastAsia"/>
                <w:kern w:val="0"/>
                <w:szCs w:val="21"/>
              </w:rPr>
              <w:t>（4）分屏模式。</w:t>
            </w:r>
          </w:p>
        </w:tc>
      </w:tr>
      <w:tr w14:paraId="04CA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85EFFD4">
            <w:pPr>
              <w:widowControl/>
              <w:jc w:val="center"/>
              <w:textAlignment w:val="center"/>
              <w:rPr>
                <w:rFonts w:hint="eastAsia"/>
                <w:kern w:val="0"/>
                <w:szCs w:val="21"/>
              </w:rPr>
            </w:pPr>
            <w:r>
              <w:rPr>
                <w:rFonts w:hint="eastAsia"/>
                <w:kern w:val="0"/>
                <w:szCs w:val="21"/>
              </w:rPr>
              <w:t>9</w:t>
            </w:r>
          </w:p>
        </w:tc>
        <w:tc>
          <w:tcPr>
            <w:tcW w:w="1985" w:type="dxa"/>
            <w:noWrap w:val="0"/>
            <w:vAlign w:val="center"/>
          </w:tcPr>
          <w:p w14:paraId="1E32ECEA">
            <w:pPr>
              <w:widowControl/>
              <w:jc w:val="left"/>
              <w:textAlignment w:val="center"/>
              <w:rPr>
                <w:rFonts w:hint="eastAsia"/>
                <w:kern w:val="0"/>
                <w:szCs w:val="21"/>
              </w:rPr>
            </w:pPr>
            <w:r>
              <w:rPr>
                <w:rFonts w:hint="eastAsia"/>
                <w:kern w:val="0"/>
                <w:szCs w:val="21"/>
              </w:rPr>
              <w:t>多媒体讲桌</w:t>
            </w:r>
          </w:p>
        </w:tc>
        <w:tc>
          <w:tcPr>
            <w:tcW w:w="6214" w:type="dxa"/>
            <w:noWrap w:val="0"/>
            <w:vAlign w:val="center"/>
          </w:tcPr>
          <w:p w14:paraId="061EB67D">
            <w:pPr>
              <w:widowControl/>
              <w:jc w:val="left"/>
              <w:textAlignment w:val="center"/>
              <w:rPr>
                <w:rFonts w:hint="eastAsia"/>
                <w:kern w:val="0"/>
                <w:szCs w:val="21"/>
              </w:rPr>
            </w:pPr>
            <w:r>
              <w:rPr>
                <w:rFonts w:hint="eastAsia"/>
                <w:kern w:val="0"/>
                <w:szCs w:val="21"/>
              </w:rPr>
              <w:t>1.讲桌采用钢木结合，讲桌尺寸：</w:t>
            </w:r>
            <w:r>
              <w:rPr>
                <w:rFonts w:hint="eastAsia"/>
                <w:spacing w:val="-3"/>
                <w:szCs w:val="21"/>
              </w:rPr>
              <w:t>≥</w:t>
            </w:r>
            <w:r>
              <w:rPr>
                <w:rFonts w:hint="eastAsia"/>
                <w:kern w:val="0"/>
                <w:szCs w:val="21"/>
              </w:rPr>
              <w:t>1140*820*1000,根据实际定制。</w:t>
            </w:r>
            <w:r>
              <w:rPr>
                <w:rFonts w:hint="eastAsia"/>
                <w:kern w:val="0"/>
                <w:szCs w:val="21"/>
              </w:rPr>
              <w:br w:type="textWrapping"/>
            </w:r>
            <w:r>
              <w:rPr>
                <w:rFonts w:hint="eastAsia"/>
                <w:kern w:val="0"/>
                <w:szCs w:val="21"/>
              </w:rPr>
              <w:t>2.中央控制区可以安装19.5-23.8英寸显示器且可根据视角调整角度。</w:t>
            </w:r>
            <w:r>
              <w:rPr>
                <w:rFonts w:hint="eastAsia"/>
                <w:kern w:val="0"/>
                <w:szCs w:val="21"/>
              </w:rPr>
              <w:br w:type="textWrapping"/>
            </w:r>
            <w:r>
              <w:rPr>
                <w:rFonts w:hint="eastAsia"/>
                <w:kern w:val="0"/>
                <w:szCs w:val="21"/>
              </w:rPr>
              <w:t>3.含座椅一把。</w:t>
            </w:r>
          </w:p>
        </w:tc>
      </w:tr>
      <w:tr w14:paraId="4A25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DDFC94A">
            <w:pPr>
              <w:widowControl/>
              <w:jc w:val="center"/>
              <w:textAlignment w:val="center"/>
              <w:rPr>
                <w:rFonts w:hint="eastAsia"/>
                <w:kern w:val="0"/>
                <w:szCs w:val="21"/>
              </w:rPr>
            </w:pPr>
            <w:r>
              <w:rPr>
                <w:rFonts w:hint="eastAsia"/>
                <w:kern w:val="0"/>
                <w:szCs w:val="21"/>
              </w:rPr>
              <w:t>10</w:t>
            </w:r>
          </w:p>
        </w:tc>
        <w:tc>
          <w:tcPr>
            <w:tcW w:w="1985" w:type="dxa"/>
            <w:noWrap w:val="0"/>
            <w:vAlign w:val="center"/>
          </w:tcPr>
          <w:p w14:paraId="212A26E8">
            <w:pPr>
              <w:widowControl/>
              <w:jc w:val="left"/>
              <w:textAlignment w:val="center"/>
              <w:rPr>
                <w:rFonts w:hint="eastAsia"/>
                <w:kern w:val="0"/>
                <w:szCs w:val="21"/>
              </w:rPr>
            </w:pPr>
            <w:r>
              <w:rPr>
                <w:rFonts w:hint="eastAsia"/>
                <w:kern w:val="0"/>
                <w:szCs w:val="21"/>
              </w:rPr>
              <w:t>多功能教学软件</w:t>
            </w:r>
          </w:p>
        </w:tc>
        <w:tc>
          <w:tcPr>
            <w:tcW w:w="6214" w:type="dxa"/>
            <w:noWrap w:val="0"/>
            <w:vAlign w:val="center"/>
          </w:tcPr>
          <w:p w14:paraId="6185FFB9">
            <w:pPr>
              <w:widowControl/>
              <w:jc w:val="left"/>
              <w:textAlignment w:val="center"/>
              <w:rPr>
                <w:rFonts w:hint="eastAsia"/>
                <w:kern w:val="0"/>
                <w:szCs w:val="21"/>
              </w:rPr>
            </w:pPr>
            <w:r>
              <w:rPr>
                <w:rFonts w:hint="eastAsia"/>
                <w:kern w:val="0"/>
                <w:szCs w:val="21"/>
              </w:rPr>
              <w:t>1.为便于课堂多位老师使用，要求提供C/S架构教学管理软件平台，平台至少需要包含教师端和学生端，并且教师端和学生端能够进行互动教学</w:t>
            </w:r>
          </w:p>
          <w:p w14:paraId="7B5B34EE">
            <w:pPr>
              <w:widowControl/>
              <w:jc w:val="left"/>
              <w:textAlignment w:val="center"/>
              <w:rPr>
                <w:rFonts w:hint="eastAsia"/>
                <w:kern w:val="0"/>
                <w:szCs w:val="21"/>
              </w:rPr>
            </w:pPr>
            <w:r>
              <w:rPr>
                <w:rFonts w:hint="eastAsia"/>
                <w:kern w:val="0"/>
                <w:szCs w:val="21"/>
              </w:rPr>
              <w:t>2.为满足教师对教师端不同布局的偏好使用，软件同时提供4套或以上功能按钮的布局，不需要退出软件即可更换各种布局，布局至少有主功能条在上方、下方、左边和右边。</w:t>
            </w:r>
          </w:p>
          <w:p w14:paraId="78831B00">
            <w:pPr>
              <w:widowControl/>
              <w:jc w:val="left"/>
              <w:textAlignment w:val="center"/>
              <w:rPr>
                <w:rFonts w:hint="eastAsia"/>
                <w:kern w:val="0"/>
                <w:szCs w:val="21"/>
              </w:rPr>
            </w:pPr>
            <w:r>
              <w:rPr>
                <w:rFonts w:hint="eastAsia"/>
                <w:kern w:val="0"/>
                <w:szCs w:val="21"/>
              </w:rPr>
              <w:t>3.班级模型中可以实时看到学生端桌面的缩图，以定期更新，且可以在教室端任意的设定学生坐位的行数和列数，可放大和缩小缩略图。</w:t>
            </w:r>
          </w:p>
          <w:p w14:paraId="18FFF40E">
            <w:pPr>
              <w:widowControl/>
              <w:jc w:val="left"/>
              <w:textAlignment w:val="center"/>
              <w:rPr>
                <w:rFonts w:hint="eastAsia"/>
                <w:kern w:val="0"/>
                <w:szCs w:val="21"/>
              </w:rPr>
            </w:pPr>
            <w:r>
              <w:rPr>
                <w:rFonts w:hint="eastAsia"/>
                <w:kern w:val="0"/>
                <w:szCs w:val="21"/>
              </w:rPr>
              <w:t>4.教师将屏幕或视频广播给学生，广播后开机的云终端可自动接受广播，为提高教学效率，在执行屏幕或视频广播的同时，学生端的键盘和鼠标被锁定。</w:t>
            </w:r>
          </w:p>
          <w:p w14:paraId="0FFA36AB">
            <w:pPr>
              <w:widowControl/>
              <w:jc w:val="left"/>
              <w:textAlignment w:val="center"/>
              <w:rPr>
                <w:rFonts w:hint="eastAsia"/>
                <w:kern w:val="0"/>
                <w:szCs w:val="21"/>
              </w:rPr>
            </w:pPr>
            <w:r>
              <w:rPr>
                <w:rFonts w:hint="eastAsia"/>
                <w:kern w:val="0"/>
                <w:szCs w:val="21"/>
              </w:rPr>
              <w:t>5.教师可以对单一、部分、全体学生执行黑屏肃静来禁止其进行任何操作，达到专心听课目的。</w:t>
            </w:r>
          </w:p>
          <w:p w14:paraId="0217ADE9">
            <w:pPr>
              <w:widowControl/>
              <w:jc w:val="left"/>
              <w:textAlignment w:val="center"/>
              <w:rPr>
                <w:rFonts w:hint="eastAsia"/>
                <w:kern w:val="0"/>
                <w:szCs w:val="21"/>
              </w:rPr>
            </w:pPr>
            <w:r>
              <w:rPr>
                <w:rFonts w:hint="eastAsia"/>
                <w:kern w:val="0"/>
                <w:szCs w:val="21"/>
              </w:rPr>
              <w:t>6.允许教师将教师机不同盘符中的目录或文件一起发送至生机的某目录下，目录不存在则自动新建此目录，文件已存在则自动覆盖旧文件；</w:t>
            </w:r>
          </w:p>
          <w:p w14:paraId="375E0CC1">
            <w:pPr>
              <w:widowControl/>
              <w:jc w:val="left"/>
              <w:textAlignment w:val="center"/>
              <w:rPr>
                <w:rFonts w:hint="eastAsia"/>
                <w:kern w:val="0"/>
                <w:szCs w:val="21"/>
              </w:rPr>
            </w:pPr>
            <w:r>
              <w:rPr>
                <w:rFonts w:hint="eastAsia"/>
                <w:kern w:val="0"/>
                <w:szCs w:val="21"/>
              </w:rPr>
              <w:t>7.学生可以把做好的作业直接提交到教师机，教师端可设置学生提交作业时是否需要教师同意，配置需要教师同意后，则必需经过教师审批通过后才可提交。</w:t>
            </w:r>
          </w:p>
          <w:p w14:paraId="6580EB7E">
            <w:pPr>
              <w:widowControl/>
              <w:jc w:val="left"/>
              <w:textAlignment w:val="center"/>
              <w:rPr>
                <w:rFonts w:hint="eastAsia"/>
                <w:kern w:val="0"/>
                <w:szCs w:val="21"/>
              </w:rPr>
            </w:pPr>
            <w:r>
              <w:rPr>
                <w:rFonts w:hint="eastAsia"/>
                <w:kern w:val="0"/>
                <w:szCs w:val="21"/>
              </w:rPr>
              <w:t>8.支持投票功能，教师可通过选择题或判断题在课堂上发起投票，以考核学习成果</w:t>
            </w:r>
          </w:p>
          <w:p w14:paraId="4C9D0C8E">
            <w:pPr>
              <w:widowControl/>
              <w:jc w:val="left"/>
              <w:textAlignment w:val="center"/>
              <w:rPr>
                <w:rFonts w:hint="eastAsia"/>
                <w:kern w:val="0"/>
                <w:szCs w:val="21"/>
              </w:rPr>
            </w:pPr>
            <w:r>
              <w:rPr>
                <w:rFonts w:hint="eastAsia"/>
                <w:kern w:val="0"/>
                <w:szCs w:val="21"/>
              </w:rPr>
              <w:t>9.支持签到功能，方便老师对学生的上课情况进行考勤并统计，让学生名字和座位对应，点名结果可以保存为班级模型，供下次上课时调用。此外，教师还可将签到信息导出</w:t>
            </w:r>
          </w:p>
          <w:p w14:paraId="125896EF">
            <w:pPr>
              <w:widowControl/>
              <w:jc w:val="left"/>
              <w:textAlignment w:val="center"/>
              <w:rPr>
                <w:rFonts w:hint="eastAsia"/>
                <w:kern w:val="0"/>
                <w:szCs w:val="21"/>
              </w:rPr>
            </w:pPr>
            <w:r>
              <w:rPr>
                <w:rFonts w:hint="eastAsia"/>
                <w:kern w:val="0"/>
                <w:szCs w:val="21"/>
              </w:rPr>
              <w:t>10.教师端可以通过远程命令功能，远程关闭、重新启动所有学生端、远程打开/关闭学生端上应用程序、退出学生端等。</w:t>
            </w:r>
          </w:p>
          <w:p w14:paraId="7A98D14C">
            <w:pPr>
              <w:widowControl/>
              <w:jc w:val="left"/>
              <w:textAlignment w:val="center"/>
              <w:rPr>
                <w:rFonts w:hint="eastAsia"/>
                <w:kern w:val="0"/>
                <w:szCs w:val="21"/>
              </w:rPr>
            </w:pPr>
            <w:r>
              <w:rPr>
                <w:rFonts w:hint="eastAsia"/>
                <w:kern w:val="0"/>
                <w:szCs w:val="21"/>
              </w:rPr>
              <w:t>11.学生端支持防杀进程、断线锁屏、语言选择，支持发送消息、呼叫、密码保护、修改频道及提交文件。</w:t>
            </w:r>
          </w:p>
        </w:tc>
      </w:tr>
      <w:tr w14:paraId="630C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61A23721">
            <w:pPr>
              <w:widowControl/>
              <w:jc w:val="center"/>
              <w:textAlignment w:val="center"/>
              <w:rPr>
                <w:rFonts w:hint="eastAsia"/>
                <w:kern w:val="0"/>
                <w:szCs w:val="21"/>
              </w:rPr>
            </w:pPr>
            <w:r>
              <w:rPr>
                <w:rFonts w:hint="eastAsia"/>
                <w:kern w:val="0"/>
                <w:szCs w:val="21"/>
              </w:rPr>
              <w:t>11</w:t>
            </w:r>
          </w:p>
        </w:tc>
        <w:tc>
          <w:tcPr>
            <w:tcW w:w="1985" w:type="dxa"/>
            <w:noWrap w:val="0"/>
            <w:vAlign w:val="center"/>
          </w:tcPr>
          <w:p w14:paraId="7AFB7D0F">
            <w:pPr>
              <w:widowControl/>
              <w:jc w:val="left"/>
              <w:textAlignment w:val="center"/>
              <w:rPr>
                <w:rFonts w:hint="eastAsia"/>
                <w:kern w:val="0"/>
                <w:szCs w:val="21"/>
              </w:rPr>
            </w:pPr>
            <w:r>
              <w:rPr>
                <w:rFonts w:hint="eastAsia"/>
                <w:kern w:val="0"/>
                <w:szCs w:val="21"/>
              </w:rPr>
              <w:t>学生桌子</w:t>
            </w:r>
          </w:p>
        </w:tc>
        <w:tc>
          <w:tcPr>
            <w:tcW w:w="6214" w:type="dxa"/>
            <w:noWrap w:val="0"/>
            <w:vAlign w:val="center"/>
          </w:tcPr>
          <w:p w14:paraId="47454354">
            <w:pPr>
              <w:widowControl/>
              <w:numPr>
                <w:ilvl w:val="0"/>
                <w:numId w:val="2"/>
              </w:numPr>
              <w:jc w:val="left"/>
              <w:textAlignment w:val="center"/>
              <w:rPr>
                <w:rFonts w:hint="eastAsia"/>
                <w:kern w:val="0"/>
                <w:szCs w:val="21"/>
              </w:rPr>
            </w:pPr>
            <w:r>
              <w:rPr>
                <w:rFonts w:hint="eastAsia"/>
                <w:kern w:val="0"/>
                <w:szCs w:val="21"/>
              </w:rPr>
              <w:t>桌面采用E0级环保板材，具备防火、防污、防损等特点，颜色可选；</w:t>
            </w:r>
            <w:r>
              <w:rPr>
                <w:rFonts w:hint="eastAsia"/>
                <w:kern w:val="0"/>
                <w:szCs w:val="21"/>
              </w:rPr>
              <w:br w:type="textWrapping"/>
            </w:r>
            <w:r>
              <w:rPr>
                <w:rFonts w:hint="eastAsia"/>
                <w:kern w:val="0"/>
                <w:szCs w:val="21"/>
              </w:rPr>
              <w:t>2.桌体设有电脑主机的机箱托，键盘托和穿线孔等</w:t>
            </w:r>
          </w:p>
          <w:p w14:paraId="2B9FD75D">
            <w:pPr>
              <w:widowControl/>
              <w:jc w:val="left"/>
              <w:textAlignment w:val="center"/>
              <w:rPr>
                <w:rFonts w:hint="eastAsia"/>
                <w:kern w:val="0"/>
                <w:szCs w:val="21"/>
              </w:rPr>
            </w:pPr>
            <w:r>
              <w:rPr>
                <w:rFonts w:hint="eastAsia"/>
                <w:kern w:val="0"/>
                <w:szCs w:val="21"/>
              </w:rPr>
              <w:t>3.整体尺寸约：长80*宽60*高75，需要和已有桌子配套</w:t>
            </w:r>
          </w:p>
        </w:tc>
      </w:tr>
      <w:tr w14:paraId="75B2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62FB3173">
            <w:pPr>
              <w:widowControl/>
              <w:jc w:val="center"/>
              <w:textAlignment w:val="center"/>
              <w:rPr>
                <w:rFonts w:hint="eastAsia"/>
                <w:kern w:val="0"/>
                <w:szCs w:val="21"/>
              </w:rPr>
            </w:pPr>
            <w:r>
              <w:rPr>
                <w:rFonts w:hint="eastAsia"/>
                <w:kern w:val="0"/>
                <w:szCs w:val="21"/>
              </w:rPr>
              <w:t>12</w:t>
            </w:r>
          </w:p>
        </w:tc>
        <w:tc>
          <w:tcPr>
            <w:tcW w:w="1985" w:type="dxa"/>
            <w:noWrap w:val="0"/>
            <w:vAlign w:val="center"/>
          </w:tcPr>
          <w:p w14:paraId="15DF69F9">
            <w:pPr>
              <w:widowControl/>
              <w:jc w:val="left"/>
              <w:textAlignment w:val="center"/>
              <w:rPr>
                <w:rFonts w:hint="eastAsia"/>
                <w:kern w:val="0"/>
                <w:szCs w:val="21"/>
              </w:rPr>
            </w:pPr>
            <w:r>
              <w:rPr>
                <w:rFonts w:hint="eastAsia"/>
                <w:kern w:val="0"/>
                <w:szCs w:val="21"/>
              </w:rPr>
              <w:t>学生椅子</w:t>
            </w:r>
          </w:p>
        </w:tc>
        <w:tc>
          <w:tcPr>
            <w:tcW w:w="6214" w:type="dxa"/>
            <w:noWrap w:val="0"/>
            <w:vAlign w:val="center"/>
          </w:tcPr>
          <w:p w14:paraId="49E4F77C">
            <w:pPr>
              <w:widowControl/>
              <w:jc w:val="left"/>
              <w:textAlignment w:val="center"/>
              <w:rPr>
                <w:rFonts w:hint="eastAsia"/>
                <w:kern w:val="0"/>
                <w:szCs w:val="21"/>
              </w:rPr>
            </w:pPr>
            <w:r>
              <w:rPr>
                <w:kern w:val="0"/>
                <w:szCs w:val="21"/>
              </w:rPr>
              <w:t>配套桌子使用，采用人体工学设计，舒适耐用。椅面材质避免人造革，</w:t>
            </w:r>
            <w:r>
              <w:rPr>
                <w:rFonts w:ascii="Segoe UI" w:hAnsi="Segoe UI" w:eastAsia="Segoe UI" w:cs="Segoe UI"/>
                <w:szCs w:val="21"/>
                <w:shd w:val="clear" w:color="auto" w:fill="FFFFFF"/>
              </w:rPr>
              <w:t>除靠背以外可推入桌子下方进行收纳</w:t>
            </w:r>
            <w:r>
              <w:rPr>
                <w:kern w:val="0"/>
                <w:szCs w:val="21"/>
              </w:rPr>
              <w:t>，节省空间。</w:t>
            </w:r>
          </w:p>
        </w:tc>
      </w:tr>
      <w:tr w14:paraId="2BC2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303B85F">
            <w:pPr>
              <w:widowControl/>
              <w:jc w:val="center"/>
              <w:textAlignment w:val="center"/>
              <w:rPr>
                <w:rFonts w:hint="eastAsia"/>
                <w:kern w:val="0"/>
                <w:szCs w:val="21"/>
              </w:rPr>
            </w:pPr>
            <w:r>
              <w:rPr>
                <w:rFonts w:hint="eastAsia"/>
                <w:kern w:val="0"/>
                <w:szCs w:val="21"/>
              </w:rPr>
              <w:t>13</w:t>
            </w:r>
          </w:p>
        </w:tc>
        <w:tc>
          <w:tcPr>
            <w:tcW w:w="1985" w:type="dxa"/>
            <w:noWrap w:val="0"/>
            <w:vAlign w:val="center"/>
          </w:tcPr>
          <w:p w14:paraId="2C85494C">
            <w:pPr>
              <w:widowControl/>
              <w:jc w:val="left"/>
              <w:textAlignment w:val="center"/>
              <w:rPr>
                <w:rFonts w:hint="eastAsia"/>
                <w:kern w:val="0"/>
                <w:szCs w:val="21"/>
              </w:rPr>
            </w:pPr>
            <w:bookmarkStart w:id="4" w:name="_Hlk202555109"/>
            <w:r>
              <w:rPr>
                <w:rFonts w:hint="eastAsia"/>
                <w:kern w:val="0"/>
                <w:szCs w:val="21"/>
              </w:rPr>
              <w:t>千兆网络交换机</w:t>
            </w:r>
            <w:bookmarkEnd w:id="4"/>
          </w:p>
        </w:tc>
        <w:tc>
          <w:tcPr>
            <w:tcW w:w="6214" w:type="dxa"/>
            <w:noWrap w:val="0"/>
            <w:vAlign w:val="center"/>
          </w:tcPr>
          <w:p w14:paraId="7E497B64">
            <w:pPr>
              <w:widowControl/>
              <w:jc w:val="left"/>
              <w:textAlignment w:val="center"/>
              <w:rPr>
                <w:rFonts w:hint="eastAsia"/>
                <w:kern w:val="0"/>
                <w:szCs w:val="21"/>
              </w:rPr>
            </w:pPr>
            <w:r>
              <w:rPr>
                <w:rFonts w:hint="eastAsia"/>
                <w:kern w:val="0"/>
                <w:szCs w:val="21"/>
              </w:rPr>
              <w:t>1.交换容量</w:t>
            </w:r>
            <w:r>
              <w:rPr>
                <w:rFonts w:hint="eastAsia"/>
                <w:spacing w:val="-3"/>
                <w:szCs w:val="21"/>
              </w:rPr>
              <w:t>≥</w:t>
            </w:r>
            <w:r>
              <w:rPr>
                <w:rFonts w:hint="eastAsia"/>
                <w:kern w:val="0"/>
                <w:szCs w:val="21"/>
              </w:rPr>
              <w:t>598Gbps/5.98Tbps，包转发率</w:t>
            </w:r>
            <w:r>
              <w:rPr>
                <w:rFonts w:hint="eastAsia"/>
                <w:spacing w:val="-3"/>
                <w:szCs w:val="21"/>
              </w:rPr>
              <w:t>≥</w:t>
            </w:r>
            <w:r>
              <w:rPr>
                <w:rFonts w:hint="eastAsia"/>
                <w:kern w:val="0"/>
                <w:szCs w:val="21"/>
              </w:rPr>
              <w:t>160Mpps/1600Mpps；</w:t>
            </w:r>
          </w:p>
          <w:p w14:paraId="589704A5">
            <w:pPr>
              <w:widowControl/>
              <w:jc w:val="left"/>
              <w:textAlignment w:val="center"/>
              <w:rPr>
                <w:rFonts w:hint="eastAsia"/>
                <w:kern w:val="0"/>
                <w:szCs w:val="21"/>
              </w:rPr>
            </w:pPr>
            <w:r>
              <w:rPr>
                <w:rFonts w:hint="eastAsia"/>
                <w:kern w:val="0"/>
                <w:szCs w:val="21"/>
              </w:rPr>
              <w:t>2.</w:t>
            </w:r>
            <w:r>
              <w:rPr>
                <w:rFonts w:hint="eastAsia"/>
                <w:spacing w:val="-3"/>
                <w:szCs w:val="21"/>
              </w:rPr>
              <w:t>≥</w:t>
            </w:r>
            <w:r>
              <w:rPr>
                <w:rFonts w:hint="eastAsia"/>
                <w:kern w:val="0"/>
                <w:szCs w:val="21"/>
              </w:rPr>
              <w:t>48个10/100/1000M自适应电口，</w:t>
            </w:r>
            <w:r>
              <w:rPr>
                <w:rFonts w:hint="eastAsia"/>
                <w:spacing w:val="-3"/>
                <w:szCs w:val="21"/>
              </w:rPr>
              <w:t>≥</w:t>
            </w:r>
            <w:r>
              <w:rPr>
                <w:rFonts w:hint="eastAsia"/>
                <w:kern w:val="0"/>
                <w:szCs w:val="21"/>
              </w:rPr>
              <w:t>4个千兆SFP光口，双交流电源，1U标准机架；</w:t>
            </w:r>
          </w:p>
          <w:p w14:paraId="1244C5F1">
            <w:pPr>
              <w:widowControl/>
              <w:jc w:val="left"/>
              <w:textAlignment w:val="center"/>
              <w:rPr>
                <w:rFonts w:hint="eastAsia"/>
                <w:kern w:val="0"/>
                <w:szCs w:val="21"/>
              </w:rPr>
            </w:pPr>
            <w:r>
              <w:rPr>
                <w:rFonts w:hint="eastAsia"/>
                <w:kern w:val="0"/>
                <w:szCs w:val="21"/>
              </w:rPr>
              <w:t>3.支持SSH、端口安全、用户分级、端口隔离、DHCPsnooping、DAI、ARPcheck、CPU保护；</w:t>
            </w:r>
          </w:p>
          <w:p w14:paraId="665B6DC5">
            <w:pPr>
              <w:widowControl/>
              <w:jc w:val="left"/>
              <w:textAlignment w:val="center"/>
              <w:rPr>
                <w:rFonts w:hint="eastAsia"/>
                <w:kern w:val="0"/>
                <w:szCs w:val="21"/>
              </w:rPr>
            </w:pPr>
            <w:r>
              <w:rPr>
                <w:rFonts w:hint="eastAsia"/>
                <w:kern w:val="0"/>
                <w:szCs w:val="21"/>
              </w:rPr>
              <w:t>4.支持静态路由、IPv6静态路由，RIP、RIPng、OSPF、OSPFv3、ISIS、ISISv6、BGP、BGP4+等路由协议；</w:t>
            </w:r>
          </w:p>
        </w:tc>
      </w:tr>
      <w:tr w14:paraId="6EBA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6D69BFEA">
            <w:pPr>
              <w:widowControl/>
              <w:jc w:val="center"/>
              <w:textAlignment w:val="center"/>
              <w:rPr>
                <w:rFonts w:hint="eastAsia"/>
                <w:kern w:val="0"/>
                <w:szCs w:val="21"/>
              </w:rPr>
            </w:pPr>
            <w:r>
              <w:rPr>
                <w:rFonts w:hint="eastAsia"/>
                <w:kern w:val="0"/>
                <w:szCs w:val="21"/>
              </w:rPr>
              <w:t>14</w:t>
            </w:r>
          </w:p>
        </w:tc>
        <w:tc>
          <w:tcPr>
            <w:tcW w:w="1985" w:type="dxa"/>
            <w:noWrap w:val="0"/>
            <w:vAlign w:val="center"/>
          </w:tcPr>
          <w:p w14:paraId="49F9140B">
            <w:pPr>
              <w:widowControl/>
              <w:jc w:val="center"/>
              <w:textAlignment w:val="center"/>
              <w:rPr>
                <w:rFonts w:hint="eastAsia"/>
                <w:kern w:val="0"/>
                <w:szCs w:val="21"/>
              </w:rPr>
            </w:pPr>
            <w:bookmarkStart w:id="5" w:name="_Hlk202555113"/>
            <w:r>
              <w:rPr>
                <w:rFonts w:hint="eastAsia"/>
                <w:kern w:val="0"/>
                <w:szCs w:val="21"/>
              </w:rPr>
              <w:t>服务器</w:t>
            </w:r>
            <w:bookmarkEnd w:id="5"/>
          </w:p>
        </w:tc>
        <w:tc>
          <w:tcPr>
            <w:tcW w:w="6214" w:type="dxa"/>
            <w:noWrap w:val="0"/>
            <w:vAlign w:val="center"/>
          </w:tcPr>
          <w:p w14:paraId="00A56134">
            <w:pPr>
              <w:widowControl/>
              <w:jc w:val="left"/>
              <w:textAlignment w:val="center"/>
              <w:rPr>
                <w:rFonts w:hint="eastAsia"/>
                <w:kern w:val="0"/>
                <w:szCs w:val="21"/>
              </w:rPr>
            </w:pPr>
            <w:r>
              <w:rPr>
                <w:rFonts w:hint="eastAsia"/>
                <w:kern w:val="0"/>
                <w:szCs w:val="21"/>
              </w:rPr>
              <w:t>1.CPU：2*6138</w:t>
            </w:r>
          </w:p>
          <w:p w14:paraId="19F3A553">
            <w:pPr>
              <w:widowControl/>
              <w:jc w:val="left"/>
              <w:textAlignment w:val="center"/>
              <w:rPr>
                <w:rFonts w:hint="eastAsia"/>
                <w:kern w:val="0"/>
                <w:szCs w:val="21"/>
              </w:rPr>
            </w:pPr>
            <w:r>
              <w:rPr>
                <w:rFonts w:hint="eastAsia"/>
                <w:kern w:val="0"/>
                <w:szCs w:val="21"/>
              </w:rPr>
              <w:t xml:space="preserve">2.内存：配置≥128GB内存条； </w:t>
            </w:r>
          </w:p>
          <w:p w14:paraId="486499D2">
            <w:pPr>
              <w:widowControl/>
              <w:jc w:val="left"/>
              <w:textAlignment w:val="center"/>
              <w:rPr>
                <w:rFonts w:hint="eastAsia"/>
                <w:kern w:val="0"/>
                <w:szCs w:val="21"/>
              </w:rPr>
            </w:pPr>
            <w:r>
              <w:rPr>
                <w:rFonts w:hint="eastAsia"/>
                <w:kern w:val="0"/>
                <w:szCs w:val="21"/>
              </w:rPr>
              <w:t xml:space="preserve">3.硬盘：1*480G SSD（系统盘）+2*4T SATA（数据盘），                        </w:t>
            </w:r>
          </w:p>
          <w:p w14:paraId="2FDDB9B0">
            <w:pPr>
              <w:widowControl/>
              <w:jc w:val="left"/>
              <w:textAlignment w:val="center"/>
              <w:rPr>
                <w:rFonts w:hint="eastAsia"/>
                <w:kern w:val="0"/>
                <w:szCs w:val="21"/>
              </w:rPr>
            </w:pPr>
            <w:r>
              <w:rPr>
                <w:rFonts w:hint="eastAsia"/>
                <w:kern w:val="0"/>
                <w:szCs w:val="21"/>
              </w:rPr>
              <w:t xml:space="preserve">4.支持RAID1，                                              </w:t>
            </w:r>
          </w:p>
          <w:p w14:paraId="24EAB9F5">
            <w:pPr>
              <w:widowControl/>
              <w:jc w:val="left"/>
              <w:textAlignment w:val="center"/>
              <w:rPr>
                <w:rFonts w:hint="eastAsia"/>
                <w:kern w:val="0"/>
                <w:szCs w:val="21"/>
              </w:rPr>
            </w:pPr>
            <w:r>
              <w:rPr>
                <w:rFonts w:hint="eastAsia"/>
                <w:kern w:val="0"/>
                <w:szCs w:val="21"/>
              </w:rPr>
              <w:t>5.配置1个900W冗余热插拔电源</w:t>
            </w:r>
          </w:p>
          <w:p w14:paraId="2AD27452">
            <w:pPr>
              <w:widowControl/>
              <w:jc w:val="left"/>
              <w:textAlignment w:val="center"/>
              <w:rPr>
                <w:rFonts w:hint="eastAsia"/>
                <w:kern w:val="0"/>
                <w:szCs w:val="21"/>
              </w:rPr>
            </w:pPr>
            <w:r>
              <w:rPr>
                <w:rFonts w:hint="eastAsia"/>
                <w:kern w:val="0"/>
                <w:szCs w:val="21"/>
              </w:rPr>
              <w:t xml:space="preserve">6.配套导轨   </w:t>
            </w:r>
          </w:p>
          <w:p w14:paraId="2C9AF9DF">
            <w:pPr>
              <w:widowControl/>
              <w:jc w:val="left"/>
              <w:textAlignment w:val="center"/>
              <w:rPr>
                <w:rFonts w:hint="eastAsia"/>
                <w:kern w:val="0"/>
                <w:szCs w:val="21"/>
              </w:rPr>
            </w:pPr>
            <w:r>
              <w:rPr>
                <w:rFonts w:hint="eastAsia"/>
                <w:kern w:val="0"/>
                <w:szCs w:val="21"/>
              </w:rPr>
              <w:t>7.网卡：双口千兆</w:t>
            </w:r>
          </w:p>
          <w:p w14:paraId="54989779">
            <w:pPr>
              <w:widowControl/>
              <w:jc w:val="left"/>
              <w:textAlignment w:val="center"/>
              <w:rPr>
                <w:rFonts w:hint="eastAsia"/>
                <w:kern w:val="0"/>
                <w:szCs w:val="21"/>
              </w:rPr>
            </w:pPr>
            <w:r>
              <w:rPr>
                <w:rFonts w:hint="eastAsia"/>
                <w:kern w:val="0"/>
                <w:szCs w:val="21"/>
              </w:rPr>
              <w:t>8.2U机架式</w:t>
            </w:r>
          </w:p>
        </w:tc>
      </w:tr>
      <w:tr w14:paraId="580C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39E006A">
            <w:pPr>
              <w:widowControl/>
              <w:jc w:val="center"/>
              <w:textAlignment w:val="center"/>
              <w:rPr>
                <w:rFonts w:hint="eastAsia"/>
                <w:kern w:val="0"/>
                <w:szCs w:val="21"/>
              </w:rPr>
            </w:pPr>
            <w:r>
              <w:rPr>
                <w:rFonts w:hint="eastAsia"/>
                <w:kern w:val="0"/>
                <w:szCs w:val="21"/>
              </w:rPr>
              <w:t>15</w:t>
            </w:r>
          </w:p>
        </w:tc>
        <w:tc>
          <w:tcPr>
            <w:tcW w:w="1985" w:type="dxa"/>
            <w:noWrap w:val="0"/>
            <w:vAlign w:val="center"/>
          </w:tcPr>
          <w:p w14:paraId="222447FC">
            <w:pPr>
              <w:widowControl/>
              <w:jc w:val="center"/>
              <w:textAlignment w:val="center"/>
              <w:rPr>
                <w:rFonts w:hint="eastAsia"/>
                <w:kern w:val="0"/>
                <w:szCs w:val="21"/>
              </w:rPr>
            </w:pPr>
            <w:bookmarkStart w:id="6" w:name="_Hlk202555117"/>
            <w:r>
              <w:rPr>
                <w:rFonts w:hint="eastAsia"/>
                <w:kern w:val="0"/>
                <w:szCs w:val="21"/>
              </w:rPr>
              <w:t>屏幕显示器设备</w:t>
            </w:r>
            <w:bookmarkEnd w:id="6"/>
          </w:p>
        </w:tc>
        <w:tc>
          <w:tcPr>
            <w:tcW w:w="6214" w:type="dxa"/>
            <w:noWrap w:val="0"/>
            <w:vAlign w:val="center"/>
          </w:tcPr>
          <w:p w14:paraId="78FA0ACD">
            <w:pPr>
              <w:widowControl/>
              <w:jc w:val="left"/>
              <w:textAlignment w:val="center"/>
              <w:rPr>
                <w:rFonts w:hint="eastAsia"/>
                <w:kern w:val="0"/>
                <w:szCs w:val="21"/>
              </w:rPr>
            </w:pPr>
            <w:r>
              <w:rPr>
                <w:rFonts w:hint="eastAsia"/>
                <w:kern w:val="0"/>
                <w:szCs w:val="21"/>
              </w:rPr>
              <w:t>75寸 HDMI输入高清显示</w:t>
            </w:r>
          </w:p>
        </w:tc>
      </w:tr>
      <w:tr w14:paraId="2D2F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2FE45E12">
            <w:pPr>
              <w:widowControl/>
              <w:jc w:val="center"/>
              <w:textAlignment w:val="center"/>
              <w:rPr>
                <w:rFonts w:hint="eastAsia"/>
                <w:kern w:val="0"/>
                <w:szCs w:val="21"/>
              </w:rPr>
            </w:pPr>
            <w:r>
              <w:rPr>
                <w:rFonts w:hint="eastAsia"/>
                <w:kern w:val="0"/>
                <w:szCs w:val="21"/>
              </w:rPr>
              <w:t>16</w:t>
            </w:r>
          </w:p>
        </w:tc>
        <w:tc>
          <w:tcPr>
            <w:tcW w:w="1985" w:type="dxa"/>
            <w:noWrap w:val="0"/>
            <w:vAlign w:val="center"/>
          </w:tcPr>
          <w:p w14:paraId="0738190A">
            <w:pPr>
              <w:widowControl/>
              <w:jc w:val="center"/>
              <w:textAlignment w:val="center"/>
              <w:rPr>
                <w:rFonts w:hint="eastAsia"/>
                <w:kern w:val="0"/>
                <w:szCs w:val="21"/>
              </w:rPr>
            </w:pPr>
            <w:bookmarkStart w:id="7" w:name="OLE_LINK95"/>
            <w:r>
              <w:rPr>
                <w:rFonts w:hint="eastAsia"/>
                <w:kern w:val="0"/>
                <w:szCs w:val="21"/>
              </w:rPr>
              <w:t>高清摄像机</w:t>
            </w:r>
            <w:bookmarkEnd w:id="7"/>
          </w:p>
        </w:tc>
        <w:tc>
          <w:tcPr>
            <w:tcW w:w="6214" w:type="dxa"/>
            <w:noWrap w:val="0"/>
            <w:vAlign w:val="center"/>
          </w:tcPr>
          <w:p w14:paraId="3D271A31">
            <w:pPr>
              <w:widowControl/>
              <w:jc w:val="left"/>
              <w:textAlignment w:val="center"/>
              <w:rPr>
                <w:rFonts w:hint="eastAsia"/>
                <w:kern w:val="0"/>
                <w:szCs w:val="21"/>
              </w:rPr>
            </w:pPr>
            <w:r>
              <w:rPr>
                <w:rFonts w:hint="eastAsia"/>
                <w:kern w:val="0"/>
                <w:szCs w:val="21"/>
              </w:rPr>
              <w:t>1.传感器类型：1/2.8英寸、207万有效像素 CMOS 传感器</w:t>
            </w:r>
          </w:p>
          <w:p w14:paraId="01C428FD">
            <w:pPr>
              <w:widowControl/>
              <w:jc w:val="left"/>
              <w:textAlignment w:val="center"/>
              <w:rPr>
                <w:rFonts w:hint="eastAsia"/>
                <w:kern w:val="0"/>
                <w:szCs w:val="21"/>
              </w:rPr>
            </w:pPr>
            <w:r>
              <w:rPr>
                <w:rFonts w:hint="eastAsia"/>
                <w:kern w:val="0"/>
                <w:szCs w:val="21"/>
              </w:rPr>
              <w:t>2.最大图像尺寸： 1920 x 1080 （1080P）</w:t>
            </w:r>
          </w:p>
          <w:p w14:paraId="4818E9BA">
            <w:pPr>
              <w:widowControl/>
              <w:jc w:val="left"/>
              <w:textAlignment w:val="center"/>
              <w:rPr>
                <w:rFonts w:hint="eastAsia"/>
                <w:kern w:val="0"/>
                <w:szCs w:val="21"/>
              </w:rPr>
            </w:pPr>
            <w:r>
              <w:rPr>
                <w:rFonts w:hint="eastAsia"/>
                <w:kern w:val="0"/>
                <w:szCs w:val="21"/>
              </w:rPr>
              <w:t>3.12倍光学变焦，16倍数字变焦</w:t>
            </w:r>
          </w:p>
          <w:p w14:paraId="4F74A327">
            <w:pPr>
              <w:widowControl/>
              <w:jc w:val="left"/>
              <w:textAlignment w:val="center"/>
              <w:rPr>
                <w:rFonts w:hint="eastAsia"/>
                <w:kern w:val="0"/>
                <w:szCs w:val="21"/>
              </w:rPr>
            </w:pPr>
            <w:r>
              <w:rPr>
                <w:rFonts w:hint="eastAsia"/>
                <w:kern w:val="0"/>
                <w:szCs w:val="21"/>
              </w:rPr>
              <w:t>4.视频输出接口：HDMI接口，3G-SDI接口，USB3.0接口</w:t>
            </w:r>
          </w:p>
          <w:p w14:paraId="3C36831B">
            <w:pPr>
              <w:widowControl/>
              <w:jc w:val="left"/>
              <w:textAlignment w:val="center"/>
              <w:rPr>
                <w:rFonts w:hint="eastAsia"/>
                <w:kern w:val="0"/>
                <w:szCs w:val="21"/>
              </w:rPr>
            </w:pPr>
            <w:r>
              <w:rPr>
                <w:rFonts w:hint="eastAsia"/>
                <w:kern w:val="0"/>
                <w:szCs w:val="21"/>
              </w:rPr>
              <w:t>5.水平视场角：72°</w:t>
            </w:r>
          </w:p>
          <w:p w14:paraId="7DB96180">
            <w:pPr>
              <w:widowControl/>
              <w:jc w:val="left"/>
              <w:textAlignment w:val="center"/>
              <w:rPr>
                <w:rFonts w:hint="eastAsia"/>
                <w:kern w:val="0"/>
                <w:szCs w:val="21"/>
              </w:rPr>
            </w:pPr>
            <w:r>
              <w:rPr>
                <w:rFonts w:hint="eastAsia"/>
                <w:kern w:val="0"/>
                <w:szCs w:val="21"/>
              </w:rPr>
              <w:t>6.预置位数量：245</w:t>
            </w:r>
          </w:p>
          <w:p w14:paraId="6951D9F3">
            <w:pPr>
              <w:widowControl/>
              <w:jc w:val="left"/>
              <w:textAlignment w:val="center"/>
              <w:rPr>
                <w:rFonts w:hint="eastAsia"/>
                <w:kern w:val="0"/>
                <w:szCs w:val="21"/>
              </w:rPr>
            </w:pPr>
            <w:r>
              <w:rPr>
                <w:rFonts w:hint="eastAsia"/>
                <w:kern w:val="0"/>
                <w:szCs w:val="21"/>
              </w:rPr>
              <w:t xml:space="preserve">7.最低照度：0.5 Lux </w:t>
            </w:r>
          </w:p>
          <w:p w14:paraId="508F7A00">
            <w:pPr>
              <w:widowControl/>
              <w:jc w:val="left"/>
              <w:textAlignment w:val="center"/>
              <w:rPr>
                <w:rFonts w:hint="eastAsia"/>
                <w:kern w:val="0"/>
                <w:szCs w:val="21"/>
              </w:rPr>
            </w:pPr>
            <w:r>
              <w:rPr>
                <w:rFonts w:hint="eastAsia"/>
                <w:kern w:val="0"/>
                <w:szCs w:val="21"/>
              </w:rPr>
              <w:t>8.通讯接口：RS-232，RS485</w:t>
            </w:r>
          </w:p>
          <w:p w14:paraId="228D9AE1">
            <w:pPr>
              <w:widowControl/>
              <w:jc w:val="left"/>
              <w:textAlignment w:val="center"/>
              <w:rPr>
                <w:rFonts w:hint="eastAsia"/>
                <w:kern w:val="0"/>
                <w:szCs w:val="21"/>
              </w:rPr>
            </w:pPr>
            <w:r>
              <w:rPr>
                <w:rFonts w:hint="eastAsia"/>
                <w:kern w:val="0"/>
                <w:szCs w:val="21"/>
              </w:rPr>
              <w:t>9.信噪比：≥55dB</w:t>
            </w:r>
          </w:p>
          <w:p w14:paraId="45E1B8D9">
            <w:pPr>
              <w:widowControl/>
              <w:jc w:val="left"/>
              <w:textAlignment w:val="center"/>
              <w:rPr>
                <w:rFonts w:hint="eastAsia"/>
                <w:kern w:val="0"/>
                <w:szCs w:val="21"/>
              </w:rPr>
            </w:pPr>
            <w:r>
              <w:rPr>
                <w:rFonts w:hint="eastAsia"/>
                <w:kern w:val="0"/>
                <w:szCs w:val="21"/>
              </w:rPr>
              <w:t>10.支持1080P@60 IP网络编码流输出</w:t>
            </w:r>
          </w:p>
        </w:tc>
      </w:tr>
      <w:tr w14:paraId="02C2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6C789D76">
            <w:pPr>
              <w:widowControl/>
              <w:jc w:val="center"/>
              <w:textAlignment w:val="center"/>
              <w:rPr>
                <w:rFonts w:hint="eastAsia"/>
                <w:kern w:val="0"/>
                <w:szCs w:val="21"/>
              </w:rPr>
            </w:pPr>
            <w:r>
              <w:rPr>
                <w:rFonts w:hint="eastAsia"/>
                <w:kern w:val="0"/>
                <w:szCs w:val="21"/>
              </w:rPr>
              <w:t>17</w:t>
            </w:r>
          </w:p>
        </w:tc>
        <w:tc>
          <w:tcPr>
            <w:tcW w:w="1985" w:type="dxa"/>
            <w:noWrap w:val="0"/>
            <w:vAlign w:val="center"/>
          </w:tcPr>
          <w:p w14:paraId="54676D75">
            <w:pPr>
              <w:widowControl/>
              <w:jc w:val="center"/>
              <w:textAlignment w:val="center"/>
              <w:rPr>
                <w:rFonts w:hint="eastAsia"/>
                <w:kern w:val="0"/>
                <w:szCs w:val="21"/>
              </w:rPr>
            </w:pPr>
            <w:bookmarkStart w:id="8" w:name="_Hlk202555134"/>
            <w:r>
              <w:rPr>
                <w:rFonts w:hint="eastAsia"/>
                <w:kern w:val="0"/>
                <w:szCs w:val="21"/>
              </w:rPr>
              <w:t>音频处理套装</w:t>
            </w:r>
            <w:bookmarkEnd w:id="8"/>
          </w:p>
        </w:tc>
        <w:tc>
          <w:tcPr>
            <w:tcW w:w="6214" w:type="dxa"/>
            <w:noWrap w:val="0"/>
            <w:vAlign w:val="center"/>
          </w:tcPr>
          <w:p w14:paraId="00EFD938">
            <w:pPr>
              <w:widowControl/>
              <w:jc w:val="left"/>
              <w:textAlignment w:val="center"/>
              <w:rPr>
                <w:rFonts w:hint="eastAsia"/>
                <w:kern w:val="0"/>
                <w:szCs w:val="21"/>
              </w:rPr>
            </w:pPr>
            <w:r>
              <w:rPr>
                <w:rFonts w:hint="eastAsia"/>
                <w:kern w:val="0"/>
                <w:szCs w:val="21"/>
              </w:rPr>
              <w:t>1.支持多麦克风组合实现互动对讲,拾音范围可覆盖8*10m教室区域；</w:t>
            </w:r>
          </w:p>
          <w:p w14:paraId="261C446B">
            <w:pPr>
              <w:widowControl/>
              <w:jc w:val="left"/>
              <w:textAlignment w:val="center"/>
              <w:rPr>
                <w:rFonts w:hint="eastAsia"/>
                <w:kern w:val="0"/>
                <w:szCs w:val="21"/>
              </w:rPr>
            </w:pPr>
            <w:r>
              <w:rPr>
                <w:rFonts w:hint="eastAsia"/>
                <w:kern w:val="0"/>
                <w:szCs w:val="21"/>
              </w:rPr>
              <w:t>2.外接兼容性强：2个阵列麦接口，支持无线麦接入、PC IN、AEC IN及AEC OUT、SPK OUT，支持RJ45网络工具调试控制；</w:t>
            </w:r>
          </w:p>
          <w:p w14:paraId="76492857">
            <w:pPr>
              <w:widowControl/>
              <w:jc w:val="left"/>
              <w:textAlignment w:val="center"/>
              <w:rPr>
                <w:rFonts w:hint="eastAsia"/>
                <w:kern w:val="0"/>
                <w:szCs w:val="21"/>
              </w:rPr>
            </w:pPr>
            <w:r>
              <w:rPr>
                <w:rFonts w:hint="eastAsia"/>
                <w:kern w:val="0"/>
                <w:szCs w:val="21"/>
              </w:rPr>
              <w:t>3.高性能阵列麦算法：自动噪声抑制（ANS）、自动回声消除（AEC）、自动增益控制（AGC）、混响抑制（ARR）、平稳噪声、瞬态噪声、波束成形等音频预处理算法，可有效提升语音扩声互动的质量；</w:t>
            </w:r>
          </w:p>
        </w:tc>
      </w:tr>
      <w:tr w14:paraId="7113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24F1269E">
            <w:pPr>
              <w:widowControl/>
              <w:jc w:val="center"/>
              <w:textAlignment w:val="center"/>
              <w:rPr>
                <w:rFonts w:hint="eastAsia"/>
                <w:kern w:val="0"/>
                <w:szCs w:val="21"/>
              </w:rPr>
            </w:pPr>
            <w:r>
              <w:rPr>
                <w:rFonts w:hint="eastAsia"/>
                <w:kern w:val="0"/>
                <w:szCs w:val="21"/>
              </w:rPr>
              <w:t>18</w:t>
            </w:r>
          </w:p>
        </w:tc>
        <w:tc>
          <w:tcPr>
            <w:tcW w:w="1985" w:type="dxa"/>
            <w:noWrap w:val="0"/>
            <w:vAlign w:val="center"/>
          </w:tcPr>
          <w:p w14:paraId="01A08C31">
            <w:pPr>
              <w:widowControl/>
              <w:jc w:val="center"/>
              <w:textAlignment w:val="center"/>
              <w:rPr>
                <w:rFonts w:hint="eastAsia"/>
                <w:kern w:val="0"/>
                <w:szCs w:val="21"/>
              </w:rPr>
            </w:pPr>
            <w:bookmarkStart w:id="9" w:name="_Hlk202555333"/>
            <w:r>
              <w:rPr>
                <w:rFonts w:hint="eastAsia"/>
                <w:kern w:val="0"/>
                <w:szCs w:val="21"/>
              </w:rPr>
              <w:t>音响</w:t>
            </w:r>
            <w:bookmarkEnd w:id="9"/>
          </w:p>
        </w:tc>
        <w:tc>
          <w:tcPr>
            <w:tcW w:w="6214" w:type="dxa"/>
            <w:noWrap w:val="0"/>
            <w:vAlign w:val="center"/>
          </w:tcPr>
          <w:p w14:paraId="25F72126">
            <w:pPr>
              <w:widowControl/>
              <w:jc w:val="left"/>
              <w:textAlignment w:val="center"/>
              <w:rPr>
                <w:rFonts w:hint="eastAsia"/>
                <w:kern w:val="0"/>
                <w:szCs w:val="21"/>
              </w:rPr>
            </w:pPr>
            <w:r>
              <w:rPr>
                <w:rFonts w:hint="eastAsia"/>
                <w:kern w:val="0"/>
                <w:szCs w:val="21"/>
              </w:rPr>
              <w:t xml:space="preserve">1.工程注塑箱体一次成型平板式设计，胶网回音吸收布沙罩、一体机型双声道、长155cm/高14cm/10cm，LED数字动态屏显示、高低音6单元设计，双4寸低频音扬声器定位准确，2寸高音细腻，。  </w:t>
            </w:r>
          </w:p>
          <w:p w14:paraId="379ABBA6">
            <w:pPr>
              <w:widowControl/>
              <w:jc w:val="left"/>
              <w:textAlignment w:val="center"/>
              <w:rPr>
                <w:rFonts w:hint="eastAsia"/>
                <w:kern w:val="0"/>
                <w:szCs w:val="21"/>
              </w:rPr>
            </w:pPr>
            <w:r>
              <w:rPr>
                <w:rFonts w:hint="eastAsia"/>
                <w:kern w:val="0"/>
                <w:szCs w:val="21"/>
              </w:rPr>
              <w:t>2. 1路有线广播应急切换输入、5秒钟后自动恢复教室扩声。</w:t>
            </w:r>
          </w:p>
          <w:p w14:paraId="4E1E67C2">
            <w:pPr>
              <w:widowControl/>
              <w:jc w:val="left"/>
              <w:textAlignment w:val="center"/>
              <w:rPr>
                <w:rFonts w:hint="eastAsia"/>
                <w:kern w:val="0"/>
                <w:szCs w:val="21"/>
              </w:rPr>
            </w:pPr>
            <w:r>
              <w:rPr>
                <w:rFonts w:hint="eastAsia"/>
                <w:kern w:val="0"/>
                <w:szCs w:val="21"/>
              </w:rPr>
              <w:t xml:space="preserve">3. 1组音频输入、1路录音输出、1路无线话筒输入。 </w:t>
            </w:r>
          </w:p>
          <w:p w14:paraId="7296E5D7">
            <w:pPr>
              <w:widowControl/>
              <w:jc w:val="left"/>
              <w:textAlignment w:val="center"/>
              <w:rPr>
                <w:rFonts w:hint="eastAsia"/>
                <w:kern w:val="0"/>
                <w:szCs w:val="21"/>
              </w:rPr>
            </w:pPr>
            <w:r>
              <w:rPr>
                <w:rFonts w:hint="eastAsia"/>
                <w:kern w:val="0"/>
                <w:szCs w:val="21"/>
              </w:rPr>
              <w:t xml:space="preserve">4.功率：2×80W </w:t>
            </w:r>
          </w:p>
          <w:p w14:paraId="1E222A86">
            <w:pPr>
              <w:widowControl/>
              <w:jc w:val="left"/>
              <w:textAlignment w:val="center"/>
              <w:rPr>
                <w:rFonts w:hint="eastAsia"/>
                <w:kern w:val="0"/>
                <w:szCs w:val="21"/>
              </w:rPr>
            </w:pPr>
            <w:r>
              <w:rPr>
                <w:rFonts w:hint="eastAsia"/>
                <w:kern w:val="0"/>
                <w:szCs w:val="21"/>
              </w:rPr>
              <w:t xml:space="preserve">5.灵敏度：86dB  </w:t>
            </w:r>
          </w:p>
          <w:p w14:paraId="4D782896">
            <w:pPr>
              <w:widowControl/>
              <w:jc w:val="left"/>
              <w:textAlignment w:val="center"/>
              <w:rPr>
                <w:rFonts w:hint="eastAsia"/>
                <w:kern w:val="0"/>
                <w:szCs w:val="21"/>
              </w:rPr>
            </w:pPr>
            <w:r>
              <w:rPr>
                <w:rFonts w:hint="eastAsia"/>
                <w:kern w:val="0"/>
                <w:szCs w:val="21"/>
              </w:rPr>
              <w:t>6.线路输出：0.775V</w:t>
            </w:r>
          </w:p>
          <w:p w14:paraId="75E9BAFD">
            <w:pPr>
              <w:widowControl/>
              <w:jc w:val="left"/>
              <w:textAlignment w:val="center"/>
              <w:rPr>
                <w:rFonts w:hint="eastAsia"/>
                <w:kern w:val="0"/>
                <w:szCs w:val="21"/>
              </w:rPr>
            </w:pPr>
            <w:r>
              <w:rPr>
                <w:rFonts w:hint="eastAsia"/>
                <w:kern w:val="0"/>
                <w:szCs w:val="21"/>
              </w:rPr>
              <w:t>7.频率响应：30Hz-18KHz</w:t>
            </w:r>
          </w:p>
          <w:p w14:paraId="75AE96E0">
            <w:pPr>
              <w:widowControl/>
              <w:jc w:val="left"/>
              <w:textAlignment w:val="center"/>
              <w:rPr>
                <w:rFonts w:hint="eastAsia"/>
                <w:kern w:val="0"/>
                <w:szCs w:val="21"/>
              </w:rPr>
            </w:pPr>
            <w:r>
              <w:rPr>
                <w:rFonts w:hint="eastAsia"/>
                <w:kern w:val="0"/>
                <w:szCs w:val="21"/>
              </w:rPr>
              <w:t>8.信噪比：≥80dB</w:t>
            </w:r>
          </w:p>
          <w:p w14:paraId="3E6E06CD">
            <w:pPr>
              <w:widowControl/>
              <w:jc w:val="left"/>
              <w:textAlignment w:val="center"/>
              <w:rPr>
                <w:rFonts w:hint="eastAsia"/>
                <w:kern w:val="0"/>
                <w:szCs w:val="21"/>
              </w:rPr>
            </w:pPr>
            <w:r>
              <w:rPr>
                <w:rFonts w:hint="eastAsia"/>
                <w:kern w:val="0"/>
                <w:szCs w:val="21"/>
              </w:rPr>
              <w:t>9.开关电源宽电压设计，交流90V-260V工作。</w:t>
            </w:r>
          </w:p>
        </w:tc>
      </w:tr>
      <w:tr w14:paraId="2471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4E14AD28">
            <w:pPr>
              <w:widowControl/>
              <w:jc w:val="center"/>
              <w:textAlignment w:val="center"/>
              <w:rPr>
                <w:rFonts w:hint="eastAsia"/>
                <w:kern w:val="0"/>
                <w:szCs w:val="21"/>
              </w:rPr>
            </w:pPr>
            <w:r>
              <w:rPr>
                <w:rFonts w:hint="eastAsia"/>
                <w:kern w:val="0"/>
                <w:szCs w:val="21"/>
              </w:rPr>
              <w:t>19</w:t>
            </w:r>
          </w:p>
        </w:tc>
        <w:tc>
          <w:tcPr>
            <w:tcW w:w="1985" w:type="dxa"/>
            <w:noWrap w:val="0"/>
            <w:vAlign w:val="center"/>
          </w:tcPr>
          <w:p w14:paraId="64F92B86">
            <w:pPr>
              <w:widowControl/>
              <w:jc w:val="center"/>
              <w:textAlignment w:val="center"/>
              <w:rPr>
                <w:rFonts w:hint="eastAsia"/>
                <w:kern w:val="0"/>
                <w:szCs w:val="21"/>
              </w:rPr>
            </w:pPr>
            <w:r>
              <w:rPr>
                <w:rFonts w:hint="eastAsia"/>
                <w:kern w:val="0"/>
                <w:szCs w:val="21"/>
              </w:rPr>
              <w:t>综合布线、墙壁粉刷</w:t>
            </w:r>
          </w:p>
        </w:tc>
        <w:tc>
          <w:tcPr>
            <w:tcW w:w="6214" w:type="dxa"/>
            <w:noWrap w:val="0"/>
            <w:vAlign w:val="center"/>
          </w:tcPr>
          <w:p w14:paraId="697DADB8">
            <w:pPr>
              <w:widowControl/>
              <w:jc w:val="left"/>
              <w:textAlignment w:val="center"/>
              <w:rPr>
                <w:rFonts w:hint="eastAsia"/>
                <w:kern w:val="0"/>
                <w:szCs w:val="21"/>
              </w:rPr>
            </w:pPr>
            <w:r>
              <w:rPr>
                <w:rFonts w:hint="eastAsia"/>
                <w:kern w:val="0"/>
                <w:szCs w:val="21"/>
              </w:rPr>
              <w:t>1.原实验室物品及器械的拆装、搬运及垃圾清运。</w:t>
            </w:r>
          </w:p>
          <w:p w14:paraId="5E476B9B">
            <w:pPr>
              <w:widowControl/>
              <w:jc w:val="left"/>
              <w:textAlignment w:val="center"/>
              <w:rPr>
                <w:rFonts w:hint="eastAsia"/>
                <w:kern w:val="0"/>
                <w:szCs w:val="21"/>
              </w:rPr>
            </w:pPr>
            <w:r>
              <w:rPr>
                <w:rFonts w:hint="eastAsia"/>
                <w:kern w:val="0"/>
                <w:szCs w:val="21"/>
              </w:rPr>
              <w:t>2.布线规范：符合《中华人民共和国国家标准-综合布线系统工程设计规范》。</w:t>
            </w:r>
          </w:p>
          <w:p w14:paraId="7F0D7554">
            <w:pPr>
              <w:widowControl/>
              <w:jc w:val="left"/>
              <w:textAlignment w:val="center"/>
              <w:rPr>
                <w:rFonts w:hint="eastAsia"/>
                <w:kern w:val="0"/>
                <w:szCs w:val="21"/>
              </w:rPr>
            </w:pPr>
            <w:r>
              <w:rPr>
                <w:rFonts w:hint="eastAsia"/>
                <w:kern w:val="0"/>
                <w:szCs w:val="21"/>
              </w:rPr>
              <w:t>3.网线及配件：符合国标要求。</w:t>
            </w:r>
          </w:p>
          <w:p w14:paraId="2BD6E33A">
            <w:pPr>
              <w:widowControl/>
              <w:jc w:val="left"/>
              <w:textAlignment w:val="center"/>
              <w:rPr>
                <w:rFonts w:hint="eastAsia"/>
                <w:kern w:val="0"/>
                <w:szCs w:val="21"/>
              </w:rPr>
            </w:pPr>
            <w:r>
              <w:rPr>
                <w:rFonts w:hint="eastAsia"/>
                <w:kern w:val="0"/>
                <w:szCs w:val="21"/>
              </w:rPr>
              <w:t>4.配套电源插排防雷电，符合国标。</w:t>
            </w:r>
          </w:p>
          <w:p w14:paraId="3D829377">
            <w:pPr>
              <w:widowControl/>
              <w:jc w:val="left"/>
              <w:textAlignment w:val="center"/>
              <w:rPr>
                <w:rFonts w:hint="eastAsia"/>
                <w:kern w:val="0"/>
                <w:szCs w:val="21"/>
              </w:rPr>
            </w:pPr>
            <w:r>
              <w:rPr>
                <w:rFonts w:hint="eastAsia"/>
                <w:kern w:val="0"/>
                <w:szCs w:val="21"/>
              </w:rPr>
              <w:t>5.含网线、卡子、扎带、胶带、电线线缆、配线架实训室设备连接所必须辅材辅料。</w:t>
            </w:r>
          </w:p>
          <w:p w14:paraId="76700ADC">
            <w:pPr>
              <w:widowControl/>
              <w:jc w:val="left"/>
              <w:textAlignment w:val="center"/>
              <w:rPr>
                <w:rFonts w:hint="eastAsia"/>
                <w:kern w:val="0"/>
                <w:szCs w:val="21"/>
              </w:rPr>
            </w:pPr>
            <w:r>
              <w:rPr>
                <w:rFonts w:hint="eastAsia"/>
                <w:kern w:val="0"/>
                <w:szCs w:val="21"/>
              </w:rPr>
              <w:t>6.粉刷涂料：符合国标要求。</w:t>
            </w:r>
          </w:p>
          <w:p w14:paraId="0AF6BF8D">
            <w:pPr>
              <w:widowControl/>
              <w:jc w:val="left"/>
              <w:textAlignment w:val="center"/>
              <w:rPr>
                <w:rFonts w:hint="eastAsia"/>
                <w:kern w:val="0"/>
                <w:szCs w:val="21"/>
              </w:rPr>
            </w:pPr>
            <w:r>
              <w:rPr>
                <w:rFonts w:hint="eastAsia"/>
                <w:kern w:val="0"/>
                <w:szCs w:val="21"/>
              </w:rPr>
              <w:t>7.室内装饰（如文化墙制作等）</w:t>
            </w:r>
          </w:p>
          <w:p w14:paraId="28C675EE">
            <w:pPr>
              <w:widowControl/>
              <w:jc w:val="left"/>
              <w:textAlignment w:val="center"/>
              <w:rPr>
                <w:rFonts w:hint="eastAsia"/>
                <w:kern w:val="0"/>
                <w:szCs w:val="21"/>
              </w:rPr>
            </w:pPr>
            <w:r>
              <w:rPr>
                <w:rFonts w:hint="eastAsia"/>
                <w:kern w:val="0"/>
                <w:szCs w:val="21"/>
              </w:rPr>
              <w:t>8.规范水电、动火作业及有害气体管控，确保房屋结构、环境及人员安全，有明确的施工资质。</w:t>
            </w:r>
          </w:p>
        </w:tc>
      </w:tr>
    </w:tbl>
    <w:p w14:paraId="3B498A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FEE5E"/>
    <w:multiLevelType w:val="singleLevel"/>
    <w:tmpl w:val="866FEE5E"/>
    <w:lvl w:ilvl="0" w:tentative="0">
      <w:start w:val="20"/>
      <w:numFmt w:val="decimal"/>
      <w:suff w:val="space"/>
      <w:lvlText w:val="%1."/>
      <w:lvlJc w:val="left"/>
    </w:lvl>
  </w:abstractNum>
  <w:abstractNum w:abstractNumId="1">
    <w:nsid w:val="4094A708"/>
    <w:multiLevelType w:val="singleLevel"/>
    <w:tmpl w:val="4094A70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2M5N2I5NGZmMGMzZTk0MjlmZjkyNGY3OGE0MDkifQ=="/>
  </w:docVars>
  <w:rsids>
    <w:rsidRoot w:val="46E83F23"/>
    <w:rsid w:val="43985E60"/>
    <w:rsid w:val="46E8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b/>
      <w:kern w:val="44"/>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11221</Words>
  <Characters>12142</Characters>
  <Lines>0</Lines>
  <Paragraphs>0</Paragraphs>
  <TotalTime>0</TotalTime>
  <ScaleCrop>false</ScaleCrop>
  <LinksUpToDate>false</LinksUpToDate>
  <CharactersWithSpaces>12311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2025-08-11T07:39:00Z</dcterms:created>
  <dc:creator>中金泰富工程管理有限公司:毕玮</dc:creator>
  <cp:lastModifiedBy>中金泰富工程管理有限公司:毕玮</cp:lastModifiedBy>
  <dcterms:modified xsi:type="dcterms:W3CDTF">2025-08-11T07:39:35Z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285BF8F83798472C9A865D5F39A13274_11</vt:lpwstr>
  </property>
</Properties>
</file>