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37B7E">
      <w:pPr>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焦作大学教室升级改造项目</w:t>
      </w:r>
    </w:p>
    <w:p w14:paraId="68E853DA">
      <w:pPr>
        <w:numPr>
          <w:ilvl w:val="0"/>
          <w:numId w:val="0"/>
        </w:numP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一、焦作大学教室升级改造项目“第二章 供应商须知 六、评定标准”</w:t>
      </w:r>
      <w:r>
        <w:rPr>
          <w:rFonts w:hint="eastAsia" w:ascii="仿宋" w:hAnsi="仿宋" w:eastAsia="仿宋" w:cs="Times New Roman"/>
          <w:b/>
          <w:bCs/>
          <w:sz w:val="28"/>
          <w:szCs w:val="28"/>
        </w:rPr>
        <w:t>原采购信息内容：</w:t>
      </w:r>
    </w:p>
    <w:p w14:paraId="3D91D8C2">
      <w:pPr>
        <w:pStyle w:val="7"/>
        <w:keepNext w:val="0"/>
        <w:keepLines w:val="0"/>
        <w:pageBreakBefore w:val="0"/>
        <w:tabs>
          <w:tab w:val="left" w:pos="-900"/>
          <w:tab w:val="clear" w:pos="709"/>
        </w:tabs>
        <w:kinsoku/>
        <w:wordWrap/>
        <w:overflowPunct/>
        <w:topLinePunct w:val="0"/>
        <w:autoSpaceDE/>
        <w:autoSpaceDN/>
        <w:bidi w:val="0"/>
        <w:snapToGrid/>
        <w:spacing w:line="460" w:lineRule="exact"/>
        <w:textAlignment w:val="auto"/>
        <w:outlineLvl w:val="1"/>
        <w:rPr>
          <w:rFonts w:hint="eastAsia" w:ascii="仿宋_GB2312" w:eastAsia="仿宋_GB2312"/>
          <w:sz w:val="28"/>
          <w:szCs w:val="28"/>
          <w:highlight w:val="none"/>
        </w:rPr>
      </w:pPr>
      <w:r>
        <w:rPr>
          <w:rFonts w:hint="eastAsia" w:ascii="仿宋_GB2312" w:hAnsi="仿宋_GB2312" w:eastAsia="仿宋_GB2312" w:cs="仿宋_GB2312"/>
          <w:bCs/>
          <w:sz w:val="28"/>
          <w:szCs w:val="28"/>
          <w:highlight w:val="none"/>
        </w:rPr>
        <w:t>24.3</w:t>
      </w:r>
      <w:r>
        <w:rPr>
          <w:rFonts w:hint="eastAsia" w:ascii="仿宋_GB2312" w:eastAsia="仿宋_GB2312"/>
          <w:sz w:val="28"/>
          <w:szCs w:val="28"/>
          <w:highlight w:val="none"/>
        </w:rPr>
        <w:t>本项目采用综合评分法，总分为</w:t>
      </w:r>
      <w:r>
        <w:rPr>
          <w:rFonts w:hint="eastAsia" w:ascii="仿宋_GB2312" w:eastAsia="仿宋_GB2312"/>
          <w:sz w:val="28"/>
          <w:szCs w:val="28"/>
          <w:highlight w:val="none"/>
          <w:u w:val="single"/>
        </w:rPr>
        <w:t>100</w:t>
      </w:r>
      <w:r>
        <w:rPr>
          <w:rFonts w:hint="eastAsia" w:ascii="仿宋_GB2312" w:eastAsia="仿宋_GB2312"/>
          <w:sz w:val="28"/>
          <w:szCs w:val="28"/>
          <w:highlight w:val="none"/>
        </w:rPr>
        <w:t>分。</w:t>
      </w:r>
    </w:p>
    <w:tbl>
      <w:tblPr>
        <w:tblStyle w:val="5"/>
        <w:tblpPr w:leftFromText="180" w:rightFromText="180" w:vertAnchor="text" w:horzAnchor="page" w:tblpX="1599" w:tblpY="294"/>
        <w:tblOverlap w:val="never"/>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192"/>
        <w:gridCol w:w="6688"/>
      </w:tblGrid>
      <w:tr w14:paraId="3A31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18" w:type="dxa"/>
            <w:noWrap/>
            <w:vAlign w:val="center"/>
          </w:tcPr>
          <w:p w14:paraId="576BC399">
            <w:pPr>
              <w:widowControl/>
              <w:jc w:val="center"/>
              <w:rPr>
                <w:rFonts w:hint="eastAsia" w:ascii="仿宋" w:hAnsi="仿宋" w:eastAsia="仿宋" w:cs="仿宋"/>
                <w:b/>
                <w:bCs/>
                <w:szCs w:val="21"/>
              </w:rPr>
            </w:pPr>
            <w:r>
              <w:rPr>
                <w:rFonts w:hint="eastAsia" w:ascii="仿宋" w:hAnsi="仿宋" w:eastAsia="仿宋" w:cs="仿宋"/>
                <w:b/>
                <w:bCs/>
                <w:szCs w:val="21"/>
              </w:rPr>
              <w:t>类别</w:t>
            </w:r>
          </w:p>
        </w:tc>
        <w:tc>
          <w:tcPr>
            <w:tcW w:w="1192" w:type="dxa"/>
            <w:noWrap/>
            <w:vAlign w:val="center"/>
          </w:tcPr>
          <w:p w14:paraId="2E0D9455">
            <w:pPr>
              <w:widowControl/>
              <w:jc w:val="center"/>
              <w:rPr>
                <w:rFonts w:hint="eastAsia" w:ascii="仿宋" w:hAnsi="仿宋" w:eastAsia="仿宋" w:cs="仿宋"/>
                <w:b/>
                <w:bCs/>
                <w:szCs w:val="21"/>
              </w:rPr>
            </w:pPr>
            <w:r>
              <w:rPr>
                <w:rFonts w:hint="eastAsia" w:ascii="仿宋" w:hAnsi="仿宋" w:eastAsia="仿宋" w:cs="仿宋"/>
                <w:b/>
                <w:bCs/>
                <w:szCs w:val="21"/>
              </w:rPr>
              <w:t>评审内容</w:t>
            </w:r>
          </w:p>
        </w:tc>
        <w:tc>
          <w:tcPr>
            <w:tcW w:w="6688" w:type="dxa"/>
            <w:noWrap w:val="0"/>
            <w:vAlign w:val="top"/>
          </w:tcPr>
          <w:p w14:paraId="0377FD58">
            <w:pPr>
              <w:widowControl/>
              <w:jc w:val="center"/>
              <w:rPr>
                <w:rFonts w:hint="eastAsia" w:ascii="仿宋" w:hAnsi="仿宋" w:eastAsia="仿宋" w:cs="仿宋"/>
                <w:b/>
                <w:bCs/>
                <w:szCs w:val="21"/>
              </w:rPr>
            </w:pPr>
            <w:r>
              <w:rPr>
                <w:rFonts w:hint="eastAsia" w:ascii="仿宋" w:hAnsi="仿宋" w:eastAsia="仿宋" w:cs="仿宋"/>
                <w:b/>
                <w:bCs/>
                <w:szCs w:val="21"/>
              </w:rPr>
              <w:t>评分标准</w:t>
            </w:r>
          </w:p>
        </w:tc>
      </w:tr>
      <w:tr w14:paraId="119D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018" w:type="dxa"/>
            <w:noWrap/>
            <w:vAlign w:val="center"/>
          </w:tcPr>
          <w:p w14:paraId="308110A3">
            <w:pPr>
              <w:widowControl/>
              <w:jc w:val="center"/>
              <w:rPr>
                <w:rFonts w:hint="eastAsia" w:ascii="仿宋" w:hAnsi="仿宋" w:eastAsia="仿宋" w:cs="仿宋"/>
                <w:szCs w:val="21"/>
              </w:rPr>
            </w:pPr>
            <w:r>
              <w:rPr>
                <w:rFonts w:hint="eastAsia" w:ascii="仿宋" w:hAnsi="仿宋" w:eastAsia="仿宋" w:cs="仿宋"/>
                <w:szCs w:val="21"/>
              </w:rPr>
              <w:t>报价</w:t>
            </w:r>
          </w:p>
          <w:p w14:paraId="1360BCAE">
            <w:pPr>
              <w:widowControl/>
              <w:jc w:val="center"/>
              <w:rPr>
                <w:rFonts w:hint="eastAsia" w:ascii="仿宋" w:hAnsi="仿宋" w:eastAsia="仿宋" w:cs="仿宋"/>
                <w:szCs w:val="21"/>
              </w:rPr>
            </w:pPr>
            <w:r>
              <w:rPr>
                <w:rFonts w:hint="eastAsia" w:ascii="仿宋" w:hAnsi="仿宋" w:eastAsia="仿宋" w:cs="仿宋"/>
                <w:szCs w:val="21"/>
              </w:rPr>
              <w:t>部分</w:t>
            </w:r>
          </w:p>
          <w:p w14:paraId="17F2B51D">
            <w:pPr>
              <w:widowControl/>
              <w:jc w:val="both"/>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0</w:t>
            </w:r>
            <w:r>
              <w:rPr>
                <w:rFonts w:hint="eastAsia" w:ascii="仿宋" w:hAnsi="仿宋" w:eastAsia="仿宋" w:cs="仿宋"/>
                <w:szCs w:val="21"/>
              </w:rPr>
              <w:t>分）</w:t>
            </w:r>
          </w:p>
        </w:tc>
        <w:tc>
          <w:tcPr>
            <w:tcW w:w="1192" w:type="dxa"/>
            <w:noWrap/>
            <w:vAlign w:val="center"/>
          </w:tcPr>
          <w:p w14:paraId="67740DB9">
            <w:pPr>
              <w:widowControl/>
              <w:jc w:val="center"/>
              <w:rPr>
                <w:rFonts w:hint="eastAsia" w:ascii="仿宋" w:hAnsi="仿宋" w:eastAsia="仿宋" w:cs="仿宋"/>
                <w:szCs w:val="21"/>
              </w:rPr>
            </w:pPr>
            <w:r>
              <w:rPr>
                <w:rFonts w:hint="eastAsia" w:ascii="仿宋" w:hAnsi="仿宋" w:eastAsia="仿宋" w:cs="仿宋"/>
                <w:szCs w:val="21"/>
              </w:rPr>
              <w:t>投标报价</w:t>
            </w:r>
          </w:p>
          <w:p w14:paraId="340FD923">
            <w:pPr>
              <w:widowControl/>
              <w:jc w:val="center"/>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0</w:t>
            </w:r>
            <w:r>
              <w:rPr>
                <w:rFonts w:hint="eastAsia" w:ascii="仿宋" w:hAnsi="仿宋" w:eastAsia="仿宋" w:cs="仿宋"/>
                <w:szCs w:val="21"/>
              </w:rPr>
              <w:t>分）</w:t>
            </w:r>
          </w:p>
        </w:tc>
        <w:tc>
          <w:tcPr>
            <w:tcW w:w="6688" w:type="dxa"/>
            <w:noWrap w:val="0"/>
            <w:vAlign w:val="top"/>
          </w:tcPr>
          <w:p w14:paraId="110139C6">
            <w:pPr>
              <w:widowControl/>
              <w:jc w:val="left"/>
              <w:rPr>
                <w:rFonts w:hint="eastAsia" w:ascii="仿宋" w:hAnsi="仿宋" w:eastAsia="仿宋" w:cs="仿宋"/>
                <w:szCs w:val="21"/>
                <w:lang w:eastAsia="zh-CN"/>
              </w:rPr>
            </w:pPr>
            <w:r>
              <w:rPr>
                <w:rFonts w:hint="eastAsia" w:ascii="仿宋" w:hAnsi="仿宋" w:eastAsia="仿宋" w:cs="仿宋"/>
                <w:szCs w:val="21"/>
              </w:rPr>
              <w:t>满足磋商文件要求且投标报价最低的投标报价为评标基准价，其价格分为满分。其他投标单位的价格分统一按照下列公式计算：投标报价得分=（评标基准价/投标报价）×3</w:t>
            </w:r>
            <w:r>
              <w:rPr>
                <w:rFonts w:hint="eastAsia" w:ascii="仿宋" w:hAnsi="仿宋" w:eastAsia="仿宋" w:cs="仿宋"/>
                <w:szCs w:val="21"/>
                <w:lang w:val="en-US" w:eastAsia="zh-CN"/>
              </w:rPr>
              <w:t>0</w:t>
            </w:r>
          </w:p>
          <w:p w14:paraId="432B79B6">
            <w:pPr>
              <w:widowControl/>
              <w:jc w:val="left"/>
              <w:rPr>
                <w:rFonts w:hint="eastAsia" w:ascii="仿宋" w:hAnsi="仿宋" w:eastAsia="仿宋" w:cs="仿宋"/>
                <w:b/>
                <w:bCs/>
                <w:szCs w:val="21"/>
              </w:rPr>
            </w:pPr>
            <w:r>
              <w:rPr>
                <w:rFonts w:hint="eastAsia" w:ascii="仿宋" w:hAnsi="仿宋" w:eastAsia="仿宋" w:cs="仿宋"/>
                <w:b/>
                <w:bCs/>
                <w:szCs w:val="21"/>
              </w:rPr>
              <w:t>注：1.本项目将对小型和微型企业、监狱企业和残疾人福利性单位产品的报价给予20%的扣除，以调整后的价格计算基准价和投标报价。</w:t>
            </w:r>
          </w:p>
          <w:p w14:paraId="56CCF53C">
            <w:pPr>
              <w:pStyle w:val="4"/>
              <w:ind w:firstLine="422" w:firstLineChars="200"/>
              <w:rPr>
                <w:rFonts w:hint="eastAsia" w:ascii="仿宋" w:hAnsi="仿宋" w:eastAsia="仿宋" w:cs="仿宋"/>
                <w:szCs w:val="21"/>
              </w:rPr>
            </w:pPr>
            <w:r>
              <w:rPr>
                <w:rFonts w:hint="eastAsia" w:ascii="仿宋" w:hAnsi="仿宋" w:eastAsia="仿宋" w:cs="仿宋"/>
                <w:b/>
                <w:bCs/>
                <w:szCs w:val="21"/>
              </w:rPr>
              <w:t>2.价格分计算保留小数点后二位。</w:t>
            </w:r>
          </w:p>
        </w:tc>
      </w:tr>
      <w:tr w14:paraId="0C25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018" w:type="dxa"/>
            <w:vMerge w:val="restart"/>
            <w:noWrap/>
            <w:vAlign w:val="center"/>
          </w:tcPr>
          <w:p w14:paraId="33405A99">
            <w:pPr>
              <w:widowControl/>
              <w:jc w:val="center"/>
              <w:rPr>
                <w:rFonts w:hint="eastAsia" w:ascii="仿宋" w:hAnsi="仿宋" w:eastAsia="仿宋" w:cs="仿宋"/>
                <w:szCs w:val="21"/>
              </w:rPr>
            </w:pPr>
          </w:p>
          <w:p w14:paraId="45E8E71D">
            <w:pPr>
              <w:widowControl/>
              <w:jc w:val="center"/>
              <w:rPr>
                <w:rFonts w:hint="eastAsia" w:ascii="仿宋" w:hAnsi="仿宋" w:eastAsia="仿宋" w:cs="仿宋"/>
                <w:szCs w:val="21"/>
              </w:rPr>
            </w:pPr>
            <w:r>
              <w:rPr>
                <w:rFonts w:hint="eastAsia" w:ascii="仿宋" w:hAnsi="仿宋" w:eastAsia="仿宋" w:cs="仿宋"/>
                <w:szCs w:val="21"/>
              </w:rPr>
              <w:t>技术</w:t>
            </w:r>
          </w:p>
          <w:p w14:paraId="3C6E7EAB">
            <w:pPr>
              <w:widowControl/>
              <w:jc w:val="center"/>
              <w:rPr>
                <w:rFonts w:hint="eastAsia" w:ascii="仿宋" w:hAnsi="仿宋" w:eastAsia="仿宋" w:cs="仿宋"/>
                <w:szCs w:val="21"/>
              </w:rPr>
            </w:pPr>
            <w:r>
              <w:rPr>
                <w:rFonts w:hint="eastAsia" w:ascii="仿宋" w:hAnsi="仿宋" w:eastAsia="仿宋" w:cs="仿宋"/>
                <w:szCs w:val="21"/>
              </w:rPr>
              <w:t>部分</w:t>
            </w:r>
          </w:p>
          <w:p w14:paraId="37294DEB">
            <w:pPr>
              <w:widowControl/>
              <w:jc w:val="center"/>
              <w:rPr>
                <w:rFonts w:hint="eastAsia" w:ascii="仿宋" w:hAnsi="仿宋" w:eastAsia="仿宋" w:cs="仿宋"/>
                <w:szCs w:val="21"/>
              </w:rPr>
            </w:pPr>
            <w:r>
              <w:rPr>
                <w:rFonts w:hint="eastAsia" w:ascii="仿宋" w:hAnsi="仿宋" w:eastAsia="仿宋" w:cs="仿宋"/>
                <w:szCs w:val="21"/>
              </w:rPr>
              <w:t>（45分）</w:t>
            </w:r>
          </w:p>
        </w:tc>
        <w:tc>
          <w:tcPr>
            <w:tcW w:w="1192" w:type="dxa"/>
            <w:noWrap/>
            <w:vAlign w:val="center"/>
          </w:tcPr>
          <w:p w14:paraId="6D361378">
            <w:pPr>
              <w:widowControl/>
              <w:jc w:val="center"/>
              <w:rPr>
                <w:rFonts w:hint="eastAsia" w:ascii="仿宋" w:hAnsi="仿宋" w:eastAsia="仿宋" w:cs="仿宋"/>
                <w:szCs w:val="21"/>
              </w:rPr>
            </w:pPr>
            <w:r>
              <w:rPr>
                <w:rFonts w:hint="eastAsia" w:ascii="仿宋" w:hAnsi="仿宋" w:eastAsia="仿宋" w:cs="仿宋"/>
                <w:szCs w:val="21"/>
              </w:rPr>
              <w:t>技术参数响应程度</w:t>
            </w:r>
          </w:p>
          <w:p w14:paraId="74F9CC69">
            <w:pPr>
              <w:widowControl/>
              <w:jc w:val="center"/>
              <w:rPr>
                <w:rFonts w:hint="eastAsia" w:ascii="仿宋" w:hAnsi="仿宋" w:eastAsia="仿宋" w:cs="仿宋"/>
                <w:szCs w:val="21"/>
              </w:rPr>
            </w:pPr>
            <w:r>
              <w:rPr>
                <w:rFonts w:hint="eastAsia" w:ascii="仿宋" w:hAnsi="仿宋" w:eastAsia="仿宋" w:cs="仿宋"/>
                <w:szCs w:val="21"/>
              </w:rPr>
              <w:t>（30分）</w:t>
            </w:r>
          </w:p>
        </w:tc>
        <w:tc>
          <w:tcPr>
            <w:tcW w:w="6688" w:type="dxa"/>
            <w:noWrap w:val="0"/>
            <w:vAlign w:val="top"/>
          </w:tcPr>
          <w:p w14:paraId="714EFD34">
            <w:pPr>
              <w:widowControl/>
              <w:jc w:val="left"/>
              <w:rPr>
                <w:rFonts w:hint="eastAsia" w:ascii="仿宋" w:hAnsi="仿宋" w:eastAsia="仿宋" w:cs="仿宋"/>
                <w:szCs w:val="21"/>
              </w:rPr>
            </w:pPr>
            <w:r>
              <w:rPr>
                <w:rFonts w:hint="eastAsia" w:ascii="仿宋" w:hAnsi="仿宋" w:eastAsia="仿宋" w:cs="仿宋"/>
                <w:szCs w:val="21"/>
                <w:lang w:eastAsia="zh-CN"/>
              </w:rPr>
              <w:t>供应商</w:t>
            </w:r>
            <w:r>
              <w:rPr>
                <w:rFonts w:hint="eastAsia" w:ascii="仿宋" w:hAnsi="仿宋" w:eastAsia="仿宋" w:cs="仿宋"/>
                <w:szCs w:val="21"/>
              </w:rPr>
              <w:t>所投主要产品技术参数、产品功能全部满足</w:t>
            </w:r>
            <w:r>
              <w:rPr>
                <w:rFonts w:hint="eastAsia" w:ascii="仿宋" w:hAnsi="仿宋" w:eastAsia="仿宋" w:cs="仿宋"/>
                <w:szCs w:val="21"/>
                <w:lang w:eastAsia="zh-CN"/>
              </w:rPr>
              <w:t>磋商文件</w:t>
            </w:r>
            <w:r>
              <w:rPr>
                <w:rFonts w:hint="eastAsia" w:ascii="仿宋" w:hAnsi="仿宋" w:eastAsia="仿宋" w:cs="仿宋"/>
                <w:szCs w:val="21"/>
              </w:rPr>
              <w:t>要求的得30分。以此为基础，加★项为重要性能要求，需提供检测机构出具的证明文件原件扫描件，并在投标文件中逐一标明加★项参数所在标书页码，加★项每一处“负偏离”扣3分，扣完为止；非带★标注项每有1项负偏离的，扣1分，扣完为止。</w:t>
            </w:r>
          </w:p>
        </w:tc>
      </w:tr>
      <w:tr w14:paraId="6A1E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8" w:hRule="atLeast"/>
        </w:trPr>
        <w:tc>
          <w:tcPr>
            <w:tcW w:w="1018" w:type="dxa"/>
            <w:vMerge w:val="continue"/>
            <w:noWrap w:val="0"/>
            <w:vAlign w:val="center"/>
          </w:tcPr>
          <w:p w14:paraId="3CE26E36">
            <w:pPr>
              <w:widowControl/>
              <w:rPr>
                <w:rFonts w:hint="eastAsia" w:ascii="仿宋" w:hAnsi="仿宋" w:eastAsia="仿宋" w:cs="仿宋"/>
                <w:szCs w:val="21"/>
              </w:rPr>
            </w:pPr>
          </w:p>
        </w:tc>
        <w:tc>
          <w:tcPr>
            <w:tcW w:w="1192" w:type="dxa"/>
            <w:noWrap/>
            <w:vAlign w:val="center"/>
          </w:tcPr>
          <w:p w14:paraId="636C7E48">
            <w:pPr>
              <w:widowControl/>
              <w:jc w:val="center"/>
              <w:rPr>
                <w:rFonts w:hint="eastAsia" w:ascii="仿宋" w:hAnsi="仿宋" w:eastAsia="仿宋" w:cs="仿宋"/>
                <w:szCs w:val="21"/>
              </w:rPr>
            </w:pPr>
            <w:r>
              <w:rPr>
                <w:rFonts w:hint="eastAsia" w:ascii="仿宋" w:hAnsi="仿宋" w:eastAsia="仿宋" w:cs="仿宋"/>
                <w:szCs w:val="21"/>
              </w:rPr>
              <w:t>实施方案</w:t>
            </w:r>
          </w:p>
          <w:p w14:paraId="5884034E">
            <w:pPr>
              <w:widowControl/>
              <w:jc w:val="center"/>
              <w:rPr>
                <w:rFonts w:hint="eastAsia" w:ascii="仿宋" w:hAnsi="仿宋" w:eastAsia="仿宋" w:cs="仿宋"/>
                <w:szCs w:val="21"/>
              </w:rPr>
            </w:pPr>
            <w:r>
              <w:rPr>
                <w:rFonts w:hint="eastAsia" w:ascii="仿宋" w:hAnsi="仿宋" w:eastAsia="仿宋" w:cs="仿宋"/>
                <w:szCs w:val="21"/>
              </w:rPr>
              <w:t>（5分）</w:t>
            </w:r>
          </w:p>
        </w:tc>
        <w:tc>
          <w:tcPr>
            <w:tcW w:w="6688" w:type="dxa"/>
            <w:noWrap w:val="0"/>
            <w:vAlign w:val="top"/>
          </w:tcPr>
          <w:p w14:paraId="46FCBD27">
            <w:pPr>
              <w:widowControl/>
              <w:jc w:val="left"/>
              <w:rPr>
                <w:rFonts w:hint="eastAsia" w:ascii="仿宋" w:hAnsi="仿宋" w:eastAsia="仿宋" w:cs="仿宋"/>
                <w:b/>
                <w:bCs/>
                <w:szCs w:val="21"/>
              </w:rPr>
            </w:pPr>
            <w:r>
              <w:rPr>
                <w:rFonts w:hint="eastAsia" w:ascii="仿宋" w:hAnsi="仿宋" w:eastAsia="仿宋" w:cs="仿宋"/>
                <w:b/>
                <w:bCs/>
                <w:szCs w:val="21"/>
              </w:rPr>
              <w:t>根据供应商提供的实施方案（包含供货安装调试方案、安装进度计划、人员安排、进度保证措施、质量保证措施、重点难点分析及解决方案等）进行评分：</w:t>
            </w:r>
          </w:p>
          <w:p w14:paraId="078AFF5D">
            <w:pPr>
              <w:widowControl/>
              <w:jc w:val="left"/>
              <w:rPr>
                <w:rFonts w:hint="eastAsia" w:ascii="仿宋" w:hAnsi="仿宋" w:eastAsia="仿宋" w:cs="仿宋"/>
                <w:szCs w:val="21"/>
              </w:rPr>
            </w:pPr>
            <w:r>
              <w:rPr>
                <w:rFonts w:hint="eastAsia" w:ascii="仿宋" w:hAnsi="仿宋" w:eastAsia="仿宋" w:cs="仿宋"/>
                <w:szCs w:val="21"/>
              </w:rPr>
              <w:t>1、方案切合实际、详细具体，关键环节控制措施可行性强，能满足或优于用户需求，得5分；</w:t>
            </w:r>
          </w:p>
          <w:p w14:paraId="024784F4">
            <w:pPr>
              <w:widowControl/>
              <w:jc w:val="left"/>
              <w:rPr>
                <w:rFonts w:hint="eastAsia" w:ascii="仿宋" w:hAnsi="仿宋" w:eastAsia="仿宋" w:cs="仿宋"/>
                <w:szCs w:val="21"/>
              </w:rPr>
            </w:pPr>
            <w:r>
              <w:rPr>
                <w:rFonts w:hint="eastAsia" w:ascii="仿宋" w:hAnsi="仿宋" w:eastAsia="仿宋" w:cs="仿宋"/>
                <w:szCs w:val="21"/>
              </w:rPr>
              <w:t>2、方案比较切合实际、较详细，关键环节控制措施较可行，基本能满足用户需求，得3分；</w:t>
            </w:r>
          </w:p>
          <w:p w14:paraId="4B5ACD58">
            <w:pPr>
              <w:widowControl/>
              <w:jc w:val="left"/>
              <w:rPr>
                <w:rFonts w:hint="eastAsia" w:ascii="仿宋" w:hAnsi="仿宋" w:eastAsia="仿宋" w:cs="仿宋"/>
                <w:szCs w:val="21"/>
              </w:rPr>
            </w:pPr>
            <w:r>
              <w:rPr>
                <w:rFonts w:hint="eastAsia" w:ascii="仿宋" w:hAnsi="仿宋" w:eastAsia="仿宋" w:cs="仿宋"/>
                <w:szCs w:val="21"/>
              </w:rPr>
              <w:t>3、方案不切合实际，关键环节控制措施一般，部分满足用户需求，得1分；</w:t>
            </w:r>
          </w:p>
          <w:p w14:paraId="5A995BD9">
            <w:pPr>
              <w:widowControl/>
              <w:jc w:val="left"/>
              <w:textAlignment w:val="baseline"/>
              <w:rPr>
                <w:rFonts w:hint="eastAsia" w:ascii="仿宋" w:hAnsi="仿宋" w:eastAsia="仿宋" w:cs="仿宋"/>
                <w:szCs w:val="21"/>
              </w:rPr>
            </w:pPr>
            <w:r>
              <w:rPr>
                <w:rFonts w:hint="eastAsia" w:ascii="仿宋" w:hAnsi="仿宋" w:eastAsia="仿宋" w:cs="仿宋"/>
                <w:szCs w:val="21"/>
              </w:rPr>
              <w:t xml:space="preserve">4、未提供方案不得分。 </w:t>
            </w:r>
          </w:p>
        </w:tc>
      </w:tr>
      <w:tr w14:paraId="01C4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trPr>
        <w:tc>
          <w:tcPr>
            <w:tcW w:w="1018" w:type="dxa"/>
            <w:vMerge w:val="continue"/>
            <w:noWrap w:val="0"/>
            <w:vAlign w:val="center"/>
          </w:tcPr>
          <w:p w14:paraId="6135D7A6">
            <w:pPr>
              <w:widowControl/>
              <w:rPr>
                <w:rFonts w:hint="eastAsia" w:ascii="仿宋" w:hAnsi="仿宋" w:eastAsia="仿宋" w:cs="仿宋"/>
                <w:szCs w:val="21"/>
              </w:rPr>
            </w:pPr>
          </w:p>
        </w:tc>
        <w:tc>
          <w:tcPr>
            <w:tcW w:w="1192" w:type="dxa"/>
            <w:noWrap/>
            <w:vAlign w:val="center"/>
          </w:tcPr>
          <w:p w14:paraId="3A564279">
            <w:pPr>
              <w:widowControl/>
              <w:jc w:val="center"/>
              <w:rPr>
                <w:rFonts w:hint="eastAsia" w:ascii="仿宋" w:hAnsi="仿宋" w:eastAsia="仿宋" w:cs="仿宋"/>
                <w:szCs w:val="21"/>
              </w:rPr>
            </w:pPr>
            <w:r>
              <w:rPr>
                <w:rFonts w:hint="eastAsia" w:ascii="仿宋" w:hAnsi="仿宋" w:eastAsia="仿宋" w:cs="仿宋"/>
                <w:szCs w:val="21"/>
              </w:rPr>
              <w:t>产品性能</w:t>
            </w:r>
          </w:p>
          <w:p w14:paraId="7A29FA80">
            <w:pPr>
              <w:widowControl/>
              <w:jc w:val="center"/>
              <w:rPr>
                <w:rFonts w:hint="eastAsia" w:ascii="仿宋" w:hAnsi="仿宋" w:eastAsia="仿宋" w:cs="仿宋"/>
                <w:szCs w:val="21"/>
              </w:rPr>
            </w:pPr>
            <w:r>
              <w:rPr>
                <w:rFonts w:hint="eastAsia" w:ascii="仿宋" w:hAnsi="仿宋" w:eastAsia="仿宋" w:cs="仿宋"/>
                <w:szCs w:val="21"/>
              </w:rPr>
              <w:t>（5分）</w:t>
            </w:r>
          </w:p>
        </w:tc>
        <w:tc>
          <w:tcPr>
            <w:tcW w:w="6688" w:type="dxa"/>
            <w:noWrap w:val="0"/>
            <w:vAlign w:val="top"/>
          </w:tcPr>
          <w:p w14:paraId="3D17B07E">
            <w:pPr>
              <w:widowControl/>
              <w:jc w:val="left"/>
              <w:rPr>
                <w:rFonts w:hint="eastAsia" w:ascii="仿宋" w:hAnsi="仿宋" w:eastAsia="仿宋" w:cs="仿宋"/>
                <w:b/>
                <w:bCs/>
                <w:szCs w:val="21"/>
              </w:rPr>
            </w:pPr>
            <w:r>
              <w:rPr>
                <w:rFonts w:hint="eastAsia" w:ascii="仿宋" w:hAnsi="仿宋" w:eastAsia="仿宋" w:cs="仿宋"/>
                <w:b/>
                <w:bCs/>
                <w:szCs w:val="21"/>
              </w:rPr>
              <w:t>根据供应商对本项目产品性能、易用性、教学功能丰富性、教学资源丰富性、设备可靠性、先进性、设备质量等的阐述进行评分：</w:t>
            </w:r>
          </w:p>
          <w:p w14:paraId="3C5282CB">
            <w:pPr>
              <w:widowControl/>
              <w:jc w:val="left"/>
              <w:rPr>
                <w:rFonts w:hint="eastAsia" w:ascii="仿宋" w:hAnsi="仿宋" w:eastAsia="仿宋" w:cs="仿宋"/>
                <w:szCs w:val="21"/>
              </w:rPr>
            </w:pPr>
            <w:r>
              <w:rPr>
                <w:rFonts w:hint="eastAsia" w:ascii="仿宋" w:hAnsi="仿宋" w:eastAsia="仿宋" w:cs="仿宋"/>
                <w:szCs w:val="21"/>
              </w:rPr>
              <w:t xml:space="preserve">1、所投产品贴合传统教学方式易上手、教学工具多、教学资源丰富、学科覆盖全面，性能强、教学功能多、可靠性强、产品先进、质量好的，得5分； </w:t>
            </w:r>
          </w:p>
          <w:p w14:paraId="1C1FBD6B">
            <w:pPr>
              <w:widowControl/>
              <w:jc w:val="left"/>
              <w:rPr>
                <w:rFonts w:hint="eastAsia" w:ascii="仿宋" w:hAnsi="仿宋" w:eastAsia="仿宋" w:cs="仿宋"/>
                <w:szCs w:val="21"/>
              </w:rPr>
            </w:pPr>
            <w:r>
              <w:rPr>
                <w:rFonts w:hint="eastAsia" w:ascii="仿宋" w:hAnsi="仿宋" w:eastAsia="仿宋" w:cs="仿宋"/>
                <w:szCs w:val="21"/>
              </w:rPr>
              <w:t xml:space="preserve">2、所投产品上手一般、教学工具较少、教学资源较少、学科资源较少，产品性能一般、教学功能较少、可靠性一般、质量一般的，得3分； </w:t>
            </w:r>
          </w:p>
          <w:p w14:paraId="726B084A">
            <w:pPr>
              <w:widowControl/>
              <w:jc w:val="left"/>
              <w:rPr>
                <w:rFonts w:hint="eastAsia" w:ascii="仿宋" w:hAnsi="仿宋" w:eastAsia="仿宋" w:cs="仿宋"/>
                <w:szCs w:val="21"/>
              </w:rPr>
            </w:pPr>
            <w:r>
              <w:rPr>
                <w:rFonts w:hint="eastAsia" w:ascii="仿宋" w:hAnsi="仿宋" w:eastAsia="仿宋" w:cs="仿宋"/>
                <w:szCs w:val="21"/>
              </w:rPr>
              <w:t xml:space="preserve">3、所投产品不易操作，教学工具少，教学资源少，学科资源少，质量差的，得1分； </w:t>
            </w:r>
          </w:p>
          <w:p w14:paraId="5897C86A">
            <w:pPr>
              <w:widowControl/>
              <w:jc w:val="left"/>
              <w:textAlignment w:val="baseline"/>
              <w:rPr>
                <w:rFonts w:hint="eastAsia" w:ascii="仿宋" w:hAnsi="仿宋" w:eastAsia="仿宋" w:cs="仿宋"/>
                <w:szCs w:val="21"/>
              </w:rPr>
            </w:pPr>
            <w:r>
              <w:rPr>
                <w:rFonts w:hint="eastAsia" w:ascii="仿宋" w:hAnsi="仿宋" w:eastAsia="仿宋" w:cs="仿宋"/>
                <w:szCs w:val="21"/>
              </w:rPr>
              <w:t>4、所投产品操作复杂、基本没有教学工具、基本没有教学资源、基本没有学科资源得0分。</w:t>
            </w:r>
          </w:p>
        </w:tc>
      </w:tr>
      <w:tr w14:paraId="30C6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018" w:type="dxa"/>
            <w:vMerge w:val="continue"/>
            <w:noWrap w:val="0"/>
            <w:vAlign w:val="center"/>
          </w:tcPr>
          <w:p w14:paraId="0F49E2C0">
            <w:pPr>
              <w:widowControl/>
              <w:rPr>
                <w:rFonts w:hint="eastAsia" w:ascii="仿宋" w:hAnsi="仿宋" w:eastAsia="仿宋" w:cs="仿宋"/>
                <w:szCs w:val="21"/>
              </w:rPr>
            </w:pPr>
          </w:p>
        </w:tc>
        <w:tc>
          <w:tcPr>
            <w:tcW w:w="1192" w:type="dxa"/>
            <w:noWrap/>
            <w:vAlign w:val="center"/>
          </w:tcPr>
          <w:p w14:paraId="60DEF59F">
            <w:pPr>
              <w:widowControl/>
              <w:jc w:val="center"/>
              <w:rPr>
                <w:rFonts w:hint="eastAsia" w:ascii="仿宋" w:hAnsi="仿宋" w:eastAsia="仿宋" w:cs="仿宋"/>
                <w:szCs w:val="21"/>
              </w:rPr>
            </w:pPr>
            <w:r>
              <w:rPr>
                <w:rFonts w:hint="eastAsia" w:ascii="仿宋" w:hAnsi="仿宋" w:eastAsia="仿宋" w:cs="仿宋"/>
                <w:szCs w:val="21"/>
              </w:rPr>
              <w:t>人员培训方案（5分）</w:t>
            </w:r>
          </w:p>
        </w:tc>
        <w:tc>
          <w:tcPr>
            <w:tcW w:w="6688" w:type="dxa"/>
            <w:noWrap w:val="0"/>
            <w:vAlign w:val="top"/>
          </w:tcPr>
          <w:p w14:paraId="6FFD9895">
            <w:pPr>
              <w:widowControl/>
              <w:jc w:val="left"/>
              <w:rPr>
                <w:rFonts w:hint="eastAsia" w:ascii="仿宋" w:hAnsi="仿宋" w:eastAsia="仿宋" w:cs="仿宋"/>
                <w:b/>
                <w:bCs/>
                <w:szCs w:val="21"/>
              </w:rPr>
            </w:pPr>
            <w:r>
              <w:rPr>
                <w:rFonts w:hint="eastAsia" w:ascii="仿宋" w:hAnsi="仿宋" w:eastAsia="仿宋" w:cs="仿宋"/>
                <w:b/>
                <w:bCs/>
                <w:szCs w:val="21"/>
              </w:rPr>
              <w:t xml:space="preserve">根据供应商提供的培训方案（包括但不限于培训内容、培训方式、服务（培训）团队、培训时间安排、培 训目标、适合教师应用的培训内容体系、保证使用单位能熟练操作维护和正常使用，并进行简单故障排查处理等方案）进行打分： </w:t>
            </w:r>
          </w:p>
          <w:p w14:paraId="165A032A">
            <w:pPr>
              <w:widowControl/>
              <w:jc w:val="left"/>
              <w:rPr>
                <w:rFonts w:hint="eastAsia" w:ascii="仿宋" w:hAnsi="仿宋" w:eastAsia="仿宋" w:cs="仿宋"/>
                <w:szCs w:val="21"/>
              </w:rPr>
            </w:pPr>
            <w:r>
              <w:rPr>
                <w:rFonts w:hint="eastAsia" w:ascii="仿宋" w:hAnsi="仿宋" w:eastAsia="仿宋" w:cs="仿宋"/>
                <w:szCs w:val="21"/>
              </w:rPr>
              <w:t xml:space="preserve">1、方案完整齐全，科学合理，可行性高，得5分； </w:t>
            </w:r>
          </w:p>
          <w:p w14:paraId="1C49E5EE">
            <w:pPr>
              <w:widowControl/>
              <w:jc w:val="left"/>
              <w:rPr>
                <w:rFonts w:hint="eastAsia" w:ascii="仿宋" w:hAnsi="仿宋" w:eastAsia="仿宋" w:cs="仿宋"/>
                <w:szCs w:val="21"/>
              </w:rPr>
            </w:pPr>
            <w:r>
              <w:rPr>
                <w:rFonts w:hint="eastAsia" w:ascii="仿宋" w:hAnsi="仿宋" w:eastAsia="仿宋" w:cs="仿宋"/>
                <w:szCs w:val="21"/>
              </w:rPr>
              <w:t xml:space="preserve">2、方案较完整齐全，较科学合理，可行性较高，得3分； </w:t>
            </w:r>
          </w:p>
          <w:p w14:paraId="3F9480FE">
            <w:pPr>
              <w:widowControl/>
              <w:jc w:val="left"/>
              <w:rPr>
                <w:rFonts w:hint="eastAsia" w:ascii="仿宋" w:hAnsi="仿宋" w:eastAsia="仿宋" w:cs="仿宋"/>
                <w:szCs w:val="21"/>
              </w:rPr>
            </w:pPr>
            <w:r>
              <w:rPr>
                <w:rFonts w:hint="eastAsia" w:ascii="仿宋" w:hAnsi="仿宋" w:eastAsia="仿宋" w:cs="仿宋"/>
                <w:szCs w:val="21"/>
              </w:rPr>
              <w:t xml:space="preserve">3、方案不够完整齐全，不够科学合理，可行性不高，得1分； </w:t>
            </w:r>
          </w:p>
          <w:p w14:paraId="568AD331">
            <w:pPr>
              <w:widowControl/>
              <w:jc w:val="left"/>
              <w:rPr>
                <w:rFonts w:hint="eastAsia" w:ascii="仿宋" w:hAnsi="仿宋" w:eastAsia="仿宋" w:cs="仿宋"/>
                <w:szCs w:val="21"/>
              </w:rPr>
            </w:pPr>
            <w:r>
              <w:rPr>
                <w:rFonts w:hint="eastAsia" w:ascii="仿宋" w:hAnsi="仿宋" w:eastAsia="仿宋" w:cs="仿宋"/>
                <w:szCs w:val="21"/>
              </w:rPr>
              <w:t>4、内容不可行或未提供的得0分。</w:t>
            </w:r>
          </w:p>
        </w:tc>
      </w:tr>
      <w:tr w14:paraId="444C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1018" w:type="dxa"/>
            <w:vMerge w:val="restart"/>
            <w:noWrap w:val="0"/>
            <w:vAlign w:val="center"/>
          </w:tcPr>
          <w:p w14:paraId="622F8D0B">
            <w:pPr>
              <w:widowControl/>
              <w:jc w:val="center"/>
              <w:rPr>
                <w:rFonts w:hint="eastAsia" w:ascii="仿宋" w:hAnsi="仿宋" w:eastAsia="仿宋" w:cs="仿宋"/>
                <w:szCs w:val="21"/>
              </w:rPr>
            </w:pPr>
            <w:r>
              <w:rPr>
                <w:rFonts w:hint="eastAsia" w:ascii="仿宋" w:hAnsi="仿宋" w:eastAsia="仿宋" w:cs="仿宋"/>
                <w:szCs w:val="21"/>
              </w:rPr>
              <w:t>商务</w:t>
            </w:r>
          </w:p>
          <w:p w14:paraId="5A16E6C5">
            <w:pPr>
              <w:widowControl/>
              <w:jc w:val="center"/>
              <w:rPr>
                <w:rFonts w:hint="eastAsia" w:ascii="仿宋" w:hAnsi="仿宋" w:eastAsia="仿宋" w:cs="仿宋"/>
                <w:szCs w:val="21"/>
              </w:rPr>
            </w:pPr>
            <w:r>
              <w:rPr>
                <w:rFonts w:hint="eastAsia" w:ascii="仿宋" w:hAnsi="仿宋" w:eastAsia="仿宋" w:cs="仿宋"/>
                <w:szCs w:val="21"/>
              </w:rPr>
              <w:t>部分</w:t>
            </w:r>
          </w:p>
          <w:p w14:paraId="6615FF0E">
            <w:pPr>
              <w:widowControl/>
              <w:jc w:val="center"/>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5</w:t>
            </w:r>
            <w:r>
              <w:rPr>
                <w:rFonts w:hint="eastAsia" w:ascii="仿宋" w:hAnsi="仿宋" w:eastAsia="仿宋" w:cs="仿宋"/>
                <w:szCs w:val="21"/>
              </w:rPr>
              <w:t>分）</w:t>
            </w:r>
          </w:p>
        </w:tc>
        <w:tc>
          <w:tcPr>
            <w:tcW w:w="1192" w:type="dxa"/>
            <w:noWrap/>
            <w:vAlign w:val="center"/>
          </w:tcPr>
          <w:p w14:paraId="6CFD4D34">
            <w:pPr>
              <w:widowControl/>
              <w:jc w:val="center"/>
              <w:rPr>
                <w:rFonts w:hint="eastAsia" w:ascii="仿宋" w:hAnsi="仿宋" w:eastAsia="仿宋" w:cs="仿宋"/>
                <w:szCs w:val="21"/>
              </w:rPr>
            </w:pPr>
            <w:r>
              <w:rPr>
                <w:rFonts w:hint="eastAsia" w:ascii="仿宋" w:hAnsi="仿宋" w:eastAsia="仿宋" w:cs="仿宋"/>
                <w:szCs w:val="21"/>
              </w:rPr>
              <w:t>生产厂家实力（8分）</w:t>
            </w:r>
          </w:p>
        </w:tc>
        <w:tc>
          <w:tcPr>
            <w:tcW w:w="6688" w:type="dxa"/>
            <w:noWrap w:val="0"/>
            <w:vAlign w:val="top"/>
          </w:tcPr>
          <w:p w14:paraId="40962C10">
            <w:pPr>
              <w:widowControl/>
              <w:jc w:val="left"/>
              <w:rPr>
                <w:rFonts w:hint="eastAsia" w:ascii="仿宋" w:hAnsi="仿宋" w:eastAsia="仿宋" w:cs="仿宋"/>
                <w:szCs w:val="21"/>
              </w:rPr>
            </w:pPr>
            <w:r>
              <w:rPr>
                <w:rFonts w:hint="eastAsia" w:ascii="仿宋" w:hAnsi="仿宋" w:eastAsia="仿宋" w:cs="仿宋"/>
                <w:szCs w:val="21"/>
              </w:rPr>
              <w:t>1、所投（智慧黑板、教学软件、视频展台）产品制造商具备较强的技术研发实力，近10年来获得过国家级科学技术奖励，每一项得2分，获得过省级科学技术奖励，每一项得1分，最高得4分。需提供相关证明材料原件扫描件，不提供不得分。</w:t>
            </w:r>
          </w:p>
          <w:p w14:paraId="13B91B1E">
            <w:pPr>
              <w:widowControl/>
              <w:jc w:val="left"/>
              <w:rPr>
                <w:rFonts w:hint="eastAsia" w:ascii="仿宋" w:hAnsi="仿宋" w:eastAsia="仿宋" w:cs="仿宋"/>
                <w:szCs w:val="21"/>
              </w:rPr>
            </w:pPr>
            <w:r>
              <w:rPr>
                <w:rFonts w:hint="eastAsia" w:ascii="仿宋" w:hAnsi="仿宋" w:eastAsia="仿宋" w:cs="仿宋"/>
                <w:szCs w:val="21"/>
              </w:rPr>
              <w:t>2、所投（智慧黑板、教学软件、视频展台）产品制造商应备具备国家科学技术部颁发的国家新一代人工智能开放创新平台的，得4分，需提供相关证明材料原件扫描件，不提供不得分。</w:t>
            </w:r>
          </w:p>
        </w:tc>
      </w:tr>
      <w:tr w14:paraId="7FC3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018" w:type="dxa"/>
            <w:vMerge w:val="continue"/>
            <w:noWrap w:val="0"/>
            <w:vAlign w:val="center"/>
          </w:tcPr>
          <w:p w14:paraId="18D016A0">
            <w:pPr>
              <w:widowControl/>
              <w:jc w:val="center"/>
              <w:rPr>
                <w:rFonts w:hint="eastAsia" w:ascii="仿宋" w:hAnsi="仿宋" w:eastAsia="仿宋" w:cs="仿宋"/>
                <w:szCs w:val="21"/>
              </w:rPr>
            </w:pPr>
          </w:p>
        </w:tc>
        <w:tc>
          <w:tcPr>
            <w:tcW w:w="1192" w:type="dxa"/>
            <w:noWrap/>
            <w:vAlign w:val="center"/>
          </w:tcPr>
          <w:p w14:paraId="7F3648C4">
            <w:pPr>
              <w:widowControl/>
              <w:jc w:val="center"/>
              <w:rPr>
                <w:rFonts w:hint="eastAsia" w:ascii="仿宋" w:hAnsi="仿宋" w:eastAsia="仿宋" w:cs="仿宋"/>
                <w:szCs w:val="21"/>
              </w:rPr>
            </w:pPr>
            <w:r>
              <w:rPr>
                <w:rFonts w:hint="eastAsia" w:ascii="仿宋" w:hAnsi="仿宋" w:eastAsia="仿宋" w:cs="仿宋"/>
                <w:szCs w:val="21"/>
              </w:rPr>
              <w:t>售后服务</w:t>
            </w:r>
          </w:p>
          <w:p w14:paraId="6B0EDDF6">
            <w:pPr>
              <w:widowControl/>
              <w:jc w:val="center"/>
              <w:rPr>
                <w:rFonts w:hint="eastAsia" w:ascii="仿宋" w:hAnsi="仿宋" w:eastAsia="仿宋" w:cs="仿宋"/>
                <w:szCs w:val="21"/>
              </w:rPr>
            </w:pPr>
            <w:r>
              <w:rPr>
                <w:rFonts w:hint="eastAsia" w:ascii="仿宋" w:hAnsi="仿宋" w:eastAsia="仿宋" w:cs="仿宋"/>
                <w:szCs w:val="21"/>
              </w:rPr>
              <w:t>（5分）</w:t>
            </w:r>
          </w:p>
        </w:tc>
        <w:tc>
          <w:tcPr>
            <w:tcW w:w="6688" w:type="dxa"/>
            <w:noWrap w:val="0"/>
            <w:vAlign w:val="top"/>
          </w:tcPr>
          <w:p w14:paraId="191C1C80">
            <w:pPr>
              <w:widowControl/>
              <w:jc w:val="left"/>
              <w:rPr>
                <w:rFonts w:hint="eastAsia" w:ascii="仿宋" w:hAnsi="仿宋" w:eastAsia="仿宋" w:cs="仿宋"/>
                <w:szCs w:val="21"/>
              </w:rPr>
            </w:pPr>
            <w:r>
              <w:rPr>
                <w:rFonts w:hint="eastAsia" w:ascii="仿宋" w:hAnsi="仿宋" w:eastAsia="仿宋" w:cs="仿宋"/>
                <w:szCs w:val="21"/>
              </w:rPr>
              <w:t>为保证货物售后服务质量，所投（智慧黑板、教学软件、视频展台）产品制造商应具有充足的售后资源及规范的管理制度，具备符合《商品售后服务评价体系》（GB/T 27922）的售后服务认证证书的，五星级（含五星级）得5分，低于五星级得2分，需提供相关证明材料原件扫描件，不提供不得分。</w:t>
            </w:r>
          </w:p>
        </w:tc>
      </w:tr>
      <w:tr w14:paraId="788B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trPr>
        <w:tc>
          <w:tcPr>
            <w:tcW w:w="1018" w:type="dxa"/>
            <w:vMerge w:val="continue"/>
            <w:noWrap w:val="0"/>
            <w:vAlign w:val="center"/>
          </w:tcPr>
          <w:p w14:paraId="55BF1A7E">
            <w:pPr>
              <w:widowControl/>
              <w:jc w:val="center"/>
              <w:rPr>
                <w:rFonts w:hint="eastAsia" w:ascii="仿宋" w:hAnsi="仿宋" w:eastAsia="仿宋" w:cs="仿宋"/>
                <w:szCs w:val="21"/>
              </w:rPr>
            </w:pPr>
          </w:p>
        </w:tc>
        <w:tc>
          <w:tcPr>
            <w:tcW w:w="1192" w:type="dxa"/>
            <w:noWrap/>
            <w:vAlign w:val="center"/>
          </w:tcPr>
          <w:p w14:paraId="62B52D3F">
            <w:pPr>
              <w:widowControl/>
              <w:jc w:val="center"/>
              <w:rPr>
                <w:rFonts w:hint="eastAsia" w:ascii="仿宋" w:hAnsi="仿宋" w:eastAsia="仿宋" w:cs="仿宋"/>
                <w:szCs w:val="21"/>
              </w:rPr>
            </w:pPr>
            <w:r>
              <w:rPr>
                <w:rFonts w:hint="eastAsia" w:ascii="仿宋" w:hAnsi="仿宋" w:eastAsia="仿宋" w:cs="仿宋"/>
                <w:szCs w:val="21"/>
              </w:rPr>
              <w:t>服务保障措施（7分）</w:t>
            </w:r>
          </w:p>
        </w:tc>
        <w:tc>
          <w:tcPr>
            <w:tcW w:w="6688" w:type="dxa"/>
            <w:noWrap w:val="0"/>
            <w:vAlign w:val="top"/>
          </w:tcPr>
          <w:p w14:paraId="392B2005">
            <w:pPr>
              <w:widowControl/>
              <w:jc w:val="left"/>
              <w:rPr>
                <w:rFonts w:hint="eastAsia" w:ascii="仿宋" w:hAnsi="仿宋" w:eastAsia="仿宋" w:cs="仿宋"/>
                <w:b/>
                <w:bCs/>
                <w:szCs w:val="21"/>
              </w:rPr>
            </w:pPr>
            <w:r>
              <w:rPr>
                <w:rFonts w:hint="eastAsia" w:ascii="仿宋" w:hAnsi="仿宋" w:eastAsia="仿宋" w:cs="仿宋"/>
                <w:b/>
                <w:bCs/>
                <w:szCs w:val="21"/>
              </w:rPr>
              <w:t>评标委员会根据供应商提供的售后服务方案、服务保障措施、保修期外服务提供情况（包括但不限于服务体系、服务内容、应急解决方案、响应时间、专业技术人员、售后服务电话、备品备件、维修设备等的提供情况和质保期后服务提供承诺及保障情况）进行评分。</w:t>
            </w:r>
          </w:p>
          <w:p w14:paraId="1058156E">
            <w:pPr>
              <w:widowControl/>
              <w:jc w:val="left"/>
              <w:rPr>
                <w:rFonts w:hint="eastAsia" w:ascii="仿宋" w:hAnsi="仿宋" w:eastAsia="仿宋" w:cs="仿宋"/>
                <w:szCs w:val="21"/>
              </w:rPr>
            </w:pPr>
            <w:r>
              <w:rPr>
                <w:rFonts w:hint="eastAsia" w:ascii="仿宋" w:hAnsi="仿宋" w:eastAsia="仿宋" w:cs="仿宋"/>
                <w:szCs w:val="21"/>
              </w:rPr>
              <w:t xml:space="preserve">1、售后服务方案、保障措施、保修期外服务提供情况完善、详细、科学合理，可行性强，与本项目的实际切合度高的得7分； </w:t>
            </w:r>
          </w:p>
          <w:p w14:paraId="1FFC86BB">
            <w:pPr>
              <w:widowControl/>
              <w:jc w:val="left"/>
              <w:rPr>
                <w:rFonts w:hint="eastAsia" w:ascii="仿宋" w:hAnsi="仿宋" w:eastAsia="仿宋" w:cs="仿宋"/>
                <w:szCs w:val="21"/>
              </w:rPr>
            </w:pPr>
            <w:r>
              <w:rPr>
                <w:rFonts w:hint="eastAsia" w:ascii="仿宋" w:hAnsi="仿宋" w:eastAsia="仿宋" w:cs="仿宋"/>
                <w:szCs w:val="21"/>
              </w:rPr>
              <w:t xml:space="preserve">2、售后服务方案、保障措施、保修期外服务提供情况合理，可行，基本符合本项目的实际情况的得5分 ； </w:t>
            </w:r>
          </w:p>
          <w:p w14:paraId="7C7D1F82">
            <w:pPr>
              <w:widowControl/>
              <w:jc w:val="left"/>
              <w:rPr>
                <w:rFonts w:hint="eastAsia" w:ascii="仿宋" w:hAnsi="仿宋" w:eastAsia="仿宋" w:cs="仿宋"/>
                <w:szCs w:val="21"/>
              </w:rPr>
            </w:pPr>
            <w:r>
              <w:rPr>
                <w:rFonts w:hint="eastAsia" w:ascii="仿宋" w:hAnsi="仿宋" w:eastAsia="仿宋" w:cs="仿宋"/>
                <w:szCs w:val="21"/>
              </w:rPr>
              <w:t xml:space="preserve">3、售后服务方案、保障措施、保修期外服务不详细，不能满足本项目的实际情况得3分； </w:t>
            </w:r>
          </w:p>
          <w:p w14:paraId="781EE8D6">
            <w:pPr>
              <w:widowControl/>
              <w:jc w:val="left"/>
              <w:rPr>
                <w:rFonts w:hint="eastAsia" w:ascii="仿宋" w:hAnsi="仿宋" w:eastAsia="仿宋" w:cs="仿宋"/>
                <w:szCs w:val="21"/>
              </w:rPr>
            </w:pPr>
            <w:r>
              <w:rPr>
                <w:rFonts w:hint="eastAsia" w:ascii="仿宋" w:hAnsi="仿宋" w:eastAsia="仿宋" w:cs="仿宋"/>
                <w:szCs w:val="21"/>
              </w:rPr>
              <w:t>4、未提供的得0分。</w:t>
            </w:r>
          </w:p>
        </w:tc>
      </w:tr>
      <w:tr w14:paraId="6A0B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018" w:type="dxa"/>
            <w:vMerge w:val="continue"/>
            <w:noWrap w:val="0"/>
            <w:vAlign w:val="center"/>
          </w:tcPr>
          <w:p w14:paraId="67C26CBD">
            <w:pPr>
              <w:widowControl/>
              <w:jc w:val="center"/>
              <w:rPr>
                <w:rFonts w:hint="eastAsia" w:ascii="仿宋" w:hAnsi="仿宋" w:eastAsia="仿宋" w:cs="仿宋"/>
                <w:szCs w:val="21"/>
              </w:rPr>
            </w:pPr>
          </w:p>
        </w:tc>
        <w:tc>
          <w:tcPr>
            <w:tcW w:w="1192" w:type="dxa"/>
            <w:noWrap/>
            <w:vAlign w:val="center"/>
          </w:tcPr>
          <w:p w14:paraId="01ECB995">
            <w:pPr>
              <w:widowControl/>
              <w:jc w:val="left"/>
              <w:rPr>
                <w:rFonts w:hint="eastAsia" w:ascii="仿宋" w:hAnsi="仿宋" w:eastAsia="仿宋" w:cs="仿宋"/>
                <w:szCs w:val="21"/>
              </w:rPr>
            </w:pPr>
            <w:r>
              <w:rPr>
                <w:rFonts w:hint="eastAsia" w:ascii="仿宋" w:hAnsi="仿宋" w:eastAsia="仿宋" w:cs="仿宋"/>
                <w:szCs w:val="21"/>
              </w:rPr>
              <w:t>类似项目业绩（5分）</w:t>
            </w:r>
          </w:p>
        </w:tc>
        <w:tc>
          <w:tcPr>
            <w:tcW w:w="6688" w:type="dxa"/>
            <w:noWrap w:val="0"/>
            <w:vAlign w:val="top"/>
          </w:tcPr>
          <w:p w14:paraId="6BF72B62">
            <w:pPr>
              <w:widowControl/>
              <w:jc w:val="left"/>
              <w:rPr>
                <w:rFonts w:hint="eastAsia" w:ascii="仿宋" w:hAnsi="仿宋" w:eastAsia="仿宋" w:cs="仿宋"/>
                <w:szCs w:val="21"/>
              </w:rPr>
            </w:pPr>
            <w:r>
              <w:rPr>
                <w:rFonts w:hint="eastAsia" w:ascii="仿宋" w:hAnsi="仿宋" w:eastAsia="仿宋" w:cs="仿宋"/>
                <w:szCs w:val="21"/>
              </w:rPr>
              <w:t>供应商提供自2022年1月1日以来有类似项目业绩。（每提供一份得2.5分，最高得5分。）</w:t>
            </w:r>
          </w:p>
          <w:p w14:paraId="0B9FEED9">
            <w:pPr>
              <w:widowControl/>
              <w:jc w:val="left"/>
              <w:rPr>
                <w:rFonts w:hint="eastAsia" w:ascii="仿宋" w:hAnsi="仿宋" w:eastAsia="仿宋" w:cs="仿宋"/>
                <w:szCs w:val="21"/>
              </w:rPr>
            </w:pPr>
            <w:r>
              <w:rPr>
                <w:rFonts w:hint="eastAsia" w:ascii="仿宋" w:hAnsi="仿宋" w:eastAsia="仿宋" w:cs="仿宋"/>
                <w:b/>
                <w:bCs/>
                <w:szCs w:val="21"/>
              </w:rPr>
              <w:t>注: 提供合同原件扫描件加盖公章，以合同签订日期为准。</w:t>
            </w:r>
          </w:p>
        </w:tc>
      </w:tr>
      <w:tr w14:paraId="7EC1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8898" w:type="dxa"/>
            <w:gridSpan w:val="3"/>
            <w:noWrap w:val="0"/>
            <w:vAlign w:val="center"/>
          </w:tcPr>
          <w:p w14:paraId="487CFB58">
            <w:pPr>
              <w:widowControl/>
              <w:jc w:val="left"/>
              <w:rPr>
                <w:rFonts w:hint="eastAsia" w:ascii="仿宋" w:hAnsi="仿宋" w:eastAsia="仿宋" w:cs="仿宋"/>
                <w:b/>
                <w:bCs/>
                <w:szCs w:val="21"/>
              </w:rPr>
            </w:pPr>
            <w:r>
              <w:rPr>
                <w:rFonts w:hint="eastAsia" w:ascii="仿宋" w:hAnsi="仿宋" w:eastAsia="仿宋" w:cs="仿宋"/>
                <w:b/>
                <w:bCs/>
                <w:szCs w:val="21"/>
              </w:rPr>
              <w:t xml:space="preserve">说明： </w:t>
            </w:r>
          </w:p>
          <w:p w14:paraId="124F1C80">
            <w:pPr>
              <w:widowControl/>
              <w:jc w:val="left"/>
              <w:rPr>
                <w:rFonts w:hint="eastAsia" w:ascii="仿宋" w:hAnsi="仿宋" w:eastAsia="仿宋" w:cs="仿宋"/>
                <w:b/>
                <w:bCs/>
                <w:szCs w:val="21"/>
              </w:rPr>
            </w:pPr>
            <w:r>
              <w:rPr>
                <w:rFonts w:hint="eastAsia" w:ascii="仿宋" w:hAnsi="仿宋" w:eastAsia="仿宋" w:cs="仿宋"/>
                <w:b/>
                <w:bCs/>
                <w:szCs w:val="21"/>
              </w:rPr>
              <w:t xml:space="preserve">1、评标委员会完成对技术标汇总后，取平均值作为该供应商的技术标得分。 </w:t>
            </w:r>
          </w:p>
          <w:p w14:paraId="58F87F51">
            <w:pPr>
              <w:widowControl/>
              <w:jc w:val="left"/>
              <w:rPr>
                <w:rFonts w:hint="eastAsia" w:ascii="仿宋" w:hAnsi="仿宋" w:eastAsia="仿宋" w:cs="仿宋"/>
                <w:b/>
                <w:bCs/>
                <w:szCs w:val="21"/>
              </w:rPr>
            </w:pPr>
            <w:r>
              <w:rPr>
                <w:rFonts w:hint="eastAsia" w:ascii="仿宋" w:hAnsi="仿宋" w:eastAsia="仿宋" w:cs="仿宋"/>
                <w:b/>
                <w:bCs/>
                <w:szCs w:val="21"/>
              </w:rPr>
              <w:t>2、</w:t>
            </w:r>
            <w:r>
              <w:rPr>
                <w:rFonts w:hint="eastAsia" w:ascii="仿宋" w:hAnsi="仿宋" w:eastAsia="仿宋" w:cs="仿宋"/>
                <w:b/>
                <w:bCs/>
                <w:szCs w:val="21"/>
                <w:lang w:eastAsia="zh-CN"/>
              </w:rPr>
              <w:t>供应商</w:t>
            </w:r>
            <w:r>
              <w:rPr>
                <w:rFonts w:hint="eastAsia" w:ascii="仿宋" w:hAnsi="仿宋" w:eastAsia="仿宋" w:cs="仿宋"/>
                <w:b/>
                <w:bCs/>
                <w:szCs w:val="21"/>
              </w:rPr>
              <w:t xml:space="preserve">评标总得分=报价得分+技术评分得分+商务评分得分。 </w:t>
            </w:r>
          </w:p>
          <w:p w14:paraId="63E6FABD">
            <w:pPr>
              <w:widowControl/>
              <w:jc w:val="left"/>
              <w:rPr>
                <w:rFonts w:hint="eastAsia" w:ascii="仿宋" w:hAnsi="仿宋" w:eastAsia="仿宋" w:cs="仿宋"/>
                <w:szCs w:val="21"/>
              </w:rPr>
            </w:pPr>
            <w:r>
              <w:rPr>
                <w:rFonts w:hint="eastAsia" w:ascii="仿宋" w:hAnsi="仿宋" w:eastAsia="仿宋" w:cs="仿宋"/>
                <w:b/>
                <w:bCs/>
                <w:szCs w:val="21"/>
              </w:rPr>
              <w:t xml:space="preserve">3、本评标办法计算过程中分值按四舍五入均保留两位小数，结果按四舍五入保留两位小数。 </w:t>
            </w:r>
          </w:p>
        </w:tc>
      </w:tr>
    </w:tbl>
    <w:p w14:paraId="292AA372">
      <w:pPr>
        <w:pStyle w:val="2"/>
        <w:ind w:left="0" w:leftChars="0" w:firstLine="0" w:firstLineChars="0"/>
        <w:rPr>
          <w:rFonts w:hint="eastAsia" w:ascii="宋体" w:hAnsi="宋体" w:eastAsia="宋体" w:cs="宋体"/>
          <w:sz w:val="24"/>
          <w:szCs w:val="24"/>
          <w:lang w:eastAsia="zh-CN"/>
        </w:rPr>
      </w:pPr>
    </w:p>
    <w:p w14:paraId="324D3DBA">
      <w:pPr>
        <w:pStyle w:val="2"/>
        <w:ind w:left="0" w:leftChars="0" w:firstLine="0" w:firstLineChars="0"/>
        <w:rPr>
          <w:rFonts w:hint="eastAsia" w:ascii="宋体" w:hAnsi="宋体" w:eastAsia="宋体" w:cs="宋体"/>
          <w:sz w:val="24"/>
          <w:szCs w:val="24"/>
          <w:lang w:eastAsia="zh-CN"/>
        </w:rPr>
      </w:pPr>
    </w:p>
    <w:p w14:paraId="7E27F106">
      <w:pPr>
        <w:pStyle w:val="2"/>
        <w:ind w:left="0" w:leftChars="0" w:firstLine="0" w:firstLineChars="0"/>
        <w:rPr>
          <w:rFonts w:hint="eastAsia" w:ascii="宋体" w:hAnsi="宋体" w:eastAsia="宋体" w:cs="宋体"/>
          <w:sz w:val="24"/>
          <w:szCs w:val="24"/>
          <w:lang w:eastAsia="zh-CN"/>
        </w:rPr>
      </w:pPr>
    </w:p>
    <w:p w14:paraId="742FDA2C">
      <w:pPr>
        <w:pStyle w:val="2"/>
        <w:ind w:left="0" w:leftChars="0" w:firstLine="0" w:firstLineChars="0"/>
        <w:rPr>
          <w:rFonts w:hint="eastAsia" w:ascii="宋体" w:hAnsi="宋体" w:eastAsia="宋体" w:cs="宋体"/>
          <w:sz w:val="24"/>
          <w:szCs w:val="24"/>
          <w:lang w:eastAsia="zh-CN"/>
        </w:rPr>
      </w:pPr>
      <w:r>
        <w:rPr>
          <w:rFonts w:hint="eastAsia" w:ascii="仿宋" w:hAnsi="仿宋" w:eastAsia="仿宋" w:cs="Times New Roman"/>
          <w:b/>
          <w:bCs/>
          <w:sz w:val="28"/>
          <w:szCs w:val="28"/>
          <w:lang w:val="en-US" w:eastAsia="zh-CN"/>
        </w:rPr>
        <w:t>二、焦作大学教室升级改造项目“第三章  采购项目内容及要求”</w:t>
      </w:r>
      <w:r>
        <w:rPr>
          <w:rFonts w:hint="eastAsia" w:ascii="仿宋" w:hAnsi="仿宋" w:eastAsia="仿宋" w:cs="Times New Roman"/>
          <w:b/>
          <w:bCs/>
          <w:sz w:val="28"/>
          <w:szCs w:val="28"/>
        </w:rPr>
        <w:t>原采购信息内容</w:t>
      </w:r>
      <w:bookmarkStart w:id="2" w:name="_GoBack"/>
      <w:bookmarkEnd w:id="2"/>
      <w:r>
        <w:rPr>
          <w:rFonts w:hint="eastAsia" w:ascii="仿宋" w:hAnsi="仿宋" w:eastAsia="仿宋" w:cs="Times New Roman"/>
          <w:b/>
          <w:bCs/>
          <w:sz w:val="28"/>
          <w:szCs w:val="28"/>
          <w:lang w:eastAsia="zh-CN"/>
        </w:rPr>
        <w:t>：</w:t>
      </w:r>
    </w:p>
    <w:p w14:paraId="230D1CE0">
      <w:pPr>
        <w:spacing w:line="42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（4）设备清单</w:t>
      </w:r>
    </w:p>
    <w:tbl>
      <w:tblPr>
        <w:tblStyle w:val="5"/>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36"/>
        <w:gridCol w:w="1020"/>
        <w:gridCol w:w="6436"/>
        <w:gridCol w:w="454"/>
        <w:gridCol w:w="570"/>
      </w:tblGrid>
      <w:tr w14:paraId="023D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3655EE34">
            <w:pPr>
              <w:jc w:val="center"/>
              <w:rPr>
                <w:rFonts w:hint="eastAsia" w:ascii="仿宋" w:hAnsi="仿宋" w:eastAsia="仿宋" w:cs="仿宋"/>
                <w:b/>
                <w:bCs/>
                <w:sz w:val="24"/>
              </w:rPr>
            </w:pPr>
            <w:r>
              <w:rPr>
                <w:rFonts w:hint="eastAsia" w:ascii="仿宋" w:hAnsi="仿宋" w:eastAsia="仿宋" w:cs="仿宋"/>
                <w:b/>
                <w:bCs/>
                <w:sz w:val="24"/>
              </w:rPr>
              <w:t>序号</w:t>
            </w:r>
          </w:p>
        </w:tc>
        <w:tc>
          <w:tcPr>
            <w:tcW w:w="1020" w:type="dxa"/>
            <w:noWrap w:val="0"/>
            <w:vAlign w:val="center"/>
          </w:tcPr>
          <w:p w14:paraId="3CD2E498">
            <w:pPr>
              <w:jc w:val="center"/>
              <w:rPr>
                <w:rFonts w:hint="eastAsia" w:ascii="仿宋" w:hAnsi="仿宋" w:eastAsia="仿宋" w:cs="仿宋"/>
                <w:b/>
                <w:bCs/>
                <w:sz w:val="24"/>
              </w:rPr>
            </w:pPr>
            <w:r>
              <w:rPr>
                <w:rFonts w:hint="eastAsia" w:ascii="仿宋" w:hAnsi="仿宋" w:eastAsia="仿宋" w:cs="仿宋"/>
                <w:b/>
                <w:bCs/>
                <w:sz w:val="24"/>
              </w:rPr>
              <w:t>产品名称</w:t>
            </w:r>
          </w:p>
        </w:tc>
        <w:tc>
          <w:tcPr>
            <w:tcW w:w="6436" w:type="dxa"/>
            <w:noWrap w:val="0"/>
            <w:vAlign w:val="center"/>
          </w:tcPr>
          <w:p w14:paraId="6B194F80">
            <w:pPr>
              <w:jc w:val="center"/>
              <w:rPr>
                <w:rFonts w:hint="eastAsia" w:ascii="仿宋" w:hAnsi="仿宋" w:eastAsia="仿宋" w:cs="仿宋"/>
                <w:b/>
                <w:bCs/>
                <w:sz w:val="24"/>
              </w:rPr>
            </w:pPr>
            <w:r>
              <w:rPr>
                <w:rFonts w:hint="eastAsia" w:ascii="仿宋" w:hAnsi="仿宋" w:eastAsia="仿宋" w:cs="仿宋"/>
                <w:b/>
                <w:bCs/>
                <w:sz w:val="24"/>
              </w:rPr>
              <w:t>参数</w:t>
            </w:r>
          </w:p>
        </w:tc>
        <w:tc>
          <w:tcPr>
            <w:tcW w:w="454" w:type="dxa"/>
            <w:noWrap w:val="0"/>
            <w:vAlign w:val="center"/>
          </w:tcPr>
          <w:p w14:paraId="3B015F6F">
            <w:pPr>
              <w:jc w:val="center"/>
              <w:rPr>
                <w:rFonts w:hint="eastAsia" w:ascii="仿宋" w:hAnsi="仿宋" w:eastAsia="仿宋" w:cs="仿宋"/>
                <w:b/>
                <w:bCs/>
                <w:sz w:val="24"/>
              </w:rPr>
            </w:pPr>
            <w:r>
              <w:rPr>
                <w:rFonts w:hint="eastAsia" w:ascii="仿宋" w:hAnsi="仿宋" w:eastAsia="仿宋" w:cs="仿宋"/>
                <w:b/>
                <w:bCs/>
                <w:sz w:val="24"/>
              </w:rPr>
              <w:t>单位</w:t>
            </w:r>
          </w:p>
        </w:tc>
        <w:tc>
          <w:tcPr>
            <w:tcW w:w="570" w:type="dxa"/>
            <w:noWrap w:val="0"/>
            <w:vAlign w:val="center"/>
          </w:tcPr>
          <w:p w14:paraId="7B3860C8">
            <w:pPr>
              <w:jc w:val="center"/>
              <w:rPr>
                <w:rFonts w:hint="eastAsia" w:ascii="仿宋" w:hAnsi="仿宋" w:eastAsia="仿宋" w:cs="仿宋"/>
                <w:b/>
                <w:bCs/>
                <w:sz w:val="24"/>
              </w:rPr>
            </w:pPr>
            <w:r>
              <w:rPr>
                <w:rFonts w:hint="eastAsia" w:ascii="仿宋" w:hAnsi="仿宋" w:eastAsia="仿宋" w:cs="仿宋"/>
                <w:b/>
                <w:bCs/>
                <w:sz w:val="24"/>
              </w:rPr>
              <w:t>数量</w:t>
            </w:r>
          </w:p>
        </w:tc>
      </w:tr>
      <w:tr w14:paraId="77F9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4FB0F76D">
            <w:pPr>
              <w:spacing w:line="240" w:lineRule="exact"/>
              <w:jc w:val="center"/>
              <w:rPr>
                <w:rFonts w:hint="eastAsia" w:ascii="仿宋" w:hAnsi="仿宋" w:eastAsia="仿宋" w:cs="仿宋"/>
                <w:sz w:val="24"/>
              </w:rPr>
            </w:pPr>
            <w:r>
              <w:rPr>
                <w:rFonts w:hint="eastAsia" w:ascii="仿宋" w:hAnsi="仿宋" w:eastAsia="仿宋" w:cs="仿宋"/>
                <w:sz w:val="24"/>
              </w:rPr>
              <w:t>1</w:t>
            </w:r>
          </w:p>
        </w:tc>
        <w:tc>
          <w:tcPr>
            <w:tcW w:w="1020" w:type="dxa"/>
            <w:noWrap w:val="0"/>
            <w:vAlign w:val="center"/>
          </w:tcPr>
          <w:p w14:paraId="1A57FE34">
            <w:pPr>
              <w:spacing w:line="240" w:lineRule="exact"/>
              <w:jc w:val="center"/>
              <w:rPr>
                <w:rFonts w:hint="eastAsia" w:ascii="仿宋" w:hAnsi="仿宋" w:eastAsia="仿宋" w:cs="仿宋"/>
                <w:sz w:val="24"/>
              </w:rPr>
            </w:pPr>
            <w:r>
              <w:rPr>
                <w:rFonts w:hint="eastAsia" w:ascii="仿宋" w:hAnsi="仿宋" w:eastAsia="仿宋" w:cs="仿宋"/>
                <w:sz w:val="24"/>
              </w:rPr>
              <w:t>智慧黑板</w:t>
            </w:r>
          </w:p>
        </w:tc>
        <w:tc>
          <w:tcPr>
            <w:tcW w:w="6436" w:type="dxa"/>
            <w:noWrap w:val="0"/>
            <w:vAlign w:val="center"/>
          </w:tcPr>
          <w:p w14:paraId="051C91E4">
            <w:pPr>
              <w:widowControl/>
              <w:rPr>
                <w:rFonts w:hint="eastAsia" w:ascii="仿宋" w:hAnsi="仿宋" w:eastAsia="仿宋" w:cs="仿宋"/>
                <w:sz w:val="24"/>
              </w:rPr>
            </w:pPr>
            <w:r>
              <w:rPr>
                <w:rFonts w:hint="eastAsia" w:ascii="仿宋" w:hAnsi="仿宋" w:eastAsia="仿宋" w:cs="仿宋"/>
                <w:sz w:val="24"/>
              </w:rPr>
              <w:t>一、</w:t>
            </w:r>
            <w:bookmarkStart w:id="0" w:name="OLE_LINK1"/>
            <w:bookmarkStart w:id="1" w:name="OLE_LINK2"/>
            <w:r>
              <w:rPr>
                <w:rFonts w:hint="eastAsia" w:ascii="仿宋" w:hAnsi="仿宋" w:eastAsia="仿宋" w:cs="仿宋"/>
                <w:sz w:val="24"/>
              </w:rPr>
              <w:t>智慧黑板</w:t>
            </w:r>
            <w:bookmarkEnd w:id="0"/>
            <w:bookmarkEnd w:id="1"/>
            <w:r>
              <w:rPr>
                <w:rFonts w:hint="eastAsia" w:ascii="仿宋" w:hAnsi="仿宋" w:eastAsia="仿宋" w:cs="仿宋"/>
                <w:sz w:val="24"/>
              </w:rPr>
              <w:t>整体要求：</w:t>
            </w:r>
          </w:p>
          <w:p w14:paraId="2682DFDF">
            <w:pPr>
              <w:widowControl/>
              <w:rPr>
                <w:rFonts w:hint="eastAsia" w:ascii="仿宋" w:hAnsi="仿宋" w:eastAsia="仿宋" w:cs="仿宋"/>
                <w:sz w:val="24"/>
              </w:rPr>
            </w:pPr>
            <w:r>
              <w:rPr>
                <w:rFonts w:hint="eastAsia" w:ascii="仿宋" w:hAnsi="仿宋" w:eastAsia="仿宋" w:cs="仿宋"/>
                <w:sz w:val="24"/>
              </w:rPr>
              <w:t>1、整机采用全金属外壳，三拼接平面一体化设计，屏幕边缘采用圆角包边防护，整机背板采用金属材质。</w:t>
            </w:r>
          </w:p>
          <w:p w14:paraId="5AF0C429">
            <w:pPr>
              <w:widowControl/>
              <w:rPr>
                <w:rFonts w:hint="eastAsia" w:ascii="仿宋" w:hAnsi="仿宋" w:eastAsia="仿宋" w:cs="仿宋"/>
                <w:sz w:val="24"/>
              </w:rPr>
            </w:pPr>
            <w:r>
              <w:rPr>
                <w:rFonts w:hint="eastAsia" w:ascii="仿宋" w:hAnsi="仿宋" w:eastAsia="仿宋" w:cs="仿宋"/>
                <w:sz w:val="24"/>
              </w:rPr>
              <w:t>2、整机屏幕边缘采用金属圆角包边防护，整机背板采用金属材质，有效屏蔽内部电路器件辐射；防潮耐盐雾蚀锈，适应多种教学环境。</w:t>
            </w:r>
          </w:p>
          <w:p w14:paraId="6D868742">
            <w:pPr>
              <w:widowControl/>
              <w:rPr>
                <w:rFonts w:hint="eastAsia" w:ascii="仿宋" w:hAnsi="仿宋" w:eastAsia="仿宋" w:cs="仿宋"/>
                <w:sz w:val="24"/>
              </w:rPr>
            </w:pPr>
            <w:r>
              <w:rPr>
                <w:rFonts w:hint="eastAsia" w:ascii="仿宋" w:hAnsi="仿宋" w:eastAsia="仿宋" w:cs="仿宋"/>
                <w:sz w:val="24"/>
              </w:rPr>
              <w:t>3、主屏支持普通粉笔直接书写；两侧副屏可支持以下媒介（普通粉笔、液体粉笔、成膜笔）进行板书书写。</w:t>
            </w:r>
          </w:p>
          <w:p w14:paraId="4AE18F35">
            <w:pPr>
              <w:widowControl/>
              <w:rPr>
                <w:rFonts w:hint="eastAsia" w:ascii="仿宋" w:hAnsi="仿宋" w:eastAsia="仿宋" w:cs="仿宋"/>
                <w:sz w:val="24"/>
              </w:rPr>
            </w:pPr>
            <w:r>
              <w:rPr>
                <w:rFonts w:hint="eastAsia" w:ascii="仿宋" w:hAnsi="仿宋" w:eastAsia="仿宋" w:cs="仿宋"/>
                <w:sz w:val="24"/>
              </w:rPr>
              <w:t>4、整机屏幕采用86英寸超高清LED液晶显示器，显示比例16:9，分辨率≥3840×2160；灰度等级≥256级。</w:t>
            </w:r>
          </w:p>
          <w:p w14:paraId="347750AE">
            <w:pPr>
              <w:widowControl/>
              <w:rPr>
                <w:rFonts w:hint="eastAsia" w:ascii="仿宋" w:hAnsi="仿宋" w:eastAsia="仿宋" w:cs="仿宋"/>
                <w:sz w:val="24"/>
              </w:rPr>
            </w:pPr>
            <w:r>
              <w:rPr>
                <w:rFonts w:hint="eastAsia" w:ascii="仿宋" w:hAnsi="仿宋" w:eastAsia="仿宋" w:cs="仿宋"/>
                <w:sz w:val="24"/>
              </w:rPr>
              <w:t>★5、整机采用硬件低蓝光背光技术，在源头减少有害蓝光波段能量，蓝光占比（有害蓝光415～455nm能量综合）/（整体蓝光400～500能量综合）＜50%，低蓝光保护显示不偏色、不泛黄；整机视网膜蓝光危害（蓝光加权辐射亮度 LB）符合 IEC62471标准，LB 限值范围≤0.2（蓝光危害最大状况下）；整机屏幕采用≥3.2mm防眩钢化玻璃保护，表面硬度≥莫氏 8级，硬度大于等于9H，透光率不低于93% ，雾度≤5%；整机色域覆盖率（NTSC）≥86%。</w:t>
            </w:r>
          </w:p>
          <w:p w14:paraId="74D56BF0">
            <w:pPr>
              <w:widowControl/>
              <w:rPr>
                <w:rFonts w:hint="eastAsia" w:ascii="仿宋" w:hAnsi="仿宋" w:eastAsia="仿宋" w:cs="仿宋"/>
                <w:sz w:val="24"/>
              </w:rPr>
            </w:pPr>
            <w:r>
              <w:rPr>
                <w:rFonts w:hint="eastAsia" w:ascii="仿宋" w:hAnsi="仿宋" w:eastAsia="仿宋" w:cs="仿宋"/>
                <w:sz w:val="24"/>
              </w:rPr>
              <w:t>6、前置不少于7个物理按键，可至少实现如下功能：开关待机、音量调节、调出设置菜单、 进入Android系统、返回、护眼等操作；且按键支持在设置中进行配置，如用户可以设置按键为短按或者长按响应，响应的功能可以是一键开关 ops、ops一键还原、一键滤蓝光护眼模式等。</w:t>
            </w:r>
          </w:p>
          <w:p w14:paraId="7A9E1080">
            <w:pPr>
              <w:widowControl/>
              <w:rPr>
                <w:rFonts w:hint="eastAsia" w:ascii="仿宋" w:hAnsi="仿宋" w:eastAsia="仿宋" w:cs="仿宋"/>
                <w:sz w:val="24"/>
              </w:rPr>
            </w:pPr>
            <w:r>
              <w:rPr>
                <w:rFonts w:hint="eastAsia" w:ascii="仿宋" w:hAnsi="仿宋" w:eastAsia="仿宋" w:cs="仿宋"/>
                <w:sz w:val="24"/>
              </w:rPr>
              <w:t>7、整机前置接口至少具备：USB3.0接口3个，HDMI接口1个；全功能Type-C接口1个。</w:t>
            </w:r>
          </w:p>
          <w:p w14:paraId="461CD894">
            <w:pPr>
              <w:widowControl/>
              <w:rPr>
                <w:rFonts w:hint="eastAsia" w:ascii="仿宋" w:hAnsi="仿宋" w:eastAsia="仿宋" w:cs="仿宋"/>
                <w:sz w:val="24"/>
              </w:rPr>
            </w:pPr>
            <w:r>
              <w:rPr>
                <w:rFonts w:hint="eastAsia" w:ascii="仿宋" w:hAnsi="仿宋" w:eastAsia="仿宋" w:cs="仿宋"/>
                <w:sz w:val="24"/>
              </w:rPr>
              <w:t>8、整机嵌入式系统版本≥Android 13，内存≥2GB，存储空间≥16GB。</w:t>
            </w:r>
          </w:p>
          <w:p w14:paraId="555FFE00">
            <w:pPr>
              <w:widowControl/>
              <w:rPr>
                <w:rFonts w:hint="eastAsia" w:ascii="仿宋" w:hAnsi="仿宋" w:eastAsia="仿宋" w:cs="仿宋"/>
                <w:sz w:val="24"/>
              </w:rPr>
            </w:pPr>
            <w:r>
              <w:rPr>
                <w:rFonts w:hint="eastAsia" w:ascii="仿宋" w:hAnsi="仿宋" w:eastAsia="仿宋" w:cs="仿宋"/>
                <w:sz w:val="24"/>
              </w:rPr>
              <w:t>9、为提升课堂视听体验并确保声场均匀，整机内置的扬声器应具备中高音的音响单元，各音响单元额定功率数值应为一致，扬声器单元≥4个，每个扬声器的额定功率≥15w，总功率≥60w；为确保声场均衡，保护学生听力，1米处声压级与10米处声压级的分贝差值≤6db；整机扬声器采用针孔发声技术，喇叭采用槽式开口设计。在100%音量下，可做到1米处声压级≥90db，10米处声压级≥78dB。</w:t>
            </w:r>
          </w:p>
          <w:p w14:paraId="7484160D">
            <w:pPr>
              <w:widowControl/>
              <w:rPr>
                <w:rFonts w:hint="eastAsia" w:ascii="仿宋" w:hAnsi="仿宋" w:eastAsia="仿宋" w:cs="仿宋"/>
                <w:sz w:val="24"/>
              </w:rPr>
            </w:pPr>
            <w:r>
              <w:rPr>
                <w:rFonts w:hint="eastAsia" w:ascii="仿宋" w:hAnsi="仿宋" w:eastAsia="仿宋" w:cs="仿宋"/>
                <w:sz w:val="24"/>
              </w:rPr>
              <w:t>10、整机内置非独立外扩展的8阵列麦克风，拾音角度≥180°，可用于对教室环境音频进行采集，拾音距离≥12m。</w:t>
            </w:r>
          </w:p>
          <w:p w14:paraId="49F84448">
            <w:pPr>
              <w:widowControl/>
              <w:rPr>
                <w:rFonts w:hint="eastAsia" w:ascii="仿宋" w:hAnsi="仿宋" w:eastAsia="仿宋" w:cs="仿宋"/>
                <w:sz w:val="24"/>
              </w:rPr>
            </w:pPr>
            <w:r>
              <w:rPr>
                <w:rFonts w:hint="eastAsia" w:ascii="仿宋" w:hAnsi="仿宋" w:eastAsia="仿宋" w:cs="仿宋"/>
                <w:sz w:val="24"/>
              </w:rPr>
              <w:t>★11、整机内置宽广角摄像头,真实像素≥1600万,对角线角度≥140°,摄像头可做包括但不限于远程巡课、人脸识别,拍摄范围可以涵盖整机距离摄像头垂直法线左右水平距离各大于等于4米,左右最边缘深度大于等于2.3米范围内,并且在&gt;10米距离时AI识别人像。</w:t>
            </w:r>
          </w:p>
          <w:p w14:paraId="3A47C167">
            <w:pPr>
              <w:widowControl/>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12、</w:t>
            </w:r>
            <w:r>
              <w:rPr>
                <w:rFonts w:hint="eastAsia" w:ascii="仿宋" w:hAnsi="仿宋" w:eastAsia="仿宋" w:cs="仿宋"/>
                <w:sz w:val="24"/>
              </w:rPr>
              <w:t>整机内置支持 2.4GHz 和 5GHz双频 WiFi，支持蓝牙 5.4； Wi-Fi和AP 热点 工作距离≥15m ，AP 热点支持50个用户终端在线网络连接。整机支持高级音效设置，可以调节左右声道平衡；在中低频段125Hz～1KHz，高频段2KHz～16KHz分别有-12dB～12dB范围的调节功能。整机具有物联传感器，安卓系统可以监控教室温度、湿度，并可上传到云端，云端可查看各教室温度、湿度情况。</w:t>
            </w:r>
          </w:p>
          <w:p w14:paraId="1C7A0C8C">
            <w:pPr>
              <w:widowControl/>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、整机无需外接无线网卡，在Android和Windows系统下可实现Wi-Fi无线上网连接、AP无线热点发射和BT蓝牙连接功能。</w:t>
            </w:r>
          </w:p>
          <w:p w14:paraId="5653FEAF">
            <w:pPr>
              <w:widowControl/>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、智慧黑板具备可单侧或双侧显示的快捷键功能，支持设置开启/关闭或自动显隐，至少具备以下功能：打开白板软件、屏幕批注、回到桌面等。</w:t>
            </w:r>
          </w:p>
          <w:p w14:paraId="7CC04FB3">
            <w:pPr>
              <w:widowControl/>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、具有触摸悬浮菜单，可呼唤菜单功能的打开与关闭，可自定义显示或隐藏并支持通过两指调用菜单到屏幕任意位置。</w:t>
            </w:r>
          </w:p>
          <w:p w14:paraId="388BF5C2">
            <w:pPr>
              <w:widowControl/>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、支持Windows 7、Windows 8、Windows 10、Windows 11、Linux、Mac Os、UOS和麒麟系统外置电脑操作系统接入时，无需安装触摸驱动；支持Windows系统中进行40点或以上触控，支持在Android系统中进行40点或以上触控；触摸分辨率32768×32768；触摸最小识别物3mm ，触控首点响应时间≤4ms ，连续响应时间≤2ms；触摸屏具有防遮挡功能，触摸接收器在单点或多点遮挡后仍能正常书写。</w:t>
            </w:r>
          </w:p>
          <w:p w14:paraId="3456EBB6">
            <w:pPr>
              <w:widowControl/>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整机全通道侧边栏快捷菜单包含的小工具有：批注、截屏、计时、降半屏、放大镜、日历等。在Android通道和全部外接通道（HDMI/Type-C），还具备答题、倒数日、节拍器等小工具。整机安卓和全部外接通道（HDMI、Type-C、ops）下侧边栏支持通过扫描二维码加入班级，老师可设置题型，学生回答后提交，教师可查看正确率比例并进行讲解。可随机抽选、实时弹幕，管理当前班级成员，导出学生报告。</w:t>
            </w:r>
          </w:p>
          <w:p w14:paraId="036B83EF">
            <w:pPr>
              <w:widowControl/>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18、</w:t>
            </w:r>
            <w:r>
              <w:rPr>
                <w:rFonts w:hint="eastAsia" w:ascii="仿宋" w:hAnsi="仿宋" w:eastAsia="仿宋" w:cs="仿宋"/>
                <w:sz w:val="24"/>
              </w:rPr>
              <w:t>整机具备智能手势识别功能，在任意信号源通道下均可识别五指长按、上、下、左、右方向滑动手势，五指画O、画~、左右晃动、缩/放方向手势滑动并调用相应功能。支持将各手势滑动方向自定义设置为无操作、熄屏、批注、桌面、半屏模式，并且可根据需要关闭或打开。</w:t>
            </w:r>
          </w:p>
          <w:p w14:paraId="06194C37">
            <w:pPr>
              <w:widowControl/>
              <w:rPr>
                <w:rFonts w:hint="eastAsia" w:ascii="仿宋" w:hAnsi="仿宋" w:eastAsia="仿宋" w:cs="仿宋"/>
                <w:sz w:val="24"/>
              </w:rPr>
            </w:pPr>
            <w:r>
              <w:rPr>
                <w:rFonts w:hint="eastAsia" w:ascii="仿宋" w:hAnsi="仿宋" w:eastAsia="仿宋" w:cs="仿宋"/>
                <w:sz w:val="24"/>
              </w:rPr>
              <w:t>二、内置电脑</w:t>
            </w:r>
          </w:p>
          <w:p w14:paraId="238187A0">
            <w:pPr>
              <w:widowControl/>
              <w:rPr>
                <w:rFonts w:hint="eastAsia" w:ascii="仿宋" w:hAnsi="仿宋" w:eastAsia="仿宋" w:cs="仿宋"/>
                <w:sz w:val="24"/>
              </w:rPr>
            </w:pPr>
            <w:r>
              <w:rPr>
                <w:rFonts w:hint="eastAsia" w:ascii="仿宋" w:hAnsi="仿宋" w:eastAsia="仿宋" w:cs="仿宋"/>
                <w:sz w:val="24"/>
              </w:rPr>
              <w:t>内存≥8GB</w:t>
            </w:r>
          </w:p>
          <w:p w14:paraId="430F0CFA">
            <w:pPr>
              <w:widowControl/>
              <w:rPr>
                <w:rFonts w:hint="eastAsia" w:ascii="仿宋" w:hAnsi="仿宋" w:eastAsia="仿宋" w:cs="仿宋"/>
                <w:sz w:val="24"/>
              </w:rPr>
            </w:pPr>
            <w:r>
              <w:rPr>
                <w:rFonts w:hint="eastAsia" w:ascii="仿宋" w:hAnsi="仿宋" w:eastAsia="仿宋" w:cs="仿宋"/>
                <w:sz w:val="24"/>
              </w:rPr>
              <w:t>处理器 Intel® Core™ i5 11代 4核8线程或更高规格</w:t>
            </w:r>
          </w:p>
          <w:p w14:paraId="72555CB2">
            <w:pPr>
              <w:widowControl/>
              <w:rPr>
                <w:rFonts w:hint="eastAsia" w:ascii="仿宋" w:hAnsi="仿宋" w:eastAsia="仿宋" w:cs="仿宋"/>
                <w:sz w:val="24"/>
              </w:rPr>
            </w:pPr>
            <w:r>
              <w:rPr>
                <w:rFonts w:hint="eastAsia" w:ascii="仿宋" w:hAnsi="仿宋" w:eastAsia="仿宋" w:cs="仿宋"/>
                <w:sz w:val="24"/>
              </w:rPr>
              <w:t>网卡 Integrated 10/100/1000M Adaption x1或更高规格</w:t>
            </w:r>
          </w:p>
          <w:p w14:paraId="361B2942">
            <w:pPr>
              <w:widowControl/>
              <w:rPr>
                <w:rFonts w:hint="eastAsia" w:ascii="仿宋" w:hAnsi="仿宋" w:eastAsia="仿宋" w:cs="仿宋"/>
                <w:sz w:val="24"/>
              </w:rPr>
            </w:pPr>
            <w:r>
              <w:rPr>
                <w:rFonts w:hint="eastAsia" w:ascii="仿宋" w:hAnsi="仿宋" w:eastAsia="仿宋" w:cs="仿宋"/>
                <w:sz w:val="24"/>
              </w:rPr>
              <w:t>主频≥1.8GHz</w:t>
            </w:r>
          </w:p>
          <w:p w14:paraId="6CD84AEE">
            <w:pPr>
              <w:widowControl/>
              <w:rPr>
                <w:rFonts w:hint="eastAsia" w:ascii="仿宋" w:hAnsi="仿宋" w:eastAsia="仿宋" w:cs="仿宋"/>
                <w:sz w:val="24"/>
              </w:rPr>
            </w:pPr>
            <w:r>
              <w:rPr>
                <w:rFonts w:hint="eastAsia" w:ascii="仿宋" w:hAnsi="仿宋" w:eastAsia="仿宋" w:cs="仿宋"/>
                <w:sz w:val="24"/>
              </w:rPr>
              <w:t>硬盘≥256G SSD</w:t>
            </w:r>
          </w:p>
          <w:p w14:paraId="3E34AC80">
            <w:pPr>
              <w:widowControl/>
              <w:rPr>
                <w:rFonts w:hint="eastAsia" w:ascii="仿宋" w:hAnsi="仿宋" w:eastAsia="仿宋" w:cs="仿宋"/>
                <w:sz w:val="24"/>
              </w:rPr>
            </w:pPr>
            <w:r>
              <w:rPr>
                <w:rFonts w:hint="eastAsia" w:ascii="仿宋" w:hAnsi="仿宋" w:eastAsia="仿宋" w:cs="仿宋"/>
                <w:sz w:val="24"/>
              </w:rPr>
              <w:t>接口参数（不少于以下接口）</w:t>
            </w:r>
          </w:p>
          <w:p w14:paraId="49CE1768">
            <w:pPr>
              <w:widowControl/>
              <w:rPr>
                <w:rFonts w:hint="eastAsia" w:ascii="仿宋" w:hAnsi="仿宋" w:eastAsia="仿宋" w:cs="仿宋"/>
                <w:sz w:val="24"/>
              </w:rPr>
            </w:pPr>
            <w:r>
              <w:rPr>
                <w:rFonts w:hint="eastAsia" w:ascii="仿宋" w:hAnsi="仿宋" w:eastAsia="仿宋" w:cs="仿宋"/>
                <w:sz w:val="24"/>
              </w:rPr>
              <w:t>网络接口 RJ45 x1</w:t>
            </w:r>
          </w:p>
          <w:p w14:paraId="65B5E3ED">
            <w:pPr>
              <w:widowControl/>
              <w:rPr>
                <w:rFonts w:hint="eastAsia" w:ascii="仿宋" w:hAnsi="仿宋" w:eastAsia="仿宋" w:cs="仿宋"/>
                <w:sz w:val="24"/>
              </w:rPr>
            </w:pPr>
            <w:r>
              <w:rPr>
                <w:rFonts w:hint="eastAsia" w:ascii="仿宋" w:hAnsi="仿宋" w:eastAsia="仿宋" w:cs="仿宋"/>
                <w:sz w:val="24"/>
              </w:rPr>
              <w:t>音频输入接口 Audio 接口x1</w:t>
            </w:r>
          </w:p>
          <w:p w14:paraId="1B8AB3E5">
            <w:pPr>
              <w:widowControl/>
              <w:rPr>
                <w:rFonts w:hint="eastAsia" w:ascii="仿宋" w:hAnsi="仿宋" w:eastAsia="仿宋" w:cs="仿宋"/>
                <w:sz w:val="24"/>
              </w:rPr>
            </w:pPr>
            <w:r>
              <w:rPr>
                <w:rFonts w:hint="eastAsia" w:ascii="仿宋" w:hAnsi="仿宋" w:eastAsia="仿宋" w:cs="仿宋"/>
                <w:sz w:val="24"/>
              </w:rPr>
              <w:t>音频输出接口 Audio 接口x1</w:t>
            </w:r>
          </w:p>
          <w:p w14:paraId="5F0AEE66">
            <w:pPr>
              <w:widowControl/>
              <w:rPr>
                <w:rFonts w:hint="eastAsia" w:ascii="仿宋" w:hAnsi="仿宋" w:eastAsia="仿宋" w:cs="仿宋"/>
                <w:sz w:val="24"/>
              </w:rPr>
            </w:pPr>
            <w:r>
              <w:rPr>
                <w:rFonts w:hint="eastAsia" w:ascii="仿宋" w:hAnsi="仿宋" w:eastAsia="仿宋" w:cs="仿宋"/>
                <w:sz w:val="24"/>
              </w:rPr>
              <w:t>存储控制接口 USB3.2 接口 x4; USB2.0 接口 x2；Type-C x1</w:t>
            </w:r>
          </w:p>
          <w:p w14:paraId="75A18C18">
            <w:pPr>
              <w:widowControl/>
              <w:rPr>
                <w:rFonts w:hint="eastAsia" w:ascii="仿宋" w:hAnsi="仿宋" w:eastAsia="仿宋" w:cs="仿宋"/>
                <w:sz w:val="24"/>
              </w:rPr>
            </w:pPr>
            <w:r>
              <w:rPr>
                <w:rFonts w:hint="eastAsia" w:ascii="仿宋" w:hAnsi="仿宋" w:eastAsia="仿宋" w:cs="仿宋"/>
                <w:sz w:val="24"/>
              </w:rPr>
              <w:t>视频输出接口 HDMI接口(out) x1, DP接口(out) x1</w:t>
            </w:r>
          </w:p>
        </w:tc>
        <w:tc>
          <w:tcPr>
            <w:tcW w:w="454" w:type="dxa"/>
            <w:noWrap w:val="0"/>
            <w:vAlign w:val="center"/>
          </w:tcPr>
          <w:p w14:paraId="0A2DBA8A">
            <w:pPr>
              <w:spacing w:line="240" w:lineRule="exact"/>
              <w:jc w:val="center"/>
              <w:rPr>
                <w:rFonts w:hint="eastAsia" w:ascii="仿宋" w:hAnsi="仿宋" w:eastAsia="仿宋" w:cs="仿宋"/>
                <w:sz w:val="24"/>
              </w:rPr>
            </w:pPr>
            <w:r>
              <w:rPr>
                <w:rFonts w:hint="eastAsia" w:ascii="仿宋" w:hAnsi="仿宋" w:eastAsia="仿宋" w:cs="仿宋"/>
                <w:sz w:val="24"/>
              </w:rPr>
              <w:t>台</w:t>
            </w:r>
          </w:p>
        </w:tc>
        <w:tc>
          <w:tcPr>
            <w:tcW w:w="570" w:type="dxa"/>
            <w:noWrap w:val="0"/>
            <w:vAlign w:val="center"/>
          </w:tcPr>
          <w:p w14:paraId="4C16D291">
            <w:pPr>
              <w:spacing w:line="240" w:lineRule="exact"/>
              <w:jc w:val="center"/>
              <w:rPr>
                <w:rFonts w:hint="eastAsia" w:ascii="仿宋" w:hAnsi="仿宋" w:eastAsia="仿宋" w:cs="仿宋"/>
                <w:sz w:val="24"/>
              </w:rPr>
            </w:pPr>
            <w:r>
              <w:rPr>
                <w:rFonts w:hint="eastAsia" w:ascii="仿宋" w:hAnsi="仿宋" w:eastAsia="仿宋" w:cs="仿宋"/>
                <w:sz w:val="24"/>
              </w:rPr>
              <w:t>15</w:t>
            </w:r>
          </w:p>
        </w:tc>
      </w:tr>
      <w:tr w14:paraId="4FDD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65770CA3">
            <w:pPr>
              <w:spacing w:line="240" w:lineRule="exact"/>
              <w:jc w:val="center"/>
              <w:rPr>
                <w:rFonts w:hint="eastAsia" w:ascii="仿宋" w:hAnsi="仿宋" w:eastAsia="仿宋" w:cs="仿宋"/>
                <w:sz w:val="24"/>
              </w:rPr>
            </w:pPr>
            <w:r>
              <w:rPr>
                <w:rFonts w:hint="eastAsia" w:ascii="仿宋" w:hAnsi="仿宋" w:eastAsia="仿宋" w:cs="仿宋"/>
                <w:sz w:val="24"/>
              </w:rPr>
              <w:t>2</w:t>
            </w:r>
          </w:p>
        </w:tc>
        <w:tc>
          <w:tcPr>
            <w:tcW w:w="1020" w:type="dxa"/>
            <w:noWrap w:val="0"/>
            <w:vAlign w:val="center"/>
          </w:tcPr>
          <w:p w14:paraId="1B37DBD8">
            <w:pPr>
              <w:spacing w:line="240" w:lineRule="exact"/>
              <w:jc w:val="center"/>
              <w:rPr>
                <w:rFonts w:hint="eastAsia" w:ascii="仿宋" w:hAnsi="仿宋" w:eastAsia="仿宋" w:cs="仿宋"/>
                <w:sz w:val="24"/>
              </w:rPr>
            </w:pPr>
            <w:r>
              <w:rPr>
                <w:rFonts w:hint="eastAsia" w:ascii="仿宋" w:hAnsi="仿宋" w:eastAsia="仿宋" w:cs="仿宋"/>
                <w:sz w:val="24"/>
              </w:rPr>
              <w:t>教学软件</w:t>
            </w:r>
          </w:p>
        </w:tc>
        <w:tc>
          <w:tcPr>
            <w:tcW w:w="6436" w:type="dxa"/>
            <w:noWrap w:val="0"/>
            <w:vAlign w:val="center"/>
          </w:tcPr>
          <w:p w14:paraId="7A1A4F90">
            <w:pPr>
              <w:widowControl/>
              <w:rPr>
                <w:rFonts w:hint="eastAsia" w:ascii="仿宋" w:hAnsi="仿宋" w:eastAsia="仿宋" w:cs="仿宋"/>
                <w:sz w:val="24"/>
              </w:rPr>
            </w:pPr>
            <w:r>
              <w:rPr>
                <w:rFonts w:hint="eastAsia" w:ascii="仿宋" w:hAnsi="仿宋" w:eastAsia="仿宋" w:cs="仿宋"/>
                <w:sz w:val="24"/>
              </w:rPr>
              <w:t>1、教学软件为备授课一体客户端，同时具备备课模式和授课模式，在软件安装完成后可自有切换备课和授课模式。</w:t>
            </w:r>
          </w:p>
          <w:p w14:paraId="65C2FB53">
            <w:pPr>
              <w:widowControl/>
              <w:rPr>
                <w:rFonts w:hint="eastAsia" w:ascii="仿宋" w:hAnsi="仿宋" w:eastAsia="仿宋" w:cs="仿宋"/>
                <w:sz w:val="24"/>
              </w:rPr>
            </w:pPr>
            <w:r>
              <w:rPr>
                <w:rFonts w:hint="eastAsia" w:ascii="仿宋" w:hAnsi="仿宋" w:eastAsia="仿宋" w:cs="仿宋"/>
                <w:sz w:val="24"/>
              </w:rPr>
              <w:t>2、教学软件可支持教师自主注册账号，可使用账号密码登录或使用微信扫码绑定账号完成登录，支持解绑账号与微信号关系进行重新绑定。</w:t>
            </w:r>
          </w:p>
          <w:p w14:paraId="3BB15BFD">
            <w:pPr>
              <w:widowControl/>
              <w:rPr>
                <w:rFonts w:hint="eastAsia" w:ascii="仿宋" w:hAnsi="仿宋" w:eastAsia="仿宋" w:cs="仿宋"/>
                <w:sz w:val="24"/>
              </w:rPr>
            </w:pPr>
            <w:r>
              <w:rPr>
                <w:rFonts w:hint="eastAsia" w:ascii="仿宋" w:hAnsi="仿宋" w:eastAsia="仿宋" w:cs="仿宋"/>
                <w:sz w:val="24"/>
              </w:rPr>
              <w:t>3、软件支持教师在教学平板设备上通过刷脸登录教师个人账号；支持使用usbkey的方式登录软件，无需输入账号密码。</w:t>
            </w:r>
          </w:p>
          <w:p w14:paraId="706DAE51">
            <w:pPr>
              <w:widowControl/>
              <w:rPr>
                <w:rFonts w:hint="eastAsia" w:ascii="仿宋" w:hAnsi="仿宋" w:eastAsia="仿宋" w:cs="仿宋"/>
                <w:sz w:val="24"/>
              </w:rPr>
            </w:pPr>
            <w:r>
              <w:rPr>
                <w:rFonts w:hint="eastAsia" w:ascii="仿宋" w:hAnsi="仿宋" w:eastAsia="仿宋" w:cs="仿宋"/>
                <w:sz w:val="24"/>
              </w:rPr>
              <w:t>4、支持为教师提供免费的20GB云存储空间，无需完成额外任务即可获取，教师容量达到使用上限时可支持最大扩展到200GB，教师可在个人网盘中上传存储教学资源，资源格式支持：ppt、word、excel、pdf、图片、音视频、压缩包、flash文件、安装包、思维导图。支持拖动本地课件素材至网盘区域上传，支持移动调整文件及文件夹的层级，支持对文件进行重命名、删除操作。支持根据文件类型筛选文件，支持根据文件名称、更新时间及文件大小进行排序。</w:t>
            </w:r>
          </w:p>
          <w:p w14:paraId="6E1FB430">
            <w:pPr>
              <w:widowControl/>
              <w:rPr>
                <w:rFonts w:hint="eastAsia" w:ascii="仿宋" w:hAnsi="仿宋" w:eastAsia="仿宋" w:cs="仿宋"/>
                <w:sz w:val="24"/>
              </w:rPr>
            </w:pPr>
            <w:r>
              <w:rPr>
                <w:rFonts w:hint="eastAsia" w:ascii="仿宋" w:hAnsi="仿宋" w:eastAsia="仿宋" w:cs="仿宋"/>
                <w:sz w:val="24"/>
              </w:rPr>
              <w:t>★5、具有校本拓展资源应用，支持用户自定义校内资源共享目录，支持自定义三级目录，支持通过权限控制设置全部教师用户和指定教师用户上传资源，其他教师允许查看并下载资源。支持提供PPT 、WPS插件，同时支持原生 Office、WPS 环境下备课，教师可将课件内容一键上传更新至教师云空间，在授课时直接下载使用云端资源。</w:t>
            </w:r>
          </w:p>
          <w:p w14:paraId="1EF5DE64">
            <w:pPr>
              <w:widowControl/>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教学软件支持文档授课，将word、pdf资源上传至个人网盘，授课端直接打开实现文档授课，支持对文档进行放大缩小，支持放大到150%，书写笔迹需跟随文档移动不偏移，支持在画笔模式下多指进行文档移动。</w:t>
            </w:r>
          </w:p>
          <w:p w14:paraId="746EA0B2">
            <w:pPr>
              <w:widowControl/>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、支持任意教学环境下（白板讲解、PPT讲解、视频播放）全屏原笔迹书写、标注功能，笔迹需跟随页面切换，提供3种画笔类型，每种画笔支持四种粗细及自定义颜色，笔迹流畅并自带笔锋。</w:t>
            </w:r>
          </w:p>
          <w:p w14:paraId="63DC8D12">
            <w:pPr>
              <w:widowControl/>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需支持保存板书功能，支持将板书上画笔内容、几何图形、立体图形等元素内容保存至云白板，支持教师在其他设备上登录账号即可加载打开板书内容，该板书内容非图片格式，支持在板书基础上对任一元素进行二次编辑调整，彻底还原板书，板书内容支持重命名，需支持按照日期顺序进行排布。</w:t>
            </w:r>
          </w:p>
          <w:p w14:paraId="6E3379BB">
            <w:pPr>
              <w:widowControl/>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在授课端支持英文字母教学工具，可点击字母查看字母在四线三格中的标准写法，展示书写笔顺示意，可点击读音进行字母发音，支持以动画形式展现书写笔顺，对每个字母提供三个相关单词并对单词配以插画示意，支持点击单词进行点读发音。</w:t>
            </w:r>
          </w:p>
        </w:tc>
        <w:tc>
          <w:tcPr>
            <w:tcW w:w="454" w:type="dxa"/>
            <w:noWrap w:val="0"/>
            <w:vAlign w:val="center"/>
          </w:tcPr>
          <w:p w14:paraId="0D17CC85">
            <w:pPr>
              <w:spacing w:line="240" w:lineRule="exact"/>
              <w:jc w:val="center"/>
              <w:rPr>
                <w:rFonts w:hint="eastAsia" w:ascii="仿宋" w:hAnsi="仿宋" w:eastAsia="仿宋" w:cs="仿宋"/>
                <w:sz w:val="24"/>
              </w:rPr>
            </w:pPr>
            <w:r>
              <w:rPr>
                <w:rFonts w:hint="eastAsia" w:ascii="仿宋" w:hAnsi="仿宋" w:eastAsia="仿宋" w:cs="仿宋"/>
                <w:sz w:val="24"/>
              </w:rPr>
              <w:t>套</w:t>
            </w:r>
          </w:p>
        </w:tc>
        <w:tc>
          <w:tcPr>
            <w:tcW w:w="570" w:type="dxa"/>
            <w:noWrap w:val="0"/>
            <w:vAlign w:val="center"/>
          </w:tcPr>
          <w:p w14:paraId="79653829">
            <w:pPr>
              <w:spacing w:line="240" w:lineRule="exact"/>
              <w:jc w:val="center"/>
              <w:rPr>
                <w:rFonts w:hint="eastAsia" w:ascii="仿宋" w:hAnsi="仿宋" w:eastAsia="仿宋" w:cs="仿宋"/>
                <w:sz w:val="24"/>
              </w:rPr>
            </w:pPr>
            <w:r>
              <w:rPr>
                <w:rFonts w:hint="eastAsia" w:ascii="仿宋" w:hAnsi="仿宋" w:eastAsia="仿宋" w:cs="仿宋"/>
                <w:sz w:val="24"/>
              </w:rPr>
              <w:t>15</w:t>
            </w:r>
          </w:p>
        </w:tc>
      </w:tr>
      <w:tr w14:paraId="79D4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37A608E8">
            <w:pPr>
              <w:spacing w:line="240" w:lineRule="exact"/>
              <w:jc w:val="center"/>
              <w:rPr>
                <w:rFonts w:hint="eastAsia" w:ascii="仿宋" w:hAnsi="仿宋" w:eastAsia="仿宋" w:cs="仿宋"/>
                <w:sz w:val="24"/>
              </w:rPr>
            </w:pPr>
            <w:r>
              <w:rPr>
                <w:rFonts w:hint="eastAsia" w:ascii="仿宋" w:hAnsi="仿宋" w:eastAsia="仿宋" w:cs="仿宋"/>
                <w:sz w:val="24"/>
              </w:rPr>
              <w:t>3</w:t>
            </w:r>
          </w:p>
        </w:tc>
        <w:tc>
          <w:tcPr>
            <w:tcW w:w="1020" w:type="dxa"/>
            <w:noWrap w:val="0"/>
            <w:vAlign w:val="center"/>
          </w:tcPr>
          <w:p w14:paraId="1B6695C8">
            <w:pPr>
              <w:spacing w:line="240" w:lineRule="exact"/>
              <w:jc w:val="center"/>
              <w:rPr>
                <w:rFonts w:hint="eastAsia" w:ascii="仿宋" w:hAnsi="仿宋" w:eastAsia="仿宋" w:cs="仿宋"/>
                <w:sz w:val="24"/>
              </w:rPr>
            </w:pPr>
            <w:r>
              <w:rPr>
                <w:rFonts w:hint="eastAsia" w:ascii="仿宋" w:hAnsi="仿宋" w:eastAsia="仿宋" w:cs="仿宋"/>
                <w:sz w:val="24"/>
              </w:rPr>
              <w:t>视频展台</w:t>
            </w:r>
          </w:p>
        </w:tc>
        <w:tc>
          <w:tcPr>
            <w:tcW w:w="6436" w:type="dxa"/>
            <w:noWrap w:val="0"/>
            <w:vAlign w:val="center"/>
          </w:tcPr>
          <w:p w14:paraId="77E9B326">
            <w:pPr>
              <w:widowControl/>
              <w:rPr>
                <w:rFonts w:hint="eastAsia" w:ascii="仿宋" w:hAnsi="仿宋" w:eastAsia="仿宋" w:cs="仿宋"/>
                <w:sz w:val="24"/>
              </w:rPr>
            </w:pPr>
            <w:r>
              <w:rPr>
                <w:rFonts w:hint="eastAsia" w:ascii="仿宋" w:hAnsi="仿宋" w:eastAsia="仿宋" w:cs="仿宋"/>
                <w:sz w:val="24"/>
              </w:rPr>
              <w:t>1、像素：≥1000 万像素，分辨率：≥3680*2760，A4 幅面。</w:t>
            </w:r>
            <w:r>
              <w:rPr>
                <w:rFonts w:hint="eastAsia" w:ascii="仿宋" w:hAnsi="仿宋" w:eastAsia="仿宋" w:cs="仿宋"/>
                <w:sz w:val="24"/>
              </w:rPr>
              <w:br w:type="textWrapping"/>
            </w:r>
            <w:r>
              <w:rPr>
                <w:rFonts w:hint="eastAsia" w:ascii="仿宋" w:hAnsi="仿宋" w:eastAsia="仿宋" w:cs="仿宋"/>
                <w:sz w:val="24"/>
              </w:rPr>
              <w:t>2、采用 AF 自动对焦+触摸控制对焦，课件翻页和光线变化时可减少频繁对焦的情况，提高教学演示效率。</w:t>
            </w:r>
            <w:r>
              <w:rPr>
                <w:rFonts w:hint="eastAsia" w:ascii="仿宋" w:hAnsi="仿宋" w:eastAsia="仿宋" w:cs="仿宋"/>
                <w:sz w:val="24"/>
              </w:rPr>
              <w:br w:type="textWrapping"/>
            </w:r>
            <w:r>
              <w:rPr>
                <w:rFonts w:hint="eastAsia" w:ascii="仿宋" w:hAnsi="仿宋" w:eastAsia="仿宋" w:cs="仿宋"/>
                <w:sz w:val="24"/>
              </w:rPr>
              <w:t>3、输出接口：至少具备USB-B *1 数据连接口；</w:t>
            </w:r>
            <w:r>
              <w:rPr>
                <w:rFonts w:hint="eastAsia" w:ascii="仿宋" w:hAnsi="仿宋" w:eastAsia="仿宋" w:cs="仿宋"/>
                <w:sz w:val="24"/>
              </w:rPr>
              <w:br w:type="textWrapping"/>
            </w:r>
            <w:r>
              <w:rPr>
                <w:rFonts w:hint="eastAsia" w:ascii="仿宋" w:hAnsi="仿宋" w:eastAsia="仿宋" w:cs="仿宋"/>
                <w:sz w:val="24"/>
              </w:rPr>
              <w:t>4、自带LED补光灯，补光灯开关采用可触摸式三级灯光调节；</w:t>
            </w:r>
            <w:r>
              <w:rPr>
                <w:rFonts w:hint="eastAsia" w:ascii="仿宋" w:hAnsi="仿宋" w:eastAsia="仿宋" w:cs="仿宋"/>
                <w:sz w:val="24"/>
              </w:rPr>
              <w:br w:type="textWrapping"/>
            </w:r>
            <w:r>
              <w:rPr>
                <w:rFonts w:hint="eastAsia" w:ascii="仿宋" w:hAnsi="仿宋" w:eastAsia="仿宋" w:cs="仿宋"/>
                <w:sz w:val="24"/>
              </w:rPr>
              <w:t>5、单根 USB 线传输和供电，支持远距离数据传输；</w:t>
            </w:r>
            <w:r>
              <w:rPr>
                <w:rFonts w:hint="eastAsia" w:ascii="仿宋" w:hAnsi="仿宋" w:eastAsia="仿宋" w:cs="仿宋"/>
                <w:sz w:val="24"/>
              </w:rPr>
              <w:br w:type="textWrapping"/>
            </w:r>
            <w:r>
              <w:rPr>
                <w:rFonts w:hint="eastAsia" w:ascii="仿宋" w:hAnsi="仿宋" w:eastAsia="仿宋" w:cs="仿宋"/>
                <w:sz w:val="24"/>
              </w:rPr>
              <w:t>6、触摸对焦 电容式触摸对焦；</w:t>
            </w:r>
          </w:p>
          <w:p w14:paraId="35CC94DD">
            <w:pPr>
              <w:widowControl/>
              <w:rPr>
                <w:rFonts w:hint="eastAsia" w:ascii="仿宋" w:hAnsi="仿宋" w:eastAsia="仿宋" w:cs="仿宋"/>
                <w:sz w:val="24"/>
              </w:rPr>
            </w:pPr>
            <w:r>
              <w:rPr>
                <w:rFonts w:hint="eastAsia" w:ascii="仿宋" w:hAnsi="仿宋" w:eastAsia="仿宋" w:cs="仿宋"/>
                <w:sz w:val="24"/>
              </w:rPr>
              <w:t>7、触摸次数寿命 同一位置触摸20万次以上；</w:t>
            </w:r>
          </w:p>
          <w:p w14:paraId="32AF7D83">
            <w:pPr>
              <w:widowControl/>
              <w:rPr>
                <w:rFonts w:hint="eastAsia" w:ascii="仿宋" w:hAnsi="仿宋" w:eastAsia="仿宋" w:cs="仿宋"/>
                <w:sz w:val="24"/>
              </w:rPr>
            </w:pPr>
            <w:r>
              <w:rPr>
                <w:rFonts w:hint="eastAsia" w:ascii="仿宋" w:hAnsi="仿宋" w:eastAsia="仿宋" w:cs="仿宋"/>
                <w:sz w:val="24"/>
              </w:rPr>
              <w:t>8、触控板寿命 ≥10000小时。</w:t>
            </w:r>
          </w:p>
        </w:tc>
        <w:tc>
          <w:tcPr>
            <w:tcW w:w="454" w:type="dxa"/>
            <w:noWrap w:val="0"/>
            <w:vAlign w:val="center"/>
          </w:tcPr>
          <w:p w14:paraId="218FF4C8">
            <w:pPr>
              <w:spacing w:line="240" w:lineRule="exact"/>
              <w:jc w:val="center"/>
              <w:rPr>
                <w:rFonts w:hint="eastAsia" w:ascii="仿宋" w:hAnsi="仿宋" w:eastAsia="仿宋" w:cs="仿宋"/>
                <w:sz w:val="24"/>
              </w:rPr>
            </w:pPr>
            <w:r>
              <w:rPr>
                <w:rFonts w:hint="eastAsia" w:ascii="仿宋" w:hAnsi="仿宋" w:eastAsia="仿宋" w:cs="仿宋"/>
                <w:sz w:val="24"/>
              </w:rPr>
              <w:t>台</w:t>
            </w:r>
          </w:p>
        </w:tc>
        <w:tc>
          <w:tcPr>
            <w:tcW w:w="570" w:type="dxa"/>
            <w:noWrap w:val="0"/>
            <w:vAlign w:val="center"/>
          </w:tcPr>
          <w:p w14:paraId="6E2B4536">
            <w:pPr>
              <w:spacing w:line="240" w:lineRule="exact"/>
              <w:jc w:val="center"/>
              <w:rPr>
                <w:rFonts w:hint="eastAsia" w:ascii="仿宋" w:hAnsi="仿宋" w:eastAsia="仿宋" w:cs="仿宋"/>
                <w:sz w:val="24"/>
              </w:rPr>
            </w:pPr>
            <w:r>
              <w:rPr>
                <w:rFonts w:hint="eastAsia" w:ascii="仿宋" w:hAnsi="仿宋" w:eastAsia="仿宋" w:cs="仿宋"/>
                <w:sz w:val="24"/>
              </w:rPr>
              <w:t>15</w:t>
            </w:r>
          </w:p>
        </w:tc>
      </w:tr>
      <w:tr w14:paraId="27D0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0EB250FB">
            <w:pPr>
              <w:spacing w:line="240" w:lineRule="exact"/>
              <w:jc w:val="center"/>
              <w:rPr>
                <w:rFonts w:hint="eastAsia" w:ascii="仿宋" w:hAnsi="仿宋" w:eastAsia="仿宋" w:cs="仿宋"/>
                <w:sz w:val="24"/>
              </w:rPr>
            </w:pPr>
            <w:r>
              <w:rPr>
                <w:rFonts w:hint="eastAsia" w:ascii="仿宋" w:hAnsi="仿宋" w:eastAsia="仿宋" w:cs="仿宋"/>
                <w:sz w:val="24"/>
              </w:rPr>
              <w:t>4</w:t>
            </w:r>
          </w:p>
        </w:tc>
        <w:tc>
          <w:tcPr>
            <w:tcW w:w="1020" w:type="dxa"/>
            <w:noWrap w:val="0"/>
            <w:vAlign w:val="center"/>
          </w:tcPr>
          <w:p w14:paraId="702C2CC5">
            <w:pPr>
              <w:spacing w:line="240" w:lineRule="exact"/>
              <w:jc w:val="center"/>
              <w:rPr>
                <w:rFonts w:hint="eastAsia" w:ascii="仿宋" w:hAnsi="仿宋" w:eastAsia="仿宋" w:cs="仿宋"/>
                <w:sz w:val="24"/>
              </w:rPr>
            </w:pPr>
            <w:r>
              <w:rPr>
                <w:rFonts w:hint="eastAsia" w:ascii="仿宋" w:hAnsi="仿宋" w:eastAsia="仿宋" w:cs="仿宋"/>
                <w:sz w:val="24"/>
              </w:rPr>
              <w:t>音箱</w:t>
            </w:r>
          </w:p>
        </w:tc>
        <w:tc>
          <w:tcPr>
            <w:tcW w:w="6436" w:type="dxa"/>
            <w:noWrap w:val="0"/>
            <w:vAlign w:val="center"/>
          </w:tcPr>
          <w:p w14:paraId="37492C61">
            <w:pPr>
              <w:widowControl/>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白色木质箱体，挂壁式安装；</w:t>
            </w:r>
          </w:p>
          <w:p w14:paraId="55307D61">
            <w:pPr>
              <w:widowControl/>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单元≥4.5"全频×1+高音2.5″×1</w:t>
            </w:r>
          </w:p>
          <w:p w14:paraId="35048A18">
            <w:pPr>
              <w:widowControl/>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额定功率≥30W；</w:t>
            </w:r>
          </w:p>
          <w:p w14:paraId="0002A932">
            <w:pPr>
              <w:widowControl/>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灵敏度≥87dB；</w:t>
            </w:r>
          </w:p>
          <w:p w14:paraId="359D33C8">
            <w:pPr>
              <w:widowControl/>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eastAsia="zh-CN"/>
              </w:rPr>
              <w:t>、</w:t>
            </w:r>
            <w:r>
              <w:rPr>
                <w:rFonts w:hint="eastAsia" w:ascii="仿宋" w:hAnsi="仿宋" w:eastAsia="仿宋" w:cs="仿宋"/>
                <w:sz w:val="24"/>
              </w:rPr>
              <w:t>频率响应:130Hz-13KHz；</w:t>
            </w:r>
          </w:p>
          <w:p w14:paraId="180E4C07">
            <w:pPr>
              <w:widowControl/>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w:t>
            </w:r>
            <w:r>
              <w:rPr>
                <w:rFonts w:hint="eastAsia" w:ascii="仿宋" w:hAnsi="仿宋" w:eastAsia="仿宋" w:cs="仿宋"/>
                <w:sz w:val="24"/>
              </w:rPr>
              <w:t>最大声压级≥102db；</w:t>
            </w:r>
          </w:p>
          <w:p w14:paraId="0FA1C9A8">
            <w:pPr>
              <w:widowControl/>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eastAsia="zh-CN"/>
              </w:rPr>
              <w:t>、</w:t>
            </w:r>
            <w:r>
              <w:rPr>
                <w:rFonts w:hint="eastAsia" w:ascii="仿宋" w:hAnsi="仿宋" w:eastAsia="仿宋" w:cs="仿宋"/>
                <w:sz w:val="24"/>
              </w:rPr>
              <w:t>输入阻抗:8Ω。</w:t>
            </w:r>
          </w:p>
        </w:tc>
        <w:tc>
          <w:tcPr>
            <w:tcW w:w="454" w:type="dxa"/>
            <w:noWrap w:val="0"/>
            <w:vAlign w:val="center"/>
          </w:tcPr>
          <w:p w14:paraId="0199FB5E">
            <w:pPr>
              <w:spacing w:line="240" w:lineRule="exact"/>
              <w:jc w:val="center"/>
              <w:rPr>
                <w:rFonts w:hint="eastAsia" w:ascii="仿宋" w:hAnsi="仿宋" w:eastAsia="仿宋" w:cs="仿宋"/>
                <w:sz w:val="24"/>
              </w:rPr>
            </w:pPr>
            <w:r>
              <w:rPr>
                <w:rFonts w:hint="eastAsia" w:ascii="仿宋" w:hAnsi="仿宋" w:eastAsia="仿宋" w:cs="仿宋"/>
                <w:sz w:val="24"/>
              </w:rPr>
              <w:t>套</w:t>
            </w:r>
          </w:p>
        </w:tc>
        <w:tc>
          <w:tcPr>
            <w:tcW w:w="570" w:type="dxa"/>
            <w:noWrap w:val="0"/>
            <w:vAlign w:val="center"/>
          </w:tcPr>
          <w:p w14:paraId="20FF27B0">
            <w:pPr>
              <w:spacing w:line="240" w:lineRule="exact"/>
              <w:jc w:val="center"/>
              <w:rPr>
                <w:rFonts w:hint="eastAsia" w:ascii="仿宋" w:hAnsi="仿宋" w:eastAsia="仿宋" w:cs="仿宋"/>
                <w:sz w:val="24"/>
              </w:rPr>
            </w:pPr>
            <w:r>
              <w:rPr>
                <w:rFonts w:hint="eastAsia" w:ascii="仿宋" w:hAnsi="仿宋" w:eastAsia="仿宋" w:cs="仿宋"/>
                <w:sz w:val="24"/>
              </w:rPr>
              <w:t>15</w:t>
            </w:r>
          </w:p>
        </w:tc>
      </w:tr>
      <w:tr w14:paraId="0FEA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5042648B">
            <w:pPr>
              <w:spacing w:line="240" w:lineRule="exact"/>
              <w:jc w:val="center"/>
              <w:rPr>
                <w:rFonts w:hint="eastAsia" w:ascii="仿宋" w:hAnsi="仿宋" w:eastAsia="仿宋" w:cs="仿宋"/>
                <w:sz w:val="24"/>
              </w:rPr>
            </w:pPr>
            <w:r>
              <w:rPr>
                <w:rFonts w:hint="eastAsia" w:ascii="仿宋" w:hAnsi="仿宋" w:eastAsia="仿宋" w:cs="仿宋"/>
                <w:sz w:val="24"/>
              </w:rPr>
              <w:t>5</w:t>
            </w:r>
          </w:p>
        </w:tc>
        <w:tc>
          <w:tcPr>
            <w:tcW w:w="1020" w:type="dxa"/>
            <w:noWrap w:val="0"/>
            <w:vAlign w:val="center"/>
          </w:tcPr>
          <w:p w14:paraId="45B8FECA">
            <w:pPr>
              <w:spacing w:line="240" w:lineRule="exact"/>
              <w:jc w:val="center"/>
              <w:rPr>
                <w:rFonts w:hint="eastAsia" w:ascii="仿宋" w:hAnsi="仿宋" w:eastAsia="仿宋" w:cs="仿宋"/>
                <w:sz w:val="24"/>
              </w:rPr>
            </w:pPr>
            <w:r>
              <w:rPr>
                <w:rFonts w:hint="eastAsia" w:ascii="仿宋" w:hAnsi="仿宋" w:eastAsia="仿宋" w:cs="仿宋"/>
                <w:sz w:val="24"/>
              </w:rPr>
              <w:t>无感扩声拾音话筒</w:t>
            </w:r>
          </w:p>
        </w:tc>
        <w:tc>
          <w:tcPr>
            <w:tcW w:w="6436" w:type="dxa"/>
            <w:noWrap w:val="0"/>
            <w:vAlign w:val="center"/>
          </w:tcPr>
          <w:p w14:paraId="5C51A028">
            <w:pPr>
              <w:widowControl/>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心形指向性电容式话筒；</w:t>
            </w:r>
          </w:p>
          <w:p w14:paraId="01167A5E">
            <w:pPr>
              <w:widowControl/>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频率响应：20Hz~20KHz；</w:t>
            </w:r>
          </w:p>
          <w:p w14:paraId="2E55872A">
            <w:pPr>
              <w:widowControl/>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拾音扇面：≤120°；</w:t>
            </w:r>
          </w:p>
          <w:p w14:paraId="6364FBFD">
            <w:pPr>
              <w:widowControl/>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w:t>
            </w:r>
            <w:r>
              <w:rPr>
                <w:rFonts w:hint="eastAsia" w:ascii="仿宋" w:hAnsi="仿宋" w:eastAsia="仿宋" w:cs="仿宋"/>
                <w:sz w:val="24"/>
              </w:rPr>
              <w:t>推荐负载阻抗：≥1kΩ；</w:t>
            </w:r>
          </w:p>
          <w:p w14:paraId="7685BD25">
            <w:pPr>
              <w:widowControl/>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eastAsia="zh-CN"/>
              </w:rPr>
              <w:t>、</w:t>
            </w:r>
            <w:r>
              <w:rPr>
                <w:rFonts w:hint="eastAsia" w:ascii="仿宋" w:hAnsi="仿宋" w:eastAsia="仿宋" w:cs="仿宋"/>
                <w:sz w:val="24"/>
              </w:rPr>
              <w:t>灵敏度(±2dB)：-38dB(0dB=1V/Pa@1KHz)；</w:t>
            </w:r>
          </w:p>
          <w:p w14:paraId="7F62F0AC">
            <w:pPr>
              <w:widowControl/>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eastAsia="zh-CN"/>
              </w:rPr>
              <w:t>、</w:t>
            </w:r>
            <w:r>
              <w:rPr>
                <w:rFonts w:hint="eastAsia" w:ascii="仿宋" w:hAnsi="仿宋" w:eastAsia="仿宋" w:cs="仿宋"/>
                <w:sz w:val="24"/>
              </w:rPr>
              <w:t>信噪比：≥65dB,1kHz @ 1Pa；</w:t>
            </w:r>
          </w:p>
          <w:p w14:paraId="749C2E89">
            <w:pPr>
              <w:widowControl/>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eastAsia="zh-CN"/>
              </w:rPr>
              <w:t>、</w:t>
            </w:r>
            <w:r>
              <w:rPr>
                <w:rFonts w:hint="eastAsia" w:ascii="仿宋" w:hAnsi="仿宋" w:eastAsia="仿宋" w:cs="仿宋"/>
                <w:sz w:val="24"/>
              </w:rPr>
              <w:t>供电电压：幻象48V；</w:t>
            </w:r>
          </w:p>
          <w:p w14:paraId="4C8C0D15">
            <w:pPr>
              <w:widowControl/>
              <w:rPr>
                <w:rFonts w:hint="eastAsia" w:ascii="仿宋" w:hAnsi="仿宋" w:eastAsia="仿宋" w:cs="仿宋"/>
                <w:sz w:val="24"/>
              </w:rPr>
            </w:pPr>
            <w:r>
              <w:rPr>
                <w:rFonts w:hint="eastAsia" w:ascii="仿宋" w:hAnsi="仿宋" w:eastAsia="仿宋" w:cs="仿宋"/>
                <w:sz w:val="24"/>
              </w:rPr>
              <w:t>8.拾音范围：有效半径≥5米 最大半径≥8米。</w:t>
            </w:r>
            <w:r>
              <w:rPr>
                <w:rFonts w:hint="eastAsia" w:ascii="仿宋" w:hAnsi="仿宋" w:eastAsia="仿宋" w:cs="仿宋"/>
                <w:sz w:val="24"/>
              </w:rPr>
              <w:cr/>
            </w:r>
          </w:p>
        </w:tc>
        <w:tc>
          <w:tcPr>
            <w:tcW w:w="454" w:type="dxa"/>
            <w:noWrap w:val="0"/>
            <w:vAlign w:val="center"/>
          </w:tcPr>
          <w:p w14:paraId="4CCC8E0D">
            <w:pPr>
              <w:spacing w:line="240" w:lineRule="exact"/>
              <w:jc w:val="center"/>
              <w:rPr>
                <w:rFonts w:hint="eastAsia" w:ascii="仿宋" w:hAnsi="仿宋" w:eastAsia="仿宋" w:cs="仿宋"/>
                <w:sz w:val="24"/>
              </w:rPr>
            </w:pPr>
            <w:r>
              <w:rPr>
                <w:rFonts w:hint="eastAsia" w:ascii="仿宋" w:hAnsi="仿宋" w:eastAsia="仿宋" w:cs="仿宋"/>
                <w:sz w:val="24"/>
              </w:rPr>
              <w:t>台</w:t>
            </w:r>
          </w:p>
        </w:tc>
        <w:tc>
          <w:tcPr>
            <w:tcW w:w="570" w:type="dxa"/>
            <w:noWrap w:val="0"/>
            <w:vAlign w:val="center"/>
          </w:tcPr>
          <w:p w14:paraId="5717C031">
            <w:pPr>
              <w:spacing w:line="240" w:lineRule="exact"/>
              <w:jc w:val="center"/>
              <w:rPr>
                <w:rFonts w:hint="eastAsia" w:ascii="仿宋" w:hAnsi="仿宋" w:eastAsia="仿宋" w:cs="仿宋"/>
                <w:sz w:val="24"/>
              </w:rPr>
            </w:pPr>
            <w:r>
              <w:rPr>
                <w:rFonts w:hint="eastAsia" w:ascii="仿宋" w:hAnsi="仿宋" w:eastAsia="仿宋" w:cs="仿宋"/>
                <w:sz w:val="24"/>
              </w:rPr>
              <w:t>15</w:t>
            </w:r>
          </w:p>
        </w:tc>
      </w:tr>
      <w:tr w14:paraId="594C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9" w:hRule="atLeast"/>
          <w:jc w:val="center"/>
        </w:trPr>
        <w:tc>
          <w:tcPr>
            <w:tcW w:w="536" w:type="dxa"/>
            <w:noWrap w:val="0"/>
            <w:vAlign w:val="center"/>
          </w:tcPr>
          <w:p w14:paraId="3CA827D5">
            <w:pPr>
              <w:spacing w:line="240" w:lineRule="exact"/>
              <w:jc w:val="center"/>
              <w:rPr>
                <w:rFonts w:hint="eastAsia" w:ascii="仿宋" w:hAnsi="仿宋" w:eastAsia="仿宋" w:cs="仿宋"/>
                <w:sz w:val="24"/>
              </w:rPr>
            </w:pPr>
            <w:r>
              <w:rPr>
                <w:rFonts w:hint="eastAsia" w:ascii="仿宋" w:hAnsi="仿宋" w:eastAsia="仿宋" w:cs="仿宋"/>
                <w:sz w:val="24"/>
              </w:rPr>
              <w:t>6</w:t>
            </w:r>
          </w:p>
        </w:tc>
        <w:tc>
          <w:tcPr>
            <w:tcW w:w="1020" w:type="dxa"/>
            <w:noWrap w:val="0"/>
            <w:vAlign w:val="center"/>
          </w:tcPr>
          <w:p w14:paraId="79294202">
            <w:pPr>
              <w:spacing w:line="240" w:lineRule="exact"/>
              <w:jc w:val="center"/>
              <w:rPr>
                <w:rFonts w:hint="eastAsia" w:ascii="仿宋" w:hAnsi="仿宋" w:eastAsia="仿宋" w:cs="仿宋"/>
                <w:sz w:val="24"/>
              </w:rPr>
            </w:pPr>
            <w:r>
              <w:rPr>
                <w:rFonts w:hint="eastAsia" w:ascii="仿宋" w:hAnsi="仿宋" w:eastAsia="仿宋" w:cs="仿宋"/>
                <w:sz w:val="24"/>
              </w:rPr>
              <w:t>无感扩声系统主机</w:t>
            </w:r>
          </w:p>
        </w:tc>
        <w:tc>
          <w:tcPr>
            <w:tcW w:w="6436" w:type="dxa"/>
            <w:noWrap w:val="0"/>
            <w:vAlign w:val="center"/>
          </w:tcPr>
          <w:p w14:paraId="3612B34B">
            <w:pPr>
              <w:widowControl/>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音频处理、功率放大器一体式设计，内置4核国产高速DSP处理芯片，64bit处理内核，主频≥1GHz,最大主频≥1.3GHz,最快信号处理延时≤11ms；</w:t>
            </w:r>
          </w:p>
          <w:p w14:paraId="66C53781">
            <w:pPr>
              <w:widowControl/>
              <w:rPr>
                <w:rFonts w:hint="eastAsia" w:ascii="仿宋" w:hAnsi="仿宋" w:eastAsia="仿宋" w:cs="仿宋"/>
                <w:sz w:val="24"/>
              </w:rPr>
            </w:pPr>
            <w:r>
              <w:rPr>
                <w:rFonts w:hint="eastAsia" w:ascii="仿宋" w:hAnsi="仿宋" w:eastAsia="仿宋" w:cs="仿宋"/>
                <w:sz w:val="24"/>
              </w:rPr>
              <w:t>2、增益调节：支持麦克风ADC增益0到28.5dB可调；支持噪声抑制有0到18等级可调，混响抑制0到4级可调，扩声还原度0到10级可调；</w:t>
            </w:r>
          </w:p>
          <w:p w14:paraId="553335BD">
            <w:pPr>
              <w:widowControl/>
              <w:rPr>
                <w:rFonts w:hint="eastAsia" w:ascii="仿宋" w:hAnsi="仿宋" w:eastAsia="仿宋" w:cs="仿宋"/>
                <w:sz w:val="24"/>
              </w:rPr>
            </w:pPr>
            <w:r>
              <w:rPr>
                <w:rFonts w:hint="eastAsia" w:ascii="仿宋" w:hAnsi="仿宋" w:eastAsia="仿宋" w:cs="仿宋"/>
                <w:sz w:val="24"/>
              </w:rPr>
              <w:t>3、回声消除（AEC）：尾音长度≤512ms，消除幅度≥60dB，收敛速度≥100dB/S，有≥16个等级可调，延迟值在 4 - 255ms；</w:t>
            </w:r>
          </w:p>
          <w:p w14:paraId="4CAC912D">
            <w:pPr>
              <w:widowControl/>
              <w:rPr>
                <w:rFonts w:hint="eastAsia" w:ascii="仿宋" w:hAnsi="仿宋" w:eastAsia="仿宋" w:cs="仿宋"/>
                <w:sz w:val="24"/>
              </w:rPr>
            </w:pPr>
            <w:r>
              <w:rPr>
                <w:rFonts w:hint="eastAsia" w:ascii="仿宋" w:hAnsi="仿宋" w:eastAsia="仿宋" w:cs="仿宋"/>
                <w:sz w:val="24"/>
              </w:rPr>
              <w:t>4、反馈抑制（AFC）功能支持开关控制，配备不少于 16 段自适应频率滤波器，频率可手动调节，能有效提升传声增益幅度达≥18dB；</w:t>
            </w:r>
          </w:p>
          <w:p w14:paraId="27B7E34E">
            <w:pPr>
              <w:widowControl/>
              <w:rPr>
                <w:rFonts w:hint="eastAsia" w:ascii="仿宋" w:hAnsi="仿宋" w:eastAsia="仿宋" w:cs="仿宋"/>
                <w:sz w:val="24"/>
              </w:rPr>
            </w:pPr>
            <w:r>
              <w:rPr>
                <w:rFonts w:hint="eastAsia" w:ascii="仿宋" w:hAnsi="仿宋" w:eastAsia="仿宋" w:cs="仿宋"/>
                <w:sz w:val="24"/>
              </w:rPr>
              <w:t>5、自动增益控制（AGC）：增益控制幅度-24dB到24dB可调，并可开关自动增益控制功能；</w:t>
            </w:r>
          </w:p>
          <w:p w14:paraId="664EDB19">
            <w:pPr>
              <w:widowControl/>
              <w:rPr>
                <w:rFonts w:hint="eastAsia" w:ascii="仿宋" w:hAnsi="仿宋" w:eastAsia="仿宋" w:cs="仿宋"/>
                <w:sz w:val="24"/>
              </w:rPr>
            </w:pPr>
            <w:r>
              <w:rPr>
                <w:rFonts w:hint="eastAsia" w:ascii="仿宋" w:hAnsi="仿宋" w:eastAsia="仿宋" w:cs="仿宋"/>
                <w:sz w:val="24"/>
              </w:rPr>
              <w:t>6、输入≥30段图示和≥8段参数均衡器调节；</w:t>
            </w:r>
          </w:p>
          <w:p w14:paraId="5BB7C818">
            <w:pPr>
              <w:widowControl/>
              <w:rPr>
                <w:rFonts w:hint="eastAsia" w:ascii="仿宋" w:hAnsi="仿宋" w:eastAsia="仿宋" w:cs="仿宋"/>
                <w:sz w:val="24"/>
              </w:rPr>
            </w:pPr>
            <w:r>
              <w:rPr>
                <w:rFonts w:hint="eastAsia" w:ascii="仿宋" w:hAnsi="仿宋" w:eastAsia="仿宋" w:cs="仿宋"/>
                <w:sz w:val="24"/>
              </w:rPr>
              <w:t>7、输出≥30段图示均衡器及≥8段参数均衡器可调，延时0-255ms可调；输出通路有反相器；</w:t>
            </w:r>
          </w:p>
          <w:p w14:paraId="127E96B7">
            <w:pPr>
              <w:widowControl/>
              <w:rPr>
                <w:rFonts w:hint="eastAsia" w:ascii="仿宋" w:hAnsi="仿宋" w:eastAsia="仿宋" w:cs="仿宋"/>
                <w:sz w:val="24"/>
              </w:rPr>
            </w:pPr>
            <w:r>
              <w:rPr>
                <w:rFonts w:hint="eastAsia" w:ascii="仿宋" w:hAnsi="仿宋" w:eastAsia="仿宋" w:cs="仿宋"/>
                <w:sz w:val="24"/>
              </w:rPr>
              <w:t>8、不少于17路音频通道输入/不少于10路输出，不少于2路48V幻象供电的麦克风输入，幻象供电可软件开关；</w:t>
            </w:r>
          </w:p>
          <w:p w14:paraId="1C251D9A">
            <w:pPr>
              <w:widowControl/>
              <w:rPr>
                <w:rFonts w:hint="eastAsia" w:ascii="仿宋" w:hAnsi="仿宋" w:eastAsia="仿宋" w:cs="仿宋"/>
                <w:sz w:val="24"/>
              </w:rPr>
            </w:pPr>
            <w:r>
              <w:rPr>
                <w:rFonts w:hint="eastAsia" w:ascii="仿宋" w:hAnsi="仿宋" w:eastAsia="仿宋" w:cs="仿宋"/>
                <w:sz w:val="24"/>
              </w:rPr>
              <w:t>9、不少于1个USB立体声输入/输出接口；不少于1个智能阵列麦克风信号输入接口；</w:t>
            </w:r>
          </w:p>
          <w:p w14:paraId="51D55CD6">
            <w:pPr>
              <w:widowControl/>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sz w:val="24"/>
                <w:lang w:eastAsia="zh-CN"/>
              </w:rPr>
              <w:t>、</w:t>
            </w:r>
            <w:r>
              <w:rPr>
                <w:rFonts w:hint="eastAsia" w:ascii="仿宋" w:hAnsi="仿宋" w:eastAsia="仿宋" w:cs="仿宋"/>
                <w:sz w:val="24"/>
              </w:rPr>
              <w:t>不少于2路差分信号输入，不少于1个3.5mm立体声输入；不少于2路差分信号输出，不少于1个3.5mm立体声输出；</w:t>
            </w:r>
          </w:p>
          <w:p w14:paraId="459D46CA">
            <w:pPr>
              <w:widowControl/>
              <w:rPr>
                <w:rFonts w:hint="eastAsia" w:ascii="仿宋" w:hAnsi="仿宋" w:eastAsia="仿宋" w:cs="仿宋"/>
                <w:sz w:val="24"/>
              </w:rPr>
            </w:pPr>
            <w:r>
              <w:rPr>
                <w:rFonts w:hint="eastAsia" w:ascii="仿宋" w:hAnsi="仿宋" w:eastAsia="仿宋" w:cs="仿宋"/>
                <w:sz w:val="24"/>
              </w:rPr>
              <w:t>11、功放输出功率≥2*75W/4Ω数字功放；</w:t>
            </w:r>
          </w:p>
          <w:p w14:paraId="4FDE938B">
            <w:pPr>
              <w:widowControl/>
              <w:rPr>
                <w:rFonts w:hint="eastAsia" w:ascii="仿宋" w:hAnsi="仿宋" w:eastAsia="仿宋" w:cs="仿宋"/>
                <w:sz w:val="24"/>
              </w:rPr>
            </w:pPr>
            <w:r>
              <w:rPr>
                <w:rFonts w:hint="eastAsia" w:ascii="仿宋" w:hAnsi="仿宋" w:eastAsia="仿宋" w:cs="仿宋"/>
                <w:sz w:val="24"/>
              </w:rPr>
              <w:t>12、USB及232串口及RJ45网口外联中央控制器，RJ45接口级联≥3支智能天顶麦克风；</w:t>
            </w:r>
          </w:p>
          <w:p w14:paraId="527CE8F0">
            <w:pPr>
              <w:widowControl/>
              <w:rPr>
                <w:rFonts w:hint="eastAsia" w:ascii="仿宋" w:hAnsi="仿宋" w:eastAsia="仿宋" w:cs="仿宋"/>
                <w:sz w:val="24"/>
              </w:rPr>
            </w:pPr>
            <w:r>
              <w:rPr>
                <w:rFonts w:hint="eastAsia" w:ascii="仿宋" w:hAnsi="仿宋" w:eastAsia="仿宋" w:cs="仿宋"/>
                <w:sz w:val="24"/>
              </w:rPr>
              <w:t>13、≥4个工厂模式和用户可自设的≥4个自定义模式；</w:t>
            </w:r>
          </w:p>
          <w:p w14:paraId="29D50934">
            <w:pPr>
              <w:widowControl/>
              <w:rPr>
                <w:rFonts w:hint="eastAsia" w:ascii="仿宋" w:hAnsi="仿宋" w:eastAsia="仿宋" w:cs="仿宋"/>
                <w:sz w:val="24"/>
              </w:rPr>
            </w:pPr>
            <w:r>
              <w:rPr>
                <w:rFonts w:hint="eastAsia" w:ascii="仿宋" w:hAnsi="仿宋" w:eastAsia="仿宋" w:cs="仿宋"/>
                <w:sz w:val="24"/>
              </w:rPr>
              <w:t>所投设备生产厂家具有符合GB/T35770-2022 标准的合规管理体系认证证书，投标时需提供证书原件扫描件；</w:t>
            </w:r>
          </w:p>
          <w:p w14:paraId="264B3C54">
            <w:pPr>
              <w:widowControl/>
              <w:rPr>
                <w:rFonts w:hint="eastAsia" w:ascii="仿宋" w:hAnsi="仿宋" w:eastAsia="仿宋" w:cs="仿宋"/>
                <w:sz w:val="24"/>
              </w:rPr>
            </w:pPr>
            <w:r>
              <w:rPr>
                <w:rFonts w:hint="eastAsia" w:ascii="仿宋" w:hAnsi="仿宋" w:eastAsia="仿宋" w:cs="仿宋"/>
                <w:sz w:val="24"/>
              </w:rPr>
              <w:t>所投设备生产厂家具有符合 GB/T39604-2020 标准的社会责任管理体系认证证书，投标时需提供证书原件扫描件；</w:t>
            </w:r>
          </w:p>
        </w:tc>
        <w:tc>
          <w:tcPr>
            <w:tcW w:w="454" w:type="dxa"/>
            <w:noWrap w:val="0"/>
            <w:vAlign w:val="center"/>
          </w:tcPr>
          <w:p w14:paraId="1B087E55">
            <w:pPr>
              <w:spacing w:line="240" w:lineRule="exact"/>
              <w:jc w:val="center"/>
              <w:rPr>
                <w:rFonts w:hint="eastAsia" w:ascii="仿宋" w:hAnsi="仿宋" w:eastAsia="仿宋" w:cs="仿宋"/>
                <w:sz w:val="24"/>
              </w:rPr>
            </w:pPr>
            <w:r>
              <w:rPr>
                <w:rFonts w:hint="eastAsia" w:ascii="仿宋" w:hAnsi="仿宋" w:eastAsia="仿宋" w:cs="仿宋"/>
                <w:sz w:val="24"/>
              </w:rPr>
              <w:t>台</w:t>
            </w:r>
          </w:p>
        </w:tc>
        <w:tc>
          <w:tcPr>
            <w:tcW w:w="570" w:type="dxa"/>
            <w:noWrap w:val="0"/>
            <w:vAlign w:val="center"/>
          </w:tcPr>
          <w:p w14:paraId="47D358AC">
            <w:pPr>
              <w:spacing w:line="240" w:lineRule="exact"/>
              <w:jc w:val="center"/>
              <w:rPr>
                <w:rFonts w:hint="eastAsia" w:ascii="仿宋" w:hAnsi="仿宋" w:eastAsia="仿宋" w:cs="仿宋"/>
                <w:sz w:val="24"/>
              </w:rPr>
            </w:pPr>
            <w:r>
              <w:rPr>
                <w:rFonts w:hint="eastAsia" w:ascii="仿宋" w:hAnsi="仿宋" w:eastAsia="仿宋" w:cs="仿宋"/>
                <w:sz w:val="24"/>
              </w:rPr>
              <w:t>15</w:t>
            </w:r>
          </w:p>
        </w:tc>
      </w:tr>
      <w:tr w14:paraId="1091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jc w:val="center"/>
        </w:trPr>
        <w:tc>
          <w:tcPr>
            <w:tcW w:w="536" w:type="dxa"/>
            <w:noWrap w:val="0"/>
            <w:vAlign w:val="center"/>
          </w:tcPr>
          <w:p w14:paraId="4D18A346">
            <w:pPr>
              <w:spacing w:line="240" w:lineRule="exact"/>
              <w:jc w:val="center"/>
              <w:rPr>
                <w:rFonts w:hint="eastAsia" w:ascii="仿宋" w:hAnsi="仿宋" w:eastAsia="仿宋" w:cs="仿宋"/>
                <w:sz w:val="24"/>
              </w:rPr>
            </w:pPr>
            <w:r>
              <w:rPr>
                <w:rFonts w:hint="eastAsia" w:ascii="仿宋" w:hAnsi="仿宋" w:eastAsia="仿宋" w:cs="仿宋"/>
                <w:sz w:val="24"/>
              </w:rPr>
              <w:t>7</w:t>
            </w:r>
          </w:p>
        </w:tc>
        <w:tc>
          <w:tcPr>
            <w:tcW w:w="1020" w:type="dxa"/>
            <w:noWrap w:val="0"/>
            <w:vAlign w:val="center"/>
          </w:tcPr>
          <w:p w14:paraId="4CBEC418">
            <w:pPr>
              <w:spacing w:line="240" w:lineRule="exact"/>
              <w:jc w:val="center"/>
              <w:rPr>
                <w:rFonts w:hint="eastAsia" w:ascii="仿宋" w:hAnsi="仿宋" w:eastAsia="仿宋" w:cs="仿宋"/>
                <w:sz w:val="24"/>
              </w:rPr>
            </w:pPr>
            <w:r>
              <w:rPr>
                <w:rFonts w:hint="eastAsia" w:ascii="仿宋" w:hAnsi="仿宋" w:eastAsia="仿宋" w:cs="仿宋"/>
                <w:sz w:val="24"/>
              </w:rPr>
              <w:t>电线电缆</w:t>
            </w:r>
          </w:p>
        </w:tc>
        <w:tc>
          <w:tcPr>
            <w:tcW w:w="6436" w:type="dxa"/>
            <w:noWrap w:val="0"/>
            <w:vAlign w:val="center"/>
          </w:tcPr>
          <w:p w14:paraId="55D3480E">
            <w:pPr>
              <w:spacing w:line="240" w:lineRule="exact"/>
              <w:jc w:val="left"/>
              <w:rPr>
                <w:rFonts w:hint="eastAsia" w:ascii="仿宋" w:hAnsi="仿宋" w:eastAsia="仿宋" w:cs="仿宋"/>
                <w:sz w:val="24"/>
                <w:lang w:eastAsia="zh-CN"/>
              </w:rPr>
            </w:pPr>
            <w:r>
              <w:rPr>
                <w:rFonts w:hint="eastAsia" w:ascii="仿宋" w:hAnsi="仿宋" w:eastAsia="仿宋" w:cs="仿宋"/>
                <w:sz w:val="24"/>
              </w:rPr>
              <w:t>国标无氧铜RVV2*1.5</w:t>
            </w:r>
            <w:r>
              <w:rPr>
                <w:rFonts w:hint="eastAsia" w:ascii="仿宋" w:hAnsi="仿宋" w:eastAsia="仿宋" w:cs="仿宋"/>
                <w:sz w:val="24"/>
                <w:lang w:eastAsia="zh-CN"/>
              </w:rPr>
              <w:t>。</w:t>
            </w:r>
          </w:p>
        </w:tc>
        <w:tc>
          <w:tcPr>
            <w:tcW w:w="454" w:type="dxa"/>
            <w:noWrap w:val="0"/>
            <w:vAlign w:val="center"/>
          </w:tcPr>
          <w:p w14:paraId="1E528EB9">
            <w:pPr>
              <w:spacing w:line="240" w:lineRule="exact"/>
              <w:jc w:val="center"/>
              <w:rPr>
                <w:rFonts w:hint="eastAsia" w:ascii="仿宋" w:hAnsi="仿宋" w:eastAsia="仿宋" w:cs="仿宋"/>
                <w:sz w:val="24"/>
              </w:rPr>
            </w:pPr>
            <w:r>
              <w:rPr>
                <w:rFonts w:hint="eastAsia" w:ascii="仿宋" w:hAnsi="仿宋" w:eastAsia="仿宋" w:cs="仿宋"/>
                <w:sz w:val="24"/>
              </w:rPr>
              <w:t>项</w:t>
            </w:r>
          </w:p>
        </w:tc>
        <w:tc>
          <w:tcPr>
            <w:tcW w:w="570" w:type="dxa"/>
            <w:noWrap w:val="0"/>
            <w:vAlign w:val="center"/>
          </w:tcPr>
          <w:p w14:paraId="3DAAB576">
            <w:pPr>
              <w:spacing w:line="240" w:lineRule="exact"/>
              <w:jc w:val="center"/>
              <w:rPr>
                <w:rFonts w:hint="eastAsia" w:ascii="仿宋" w:hAnsi="仿宋" w:eastAsia="仿宋" w:cs="仿宋"/>
                <w:sz w:val="24"/>
              </w:rPr>
            </w:pPr>
            <w:r>
              <w:rPr>
                <w:rFonts w:hint="eastAsia" w:ascii="仿宋" w:hAnsi="仿宋" w:eastAsia="仿宋" w:cs="仿宋"/>
                <w:sz w:val="24"/>
              </w:rPr>
              <w:t>1</w:t>
            </w:r>
          </w:p>
        </w:tc>
      </w:tr>
      <w:tr w14:paraId="0AEC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jc w:val="center"/>
        </w:trPr>
        <w:tc>
          <w:tcPr>
            <w:tcW w:w="536" w:type="dxa"/>
            <w:noWrap w:val="0"/>
            <w:vAlign w:val="center"/>
          </w:tcPr>
          <w:p w14:paraId="051F51FB">
            <w:pPr>
              <w:spacing w:line="240" w:lineRule="exact"/>
              <w:jc w:val="center"/>
              <w:rPr>
                <w:rFonts w:hint="eastAsia" w:ascii="仿宋" w:hAnsi="仿宋" w:eastAsia="仿宋" w:cs="仿宋"/>
                <w:sz w:val="24"/>
              </w:rPr>
            </w:pPr>
            <w:r>
              <w:rPr>
                <w:rFonts w:hint="eastAsia" w:ascii="仿宋" w:hAnsi="仿宋" w:eastAsia="仿宋" w:cs="仿宋"/>
                <w:sz w:val="24"/>
              </w:rPr>
              <w:t>8</w:t>
            </w:r>
          </w:p>
        </w:tc>
        <w:tc>
          <w:tcPr>
            <w:tcW w:w="1020" w:type="dxa"/>
            <w:noWrap w:val="0"/>
            <w:vAlign w:val="center"/>
          </w:tcPr>
          <w:p w14:paraId="2721CA87">
            <w:pPr>
              <w:spacing w:line="240" w:lineRule="exact"/>
              <w:jc w:val="center"/>
              <w:rPr>
                <w:rFonts w:hint="eastAsia" w:ascii="仿宋" w:hAnsi="仿宋" w:eastAsia="仿宋" w:cs="仿宋"/>
                <w:sz w:val="24"/>
              </w:rPr>
            </w:pPr>
            <w:r>
              <w:rPr>
                <w:rFonts w:hint="eastAsia" w:ascii="仿宋" w:hAnsi="仿宋" w:eastAsia="仿宋" w:cs="仿宋"/>
                <w:sz w:val="24"/>
              </w:rPr>
              <w:t>信号网线</w:t>
            </w:r>
          </w:p>
        </w:tc>
        <w:tc>
          <w:tcPr>
            <w:tcW w:w="6436" w:type="dxa"/>
            <w:noWrap w:val="0"/>
            <w:vAlign w:val="center"/>
          </w:tcPr>
          <w:p w14:paraId="15E3FC16">
            <w:pPr>
              <w:spacing w:line="240" w:lineRule="exact"/>
              <w:jc w:val="left"/>
              <w:rPr>
                <w:rFonts w:hint="eastAsia" w:ascii="仿宋" w:hAnsi="仿宋" w:eastAsia="仿宋" w:cs="仿宋"/>
                <w:sz w:val="24"/>
                <w:lang w:eastAsia="zh-CN"/>
              </w:rPr>
            </w:pPr>
            <w:r>
              <w:rPr>
                <w:rFonts w:hint="eastAsia" w:ascii="仿宋" w:hAnsi="仿宋" w:eastAsia="仿宋" w:cs="仿宋"/>
                <w:sz w:val="24"/>
              </w:rPr>
              <w:t>国标无氧铜六类</w:t>
            </w:r>
            <w:r>
              <w:rPr>
                <w:rFonts w:hint="eastAsia" w:ascii="仿宋" w:hAnsi="仿宋" w:eastAsia="仿宋" w:cs="仿宋"/>
                <w:sz w:val="24"/>
                <w:lang w:eastAsia="zh-CN"/>
              </w:rPr>
              <w:t>。</w:t>
            </w:r>
          </w:p>
        </w:tc>
        <w:tc>
          <w:tcPr>
            <w:tcW w:w="454" w:type="dxa"/>
            <w:noWrap w:val="0"/>
            <w:vAlign w:val="center"/>
          </w:tcPr>
          <w:p w14:paraId="62CE1076">
            <w:pPr>
              <w:spacing w:line="240" w:lineRule="exact"/>
              <w:jc w:val="center"/>
              <w:rPr>
                <w:rFonts w:hint="eastAsia" w:ascii="仿宋" w:hAnsi="仿宋" w:eastAsia="仿宋" w:cs="仿宋"/>
                <w:sz w:val="24"/>
              </w:rPr>
            </w:pPr>
            <w:r>
              <w:rPr>
                <w:rFonts w:hint="eastAsia" w:ascii="仿宋" w:hAnsi="仿宋" w:eastAsia="仿宋" w:cs="仿宋"/>
                <w:sz w:val="24"/>
              </w:rPr>
              <w:t>项</w:t>
            </w:r>
          </w:p>
        </w:tc>
        <w:tc>
          <w:tcPr>
            <w:tcW w:w="570" w:type="dxa"/>
            <w:noWrap w:val="0"/>
            <w:vAlign w:val="center"/>
          </w:tcPr>
          <w:p w14:paraId="4BE513E6">
            <w:pPr>
              <w:spacing w:line="240" w:lineRule="exact"/>
              <w:jc w:val="center"/>
              <w:rPr>
                <w:rFonts w:hint="eastAsia" w:ascii="仿宋" w:hAnsi="仿宋" w:eastAsia="仿宋" w:cs="仿宋"/>
                <w:sz w:val="24"/>
              </w:rPr>
            </w:pPr>
            <w:r>
              <w:rPr>
                <w:rFonts w:hint="eastAsia" w:ascii="仿宋" w:hAnsi="仿宋" w:eastAsia="仿宋" w:cs="仿宋"/>
                <w:sz w:val="24"/>
              </w:rPr>
              <w:t>1</w:t>
            </w:r>
          </w:p>
        </w:tc>
      </w:tr>
      <w:tr w14:paraId="71D5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jc w:val="center"/>
        </w:trPr>
        <w:tc>
          <w:tcPr>
            <w:tcW w:w="536" w:type="dxa"/>
            <w:noWrap w:val="0"/>
            <w:vAlign w:val="center"/>
          </w:tcPr>
          <w:p w14:paraId="7D400CC7">
            <w:pPr>
              <w:spacing w:line="240" w:lineRule="exact"/>
              <w:jc w:val="center"/>
              <w:rPr>
                <w:rFonts w:hint="eastAsia" w:ascii="仿宋" w:hAnsi="仿宋" w:eastAsia="仿宋" w:cs="仿宋"/>
                <w:sz w:val="24"/>
              </w:rPr>
            </w:pPr>
            <w:r>
              <w:rPr>
                <w:rFonts w:hint="eastAsia" w:ascii="仿宋" w:hAnsi="仿宋" w:eastAsia="仿宋" w:cs="仿宋"/>
                <w:sz w:val="24"/>
              </w:rPr>
              <w:t>9</w:t>
            </w:r>
          </w:p>
        </w:tc>
        <w:tc>
          <w:tcPr>
            <w:tcW w:w="1020" w:type="dxa"/>
            <w:noWrap w:val="0"/>
            <w:vAlign w:val="center"/>
          </w:tcPr>
          <w:p w14:paraId="51DB8C8F">
            <w:pPr>
              <w:spacing w:line="240" w:lineRule="exact"/>
              <w:jc w:val="center"/>
              <w:rPr>
                <w:rFonts w:hint="eastAsia" w:ascii="仿宋" w:hAnsi="仿宋" w:eastAsia="仿宋" w:cs="仿宋"/>
                <w:sz w:val="24"/>
              </w:rPr>
            </w:pPr>
            <w:r>
              <w:rPr>
                <w:rFonts w:hint="eastAsia" w:ascii="仿宋" w:hAnsi="仿宋" w:eastAsia="仿宋" w:cs="仿宋"/>
                <w:sz w:val="24"/>
              </w:rPr>
              <w:t>辅料</w:t>
            </w:r>
          </w:p>
        </w:tc>
        <w:tc>
          <w:tcPr>
            <w:tcW w:w="6436" w:type="dxa"/>
            <w:noWrap w:val="0"/>
            <w:vAlign w:val="center"/>
          </w:tcPr>
          <w:p w14:paraId="020DE936">
            <w:pPr>
              <w:spacing w:line="240" w:lineRule="exact"/>
              <w:jc w:val="left"/>
              <w:rPr>
                <w:rFonts w:hint="eastAsia" w:ascii="仿宋" w:hAnsi="仿宋" w:eastAsia="仿宋" w:cs="仿宋"/>
                <w:sz w:val="24"/>
                <w:lang w:eastAsia="zh-CN"/>
              </w:rPr>
            </w:pPr>
            <w:r>
              <w:rPr>
                <w:rFonts w:hint="eastAsia" w:ascii="仿宋" w:hAnsi="仿宋" w:eastAsia="仿宋" w:cs="仿宋"/>
                <w:sz w:val="24"/>
              </w:rPr>
              <w:t>PVC管材、线槽、波纹管、胶带、燕尾丝、膨胀丝、排插、水晶头等</w:t>
            </w:r>
            <w:r>
              <w:rPr>
                <w:rFonts w:hint="eastAsia" w:ascii="仿宋" w:hAnsi="仿宋" w:eastAsia="仿宋" w:cs="仿宋"/>
                <w:sz w:val="24"/>
                <w:lang w:eastAsia="zh-CN"/>
              </w:rPr>
              <w:t>。</w:t>
            </w:r>
          </w:p>
        </w:tc>
        <w:tc>
          <w:tcPr>
            <w:tcW w:w="454" w:type="dxa"/>
            <w:noWrap w:val="0"/>
            <w:vAlign w:val="center"/>
          </w:tcPr>
          <w:p w14:paraId="1FE4A8C2">
            <w:pPr>
              <w:spacing w:line="240" w:lineRule="exact"/>
              <w:jc w:val="center"/>
              <w:rPr>
                <w:rFonts w:hint="eastAsia" w:ascii="仿宋" w:hAnsi="仿宋" w:eastAsia="仿宋" w:cs="仿宋"/>
                <w:sz w:val="24"/>
              </w:rPr>
            </w:pPr>
            <w:r>
              <w:rPr>
                <w:rFonts w:hint="eastAsia" w:ascii="仿宋" w:hAnsi="仿宋" w:eastAsia="仿宋" w:cs="仿宋"/>
                <w:sz w:val="24"/>
              </w:rPr>
              <w:t>项</w:t>
            </w:r>
          </w:p>
        </w:tc>
        <w:tc>
          <w:tcPr>
            <w:tcW w:w="570" w:type="dxa"/>
            <w:noWrap w:val="0"/>
            <w:vAlign w:val="center"/>
          </w:tcPr>
          <w:p w14:paraId="1E3B6E97">
            <w:pPr>
              <w:spacing w:line="240" w:lineRule="exact"/>
              <w:jc w:val="center"/>
              <w:rPr>
                <w:rFonts w:hint="eastAsia" w:ascii="仿宋" w:hAnsi="仿宋" w:eastAsia="仿宋" w:cs="仿宋"/>
                <w:sz w:val="24"/>
              </w:rPr>
            </w:pPr>
            <w:r>
              <w:rPr>
                <w:rFonts w:hint="eastAsia" w:ascii="仿宋" w:hAnsi="仿宋" w:eastAsia="仿宋" w:cs="仿宋"/>
                <w:sz w:val="24"/>
              </w:rPr>
              <w:t>1</w:t>
            </w:r>
          </w:p>
        </w:tc>
      </w:tr>
      <w:tr w14:paraId="1CE4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jc w:val="center"/>
        </w:trPr>
        <w:tc>
          <w:tcPr>
            <w:tcW w:w="536" w:type="dxa"/>
            <w:noWrap w:val="0"/>
            <w:vAlign w:val="center"/>
          </w:tcPr>
          <w:p w14:paraId="78B43111">
            <w:pPr>
              <w:spacing w:line="240" w:lineRule="exact"/>
              <w:jc w:val="center"/>
              <w:rPr>
                <w:rFonts w:hint="eastAsia" w:ascii="仿宋" w:hAnsi="仿宋" w:eastAsia="仿宋" w:cs="仿宋"/>
                <w:sz w:val="24"/>
              </w:rPr>
            </w:pPr>
            <w:r>
              <w:rPr>
                <w:rFonts w:hint="eastAsia" w:ascii="仿宋" w:hAnsi="仿宋" w:eastAsia="仿宋" w:cs="仿宋"/>
                <w:sz w:val="24"/>
              </w:rPr>
              <w:t>10</w:t>
            </w:r>
          </w:p>
        </w:tc>
        <w:tc>
          <w:tcPr>
            <w:tcW w:w="1020" w:type="dxa"/>
            <w:noWrap w:val="0"/>
            <w:vAlign w:val="center"/>
          </w:tcPr>
          <w:p w14:paraId="7742B0CF">
            <w:pPr>
              <w:widowControl/>
              <w:jc w:val="center"/>
              <w:rPr>
                <w:rFonts w:hint="eastAsia" w:ascii="仿宋" w:hAnsi="仿宋" w:eastAsia="仿宋" w:cs="仿宋"/>
                <w:sz w:val="24"/>
              </w:rPr>
            </w:pPr>
            <w:r>
              <w:rPr>
                <w:rFonts w:hint="eastAsia" w:ascii="仿宋" w:hAnsi="仿宋" w:eastAsia="仿宋" w:cs="仿宋"/>
                <w:sz w:val="24"/>
              </w:rPr>
              <w:t>多媒体教室运维管理驻场服务</w:t>
            </w:r>
          </w:p>
        </w:tc>
        <w:tc>
          <w:tcPr>
            <w:tcW w:w="6436" w:type="dxa"/>
            <w:noWrap w:val="0"/>
            <w:vAlign w:val="center"/>
          </w:tcPr>
          <w:p w14:paraId="793B8BA3">
            <w:pPr>
              <w:widowControl/>
              <w:jc w:val="left"/>
              <w:rPr>
                <w:rFonts w:hint="eastAsia" w:ascii="仿宋" w:hAnsi="仿宋" w:eastAsia="仿宋" w:cs="仿宋"/>
                <w:sz w:val="24"/>
              </w:rPr>
            </w:pPr>
            <w:r>
              <w:rPr>
                <w:rFonts w:hint="eastAsia" w:ascii="仿宋" w:hAnsi="仿宋" w:eastAsia="仿宋" w:cs="仿宋"/>
                <w:sz w:val="24"/>
              </w:rPr>
              <w:t>根据采购人的教学和其他活动需求，提供驻场服务人员1名，确保教学和其他活动正常运行，采购人重大活动期间须提供充足的人员保障；驻场人员工作时间按照采购人规定执行；焦作大学南校区、北校区多媒体教室设备维护服务：其中多媒体教室135间、大教室10间，服务内容包含多媒体教室、大教室的智慧黑板、投影仪、扩音系统设备的正常运行，及时处理日常教学过程中出现的多媒体故障，有效保障教学及其他活动。服务响应时间1小时内，2小时内解决问题，为了保证多媒体教学的正常进行，服务方应提供充足的备件，一旦发生短时间无法排除故障，先用备件替代，保障正常教学活动不受干扰，课后排除设备故障。</w:t>
            </w:r>
          </w:p>
        </w:tc>
        <w:tc>
          <w:tcPr>
            <w:tcW w:w="454" w:type="dxa"/>
            <w:noWrap w:val="0"/>
            <w:vAlign w:val="center"/>
          </w:tcPr>
          <w:p w14:paraId="0189687A">
            <w:pPr>
              <w:spacing w:line="240" w:lineRule="exact"/>
              <w:jc w:val="center"/>
              <w:rPr>
                <w:rFonts w:hint="eastAsia" w:ascii="仿宋" w:hAnsi="仿宋" w:eastAsia="仿宋" w:cs="仿宋"/>
                <w:sz w:val="24"/>
              </w:rPr>
            </w:pPr>
            <w:r>
              <w:rPr>
                <w:rFonts w:hint="eastAsia" w:ascii="仿宋" w:hAnsi="仿宋" w:eastAsia="仿宋" w:cs="仿宋"/>
                <w:sz w:val="24"/>
              </w:rPr>
              <w:t xml:space="preserve">项 </w:t>
            </w:r>
          </w:p>
        </w:tc>
        <w:tc>
          <w:tcPr>
            <w:tcW w:w="570" w:type="dxa"/>
            <w:noWrap w:val="0"/>
            <w:vAlign w:val="center"/>
          </w:tcPr>
          <w:p w14:paraId="284A5F1F">
            <w:pPr>
              <w:spacing w:line="240" w:lineRule="exact"/>
              <w:jc w:val="center"/>
              <w:rPr>
                <w:rFonts w:hint="eastAsia" w:ascii="仿宋" w:hAnsi="仿宋" w:eastAsia="仿宋" w:cs="仿宋"/>
                <w:sz w:val="24"/>
              </w:rPr>
            </w:pPr>
            <w:r>
              <w:rPr>
                <w:rFonts w:hint="eastAsia" w:ascii="仿宋" w:hAnsi="仿宋" w:eastAsia="仿宋" w:cs="仿宋"/>
                <w:sz w:val="24"/>
              </w:rPr>
              <w:t>1</w:t>
            </w:r>
          </w:p>
        </w:tc>
      </w:tr>
    </w:tbl>
    <w:p w14:paraId="7A86E0B3">
      <w:pPr>
        <w:ind w:firstLine="562" w:firstLineChars="200"/>
        <w:rPr>
          <w:rFonts w:hint="eastAsia" w:ascii="仿宋" w:hAnsi="仿宋" w:eastAsia="仿宋" w:cs="Times New Roman"/>
          <w:b/>
          <w:bCs/>
          <w:sz w:val="28"/>
          <w:szCs w:val="28"/>
          <w:lang w:val="en-US" w:eastAsia="zh-CN"/>
        </w:rPr>
      </w:pPr>
    </w:p>
    <w:p w14:paraId="59B368DD">
      <w:pPr>
        <w:pStyle w:val="2"/>
        <w:ind w:left="0" w:leftChars="0" w:firstLine="0" w:firstLine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724CF"/>
    <w:rsid w:val="2DF47488"/>
    <w:rsid w:val="34CF57D3"/>
    <w:rsid w:val="6D6A2E83"/>
    <w:rsid w:val="73CF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ind w:left="2940"/>
      <w:jc w:val="left"/>
    </w:pPr>
  </w:style>
  <w:style w:type="paragraph" w:styleId="3">
    <w:name w:val="table of authorities"/>
    <w:basedOn w:val="1"/>
    <w:next w:val="1"/>
    <w:unhideWhenUsed/>
    <w:qFormat/>
    <w:uiPriority w:val="99"/>
    <w:pPr>
      <w:ind w:left="420" w:leftChars="200"/>
    </w:pPr>
  </w:style>
  <w:style w:type="paragraph" w:styleId="4">
    <w:name w:val="annotation text"/>
    <w:basedOn w:val="1"/>
    <w:qFormat/>
    <w:uiPriority w:val="0"/>
    <w:pPr>
      <w:jc w:val="left"/>
    </w:pPr>
  </w:style>
  <w:style w:type="paragraph" w:customStyle="1" w:styleId="7">
    <w:name w:val="样式1"/>
    <w:basedOn w:val="1"/>
    <w:qFormat/>
    <w:uiPriority w:val="0"/>
    <w:pPr>
      <w:tabs>
        <w:tab w:val="left" w:pos="709"/>
      </w:tabs>
      <w:adjustRightInd w:val="0"/>
      <w:ind w:left="709" w:hanging="709"/>
      <w:textAlignment w:val="baseline"/>
    </w:pPr>
    <w:rPr>
      <w:rFonts w:ascii="宋体" w:hAnsi="宋体"/>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6161</Words>
  <Characters>6900</Characters>
  <Lines>0</Lines>
  <Paragraphs>0</Paragraphs>
  <TotalTime>1</TotalTime>
  <ScaleCrop>false</ScaleCrop>
  <LinksUpToDate>false</LinksUpToDate>
  <CharactersWithSpaces>7001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2025-07-29T06:58:00Z</dcterms:created>
  <dc:creator>Administrator</dc:creator>
  <cp:lastModifiedBy>金诺</cp:lastModifiedBy>
  <dcterms:modified xsi:type="dcterms:W3CDTF">2025-07-29T07:56:29Z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eyJoZGlkIjoiYTYzYTRhOWVlYTZjZTVlNGRkYjAwZjllNGEwNjc0M2EiLCJ1c2VySWQiOiI1NDQ3NjYwMzkifQ==</vt:lpwstr>
  </property>
  <property fmtid="{D5CDD505-2E9C-101B-9397-08002B2CF9AE}" pid="4" name="ICV">
    <vt:lpwstr>65581E4262194D80BB702B27BB167070_12</vt:lpwstr>
  </property>
</Properties>
</file>