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709B9">
      <w:pPr>
        <w:pStyle w:val="2"/>
        <w:tabs>
          <w:tab w:val="left" w:pos="0"/>
        </w:tabs>
        <w:autoSpaceDE w:val="0"/>
        <w:autoSpaceDN w:val="0"/>
        <w:adjustRightInd w:val="0"/>
        <w:spacing w:before="0" w:after="0" w:line="360" w:lineRule="auto"/>
        <w:jc w:val="center"/>
        <w:rPr>
          <w:rFonts w:hint="eastAsia" w:ascii="黑体" w:hAnsi="黑体" w:eastAsia="黑体" w:cs="黑体"/>
          <w:sz w:val="36"/>
          <w:szCs w:val="36"/>
        </w:rPr>
      </w:pPr>
      <w:bookmarkStart w:id="0" w:name="_Toc35393809"/>
      <w:bookmarkStart w:id="1" w:name="_Toc28359022"/>
      <w:r>
        <w:rPr>
          <w:rFonts w:hint="eastAsia" w:ascii="黑体" w:hAnsi="黑体" w:eastAsia="黑体" w:cs="黑体"/>
          <w:sz w:val="36"/>
          <w:szCs w:val="36"/>
        </w:rPr>
        <w:t>开封市祥符区公安局物业服务项目</w:t>
      </w:r>
    </w:p>
    <w:p w14:paraId="5CE8922B">
      <w:pPr>
        <w:pStyle w:val="2"/>
        <w:tabs>
          <w:tab w:val="left" w:pos="0"/>
        </w:tabs>
        <w:autoSpaceDE w:val="0"/>
        <w:autoSpaceDN w:val="0"/>
        <w:adjustRightInd w:val="0"/>
        <w:spacing w:before="0" w:after="0" w:line="360" w:lineRule="auto"/>
        <w:jc w:val="center"/>
        <w:rPr>
          <w:rFonts w:hint="eastAsia" w:ascii="黑体" w:hAnsi="黑体" w:eastAsia="黑体" w:cs="黑体"/>
          <w:sz w:val="24"/>
          <w:szCs w:val="24"/>
        </w:rPr>
      </w:pPr>
      <w:r>
        <w:rPr>
          <w:rFonts w:hint="eastAsia" w:ascii="黑体" w:hAnsi="黑体" w:eastAsia="黑体" w:cs="黑体"/>
          <w:sz w:val="24"/>
          <w:szCs w:val="24"/>
          <w:lang w:eastAsia="zh-CN"/>
        </w:rPr>
        <w:t>中标</w:t>
      </w:r>
      <w:r>
        <w:rPr>
          <w:rFonts w:hint="eastAsia" w:ascii="黑体" w:hAnsi="黑体" w:eastAsia="黑体" w:cs="黑体"/>
          <w:sz w:val="24"/>
          <w:szCs w:val="24"/>
        </w:rPr>
        <w:t>结果公告</w:t>
      </w:r>
      <w:bookmarkEnd w:id="0"/>
      <w:bookmarkEnd w:id="1"/>
    </w:p>
    <w:p w14:paraId="4C988F15">
      <w:pPr>
        <w:numPr>
          <w:ilvl w:val="0"/>
          <w:numId w:val="1"/>
        </w:numPr>
        <w:spacing w:line="400" w:lineRule="exact"/>
        <w:rPr>
          <w:rFonts w:hint="eastAsia" w:ascii="黑体" w:hAnsi="黑体" w:eastAsia="黑体" w:cs="黑体"/>
          <w:sz w:val="24"/>
          <w:szCs w:val="24"/>
        </w:rPr>
      </w:pPr>
      <w:r>
        <w:rPr>
          <w:rFonts w:hint="eastAsia" w:ascii="黑体" w:hAnsi="黑体" w:eastAsia="黑体" w:cs="黑体"/>
          <w:sz w:val="24"/>
          <w:szCs w:val="24"/>
        </w:rPr>
        <w:t>项目编号：祥符公开招标-2024-22</w:t>
      </w:r>
    </w:p>
    <w:p w14:paraId="40BFE3CE">
      <w:pPr>
        <w:numPr>
          <w:ilvl w:val="0"/>
          <w:numId w:val="0"/>
        </w:numPr>
        <w:spacing w:line="400" w:lineRule="exact"/>
        <w:ind w:leftChars="0"/>
        <w:rPr>
          <w:rFonts w:hint="eastAsia" w:ascii="黑体" w:hAnsi="黑体" w:eastAsia="黑体" w:cs="黑体"/>
          <w:sz w:val="24"/>
          <w:szCs w:val="24"/>
          <w:lang w:eastAsia="zh-CN"/>
        </w:rPr>
      </w:pPr>
      <w:r>
        <w:rPr>
          <w:rFonts w:hint="eastAsia" w:ascii="黑体" w:hAnsi="黑体" w:eastAsia="黑体" w:cs="黑体"/>
          <w:sz w:val="24"/>
          <w:szCs w:val="24"/>
          <w:lang w:eastAsia="zh-CN"/>
        </w:rPr>
        <w:t>二、</w:t>
      </w:r>
      <w:r>
        <w:rPr>
          <w:rFonts w:hint="eastAsia" w:ascii="黑体" w:hAnsi="黑体" w:eastAsia="黑体" w:cs="黑体"/>
          <w:sz w:val="24"/>
          <w:szCs w:val="24"/>
        </w:rPr>
        <w:t>项目名称：开封市祥符区公安局物业服务项目</w:t>
      </w:r>
      <w:r>
        <w:rPr>
          <w:rFonts w:hint="eastAsia" w:ascii="黑体" w:hAnsi="黑体" w:eastAsia="黑体" w:cs="黑体"/>
          <w:sz w:val="24"/>
          <w:szCs w:val="24"/>
          <w:lang w:eastAsia="zh-CN"/>
        </w:rPr>
        <w:t>（二次）</w:t>
      </w:r>
    </w:p>
    <w:p w14:paraId="1D510ED9">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三、中标（成交）信息</w:t>
      </w:r>
    </w:p>
    <w:p w14:paraId="736C1558">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供应商名称：</w:t>
      </w:r>
      <w:r>
        <w:rPr>
          <w:rFonts w:hint="eastAsia" w:ascii="黑体" w:hAnsi="黑体" w:eastAsia="黑体" w:cs="黑体"/>
          <w:sz w:val="24"/>
          <w:szCs w:val="24"/>
          <w:lang w:eastAsia="zh-CN"/>
        </w:rPr>
        <w:t>河南圆方保安服务有限公司</w:t>
      </w:r>
    </w:p>
    <w:p w14:paraId="149737B0">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供应商地址：郑州市管城区金岱产业集聚区文治路东、鼎盛街北 D 区 5 层</w:t>
      </w:r>
    </w:p>
    <w:p w14:paraId="7753ADE6">
      <w:pPr>
        <w:spacing w:line="400" w:lineRule="exact"/>
        <w:ind w:firstLine="480" w:firstLineChars="200"/>
        <w:rPr>
          <w:rFonts w:hint="default" w:ascii="黑体" w:hAnsi="黑体" w:eastAsia="黑体" w:cs="黑体"/>
          <w:sz w:val="24"/>
          <w:szCs w:val="24"/>
          <w:lang w:val="en-US" w:eastAsia="zh-CN"/>
        </w:rPr>
      </w:pPr>
      <w:r>
        <w:rPr>
          <w:rFonts w:hint="eastAsia" w:ascii="黑体" w:hAnsi="黑体" w:eastAsia="黑体" w:cs="黑体"/>
          <w:sz w:val="24"/>
          <w:szCs w:val="24"/>
        </w:rPr>
        <w:t>中标（成交）金额：</w:t>
      </w:r>
      <w:bookmarkStart w:id="17" w:name="_GoBack"/>
      <w:r>
        <w:rPr>
          <w:rFonts w:hint="eastAsia" w:ascii="黑体" w:hAnsi="黑体" w:eastAsia="黑体" w:cs="黑体"/>
          <w:sz w:val="24"/>
          <w:szCs w:val="24"/>
          <w:lang w:val="en-US" w:eastAsia="zh-CN"/>
        </w:rPr>
        <w:t>2260177.6</w:t>
      </w:r>
      <w:bookmarkEnd w:id="17"/>
      <w:r>
        <w:rPr>
          <w:rFonts w:hint="eastAsia" w:ascii="黑体" w:hAnsi="黑体" w:eastAsia="黑体" w:cs="黑体"/>
          <w:sz w:val="24"/>
          <w:szCs w:val="24"/>
          <w:lang w:val="en-US" w:eastAsia="zh-CN"/>
        </w:rPr>
        <w:t>2元</w:t>
      </w:r>
    </w:p>
    <w:p w14:paraId="3F40FABD">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四、主要标的信息</w:t>
      </w:r>
    </w:p>
    <w:tbl>
      <w:tblPr>
        <w:tblStyle w:val="9"/>
        <w:tblW w:w="90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14:paraId="1B7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79F5C1A0">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服务类</w:t>
            </w:r>
          </w:p>
        </w:tc>
      </w:tr>
      <w:tr w14:paraId="08E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4F00EEC3">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名称：</w:t>
            </w:r>
            <w:r>
              <w:rPr>
                <w:rFonts w:hint="eastAsia" w:ascii="黑体" w:hAnsi="黑体" w:eastAsia="黑体" w:cs="黑体"/>
                <w:sz w:val="24"/>
                <w:szCs w:val="24"/>
              </w:rPr>
              <w:t>开封市祥符区公安局物业服务项目</w:t>
            </w:r>
          </w:p>
          <w:p w14:paraId="1B3304B8">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服务范围：配置人数不低于21人的管理人员其中包含保洁员、保安、电工、消防、园艺工人员</w:t>
            </w:r>
          </w:p>
          <w:p w14:paraId="1C8C32DB">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服务要求：合格，满足招标人项目服务需求及其他相关要求</w:t>
            </w:r>
          </w:p>
          <w:p w14:paraId="568EBE86">
            <w:pPr>
              <w:spacing w:line="400" w:lineRule="exact"/>
              <w:rPr>
                <w:rFonts w:hint="eastAsia" w:ascii="黑体" w:hAnsi="黑体" w:eastAsia="黑体" w:cs="黑体"/>
                <w:kern w:val="0"/>
                <w:sz w:val="24"/>
                <w:szCs w:val="24"/>
                <w:u w:val="single"/>
                <w:lang w:eastAsia="zh-CN"/>
              </w:rPr>
            </w:pPr>
            <w:r>
              <w:rPr>
                <w:rFonts w:hint="eastAsia" w:ascii="黑体" w:hAnsi="黑体" w:eastAsia="黑体" w:cs="黑体"/>
                <w:kern w:val="0"/>
                <w:sz w:val="24"/>
                <w:szCs w:val="24"/>
              </w:rPr>
              <w:t>服务时间：三年。服务合同一年一签（每年的合同金额为中标价的三分之一），如考核不合格或者预算有调整，甲方有权终止合同</w:t>
            </w:r>
          </w:p>
          <w:p w14:paraId="51B17EF0">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服务标准：合格，满足招标人项目服务需求及其他相关要求</w:t>
            </w:r>
          </w:p>
        </w:tc>
      </w:tr>
    </w:tbl>
    <w:p w14:paraId="0125B2C7">
      <w:pPr>
        <w:numPr>
          <w:ilvl w:val="0"/>
          <w:numId w:val="2"/>
        </w:numPr>
        <w:spacing w:line="400" w:lineRule="exact"/>
        <w:rPr>
          <w:rFonts w:hint="eastAsia"/>
        </w:rPr>
      </w:pPr>
      <w:r>
        <w:rPr>
          <w:rFonts w:hint="eastAsia" w:ascii="黑体" w:hAnsi="黑体" w:eastAsia="黑体" w:cs="黑体"/>
          <w:sz w:val="24"/>
          <w:szCs w:val="24"/>
        </w:rPr>
        <w:t>评审专家名单：</w:t>
      </w:r>
      <w:bookmarkStart w:id="2" w:name="PsxxEntity：PWZR_5"/>
      <w:r>
        <w:rPr>
          <w:rFonts w:hint="eastAsia"/>
        </w:rPr>
        <w:t>朱广运</w:t>
      </w:r>
      <w:bookmarkEnd w:id="2"/>
      <w:r>
        <w:rPr>
          <w:rFonts w:hint="eastAsia"/>
          <w:lang w:eastAsia="zh-CN"/>
        </w:rPr>
        <w:t>、张建红、刘海军、杨建、崔晓勇</w:t>
      </w:r>
    </w:p>
    <w:p w14:paraId="111284DA">
      <w:pPr>
        <w:numPr>
          <w:ilvl w:val="0"/>
          <w:numId w:val="0"/>
        </w:num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六、代理服务收费标准及金额：</w:t>
      </w:r>
      <w:r>
        <w:rPr>
          <w:rFonts w:hint="eastAsia" w:ascii="黑体" w:hAnsi="黑体" w:eastAsia="黑体" w:cs="黑体"/>
          <w:sz w:val="24"/>
          <w:szCs w:val="24"/>
          <w:lang w:val="en-US" w:eastAsia="zh-CN"/>
        </w:rPr>
        <w:t>不收取</w:t>
      </w:r>
    </w:p>
    <w:p w14:paraId="2CC4C047">
      <w:pPr>
        <w:spacing w:line="400" w:lineRule="exact"/>
        <w:rPr>
          <w:rFonts w:hint="eastAsia" w:ascii="黑体" w:hAnsi="黑体" w:eastAsia="黑体" w:cs="黑体"/>
          <w:sz w:val="24"/>
          <w:szCs w:val="24"/>
        </w:rPr>
      </w:pPr>
      <w:r>
        <w:rPr>
          <w:rFonts w:hint="eastAsia" w:ascii="黑体" w:hAnsi="黑体" w:eastAsia="黑体" w:cs="黑体"/>
          <w:sz w:val="24"/>
          <w:szCs w:val="24"/>
        </w:rPr>
        <w:t>七、公告期限</w:t>
      </w:r>
    </w:p>
    <w:p w14:paraId="45837A49">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自本公告发布之日起1个工作日。</w:t>
      </w:r>
    </w:p>
    <w:p w14:paraId="0B2DBE06">
      <w:pPr>
        <w:numPr>
          <w:ilvl w:val="0"/>
          <w:numId w:val="3"/>
        </w:num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其他补充事宜</w:t>
      </w:r>
    </w:p>
    <w:p w14:paraId="7DC9C9E4">
      <w:r>
        <w:rPr>
          <w:rFonts w:hint="eastAsia"/>
        </w:rPr>
        <w:t>1、通过名单：</w:t>
      </w:r>
      <w:bookmarkStart w:id="3" w:name="PsxxEntity：YXTBQK_4"/>
      <w:r>
        <w:rPr>
          <w:rFonts w:hint="eastAsia"/>
        </w:rPr>
        <w:t>河南鼎誉保安服务有限公司,河南省合之众保安服务有限公司,河南圆方保安服务有限公司,河南中祥保安服务有限公司,浙江国瑞安保服务有限公司</w:t>
      </w:r>
      <w:bookmarkEnd w:id="3"/>
    </w:p>
    <w:p w14:paraId="6137B417">
      <w:pPr>
        <w:rPr>
          <w:rFonts w:hint="eastAsia" w:ascii="黑体" w:hAnsi="黑体" w:eastAsia="黑体" w:cs="黑体"/>
          <w:sz w:val="24"/>
          <w:szCs w:val="24"/>
          <w:lang w:eastAsia="zh-CN"/>
        </w:rPr>
      </w:pPr>
      <w:r>
        <w:rPr>
          <w:rFonts w:hint="eastAsia"/>
        </w:rPr>
        <w:t>2、未通过名单及原因：</w:t>
      </w:r>
      <w:bookmarkStart w:id="4" w:name="PsxxEntity：WXTBQK_4"/>
      <w:r>
        <w:rPr>
          <w:rFonts w:hint="eastAsia"/>
        </w:rPr>
        <w:t>河南中祥保安服务有限公司:不符合招标文件规定的实质性要求，未提供招标文件第4章第3条物业管理需求表。配置人数不低于21人的管理人员其中包含保洁员、保安、电工、消防、园艺工人员，未提供21人人员名单。符合性检查不合格，按无效投标处理。</w:t>
      </w:r>
      <w:bookmarkEnd w:id="4"/>
    </w:p>
    <w:tbl>
      <w:tblPr>
        <w:tblStyle w:val="9"/>
        <w:tblW w:w="5000" w:type="pct"/>
        <w:tblInd w:w="0" w:type="dxa"/>
        <w:tblLayout w:type="autofit"/>
        <w:tblCellMar>
          <w:top w:w="15" w:type="dxa"/>
          <w:left w:w="15" w:type="dxa"/>
          <w:bottom w:w="15" w:type="dxa"/>
          <w:right w:w="15" w:type="dxa"/>
        </w:tblCellMar>
      </w:tblPr>
      <w:tblGrid>
        <w:gridCol w:w="408"/>
        <w:gridCol w:w="2424"/>
        <w:gridCol w:w="4298"/>
        <w:gridCol w:w="798"/>
        <w:gridCol w:w="408"/>
      </w:tblGrid>
      <w:tr w14:paraId="14EDA17A">
        <w:tblPrEx>
          <w:tblCellMar>
            <w:top w:w="15" w:type="dxa"/>
            <w:left w:w="15" w:type="dxa"/>
            <w:bottom w:w="15" w:type="dxa"/>
            <w:right w:w="15" w:type="dxa"/>
          </w:tblCellMar>
        </w:tblPrEx>
        <w:tc>
          <w:tcPr>
            <w:tcW w:w="8336" w:type="dxa"/>
            <w:gridSpan w:val="5"/>
            <w:tcBorders>
              <w:top w:val="single" w:color="000000" w:sz="6" w:space="0"/>
              <w:left w:val="single" w:color="000000" w:sz="6" w:space="0"/>
              <w:bottom w:val="single" w:color="000000" w:sz="6" w:space="0"/>
              <w:right w:val="single" w:color="000000" w:sz="6" w:space="0"/>
            </w:tcBorders>
            <w:vAlign w:val="center"/>
          </w:tcPr>
          <w:p w14:paraId="6079244A">
            <w:pPr>
              <w:jc w:val="center"/>
              <w:rPr>
                <w:rFonts w:ascii="Times New Roman" w:hAnsi="Times New Roman" w:eastAsia="Times New Roman"/>
                <w:sz w:val="20"/>
                <w:szCs w:val="20"/>
              </w:rPr>
            </w:pPr>
            <w:r>
              <w:t>开封市祥符区公安局物业服务项目（二次）</w:t>
            </w:r>
          </w:p>
        </w:tc>
      </w:tr>
      <w:tr w14:paraId="4AAAF83E">
        <w:tblPrEx>
          <w:tblCellMar>
            <w:top w:w="15" w:type="dxa"/>
            <w:left w:w="15" w:type="dxa"/>
            <w:bottom w:w="15" w:type="dxa"/>
            <w:right w:w="15" w:type="dxa"/>
          </w:tblCellMar>
        </w:tblPrEx>
        <w:tc>
          <w:tcPr>
            <w:tcW w:w="408" w:type="dxa"/>
            <w:tcBorders>
              <w:top w:val="single" w:color="000000" w:sz="6" w:space="0"/>
              <w:left w:val="single" w:color="000000" w:sz="6" w:space="0"/>
              <w:bottom w:val="single" w:color="000000" w:sz="6" w:space="0"/>
              <w:right w:val="single" w:color="000000" w:sz="6" w:space="0"/>
            </w:tcBorders>
            <w:vAlign w:val="center"/>
          </w:tcPr>
          <w:p w14:paraId="7FF51DCC">
            <w:pPr>
              <w:jc w:val="center"/>
              <w:rPr>
                <w:rFonts w:ascii="宋体" w:hAnsi="宋体" w:cs="宋体"/>
                <w:sz w:val="24"/>
                <w:szCs w:val="24"/>
              </w:rPr>
            </w:pPr>
            <w:r>
              <w:t>序号</w:t>
            </w:r>
          </w:p>
        </w:tc>
        <w:tc>
          <w:tcPr>
            <w:tcW w:w="2424" w:type="dxa"/>
            <w:tcBorders>
              <w:top w:val="single" w:color="000000" w:sz="6" w:space="0"/>
              <w:left w:val="single" w:color="000000" w:sz="6" w:space="0"/>
              <w:bottom w:val="single" w:color="000000" w:sz="6" w:space="0"/>
              <w:right w:val="single" w:color="000000" w:sz="6" w:space="0"/>
            </w:tcBorders>
            <w:vAlign w:val="center"/>
          </w:tcPr>
          <w:p w14:paraId="21833BA8">
            <w:pPr>
              <w:jc w:val="center"/>
            </w:pPr>
            <w:r>
              <w:t>投标人名称</w:t>
            </w:r>
          </w:p>
        </w:tc>
        <w:tc>
          <w:tcPr>
            <w:tcW w:w="4298" w:type="dxa"/>
            <w:tcBorders>
              <w:top w:val="single" w:color="000000" w:sz="6" w:space="0"/>
              <w:left w:val="single" w:color="000000" w:sz="6" w:space="0"/>
              <w:bottom w:val="single" w:color="000000" w:sz="6" w:space="0"/>
              <w:right w:val="single" w:color="000000" w:sz="6" w:space="0"/>
            </w:tcBorders>
            <w:vAlign w:val="center"/>
          </w:tcPr>
          <w:p w14:paraId="4219E861">
            <w:pPr>
              <w:jc w:val="center"/>
            </w:pPr>
            <w:r>
              <w:t>投标报价</w:t>
            </w:r>
          </w:p>
        </w:tc>
        <w:tc>
          <w:tcPr>
            <w:tcW w:w="798" w:type="dxa"/>
            <w:tcBorders>
              <w:top w:val="single" w:color="000000" w:sz="6" w:space="0"/>
              <w:left w:val="single" w:color="000000" w:sz="6" w:space="0"/>
              <w:bottom w:val="single" w:color="000000" w:sz="6" w:space="0"/>
              <w:right w:val="single" w:color="000000" w:sz="6" w:space="0"/>
            </w:tcBorders>
            <w:vAlign w:val="center"/>
          </w:tcPr>
          <w:p w14:paraId="470C71A6">
            <w:pPr>
              <w:jc w:val="center"/>
            </w:pPr>
            <w:r>
              <w:t>合计得分</w:t>
            </w:r>
          </w:p>
        </w:tc>
        <w:tc>
          <w:tcPr>
            <w:tcW w:w="408" w:type="dxa"/>
            <w:tcBorders>
              <w:top w:val="single" w:color="000000" w:sz="6" w:space="0"/>
              <w:left w:val="single" w:color="000000" w:sz="6" w:space="0"/>
              <w:bottom w:val="single" w:color="000000" w:sz="6" w:space="0"/>
              <w:right w:val="single" w:color="000000" w:sz="6" w:space="0"/>
            </w:tcBorders>
            <w:vAlign w:val="center"/>
          </w:tcPr>
          <w:p w14:paraId="49F351C6">
            <w:pPr>
              <w:jc w:val="center"/>
            </w:pPr>
            <w:r>
              <w:t>名次</w:t>
            </w:r>
          </w:p>
        </w:tc>
      </w:tr>
      <w:tr w14:paraId="5DD0EAA7">
        <w:tblPrEx>
          <w:tblCellMar>
            <w:top w:w="15" w:type="dxa"/>
            <w:left w:w="15" w:type="dxa"/>
            <w:bottom w:w="15" w:type="dxa"/>
            <w:right w:w="15" w:type="dxa"/>
          </w:tblCellMar>
        </w:tblPrEx>
        <w:tc>
          <w:tcPr>
            <w:tcW w:w="408" w:type="dxa"/>
            <w:tcBorders>
              <w:top w:val="single" w:color="000000" w:sz="6" w:space="0"/>
              <w:left w:val="single" w:color="000000" w:sz="6" w:space="0"/>
              <w:bottom w:val="single" w:color="000000" w:sz="6" w:space="0"/>
              <w:right w:val="single" w:color="000000" w:sz="6" w:space="0"/>
            </w:tcBorders>
            <w:vAlign w:val="center"/>
          </w:tcPr>
          <w:p w14:paraId="49297969">
            <w:pPr>
              <w:jc w:val="center"/>
            </w:pPr>
            <w:r>
              <w:t>1</w:t>
            </w:r>
          </w:p>
        </w:tc>
        <w:tc>
          <w:tcPr>
            <w:tcW w:w="2424" w:type="dxa"/>
            <w:tcBorders>
              <w:top w:val="single" w:color="000000" w:sz="6" w:space="0"/>
              <w:left w:val="single" w:color="000000" w:sz="6" w:space="0"/>
              <w:bottom w:val="single" w:color="000000" w:sz="6" w:space="0"/>
              <w:right w:val="single" w:color="000000" w:sz="6" w:space="0"/>
            </w:tcBorders>
            <w:vAlign w:val="center"/>
          </w:tcPr>
          <w:p w14:paraId="6FCA39E0">
            <w:pPr>
              <w:jc w:val="center"/>
            </w:pPr>
            <w:r>
              <w:t>河南圆方保安服务有限公司</w:t>
            </w:r>
          </w:p>
        </w:tc>
        <w:tc>
          <w:tcPr>
            <w:tcW w:w="4298" w:type="dxa"/>
            <w:tcBorders>
              <w:top w:val="single" w:color="000000" w:sz="6" w:space="0"/>
              <w:left w:val="single" w:color="000000" w:sz="6" w:space="0"/>
              <w:bottom w:val="single" w:color="000000" w:sz="6" w:space="0"/>
              <w:right w:val="single" w:color="000000" w:sz="6" w:space="0"/>
            </w:tcBorders>
            <w:vAlign w:val="center"/>
          </w:tcPr>
          <w:p w14:paraId="4689FD6A">
            <w:pPr>
              <w:jc w:val="center"/>
            </w:pPr>
            <w:r>
              <w:t>贰佰贰拾陆万零壹佰柒拾柒元陆角贰分(2,260,177.62)</w:t>
            </w:r>
          </w:p>
        </w:tc>
        <w:tc>
          <w:tcPr>
            <w:tcW w:w="798" w:type="dxa"/>
            <w:tcBorders>
              <w:top w:val="single" w:color="000000" w:sz="6" w:space="0"/>
              <w:left w:val="single" w:color="000000" w:sz="6" w:space="0"/>
              <w:bottom w:val="single" w:color="000000" w:sz="6" w:space="0"/>
              <w:right w:val="single" w:color="000000" w:sz="6" w:space="0"/>
            </w:tcBorders>
            <w:vAlign w:val="center"/>
          </w:tcPr>
          <w:p w14:paraId="77FECC95">
            <w:pPr>
              <w:jc w:val="center"/>
            </w:pPr>
            <w:r>
              <w:t>91.21</w:t>
            </w:r>
          </w:p>
        </w:tc>
        <w:tc>
          <w:tcPr>
            <w:tcW w:w="408" w:type="dxa"/>
            <w:tcBorders>
              <w:top w:val="single" w:color="000000" w:sz="6" w:space="0"/>
              <w:left w:val="single" w:color="000000" w:sz="6" w:space="0"/>
              <w:bottom w:val="single" w:color="000000" w:sz="6" w:space="0"/>
              <w:right w:val="single" w:color="000000" w:sz="6" w:space="0"/>
            </w:tcBorders>
            <w:vAlign w:val="center"/>
          </w:tcPr>
          <w:p w14:paraId="3A9ADF72">
            <w:pPr>
              <w:jc w:val="center"/>
            </w:pPr>
            <w:r>
              <w:t>1</w:t>
            </w:r>
          </w:p>
        </w:tc>
      </w:tr>
      <w:tr w14:paraId="4E1B3A0B">
        <w:tblPrEx>
          <w:tblCellMar>
            <w:top w:w="15" w:type="dxa"/>
            <w:left w:w="15" w:type="dxa"/>
            <w:bottom w:w="15" w:type="dxa"/>
            <w:right w:w="15" w:type="dxa"/>
          </w:tblCellMar>
        </w:tblPrEx>
        <w:tc>
          <w:tcPr>
            <w:tcW w:w="408" w:type="dxa"/>
            <w:tcBorders>
              <w:top w:val="single" w:color="000000" w:sz="6" w:space="0"/>
              <w:left w:val="single" w:color="000000" w:sz="6" w:space="0"/>
              <w:bottom w:val="single" w:color="000000" w:sz="6" w:space="0"/>
              <w:right w:val="single" w:color="000000" w:sz="6" w:space="0"/>
            </w:tcBorders>
            <w:vAlign w:val="center"/>
          </w:tcPr>
          <w:p w14:paraId="6C985954">
            <w:pPr>
              <w:jc w:val="center"/>
            </w:pPr>
            <w:r>
              <w:t>2</w:t>
            </w:r>
          </w:p>
        </w:tc>
        <w:tc>
          <w:tcPr>
            <w:tcW w:w="2424" w:type="dxa"/>
            <w:tcBorders>
              <w:top w:val="single" w:color="000000" w:sz="6" w:space="0"/>
              <w:left w:val="single" w:color="000000" w:sz="6" w:space="0"/>
              <w:bottom w:val="single" w:color="000000" w:sz="6" w:space="0"/>
              <w:right w:val="single" w:color="000000" w:sz="6" w:space="0"/>
            </w:tcBorders>
            <w:vAlign w:val="center"/>
          </w:tcPr>
          <w:p w14:paraId="7397AB55">
            <w:pPr>
              <w:jc w:val="center"/>
            </w:pPr>
            <w:r>
              <w:t>浙江国瑞安保服务有限公司</w:t>
            </w:r>
          </w:p>
        </w:tc>
        <w:tc>
          <w:tcPr>
            <w:tcW w:w="4298" w:type="dxa"/>
            <w:tcBorders>
              <w:top w:val="single" w:color="000000" w:sz="6" w:space="0"/>
              <w:left w:val="single" w:color="000000" w:sz="6" w:space="0"/>
              <w:bottom w:val="single" w:color="000000" w:sz="6" w:space="0"/>
              <w:right w:val="single" w:color="000000" w:sz="6" w:space="0"/>
            </w:tcBorders>
            <w:vAlign w:val="center"/>
          </w:tcPr>
          <w:p w14:paraId="6EC4575F">
            <w:pPr>
              <w:jc w:val="center"/>
            </w:pPr>
            <w:r>
              <w:t>贰佰壹拾捌万肆仟捌佰肆拾元整(2,184,840.00)</w:t>
            </w:r>
          </w:p>
        </w:tc>
        <w:tc>
          <w:tcPr>
            <w:tcW w:w="798" w:type="dxa"/>
            <w:tcBorders>
              <w:top w:val="single" w:color="000000" w:sz="6" w:space="0"/>
              <w:left w:val="single" w:color="000000" w:sz="6" w:space="0"/>
              <w:bottom w:val="single" w:color="000000" w:sz="6" w:space="0"/>
              <w:right w:val="single" w:color="000000" w:sz="6" w:space="0"/>
            </w:tcBorders>
            <w:vAlign w:val="center"/>
          </w:tcPr>
          <w:p w14:paraId="7123D959">
            <w:pPr>
              <w:jc w:val="center"/>
            </w:pPr>
            <w:r>
              <w:t>90.88</w:t>
            </w:r>
          </w:p>
        </w:tc>
        <w:tc>
          <w:tcPr>
            <w:tcW w:w="408" w:type="dxa"/>
            <w:tcBorders>
              <w:top w:val="single" w:color="000000" w:sz="6" w:space="0"/>
              <w:left w:val="single" w:color="000000" w:sz="6" w:space="0"/>
              <w:bottom w:val="single" w:color="000000" w:sz="6" w:space="0"/>
              <w:right w:val="single" w:color="000000" w:sz="6" w:space="0"/>
            </w:tcBorders>
            <w:vAlign w:val="center"/>
          </w:tcPr>
          <w:p w14:paraId="471888E5">
            <w:pPr>
              <w:jc w:val="center"/>
            </w:pPr>
            <w:r>
              <w:t>2</w:t>
            </w:r>
          </w:p>
        </w:tc>
      </w:tr>
      <w:tr w14:paraId="32B51B94">
        <w:tblPrEx>
          <w:tblCellMar>
            <w:top w:w="15" w:type="dxa"/>
            <w:left w:w="15" w:type="dxa"/>
            <w:bottom w:w="15" w:type="dxa"/>
            <w:right w:w="15" w:type="dxa"/>
          </w:tblCellMar>
        </w:tblPrEx>
        <w:trPr>
          <w:trHeight w:val="481" w:hRule="atLeast"/>
        </w:trPr>
        <w:tc>
          <w:tcPr>
            <w:tcW w:w="408" w:type="dxa"/>
            <w:tcBorders>
              <w:top w:val="single" w:color="000000" w:sz="6" w:space="0"/>
              <w:left w:val="single" w:color="000000" w:sz="6" w:space="0"/>
              <w:bottom w:val="single" w:color="000000" w:sz="6" w:space="0"/>
              <w:right w:val="single" w:color="000000" w:sz="6" w:space="0"/>
            </w:tcBorders>
            <w:vAlign w:val="center"/>
          </w:tcPr>
          <w:p w14:paraId="3DD9CA40">
            <w:pPr>
              <w:jc w:val="center"/>
            </w:pPr>
            <w:r>
              <w:t>3</w:t>
            </w:r>
          </w:p>
        </w:tc>
        <w:tc>
          <w:tcPr>
            <w:tcW w:w="2424" w:type="dxa"/>
            <w:tcBorders>
              <w:top w:val="single" w:color="000000" w:sz="6" w:space="0"/>
              <w:left w:val="single" w:color="000000" w:sz="6" w:space="0"/>
              <w:bottom w:val="single" w:color="000000" w:sz="6" w:space="0"/>
              <w:right w:val="single" w:color="000000" w:sz="6" w:space="0"/>
            </w:tcBorders>
            <w:vAlign w:val="center"/>
          </w:tcPr>
          <w:p w14:paraId="7174A7AA">
            <w:pPr>
              <w:jc w:val="center"/>
            </w:pPr>
            <w:r>
              <w:t>河南鼎誉保安服务有限公司</w:t>
            </w:r>
          </w:p>
        </w:tc>
        <w:tc>
          <w:tcPr>
            <w:tcW w:w="4298" w:type="dxa"/>
            <w:tcBorders>
              <w:top w:val="single" w:color="000000" w:sz="6" w:space="0"/>
              <w:left w:val="single" w:color="000000" w:sz="6" w:space="0"/>
              <w:bottom w:val="single" w:color="000000" w:sz="6" w:space="0"/>
              <w:right w:val="single" w:color="000000" w:sz="6" w:space="0"/>
            </w:tcBorders>
            <w:vAlign w:val="center"/>
          </w:tcPr>
          <w:p w14:paraId="7A9EEC1D">
            <w:pPr>
              <w:jc w:val="center"/>
            </w:pPr>
            <w:r>
              <w:t>贰佰叁拾万零伍仟叁佰壹拾肆元陆角柒分(2,305,314.67)</w:t>
            </w:r>
          </w:p>
        </w:tc>
        <w:tc>
          <w:tcPr>
            <w:tcW w:w="798" w:type="dxa"/>
            <w:tcBorders>
              <w:top w:val="single" w:color="000000" w:sz="6" w:space="0"/>
              <w:left w:val="single" w:color="000000" w:sz="6" w:space="0"/>
              <w:bottom w:val="single" w:color="000000" w:sz="6" w:space="0"/>
              <w:right w:val="single" w:color="000000" w:sz="6" w:space="0"/>
            </w:tcBorders>
            <w:vAlign w:val="center"/>
          </w:tcPr>
          <w:p w14:paraId="744B3742">
            <w:pPr>
              <w:jc w:val="center"/>
            </w:pPr>
            <w:r>
              <w:t>77.19</w:t>
            </w:r>
          </w:p>
        </w:tc>
        <w:tc>
          <w:tcPr>
            <w:tcW w:w="408" w:type="dxa"/>
            <w:tcBorders>
              <w:top w:val="single" w:color="000000" w:sz="6" w:space="0"/>
              <w:left w:val="single" w:color="000000" w:sz="6" w:space="0"/>
              <w:bottom w:val="single" w:color="000000" w:sz="6" w:space="0"/>
              <w:right w:val="single" w:color="000000" w:sz="6" w:space="0"/>
            </w:tcBorders>
            <w:vAlign w:val="center"/>
          </w:tcPr>
          <w:p w14:paraId="03294D89">
            <w:pPr>
              <w:jc w:val="center"/>
            </w:pPr>
            <w:r>
              <w:t>3</w:t>
            </w:r>
          </w:p>
        </w:tc>
      </w:tr>
      <w:tr w14:paraId="790EF758">
        <w:tblPrEx>
          <w:tblCellMar>
            <w:top w:w="15" w:type="dxa"/>
            <w:left w:w="15" w:type="dxa"/>
            <w:bottom w:w="15" w:type="dxa"/>
            <w:right w:w="15" w:type="dxa"/>
          </w:tblCellMar>
        </w:tblPrEx>
        <w:tc>
          <w:tcPr>
            <w:tcW w:w="408" w:type="dxa"/>
            <w:tcBorders>
              <w:top w:val="single" w:color="000000" w:sz="6" w:space="0"/>
              <w:left w:val="single" w:color="000000" w:sz="6" w:space="0"/>
              <w:bottom w:val="single" w:color="000000" w:sz="6" w:space="0"/>
              <w:right w:val="single" w:color="000000" w:sz="6" w:space="0"/>
            </w:tcBorders>
            <w:vAlign w:val="center"/>
          </w:tcPr>
          <w:p w14:paraId="2298092A">
            <w:pPr>
              <w:jc w:val="center"/>
            </w:pPr>
            <w:r>
              <w:t>4</w:t>
            </w:r>
          </w:p>
        </w:tc>
        <w:tc>
          <w:tcPr>
            <w:tcW w:w="2424" w:type="dxa"/>
            <w:tcBorders>
              <w:top w:val="single" w:color="000000" w:sz="6" w:space="0"/>
              <w:left w:val="single" w:color="000000" w:sz="6" w:space="0"/>
              <w:bottom w:val="single" w:color="000000" w:sz="6" w:space="0"/>
              <w:right w:val="single" w:color="000000" w:sz="6" w:space="0"/>
            </w:tcBorders>
            <w:vAlign w:val="center"/>
          </w:tcPr>
          <w:p w14:paraId="7AE038C1">
            <w:pPr>
              <w:jc w:val="center"/>
            </w:pPr>
            <w:r>
              <w:t>河南省合之众保安服务有限公司</w:t>
            </w:r>
          </w:p>
        </w:tc>
        <w:tc>
          <w:tcPr>
            <w:tcW w:w="4298" w:type="dxa"/>
            <w:tcBorders>
              <w:top w:val="single" w:color="000000" w:sz="6" w:space="0"/>
              <w:left w:val="single" w:color="000000" w:sz="6" w:space="0"/>
              <w:bottom w:val="single" w:color="000000" w:sz="6" w:space="0"/>
              <w:right w:val="single" w:color="000000" w:sz="6" w:space="0"/>
            </w:tcBorders>
            <w:vAlign w:val="center"/>
          </w:tcPr>
          <w:p w14:paraId="1173E7A6">
            <w:pPr>
              <w:jc w:val="center"/>
            </w:pPr>
            <w:r>
              <w:t>贰佰贰拾贰万元整(2,220,000.00)</w:t>
            </w:r>
          </w:p>
        </w:tc>
        <w:tc>
          <w:tcPr>
            <w:tcW w:w="798" w:type="dxa"/>
            <w:tcBorders>
              <w:top w:val="single" w:color="000000" w:sz="6" w:space="0"/>
              <w:left w:val="single" w:color="000000" w:sz="6" w:space="0"/>
              <w:bottom w:val="single" w:color="000000" w:sz="6" w:space="0"/>
              <w:right w:val="single" w:color="000000" w:sz="6" w:space="0"/>
            </w:tcBorders>
            <w:vAlign w:val="center"/>
          </w:tcPr>
          <w:p w14:paraId="4DBD7BD9">
            <w:pPr>
              <w:jc w:val="center"/>
            </w:pPr>
            <w:r>
              <w:t>59.9</w:t>
            </w:r>
          </w:p>
        </w:tc>
        <w:tc>
          <w:tcPr>
            <w:tcW w:w="408" w:type="dxa"/>
            <w:tcBorders>
              <w:top w:val="single" w:color="000000" w:sz="6" w:space="0"/>
              <w:left w:val="single" w:color="000000" w:sz="6" w:space="0"/>
              <w:bottom w:val="single" w:color="000000" w:sz="6" w:space="0"/>
              <w:right w:val="single" w:color="000000" w:sz="6" w:space="0"/>
            </w:tcBorders>
            <w:vAlign w:val="center"/>
          </w:tcPr>
          <w:p w14:paraId="411435BB">
            <w:pPr>
              <w:jc w:val="center"/>
            </w:pPr>
            <w:r>
              <w:t>4</w:t>
            </w:r>
          </w:p>
        </w:tc>
      </w:tr>
    </w:tbl>
    <w:p w14:paraId="7EEB41C7">
      <w:pPr>
        <w:spacing w:line="400" w:lineRule="exact"/>
        <w:ind w:firstLine="480" w:firstLineChars="200"/>
        <w:rPr>
          <w:rFonts w:hint="eastAsia" w:ascii="黑体" w:hAnsi="黑体" w:eastAsia="黑体" w:cs="黑体"/>
          <w:color w:val="auto"/>
          <w:kern w:val="0"/>
          <w:sz w:val="24"/>
          <w:szCs w:val="24"/>
        </w:rPr>
      </w:pPr>
      <w:r>
        <w:rPr>
          <w:rFonts w:hint="eastAsia" w:ascii="宋体" w:cs="宋体"/>
          <w:color w:val="auto"/>
          <w:kern w:val="0"/>
          <w:sz w:val="24"/>
          <w:szCs w:val="24"/>
        </w:rPr>
        <w:t>提出质疑的渠道和方式：根据汴公管办（2020）13号文规定，若供应商对上述结果有质疑,可在成交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681F1A7F">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九、凡对本次公告内容提出询问，请按以下方式联系。</w:t>
      </w:r>
    </w:p>
    <w:p w14:paraId="383C520D">
      <w:pPr>
        <w:pStyle w:val="3"/>
        <w:spacing w:before="0" w:after="0" w:line="400" w:lineRule="exact"/>
        <w:ind w:firstLine="600" w:firstLineChars="250"/>
        <w:rPr>
          <w:rFonts w:hint="eastAsia" w:ascii="黑体" w:hAnsi="黑体" w:eastAsia="黑体" w:cs="黑体"/>
          <w:b w:val="0"/>
          <w:bCs w:val="0"/>
          <w:sz w:val="24"/>
          <w:szCs w:val="24"/>
        </w:rPr>
      </w:pPr>
      <w:bookmarkStart w:id="5" w:name="_Toc35393810"/>
      <w:bookmarkStart w:id="6" w:name="_Toc28359023"/>
      <w:bookmarkStart w:id="7" w:name="_Toc28359100"/>
      <w:bookmarkStart w:id="8" w:name="_Toc35393641"/>
      <w:r>
        <w:rPr>
          <w:rFonts w:hint="eastAsia" w:ascii="黑体" w:hAnsi="黑体" w:eastAsia="黑体" w:cs="黑体"/>
          <w:b w:val="0"/>
          <w:bCs w:val="0"/>
          <w:sz w:val="24"/>
          <w:szCs w:val="24"/>
        </w:rPr>
        <w:t>1.采购人信息</w:t>
      </w:r>
      <w:bookmarkEnd w:id="5"/>
      <w:bookmarkEnd w:id="6"/>
      <w:bookmarkEnd w:id="7"/>
      <w:bookmarkEnd w:id="8"/>
    </w:p>
    <w:p w14:paraId="2E60DA7A">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名    称：</w:t>
      </w:r>
      <w:r>
        <w:rPr>
          <w:rFonts w:hint="eastAsia" w:ascii="黑体" w:hAnsi="黑体" w:eastAsia="黑体" w:cs="黑体"/>
          <w:i w:val="0"/>
          <w:iCs w:val="0"/>
          <w:sz w:val="24"/>
          <w:szCs w:val="24"/>
          <w:u w:val="single"/>
        </w:rPr>
        <w:t>开封市祥符区公安局</w:t>
      </w:r>
    </w:p>
    <w:p w14:paraId="0EDD45CD">
      <w:pPr>
        <w:spacing w:line="400" w:lineRule="exact"/>
        <w:ind w:left="298" w:leftChars="142" w:firstLine="360" w:firstLineChars="150"/>
        <w:jc w:val="left"/>
        <w:rPr>
          <w:rFonts w:hint="default" w:ascii="黑体" w:hAnsi="黑体" w:eastAsia="黑体" w:cs="黑体"/>
          <w:sz w:val="24"/>
          <w:szCs w:val="24"/>
          <w:u w:val="single"/>
          <w:lang w:val="en-US" w:eastAsia="zh-CN"/>
        </w:rPr>
      </w:pPr>
      <w:r>
        <w:rPr>
          <w:rFonts w:hint="eastAsia" w:ascii="黑体" w:hAnsi="黑体" w:eastAsia="黑体" w:cs="黑体"/>
          <w:sz w:val="24"/>
          <w:szCs w:val="24"/>
        </w:rPr>
        <w:t>地    址：</w:t>
      </w:r>
      <w:r>
        <w:rPr>
          <w:rFonts w:hint="eastAsia" w:ascii="黑体" w:hAnsi="黑体" w:eastAsia="黑体" w:cs="黑体"/>
          <w:sz w:val="24"/>
          <w:szCs w:val="24"/>
          <w:u w:val="single"/>
        </w:rPr>
        <w:t>开封市祥符区纬三路与李太路交叉口</w:t>
      </w:r>
    </w:p>
    <w:p w14:paraId="0F333730">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联系方式：</w:t>
      </w:r>
      <w:r>
        <w:rPr>
          <w:rFonts w:hint="eastAsia" w:ascii="黑体" w:hAnsi="黑体" w:eastAsia="黑体" w:cs="黑体"/>
          <w:sz w:val="24"/>
          <w:szCs w:val="24"/>
          <w:u w:val="single"/>
        </w:rPr>
        <w:t xml:space="preserve">　13592139224　 </w:t>
      </w:r>
    </w:p>
    <w:p w14:paraId="26C7EC38">
      <w:pPr>
        <w:pStyle w:val="3"/>
        <w:spacing w:before="0" w:after="0" w:line="400" w:lineRule="exact"/>
        <w:ind w:firstLine="720" w:firstLineChars="300"/>
        <w:rPr>
          <w:rFonts w:hint="eastAsia" w:ascii="黑体" w:hAnsi="黑体" w:eastAsia="黑体" w:cs="黑体"/>
          <w:b w:val="0"/>
          <w:bCs w:val="0"/>
          <w:sz w:val="24"/>
          <w:szCs w:val="24"/>
        </w:rPr>
      </w:pPr>
      <w:bookmarkStart w:id="9" w:name="_Toc28359101"/>
      <w:bookmarkStart w:id="10" w:name="_Toc35393811"/>
      <w:bookmarkStart w:id="11" w:name="_Toc35393642"/>
      <w:bookmarkStart w:id="12" w:name="_Toc28359024"/>
      <w:r>
        <w:rPr>
          <w:rFonts w:hint="eastAsia" w:ascii="黑体" w:hAnsi="黑体" w:eastAsia="黑体" w:cs="黑体"/>
          <w:b w:val="0"/>
          <w:bCs w:val="0"/>
          <w:sz w:val="24"/>
          <w:szCs w:val="24"/>
        </w:rPr>
        <w:t>2.采购代理机构信息（如有）</w:t>
      </w:r>
      <w:bookmarkEnd w:id="9"/>
      <w:bookmarkEnd w:id="10"/>
      <w:bookmarkEnd w:id="11"/>
      <w:bookmarkEnd w:id="12"/>
    </w:p>
    <w:p w14:paraId="0536E297">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名    称：</w:t>
      </w:r>
      <w:r>
        <w:rPr>
          <w:rFonts w:hint="eastAsia" w:ascii="黑体" w:hAnsi="黑体" w:eastAsia="黑体" w:cs="黑体"/>
          <w:sz w:val="24"/>
          <w:szCs w:val="24"/>
          <w:u w:val="single"/>
          <w:lang w:eastAsia="zh-CN"/>
        </w:rPr>
        <w:t>开封市祥符区公共资源交易所</w:t>
      </w:r>
    </w:p>
    <w:p w14:paraId="14BCA223">
      <w:pPr>
        <w:spacing w:line="400" w:lineRule="exact"/>
        <w:ind w:firstLine="720" w:firstLineChars="300"/>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lang w:eastAsia="zh-CN"/>
        </w:rPr>
        <w:t>开封市祥符区经一路与纬三路交叉口市民之家9楼909室</w:t>
      </w:r>
    </w:p>
    <w:p w14:paraId="7108108F">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联系方式：</w:t>
      </w:r>
      <w:r>
        <w:rPr>
          <w:rFonts w:hint="eastAsia" w:ascii="黑体" w:hAnsi="黑体" w:eastAsia="黑体" w:cs="黑体"/>
          <w:sz w:val="24"/>
          <w:szCs w:val="24"/>
          <w:u w:val="single"/>
          <w:lang w:val="en-US" w:eastAsia="zh-CN"/>
        </w:rPr>
        <w:t>15803872663</w:t>
      </w:r>
      <w:r>
        <w:rPr>
          <w:rFonts w:hint="eastAsia" w:ascii="黑体" w:hAnsi="黑体" w:eastAsia="黑体" w:cs="黑体"/>
          <w:sz w:val="24"/>
          <w:szCs w:val="24"/>
          <w:u w:val="single"/>
        </w:rPr>
        <w:t xml:space="preserve"> </w:t>
      </w:r>
    </w:p>
    <w:p w14:paraId="7376A56F">
      <w:pPr>
        <w:pStyle w:val="3"/>
        <w:spacing w:before="0" w:after="0" w:line="400" w:lineRule="exact"/>
        <w:ind w:firstLine="720" w:firstLineChars="300"/>
        <w:rPr>
          <w:rFonts w:hint="eastAsia" w:ascii="黑体" w:hAnsi="黑体" w:eastAsia="黑体" w:cs="黑体"/>
          <w:b w:val="0"/>
          <w:bCs w:val="0"/>
          <w:sz w:val="24"/>
          <w:szCs w:val="24"/>
        </w:rPr>
      </w:pPr>
      <w:bookmarkStart w:id="13" w:name="_Toc28359025"/>
      <w:bookmarkStart w:id="14" w:name="_Toc35393812"/>
      <w:bookmarkStart w:id="15" w:name="_Toc28359102"/>
      <w:bookmarkStart w:id="16" w:name="_Toc35393643"/>
      <w:r>
        <w:rPr>
          <w:rFonts w:hint="eastAsia" w:ascii="黑体" w:hAnsi="黑体" w:eastAsia="黑体" w:cs="黑体"/>
          <w:b w:val="0"/>
          <w:bCs w:val="0"/>
          <w:sz w:val="24"/>
          <w:szCs w:val="24"/>
        </w:rPr>
        <w:t>3.项目联系方式</w:t>
      </w:r>
      <w:bookmarkEnd w:id="13"/>
      <w:bookmarkEnd w:id="14"/>
      <w:bookmarkEnd w:id="15"/>
      <w:bookmarkEnd w:id="16"/>
    </w:p>
    <w:p w14:paraId="7046AC35">
      <w:pPr>
        <w:pStyle w:val="6"/>
        <w:spacing w:line="400" w:lineRule="exact"/>
        <w:ind w:firstLine="720" w:firstLineChars="300"/>
        <w:rPr>
          <w:rFonts w:hint="eastAsia" w:ascii="黑体" w:hAnsi="黑体" w:eastAsia="黑体" w:cs="黑体"/>
          <w:sz w:val="24"/>
          <w:szCs w:val="24"/>
          <w:lang w:eastAsia="zh-CN"/>
        </w:rPr>
      </w:pPr>
      <w:r>
        <w:rPr>
          <w:rFonts w:hint="eastAsia" w:ascii="黑体" w:hAnsi="黑体" w:eastAsia="黑体" w:cs="黑体"/>
          <w:sz w:val="24"/>
          <w:szCs w:val="24"/>
        </w:rPr>
        <w:t>项目联系人：</w:t>
      </w:r>
      <w:r>
        <w:rPr>
          <w:rFonts w:hint="eastAsia" w:ascii="黑体" w:hAnsi="黑体" w:eastAsia="黑体" w:cs="黑体"/>
          <w:sz w:val="24"/>
          <w:szCs w:val="24"/>
          <w:u w:val="single"/>
          <w:lang w:eastAsia="zh-CN"/>
        </w:rPr>
        <w:t>边女士</w:t>
      </w:r>
    </w:p>
    <w:p w14:paraId="1A7F1BB5">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电　  话：</w:t>
      </w:r>
      <w:r>
        <w:rPr>
          <w:rFonts w:hint="eastAsia" w:ascii="黑体" w:hAnsi="黑体" w:eastAsia="黑体" w:cs="黑体"/>
          <w:sz w:val="24"/>
          <w:szCs w:val="24"/>
          <w:u w:val="single"/>
        </w:rPr>
        <w:t>　</w:t>
      </w:r>
      <w:r>
        <w:rPr>
          <w:rFonts w:hint="eastAsia" w:ascii="黑体" w:hAnsi="黑体" w:eastAsia="黑体" w:cs="黑体"/>
          <w:sz w:val="24"/>
          <w:szCs w:val="24"/>
          <w:u w:val="single"/>
          <w:lang w:val="en-US" w:eastAsia="zh-CN"/>
        </w:rPr>
        <w:t>13592139224</w:t>
      </w:r>
      <w:r>
        <w:rPr>
          <w:rFonts w:hint="eastAsia" w:ascii="黑体" w:hAnsi="黑体" w:eastAsia="黑体" w:cs="黑体"/>
          <w:sz w:val="24"/>
          <w:szCs w:val="24"/>
          <w:u w:val="single"/>
        </w:rPr>
        <w:t>　　</w:t>
      </w:r>
    </w:p>
    <w:p w14:paraId="47362D4B">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十、附件</w:t>
      </w:r>
    </w:p>
    <w:p w14:paraId="196BC387">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1.采购文件（</w:t>
      </w:r>
      <w:r>
        <w:rPr>
          <w:rFonts w:hint="eastAsia" w:ascii="黑体" w:hAnsi="黑体" w:eastAsia="黑体" w:cs="黑体"/>
          <w:i/>
          <w:iCs/>
          <w:kern w:val="0"/>
          <w:sz w:val="24"/>
          <w:szCs w:val="24"/>
        </w:rPr>
        <w:t>已公告的可不重复公告</w:t>
      </w:r>
      <w:r>
        <w:rPr>
          <w:rFonts w:hint="eastAsia" w:ascii="黑体" w:hAnsi="黑体" w:eastAsia="黑体" w:cs="黑体"/>
          <w:kern w:val="0"/>
          <w:sz w:val="24"/>
          <w:szCs w:val="24"/>
        </w:rPr>
        <w:t>）</w:t>
      </w:r>
    </w:p>
    <w:p w14:paraId="0720361D">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2.被推荐供应商名单和推荐理由（</w:t>
      </w:r>
      <w:r>
        <w:rPr>
          <w:rFonts w:hint="eastAsia" w:ascii="黑体" w:hAnsi="黑体" w:eastAsia="黑体" w:cs="黑体"/>
          <w:i/>
          <w:iCs/>
          <w:kern w:val="0"/>
          <w:sz w:val="24"/>
          <w:szCs w:val="24"/>
        </w:rPr>
        <w:t>适用于邀请招标、竞争性谈判、询价、竞争性磋商采用书面推荐方式产生符合资格条件的潜在供应商的</w:t>
      </w:r>
      <w:r>
        <w:rPr>
          <w:rFonts w:hint="eastAsia" w:ascii="黑体" w:hAnsi="黑体" w:eastAsia="黑体" w:cs="黑体"/>
          <w:kern w:val="0"/>
          <w:sz w:val="24"/>
          <w:szCs w:val="24"/>
        </w:rPr>
        <w:t>）</w:t>
      </w:r>
    </w:p>
    <w:p w14:paraId="7E8E2D4C">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3.中标、成交供应商为中小企业的，应公告其《中小企业声明函》</w:t>
      </w:r>
    </w:p>
    <w:p w14:paraId="3B139AB5">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4.中标、成交供应商为残疾人福利性单位的，应公告其《残疾人福利性单位声明函》</w:t>
      </w:r>
    </w:p>
    <w:p w14:paraId="14EEE0B8">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5.中标、成交供应商为注册地在国家级贫困县域内物业公司的，应公告注册所在县扶贫部门出具的聘用建档立卡贫困人员具体数量的证明。</w:t>
      </w:r>
    </w:p>
    <w:p w14:paraId="2388FC4B"/>
    <w:p w14:paraId="2979A4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1010101"/>
    <w:charset w:val="7A"/>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93823"/>
    <w:multiLevelType w:val="singleLevel"/>
    <w:tmpl w:val="9FA93823"/>
    <w:lvl w:ilvl="0" w:tentative="0">
      <w:start w:val="5"/>
      <w:numFmt w:val="chineseCounting"/>
      <w:suff w:val="nothing"/>
      <w:lvlText w:val="%1、"/>
      <w:lvlJc w:val="left"/>
      <w:rPr>
        <w:rFonts w:hint="eastAsia"/>
      </w:rPr>
    </w:lvl>
  </w:abstractNum>
  <w:abstractNum w:abstractNumId="1">
    <w:nsid w:val="2EC43977"/>
    <w:multiLevelType w:val="singleLevel"/>
    <w:tmpl w:val="2EC43977"/>
    <w:lvl w:ilvl="0" w:tentative="0">
      <w:start w:val="1"/>
      <w:numFmt w:val="chineseCounting"/>
      <w:suff w:val="nothing"/>
      <w:lvlText w:val="%1、"/>
      <w:lvlJc w:val="left"/>
      <w:rPr>
        <w:rFonts w:hint="eastAsia"/>
      </w:rPr>
    </w:lvl>
  </w:abstractNum>
  <w:abstractNum w:abstractNumId="2">
    <w:nsid w:val="4F7F2163"/>
    <w:multiLevelType w:val="singleLevel"/>
    <w:tmpl w:val="4F7F2163"/>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RmM2FhNTBjODA5MmY3NmM1ZmExNjk2YzIyYmQifQ=="/>
  </w:docVars>
  <w:rsids>
    <w:rsidRoot w:val="4A7637BD"/>
    <w:rsid w:val="055F1F34"/>
    <w:rsid w:val="0A76572B"/>
    <w:rsid w:val="0B920BAC"/>
    <w:rsid w:val="1168658E"/>
    <w:rsid w:val="224C556F"/>
    <w:rsid w:val="22A144DF"/>
    <w:rsid w:val="4A7637BD"/>
    <w:rsid w:val="4FD9168F"/>
    <w:rsid w:val="523E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rPr>
      <w:rFonts w:ascii="Calibri" w:hAnsi="Calibri" w:eastAsia="宋体" w:cs="Calibri"/>
    </w:rPr>
  </w:style>
  <w:style w:type="paragraph" w:styleId="5">
    <w:name w:val="envelope return"/>
    <w:basedOn w:val="1"/>
    <w:qFormat/>
    <w:uiPriority w:val="0"/>
    <w:pPr>
      <w:widowControl w:val="0"/>
      <w:adjustRightInd/>
      <w:spacing w:after="0"/>
      <w:jc w:val="both"/>
    </w:pPr>
    <w:rPr>
      <w:rFonts w:ascii="Arial" w:hAnsi="Arial" w:eastAsia="宋体" w:cs="Times New Roman"/>
      <w:kern w:val="2"/>
      <w:sz w:val="21"/>
      <w:szCs w:val="21"/>
    </w:rPr>
  </w:style>
  <w:style w:type="paragraph" w:styleId="6">
    <w:name w:val="Plain Text"/>
    <w:basedOn w:val="1"/>
    <w:autoRedefine/>
    <w:qFormat/>
    <w:uiPriority w:val="99"/>
    <w:rPr>
      <w:rFonts w:ascii="宋体" w:hAnsi="Courier New" w:cs="宋体"/>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Body Text First Indent 2"/>
    <w:basedOn w:val="4"/>
    <w:qFormat/>
    <w:uiPriority w:val="0"/>
    <w:pPr>
      <w:adjustRightInd w:val="0"/>
      <w:ind w:left="0" w:leftChars="0"/>
    </w:pPr>
    <w:rPr>
      <w:rFonts w:ascii="Times New Roman" w:hAnsi="Times New Roman" w:eastAsia="宋体" w:cs="Times New Roman"/>
    </w:rPr>
  </w:style>
  <w:style w:type="character" w:styleId="11">
    <w:name w:val="FollowedHyperlink"/>
    <w:basedOn w:val="10"/>
    <w:autoRedefine/>
    <w:qFormat/>
    <w:uiPriority w:val="0"/>
    <w:rPr>
      <w:color w:val="000000"/>
      <w:sz w:val="21"/>
      <w:szCs w:val="21"/>
      <w:u w:val="none"/>
    </w:rPr>
  </w:style>
  <w:style w:type="character" w:styleId="12">
    <w:name w:val="Hyperlink"/>
    <w:basedOn w:val="10"/>
    <w:autoRedefine/>
    <w:qFormat/>
    <w:uiPriority w:val="0"/>
    <w:rPr>
      <w:color w:val="000000"/>
      <w:sz w:val="21"/>
      <w:szCs w:val="21"/>
      <w:u w:val="none"/>
      <w:bdr w:val="single" w:color="2E8DF7" w:sz="6" w:space="0"/>
      <w:shd w:val="clear" w:fill="FFFFFF"/>
    </w:rPr>
  </w:style>
  <w:style w:type="character" w:customStyle="1" w:styleId="13">
    <w:name w:val="menutitle"/>
    <w:basedOn w:val="10"/>
    <w:autoRedefine/>
    <w:qFormat/>
    <w:uiPriority w:val="0"/>
    <w:rPr>
      <w:color w:val="333333"/>
      <w:sz w:val="24"/>
      <w:szCs w:val="24"/>
    </w:rPr>
  </w:style>
  <w:style w:type="character" w:customStyle="1" w:styleId="14">
    <w:name w:val="menutitle1"/>
    <w:basedOn w:val="10"/>
    <w:autoRedefine/>
    <w:qFormat/>
    <w:uiPriority w:val="0"/>
    <w:rPr>
      <w:color w:val="333333"/>
      <w:sz w:val="24"/>
      <w:szCs w:val="24"/>
    </w:rPr>
  </w:style>
  <w:style w:type="character" w:customStyle="1" w:styleId="15">
    <w:name w:val="icon_cxkcyry"/>
    <w:basedOn w:val="10"/>
    <w:autoRedefine/>
    <w:qFormat/>
    <w:uiPriority w:val="0"/>
  </w:style>
  <w:style w:type="character" w:customStyle="1" w:styleId="16">
    <w:name w:val="close6"/>
    <w:basedOn w:val="10"/>
    <w:autoRedefine/>
    <w:qFormat/>
    <w:uiPriority w:val="0"/>
  </w:style>
  <w:style w:type="character" w:customStyle="1" w:styleId="17">
    <w:name w:val="focus1"/>
    <w:basedOn w:val="10"/>
    <w:qFormat/>
    <w:uiPriority w:val="0"/>
    <w:rPr>
      <w:b/>
      <w:bCs/>
      <w:color w:val="000000"/>
    </w:rPr>
  </w:style>
  <w:style w:type="character" w:customStyle="1" w:styleId="18">
    <w:name w:val="icon_gzkj"/>
    <w:basedOn w:val="10"/>
    <w:qFormat/>
    <w:uiPriority w:val="0"/>
  </w:style>
  <w:style w:type="character" w:customStyle="1" w:styleId="19">
    <w:name w:val="l_1"/>
    <w:basedOn w:val="10"/>
    <w:qFormat/>
    <w:uiPriority w:val="0"/>
  </w:style>
  <w:style w:type="character" w:customStyle="1" w:styleId="20">
    <w:name w:val="l_4"/>
    <w:basedOn w:val="10"/>
    <w:autoRedefine/>
    <w:qFormat/>
    <w:uiPriority w:val="0"/>
  </w:style>
  <w:style w:type="character" w:customStyle="1" w:styleId="21">
    <w:name w:val="color_cdyy"/>
    <w:basedOn w:val="10"/>
    <w:autoRedefine/>
    <w:qFormat/>
    <w:uiPriority w:val="0"/>
    <w:rPr>
      <w:color w:val="FFFFFF"/>
      <w:bdr w:val="single" w:color="FFFFFF" w:sz="6" w:space="0"/>
    </w:rPr>
  </w:style>
  <w:style w:type="character" w:customStyle="1" w:styleId="22">
    <w:name w:val="icon_xglc"/>
    <w:basedOn w:val="10"/>
    <w:autoRedefine/>
    <w:qFormat/>
    <w:uiPriority w:val="0"/>
  </w:style>
  <w:style w:type="character" w:customStyle="1" w:styleId="23">
    <w:name w:val="swapimg4"/>
    <w:basedOn w:val="10"/>
    <w:autoRedefine/>
    <w:qFormat/>
    <w:uiPriority w:val="0"/>
  </w:style>
  <w:style w:type="character" w:customStyle="1" w:styleId="24">
    <w:name w:val="swapimg5"/>
    <w:basedOn w:val="10"/>
    <w:autoRedefine/>
    <w:qFormat/>
    <w:uiPriority w:val="0"/>
  </w:style>
  <w:style w:type="character" w:customStyle="1" w:styleId="25">
    <w:name w:val="l_10"/>
    <w:basedOn w:val="10"/>
    <w:autoRedefine/>
    <w:qFormat/>
    <w:uiPriority w:val="0"/>
  </w:style>
  <w:style w:type="character" w:customStyle="1" w:styleId="26">
    <w:name w:val="l_101"/>
    <w:basedOn w:val="10"/>
    <w:autoRedefine/>
    <w:qFormat/>
    <w:uiPriority w:val="0"/>
  </w:style>
  <w:style w:type="character" w:customStyle="1" w:styleId="27">
    <w:name w:val="icon_cxktbr"/>
    <w:basedOn w:val="10"/>
    <w:autoRedefine/>
    <w:qFormat/>
    <w:uiPriority w:val="0"/>
  </w:style>
  <w:style w:type="character" w:customStyle="1" w:styleId="28">
    <w:name w:val="searchclose"/>
    <w:basedOn w:val="10"/>
    <w:autoRedefine/>
    <w:qFormat/>
    <w:uiPriority w:val="0"/>
  </w:style>
  <w:style w:type="character" w:customStyle="1" w:styleId="29">
    <w:name w:val="searchopen"/>
    <w:basedOn w:val="10"/>
    <w:autoRedefine/>
    <w:qFormat/>
    <w:uiPriority w:val="0"/>
  </w:style>
  <w:style w:type="character" w:customStyle="1" w:styleId="30">
    <w:name w:val="icon_dljg"/>
    <w:basedOn w:val="10"/>
    <w:autoRedefine/>
    <w:qFormat/>
    <w:uiPriority w:val="0"/>
  </w:style>
  <w:style w:type="character" w:customStyle="1" w:styleId="31">
    <w:name w:val="l_5"/>
    <w:basedOn w:val="10"/>
    <w:autoRedefine/>
    <w:qFormat/>
    <w:uiPriority w:val="0"/>
  </w:style>
  <w:style w:type="character" w:customStyle="1" w:styleId="32">
    <w:name w:val="l_51"/>
    <w:basedOn w:val="10"/>
    <w:autoRedefine/>
    <w:qFormat/>
    <w:uiPriority w:val="0"/>
  </w:style>
  <w:style w:type="character" w:customStyle="1" w:styleId="33">
    <w:name w:val="l_6"/>
    <w:basedOn w:val="10"/>
    <w:autoRedefine/>
    <w:qFormat/>
    <w:uiPriority w:val="0"/>
  </w:style>
  <w:style w:type="character" w:customStyle="1" w:styleId="34">
    <w:name w:val="l_61"/>
    <w:basedOn w:val="10"/>
    <w:autoRedefine/>
    <w:qFormat/>
    <w:uiPriority w:val="0"/>
  </w:style>
  <w:style w:type="character" w:customStyle="1" w:styleId="35">
    <w:name w:val="l_12"/>
    <w:basedOn w:val="10"/>
    <w:autoRedefine/>
    <w:qFormat/>
    <w:uiPriority w:val="0"/>
  </w:style>
  <w:style w:type="character" w:customStyle="1" w:styleId="36">
    <w:name w:val="l_121"/>
    <w:basedOn w:val="10"/>
    <w:qFormat/>
    <w:uiPriority w:val="0"/>
  </w:style>
  <w:style w:type="character" w:customStyle="1" w:styleId="37">
    <w:name w:val="m-text"/>
    <w:basedOn w:val="10"/>
    <w:qFormat/>
    <w:uiPriority w:val="0"/>
  </w:style>
  <w:style w:type="character" w:customStyle="1" w:styleId="38">
    <w:name w:val="l_14"/>
    <w:basedOn w:val="10"/>
    <w:qFormat/>
    <w:uiPriority w:val="0"/>
  </w:style>
  <w:style w:type="character" w:customStyle="1" w:styleId="39">
    <w:name w:val="l_141"/>
    <w:basedOn w:val="10"/>
    <w:qFormat/>
    <w:uiPriority w:val="0"/>
  </w:style>
  <w:style w:type="character" w:customStyle="1" w:styleId="40">
    <w:name w:val="l_7"/>
    <w:basedOn w:val="10"/>
    <w:qFormat/>
    <w:uiPriority w:val="0"/>
  </w:style>
  <w:style w:type="character" w:customStyle="1" w:styleId="41">
    <w:name w:val="l_71"/>
    <w:basedOn w:val="10"/>
    <w:qFormat/>
    <w:uiPriority w:val="0"/>
  </w:style>
  <w:style w:type="character" w:customStyle="1" w:styleId="42">
    <w:name w:val="l_13"/>
    <w:basedOn w:val="10"/>
    <w:qFormat/>
    <w:uiPriority w:val="0"/>
  </w:style>
  <w:style w:type="character" w:customStyle="1" w:styleId="43">
    <w:name w:val="l_131"/>
    <w:basedOn w:val="10"/>
    <w:qFormat/>
    <w:uiPriority w:val="0"/>
  </w:style>
  <w:style w:type="character" w:customStyle="1" w:styleId="44">
    <w:name w:val="icon_lzrz"/>
    <w:basedOn w:val="10"/>
    <w:qFormat/>
    <w:uiPriority w:val="0"/>
  </w:style>
  <w:style w:type="character" w:customStyle="1" w:styleId="45">
    <w:name w:val="icon_xzry"/>
    <w:basedOn w:val="10"/>
    <w:autoRedefine/>
    <w:qFormat/>
    <w:uiPriority w:val="0"/>
  </w:style>
  <w:style w:type="character" w:customStyle="1" w:styleId="46">
    <w:name w:val="l_0"/>
    <w:basedOn w:val="10"/>
    <w:qFormat/>
    <w:uiPriority w:val="0"/>
  </w:style>
  <w:style w:type="character" w:customStyle="1" w:styleId="47">
    <w:name w:val="l_01"/>
    <w:basedOn w:val="10"/>
    <w:qFormat/>
    <w:uiPriority w:val="0"/>
  </w:style>
  <w:style w:type="character" w:customStyle="1" w:styleId="48">
    <w:name w:val="l_11"/>
    <w:basedOn w:val="10"/>
    <w:qFormat/>
    <w:uiPriority w:val="0"/>
  </w:style>
  <w:style w:type="character" w:customStyle="1" w:styleId="49">
    <w:name w:val="l_111"/>
    <w:basedOn w:val="10"/>
    <w:qFormat/>
    <w:uiPriority w:val="0"/>
  </w:style>
  <w:style w:type="character" w:customStyle="1" w:styleId="50">
    <w:name w:val="l_9"/>
    <w:basedOn w:val="10"/>
    <w:qFormat/>
    <w:uiPriority w:val="0"/>
  </w:style>
  <w:style w:type="character" w:customStyle="1" w:styleId="51">
    <w:name w:val="l_91"/>
    <w:basedOn w:val="10"/>
    <w:qFormat/>
    <w:uiPriority w:val="0"/>
  </w:style>
  <w:style w:type="character" w:customStyle="1" w:styleId="52">
    <w:name w:val="l_2"/>
    <w:basedOn w:val="10"/>
    <w:qFormat/>
    <w:uiPriority w:val="0"/>
  </w:style>
  <w:style w:type="character" w:customStyle="1" w:styleId="53">
    <w:name w:val="l_21"/>
    <w:basedOn w:val="10"/>
    <w:autoRedefine/>
    <w:qFormat/>
    <w:uiPriority w:val="0"/>
  </w:style>
  <w:style w:type="character" w:customStyle="1" w:styleId="54">
    <w:name w:val="l_3"/>
    <w:basedOn w:val="10"/>
    <w:autoRedefine/>
    <w:qFormat/>
    <w:uiPriority w:val="0"/>
  </w:style>
  <w:style w:type="character" w:customStyle="1" w:styleId="55">
    <w:name w:val="l_31"/>
    <w:basedOn w:val="10"/>
    <w:autoRedefine/>
    <w:qFormat/>
    <w:uiPriority w:val="0"/>
  </w:style>
  <w:style w:type="character" w:customStyle="1" w:styleId="56">
    <w:name w:val="l_8"/>
    <w:basedOn w:val="10"/>
    <w:qFormat/>
    <w:uiPriority w:val="0"/>
  </w:style>
  <w:style w:type="character" w:customStyle="1" w:styleId="57">
    <w:name w:val="l_81"/>
    <w:basedOn w:val="10"/>
    <w:qFormat/>
    <w:uiPriority w:val="0"/>
  </w:style>
  <w:style w:type="character" w:customStyle="1" w:styleId="58">
    <w:name w:val="l_15"/>
    <w:basedOn w:val="10"/>
    <w:qFormat/>
    <w:uiPriority w:val="0"/>
  </w:style>
  <w:style w:type="character" w:customStyle="1" w:styleId="59">
    <w:name w:val="l_151"/>
    <w:basedOn w:val="10"/>
    <w:qFormat/>
    <w:uiPriority w:val="0"/>
  </w:style>
  <w:style w:type="character" w:customStyle="1" w:styleId="60">
    <w:name w:val="swapimg"/>
    <w:basedOn w:val="10"/>
    <w:qFormat/>
    <w:uiPriority w:val="0"/>
  </w:style>
  <w:style w:type="character" w:customStyle="1" w:styleId="61">
    <w:name w:val="swapimg1"/>
    <w:basedOn w:val="10"/>
    <w:qFormat/>
    <w:uiPriority w:val="0"/>
  </w:style>
  <w:style w:type="character" w:customStyle="1" w:styleId="62">
    <w:name w:val="focus"/>
    <w:basedOn w:val="10"/>
    <w:qFormat/>
    <w:uiPriority w:val="0"/>
    <w:rPr>
      <w:b/>
      <w:bCs/>
      <w:color w:val="000000"/>
    </w:rPr>
  </w:style>
  <w:style w:type="character" w:customStyle="1" w:styleId="63">
    <w:name w:val="menutitle12"/>
    <w:basedOn w:val="10"/>
    <w:qFormat/>
    <w:uiPriority w:val="0"/>
    <w:rPr>
      <w:color w:val="333333"/>
      <w:sz w:val="24"/>
      <w:szCs w:val="24"/>
    </w:rPr>
  </w:style>
  <w:style w:type="character" w:customStyle="1" w:styleId="64">
    <w:name w:val="menutitle13"/>
    <w:basedOn w:val="10"/>
    <w:qFormat/>
    <w:uiPriority w:val="0"/>
    <w:rPr>
      <w:color w:val="333333"/>
      <w:sz w:val="24"/>
      <w:szCs w:val="24"/>
    </w:rPr>
  </w:style>
  <w:style w:type="character" w:customStyle="1" w:styleId="65">
    <w:name w:val="l_112"/>
    <w:basedOn w:val="10"/>
    <w:qFormat/>
    <w:uiPriority w:val="0"/>
  </w:style>
  <w:style w:type="paragraph" w:customStyle="1" w:styleId="66">
    <w:name w:val="Default"/>
    <w:next w:val="6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7">
    <w:name w:val="大标题"/>
    <w:basedOn w:val="1"/>
    <w:next w:val="8"/>
    <w:qFormat/>
    <w:uiPriority w:val="0"/>
    <w:pPr>
      <w:widowControl w:val="0"/>
      <w:spacing w:after="0" w:line="240" w:lineRule="auto"/>
      <w:ind w:firstLine="0" w:firstLineChars="0"/>
      <w:jc w:val="center"/>
    </w:pPr>
    <w:rPr>
      <w:rFonts w:ascii="@仿宋_GB2312" w:hAnsi="@仿宋_GB2312" w:eastAsia="华文中宋" w:cs="Times New Roman"/>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1426</Characters>
  <Lines>0</Lines>
  <Paragraphs>0</Paragraphs>
  <TotalTime>16</TotalTime>
  <ScaleCrop>false</ScaleCrop>
  <LinksUpToDate>false</LinksUpToDate>
  <CharactersWithSpaces>1455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2023-12-29T07:52:00Z</dcterms:created>
  <dc:creator>小堯</dc:creator>
  <cp:lastModifiedBy>小堯</cp:lastModifiedBy>
  <dcterms:modified xsi:type="dcterms:W3CDTF">2025-06-23T09:11:23Z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FBA1E069CFC64435BF1891BCFB48CE33_13</vt:lpwstr>
  </property>
  <property fmtid="{D5CDD505-2E9C-101B-9397-08002B2CF9AE}" pid="4" name="KSOTemplateDocerSaveRecord">
    <vt:lpwstr>eyJoZGlkIjoiMTBiMDRmM2FhNTBjODA5MmY3NmM1ZmExNjk2YzIyYmQiLCJ1c2VySWQiOiIyNzMxMjk0OTkifQ==</vt:lpwstr>
  </property>
</Properties>
</file>