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08"/>
        <w:gridCol w:w="1272"/>
        <w:gridCol w:w="3238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1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紧凑型MPV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14"/>
                <w:szCs w:val="21"/>
                <w:lang w:val="en-US" w:eastAsia="zh-CN"/>
              </w:rPr>
              <w:t>3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轴距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≥2800mm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车体尺寸（长、宽、高）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≥4700*1800*1700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环保标准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国六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座位数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七座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排量（L）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1.5T（含）以上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燃油形式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发动机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≥170马力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最大功率（KW）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130KW（含）以上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进气形式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变速器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自动变速箱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防抱死系统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标配ABS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气囊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主副驾驶位标配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驻车雷达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驾驶辅助影像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360度全景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597"/>
              </w:tabs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警用标识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/>
                <w:spacing w:val="14"/>
                <w:szCs w:val="21"/>
              </w:rPr>
            </w:pPr>
            <w:r>
              <w:rPr>
                <w:rFonts w:hint="eastAsia" w:ascii="仿宋" w:hAnsi="仿宋" w:eastAsia="仿宋"/>
                <w:spacing w:val="14"/>
                <w:szCs w:val="21"/>
              </w:rPr>
              <w:t>标配爆闪警灯、大功率警报器、车身警用涂装、警用标识（满足采购方要求）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mQxYWUwYzhiNDNmOWU1YmEzMGY5NzA2YjExZWEifQ=="/>
  </w:docVars>
  <w:rsids>
    <w:rsidRoot w:val="74183A8D"/>
    <w:rsid w:val="3E0B6E71"/>
    <w:rsid w:val="45A501FB"/>
    <w:rsid w:val="4E2B57D9"/>
    <w:rsid w:val="5BD91EFC"/>
    <w:rsid w:val="600C4979"/>
    <w:rsid w:val="63841BD1"/>
    <w:rsid w:val="741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Cs w:val="21"/>
    </w:rPr>
  </w:style>
  <w:style w:type="paragraph" w:styleId="3">
    <w:name w:val="Body Text 2"/>
    <w:basedOn w:val="1"/>
    <w:qFormat/>
    <w:uiPriority w:val="99"/>
    <w:pPr>
      <w:autoSpaceDE w:val="0"/>
      <w:autoSpaceDN w:val="0"/>
      <w:spacing w:line="900" w:lineRule="exact"/>
      <w:jc w:val="center"/>
    </w:pPr>
    <w:rPr>
      <w:rFonts w:ascii="Calibri" w:hAnsi="Calibri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正文文本_2"/>
    <w:basedOn w:val="7"/>
    <w:next w:val="9"/>
    <w:qFormat/>
    <w:uiPriority w:val="0"/>
    <w:rPr>
      <w:rFonts w:ascii="Times New Roman" w:hAnsi="Times New Roman" w:eastAsia="仿宋_GB2312" w:cs="Times New Roman"/>
      <w:kern w:val="2"/>
      <w:sz w:val="28"/>
      <w:szCs w:val="30"/>
    </w:rPr>
  </w:style>
  <w:style w:type="paragraph" w:customStyle="1" w:styleId="9">
    <w:name w:val="Default_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2023-11-07T12:27:00Z</dcterms:created>
  <dc:creator>刘军毅</dc:creator>
  <cp:lastModifiedBy>沐屹</cp:lastModifiedBy>
  <dcterms:modified xsi:type="dcterms:W3CDTF">2023-12-25T06:55:33Z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16451337F86F493A831E67BD27C48834_13</vt:lpwstr>
  </property>
</Properties>
</file>