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8"/>
          <w:lang w:eastAsia="zh-CN"/>
        </w:rPr>
      </w:pPr>
    </w:p>
    <w:p>
      <w:pPr>
        <w:jc w:val="center"/>
        <w:rPr>
          <w:rFonts w:hint="eastAsia" w:eastAsia="宋体"/>
          <w:sz w:val="40"/>
          <w:szCs w:val="48"/>
          <w:lang w:eastAsia="zh-CN"/>
        </w:rPr>
      </w:pPr>
      <w:r>
        <w:rPr>
          <w:rFonts w:hint="eastAsia"/>
          <w:b/>
          <w:bCs/>
          <w:sz w:val="40"/>
          <w:szCs w:val="48"/>
          <w:lang w:eastAsia="zh-CN"/>
        </w:rPr>
        <w:drawing>
          <wp:inline distT="0" distB="0" distL="114300" distR="114300">
            <wp:extent cx="5867400" cy="8293100"/>
            <wp:effectExtent l="0" t="0" r="0" b="12700"/>
            <wp:docPr id="1" name="图片 1" descr="SKM_2872312271111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KM_28723122711111_00"/>
                    <pic:cNvPicPr>
                      <a:picLocks noChangeAspect="1"/>
                    </pic:cNvPicPr>
                  </pic:nvPicPr>
                  <pic:blipFill>
                    <a:blip r:embed="rId5"/>
                    <a:stretch>
                      <a:fillRect/>
                    </a:stretch>
                  </pic:blipFill>
                  <pic:spPr>
                    <a:xfrm>
                      <a:off x="0" y="0"/>
                      <a:ext cx="5867400" cy="8293100"/>
                    </a:xfrm>
                    <a:prstGeom prst="rect">
                      <a:avLst/>
                    </a:prstGeom>
                  </pic:spPr>
                </pic:pic>
              </a:graphicData>
            </a:graphic>
          </wp:inline>
        </w:drawing>
      </w:r>
      <w:r>
        <w:rPr>
          <w:rFonts w:hint="eastAsia"/>
          <w:b/>
          <w:bCs/>
          <w:sz w:val="40"/>
          <w:szCs w:val="48"/>
          <w:lang w:eastAsia="zh-CN"/>
        </w:rPr>
        <w:t>社旗县住房和城乡建设局关于经七路雨水管网建设、网吧街（建设路—粮贸街）道路提升项目</w:t>
      </w:r>
    </w:p>
    <w:p>
      <w:pPr>
        <w:jc w:val="center"/>
        <w:rPr>
          <w:sz w:val="28"/>
          <w:szCs w:val="28"/>
        </w:rPr>
      </w:pPr>
    </w:p>
    <w:p>
      <w:pPr>
        <w:pStyle w:val="5"/>
        <w:rPr>
          <w:sz w:val="28"/>
          <w:szCs w:val="28"/>
        </w:rPr>
      </w:pPr>
    </w:p>
    <w:p>
      <w:pPr>
        <w:rPr>
          <w:sz w:val="28"/>
          <w:szCs w:val="28"/>
        </w:rPr>
      </w:pPr>
    </w:p>
    <w:p>
      <w:pPr>
        <w:pStyle w:val="5"/>
        <w:rPr>
          <w:sz w:val="28"/>
          <w:szCs w:val="28"/>
        </w:rPr>
      </w:pPr>
    </w:p>
    <w:p/>
    <w:p/>
    <w:p>
      <w:pPr>
        <w:jc w:val="center"/>
        <w:rPr>
          <w:color w:val="00B0F0"/>
          <w:sz w:val="72"/>
          <w:szCs w:val="72"/>
        </w:rPr>
      </w:pPr>
      <w:r>
        <w:rPr>
          <w:rFonts w:hint="eastAsia"/>
          <w:color w:val="000000" w:themeColor="text1"/>
          <w:sz w:val="72"/>
          <w:szCs w:val="72"/>
        </w:rPr>
        <w:t>竞争性磋商文件</w:t>
      </w:r>
    </w:p>
    <w:p>
      <w:pPr>
        <w:rPr>
          <w:sz w:val="28"/>
          <w:szCs w:val="28"/>
        </w:rPr>
      </w:pPr>
    </w:p>
    <w:p>
      <w:pPr>
        <w:jc w:val="center"/>
        <w:rPr>
          <w:sz w:val="28"/>
          <w:szCs w:val="28"/>
        </w:rPr>
      </w:pPr>
    </w:p>
    <w:p>
      <w:pPr>
        <w:pStyle w:val="21"/>
        <w:ind w:firstLine="210"/>
      </w:pPr>
    </w:p>
    <w:p>
      <w:pPr>
        <w:pStyle w:val="21"/>
        <w:ind w:firstLine="210"/>
      </w:pPr>
    </w:p>
    <w:p>
      <w:pPr>
        <w:pStyle w:val="21"/>
        <w:ind w:firstLine="210"/>
      </w:pPr>
    </w:p>
    <w:p>
      <w:pPr>
        <w:pStyle w:val="21"/>
        <w:ind w:firstLine="210"/>
      </w:pPr>
    </w:p>
    <w:p>
      <w:pPr>
        <w:pStyle w:val="21"/>
        <w:ind w:firstLine="210"/>
      </w:pPr>
    </w:p>
    <w:p>
      <w:pPr>
        <w:pStyle w:val="21"/>
        <w:ind w:firstLine="210"/>
      </w:pPr>
    </w:p>
    <w:p>
      <w:pPr>
        <w:pStyle w:val="21"/>
        <w:ind w:firstLine="210"/>
      </w:pPr>
    </w:p>
    <w:p>
      <w:pPr>
        <w:pStyle w:val="21"/>
        <w:ind w:left="0" w:leftChars="0" w:firstLine="0" w:firstLineChars="0"/>
      </w:pPr>
    </w:p>
    <w:p>
      <w:pPr>
        <w:pStyle w:val="21"/>
        <w:ind w:left="0" w:leftChars="0" w:firstLine="0" w:firstLineChars="0"/>
      </w:pPr>
    </w:p>
    <w:p>
      <w:pPr>
        <w:jc w:val="center"/>
        <w:rPr>
          <w:sz w:val="28"/>
          <w:szCs w:val="28"/>
        </w:rPr>
      </w:pPr>
    </w:p>
    <w:p>
      <w:pPr>
        <w:ind w:firstLine="1400" w:firstLineChars="500"/>
        <w:jc w:val="both"/>
        <w:rPr>
          <w:rFonts w:hint="default" w:eastAsia="宋体"/>
          <w:sz w:val="28"/>
          <w:szCs w:val="28"/>
          <w:lang w:val="en-US" w:eastAsia="zh-CN"/>
        </w:rPr>
      </w:pPr>
      <w:r>
        <w:rPr>
          <w:rFonts w:hint="eastAsia"/>
          <w:sz w:val="28"/>
          <w:szCs w:val="28"/>
        </w:rPr>
        <w:t>采</w:t>
      </w:r>
      <w:r>
        <w:rPr>
          <w:rFonts w:hint="eastAsia"/>
          <w:sz w:val="28"/>
          <w:szCs w:val="28"/>
          <w:lang w:val="en-US" w:eastAsia="zh-CN"/>
        </w:rPr>
        <w:t xml:space="preserve">   </w:t>
      </w:r>
      <w:r>
        <w:rPr>
          <w:rFonts w:hint="eastAsia"/>
          <w:sz w:val="28"/>
          <w:szCs w:val="28"/>
        </w:rPr>
        <w:t>购</w:t>
      </w:r>
      <w:r>
        <w:rPr>
          <w:rFonts w:hint="eastAsia"/>
          <w:sz w:val="28"/>
          <w:szCs w:val="28"/>
          <w:lang w:val="en-US" w:eastAsia="zh-CN"/>
        </w:rPr>
        <w:t xml:space="preserve">   </w:t>
      </w:r>
      <w:r>
        <w:rPr>
          <w:rFonts w:hint="eastAsia"/>
          <w:sz w:val="28"/>
          <w:szCs w:val="28"/>
        </w:rPr>
        <w:t>人：</w:t>
      </w:r>
      <w:r>
        <w:rPr>
          <w:rFonts w:hint="eastAsia"/>
          <w:sz w:val="28"/>
          <w:szCs w:val="28"/>
          <w:u w:val="single"/>
          <w:lang w:eastAsia="zh-CN"/>
        </w:rPr>
        <w:t>社旗县住房和城乡建设局</w:t>
      </w:r>
    </w:p>
    <w:p>
      <w:pPr>
        <w:ind w:firstLine="1400" w:firstLineChars="500"/>
        <w:jc w:val="both"/>
        <w:rPr>
          <w:rFonts w:hint="eastAsia" w:eastAsia="宋体"/>
          <w:sz w:val="28"/>
          <w:szCs w:val="28"/>
          <w:lang w:eastAsia="zh-CN"/>
        </w:rPr>
      </w:pPr>
      <w:r>
        <w:rPr>
          <w:rFonts w:hint="eastAsia"/>
          <w:sz w:val="28"/>
          <w:szCs w:val="28"/>
        </w:rPr>
        <w:t>采购代理机构：</w:t>
      </w:r>
      <w:r>
        <w:rPr>
          <w:rFonts w:hint="eastAsia"/>
          <w:sz w:val="28"/>
          <w:szCs w:val="28"/>
          <w:u w:val="single"/>
          <w:lang w:eastAsia="zh-CN"/>
        </w:rPr>
        <w:t>河南阔宇工程管理有限公司</w:t>
      </w:r>
    </w:p>
    <w:p>
      <w:pPr>
        <w:ind w:firstLine="1400" w:firstLineChars="500"/>
        <w:jc w:val="both"/>
        <w:rPr>
          <w:sz w:val="28"/>
          <w:szCs w:val="28"/>
        </w:rPr>
      </w:pPr>
      <w:r>
        <w:rPr>
          <w:rFonts w:hint="eastAsia"/>
          <w:sz w:val="28"/>
          <w:szCs w:val="28"/>
        </w:rPr>
        <w:t>日</w:t>
      </w:r>
      <w:r>
        <w:rPr>
          <w:rFonts w:hint="eastAsia"/>
          <w:sz w:val="28"/>
          <w:szCs w:val="28"/>
          <w:lang w:val="en-US" w:eastAsia="zh-CN"/>
        </w:rPr>
        <w:t xml:space="preserve">        </w:t>
      </w:r>
      <w:r>
        <w:rPr>
          <w:rFonts w:hint="eastAsia"/>
          <w:sz w:val="28"/>
          <w:szCs w:val="28"/>
        </w:rPr>
        <w:t>期：</w:t>
      </w:r>
      <w:r>
        <w:rPr>
          <w:rFonts w:hint="eastAsia"/>
          <w:sz w:val="28"/>
          <w:szCs w:val="28"/>
          <w:u w:val="single"/>
        </w:rPr>
        <w:t>二〇二</w:t>
      </w:r>
      <w:r>
        <w:rPr>
          <w:rFonts w:hint="eastAsia"/>
          <w:sz w:val="28"/>
          <w:szCs w:val="28"/>
          <w:u w:val="single"/>
          <w:lang w:eastAsia="zh-CN"/>
        </w:rPr>
        <w:t>三</w:t>
      </w:r>
      <w:r>
        <w:rPr>
          <w:rFonts w:hint="eastAsia"/>
          <w:sz w:val="28"/>
          <w:szCs w:val="28"/>
          <w:u w:val="single"/>
        </w:rPr>
        <w:t>年</w:t>
      </w:r>
      <w:r>
        <w:rPr>
          <w:rFonts w:hint="eastAsia"/>
          <w:sz w:val="28"/>
          <w:szCs w:val="28"/>
          <w:u w:val="single"/>
          <w:lang w:val="en-US" w:eastAsia="zh-CN"/>
        </w:rPr>
        <w:t xml:space="preserve"> 十二 </w:t>
      </w:r>
      <w:r>
        <w:rPr>
          <w:rFonts w:hint="eastAsia"/>
          <w:sz w:val="28"/>
          <w:szCs w:val="28"/>
          <w:u w:val="single"/>
        </w:rPr>
        <w:t>月</w:t>
      </w:r>
    </w:p>
    <w:p>
      <w:pPr>
        <w:pStyle w:val="38"/>
        <w:tabs>
          <w:tab w:val="right" w:leader="dot" w:pos="8788"/>
        </w:tabs>
        <w:spacing w:line="360" w:lineRule="auto"/>
        <w:jc w:val="center"/>
        <w:rPr>
          <w:rFonts w:hint="eastAsia" w:ascii="宋体" w:hAnsi="宋体"/>
          <w:sz w:val="44"/>
          <w:szCs w:val="44"/>
        </w:rPr>
      </w:pPr>
    </w:p>
    <w:p>
      <w:pPr>
        <w:pStyle w:val="38"/>
        <w:tabs>
          <w:tab w:val="right" w:leader="dot" w:pos="8788"/>
        </w:tabs>
        <w:spacing w:line="360" w:lineRule="auto"/>
        <w:jc w:val="center"/>
        <w:rPr>
          <w:rFonts w:hint="eastAsia" w:ascii="宋体" w:hAnsi="宋体"/>
          <w:sz w:val="44"/>
          <w:szCs w:val="44"/>
        </w:rPr>
      </w:pPr>
    </w:p>
    <w:p>
      <w:pPr>
        <w:pStyle w:val="38"/>
        <w:tabs>
          <w:tab w:val="right" w:leader="dot" w:pos="8788"/>
        </w:tabs>
        <w:spacing w:line="360" w:lineRule="auto"/>
        <w:jc w:val="center"/>
        <w:rPr>
          <w:rFonts w:hint="eastAsia" w:ascii="宋体" w:hAnsi="宋体"/>
          <w:sz w:val="44"/>
          <w:szCs w:val="44"/>
        </w:rPr>
      </w:pPr>
    </w:p>
    <w:p>
      <w:pPr>
        <w:pStyle w:val="38"/>
        <w:tabs>
          <w:tab w:val="right" w:leader="dot" w:pos="8788"/>
        </w:tabs>
        <w:spacing w:line="360" w:lineRule="auto"/>
        <w:jc w:val="center"/>
        <w:rPr>
          <w:rFonts w:ascii="宋体" w:hAnsi="宋体"/>
          <w:sz w:val="44"/>
          <w:szCs w:val="44"/>
        </w:rPr>
      </w:pPr>
      <w:r>
        <w:rPr>
          <w:rFonts w:hint="eastAsia" w:ascii="宋体" w:hAnsi="宋体"/>
          <w:sz w:val="44"/>
          <w:szCs w:val="44"/>
        </w:rPr>
        <w:t>目  录</w:t>
      </w:r>
    </w:p>
    <w:p>
      <w:pPr>
        <w:pStyle w:val="38"/>
        <w:tabs>
          <w:tab w:val="right" w:leader="dot" w:pos="8788"/>
        </w:tabs>
        <w:spacing w:line="360" w:lineRule="auto"/>
        <w:jc w:val="center"/>
        <w:rPr>
          <w:rFonts w:ascii="宋体" w:hAnsi="宋体"/>
          <w:sz w:val="44"/>
          <w:szCs w:val="44"/>
        </w:rPr>
      </w:pPr>
    </w:p>
    <w:p>
      <w:pPr>
        <w:pStyle w:val="17"/>
        <w:tabs>
          <w:tab w:val="right" w:leader="dot" w:pos="8778"/>
        </w:tabs>
        <w:spacing w:line="360" w:lineRule="auto"/>
        <w:rPr>
          <w:rFonts w:ascii="宋体" w:hAnsi="宋体" w:cstheme="minorBidi"/>
          <w:sz w:val="28"/>
          <w:szCs w:val="28"/>
        </w:rPr>
      </w:pPr>
      <w:r>
        <w:rPr>
          <w:rFonts w:ascii="宋体" w:hAnsi="宋体"/>
          <w:sz w:val="28"/>
          <w:szCs w:val="28"/>
        </w:rPr>
        <w:fldChar w:fldCharType="begin"/>
      </w:r>
      <w:r>
        <w:rPr>
          <w:rFonts w:ascii="宋体" w:hAnsi="宋体"/>
          <w:sz w:val="28"/>
          <w:szCs w:val="28"/>
        </w:rPr>
        <w:instrText xml:space="preserve"> TOC \o "1-1" \h \z \u </w:instrText>
      </w:r>
      <w:r>
        <w:rPr>
          <w:rFonts w:ascii="宋体" w:hAnsi="宋体"/>
          <w:sz w:val="28"/>
          <w:szCs w:val="28"/>
        </w:rPr>
        <w:fldChar w:fldCharType="separate"/>
      </w:r>
      <w:r>
        <w:fldChar w:fldCharType="begin"/>
      </w:r>
      <w:r>
        <w:instrText xml:space="preserve"> HYPERLINK \l "_Toc72695356" </w:instrText>
      </w:r>
      <w:r>
        <w:fldChar w:fldCharType="separate"/>
      </w:r>
      <w:r>
        <w:rPr>
          <w:rStyle w:val="31"/>
          <w:rFonts w:hint="eastAsia" w:ascii="宋体" w:hAnsi="宋体"/>
          <w:b/>
          <w:color w:val="auto"/>
          <w:sz w:val="28"/>
          <w:szCs w:val="28"/>
        </w:rPr>
        <w:t>第一章  竞争性磋商公告</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_Toc72695356 \h</w:instrText>
      </w:r>
      <w:r>
        <w:rPr>
          <w:rFonts w:hint="eastAsia" w:ascii="宋体" w:hAnsi="宋体"/>
          <w:sz w:val="28"/>
          <w:szCs w:val="28"/>
        </w:rPr>
        <w:fldChar w:fldCharType="separate"/>
      </w:r>
      <w:r>
        <w:rPr>
          <w:rFonts w:ascii="宋体" w:hAnsi="宋体"/>
          <w:sz w:val="28"/>
          <w:szCs w:val="28"/>
        </w:rPr>
        <w:t>3</w:t>
      </w:r>
      <w:r>
        <w:rPr>
          <w:rFonts w:hint="eastAsia" w:ascii="宋体" w:hAnsi="宋体"/>
          <w:sz w:val="28"/>
          <w:szCs w:val="28"/>
        </w:rPr>
        <w:fldChar w:fldCharType="end"/>
      </w:r>
      <w:r>
        <w:rPr>
          <w:rFonts w:hint="eastAsia" w:ascii="宋体" w:hAnsi="宋体"/>
          <w:sz w:val="28"/>
          <w:szCs w:val="28"/>
        </w:rPr>
        <w:fldChar w:fldCharType="end"/>
      </w:r>
    </w:p>
    <w:p>
      <w:pPr>
        <w:pStyle w:val="17"/>
        <w:tabs>
          <w:tab w:val="right" w:leader="dot" w:pos="8778"/>
        </w:tabs>
        <w:spacing w:line="360" w:lineRule="auto"/>
        <w:rPr>
          <w:rFonts w:ascii="宋体" w:hAnsi="宋体" w:cstheme="minorBidi"/>
          <w:sz w:val="28"/>
          <w:szCs w:val="28"/>
        </w:rPr>
      </w:pPr>
      <w:r>
        <w:fldChar w:fldCharType="begin"/>
      </w:r>
      <w:r>
        <w:instrText xml:space="preserve"> HYPERLINK \l "_Toc72695357" </w:instrText>
      </w:r>
      <w:r>
        <w:fldChar w:fldCharType="separate"/>
      </w:r>
      <w:r>
        <w:rPr>
          <w:rStyle w:val="31"/>
          <w:rFonts w:hint="eastAsia" w:ascii="宋体" w:hAnsi="宋体"/>
          <w:b/>
          <w:color w:val="auto"/>
          <w:sz w:val="28"/>
          <w:szCs w:val="28"/>
        </w:rPr>
        <w:t>第二章  响应人须知</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_Toc72695357 \h</w:instrText>
      </w:r>
      <w:r>
        <w:rPr>
          <w:rFonts w:hint="eastAsia" w:ascii="宋体" w:hAnsi="宋体"/>
          <w:sz w:val="28"/>
          <w:szCs w:val="28"/>
        </w:rPr>
        <w:fldChar w:fldCharType="separate"/>
      </w:r>
      <w:r>
        <w:rPr>
          <w:rFonts w:ascii="宋体" w:hAnsi="宋体"/>
          <w:sz w:val="28"/>
          <w:szCs w:val="28"/>
        </w:rPr>
        <w:t>3</w:t>
      </w:r>
      <w:r>
        <w:rPr>
          <w:rFonts w:hint="eastAsia" w:ascii="宋体" w:hAnsi="宋体"/>
          <w:sz w:val="28"/>
          <w:szCs w:val="28"/>
        </w:rPr>
        <w:fldChar w:fldCharType="end"/>
      </w:r>
      <w:r>
        <w:rPr>
          <w:rFonts w:hint="eastAsia" w:ascii="宋体" w:hAnsi="宋体"/>
          <w:sz w:val="28"/>
          <w:szCs w:val="28"/>
        </w:rPr>
        <w:fldChar w:fldCharType="end"/>
      </w:r>
    </w:p>
    <w:p>
      <w:pPr>
        <w:pStyle w:val="17"/>
        <w:tabs>
          <w:tab w:val="right" w:leader="dot" w:pos="8778"/>
        </w:tabs>
        <w:spacing w:line="360" w:lineRule="auto"/>
        <w:rPr>
          <w:rFonts w:ascii="宋体" w:hAnsi="宋体" w:cstheme="minorBidi"/>
          <w:sz w:val="28"/>
          <w:szCs w:val="28"/>
        </w:rPr>
      </w:pPr>
      <w:r>
        <w:fldChar w:fldCharType="begin"/>
      </w:r>
      <w:r>
        <w:instrText xml:space="preserve"> HYPERLINK \l "_Toc72695358" </w:instrText>
      </w:r>
      <w:r>
        <w:fldChar w:fldCharType="separate"/>
      </w:r>
      <w:r>
        <w:rPr>
          <w:rStyle w:val="31"/>
          <w:rFonts w:hint="eastAsia" w:ascii="宋体" w:hAnsi="宋体"/>
          <w:b/>
          <w:color w:val="auto"/>
          <w:sz w:val="28"/>
          <w:szCs w:val="28"/>
        </w:rPr>
        <w:t>第三章  评审办法</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_Toc72695358 \h</w:instrText>
      </w:r>
      <w:r>
        <w:rPr>
          <w:rFonts w:hint="eastAsia" w:ascii="宋体" w:hAnsi="宋体"/>
          <w:sz w:val="28"/>
          <w:szCs w:val="28"/>
        </w:rPr>
        <w:fldChar w:fldCharType="separate"/>
      </w:r>
      <w:r>
        <w:rPr>
          <w:rFonts w:ascii="宋体" w:hAnsi="宋体"/>
          <w:sz w:val="28"/>
          <w:szCs w:val="28"/>
        </w:rPr>
        <w:t>23</w:t>
      </w:r>
      <w:r>
        <w:rPr>
          <w:rFonts w:hint="eastAsia" w:ascii="宋体" w:hAnsi="宋体"/>
          <w:sz w:val="28"/>
          <w:szCs w:val="28"/>
        </w:rPr>
        <w:fldChar w:fldCharType="end"/>
      </w:r>
      <w:r>
        <w:rPr>
          <w:rFonts w:hint="eastAsia" w:ascii="宋体" w:hAnsi="宋体"/>
          <w:sz w:val="28"/>
          <w:szCs w:val="28"/>
        </w:rPr>
        <w:fldChar w:fldCharType="end"/>
      </w:r>
    </w:p>
    <w:p>
      <w:pPr>
        <w:pStyle w:val="17"/>
        <w:tabs>
          <w:tab w:val="right" w:leader="dot" w:pos="8778"/>
        </w:tabs>
        <w:spacing w:line="360" w:lineRule="auto"/>
        <w:rPr>
          <w:rFonts w:ascii="宋体" w:hAnsi="宋体" w:cstheme="minorBidi"/>
          <w:sz w:val="28"/>
          <w:szCs w:val="28"/>
        </w:rPr>
      </w:pPr>
      <w:r>
        <w:fldChar w:fldCharType="begin"/>
      </w:r>
      <w:r>
        <w:instrText xml:space="preserve"> HYPERLINK \l "_Toc72695359" </w:instrText>
      </w:r>
      <w:r>
        <w:fldChar w:fldCharType="separate"/>
      </w:r>
      <w:r>
        <w:rPr>
          <w:rStyle w:val="31"/>
          <w:rFonts w:hint="eastAsia" w:ascii="宋体" w:hAnsi="宋体"/>
          <w:b/>
          <w:color w:val="auto"/>
          <w:sz w:val="28"/>
          <w:szCs w:val="28"/>
        </w:rPr>
        <w:t>第四章  合同</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_Toc72695359 \h</w:instrText>
      </w:r>
      <w:r>
        <w:rPr>
          <w:rFonts w:hint="eastAsia" w:ascii="宋体" w:hAnsi="宋体"/>
          <w:sz w:val="28"/>
          <w:szCs w:val="28"/>
        </w:rPr>
        <w:fldChar w:fldCharType="separate"/>
      </w:r>
      <w:r>
        <w:rPr>
          <w:rFonts w:ascii="宋体" w:hAnsi="宋体"/>
          <w:sz w:val="28"/>
          <w:szCs w:val="28"/>
        </w:rPr>
        <w:t>29</w:t>
      </w:r>
      <w:r>
        <w:rPr>
          <w:rFonts w:hint="eastAsia" w:ascii="宋体" w:hAnsi="宋体"/>
          <w:sz w:val="28"/>
          <w:szCs w:val="28"/>
        </w:rPr>
        <w:fldChar w:fldCharType="end"/>
      </w:r>
      <w:r>
        <w:rPr>
          <w:rFonts w:hint="eastAsia" w:ascii="宋体" w:hAnsi="宋体"/>
          <w:sz w:val="28"/>
          <w:szCs w:val="28"/>
        </w:rPr>
        <w:fldChar w:fldCharType="end"/>
      </w:r>
    </w:p>
    <w:p>
      <w:pPr>
        <w:pStyle w:val="17"/>
        <w:tabs>
          <w:tab w:val="right" w:leader="dot" w:pos="8778"/>
        </w:tabs>
        <w:spacing w:line="360" w:lineRule="auto"/>
        <w:rPr>
          <w:rFonts w:ascii="宋体" w:hAnsi="宋体" w:cstheme="minorBidi"/>
          <w:sz w:val="28"/>
          <w:szCs w:val="28"/>
        </w:rPr>
      </w:pPr>
      <w:r>
        <w:fldChar w:fldCharType="begin"/>
      </w:r>
      <w:r>
        <w:instrText xml:space="preserve"> HYPERLINK \l "_Toc72695360" </w:instrText>
      </w:r>
      <w:r>
        <w:fldChar w:fldCharType="separate"/>
      </w:r>
      <w:r>
        <w:rPr>
          <w:rStyle w:val="31"/>
          <w:rFonts w:hint="eastAsia" w:ascii="宋体" w:hAnsi="宋体"/>
          <w:b/>
          <w:color w:val="auto"/>
          <w:sz w:val="28"/>
          <w:szCs w:val="28"/>
        </w:rPr>
        <w:t>第五章  工程量清单</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_Toc72695360 \h</w:instrText>
      </w:r>
      <w:r>
        <w:rPr>
          <w:rFonts w:hint="eastAsia" w:ascii="宋体" w:hAnsi="宋体"/>
          <w:sz w:val="28"/>
          <w:szCs w:val="28"/>
        </w:rPr>
        <w:fldChar w:fldCharType="separate"/>
      </w:r>
      <w:r>
        <w:rPr>
          <w:rFonts w:ascii="宋体" w:hAnsi="宋体"/>
          <w:sz w:val="28"/>
          <w:szCs w:val="28"/>
        </w:rPr>
        <w:t>34</w:t>
      </w:r>
      <w:r>
        <w:rPr>
          <w:rFonts w:hint="eastAsia" w:ascii="宋体" w:hAnsi="宋体"/>
          <w:sz w:val="28"/>
          <w:szCs w:val="28"/>
        </w:rPr>
        <w:fldChar w:fldCharType="end"/>
      </w:r>
      <w:r>
        <w:rPr>
          <w:rFonts w:hint="eastAsia" w:ascii="宋体" w:hAnsi="宋体"/>
          <w:sz w:val="28"/>
          <w:szCs w:val="28"/>
        </w:rPr>
        <w:fldChar w:fldCharType="end"/>
      </w:r>
    </w:p>
    <w:p>
      <w:pPr>
        <w:pStyle w:val="17"/>
        <w:tabs>
          <w:tab w:val="right" w:leader="dot" w:pos="8778"/>
        </w:tabs>
        <w:spacing w:line="360" w:lineRule="auto"/>
        <w:rPr>
          <w:rFonts w:ascii="宋体" w:hAnsi="宋体" w:cstheme="minorBidi"/>
          <w:sz w:val="28"/>
          <w:szCs w:val="28"/>
        </w:rPr>
      </w:pPr>
      <w:r>
        <w:fldChar w:fldCharType="begin"/>
      </w:r>
      <w:r>
        <w:instrText xml:space="preserve"> HYPERLINK \l "_Toc72695361" </w:instrText>
      </w:r>
      <w:r>
        <w:fldChar w:fldCharType="separate"/>
      </w:r>
      <w:r>
        <w:rPr>
          <w:rStyle w:val="31"/>
          <w:rFonts w:hint="eastAsia" w:ascii="宋体" w:hAnsi="宋体"/>
          <w:b/>
          <w:color w:val="auto"/>
          <w:sz w:val="28"/>
          <w:szCs w:val="28"/>
        </w:rPr>
        <w:t>第六章  图纸</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_Toc72695361 \h</w:instrText>
      </w:r>
      <w:r>
        <w:rPr>
          <w:rFonts w:hint="eastAsia" w:ascii="宋体" w:hAnsi="宋体"/>
          <w:sz w:val="28"/>
          <w:szCs w:val="28"/>
        </w:rPr>
        <w:fldChar w:fldCharType="separate"/>
      </w:r>
      <w:r>
        <w:rPr>
          <w:rFonts w:ascii="宋体" w:hAnsi="宋体"/>
          <w:sz w:val="28"/>
          <w:szCs w:val="28"/>
        </w:rPr>
        <w:t>35</w:t>
      </w:r>
      <w:r>
        <w:rPr>
          <w:rFonts w:hint="eastAsia" w:ascii="宋体" w:hAnsi="宋体"/>
          <w:sz w:val="28"/>
          <w:szCs w:val="28"/>
        </w:rPr>
        <w:fldChar w:fldCharType="end"/>
      </w:r>
      <w:r>
        <w:rPr>
          <w:rFonts w:hint="eastAsia" w:ascii="宋体" w:hAnsi="宋体"/>
          <w:sz w:val="28"/>
          <w:szCs w:val="28"/>
        </w:rPr>
        <w:fldChar w:fldCharType="end"/>
      </w:r>
    </w:p>
    <w:p>
      <w:pPr>
        <w:pStyle w:val="17"/>
        <w:tabs>
          <w:tab w:val="right" w:leader="dot" w:pos="8778"/>
        </w:tabs>
        <w:spacing w:line="360" w:lineRule="auto"/>
        <w:rPr>
          <w:rFonts w:ascii="宋体" w:hAnsi="宋体" w:cstheme="minorBidi"/>
          <w:sz w:val="28"/>
          <w:szCs w:val="28"/>
        </w:rPr>
      </w:pPr>
      <w:r>
        <w:fldChar w:fldCharType="begin"/>
      </w:r>
      <w:r>
        <w:instrText xml:space="preserve"> HYPERLINK \l "_Toc72695362" </w:instrText>
      </w:r>
      <w:r>
        <w:fldChar w:fldCharType="separate"/>
      </w:r>
      <w:r>
        <w:rPr>
          <w:rStyle w:val="31"/>
          <w:rFonts w:hint="eastAsia" w:ascii="宋体" w:hAnsi="宋体"/>
          <w:b/>
          <w:color w:val="auto"/>
          <w:sz w:val="28"/>
          <w:szCs w:val="28"/>
        </w:rPr>
        <w:t>第七章  技术标准和要求</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_Toc72695362 \h</w:instrText>
      </w:r>
      <w:r>
        <w:rPr>
          <w:rFonts w:hint="eastAsia" w:ascii="宋体" w:hAnsi="宋体"/>
          <w:sz w:val="28"/>
          <w:szCs w:val="28"/>
        </w:rPr>
        <w:fldChar w:fldCharType="separate"/>
      </w:r>
      <w:r>
        <w:rPr>
          <w:rFonts w:ascii="宋体" w:hAnsi="宋体"/>
          <w:sz w:val="28"/>
          <w:szCs w:val="28"/>
        </w:rPr>
        <w:t>36</w:t>
      </w:r>
      <w:r>
        <w:rPr>
          <w:rFonts w:hint="eastAsia" w:ascii="宋体" w:hAnsi="宋体"/>
          <w:sz w:val="28"/>
          <w:szCs w:val="28"/>
        </w:rPr>
        <w:fldChar w:fldCharType="end"/>
      </w:r>
      <w:r>
        <w:rPr>
          <w:rFonts w:hint="eastAsia" w:ascii="宋体" w:hAnsi="宋体"/>
          <w:sz w:val="28"/>
          <w:szCs w:val="28"/>
        </w:rPr>
        <w:fldChar w:fldCharType="end"/>
      </w:r>
    </w:p>
    <w:p>
      <w:pPr>
        <w:pStyle w:val="17"/>
        <w:tabs>
          <w:tab w:val="right" w:leader="dot" w:pos="8778"/>
        </w:tabs>
        <w:spacing w:line="360" w:lineRule="auto"/>
        <w:rPr>
          <w:rFonts w:ascii="宋体" w:hAnsi="宋体" w:cstheme="minorBidi"/>
          <w:sz w:val="28"/>
          <w:szCs w:val="28"/>
        </w:rPr>
      </w:pPr>
      <w:r>
        <w:fldChar w:fldCharType="begin"/>
      </w:r>
      <w:r>
        <w:instrText xml:space="preserve"> HYPERLINK \l "_Toc72695363" </w:instrText>
      </w:r>
      <w:r>
        <w:fldChar w:fldCharType="separate"/>
      </w:r>
      <w:r>
        <w:rPr>
          <w:rStyle w:val="31"/>
          <w:rFonts w:hint="eastAsia" w:ascii="宋体" w:hAnsi="宋体"/>
          <w:b/>
          <w:color w:val="auto"/>
          <w:sz w:val="28"/>
          <w:szCs w:val="28"/>
        </w:rPr>
        <w:t>第八章  磋商响应文件格式</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_Toc72695363 \h</w:instrText>
      </w:r>
      <w:r>
        <w:rPr>
          <w:rFonts w:hint="eastAsia" w:ascii="宋体" w:hAnsi="宋体"/>
          <w:sz w:val="28"/>
          <w:szCs w:val="28"/>
        </w:rPr>
        <w:fldChar w:fldCharType="separate"/>
      </w:r>
      <w:r>
        <w:rPr>
          <w:rFonts w:ascii="宋体" w:hAnsi="宋体"/>
          <w:sz w:val="28"/>
          <w:szCs w:val="28"/>
        </w:rPr>
        <w:t>37</w:t>
      </w:r>
      <w:r>
        <w:rPr>
          <w:rFonts w:hint="eastAsia" w:ascii="宋体" w:hAnsi="宋体"/>
          <w:sz w:val="28"/>
          <w:szCs w:val="28"/>
        </w:rPr>
        <w:fldChar w:fldCharType="end"/>
      </w:r>
      <w:r>
        <w:rPr>
          <w:rFonts w:hint="eastAsia" w:ascii="宋体" w:hAnsi="宋体"/>
          <w:sz w:val="28"/>
          <w:szCs w:val="28"/>
        </w:rPr>
        <w:fldChar w:fldCharType="end"/>
      </w:r>
    </w:p>
    <w:p>
      <w:pPr>
        <w:pStyle w:val="38"/>
        <w:tabs>
          <w:tab w:val="right" w:leader="dot" w:pos="8788"/>
        </w:tabs>
        <w:spacing w:line="360" w:lineRule="auto"/>
        <w:rPr>
          <w:rFonts w:ascii="宋体" w:hAnsi="宋体"/>
          <w:sz w:val="24"/>
          <w:szCs w:val="24"/>
        </w:rPr>
      </w:pPr>
      <w:r>
        <w:rPr>
          <w:rFonts w:ascii="宋体" w:hAnsi="宋体"/>
          <w:sz w:val="28"/>
          <w:szCs w:val="28"/>
        </w:rPr>
        <w:fldChar w:fldCharType="end"/>
      </w:r>
    </w:p>
    <w:p>
      <w:pPr>
        <w:pStyle w:val="38"/>
        <w:tabs>
          <w:tab w:val="right" w:leader="dot" w:pos="8788"/>
        </w:tabs>
        <w:spacing w:line="360" w:lineRule="auto"/>
        <w:rPr>
          <w:rFonts w:ascii="宋体" w:hAnsi="宋体"/>
          <w:sz w:val="28"/>
          <w:szCs w:val="28"/>
        </w:rPr>
      </w:pPr>
    </w:p>
    <w:p>
      <w:pPr>
        <w:pStyle w:val="38"/>
        <w:tabs>
          <w:tab w:val="right" w:leader="dot" w:pos="8788"/>
        </w:tabs>
        <w:spacing w:line="360" w:lineRule="auto"/>
        <w:rPr>
          <w:rFonts w:ascii="宋体" w:hAnsi="宋体"/>
          <w:sz w:val="28"/>
          <w:szCs w:val="28"/>
        </w:rPr>
      </w:pPr>
    </w:p>
    <w:p>
      <w:pPr>
        <w:pStyle w:val="38"/>
        <w:tabs>
          <w:tab w:val="right" w:leader="dot" w:pos="8788"/>
        </w:tabs>
        <w:spacing w:line="360" w:lineRule="auto"/>
        <w:rPr>
          <w:rFonts w:ascii="宋体" w:hAnsi="宋体"/>
          <w:sz w:val="28"/>
          <w:szCs w:val="28"/>
        </w:rPr>
      </w:pPr>
    </w:p>
    <w:p>
      <w:pPr>
        <w:pStyle w:val="38"/>
        <w:tabs>
          <w:tab w:val="right" w:leader="dot" w:pos="8788"/>
        </w:tabs>
        <w:spacing w:line="360" w:lineRule="auto"/>
        <w:rPr>
          <w:rFonts w:ascii="宋体" w:hAnsi="宋体"/>
          <w:sz w:val="28"/>
          <w:szCs w:val="28"/>
        </w:rPr>
      </w:pPr>
    </w:p>
    <w:p>
      <w:pPr>
        <w:pStyle w:val="38"/>
        <w:tabs>
          <w:tab w:val="right" w:leader="dot" w:pos="8788"/>
        </w:tabs>
        <w:spacing w:line="360" w:lineRule="auto"/>
        <w:rPr>
          <w:rFonts w:ascii="宋体" w:hAnsi="宋体"/>
          <w:sz w:val="28"/>
          <w:szCs w:val="28"/>
        </w:rPr>
      </w:pPr>
    </w:p>
    <w:p>
      <w:pPr>
        <w:pStyle w:val="38"/>
        <w:tabs>
          <w:tab w:val="right" w:leader="dot" w:pos="8788"/>
        </w:tabs>
        <w:spacing w:line="360" w:lineRule="auto"/>
        <w:rPr>
          <w:rFonts w:ascii="宋体" w:hAnsi="宋体"/>
          <w:sz w:val="28"/>
          <w:szCs w:val="28"/>
        </w:rPr>
      </w:pPr>
    </w:p>
    <w:p>
      <w:pPr>
        <w:pStyle w:val="38"/>
        <w:tabs>
          <w:tab w:val="right" w:leader="dot" w:pos="8788"/>
        </w:tabs>
        <w:spacing w:line="360" w:lineRule="auto"/>
        <w:rPr>
          <w:rFonts w:ascii="宋体" w:hAnsi="宋体"/>
          <w:sz w:val="28"/>
          <w:szCs w:val="28"/>
        </w:rPr>
      </w:pPr>
    </w:p>
    <w:p>
      <w:pPr>
        <w:pStyle w:val="38"/>
        <w:tabs>
          <w:tab w:val="right" w:leader="dot" w:pos="8788"/>
        </w:tabs>
        <w:spacing w:line="360" w:lineRule="auto"/>
        <w:rPr>
          <w:rFonts w:ascii="宋体" w:hAnsi="宋体"/>
          <w:sz w:val="28"/>
          <w:szCs w:val="28"/>
        </w:rPr>
      </w:pPr>
    </w:p>
    <w:p>
      <w:pPr>
        <w:pStyle w:val="38"/>
        <w:tabs>
          <w:tab w:val="right" w:leader="dot" w:pos="8788"/>
        </w:tabs>
        <w:spacing w:line="360" w:lineRule="auto"/>
        <w:rPr>
          <w:rFonts w:ascii="宋体" w:hAnsi="宋体"/>
          <w:sz w:val="28"/>
          <w:szCs w:val="28"/>
        </w:rPr>
      </w:pPr>
    </w:p>
    <w:p>
      <w:pPr>
        <w:pStyle w:val="38"/>
        <w:tabs>
          <w:tab w:val="right" w:leader="dot" w:pos="8788"/>
        </w:tabs>
        <w:spacing w:line="360" w:lineRule="auto"/>
        <w:rPr>
          <w:rFonts w:ascii="宋体" w:hAnsi="宋体"/>
          <w:sz w:val="28"/>
          <w:szCs w:val="28"/>
        </w:rPr>
      </w:pPr>
    </w:p>
    <w:p>
      <w:pPr>
        <w:spacing w:line="360" w:lineRule="auto"/>
        <w:jc w:val="both"/>
        <w:outlineLvl w:val="0"/>
        <w:rPr>
          <w:rFonts w:hint="eastAsia"/>
          <w:b/>
          <w:sz w:val="32"/>
          <w:szCs w:val="32"/>
        </w:rPr>
      </w:pPr>
      <w:bookmarkStart w:id="0" w:name="_Toc72694684"/>
      <w:bookmarkStart w:id="1" w:name="_Toc72695356"/>
    </w:p>
    <w:p>
      <w:pPr>
        <w:spacing w:line="360" w:lineRule="auto"/>
        <w:jc w:val="center"/>
        <w:outlineLvl w:val="0"/>
        <w:rPr>
          <w:b/>
          <w:sz w:val="32"/>
          <w:szCs w:val="32"/>
        </w:rPr>
      </w:pPr>
      <w:r>
        <w:rPr>
          <w:rFonts w:hint="eastAsia"/>
          <w:b/>
          <w:sz w:val="32"/>
          <w:szCs w:val="32"/>
        </w:rPr>
        <w:t>第一章  竞争性磋商公告</w:t>
      </w:r>
      <w:bookmarkEnd w:id="0"/>
      <w:bookmarkEnd w:id="1"/>
    </w:p>
    <w:p>
      <w:pPr>
        <w:pStyle w:val="20"/>
        <w:spacing w:before="0" w:beforeAutospacing="0" w:after="0" w:afterAutospacing="0" w:line="360" w:lineRule="auto"/>
        <w:jc w:val="center"/>
        <w:rPr>
          <w:rFonts w:cs="宋体"/>
          <w:b/>
          <w:bCs/>
          <w:kern w:val="2"/>
          <w:sz w:val="24"/>
          <w:szCs w:val="24"/>
        </w:rPr>
      </w:pPr>
      <w:bookmarkStart w:id="2" w:name="_Toc72695357"/>
      <w:bookmarkStart w:id="3" w:name="_Toc1254"/>
      <w:bookmarkStart w:id="4" w:name="_Toc28007"/>
      <w:r>
        <w:rPr>
          <w:rFonts w:hint="eastAsia" w:cs="宋体"/>
          <w:b/>
          <w:bCs/>
          <w:kern w:val="2"/>
          <w:sz w:val="28"/>
          <w:szCs w:val="28"/>
          <w:lang w:eastAsia="zh-CN"/>
        </w:rPr>
        <w:t>社旗县住房和城乡建设局关于经七路雨水管网建设、网吧街（建设路—粮贸街）道路提升项目</w:t>
      </w:r>
      <w:r>
        <w:rPr>
          <w:rFonts w:hint="eastAsia" w:cs="宋体"/>
          <w:b/>
          <w:bCs/>
          <w:kern w:val="2"/>
          <w:sz w:val="28"/>
          <w:szCs w:val="28"/>
        </w:rPr>
        <w:t>竞争性磋商公告</w:t>
      </w:r>
    </w:p>
    <w:p>
      <w:pPr>
        <w:pStyle w:val="20"/>
        <w:shd w:val="clear" w:color="auto" w:fill="FFFFFF"/>
        <w:snapToGrid w:val="0"/>
        <w:spacing w:before="0" w:beforeAutospacing="0" w:after="0" w:afterAutospacing="0" w:line="360" w:lineRule="auto"/>
        <w:ind w:firstLine="482" w:firstLineChars="200"/>
        <w:rPr>
          <w:rFonts w:cs="宋体"/>
          <w:b/>
          <w:sz w:val="24"/>
          <w:szCs w:val="24"/>
        </w:rPr>
      </w:pPr>
      <w:r>
        <w:rPr>
          <w:rFonts w:hint="eastAsia" w:cs="宋体"/>
          <w:b/>
          <w:sz w:val="24"/>
          <w:szCs w:val="24"/>
        </w:rPr>
        <w:t>项目概况：</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社旗县住房和城乡建设局关于经七路雨水管网建设、网吧街（建设路—粮贸街）道路提升项目的潜在供应商应在社旗县公共资源交易中心网站（http://ggzyjy.nanyang.gov.cn/SQXWeb/）获取采购文件，并于</w:t>
      </w:r>
      <w:r>
        <w:rPr>
          <w:rFonts w:hint="eastAsia" w:cs="宋体"/>
          <w:sz w:val="24"/>
          <w:szCs w:val="24"/>
          <w:highlight w:val="none"/>
          <w:shd w:val="clear" w:color="auto" w:fill="FFFFFF"/>
          <w:lang w:eastAsia="zh-CN"/>
        </w:rPr>
        <w:t>2024年01月09日10时00分</w:t>
      </w:r>
      <w:r>
        <w:rPr>
          <w:rFonts w:hint="eastAsia" w:cs="宋体"/>
          <w:sz w:val="24"/>
          <w:szCs w:val="24"/>
          <w:shd w:val="clear" w:color="auto" w:fill="FFFFFF"/>
          <w:lang w:eastAsia="zh-CN"/>
        </w:rPr>
        <w:t>（北京时间）前递交响应文件。本次招标采用全流程电子辅助招投标。</w:t>
      </w:r>
    </w:p>
    <w:p>
      <w:pPr>
        <w:pStyle w:val="20"/>
        <w:shd w:val="clear" w:color="auto" w:fill="FFFFFF"/>
        <w:snapToGrid w:val="0"/>
        <w:spacing w:before="0" w:beforeAutospacing="0" w:after="0" w:afterAutospacing="0" w:line="360" w:lineRule="auto"/>
        <w:ind w:firstLine="482" w:firstLineChars="200"/>
        <w:rPr>
          <w:rFonts w:cs="宋体"/>
          <w:b/>
          <w:sz w:val="24"/>
          <w:szCs w:val="24"/>
        </w:rPr>
      </w:pPr>
      <w:r>
        <w:rPr>
          <w:rFonts w:hint="eastAsia" w:cs="宋体"/>
          <w:b/>
          <w:sz w:val="24"/>
          <w:szCs w:val="24"/>
        </w:rPr>
        <w:t>一、项目基本情况</w:t>
      </w:r>
    </w:p>
    <w:p>
      <w:pPr>
        <w:pStyle w:val="20"/>
        <w:shd w:val="clear" w:color="auto" w:fill="FFFFFF"/>
        <w:snapToGrid w:val="0"/>
        <w:spacing w:before="0" w:beforeAutospacing="0" w:after="0" w:afterAutospacing="0" w:line="360" w:lineRule="auto"/>
        <w:ind w:firstLine="480" w:firstLineChars="200"/>
        <w:rPr>
          <w:rFonts w:hint="eastAsia" w:eastAsia="宋体" w:cs="宋体"/>
          <w:sz w:val="24"/>
          <w:szCs w:val="24"/>
          <w:highlight w:val="none"/>
          <w:shd w:val="clear" w:color="auto" w:fill="FFFFFF"/>
          <w:lang w:val="en-US" w:eastAsia="zh-CN"/>
        </w:rPr>
      </w:pPr>
      <w:r>
        <w:rPr>
          <w:rFonts w:hint="eastAsia" w:cs="宋体"/>
          <w:sz w:val="24"/>
          <w:szCs w:val="24"/>
          <w:shd w:val="clear" w:color="auto" w:fill="FFFFFF"/>
        </w:rPr>
        <w:t>1.项目编号</w:t>
      </w:r>
      <w:r>
        <w:rPr>
          <w:rFonts w:hint="eastAsia" w:cs="宋体"/>
          <w:sz w:val="24"/>
          <w:szCs w:val="24"/>
          <w:shd w:val="clear" w:color="auto" w:fill="FFFFFF"/>
          <w:lang w:eastAsia="zh-CN"/>
        </w:rPr>
        <w:t>：社财采购竞争性磋商-2023-114</w:t>
      </w:r>
    </w:p>
    <w:p>
      <w:pPr>
        <w:pStyle w:val="20"/>
        <w:shd w:val="clear" w:color="auto" w:fill="FFFFFF"/>
        <w:snapToGrid w:val="0"/>
        <w:spacing w:before="0" w:beforeAutospacing="0" w:after="0" w:afterAutospacing="0" w:line="360" w:lineRule="auto"/>
        <w:ind w:firstLine="480" w:firstLineChars="200"/>
        <w:rPr>
          <w:rFonts w:cs="宋体"/>
          <w:sz w:val="24"/>
          <w:szCs w:val="24"/>
          <w:shd w:val="clear" w:color="auto" w:fill="FFFFFF"/>
        </w:rPr>
      </w:pPr>
      <w:r>
        <w:rPr>
          <w:rFonts w:hint="eastAsia" w:cs="宋体"/>
          <w:sz w:val="24"/>
          <w:szCs w:val="24"/>
          <w:shd w:val="clear" w:color="auto" w:fill="FFFFFF"/>
        </w:rPr>
        <w:t>2.项目名称：</w:t>
      </w:r>
      <w:r>
        <w:rPr>
          <w:rFonts w:hint="eastAsia" w:cs="宋体"/>
          <w:sz w:val="24"/>
          <w:szCs w:val="24"/>
          <w:shd w:val="clear" w:color="auto" w:fill="FFFFFF"/>
          <w:lang w:eastAsia="zh-CN"/>
        </w:rPr>
        <w:t>社旗县住房和城乡建设局关于经七路雨水管网建设、网吧街（建设路—粮贸街）道路提升项目</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3.采购方式：竞争性磋商</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eastAsia="zh-CN"/>
        </w:rPr>
        <w:t>4.预算金额：</w:t>
      </w:r>
      <w:r>
        <w:rPr>
          <w:rFonts w:hint="eastAsia" w:cs="宋体"/>
          <w:sz w:val="24"/>
          <w:szCs w:val="24"/>
          <w:highlight w:val="none"/>
          <w:shd w:val="clear" w:color="auto" w:fill="FFFFFF"/>
          <w:lang w:val="en-US" w:eastAsia="zh-CN"/>
        </w:rPr>
        <w:t xml:space="preserve">3505351.59元   </w:t>
      </w:r>
    </w:p>
    <w:p>
      <w:pPr>
        <w:pStyle w:val="20"/>
        <w:shd w:val="clear" w:color="auto" w:fill="FFFFFF"/>
        <w:snapToGrid w:val="0"/>
        <w:spacing w:before="0" w:beforeAutospacing="0" w:after="0" w:afterAutospacing="0" w:line="360" w:lineRule="auto"/>
        <w:ind w:firstLine="720" w:firstLineChars="300"/>
        <w:rPr>
          <w:rFonts w:cs="宋体"/>
          <w:sz w:val="24"/>
          <w:szCs w:val="24"/>
          <w:highlight w:val="none"/>
          <w:shd w:val="clear" w:color="auto" w:fill="FFFFFF"/>
        </w:rPr>
      </w:pPr>
      <w:r>
        <w:rPr>
          <w:rFonts w:hint="eastAsia" w:cs="宋体"/>
          <w:sz w:val="24"/>
          <w:szCs w:val="24"/>
          <w:highlight w:val="none"/>
          <w:shd w:val="clear" w:color="auto" w:fill="FFFFFF"/>
          <w:lang w:eastAsia="zh-CN"/>
        </w:rPr>
        <w:t>最高限价：</w:t>
      </w:r>
      <w:r>
        <w:rPr>
          <w:rFonts w:hint="eastAsia" w:cs="宋体"/>
          <w:sz w:val="24"/>
          <w:szCs w:val="24"/>
          <w:highlight w:val="none"/>
          <w:shd w:val="clear" w:color="auto" w:fill="FFFFFF"/>
          <w:lang w:val="en-US" w:eastAsia="zh-CN"/>
        </w:rPr>
        <w:t xml:space="preserve">3505351.59元    </w:t>
      </w:r>
    </w:p>
    <w:tbl>
      <w:tblPr>
        <w:tblStyle w:val="23"/>
        <w:tblW w:w="9842" w:type="dxa"/>
        <w:tblInd w:w="-32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46"/>
        <w:gridCol w:w="1915"/>
        <w:gridCol w:w="3647"/>
        <w:gridCol w:w="1638"/>
        <w:gridCol w:w="199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6" w:hRule="atLeast"/>
        </w:trPr>
        <w:tc>
          <w:tcPr>
            <w:tcW w:w="646" w:type="dxa"/>
            <w:tcBorders>
              <w:top w:val="outset" w:color="auto" w:sz="6" w:space="0"/>
              <w:left w:val="outset" w:color="auto" w:sz="6" w:space="0"/>
              <w:bottom w:val="outset" w:color="auto" w:sz="6" w:space="0"/>
              <w:right w:val="outset" w:color="auto" w:sz="6" w:space="0"/>
            </w:tcBorders>
            <w:vAlign w:val="center"/>
          </w:tcPr>
          <w:p>
            <w:pPr>
              <w:pStyle w:val="20"/>
              <w:spacing w:before="0" w:beforeAutospacing="0" w:after="0" w:afterAutospacing="0" w:line="360" w:lineRule="auto"/>
              <w:jc w:val="center"/>
              <w:rPr>
                <w:rFonts w:cs="宋体"/>
                <w:sz w:val="24"/>
                <w:szCs w:val="24"/>
                <w:highlight w:val="none"/>
              </w:rPr>
            </w:pPr>
            <w:r>
              <w:rPr>
                <w:rFonts w:hint="eastAsia" w:cs="宋体"/>
                <w:sz w:val="24"/>
                <w:szCs w:val="24"/>
                <w:highlight w:val="none"/>
              </w:rPr>
              <w:t>序号</w:t>
            </w:r>
          </w:p>
        </w:tc>
        <w:tc>
          <w:tcPr>
            <w:tcW w:w="1915" w:type="dxa"/>
            <w:tcBorders>
              <w:top w:val="outset" w:color="auto" w:sz="6" w:space="0"/>
              <w:left w:val="outset" w:color="auto" w:sz="6" w:space="0"/>
              <w:bottom w:val="outset" w:color="auto" w:sz="6" w:space="0"/>
              <w:right w:val="outset" w:color="auto" w:sz="6" w:space="0"/>
            </w:tcBorders>
            <w:vAlign w:val="center"/>
          </w:tcPr>
          <w:p>
            <w:pPr>
              <w:pStyle w:val="20"/>
              <w:spacing w:before="0" w:beforeAutospacing="0" w:after="0" w:afterAutospacing="0" w:line="360" w:lineRule="auto"/>
              <w:jc w:val="center"/>
              <w:rPr>
                <w:rFonts w:cs="宋体"/>
                <w:sz w:val="24"/>
                <w:szCs w:val="24"/>
                <w:highlight w:val="none"/>
              </w:rPr>
            </w:pPr>
            <w:r>
              <w:rPr>
                <w:rFonts w:hint="eastAsia" w:cs="宋体"/>
                <w:sz w:val="24"/>
                <w:szCs w:val="24"/>
                <w:highlight w:val="none"/>
              </w:rPr>
              <w:t>包号</w:t>
            </w:r>
          </w:p>
        </w:tc>
        <w:tc>
          <w:tcPr>
            <w:tcW w:w="3647" w:type="dxa"/>
            <w:tcBorders>
              <w:top w:val="outset" w:color="auto" w:sz="6" w:space="0"/>
              <w:left w:val="outset" w:color="auto" w:sz="6" w:space="0"/>
              <w:bottom w:val="outset" w:color="auto" w:sz="6" w:space="0"/>
              <w:right w:val="outset" w:color="auto" w:sz="6" w:space="0"/>
            </w:tcBorders>
            <w:vAlign w:val="center"/>
          </w:tcPr>
          <w:p>
            <w:pPr>
              <w:pStyle w:val="20"/>
              <w:spacing w:before="0" w:beforeAutospacing="0" w:after="0" w:afterAutospacing="0" w:line="360" w:lineRule="auto"/>
              <w:jc w:val="center"/>
              <w:rPr>
                <w:rFonts w:cs="宋体"/>
                <w:sz w:val="24"/>
                <w:szCs w:val="24"/>
                <w:highlight w:val="none"/>
              </w:rPr>
            </w:pPr>
            <w:r>
              <w:rPr>
                <w:rFonts w:hint="eastAsia" w:cs="宋体"/>
                <w:sz w:val="24"/>
                <w:szCs w:val="24"/>
                <w:highlight w:val="none"/>
              </w:rPr>
              <w:t>包名称</w:t>
            </w:r>
          </w:p>
        </w:tc>
        <w:tc>
          <w:tcPr>
            <w:tcW w:w="1638" w:type="dxa"/>
            <w:tcBorders>
              <w:top w:val="outset" w:color="auto" w:sz="6" w:space="0"/>
              <w:left w:val="outset" w:color="auto" w:sz="6" w:space="0"/>
              <w:bottom w:val="outset" w:color="auto" w:sz="6" w:space="0"/>
              <w:right w:val="outset" w:color="auto" w:sz="6" w:space="0"/>
            </w:tcBorders>
            <w:vAlign w:val="center"/>
          </w:tcPr>
          <w:p>
            <w:pPr>
              <w:pStyle w:val="20"/>
              <w:spacing w:before="0" w:beforeAutospacing="0" w:after="0" w:afterAutospacing="0" w:line="360" w:lineRule="auto"/>
              <w:jc w:val="center"/>
              <w:rPr>
                <w:rFonts w:cs="宋体"/>
                <w:sz w:val="24"/>
                <w:szCs w:val="24"/>
                <w:highlight w:val="none"/>
              </w:rPr>
            </w:pPr>
            <w:r>
              <w:rPr>
                <w:rFonts w:hint="eastAsia" w:cs="宋体"/>
                <w:sz w:val="24"/>
                <w:szCs w:val="24"/>
                <w:highlight w:val="none"/>
              </w:rPr>
              <w:t>包预算（元）</w:t>
            </w:r>
          </w:p>
        </w:tc>
        <w:tc>
          <w:tcPr>
            <w:tcW w:w="1996" w:type="dxa"/>
            <w:tcBorders>
              <w:top w:val="outset" w:color="auto" w:sz="6" w:space="0"/>
              <w:left w:val="outset" w:color="auto" w:sz="6" w:space="0"/>
              <w:bottom w:val="outset" w:color="auto" w:sz="6" w:space="0"/>
              <w:right w:val="outset" w:color="auto" w:sz="6" w:space="0"/>
            </w:tcBorders>
            <w:vAlign w:val="center"/>
          </w:tcPr>
          <w:p>
            <w:pPr>
              <w:pStyle w:val="20"/>
              <w:spacing w:before="0" w:beforeAutospacing="0" w:after="0" w:afterAutospacing="0" w:line="360" w:lineRule="auto"/>
              <w:jc w:val="center"/>
              <w:rPr>
                <w:rFonts w:cs="宋体"/>
                <w:sz w:val="24"/>
                <w:szCs w:val="24"/>
                <w:highlight w:val="none"/>
              </w:rPr>
            </w:pPr>
            <w:r>
              <w:rPr>
                <w:rFonts w:hint="eastAsia" w:cs="宋体"/>
                <w:sz w:val="24"/>
                <w:szCs w:val="24"/>
                <w:highlight w:val="none"/>
              </w:rPr>
              <w:t>包最高限价（元）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5" w:hRule="atLeast"/>
        </w:trPr>
        <w:tc>
          <w:tcPr>
            <w:tcW w:w="646" w:type="dxa"/>
            <w:tcBorders>
              <w:top w:val="outset" w:color="auto" w:sz="6" w:space="0"/>
              <w:left w:val="outset" w:color="auto" w:sz="6" w:space="0"/>
              <w:bottom w:val="outset" w:color="auto" w:sz="6" w:space="0"/>
              <w:right w:val="outset" w:color="auto" w:sz="6" w:space="0"/>
            </w:tcBorders>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240" w:firstLineChars="100"/>
              <w:jc w:val="left"/>
              <w:rPr>
                <w:rFonts w:cs="宋体"/>
                <w:sz w:val="24"/>
                <w:szCs w:val="24"/>
                <w:highlight w:val="none"/>
                <w:shd w:val="clear" w:color="auto" w:fill="FFFFFF"/>
              </w:rPr>
            </w:pPr>
            <w:r>
              <w:rPr>
                <w:rFonts w:hint="eastAsia" w:ascii="宋体" w:hAnsi="宋体" w:eastAsia="宋体" w:cs="宋体"/>
                <w:i w:val="0"/>
                <w:iCs w:val="0"/>
                <w:caps w:val="0"/>
                <w:color w:val="333333"/>
                <w:spacing w:val="0"/>
                <w:sz w:val="24"/>
                <w:szCs w:val="24"/>
                <w:highlight w:val="none"/>
                <w:shd w:val="clear" w:color="auto" w:fill="FFFFFF"/>
              </w:rPr>
              <w:t>1</w:t>
            </w:r>
          </w:p>
        </w:tc>
        <w:tc>
          <w:tcPr>
            <w:tcW w:w="1915" w:type="dxa"/>
            <w:tcBorders>
              <w:top w:val="outset" w:color="auto" w:sz="6" w:space="0"/>
              <w:left w:val="outset" w:color="auto" w:sz="6" w:space="0"/>
              <w:bottom w:val="outset" w:color="auto" w:sz="6" w:space="0"/>
              <w:right w:val="outset" w:color="auto" w:sz="6" w:space="0"/>
            </w:tcBorders>
            <w:vAlign w:val="center"/>
          </w:tcPr>
          <w:p>
            <w:pPr>
              <w:pStyle w:val="20"/>
              <w:spacing w:before="0" w:beforeAutospacing="0" w:after="0" w:afterAutospacing="0" w:line="360" w:lineRule="auto"/>
              <w:jc w:val="center"/>
              <w:rPr>
                <w:rFonts w:hint="default" w:cs="宋体"/>
                <w:sz w:val="24"/>
                <w:szCs w:val="24"/>
                <w:highlight w:val="none"/>
                <w:lang w:val="en-US"/>
              </w:rPr>
            </w:pPr>
            <w:r>
              <w:rPr>
                <w:rFonts w:hint="eastAsia" w:cs="宋体"/>
                <w:sz w:val="24"/>
                <w:szCs w:val="24"/>
                <w:highlight w:val="none"/>
                <w:lang w:eastAsia="zh-CN"/>
              </w:rPr>
              <w:t>社财采购竞争性磋商-2023-114</w:t>
            </w:r>
            <w:r>
              <w:rPr>
                <w:rFonts w:hint="eastAsia" w:cs="宋体"/>
                <w:sz w:val="24"/>
                <w:szCs w:val="24"/>
                <w:highlight w:val="none"/>
                <w:lang w:val="en-US" w:eastAsia="zh-CN"/>
              </w:rPr>
              <w:t>-1</w:t>
            </w:r>
          </w:p>
        </w:tc>
        <w:tc>
          <w:tcPr>
            <w:tcW w:w="3647" w:type="dxa"/>
            <w:tcBorders>
              <w:top w:val="outset" w:color="auto" w:sz="6" w:space="0"/>
              <w:left w:val="outset" w:color="auto" w:sz="6" w:space="0"/>
              <w:bottom w:val="outset" w:color="auto" w:sz="6" w:space="0"/>
              <w:right w:val="outset" w:color="auto" w:sz="6" w:space="0"/>
            </w:tcBorders>
            <w:vAlign w:val="center"/>
          </w:tcPr>
          <w:p>
            <w:pPr>
              <w:pStyle w:val="20"/>
              <w:shd w:val="clear" w:color="auto" w:fill="FFFFFF"/>
              <w:snapToGrid w:val="0"/>
              <w:spacing w:before="0" w:beforeAutospacing="0" w:after="0" w:afterAutospacing="0" w:line="360" w:lineRule="auto"/>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eastAsia="zh-CN"/>
              </w:rPr>
              <w:t>社旗县住房和城乡建设局关于经七路雨水管网建设、网吧街（建设路—粮贸街）道路提升项目一标段</w:t>
            </w:r>
          </w:p>
        </w:tc>
        <w:tc>
          <w:tcPr>
            <w:tcW w:w="1638" w:type="dxa"/>
            <w:tcBorders>
              <w:top w:val="outset" w:color="auto" w:sz="6" w:space="0"/>
              <w:left w:val="outset" w:color="auto" w:sz="6" w:space="0"/>
              <w:bottom w:val="outset" w:color="auto" w:sz="6" w:space="0"/>
              <w:right w:val="outset" w:color="auto" w:sz="6" w:space="0"/>
            </w:tcBorders>
            <w:vAlign w:val="center"/>
          </w:tcPr>
          <w:p>
            <w:pPr>
              <w:pStyle w:val="20"/>
              <w:shd w:val="clear" w:color="auto" w:fill="FFFFFF"/>
              <w:snapToGrid w:val="0"/>
              <w:spacing w:before="0" w:beforeAutospacing="0" w:after="0" w:afterAutospacing="0" w:line="360" w:lineRule="auto"/>
              <w:jc w:val="center"/>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1653869.35</w:t>
            </w:r>
          </w:p>
        </w:tc>
        <w:tc>
          <w:tcPr>
            <w:tcW w:w="1996" w:type="dxa"/>
            <w:tcBorders>
              <w:top w:val="outset" w:color="auto" w:sz="6" w:space="0"/>
              <w:left w:val="outset" w:color="auto" w:sz="6" w:space="0"/>
              <w:bottom w:val="outset" w:color="auto" w:sz="6" w:space="0"/>
              <w:right w:val="outset" w:color="auto" w:sz="6" w:space="0"/>
            </w:tcBorders>
            <w:vAlign w:val="center"/>
          </w:tcPr>
          <w:p>
            <w:pPr>
              <w:pStyle w:val="20"/>
              <w:shd w:val="clear" w:color="auto" w:fill="FFFFFF"/>
              <w:snapToGrid w:val="0"/>
              <w:spacing w:before="0" w:beforeAutospacing="0" w:after="0" w:afterAutospacing="0" w:line="360" w:lineRule="auto"/>
              <w:jc w:val="center"/>
              <w:rPr>
                <w:rFonts w:hint="eastAsia" w:cs="宋体"/>
                <w:sz w:val="24"/>
                <w:szCs w:val="24"/>
                <w:highlight w:val="none"/>
                <w:shd w:val="clear" w:color="auto" w:fill="FFFFFF"/>
                <w:lang w:eastAsia="zh-CN"/>
              </w:rPr>
            </w:pPr>
            <w:r>
              <w:rPr>
                <w:rFonts w:hint="eastAsia" w:cs="宋体"/>
                <w:sz w:val="24"/>
                <w:szCs w:val="24"/>
                <w:highlight w:val="none"/>
                <w:shd w:val="clear" w:color="auto" w:fill="FFFFFF"/>
                <w:lang w:val="en-US" w:eastAsia="zh-CN"/>
              </w:rPr>
              <w:t>1653869.35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5" w:hRule="atLeast"/>
        </w:trPr>
        <w:tc>
          <w:tcPr>
            <w:tcW w:w="646" w:type="dxa"/>
            <w:tcBorders>
              <w:top w:val="outset" w:color="auto" w:sz="6" w:space="0"/>
              <w:left w:val="outset" w:color="auto" w:sz="6" w:space="0"/>
              <w:bottom w:val="outset" w:color="auto" w:sz="6" w:space="0"/>
              <w:right w:val="outset" w:color="auto" w:sz="6" w:space="0"/>
            </w:tcBorders>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240" w:firstLineChars="100"/>
              <w:jc w:val="left"/>
              <w:rPr>
                <w:rFonts w:hint="eastAsia" w:ascii="宋体" w:hAnsi="宋体" w:eastAsia="宋体" w:cs="宋体"/>
                <w:i w:val="0"/>
                <w:iCs w:val="0"/>
                <w:caps w:val="0"/>
                <w:color w:val="333333"/>
                <w:spacing w:val="0"/>
                <w:sz w:val="24"/>
                <w:szCs w:val="24"/>
                <w:highlight w:val="none"/>
                <w:shd w:val="clear" w:color="auto" w:fill="FFFFFF"/>
                <w:lang w:val="en-US" w:eastAsia="zh-CN"/>
              </w:rPr>
            </w:pPr>
            <w:r>
              <w:rPr>
                <w:rFonts w:hint="eastAsia" w:cs="宋体"/>
                <w:i w:val="0"/>
                <w:iCs w:val="0"/>
                <w:caps w:val="0"/>
                <w:color w:val="333333"/>
                <w:spacing w:val="0"/>
                <w:sz w:val="24"/>
                <w:szCs w:val="24"/>
                <w:highlight w:val="none"/>
                <w:shd w:val="clear" w:color="auto" w:fill="FFFFFF"/>
                <w:lang w:val="en-US" w:eastAsia="zh-CN"/>
              </w:rPr>
              <w:t>2</w:t>
            </w:r>
          </w:p>
        </w:tc>
        <w:tc>
          <w:tcPr>
            <w:tcW w:w="1915" w:type="dxa"/>
            <w:tcBorders>
              <w:top w:val="outset" w:color="auto" w:sz="6" w:space="0"/>
              <w:left w:val="outset" w:color="auto" w:sz="6" w:space="0"/>
              <w:bottom w:val="outset" w:color="auto" w:sz="6" w:space="0"/>
              <w:right w:val="outset" w:color="auto" w:sz="6" w:space="0"/>
            </w:tcBorders>
            <w:vAlign w:val="center"/>
          </w:tcPr>
          <w:p>
            <w:pPr>
              <w:pStyle w:val="20"/>
              <w:spacing w:before="0" w:beforeAutospacing="0" w:after="0" w:afterAutospacing="0" w:line="360" w:lineRule="auto"/>
              <w:jc w:val="center"/>
              <w:rPr>
                <w:rFonts w:hint="default" w:cs="宋体"/>
                <w:sz w:val="24"/>
                <w:szCs w:val="24"/>
                <w:highlight w:val="none"/>
                <w:lang w:val="en-US" w:eastAsia="zh-CN"/>
              </w:rPr>
            </w:pPr>
            <w:r>
              <w:rPr>
                <w:rFonts w:hint="eastAsia" w:cs="宋体"/>
                <w:sz w:val="24"/>
                <w:szCs w:val="24"/>
                <w:highlight w:val="none"/>
                <w:lang w:eastAsia="zh-CN"/>
              </w:rPr>
              <w:t>社财采购竞争性磋商-2023-114</w:t>
            </w:r>
            <w:r>
              <w:rPr>
                <w:rFonts w:hint="eastAsia" w:cs="宋体"/>
                <w:sz w:val="24"/>
                <w:szCs w:val="24"/>
                <w:highlight w:val="none"/>
                <w:lang w:val="en-US" w:eastAsia="zh-CN"/>
              </w:rPr>
              <w:t>-2</w:t>
            </w:r>
          </w:p>
        </w:tc>
        <w:tc>
          <w:tcPr>
            <w:tcW w:w="3647" w:type="dxa"/>
            <w:tcBorders>
              <w:top w:val="outset" w:color="auto" w:sz="6" w:space="0"/>
              <w:left w:val="outset" w:color="auto" w:sz="6" w:space="0"/>
              <w:bottom w:val="outset" w:color="auto" w:sz="6" w:space="0"/>
              <w:right w:val="outset" w:color="auto" w:sz="6" w:space="0"/>
            </w:tcBorders>
            <w:vAlign w:val="center"/>
          </w:tcPr>
          <w:p>
            <w:pPr>
              <w:pStyle w:val="20"/>
              <w:shd w:val="clear" w:color="auto" w:fill="FFFFFF"/>
              <w:snapToGrid w:val="0"/>
              <w:spacing w:before="0" w:beforeAutospacing="0" w:after="0" w:afterAutospacing="0" w:line="360" w:lineRule="auto"/>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社旗县住房和城乡建设局关于经七路雨水管网建设、网吧街（建设路—粮贸街）道路提升项目</w:t>
            </w:r>
            <w:r>
              <w:rPr>
                <w:rFonts w:hint="eastAsia" w:cs="宋体"/>
                <w:sz w:val="24"/>
                <w:szCs w:val="24"/>
                <w:highlight w:val="none"/>
                <w:shd w:val="clear" w:color="auto" w:fill="FFFFFF"/>
                <w:lang w:val="en-US" w:eastAsia="zh-CN"/>
              </w:rPr>
              <w:t>二</w:t>
            </w:r>
            <w:r>
              <w:rPr>
                <w:rFonts w:hint="eastAsia" w:cs="宋体"/>
                <w:sz w:val="24"/>
                <w:szCs w:val="24"/>
                <w:highlight w:val="none"/>
                <w:shd w:val="clear" w:color="auto" w:fill="FFFFFF"/>
                <w:lang w:eastAsia="zh-CN"/>
              </w:rPr>
              <w:t>标段</w:t>
            </w:r>
          </w:p>
        </w:tc>
        <w:tc>
          <w:tcPr>
            <w:tcW w:w="1638" w:type="dxa"/>
            <w:tcBorders>
              <w:top w:val="outset" w:color="auto" w:sz="6" w:space="0"/>
              <w:left w:val="outset" w:color="auto" w:sz="6" w:space="0"/>
              <w:bottom w:val="outset" w:color="auto" w:sz="6" w:space="0"/>
              <w:right w:val="outset" w:color="auto" w:sz="6" w:space="0"/>
            </w:tcBorders>
            <w:vAlign w:val="center"/>
          </w:tcPr>
          <w:p>
            <w:pPr>
              <w:pStyle w:val="20"/>
              <w:shd w:val="clear" w:color="auto" w:fill="FFFFFF"/>
              <w:snapToGrid w:val="0"/>
              <w:spacing w:before="0" w:beforeAutospacing="0" w:after="0" w:afterAutospacing="0" w:line="360" w:lineRule="auto"/>
              <w:jc w:val="center"/>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eastAsia="zh-CN"/>
              </w:rPr>
              <w:t>1851482.24</w:t>
            </w:r>
          </w:p>
        </w:tc>
        <w:tc>
          <w:tcPr>
            <w:tcW w:w="1996" w:type="dxa"/>
            <w:tcBorders>
              <w:top w:val="outset" w:color="auto" w:sz="6" w:space="0"/>
              <w:left w:val="outset" w:color="auto" w:sz="6" w:space="0"/>
              <w:bottom w:val="outset" w:color="auto" w:sz="6" w:space="0"/>
              <w:right w:val="outset" w:color="auto" w:sz="6" w:space="0"/>
            </w:tcBorders>
            <w:vAlign w:val="center"/>
          </w:tcPr>
          <w:p>
            <w:pPr>
              <w:pStyle w:val="20"/>
              <w:shd w:val="clear" w:color="auto" w:fill="FFFFFF"/>
              <w:snapToGrid w:val="0"/>
              <w:spacing w:before="0" w:beforeAutospacing="0" w:after="0" w:afterAutospacing="0" w:line="360" w:lineRule="auto"/>
              <w:jc w:val="center"/>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1851482.24</w:t>
            </w:r>
          </w:p>
        </w:tc>
      </w:tr>
    </w:tbl>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5、采购需求（包括但不限于标的的名称、数量、简要技术需求或服务要求等）</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5.1采购内容：工程量清单及竞争性磋商文件内全部内容</w:t>
      </w:r>
    </w:p>
    <w:p>
      <w:pPr>
        <w:pStyle w:val="20"/>
        <w:shd w:val="clear" w:color="auto" w:fill="FFFFFF"/>
        <w:snapToGrid w:val="0"/>
        <w:spacing w:before="0" w:beforeAutospacing="0" w:after="0" w:afterAutospacing="0" w:line="360" w:lineRule="auto"/>
        <w:ind w:firstLine="480" w:firstLineChars="200"/>
        <w:rPr>
          <w:rFonts w:hint="default"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5.2项目地点：社旗县城区</w:t>
      </w:r>
    </w:p>
    <w:p>
      <w:pPr>
        <w:pStyle w:val="20"/>
        <w:shd w:val="clear" w:color="auto" w:fill="FFFFFF"/>
        <w:snapToGrid w:val="0"/>
        <w:spacing w:before="0" w:beforeAutospacing="0" w:after="0" w:afterAutospacing="0" w:line="360" w:lineRule="auto"/>
        <w:ind w:firstLine="480" w:firstLineChars="20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5.3标段划分：本项目共分为2个标段</w:t>
      </w:r>
    </w:p>
    <w:p>
      <w:pPr>
        <w:pStyle w:val="20"/>
        <w:shd w:val="clear" w:color="auto" w:fill="FFFFFF"/>
        <w:snapToGrid w:val="0"/>
        <w:spacing w:before="0" w:beforeAutospacing="0" w:after="0" w:afterAutospacing="0" w:line="360" w:lineRule="auto"/>
        <w:ind w:firstLine="480" w:firstLineChars="20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一标段：经七路雨水管网建设；</w:t>
      </w:r>
    </w:p>
    <w:p>
      <w:pPr>
        <w:pStyle w:val="20"/>
        <w:shd w:val="clear" w:color="auto" w:fill="FFFFFF"/>
        <w:snapToGrid w:val="0"/>
        <w:spacing w:before="0" w:beforeAutospacing="0" w:after="0" w:afterAutospacing="0" w:line="360" w:lineRule="auto"/>
        <w:ind w:firstLine="480" w:firstLineChars="200"/>
        <w:rPr>
          <w:rFonts w:hint="default"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二标段：网吧街（建设路—粮贸街）道路提升；</w:t>
      </w:r>
    </w:p>
    <w:p>
      <w:pPr>
        <w:pStyle w:val="20"/>
        <w:shd w:val="clear" w:color="auto" w:fill="FFFFFF"/>
        <w:snapToGrid w:val="0"/>
        <w:spacing w:before="0" w:beforeAutospacing="0" w:after="0" w:afterAutospacing="0" w:line="360" w:lineRule="auto"/>
        <w:ind w:firstLine="480" w:firstLineChars="20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5.4质量要求：合格</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5.5计划工期：</w:t>
      </w:r>
      <w:r>
        <w:rPr>
          <w:rFonts w:hint="eastAsia" w:cs="宋体"/>
          <w:sz w:val="24"/>
          <w:szCs w:val="24"/>
          <w:highlight w:val="none"/>
          <w:shd w:val="clear" w:color="auto" w:fill="FFFFFF"/>
          <w:lang w:val="en-US" w:eastAsia="zh-CN"/>
        </w:rPr>
        <w:t>各标段：</w:t>
      </w:r>
      <w:r>
        <w:rPr>
          <w:rFonts w:hint="eastAsia" w:cs="宋体"/>
          <w:sz w:val="24"/>
          <w:szCs w:val="24"/>
          <w:highlight w:val="none"/>
          <w:shd w:val="clear" w:color="auto" w:fill="FFFFFF"/>
          <w:lang w:eastAsia="zh-CN"/>
        </w:rPr>
        <w:t>合同签订后</w:t>
      </w:r>
      <w:r>
        <w:rPr>
          <w:rFonts w:hint="eastAsia" w:cs="宋体"/>
          <w:sz w:val="24"/>
          <w:szCs w:val="24"/>
          <w:highlight w:val="none"/>
          <w:shd w:val="clear" w:color="auto" w:fill="FFFFFF"/>
          <w:lang w:val="en-US" w:eastAsia="zh-CN"/>
        </w:rPr>
        <w:t>30日历天内。</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5.6、是否接受进口产品：否</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shd w:val="clear" w:color="auto" w:fill="FFFFFF"/>
          <w:lang w:val="en-US" w:eastAsia="zh-CN"/>
        </w:rPr>
        <w:t>6</w:t>
      </w:r>
      <w:r>
        <w:rPr>
          <w:rFonts w:hint="eastAsia" w:cs="宋体"/>
          <w:sz w:val="24"/>
          <w:szCs w:val="24"/>
          <w:highlight w:val="none"/>
          <w:shd w:val="clear" w:color="auto" w:fill="FFFFFF"/>
          <w:lang w:val="en-US" w:eastAsia="zh-CN"/>
        </w:rPr>
        <w:t>、合同履行期限</w:t>
      </w:r>
      <w:r>
        <w:rPr>
          <w:rFonts w:hint="eastAsia" w:cs="宋体"/>
          <w:sz w:val="24"/>
          <w:szCs w:val="24"/>
          <w:highlight w:val="none"/>
          <w:shd w:val="clear" w:color="auto" w:fill="FFFFFF"/>
        </w:rPr>
        <w:t>：</w:t>
      </w:r>
      <w:r>
        <w:rPr>
          <w:rFonts w:hint="eastAsia" w:cs="宋体"/>
          <w:sz w:val="24"/>
          <w:szCs w:val="24"/>
          <w:highlight w:val="none"/>
          <w:shd w:val="clear" w:color="auto" w:fill="FFFFFF"/>
          <w:lang w:eastAsia="zh-CN"/>
        </w:rPr>
        <w:t>合同签订后</w:t>
      </w:r>
      <w:r>
        <w:rPr>
          <w:rFonts w:hint="eastAsia" w:cs="宋体"/>
          <w:sz w:val="24"/>
          <w:szCs w:val="24"/>
          <w:highlight w:val="none"/>
          <w:shd w:val="clear" w:color="auto" w:fill="FFFFFF"/>
          <w:lang w:val="en-US" w:eastAsia="zh-CN"/>
        </w:rPr>
        <w:t>30日历天内。</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rPr>
      </w:pPr>
      <w:r>
        <w:rPr>
          <w:rFonts w:hint="eastAsia" w:cs="宋体"/>
          <w:sz w:val="24"/>
          <w:szCs w:val="24"/>
          <w:highlight w:val="none"/>
          <w:shd w:val="clear" w:color="auto" w:fill="FFFFFF"/>
          <w:lang w:val="en-US" w:eastAsia="zh-CN"/>
        </w:rPr>
        <w:t>7、本项目（是/否）接受联合体：否。</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8、是否接受进</w:t>
      </w:r>
      <w:r>
        <w:rPr>
          <w:rFonts w:hint="eastAsia" w:cs="宋体"/>
          <w:sz w:val="24"/>
          <w:szCs w:val="24"/>
          <w:shd w:val="clear" w:color="auto" w:fill="FFFFFF"/>
          <w:lang w:val="en-US" w:eastAsia="zh-CN"/>
        </w:rPr>
        <w:t>口产品：否</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9、是否专门面向中小企业：是</w:t>
      </w:r>
    </w:p>
    <w:p>
      <w:pPr>
        <w:pStyle w:val="20"/>
        <w:shd w:val="clear" w:color="auto" w:fill="FFFFFF"/>
        <w:snapToGrid w:val="0"/>
        <w:spacing w:before="0" w:beforeAutospacing="0" w:after="0" w:afterAutospacing="0" w:line="360" w:lineRule="auto"/>
        <w:ind w:firstLine="482" w:firstLineChars="200"/>
        <w:rPr>
          <w:rFonts w:cs="宋体"/>
          <w:b/>
          <w:sz w:val="24"/>
          <w:szCs w:val="24"/>
        </w:rPr>
      </w:pPr>
      <w:r>
        <w:rPr>
          <w:rFonts w:hint="eastAsia" w:cs="宋体"/>
          <w:b/>
          <w:sz w:val="24"/>
          <w:szCs w:val="24"/>
        </w:rPr>
        <w:t>二、申请人资格要求</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1、符合《政府采购法》第二十二条之规定；</w:t>
      </w:r>
    </w:p>
    <w:p>
      <w:pPr>
        <w:pStyle w:val="20"/>
        <w:shd w:val="clear" w:color="auto" w:fill="FFFFFF"/>
        <w:snapToGrid w:val="0"/>
        <w:spacing w:before="0" w:beforeAutospacing="0" w:after="0" w:afterAutospacing="0" w:line="36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lang w:val="en-US" w:eastAsia="zh-CN"/>
        </w:rPr>
        <w:t>1</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rPr>
        <w:t>具有独立承担民事责任的能力；</w:t>
      </w:r>
    </w:p>
    <w:p>
      <w:pPr>
        <w:pStyle w:val="20"/>
        <w:shd w:val="clear" w:color="auto" w:fill="FFFFFF"/>
        <w:snapToGrid w:val="0"/>
        <w:spacing w:before="0" w:beforeAutospacing="0" w:after="0" w:afterAutospacing="0" w:line="36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lang w:val="en-US" w:eastAsia="zh-CN"/>
        </w:rPr>
        <w:t>2</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rPr>
        <w:t>具有良好的商业信誉和健全的财务会计制度；</w:t>
      </w:r>
    </w:p>
    <w:p>
      <w:pPr>
        <w:pStyle w:val="20"/>
        <w:shd w:val="clear" w:color="auto" w:fill="FFFFFF"/>
        <w:snapToGrid w:val="0"/>
        <w:spacing w:before="0" w:beforeAutospacing="0" w:after="0" w:afterAutospacing="0" w:line="36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lang w:val="en-US" w:eastAsia="zh-CN"/>
        </w:rPr>
        <w:t>3</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rPr>
        <w:t>具有履行合同所必需的设备和专业技术能力（提供承诺书，格式自拟）；</w:t>
      </w:r>
    </w:p>
    <w:p>
      <w:pPr>
        <w:pStyle w:val="20"/>
        <w:shd w:val="clear" w:color="auto" w:fill="FFFFFF"/>
        <w:snapToGrid w:val="0"/>
        <w:spacing w:before="0" w:beforeAutospacing="0" w:after="0" w:afterAutospacing="0" w:line="36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lang w:val="en-US" w:eastAsia="zh-CN"/>
        </w:rPr>
        <w:t>4</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rPr>
        <w:t>有依法缴纳税收和社会保障资金的良好记录</w:t>
      </w:r>
      <w:r>
        <w:rPr>
          <w:rFonts w:hint="eastAsia" w:ascii="宋体" w:hAnsi="宋体" w:eastAsia="宋体" w:cs="宋体"/>
          <w:sz w:val="24"/>
          <w:szCs w:val="24"/>
          <w:shd w:val="clear" w:color="auto" w:fill="FFFFFF"/>
          <w:lang w:eastAsia="zh-CN"/>
        </w:rPr>
        <w:t>（提供近期任意</w:t>
      </w:r>
      <w:r>
        <w:rPr>
          <w:rFonts w:hint="eastAsia" w:ascii="宋体" w:hAnsi="宋体" w:eastAsia="宋体" w:cs="宋体"/>
          <w:sz w:val="24"/>
          <w:szCs w:val="24"/>
          <w:shd w:val="clear" w:color="auto" w:fill="FFFFFF"/>
          <w:lang w:val="en-US" w:eastAsia="zh-CN"/>
        </w:rPr>
        <w:t>1</w:t>
      </w:r>
      <w:r>
        <w:rPr>
          <w:rFonts w:hint="eastAsia" w:ascii="宋体" w:hAnsi="宋体" w:eastAsia="宋体" w:cs="宋体"/>
          <w:sz w:val="24"/>
          <w:szCs w:val="24"/>
          <w:shd w:val="clear" w:color="auto" w:fill="FFFFFF"/>
          <w:lang w:eastAsia="zh-CN"/>
        </w:rPr>
        <w:t>个月依法缴纳税收和社会保障资金证明材料）</w:t>
      </w:r>
      <w:r>
        <w:rPr>
          <w:rFonts w:hint="eastAsia" w:ascii="宋体" w:hAnsi="宋体" w:eastAsia="宋体" w:cs="宋体"/>
          <w:sz w:val="24"/>
          <w:szCs w:val="24"/>
          <w:shd w:val="clear" w:color="auto" w:fill="FFFFFF"/>
        </w:rPr>
        <w:t>；</w:t>
      </w:r>
    </w:p>
    <w:p>
      <w:pPr>
        <w:pStyle w:val="20"/>
        <w:shd w:val="clear" w:color="auto" w:fill="FFFFFF"/>
        <w:snapToGrid w:val="0"/>
        <w:spacing w:before="0" w:beforeAutospacing="0" w:after="0" w:afterAutospacing="0" w:line="36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val="en-US" w:eastAsia="zh-CN"/>
        </w:rPr>
        <w:t>5</w:t>
      </w:r>
      <w:r>
        <w:rPr>
          <w:rFonts w:hint="eastAsia" w:ascii="宋体" w:hAnsi="宋体" w:eastAsia="宋体" w:cs="宋体"/>
          <w:sz w:val="24"/>
          <w:szCs w:val="24"/>
          <w:shd w:val="clear" w:color="auto" w:fill="FFFFFF"/>
        </w:rPr>
        <w:t>）参加政府采购活动前三年内，在经营活动中没有重大违法记录（提供承诺书，格式自拟）；</w:t>
      </w:r>
    </w:p>
    <w:p>
      <w:pPr>
        <w:pStyle w:val="20"/>
        <w:shd w:val="clear" w:color="auto" w:fill="FFFFFF"/>
        <w:snapToGrid w:val="0"/>
        <w:spacing w:before="0" w:beforeAutospacing="0" w:after="0" w:afterAutospacing="0" w:line="36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（6）法律、行政法规规定的其他条件。</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2.落实政府采购政策需满足的资格要求：</w:t>
      </w:r>
      <w:r>
        <w:rPr>
          <w:rFonts w:hint="eastAsia" w:cs="宋体"/>
          <w:sz w:val="24"/>
          <w:szCs w:val="24"/>
          <w:shd w:val="clear" w:color="auto" w:fill="FFFFFF"/>
          <w:lang w:eastAsia="zh-CN"/>
        </w:rPr>
        <w:t>本项目执行优先采购节能产品、环境标志产品，扶持中小企业、监狱企业、残疾人福利性单位发展政策。</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3、本项目的特定资格要求</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3.1独立法人资格，提供有效的营业执照；</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3.2投标人须具备</w:t>
      </w:r>
      <w:r>
        <w:rPr>
          <w:rFonts w:hint="eastAsia" w:cs="宋体"/>
          <w:sz w:val="24"/>
          <w:szCs w:val="24"/>
          <w:highlight w:val="none"/>
          <w:shd w:val="clear" w:color="auto" w:fill="FFFFFF"/>
          <w:lang w:val="en-US" w:eastAsia="zh-CN"/>
        </w:rPr>
        <w:t>市政公用工程施工总承包叁级及以上资质</w:t>
      </w:r>
      <w:r>
        <w:rPr>
          <w:rFonts w:hint="eastAsia" w:cs="宋体"/>
          <w:sz w:val="24"/>
          <w:szCs w:val="24"/>
          <w:shd w:val="clear" w:color="auto" w:fill="FFFFFF"/>
          <w:lang w:val="en-US" w:eastAsia="zh-CN"/>
        </w:rPr>
        <w:t>，</w:t>
      </w:r>
      <w:r>
        <w:rPr>
          <w:rFonts w:hint="default" w:cs="宋体"/>
          <w:sz w:val="24"/>
          <w:szCs w:val="24"/>
          <w:shd w:val="clear" w:color="auto" w:fill="FFFFFF"/>
          <w:lang w:val="en-US" w:eastAsia="zh-CN"/>
        </w:rPr>
        <w:t>并</w:t>
      </w:r>
      <w:r>
        <w:rPr>
          <w:rFonts w:hint="eastAsia" w:cs="宋体"/>
          <w:sz w:val="24"/>
          <w:szCs w:val="24"/>
          <w:shd w:val="clear" w:color="auto" w:fill="FFFFFF"/>
          <w:lang w:val="en-US" w:eastAsia="zh-CN"/>
        </w:rPr>
        <w:t>具有有效的安全生产许可证；拟任项目经理须具备相关专业贰级及以上注册建造师执业资格（不含临时执业证），具备有效的安全生产考核合格证书，且项目经理不得在其他在建项目中担任职务；</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3.3依据财库[2016]125号文件规定，对列入失信被执行人、重大税收违法失信主体、政府采购严重违法失信行为记录名单的供应商，拒绝其参与本项目招投标活动。响应人需提供规范的信用报告，信用报告应通过“信用中国”网站(www.creditchina.gov.cn)下载，生成日期不得早于公告发布日期，中国政府采购网(www.ccgp.gov.cn)查询政府采购严重违法失信行为记录名单（提供招标公告发布之后的网站查询结果截图）</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lang w:val="en-US" w:eastAsia="zh-CN"/>
        </w:rPr>
        <w:t>3.4</w:t>
      </w:r>
      <w:r>
        <w:rPr>
          <w:rFonts w:hint="eastAsia" w:cs="宋体"/>
          <w:sz w:val="24"/>
          <w:szCs w:val="24"/>
          <w:shd w:val="clear" w:color="auto" w:fill="FFFFFF"/>
        </w:rPr>
        <w:t>供应商需提供无行贿犯罪记录承诺函（承诺对象包括：供应商、法定代表人、授权委托人）,并对其真实性负责，若承诺不实，造成的后果由供应商自行负责；</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lang w:val="en-US" w:eastAsia="zh-CN"/>
        </w:rPr>
        <w:t>3.5</w:t>
      </w:r>
      <w:r>
        <w:rPr>
          <w:rFonts w:hint="eastAsia" w:cs="宋体"/>
          <w:sz w:val="24"/>
          <w:szCs w:val="24"/>
          <w:shd w:val="clear" w:color="auto" w:fill="FFFFFF"/>
        </w:rPr>
        <w:t>本项目不接受联合体投标，不得分包转包；</w:t>
      </w:r>
    </w:p>
    <w:p>
      <w:pPr>
        <w:pStyle w:val="20"/>
        <w:shd w:val="clear" w:color="auto" w:fill="FFFFFF"/>
        <w:snapToGrid w:val="0"/>
        <w:spacing w:before="0" w:beforeAutospacing="0" w:after="0" w:afterAutospacing="0" w:line="360" w:lineRule="auto"/>
        <w:ind w:firstLine="480" w:firstLineChars="200"/>
        <w:rPr>
          <w:rFonts w:cs="宋体"/>
          <w:sz w:val="24"/>
          <w:szCs w:val="24"/>
          <w:shd w:val="clear" w:color="auto" w:fill="FFFFFF"/>
        </w:rPr>
      </w:pPr>
      <w:r>
        <w:rPr>
          <w:rFonts w:hint="eastAsia" w:cs="宋体"/>
          <w:sz w:val="24"/>
          <w:szCs w:val="24"/>
          <w:shd w:val="clear" w:color="auto" w:fill="FFFFFF"/>
        </w:rPr>
        <w:t>本项目采用资格后审，审查内容以投标截止时间前填报上传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lang w:eastAsia="zh-CN"/>
        </w:rPr>
        <w:t>三</w:t>
      </w:r>
      <w:r>
        <w:rPr>
          <w:rFonts w:hint="eastAsia" w:cs="宋体"/>
          <w:sz w:val="24"/>
          <w:szCs w:val="24"/>
          <w:shd w:val="clear" w:color="auto" w:fill="FFFFFF"/>
        </w:rPr>
        <w:t>、获取</w:t>
      </w:r>
      <w:r>
        <w:rPr>
          <w:rFonts w:hint="eastAsia" w:cs="宋体"/>
          <w:sz w:val="24"/>
          <w:szCs w:val="24"/>
          <w:shd w:val="clear" w:color="auto" w:fill="FFFFFF"/>
          <w:lang w:eastAsia="zh-CN"/>
        </w:rPr>
        <w:t>竞争性磋商</w:t>
      </w:r>
      <w:r>
        <w:rPr>
          <w:rFonts w:hint="eastAsia" w:cs="宋体"/>
          <w:sz w:val="24"/>
          <w:szCs w:val="24"/>
          <w:shd w:val="clear" w:color="auto" w:fill="FFFFFF"/>
        </w:rPr>
        <w:t>文件</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lang w:val="en-US" w:eastAsia="zh-CN"/>
        </w:rPr>
        <w:t>3</w:t>
      </w:r>
      <w:r>
        <w:rPr>
          <w:rFonts w:hint="eastAsia" w:cs="宋体"/>
          <w:sz w:val="24"/>
          <w:szCs w:val="24"/>
          <w:shd w:val="clear" w:color="auto" w:fill="FFFFFF"/>
        </w:rPr>
        <w:t>.1企业诚信库注册</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本项目只接受南阳市公共资源电子交易平台中已加入企业诚信库的企业,未入库的投标人请及时办理入库手续。入库办理请参见南阳市公共资源交易中心网站https://ggzyjy.nanyang.gov.cn/TPFRONT下载专区《诚信库申报操作手册》，企业办理诚信库不收取任何费用，不需携带原件到南阳市公共资源交易中心进行审核。因未及时办理入库手续导致的责任自负。</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lang w:val="en-US" w:eastAsia="zh-CN"/>
        </w:rPr>
        <w:t>3</w:t>
      </w:r>
      <w:r>
        <w:rPr>
          <w:rFonts w:hint="eastAsia" w:cs="宋体"/>
          <w:sz w:val="24"/>
          <w:szCs w:val="24"/>
          <w:shd w:val="clear" w:color="auto" w:fill="FFFFFF"/>
        </w:rPr>
        <w:t>.2办理CA数字证书</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投标企业完成企业诚信库注册后，必须办理CA数字证书方可在网上办理招投标相关业务。CA数字证书办理请参见南阳公共资源交易中心网站下载专区《CA办理所需资料》。</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rPr>
      </w:pPr>
      <w:r>
        <w:rPr>
          <w:rFonts w:hint="eastAsia" w:cs="宋体"/>
          <w:sz w:val="24"/>
          <w:szCs w:val="24"/>
          <w:shd w:val="clear" w:color="auto" w:fill="FFFFFF"/>
          <w:lang w:val="en-US" w:eastAsia="zh-CN"/>
        </w:rPr>
        <w:t>3</w:t>
      </w:r>
      <w:r>
        <w:rPr>
          <w:rFonts w:hint="eastAsia" w:cs="宋体"/>
          <w:sz w:val="24"/>
          <w:szCs w:val="24"/>
          <w:shd w:val="clear" w:color="auto" w:fill="FFFFFF"/>
        </w:rPr>
        <w:t>.3</w:t>
      </w:r>
      <w:r>
        <w:rPr>
          <w:rFonts w:hint="eastAsia" w:cs="宋体"/>
          <w:sz w:val="24"/>
          <w:szCs w:val="24"/>
          <w:shd w:val="clear" w:color="auto" w:fill="FFFFFF"/>
          <w:lang w:eastAsia="zh-CN"/>
        </w:rPr>
        <w:t>竞争性磋商</w:t>
      </w:r>
      <w:r>
        <w:rPr>
          <w:rFonts w:hint="eastAsia" w:cs="宋体"/>
          <w:sz w:val="24"/>
          <w:szCs w:val="24"/>
          <w:shd w:val="clear" w:color="auto" w:fill="FFFFFF"/>
        </w:rPr>
        <w:t>文件的获取</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rPr>
      </w:pPr>
      <w:r>
        <w:rPr>
          <w:rFonts w:hint="eastAsia" w:cs="宋体"/>
          <w:sz w:val="24"/>
          <w:szCs w:val="24"/>
          <w:highlight w:val="none"/>
          <w:shd w:val="clear" w:color="auto" w:fill="FFFFFF"/>
          <w:lang w:eastAsia="zh-CN"/>
        </w:rPr>
        <w:t>竞争性磋商</w:t>
      </w:r>
      <w:r>
        <w:rPr>
          <w:rFonts w:hint="eastAsia" w:cs="宋体"/>
          <w:sz w:val="24"/>
          <w:szCs w:val="24"/>
          <w:highlight w:val="none"/>
          <w:shd w:val="clear" w:color="auto" w:fill="FFFFFF"/>
        </w:rPr>
        <w:t>文件的获取时间：</w:t>
      </w:r>
      <w:r>
        <w:rPr>
          <w:rFonts w:hint="eastAsia" w:cs="宋体"/>
          <w:sz w:val="24"/>
          <w:szCs w:val="24"/>
          <w:highlight w:val="none"/>
          <w:shd w:val="clear" w:color="auto" w:fill="FFFFFF"/>
          <w:lang w:val="en-US" w:eastAsia="zh-CN"/>
        </w:rPr>
        <w:t>2023</w:t>
      </w:r>
      <w:r>
        <w:rPr>
          <w:rFonts w:hint="eastAsia" w:cs="宋体"/>
          <w:sz w:val="24"/>
          <w:szCs w:val="24"/>
          <w:highlight w:val="none"/>
          <w:shd w:val="clear" w:color="auto" w:fill="FFFFFF"/>
        </w:rPr>
        <w:t>年</w:t>
      </w:r>
      <w:r>
        <w:rPr>
          <w:rFonts w:hint="eastAsia" w:cs="宋体"/>
          <w:sz w:val="24"/>
          <w:szCs w:val="24"/>
          <w:highlight w:val="none"/>
          <w:shd w:val="clear" w:color="auto" w:fill="FFFFFF"/>
          <w:lang w:val="en-US" w:eastAsia="zh-CN"/>
        </w:rPr>
        <w:t>12</w:t>
      </w:r>
      <w:r>
        <w:rPr>
          <w:rFonts w:hint="eastAsia" w:cs="宋体"/>
          <w:sz w:val="24"/>
          <w:szCs w:val="24"/>
          <w:highlight w:val="none"/>
          <w:shd w:val="clear" w:color="auto" w:fill="FFFFFF"/>
        </w:rPr>
        <w:t>月</w:t>
      </w:r>
      <w:r>
        <w:rPr>
          <w:rFonts w:hint="eastAsia" w:cs="宋体"/>
          <w:sz w:val="24"/>
          <w:szCs w:val="24"/>
          <w:highlight w:val="none"/>
          <w:shd w:val="clear" w:color="auto" w:fill="FFFFFF"/>
          <w:lang w:val="en-US" w:eastAsia="zh-CN"/>
        </w:rPr>
        <w:t>28</w:t>
      </w:r>
      <w:r>
        <w:rPr>
          <w:rFonts w:hint="eastAsia" w:cs="宋体"/>
          <w:sz w:val="24"/>
          <w:szCs w:val="24"/>
          <w:highlight w:val="none"/>
          <w:shd w:val="clear" w:color="auto" w:fill="FFFFFF"/>
        </w:rPr>
        <w:t>日</w:t>
      </w:r>
      <w:r>
        <w:rPr>
          <w:rFonts w:hint="eastAsia" w:cs="宋体"/>
          <w:sz w:val="24"/>
          <w:szCs w:val="24"/>
          <w:highlight w:val="none"/>
          <w:shd w:val="clear" w:color="auto" w:fill="FFFFFF"/>
          <w:lang w:val="en-US" w:eastAsia="zh-CN"/>
        </w:rPr>
        <w:t>00</w:t>
      </w:r>
      <w:r>
        <w:rPr>
          <w:rFonts w:hint="eastAsia" w:cs="宋体"/>
          <w:sz w:val="24"/>
          <w:szCs w:val="24"/>
          <w:highlight w:val="none"/>
          <w:shd w:val="clear" w:color="auto" w:fill="FFFFFF"/>
          <w:lang w:eastAsia="zh-CN"/>
        </w:rPr>
        <w:t>时</w:t>
      </w:r>
      <w:r>
        <w:rPr>
          <w:rFonts w:hint="eastAsia" w:cs="宋体"/>
          <w:sz w:val="24"/>
          <w:szCs w:val="24"/>
          <w:highlight w:val="none"/>
          <w:shd w:val="clear" w:color="auto" w:fill="FFFFFF"/>
        </w:rPr>
        <w:t>00</w:t>
      </w:r>
      <w:r>
        <w:rPr>
          <w:rFonts w:hint="eastAsia" w:cs="宋体"/>
          <w:sz w:val="24"/>
          <w:szCs w:val="24"/>
          <w:highlight w:val="none"/>
          <w:shd w:val="clear" w:color="auto" w:fill="FFFFFF"/>
          <w:lang w:eastAsia="zh-CN"/>
        </w:rPr>
        <w:t>分</w:t>
      </w:r>
      <w:r>
        <w:rPr>
          <w:rFonts w:hint="eastAsia" w:cs="宋体"/>
          <w:sz w:val="24"/>
          <w:szCs w:val="24"/>
          <w:highlight w:val="none"/>
          <w:shd w:val="clear" w:color="auto" w:fill="FFFFFF"/>
        </w:rPr>
        <w:t>至</w:t>
      </w:r>
      <w:r>
        <w:rPr>
          <w:rFonts w:hint="eastAsia" w:cs="宋体"/>
          <w:sz w:val="24"/>
          <w:szCs w:val="24"/>
          <w:highlight w:val="none"/>
          <w:shd w:val="clear" w:color="auto" w:fill="FFFFFF"/>
          <w:lang w:eastAsia="zh-CN"/>
        </w:rPr>
        <w:t>202</w:t>
      </w:r>
      <w:r>
        <w:rPr>
          <w:rFonts w:hint="eastAsia" w:cs="宋体"/>
          <w:sz w:val="24"/>
          <w:szCs w:val="24"/>
          <w:highlight w:val="none"/>
          <w:shd w:val="clear" w:color="auto" w:fill="FFFFFF"/>
          <w:lang w:val="en-US" w:eastAsia="zh-CN"/>
        </w:rPr>
        <w:t>4</w:t>
      </w:r>
      <w:r>
        <w:rPr>
          <w:rFonts w:hint="eastAsia" w:cs="宋体"/>
          <w:sz w:val="24"/>
          <w:szCs w:val="24"/>
          <w:highlight w:val="none"/>
          <w:shd w:val="clear" w:color="auto" w:fill="FFFFFF"/>
          <w:lang w:eastAsia="zh-CN"/>
        </w:rPr>
        <w:t>年</w:t>
      </w:r>
      <w:r>
        <w:rPr>
          <w:rFonts w:hint="eastAsia" w:cs="宋体"/>
          <w:sz w:val="24"/>
          <w:szCs w:val="24"/>
          <w:highlight w:val="none"/>
          <w:shd w:val="clear" w:color="auto" w:fill="FFFFFF"/>
          <w:lang w:val="en-US" w:eastAsia="zh-CN"/>
        </w:rPr>
        <w:t>1</w:t>
      </w:r>
      <w:r>
        <w:rPr>
          <w:rFonts w:hint="eastAsia" w:cs="宋体"/>
          <w:sz w:val="24"/>
          <w:szCs w:val="24"/>
          <w:highlight w:val="none"/>
          <w:shd w:val="clear" w:color="auto" w:fill="FFFFFF"/>
          <w:lang w:eastAsia="zh-CN"/>
        </w:rPr>
        <w:t>月</w:t>
      </w:r>
      <w:r>
        <w:rPr>
          <w:rFonts w:hint="eastAsia" w:cs="宋体"/>
          <w:sz w:val="24"/>
          <w:szCs w:val="24"/>
          <w:highlight w:val="none"/>
          <w:shd w:val="clear" w:color="auto" w:fill="FFFFFF"/>
          <w:lang w:val="en-US" w:eastAsia="zh-CN"/>
        </w:rPr>
        <w:t>5</w:t>
      </w:r>
      <w:r>
        <w:rPr>
          <w:rFonts w:hint="eastAsia" w:cs="宋体"/>
          <w:sz w:val="24"/>
          <w:szCs w:val="24"/>
          <w:highlight w:val="none"/>
          <w:shd w:val="clear" w:color="auto" w:fill="FFFFFF"/>
          <w:lang w:eastAsia="zh-CN"/>
        </w:rPr>
        <w:t>日</w:t>
      </w:r>
      <w:r>
        <w:rPr>
          <w:rFonts w:hint="eastAsia" w:cs="宋体"/>
          <w:sz w:val="24"/>
          <w:szCs w:val="24"/>
          <w:highlight w:val="none"/>
          <w:shd w:val="clear" w:color="auto" w:fill="FFFFFF"/>
          <w:lang w:val="en-US" w:eastAsia="zh-CN"/>
        </w:rPr>
        <w:t>23</w:t>
      </w:r>
      <w:r>
        <w:rPr>
          <w:rFonts w:hint="eastAsia" w:cs="宋体"/>
          <w:sz w:val="24"/>
          <w:szCs w:val="24"/>
          <w:highlight w:val="none"/>
          <w:shd w:val="clear" w:color="auto" w:fill="FFFFFF"/>
          <w:lang w:eastAsia="zh-CN"/>
        </w:rPr>
        <w:t>时</w:t>
      </w:r>
      <w:r>
        <w:rPr>
          <w:rFonts w:hint="eastAsia" w:cs="宋体"/>
          <w:sz w:val="24"/>
          <w:szCs w:val="24"/>
          <w:highlight w:val="none"/>
          <w:shd w:val="clear" w:color="auto" w:fill="FFFFFF"/>
          <w:lang w:val="en-US" w:eastAsia="zh-CN"/>
        </w:rPr>
        <w:t>59</w:t>
      </w:r>
      <w:r>
        <w:rPr>
          <w:rFonts w:hint="eastAsia" w:cs="宋体"/>
          <w:sz w:val="24"/>
          <w:szCs w:val="24"/>
          <w:highlight w:val="none"/>
          <w:shd w:val="clear" w:color="auto" w:fill="FFFFFF"/>
          <w:lang w:eastAsia="zh-CN"/>
        </w:rPr>
        <w:t>分</w:t>
      </w:r>
      <w:r>
        <w:rPr>
          <w:rFonts w:hint="eastAsia" w:cs="宋体"/>
          <w:sz w:val="24"/>
          <w:szCs w:val="24"/>
          <w:highlight w:val="none"/>
          <w:shd w:val="clear" w:color="auto" w:fill="FFFFFF"/>
        </w:rPr>
        <w:t>。</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竞争性磋商文件获取方法：</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潜在供应商网上自行登录社旗县公共资源交易系统（从社旗县公共资源交易中心网站http://ggzyjy.nanyang.gov.cn/SQXWeb/左侧“投标单位登录”入口进入）下载采购/磋商文件，若因为自身原因错过文件下载时间，造成损失由潜在供应商自行承担。（操作过程中，请务必保持CA证书在电脑端的正常接入）</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竞争性磋商文件费用：不收取。</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本项目投标保证金不再缴纳。</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四、响应文件提交</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 截止时间：</w:t>
      </w:r>
      <w:r>
        <w:rPr>
          <w:rFonts w:hint="eastAsia" w:cs="宋体"/>
          <w:sz w:val="24"/>
          <w:szCs w:val="24"/>
          <w:highlight w:val="none"/>
          <w:shd w:val="clear" w:color="auto" w:fill="FFFFFF"/>
          <w:lang w:val="en-US" w:eastAsia="zh-CN"/>
        </w:rPr>
        <w:t>2024</w:t>
      </w:r>
      <w:r>
        <w:rPr>
          <w:rFonts w:hint="eastAsia" w:cs="宋体"/>
          <w:sz w:val="24"/>
          <w:szCs w:val="24"/>
          <w:highlight w:val="none"/>
          <w:shd w:val="clear" w:color="auto" w:fill="FFFFFF"/>
          <w:lang w:eastAsia="zh-CN"/>
        </w:rPr>
        <w:t>年</w:t>
      </w:r>
      <w:r>
        <w:rPr>
          <w:rFonts w:hint="eastAsia" w:cs="宋体"/>
          <w:sz w:val="24"/>
          <w:szCs w:val="24"/>
          <w:highlight w:val="none"/>
          <w:shd w:val="clear" w:color="auto" w:fill="FFFFFF"/>
          <w:lang w:val="en-US" w:eastAsia="zh-CN"/>
        </w:rPr>
        <w:t>1</w:t>
      </w:r>
      <w:r>
        <w:rPr>
          <w:rFonts w:hint="eastAsia" w:cs="宋体"/>
          <w:sz w:val="24"/>
          <w:szCs w:val="24"/>
          <w:highlight w:val="none"/>
          <w:shd w:val="clear" w:color="auto" w:fill="FFFFFF"/>
          <w:lang w:eastAsia="zh-CN"/>
        </w:rPr>
        <w:t>月</w:t>
      </w:r>
      <w:r>
        <w:rPr>
          <w:rFonts w:hint="eastAsia" w:cs="宋体"/>
          <w:sz w:val="24"/>
          <w:szCs w:val="24"/>
          <w:highlight w:val="none"/>
          <w:shd w:val="clear" w:color="auto" w:fill="FFFFFF"/>
          <w:lang w:val="en-US" w:eastAsia="zh-CN"/>
        </w:rPr>
        <w:t>9</w:t>
      </w:r>
      <w:r>
        <w:rPr>
          <w:rFonts w:hint="eastAsia" w:cs="宋体"/>
          <w:sz w:val="24"/>
          <w:szCs w:val="24"/>
          <w:highlight w:val="none"/>
          <w:shd w:val="clear" w:color="auto" w:fill="FFFFFF"/>
          <w:lang w:eastAsia="zh-CN"/>
        </w:rPr>
        <w:t>日</w:t>
      </w:r>
      <w:r>
        <w:rPr>
          <w:rFonts w:hint="eastAsia" w:cs="宋体"/>
          <w:sz w:val="24"/>
          <w:szCs w:val="24"/>
          <w:highlight w:val="none"/>
          <w:shd w:val="clear" w:color="auto" w:fill="FFFFFF"/>
          <w:lang w:val="en-US" w:eastAsia="zh-CN"/>
        </w:rPr>
        <w:t>10</w:t>
      </w:r>
      <w:r>
        <w:rPr>
          <w:rFonts w:hint="eastAsia" w:cs="宋体"/>
          <w:sz w:val="24"/>
          <w:szCs w:val="24"/>
          <w:highlight w:val="none"/>
          <w:shd w:val="clear" w:color="auto" w:fill="FFFFFF"/>
          <w:lang w:eastAsia="zh-CN"/>
        </w:rPr>
        <w:t>时</w:t>
      </w:r>
      <w:r>
        <w:rPr>
          <w:rFonts w:hint="eastAsia" w:cs="宋体"/>
          <w:sz w:val="24"/>
          <w:szCs w:val="24"/>
          <w:highlight w:val="none"/>
          <w:shd w:val="clear" w:color="auto" w:fill="FFFFFF"/>
          <w:lang w:val="en-US" w:eastAsia="zh-CN"/>
        </w:rPr>
        <w:t>00</w:t>
      </w:r>
      <w:r>
        <w:rPr>
          <w:rFonts w:hint="eastAsia" w:cs="宋体"/>
          <w:sz w:val="24"/>
          <w:szCs w:val="24"/>
          <w:highlight w:val="none"/>
          <w:shd w:val="clear" w:color="auto" w:fill="FFFFFF"/>
          <w:lang w:eastAsia="zh-CN"/>
        </w:rPr>
        <w:t>分（北京时间）</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地点：本项目使用不见面开标，投标人无需前往现场来参与投标。具体操作流程详见南阳市公共资源交易中心下载专区栏发布的南阳不见面开标-操作手册（投标人）http://ggzyjy.nanyang.gov.cn/TPFront/xzzq/。</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五、响应文件开启</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开启时间：</w:t>
      </w:r>
      <w:r>
        <w:rPr>
          <w:rFonts w:hint="eastAsia" w:cs="宋体"/>
          <w:sz w:val="24"/>
          <w:szCs w:val="24"/>
          <w:highlight w:val="none"/>
          <w:shd w:val="clear" w:color="auto" w:fill="FFFFFF"/>
          <w:lang w:val="en-US" w:eastAsia="zh-CN"/>
        </w:rPr>
        <w:t>2024</w:t>
      </w:r>
      <w:r>
        <w:rPr>
          <w:rFonts w:hint="eastAsia" w:cs="宋体"/>
          <w:sz w:val="24"/>
          <w:szCs w:val="24"/>
          <w:highlight w:val="none"/>
          <w:shd w:val="clear" w:color="auto" w:fill="FFFFFF"/>
          <w:lang w:eastAsia="zh-CN"/>
        </w:rPr>
        <w:t>年</w:t>
      </w:r>
      <w:r>
        <w:rPr>
          <w:rFonts w:hint="eastAsia" w:cs="宋体"/>
          <w:sz w:val="24"/>
          <w:szCs w:val="24"/>
          <w:highlight w:val="none"/>
          <w:shd w:val="clear" w:color="auto" w:fill="FFFFFF"/>
          <w:lang w:val="en-US" w:eastAsia="zh-CN"/>
        </w:rPr>
        <w:t>1</w:t>
      </w:r>
      <w:r>
        <w:rPr>
          <w:rFonts w:hint="eastAsia" w:cs="宋体"/>
          <w:sz w:val="24"/>
          <w:szCs w:val="24"/>
          <w:highlight w:val="none"/>
          <w:shd w:val="clear" w:color="auto" w:fill="FFFFFF"/>
          <w:lang w:eastAsia="zh-CN"/>
        </w:rPr>
        <w:t>月</w:t>
      </w:r>
      <w:r>
        <w:rPr>
          <w:rFonts w:hint="eastAsia" w:cs="宋体"/>
          <w:sz w:val="24"/>
          <w:szCs w:val="24"/>
          <w:highlight w:val="none"/>
          <w:shd w:val="clear" w:color="auto" w:fill="FFFFFF"/>
          <w:lang w:val="en-US" w:eastAsia="zh-CN"/>
        </w:rPr>
        <w:t>9</w:t>
      </w:r>
      <w:r>
        <w:rPr>
          <w:rFonts w:hint="eastAsia" w:cs="宋体"/>
          <w:sz w:val="24"/>
          <w:szCs w:val="24"/>
          <w:highlight w:val="none"/>
          <w:shd w:val="clear" w:color="auto" w:fill="FFFFFF"/>
          <w:lang w:eastAsia="zh-CN"/>
        </w:rPr>
        <w:t>日</w:t>
      </w:r>
      <w:r>
        <w:rPr>
          <w:rFonts w:hint="eastAsia" w:cs="宋体"/>
          <w:sz w:val="24"/>
          <w:szCs w:val="24"/>
          <w:highlight w:val="none"/>
          <w:shd w:val="clear" w:color="auto" w:fill="FFFFFF"/>
          <w:lang w:val="en-US" w:eastAsia="zh-CN"/>
        </w:rPr>
        <w:t>10</w:t>
      </w:r>
      <w:r>
        <w:rPr>
          <w:rFonts w:hint="eastAsia" w:cs="宋体"/>
          <w:sz w:val="24"/>
          <w:szCs w:val="24"/>
          <w:highlight w:val="none"/>
          <w:shd w:val="clear" w:color="auto" w:fill="FFFFFF"/>
          <w:lang w:eastAsia="zh-CN"/>
        </w:rPr>
        <w:t>时</w:t>
      </w:r>
      <w:r>
        <w:rPr>
          <w:rFonts w:hint="eastAsia" w:cs="宋体"/>
          <w:sz w:val="24"/>
          <w:szCs w:val="24"/>
          <w:highlight w:val="none"/>
          <w:shd w:val="clear" w:color="auto" w:fill="FFFFFF"/>
          <w:lang w:val="en-US" w:eastAsia="zh-CN"/>
        </w:rPr>
        <w:t>00</w:t>
      </w:r>
      <w:r>
        <w:rPr>
          <w:rFonts w:hint="eastAsia" w:cs="宋体"/>
          <w:sz w:val="24"/>
          <w:szCs w:val="24"/>
          <w:highlight w:val="none"/>
          <w:shd w:val="clear" w:color="auto" w:fill="FFFFFF"/>
          <w:lang w:eastAsia="zh-CN"/>
        </w:rPr>
        <w:t>分（北京时间）</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地点：http://ggzyjy.nanyang.gov.cn/SQXWeb/</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六、公告期限及发布公告的媒介</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自本公告发布之日起</w:t>
      </w:r>
      <w:r>
        <w:rPr>
          <w:rFonts w:hint="eastAsia" w:cs="宋体"/>
          <w:sz w:val="24"/>
          <w:szCs w:val="24"/>
          <w:shd w:val="clear" w:color="auto" w:fill="FFFFFF"/>
          <w:lang w:val="en-US" w:eastAsia="zh-CN"/>
        </w:rPr>
        <w:t>5</w:t>
      </w:r>
      <w:r>
        <w:rPr>
          <w:rFonts w:hint="eastAsia" w:cs="宋体"/>
          <w:sz w:val="24"/>
          <w:szCs w:val="24"/>
          <w:shd w:val="clear" w:color="auto" w:fill="FFFFFF"/>
          <w:lang w:eastAsia="zh-CN"/>
        </w:rPr>
        <w:t>个工作日。</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本次公告在《中国招标投标公共服务平台》、《河南省政府采购网》和《社旗县公共资源交易中心》网上同时发布。</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七、其他补充事宜</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1、</w:t>
      </w:r>
      <w:r>
        <w:rPr>
          <w:rFonts w:hint="eastAsia" w:cs="宋体"/>
          <w:sz w:val="24"/>
          <w:szCs w:val="24"/>
          <w:shd w:val="clear" w:color="auto" w:fill="FFFFFF"/>
          <w:lang w:eastAsia="zh-CN"/>
        </w:rPr>
        <w:t>本次招标采用全流程电子辅助招投标。</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2</w:t>
      </w:r>
      <w:r>
        <w:rPr>
          <w:rFonts w:hint="eastAsia" w:cs="宋体"/>
          <w:sz w:val="24"/>
          <w:szCs w:val="24"/>
          <w:shd w:val="clear" w:color="auto" w:fill="FFFFFF"/>
          <w:lang w:eastAsia="zh-CN"/>
        </w:rPr>
        <w:t>、本项目为电子评标项目，投标人须提供电子响应文件，电子响应文件需要使用投标文件制作工具制作，制作工具及操作手册可登录社旗县公共资源交易系统（网址：http://ggzyjy.nanyang.gov.cn/SQXWeb），在“下载专区”中下载。</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3</w:t>
      </w:r>
      <w:r>
        <w:rPr>
          <w:rFonts w:hint="eastAsia" w:cs="宋体"/>
          <w:sz w:val="24"/>
          <w:szCs w:val="24"/>
          <w:shd w:val="clear" w:color="auto" w:fill="FFFFFF"/>
          <w:lang w:eastAsia="zh-CN"/>
        </w:rPr>
        <w:t>、下载文件及制作电子响应文件，务必使用同一CA数字证书进行操作，在开标之前确保CA数字证书有效，且不能进行续费延期、更换或重新绑定等操作。 若因CA数字证书问题、文件未及时下载或损坏丢失等原因造成无法投标的，责任由投标人自行承担。</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4</w:t>
      </w:r>
      <w:r>
        <w:rPr>
          <w:rFonts w:hint="eastAsia" w:cs="宋体"/>
          <w:sz w:val="24"/>
          <w:szCs w:val="24"/>
          <w:shd w:val="clear" w:color="auto" w:fill="FFFFFF"/>
          <w:lang w:eastAsia="zh-CN"/>
        </w:rPr>
        <w:t>、该项目需要使用不见面开标，投标人无需前往现场参与投标。各投标人根据手册要求，提前做好相关准备工作。附件：操作手册地址(下载专区中自行下载)、不见面开标大厅地</w:t>
      </w:r>
      <w:r>
        <w:rPr>
          <w:rFonts w:hint="default" w:cs="宋体"/>
          <w:sz w:val="24"/>
          <w:szCs w:val="24"/>
          <w:shd w:val="clear" w:color="auto" w:fill="FFFFFF"/>
          <w:lang w:eastAsia="zh-CN"/>
        </w:rPr>
        <w:t>https://ggzyjy.nanyang.gov.cn/BidOpening/bidopeninghallaction/hall/login</w:t>
      </w:r>
      <w:r>
        <w:rPr>
          <w:rFonts w:hint="eastAsia" w:cs="宋体"/>
          <w:sz w:val="24"/>
          <w:szCs w:val="24"/>
          <w:shd w:val="clear" w:color="auto" w:fill="FFFFFF"/>
          <w:lang w:eastAsia="zh-CN"/>
        </w:rPr>
        <w:t>；</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5</w:t>
      </w:r>
      <w:r>
        <w:rPr>
          <w:rFonts w:hint="eastAsia" w:cs="宋体"/>
          <w:sz w:val="24"/>
          <w:szCs w:val="24"/>
          <w:shd w:val="clear" w:color="auto" w:fill="FFFFFF"/>
          <w:lang w:eastAsia="zh-CN"/>
        </w:rPr>
        <w:t>、该项目自行上传响应文件，无需寄送和递交非加密响应文件光盘等。需要注意开标前登录不见面系统进行签到；</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6</w:t>
      </w:r>
      <w:r>
        <w:rPr>
          <w:rFonts w:hint="eastAsia" w:cs="宋体"/>
          <w:sz w:val="24"/>
          <w:szCs w:val="24"/>
          <w:shd w:val="clear" w:color="auto" w:fill="FFFFFF"/>
          <w:lang w:eastAsia="zh-CN"/>
        </w:rPr>
        <w:t>、因投标人无需现场参与开标，所有准备工作需要自行到位。开标过程中如遇到紧急事项，可在不见面开标大厅中进行提出异议或文字交流，严重问题可拨打技术支持电话400-998-0000。</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7</w:t>
      </w:r>
      <w:r>
        <w:rPr>
          <w:rFonts w:hint="eastAsia" w:cs="宋体"/>
          <w:sz w:val="24"/>
          <w:szCs w:val="24"/>
          <w:shd w:val="clear" w:color="auto" w:fill="FFFFFF"/>
          <w:lang w:eastAsia="zh-CN"/>
        </w:rPr>
        <w:t>、不见面开标过程中，如投标人准备不到位，造成无法及时解密、网络问题等情况造成开标无法继续的，视为该投标人自动放弃投标（30分钟内），将被退回响应文件。</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8</w:t>
      </w:r>
      <w:r>
        <w:rPr>
          <w:rFonts w:hint="eastAsia" w:cs="宋体"/>
          <w:sz w:val="24"/>
          <w:szCs w:val="24"/>
          <w:shd w:val="clear" w:color="auto" w:fill="FFFFFF"/>
          <w:lang w:eastAsia="zh-CN"/>
        </w:rPr>
        <w:t>、响应文件递交、解密完成后，投标人需继续等待，并登录会员系统，在评审结束前保持在线状态，确保可以及时接收竞争性磋商小组提出的磋商及最终报价要求。</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9</w:t>
      </w:r>
      <w:r>
        <w:rPr>
          <w:rFonts w:hint="eastAsia" w:cs="宋体"/>
          <w:sz w:val="24"/>
          <w:szCs w:val="24"/>
          <w:shd w:val="clear" w:color="auto" w:fill="FFFFFF"/>
          <w:lang w:eastAsia="zh-CN"/>
        </w:rPr>
        <w:t>、投标人应时刻关注会员系统消息提醒，在规定时间内及时回应竞争性磋商小组提出的磋商及最终报价要求。</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10</w:t>
      </w:r>
      <w:r>
        <w:rPr>
          <w:rFonts w:hint="eastAsia" w:cs="宋体"/>
          <w:sz w:val="24"/>
          <w:szCs w:val="24"/>
          <w:shd w:val="clear" w:color="auto" w:fill="FFFFFF"/>
          <w:lang w:eastAsia="zh-CN"/>
        </w:rPr>
        <w:t>、未按上述要求操作，造成不能参加磋商及最终报价的，后果由相关投标人自行承担。</w:t>
      </w:r>
    </w:p>
    <w:p>
      <w:pPr>
        <w:pStyle w:val="20"/>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八、凡对本次采购提出询问，请按以下方式联系</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1.采购人信息</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名    称：社旗县住房和城乡建设局</w:t>
      </w:r>
      <w:r>
        <w:rPr>
          <w:rFonts w:hint="eastAsia" w:cs="宋体"/>
          <w:sz w:val="24"/>
          <w:szCs w:val="24"/>
          <w:highlight w:val="none"/>
          <w:shd w:val="clear" w:color="auto" w:fill="FFFFFF"/>
          <w:lang w:val="en-US" w:eastAsia="zh-CN"/>
        </w:rPr>
        <w:t xml:space="preserve"> </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eastAsia="zh-CN"/>
        </w:rPr>
        <w:t>地    址：社旗县郑州路和香山路交叉口西南角</w:t>
      </w:r>
    </w:p>
    <w:p>
      <w:pPr>
        <w:pStyle w:val="20"/>
        <w:shd w:val="clear" w:color="auto" w:fill="FFFFFF"/>
        <w:snapToGrid w:val="0"/>
        <w:spacing w:before="0" w:beforeAutospacing="0" w:after="0" w:afterAutospacing="0" w:line="360" w:lineRule="auto"/>
        <w:ind w:firstLine="480" w:firstLineChars="200"/>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eastAsia="zh-CN"/>
        </w:rPr>
        <w:t>联 系 人：</w:t>
      </w:r>
      <w:r>
        <w:rPr>
          <w:rFonts w:hint="eastAsia" w:cs="宋体"/>
          <w:sz w:val="24"/>
          <w:szCs w:val="24"/>
          <w:highlight w:val="none"/>
          <w:shd w:val="clear" w:color="auto" w:fill="FFFFFF"/>
          <w:lang w:val="en-US" w:eastAsia="zh-CN"/>
        </w:rPr>
        <w:t>李晓</w:t>
      </w:r>
    </w:p>
    <w:p>
      <w:pPr>
        <w:pStyle w:val="20"/>
        <w:shd w:val="clear" w:color="auto" w:fill="FFFFFF"/>
        <w:snapToGrid w:val="0"/>
        <w:spacing w:before="0" w:beforeAutospacing="0" w:after="0" w:afterAutospacing="0" w:line="360" w:lineRule="auto"/>
        <w:ind w:firstLine="480" w:firstLineChars="200"/>
        <w:rPr>
          <w:rFonts w:hint="default" w:cs="宋体"/>
          <w:sz w:val="24"/>
          <w:szCs w:val="24"/>
          <w:highlight w:val="yellow"/>
          <w:shd w:val="clear" w:color="auto" w:fill="FFFFFF"/>
          <w:lang w:val="en-US" w:eastAsia="zh-CN"/>
        </w:rPr>
      </w:pPr>
      <w:r>
        <w:rPr>
          <w:rFonts w:hint="eastAsia" w:cs="宋体"/>
          <w:sz w:val="24"/>
          <w:szCs w:val="24"/>
          <w:highlight w:val="none"/>
          <w:shd w:val="clear" w:color="auto" w:fill="FFFFFF"/>
          <w:lang w:eastAsia="zh-CN"/>
        </w:rPr>
        <w:t>联系方式：</w:t>
      </w:r>
      <w:r>
        <w:rPr>
          <w:rFonts w:hint="eastAsia" w:cs="宋体"/>
          <w:sz w:val="24"/>
          <w:szCs w:val="24"/>
          <w:highlight w:val="none"/>
          <w:shd w:val="clear" w:color="auto" w:fill="FFFFFF"/>
          <w:lang w:val="en-US" w:eastAsia="zh-CN"/>
        </w:rPr>
        <w:t>13525684786</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2.采购代理机构信息</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招标代理机构：河南阔宇工程管理有限公司</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地    址：南阳市宛城区建设东路巴黎大道商业楼531、532室</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 xml:space="preserve">联系 人：史红丽        </w:t>
      </w:r>
    </w:p>
    <w:p>
      <w:pPr>
        <w:pStyle w:val="20"/>
        <w:shd w:val="clear" w:color="auto" w:fill="FFFFFF"/>
        <w:snapToGrid w:val="0"/>
        <w:spacing w:before="0" w:beforeAutospacing="0" w:after="0" w:afterAutospacing="0" w:line="360" w:lineRule="auto"/>
        <w:ind w:firstLine="480" w:firstLineChars="200"/>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联系电话：15518953213</w:t>
      </w:r>
    </w:p>
    <w:p>
      <w:pPr>
        <w:pStyle w:val="20"/>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3.项目监督部门</w:t>
      </w:r>
    </w:p>
    <w:p>
      <w:pPr>
        <w:pStyle w:val="20"/>
        <w:shd w:val="clear" w:color="auto" w:fill="FFFFFF"/>
        <w:snapToGrid w:val="0"/>
        <w:spacing w:before="0" w:beforeAutospacing="0" w:after="0" w:afterAutospacing="0" w:line="360" w:lineRule="auto"/>
        <w:ind w:firstLine="480" w:firstLineChars="200"/>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监督部门：社旗县财政局</w:t>
      </w:r>
    </w:p>
    <w:p>
      <w:pPr>
        <w:pStyle w:val="20"/>
        <w:shd w:val="clear" w:color="auto" w:fill="FFFFFF"/>
        <w:snapToGrid w:val="0"/>
        <w:spacing w:before="0" w:beforeAutospacing="0" w:after="0" w:afterAutospacing="0" w:line="360" w:lineRule="auto"/>
        <w:ind w:firstLine="480" w:firstLineChars="200"/>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联 系 人：张克</w:t>
      </w:r>
    </w:p>
    <w:p>
      <w:pPr>
        <w:pStyle w:val="20"/>
        <w:shd w:val="clear" w:color="auto" w:fill="FFFFFF"/>
        <w:snapToGrid w:val="0"/>
        <w:spacing w:before="0" w:beforeAutospacing="0" w:after="0" w:afterAutospacing="0" w:line="360" w:lineRule="auto"/>
        <w:ind w:firstLine="480" w:firstLineChars="200"/>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联系方式：0377-83978052</w:t>
      </w:r>
    </w:p>
    <w:p>
      <w:pPr>
        <w:pStyle w:val="20"/>
        <w:shd w:val="clear" w:color="auto" w:fill="FFFFFF"/>
        <w:snapToGrid w:val="0"/>
        <w:spacing w:before="0" w:beforeAutospacing="0" w:after="0" w:afterAutospacing="0" w:line="360" w:lineRule="auto"/>
        <w:ind w:firstLine="480" w:firstLineChars="200"/>
        <w:jc w:val="right"/>
        <w:rPr>
          <w:rFonts w:hint="eastAsia" w:cs="宋体"/>
          <w:sz w:val="24"/>
          <w:szCs w:val="24"/>
          <w:highlight w:val="none"/>
          <w:shd w:val="clear" w:color="auto" w:fill="FFFFFF"/>
          <w:lang w:val="en-US" w:eastAsia="zh-CN"/>
        </w:rPr>
      </w:pPr>
    </w:p>
    <w:p>
      <w:pPr>
        <w:pStyle w:val="20"/>
        <w:shd w:val="clear" w:color="auto" w:fill="FFFFFF"/>
        <w:snapToGrid w:val="0"/>
        <w:spacing w:before="0" w:beforeAutospacing="0" w:after="0" w:afterAutospacing="0" w:line="360" w:lineRule="auto"/>
        <w:ind w:firstLine="480" w:firstLineChars="200"/>
        <w:jc w:val="right"/>
        <w:rPr>
          <w:rFonts w:hint="eastAsia" w:cs="宋体"/>
          <w:sz w:val="24"/>
          <w:szCs w:val="24"/>
          <w:highlight w:val="none"/>
          <w:shd w:val="clear" w:color="auto" w:fill="FFFFFF"/>
          <w:lang w:val="en-US" w:eastAsia="zh-CN"/>
        </w:rPr>
      </w:pPr>
    </w:p>
    <w:p>
      <w:pPr>
        <w:pStyle w:val="20"/>
        <w:shd w:val="clear" w:color="auto" w:fill="FFFFFF"/>
        <w:snapToGrid w:val="0"/>
        <w:spacing w:before="0" w:beforeAutospacing="0" w:after="0" w:afterAutospacing="0" w:line="360" w:lineRule="auto"/>
        <w:ind w:firstLine="480" w:firstLineChars="200"/>
        <w:jc w:val="right"/>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2023年12月27日</w:t>
      </w:r>
    </w:p>
    <w:p>
      <w:pPr>
        <w:jc w:val="center"/>
        <w:outlineLvl w:val="0"/>
        <w:rPr>
          <w:rFonts w:hint="eastAsia"/>
          <w:b/>
          <w:sz w:val="32"/>
          <w:szCs w:val="32"/>
          <w:highlight w:val="none"/>
        </w:rPr>
      </w:pPr>
    </w:p>
    <w:p>
      <w:pPr>
        <w:jc w:val="center"/>
        <w:outlineLvl w:val="0"/>
        <w:rPr>
          <w:rFonts w:hint="eastAsia"/>
          <w:b/>
          <w:sz w:val="32"/>
          <w:szCs w:val="32"/>
        </w:rPr>
      </w:pPr>
    </w:p>
    <w:p>
      <w:pPr>
        <w:jc w:val="center"/>
        <w:outlineLvl w:val="0"/>
        <w:rPr>
          <w:rFonts w:hint="eastAsia"/>
          <w:b/>
          <w:sz w:val="32"/>
          <w:szCs w:val="32"/>
        </w:rPr>
      </w:pPr>
    </w:p>
    <w:p>
      <w:pPr>
        <w:jc w:val="center"/>
        <w:outlineLvl w:val="0"/>
        <w:rPr>
          <w:rFonts w:hint="eastAsia"/>
          <w:b/>
          <w:sz w:val="32"/>
          <w:szCs w:val="32"/>
        </w:rPr>
      </w:pPr>
    </w:p>
    <w:p>
      <w:pPr>
        <w:jc w:val="center"/>
        <w:outlineLvl w:val="0"/>
        <w:rPr>
          <w:rFonts w:hint="eastAsia"/>
          <w:b/>
          <w:sz w:val="32"/>
          <w:szCs w:val="32"/>
        </w:rPr>
      </w:pPr>
    </w:p>
    <w:p>
      <w:pPr>
        <w:jc w:val="center"/>
        <w:outlineLvl w:val="0"/>
        <w:rPr>
          <w:rFonts w:hint="eastAsia"/>
          <w:b/>
          <w:sz w:val="32"/>
          <w:szCs w:val="32"/>
        </w:rPr>
      </w:pPr>
    </w:p>
    <w:p>
      <w:pPr>
        <w:spacing w:afterAutospacing="0" w:line="240" w:lineRule="auto"/>
        <w:jc w:val="both"/>
        <w:outlineLvl w:val="0"/>
        <w:rPr>
          <w:rFonts w:hint="eastAsia"/>
          <w:b/>
          <w:sz w:val="32"/>
          <w:szCs w:val="32"/>
        </w:rPr>
      </w:pPr>
    </w:p>
    <w:p>
      <w:pPr>
        <w:spacing w:afterAutospacing="0" w:line="240" w:lineRule="auto"/>
        <w:jc w:val="center"/>
        <w:outlineLvl w:val="0"/>
        <w:rPr>
          <w:b/>
          <w:sz w:val="32"/>
          <w:szCs w:val="32"/>
        </w:rPr>
      </w:pPr>
      <w:r>
        <w:rPr>
          <w:rFonts w:hint="eastAsia"/>
          <w:b/>
          <w:sz w:val="32"/>
          <w:szCs w:val="32"/>
        </w:rPr>
        <w:t>第二章  响应人须知</w:t>
      </w:r>
      <w:bookmarkEnd w:id="2"/>
      <w:bookmarkEnd w:id="3"/>
      <w:bookmarkEnd w:id="4"/>
    </w:p>
    <w:p>
      <w:pPr>
        <w:pStyle w:val="13"/>
        <w:wordWrap/>
        <w:topLinePunct w:val="0"/>
        <w:spacing w:beforeAutospacing="0" w:after="96" w:afterLines="30" w:afterAutospacing="0" w:line="240" w:lineRule="auto"/>
        <w:jc w:val="center"/>
        <w:outlineLvl w:val="1"/>
        <w:rPr>
          <w:rFonts w:hAnsi="宋体"/>
          <w:b/>
          <w:bCs/>
          <w:sz w:val="32"/>
          <w:szCs w:val="32"/>
        </w:rPr>
      </w:pPr>
      <w:bookmarkStart w:id="5" w:name="_Toc72694685"/>
      <w:r>
        <w:rPr>
          <w:rFonts w:hint="eastAsia" w:hAnsi="宋体"/>
          <w:b/>
          <w:bCs/>
          <w:sz w:val="32"/>
          <w:szCs w:val="32"/>
        </w:rPr>
        <w:t>响应人须知前附表</w:t>
      </w:r>
      <w:bookmarkEnd w:id="5"/>
    </w:p>
    <w:tbl>
      <w:tblPr>
        <w:tblStyle w:val="2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682"/>
        <w:gridCol w:w="6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pPr>
              <w:wordWrap/>
              <w:topLinePunct w:val="0"/>
              <w:spacing w:beforeAutospacing="0" w:line="360" w:lineRule="auto"/>
              <w:jc w:val="center"/>
              <w:rPr>
                <w:b/>
                <w:bCs/>
              </w:rPr>
            </w:pPr>
            <w:r>
              <w:rPr>
                <w:rFonts w:hint="eastAsia"/>
                <w:b/>
                <w:bCs/>
              </w:rPr>
              <w:t>序号</w:t>
            </w:r>
          </w:p>
        </w:tc>
        <w:tc>
          <w:tcPr>
            <w:tcW w:w="2682" w:type="dxa"/>
            <w:noWrap/>
            <w:vAlign w:val="center"/>
          </w:tcPr>
          <w:p>
            <w:pPr>
              <w:wordWrap/>
              <w:topLinePunct w:val="0"/>
              <w:spacing w:line="360" w:lineRule="auto"/>
              <w:jc w:val="center"/>
              <w:rPr>
                <w:b/>
                <w:bCs/>
              </w:rPr>
            </w:pPr>
            <w:r>
              <w:rPr>
                <w:rFonts w:hint="eastAsia"/>
                <w:b/>
                <w:bCs/>
              </w:rPr>
              <w:t>条款名称</w:t>
            </w:r>
          </w:p>
        </w:tc>
        <w:tc>
          <w:tcPr>
            <w:tcW w:w="6163" w:type="dxa"/>
            <w:noWrap/>
            <w:vAlign w:val="center"/>
          </w:tcPr>
          <w:p>
            <w:pPr>
              <w:wordWrap/>
              <w:topLinePunct w:val="0"/>
              <w:spacing w:line="360" w:lineRule="auto"/>
              <w:jc w:val="center"/>
              <w:rPr>
                <w:b/>
                <w:bCs/>
              </w:rPr>
            </w:pPr>
            <w:r>
              <w:rPr>
                <w:rFonts w:hint="eastAsia"/>
                <w:b/>
                <w:bCs/>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pPr>
              <w:wordWrap/>
              <w:autoSpaceDE w:val="0"/>
              <w:autoSpaceDN w:val="0"/>
              <w:adjustRightInd w:val="0"/>
              <w:spacing w:line="360" w:lineRule="auto"/>
              <w:jc w:val="center"/>
              <w:rPr>
                <w:rFonts w:cs="黑体"/>
                <w:kern w:val="0"/>
              </w:rPr>
            </w:pPr>
            <w:r>
              <w:rPr>
                <w:rFonts w:hint="eastAsia" w:cs="TimesNewRomanPSMT"/>
                <w:kern w:val="0"/>
              </w:rPr>
              <w:t>1</w:t>
            </w:r>
          </w:p>
        </w:tc>
        <w:tc>
          <w:tcPr>
            <w:tcW w:w="2682" w:type="dxa"/>
            <w:noWrap/>
            <w:vAlign w:val="center"/>
          </w:tcPr>
          <w:p>
            <w:pPr>
              <w:wordWrap/>
              <w:autoSpaceDE w:val="0"/>
              <w:autoSpaceDN w:val="0"/>
              <w:adjustRightInd w:val="0"/>
              <w:spacing w:line="360" w:lineRule="auto"/>
              <w:jc w:val="center"/>
              <w:rPr>
                <w:rFonts w:cs="黑体"/>
                <w:kern w:val="0"/>
              </w:rPr>
            </w:pPr>
            <w:r>
              <w:rPr>
                <w:rFonts w:hint="eastAsia" w:cs="FangSong_GB2312"/>
                <w:kern w:val="0"/>
              </w:rPr>
              <w:t>采购人</w:t>
            </w:r>
          </w:p>
        </w:tc>
        <w:tc>
          <w:tcPr>
            <w:tcW w:w="6163" w:type="dxa"/>
            <w:noWrap/>
            <w:vAlign w:val="center"/>
          </w:tcPr>
          <w:p>
            <w:pPr>
              <w:wordWrap/>
              <w:autoSpaceDE w:val="0"/>
              <w:autoSpaceDN w:val="0"/>
              <w:adjustRightInd w:val="0"/>
              <w:spacing w:line="360" w:lineRule="auto"/>
              <w:jc w:val="left"/>
              <w:rPr>
                <w:rFonts w:hint="eastAsia"/>
                <w:sz w:val="21"/>
                <w:szCs w:val="21"/>
                <w:lang w:eastAsia="zh-CN"/>
              </w:rPr>
            </w:pPr>
            <w:r>
              <w:rPr>
                <w:rFonts w:hint="eastAsia"/>
                <w:sz w:val="21"/>
                <w:szCs w:val="21"/>
                <w:lang w:eastAsia="zh-CN"/>
              </w:rPr>
              <w:t>名    称：社旗县住房和城乡建设局</w:t>
            </w:r>
            <w:r>
              <w:rPr>
                <w:rFonts w:hint="eastAsia"/>
                <w:sz w:val="21"/>
                <w:szCs w:val="21"/>
                <w:lang w:val="en-US" w:eastAsia="zh-CN"/>
              </w:rPr>
              <w:t xml:space="preserve"> </w:t>
            </w:r>
          </w:p>
          <w:p>
            <w:pPr>
              <w:wordWrap/>
              <w:autoSpaceDE w:val="0"/>
              <w:autoSpaceDN w:val="0"/>
              <w:adjustRightInd w:val="0"/>
              <w:spacing w:line="360" w:lineRule="auto"/>
              <w:jc w:val="left"/>
              <w:rPr>
                <w:rFonts w:hint="eastAsia"/>
                <w:sz w:val="21"/>
                <w:szCs w:val="21"/>
                <w:lang w:val="en-US" w:eastAsia="zh-CN"/>
              </w:rPr>
            </w:pPr>
            <w:r>
              <w:rPr>
                <w:rFonts w:hint="eastAsia"/>
                <w:sz w:val="21"/>
                <w:szCs w:val="21"/>
                <w:lang w:eastAsia="zh-CN"/>
              </w:rPr>
              <w:t>地    址：社旗县郑州路和香山路交叉口西南角</w:t>
            </w:r>
          </w:p>
          <w:p>
            <w:pPr>
              <w:wordWrap/>
              <w:autoSpaceDE w:val="0"/>
              <w:autoSpaceDN w:val="0"/>
              <w:adjustRightInd w:val="0"/>
              <w:spacing w:line="360" w:lineRule="auto"/>
              <w:jc w:val="left"/>
              <w:rPr>
                <w:rFonts w:hint="default"/>
                <w:sz w:val="21"/>
                <w:szCs w:val="21"/>
                <w:lang w:val="en-US" w:eastAsia="zh-CN"/>
              </w:rPr>
            </w:pPr>
            <w:r>
              <w:rPr>
                <w:rFonts w:hint="eastAsia"/>
                <w:sz w:val="21"/>
                <w:szCs w:val="21"/>
                <w:lang w:eastAsia="zh-CN"/>
              </w:rPr>
              <w:t>联 系 人：</w:t>
            </w:r>
            <w:r>
              <w:rPr>
                <w:rFonts w:hint="eastAsia"/>
                <w:sz w:val="21"/>
                <w:szCs w:val="21"/>
                <w:lang w:val="en-US" w:eastAsia="zh-CN"/>
              </w:rPr>
              <w:t>李晓</w:t>
            </w:r>
          </w:p>
          <w:p>
            <w:pPr>
              <w:wordWrap/>
              <w:autoSpaceDE w:val="0"/>
              <w:autoSpaceDN w:val="0"/>
              <w:adjustRightInd w:val="0"/>
              <w:spacing w:line="360" w:lineRule="auto"/>
              <w:jc w:val="left"/>
              <w:rPr>
                <w:sz w:val="21"/>
                <w:szCs w:val="21"/>
              </w:rPr>
            </w:pPr>
            <w:r>
              <w:rPr>
                <w:rFonts w:hint="eastAsia"/>
                <w:sz w:val="21"/>
                <w:szCs w:val="21"/>
                <w:lang w:eastAsia="zh-CN"/>
              </w:rPr>
              <w:t>联系方式：</w:t>
            </w:r>
            <w:r>
              <w:rPr>
                <w:rFonts w:hint="eastAsia"/>
                <w:sz w:val="21"/>
                <w:szCs w:val="21"/>
                <w:lang w:val="en-US" w:eastAsia="zh-CN"/>
              </w:rPr>
              <w:t>13525684786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jc w:val="center"/>
        </w:trPr>
        <w:tc>
          <w:tcPr>
            <w:tcW w:w="648" w:type="dxa"/>
            <w:noWrap/>
            <w:vAlign w:val="center"/>
          </w:tcPr>
          <w:p>
            <w:pPr>
              <w:wordWrap/>
              <w:autoSpaceDE w:val="0"/>
              <w:autoSpaceDN w:val="0"/>
              <w:adjustRightInd w:val="0"/>
              <w:spacing w:line="360" w:lineRule="auto"/>
              <w:jc w:val="center"/>
              <w:rPr>
                <w:rFonts w:cs="TimesNewRomanPSMT"/>
                <w:kern w:val="0"/>
              </w:rPr>
            </w:pPr>
            <w:r>
              <w:rPr>
                <w:rFonts w:hint="eastAsia" w:cs="黑体"/>
                <w:kern w:val="0"/>
              </w:rPr>
              <w:t>2</w:t>
            </w:r>
          </w:p>
        </w:tc>
        <w:tc>
          <w:tcPr>
            <w:tcW w:w="2682" w:type="dxa"/>
            <w:noWrap/>
            <w:vAlign w:val="center"/>
          </w:tcPr>
          <w:p>
            <w:pPr>
              <w:wordWrap/>
              <w:autoSpaceDE w:val="0"/>
              <w:autoSpaceDN w:val="0"/>
              <w:adjustRightInd w:val="0"/>
              <w:spacing w:line="360" w:lineRule="auto"/>
              <w:jc w:val="center"/>
              <w:rPr>
                <w:rFonts w:cs="FangSong_GB2312"/>
                <w:kern w:val="0"/>
              </w:rPr>
            </w:pPr>
            <w:r>
              <w:rPr>
                <w:rFonts w:hint="eastAsia" w:cs="FangSong_GB2312"/>
                <w:kern w:val="0"/>
              </w:rPr>
              <w:t>采购代理机构</w:t>
            </w:r>
          </w:p>
        </w:tc>
        <w:tc>
          <w:tcPr>
            <w:tcW w:w="6163" w:type="dxa"/>
            <w:noWrap/>
            <w:vAlign w:val="center"/>
          </w:tcPr>
          <w:p>
            <w:pPr>
              <w:wordWrap/>
              <w:autoSpaceDE w:val="0"/>
              <w:autoSpaceDN w:val="0"/>
              <w:adjustRightInd w:val="0"/>
              <w:spacing w:line="360" w:lineRule="auto"/>
              <w:jc w:val="left"/>
              <w:rPr>
                <w:rFonts w:hint="eastAsia" w:eastAsia="宋体"/>
                <w:lang w:val="en-US" w:eastAsia="zh-CN"/>
              </w:rPr>
            </w:pPr>
            <w:r>
              <w:rPr>
                <w:rFonts w:hint="eastAsia" w:eastAsia="宋体"/>
                <w:lang w:val="en-US" w:eastAsia="zh-CN"/>
              </w:rPr>
              <w:t>招标代理机构：</w:t>
            </w:r>
            <w:r>
              <w:rPr>
                <w:rFonts w:hint="eastAsia"/>
                <w:lang w:val="en-US" w:eastAsia="zh-CN"/>
              </w:rPr>
              <w:t>河南阔宇工程管理有限公司</w:t>
            </w:r>
          </w:p>
          <w:p>
            <w:pPr>
              <w:wordWrap/>
              <w:autoSpaceDE w:val="0"/>
              <w:autoSpaceDN w:val="0"/>
              <w:adjustRightInd w:val="0"/>
              <w:spacing w:line="360" w:lineRule="auto"/>
              <w:jc w:val="left"/>
              <w:rPr>
                <w:rFonts w:hint="eastAsia" w:eastAsia="宋体"/>
                <w:lang w:val="en-US" w:eastAsia="zh-CN"/>
              </w:rPr>
            </w:pPr>
            <w:r>
              <w:rPr>
                <w:rFonts w:hint="eastAsia" w:eastAsia="宋体"/>
                <w:lang w:val="en-US" w:eastAsia="zh-CN"/>
              </w:rPr>
              <w:t>地址：</w:t>
            </w:r>
            <w:r>
              <w:rPr>
                <w:rFonts w:hint="eastAsia"/>
                <w:lang w:val="en-US" w:eastAsia="zh-CN"/>
              </w:rPr>
              <w:t>南阳市宛城区建设东路巴黎大道商业楼531、532室</w:t>
            </w:r>
          </w:p>
          <w:p>
            <w:pPr>
              <w:wordWrap/>
              <w:autoSpaceDE w:val="0"/>
              <w:autoSpaceDN w:val="0"/>
              <w:adjustRightInd w:val="0"/>
              <w:spacing w:line="360" w:lineRule="auto"/>
              <w:jc w:val="left"/>
              <w:rPr>
                <w:rFonts w:hint="eastAsia" w:eastAsia="宋体"/>
                <w:lang w:val="en-US" w:eastAsia="zh-CN"/>
              </w:rPr>
            </w:pPr>
            <w:r>
              <w:rPr>
                <w:rFonts w:hint="eastAsia" w:eastAsia="宋体"/>
                <w:lang w:val="en-US" w:eastAsia="zh-CN"/>
              </w:rPr>
              <w:t>联系 人：</w:t>
            </w:r>
            <w:r>
              <w:rPr>
                <w:rFonts w:hint="eastAsia"/>
                <w:lang w:val="en-US" w:eastAsia="zh-CN"/>
              </w:rPr>
              <w:t>史红丽</w:t>
            </w:r>
            <w:r>
              <w:rPr>
                <w:rFonts w:hint="eastAsia" w:eastAsia="宋体"/>
                <w:lang w:val="en-US" w:eastAsia="zh-CN"/>
              </w:rPr>
              <w:t xml:space="preserve">        </w:t>
            </w:r>
          </w:p>
          <w:p>
            <w:pPr>
              <w:wordWrap/>
              <w:autoSpaceDE w:val="0"/>
              <w:autoSpaceDN w:val="0"/>
              <w:adjustRightInd w:val="0"/>
              <w:spacing w:line="360" w:lineRule="auto"/>
              <w:jc w:val="left"/>
              <w:rPr>
                <w:rFonts w:hint="eastAsia" w:eastAsia="宋体"/>
                <w:lang w:eastAsia="zh-CN"/>
              </w:rPr>
            </w:pPr>
            <w:r>
              <w:rPr>
                <w:rFonts w:hint="eastAsia" w:eastAsia="宋体"/>
                <w:lang w:val="en-US" w:eastAsia="zh-CN"/>
              </w:rPr>
              <w:t>联系电话：</w:t>
            </w:r>
            <w:r>
              <w:rPr>
                <w:rFonts w:hint="eastAsia"/>
                <w:lang w:val="en-US" w:eastAsia="zh-CN"/>
              </w:rPr>
              <w:t>15518953213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48" w:type="dxa"/>
            <w:noWrap/>
            <w:vAlign w:val="center"/>
          </w:tcPr>
          <w:p>
            <w:pPr>
              <w:wordWrap/>
              <w:topLinePunct w:val="0"/>
              <w:spacing w:line="360" w:lineRule="auto"/>
              <w:jc w:val="center"/>
            </w:pPr>
            <w:r>
              <w:rPr>
                <w:rFonts w:hint="eastAsia"/>
              </w:rPr>
              <w:t>3</w:t>
            </w:r>
          </w:p>
        </w:tc>
        <w:tc>
          <w:tcPr>
            <w:tcW w:w="2682" w:type="dxa"/>
            <w:noWrap/>
            <w:vAlign w:val="center"/>
          </w:tcPr>
          <w:p>
            <w:pPr>
              <w:wordWrap/>
              <w:topLinePunct w:val="0"/>
              <w:spacing w:line="360" w:lineRule="auto"/>
              <w:jc w:val="center"/>
            </w:pPr>
            <w:r>
              <w:rPr>
                <w:rFonts w:hint="eastAsia"/>
              </w:rPr>
              <w:t>采购方式</w:t>
            </w:r>
          </w:p>
        </w:tc>
        <w:tc>
          <w:tcPr>
            <w:tcW w:w="6163" w:type="dxa"/>
            <w:noWrap/>
            <w:vAlign w:val="center"/>
          </w:tcPr>
          <w:p>
            <w:pPr>
              <w:wordWrap/>
              <w:topLinePunct w:val="0"/>
              <w:spacing w:line="360" w:lineRule="auto"/>
            </w:pPr>
            <w:r>
              <w:rPr>
                <w:rFonts w:hint="eastAsia"/>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48" w:type="dxa"/>
            <w:noWrap/>
            <w:vAlign w:val="center"/>
          </w:tcPr>
          <w:p>
            <w:pPr>
              <w:wordWrap/>
              <w:topLinePunct w:val="0"/>
              <w:spacing w:line="360" w:lineRule="auto"/>
              <w:jc w:val="center"/>
            </w:pPr>
            <w:r>
              <w:rPr>
                <w:rFonts w:hint="eastAsia"/>
              </w:rPr>
              <w:t>4</w:t>
            </w:r>
          </w:p>
        </w:tc>
        <w:tc>
          <w:tcPr>
            <w:tcW w:w="2682" w:type="dxa"/>
            <w:noWrap/>
            <w:vAlign w:val="center"/>
          </w:tcPr>
          <w:p>
            <w:pPr>
              <w:wordWrap/>
              <w:topLinePunct w:val="0"/>
              <w:spacing w:line="360" w:lineRule="auto"/>
              <w:jc w:val="center"/>
            </w:pPr>
            <w:r>
              <w:rPr>
                <w:rFonts w:hint="eastAsia"/>
              </w:rPr>
              <w:t>项目名称及采购编号</w:t>
            </w:r>
          </w:p>
        </w:tc>
        <w:tc>
          <w:tcPr>
            <w:tcW w:w="6163" w:type="dxa"/>
            <w:noWrap/>
            <w:vAlign w:val="center"/>
          </w:tcPr>
          <w:p>
            <w:pPr>
              <w:wordWrap/>
              <w:spacing w:line="360" w:lineRule="auto"/>
              <w:jc w:val="left"/>
              <w:rPr>
                <w:shd w:val="clear" w:color="auto" w:fill="FFFFFF"/>
              </w:rPr>
            </w:pPr>
            <w:r>
              <w:rPr>
                <w:rFonts w:hint="eastAsia"/>
                <w:b/>
              </w:rPr>
              <w:t>项目名称：</w:t>
            </w:r>
            <w:r>
              <w:rPr>
                <w:rFonts w:hint="eastAsia"/>
                <w:shd w:val="clear" w:color="auto" w:fill="FFFFFF"/>
                <w:lang w:eastAsia="zh-CN"/>
              </w:rPr>
              <w:t>社旗县住房和城乡建设局关于经七路雨水管网建设、网吧街（建设路—粮贸街）道路提升项目</w:t>
            </w:r>
          </w:p>
          <w:p>
            <w:pPr>
              <w:wordWrap/>
              <w:spacing w:line="360" w:lineRule="auto"/>
              <w:jc w:val="left"/>
              <w:rPr>
                <w:rFonts w:hint="default" w:eastAsia="宋体"/>
                <w:lang w:val="en-US" w:eastAsia="zh-CN"/>
              </w:rPr>
            </w:pPr>
            <w:r>
              <w:rPr>
                <w:rFonts w:hint="eastAsia"/>
                <w:b/>
                <w:color w:val="auto"/>
                <w:highlight w:val="none"/>
                <w:shd w:val="clear" w:fill="FFFFFF" w:themeFill="background1"/>
              </w:rPr>
              <w:t>项目编号：</w:t>
            </w:r>
            <w:r>
              <w:rPr>
                <w:rFonts w:hint="eastAsia"/>
                <w:b/>
                <w:color w:val="auto"/>
                <w:highlight w:val="none"/>
                <w:shd w:val="clear" w:fill="FFFFFF" w:themeFill="background1"/>
                <w:lang w:eastAsia="zh-CN"/>
              </w:rPr>
              <w:t>社财采购竞争性磋商-2023-114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pPr>
              <w:wordWrap/>
              <w:topLinePunct w:val="0"/>
              <w:spacing w:line="360" w:lineRule="auto"/>
              <w:jc w:val="center"/>
            </w:pPr>
            <w:r>
              <w:rPr>
                <w:rFonts w:hint="eastAsia"/>
              </w:rPr>
              <w:t>5</w:t>
            </w:r>
          </w:p>
        </w:tc>
        <w:tc>
          <w:tcPr>
            <w:tcW w:w="2682" w:type="dxa"/>
            <w:noWrap/>
            <w:vAlign w:val="center"/>
          </w:tcPr>
          <w:p>
            <w:pPr>
              <w:wordWrap/>
              <w:topLinePunct w:val="0"/>
              <w:spacing w:line="360" w:lineRule="auto"/>
              <w:jc w:val="center"/>
            </w:pPr>
            <w:r>
              <w:rPr>
                <w:rFonts w:hint="eastAsia"/>
              </w:rPr>
              <w:t>建设地点</w:t>
            </w:r>
          </w:p>
        </w:tc>
        <w:tc>
          <w:tcPr>
            <w:tcW w:w="6163" w:type="dxa"/>
            <w:noWrap/>
            <w:vAlign w:val="center"/>
          </w:tcPr>
          <w:p>
            <w:pPr>
              <w:wordWrap/>
              <w:topLinePunct w:val="0"/>
              <w:spacing w:line="360" w:lineRule="auto"/>
              <w:rPr>
                <w:rFonts w:hint="eastAsia" w:eastAsia="宋体"/>
                <w:lang w:eastAsia="zh-CN"/>
              </w:rPr>
            </w:pPr>
            <w:r>
              <w:rPr>
                <w:rFonts w:hint="eastAsia"/>
                <w:shd w:val="clear" w:color="auto" w:fill="FFFFFF"/>
                <w:lang w:eastAsia="zh-CN"/>
              </w:rPr>
              <w:t>社旗县城区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48" w:type="dxa"/>
            <w:noWrap/>
            <w:vAlign w:val="center"/>
          </w:tcPr>
          <w:p>
            <w:pPr>
              <w:wordWrap/>
              <w:topLinePunct w:val="0"/>
              <w:spacing w:line="360" w:lineRule="auto"/>
              <w:jc w:val="center"/>
            </w:pPr>
            <w:r>
              <w:rPr>
                <w:rFonts w:hint="eastAsia"/>
              </w:rPr>
              <w:t>6</w:t>
            </w:r>
          </w:p>
        </w:tc>
        <w:tc>
          <w:tcPr>
            <w:tcW w:w="2682" w:type="dxa"/>
            <w:noWrap/>
            <w:vAlign w:val="center"/>
          </w:tcPr>
          <w:p>
            <w:pPr>
              <w:wordWrap/>
              <w:topLinePunct w:val="0"/>
              <w:spacing w:line="360" w:lineRule="auto"/>
              <w:jc w:val="center"/>
            </w:pPr>
            <w:r>
              <w:rPr>
                <w:rFonts w:hint="eastAsia"/>
              </w:rPr>
              <w:t>资金来源</w:t>
            </w:r>
          </w:p>
        </w:tc>
        <w:tc>
          <w:tcPr>
            <w:tcW w:w="6163" w:type="dxa"/>
            <w:noWrap/>
            <w:vAlign w:val="center"/>
          </w:tcPr>
          <w:p>
            <w:pPr>
              <w:wordWrap/>
              <w:topLinePunct w:val="0"/>
              <w:spacing w:line="360" w:lineRule="auto"/>
            </w:pPr>
            <w:r>
              <w:rPr>
                <w:rFonts w:hint="eastAsia"/>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pPr>
              <w:wordWrap/>
              <w:topLinePunct w:val="0"/>
              <w:spacing w:line="360" w:lineRule="auto"/>
              <w:jc w:val="center"/>
            </w:pPr>
            <w:r>
              <w:rPr>
                <w:rFonts w:hint="eastAsia"/>
              </w:rPr>
              <w:t>7</w:t>
            </w:r>
          </w:p>
        </w:tc>
        <w:tc>
          <w:tcPr>
            <w:tcW w:w="2682" w:type="dxa"/>
            <w:noWrap/>
            <w:vAlign w:val="center"/>
          </w:tcPr>
          <w:p>
            <w:pPr>
              <w:wordWrap/>
              <w:topLinePunct w:val="0"/>
              <w:spacing w:line="360" w:lineRule="auto"/>
              <w:jc w:val="center"/>
            </w:pPr>
            <w:r>
              <w:rPr>
                <w:rFonts w:hint="eastAsia"/>
              </w:rPr>
              <w:t>采购预算金额</w:t>
            </w:r>
          </w:p>
        </w:tc>
        <w:tc>
          <w:tcPr>
            <w:tcW w:w="6163" w:type="dxa"/>
            <w:noWrap/>
            <w:vAlign w:val="center"/>
          </w:tcPr>
          <w:p>
            <w:pPr>
              <w:wordWrap/>
              <w:spacing w:line="360" w:lineRule="auto"/>
              <w:jc w:val="left"/>
              <w:rPr>
                <w:rFonts w:hint="eastAsia" w:eastAsia="宋体"/>
                <w:b/>
                <w:bCs/>
                <w:highlight w:val="none"/>
                <w:shd w:val="clear" w:color="auto" w:fill="FFFFFF"/>
                <w:lang w:eastAsia="zh-CN"/>
              </w:rPr>
            </w:pPr>
            <w:r>
              <w:rPr>
                <w:rFonts w:hint="eastAsia"/>
                <w:b/>
                <w:bCs/>
                <w:highlight w:val="none"/>
                <w:shd w:val="clear" w:color="auto" w:fill="FFFFFF"/>
              </w:rPr>
              <w:t>采购预算价：</w:t>
            </w:r>
            <w:r>
              <w:rPr>
                <w:rFonts w:hint="eastAsia"/>
                <w:b/>
                <w:bCs/>
                <w:highlight w:val="none"/>
                <w:shd w:val="clear" w:color="auto" w:fill="FFFFFF"/>
                <w:lang w:val="en-US" w:eastAsia="zh-CN"/>
              </w:rPr>
              <w:t>3505351.59</w:t>
            </w:r>
            <w:r>
              <w:rPr>
                <w:rFonts w:hint="eastAsia"/>
                <w:b/>
                <w:bCs/>
                <w:highlight w:val="none"/>
                <w:shd w:val="clear" w:color="auto" w:fill="FFFFFF"/>
              </w:rPr>
              <w:t>元</w:t>
            </w:r>
            <w:r>
              <w:rPr>
                <w:rFonts w:hint="eastAsia"/>
                <w:b/>
                <w:bCs/>
                <w:highlight w:val="none"/>
                <w:shd w:val="clear" w:color="auto" w:fill="FFFFFF"/>
                <w:lang w:eastAsia="zh-CN"/>
              </w:rPr>
              <w:t>。</w:t>
            </w:r>
          </w:p>
          <w:p>
            <w:pPr>
              <w:wordWrap/>
              <w:spacing w:line="360" w:lineRule="auto"/>
              <w:jc w:val="left"/>
              <w:rPr>
                <w:rFonts w:hint="default" w:eastAsia="宋体"/>
                <w:b/>
                <w:bCs/>
                <w:highlight w:val="none"/>
                <w:shd w:val="clear" w:color="auto" w:fill="FFFFFF"/>
                <w:lang w:val="en-US" w:eastAsia="zh-CN"/>
              </w:rPr>
            </w:pPr>
            <w:r>
              <w:rPr>
                <w:rFonts w:hint="eastAsia"/>
                <w:b/>
                <w:bCs/>
                <w:highlight w:val="none"/>
                <w:shd w:val="clear" w:color="auto" w:fill="FFFFFF"/>
                <w:lang w:val="en-US" w:eastAsia="zh-CN"/>
              </w:rPr>
              <w:t>其中：</w:t>
            </w:r>
          </w:p>
          <w:p>
            <w:pPr>
              <w:wordWrap/>
              <w:spacing w:line="360" w:lineRule="auto"/>
              <w:jc w:val="left"/>
              <w:rPr>
                <w:rFonts w:hint="eastAsia"/>
                <w:b/>
                <w:bCs/>
                <w:highlight w:val="none"/>
                <w:shd w:val="clear" w:color="auto" w:fill="FFFFFF"/>
                <w:lang w:val="en-US" w:eastAsia="zh-CN"/>
              </w:rPr>
            </w:pPr>
            <w:r>
              <w:rPr>
                <w:rFonts w:hint="eastAsia"/>
                <w:b/>
                <w:bCs/>
                <w:highlight w:val="none"/>
                <w:shd w:val="clear" w:color="auto" w:fill="FFFFFF"/>
                <w:lang w:val="en-US" w:eastAsia="zh-CN"/>
              </w:rPr>
              <w:t>一标段：1653869.35元；</w:t>
            </w:r>
          </w:p>
          <w:p>
            <w:pPr>
              <w:wordWrap/>
              <w:spacing w:line="360" w:lineRule="auto"/>
              <w:jc w:val="left"/>
              <w:rPr>
                <w:rFonts w:hint="default"/>
                <w:b/>
                <w:bCs/>
                <w:highlight w:val="none"/>
                <w:shd w:val="clear" w:color="auto" w:fill="FFFFFF"/>
                <w:lang w:val="en-US" w:eastAsia="zh-CN"/>
              </w:rPr>
            </w:pPr>
            <w:r>
              <w:rPr>
                <w:rFonts w:hint="eastAsia"/>
                <w:b/>
                <w:bCs/>
                <w:highlight w:val="none"/>
                <w:shd w:val="clear" w:color="auto" w:fill="FFFFFF"/>
                <w:lang w:val="en-US" w:eastAsia="zh-CN"/>
              </w:rPr>
              <w:t>二标段：</w:t>
            </w:r>
            <w:r>
              <w:rPr>
                <w:rFonts w:hint="eastAsia"/>
                <w:b/>
                <w:bCs/>
                <w:highlight w:val="none"/>
                <w:shd w:val="clear" w:color="auto" w:fill="FFFFFF"/>
                <w:lang w:eastAsia="zh-CN"/>
              </w:rPr>
              <w:t>1851482.24</w:t>
            </w:r>
            <w:r>
              <w:rPr>
                <w:rFonts w:hint="eastAsia"/>
                <w:b/>
                <w:bCs/>
                <w:highlight w:val="none"/>
                <w:shd w:val="clear" w:color="auto" w:fill="FFFFFF"/>
                <w:lang w:val="en-US" w:eastAsia="zh-CN"/>
              </w:rPr>
              <w:t>元。</w:t>
            </w:r>
          </w:p>
          <w:p>
            <w:pPr>
              <w:wordWrap/>
              <w:topLinePunct w:val="0"/>
              <w:spacing w:line="360" w:lineRule="auto"/>
              <w:rPr>
                <w:highlight w:val="none"/>
              </w:rPr>
            </w:pPr>
            <w:r>
              <w:rPr>
                <w:rFonts w:hint="eastAsia"/>
                <w:kern w:val="0"/>
                <w:highlight w:val="none"/>
                <w:shd w:val="clear" w:color="auto" w:fill="FFFFFF"/>
              </w:rPr>
              <w:t>响应人的投标报价超出采购预算价的视为无效报价，其投标按废标处理。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pPr>
              <w:wordWrap/>
              <w:topLinePunct w:val="0"/>
              <w:spacing w:line="360" w:lineRule="auto"/>
              <w:jc w:val="center"/>
            </w:pPr>
            <w:r>
              <w:rPr>
                <w:rFonts w:hint="eastAsia"/>
              </w:rPr>
              <w:t>8</w:t>
            </w:r>
          </w:p>
        </w:tc>
        <w:tc>
          <w:tcPr>
            <w:tcW w:w="2682" w:type="dxa"/>
            <w:noWrap/>
            <w:vAlign w:val="center"/>
          </w:tcPr>
          <w:p>
            <w:pPr>
              <w:wordWrap/>
              <w:topLinePunct w:val="0"/>
              <w:spacing w:line="360" w:lineRule="auto"/>
              <w:jc w:val="center"/>
            </w:pPr>
            <w:r>
              <w:rPr>
                <w:rFonts w:hint="eastAsia"/>
              </w:rPr>
              <w:t>采购项目性质</w:t>
            </w:r>
          </w:p>
        </w:tc>
        <w:tc>
          <w:tcPr>
            <w:tcW w:w="6163" w:type="dxa"/>
            <w:noWrap/>
          </w:tcPr>
          <w:p>
            <w:pPr>
              <w:wordWrap/>
              <w:topLinePunct w:val="0"/>
              <w:spacing w:line="360" w:lineRule="auto"/>
            </w:pPr>
            <w:r>
              <w:rPr>
                <w:rFonts w:hint="eastAsia"/>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pPr>
              <w:wordWrap/>
              <w:topLinePunct w:val="0"/>
              <w:spacing w:line="360" w:lineRule="auto"/>
              <w:jc w:val="center"/>
            </w:pPr>
            <w:r>
              <w:rPr>
                <w:rFonts w:hint="eastAsia"/>
              </w:rPr>
              <w:t>9</w:t>
            </w:r>
          </w:p>
        </w:tc>
        <w:tc>
          <w:tcPr>
            <w:tcW w:w="2682" w:type="dxa"/>
            <w:noWrap/>
            <w:vAlign w:val="center"/>
          </w:tcPr>
          <w:p>
            <w:pPr>
              <w:wordWrap/>
              <w:topLinePunct w:val="0"/>
              <w:spacing w:line="360" w:lineRule="auto"/>
              <w:jc w:val="center"/>
            </w:pPr>
            <w:r>
              <w:rPr>
                <w:rFonts w:hint="eastAsia"/>
              </w:rPr>
              <w:t>资金落实情况</w:t>
            </w:r>
          </w:p>
        </w:tc>
        <w:tc>
          <w:tcPr>
            <w:tcW w:w="6163" w:type="dxa"/>
            <w:noWrap/>
          </w:tcPr>
          <w:p>
            <w:pPr>
              <w:wordWrap/>
              <w:topLinePunct w:val="0"/>
              <w:spacing w:line="360" w:lineRule="auto"/>
            </w:pPr>
            <w:r>
              <w:rPr>
                <w:rFonts w:hint="eastAsia"/>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pPr>
              <w:wordWrap/>
              <w:topLinePunct w:val="0"/>
              <w:spacing w:line="360" w:lineRule="auto"/>
              <w:jc w:val="center"/>
            </w:pPr>
            <w:r>
              <w:rPr>
                <w:rFonts w:hint="eastAsia"/>
              </w:rPr>
              <w:t>10</w:t>
            </w:r>
          </w:p>
        </w:tc>
        <w:tc>
          <w:tcPr>
            <w:tcW w:w="2682" w:type="dxa"/>
            <w:noWrap/>
            <w:vAlign w:val="center"/>
          </w:tcPr>
          <w:p>
            <w:pPr>
              <w:wordWrap/>
              <w:topLinePunct w:val="0"/>
              <w:spacing w:line="360" w:lineRule="auto"/>
              <w:jc w:val="center"/>
            </w:pPr>
            <w:r>
              <w:rPr>
                <w:rFonts w:hint="eastAsia"/>
              </w:rPr>
              <w:t>采购范围</w:t>
            </w:r>
          </w:p>
        </w:tc>
        <w:tc>
          <w:tcPr>
            <w:tcW w:w="6163" w:type="dxa"/>
            <w:noWrap/>
          </w:tcPr>
          <w:p>
            <w:pPr>
              <w:wordWrap/>
              <w:topLinePunct w:val="0"/>
              <w:spacing w:line="360" w:lineRule="auto"/>
            </w:pPr>
            <w:r>
              <w:rPr>
                <w:rFonts w:hint="eastAsia"/>
                <w:shd w:val="clear" w:color="auto" w:fill="FFFFFF"/>
              </w:rPr>
              <w:t>工程量清单</w:t>
            </w:r>
            <w:r>
              <w:rPr>
                <w:rFonts w:hint="eastAsia"/>
                <w:shd w:val="clear" w:color="auto" w:fill="FFFFFF"/>
                <w:lang w:val="en-US" w:eastAsia="zh-CN"/>
              </w:rPr>
              <w:t>及竞争性磋商文件内</w:t>
            </w:r>
            <w:r>
              <w:rPr>
                <w:rFonts w:hint="eastAsia"/>
                <w:shd w:val="clear" w:color="auto" w:fill="FFFFFF"/>
              </w:rPr>
              <w:t>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pPr>
              <w:wordWrap/>
              <w:topLinePunct w:val="0"/>
              <w:spacing w:line="360" w:lineRule="auto"/>
              <w:jc w:val="center"/>
            </w:pPr>
            <w:r>
              <w:rPr>
                <w:rFonts w:hint="eastAsia"/>
              </w:rPr>
              <w:t>11</w:t>
            </w:r>
          </w:p>
        </w:tc>
        <w:tc>
          <w:tcPr>
            <w:tcW w:w="2682" w:type="dxa"/>
            <w:noWrap/>
            <w:vAlign w:val="center"/>
          </w:tcPr>
          <w:p>
            <w:pPr>
              <w:wordWrap/>
              <w:topLinePunct w:val="0"/>
              <w:spacing w:line="360" w:lineRule="auto"/>
              <w:jc w:val="center"/>
              <w:rPr>
                <w:highlight w:val="none"/>
              </w:rPr>
            </w:pPr>
            <w:r>
              <w:rPr>
                <w:rFonts w:hint="eastAsia"/>
                <w:highlight w:val="none"/>
              </w:rPr>
              <w:t>工期</w:t>
            </w:r>
          </w:p>
        </w:tc>
        <w:tc>
          <w:tcPr>
            <w:tcW w:w="6163" w:type="dxa"/>
            <w:noWrap/>
          </w:tcPr>
          <w:p>
            <w:pPr>
              <w:wordWrap/>
              <w:topLinePunct w:val="0"/>
              <w:spacing w:line="360" w:lineRule="auto"/>
              <w:rPr>
                <w:highlight w:val="none"/>
              </w:rPr>
            </w:pPr>
            <w:r>
              <w:rPr>
                <w:rFonts w:hint="eastAsia"/>
                <w:highlight w:val="none"/>
                <w:lang w:val="en-US" w:eastAsia="zh-CN"/>
              </w:rPr>
              <w:t>各标段：</w:t>
            </w:r>
            <w:r>
              <w:rPr>
                <w:rFonts w:hint="eastAsia"/>
                <w:highlight w:val="none"/>
                <w:lang w:eastAsia="zh-CN"/>
              </w:rPr>
              <w:t>合同签订后</w:t>
            </w:r>
            <w:r>
              <w:rPr>
                <w:rFonts w:hint="eastAsia"/>
                <w:highlight w:val="none"/>
                <w:lang w:val="en-US" w:eastAsia="zh-CN"/>
              </w:rPr>
              <w:t>30日历天内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pPr>
              <w:wordWrap/>
              <w:topLinePunct w:val="0"/>
              <w:spacing w:line="360" w:lineRule="auto"/>
              <w:jc w:val="center"/>
            </w:pPr>
            <w:r>
              <w:rPr>
                <w:rFonts w:hint="eastAsia"/>
              </w:rPr>
              <w:t>12</w:t>
            </w:r>
          </w:p>
        </w:tc>
        <w:tc>
          <w:tcPr>
            <w:tcW w:w="2682" w:type="dxa"/>
            <w:noWrap/>
            <w:vAlign w:val="center"/>
          </w:tcPr>
          <w:p>
            <w:pPr>
              <w:wordWrap/>
              <w:topLinePunct w:val="0"/>
              <w:spacing w:line="360" w:lineRule="auto"/>
              <w:jc w:val="center"/>
            </w:pPr>
            <w:r>
              <w:rPr>
                <w:rFonts w:hint="eastAsia"/>
              </w:rPr>
              <w:t>质量标准</w:t>
            </w:r>
          </w:p>
        </w:tc>
        <w:tc>
          <w:tcPr>
            <w:tcW w:w="6163" w:type="dxa"/>
            <w:noWrap/>
            <w:vAlign w:val="bottom"/>
          </w:tcPr>
          <w:p>
            <w:pPr>
              <w:wordWrap/>
              <w:topLinePunct w:val="0"/>
              <w:spacing w:line="360" w:lineRule="auto"/>
            </w:pPr>
            <w:r>
              <w:rPr>
                <w:rFonts w:hint="eastAsia" w:cs="黑体"/>
                <w:kern w:val="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pPr>
              <w:wordWrap/>
              <w:topLinePunct w:val="0"/>
              <w:spacing w:line="360" w:lineRule="auto"/>
              <w:jc w:val="center"/>
            </w:pPr>
            <w:r>
              <w:rPr>
                <w:rFonts w:hint="eastAsia"/>
              </w:rPr>
              <w:t>13</w:t>
            </w:r>
          </w:p>
        </w:tc>
        <w:tc>
          <w:tcPr>
            <w:tcW w:w="2682" w:type="dxa"/>
            <w:noWrap/>
            <w:vAlign w:val="center"/>
          </w:tcPr>
          <w:p>
            <w:pPr>
              <w:wordWrap/>
              <w:topLinePunct w:val="0"/>
              <w:spacing w:line="360" w:lineRule="auto"/>
              <w:jc w:val="center"/>
            </w:pPr>
            <w:r>
              <w:rPr>
                <w:rFonts w:hint="eastAsia"/>
              </w:rPr>
              <w:t>※响应人资质要求</w:t>
            </w:r>
          </w:p>
        </w:tc>
        <w:tc>
          <w:tcPr>
            <w:tcW w:w="6163" w:type="dxa"/>
            <w:noWrap/>
          </w:tcPr>
          <w:p>
            <w:pPr>
              <w:rPr>
                <w:rFonts w:hint="eastAsia"/>
              </w:rPr>
            </w:pPr>
            <w:r>
              <w:rPr>
                <w:rFonts w:hint="eastAsia"/>
              </w:rPr>
              <w:t>1、符合《政府采购法》第二十二条之规定；</w:t>
            </w:r>
          </w:p>
          <w:p>
            <w:pPr>
              <w:rPr>
                <w:rFonts w:hint="eastAsia"/>
              </w:rPr>
            </w:pPr>
            <w:r>
              <w:rPr>
                <w:rFonts w:hint="eastAsia"/>
              </w:rPr>
              <w:t>（1）具有独立承担民事责任的能力；</w:t>
            </w:r>
          </w:p>
          <w:p>
            <w:pPr>
              <w:rPr>
                <w:rFonts w:hint="eastAsia"/>
              </w:rPr>
            </w:pPr>
            <w:r>
              <w:rPr>
                <w:rFonts w:hint="eastAsia"/>
              </w:rPr>
              <w:t>（2）具有良好的商业信誉和健全的财务会计制度；</w:t>
            </w:r>
          </w:p>
          <w:p>
            <w:pPr>
              <w:rPr>
                <w:rFonts w:hint="eastAsia"/>
              </w:rPr>
            </w:pPr>
            <w:r>
              <w:rPr>
                <w:rFonts w:hint="eastAsia"/>
              </w:rPr>
              <w:t>（3）具有履行合同所必需的设备和专业技术能力（提供承诺书，格式自拟）；</w:t>
            </w:r>
          </w:p>
          <w:p>
            <w:pPr>
              <w:rPr>
                <w:rFonts w:hint="eastAsia"/>
              </w:rPr>
            </w:pPr>
            <w:r>
              <w:rPr>
                <w:rFonts w:hint="eastAsia"/>
              </w:rPr>
              <w:t>（4）有依法缴纳税收和社会保障资金的良好记录</w:t>
            </w:r>
            <w:r>
              <w:rPr>
                <w:rFonts w:hint="eastAsia"/>
                <w:lang w:eastAsia="zh-CN"/>
              </w:rPr>
              <w:t>（提供近期任意</w:t>
            </w:r>
            <w:r>
              <w:rPr>
                <w:rFonts w:hint="eastAsia"/>
                <w:lang w:val="en-US" w:eastAsia="zh-CN"/>
              </w:rPr>
              <w:t>1</w:t>
            </w:r>
            <w:r>
              <w:rPr>
                <w:rFonts w:hint="eastAsia"/>
                <w:lang w:eastAsia="zh-CN"/>
              </w:rPr>
              <w:t>个月依法缴纳税收和社会保障资金证明材料）</w:t>
            </w:r>
            <w:r>
              <w:rPr>
                <w:rFonts w:hint="eastAsia"/>
              </w:rPr>
              <w:t>；</w:t>
            </w:r>
          </w:p>
          <w:p>
            <w:pPr>
              <w:rPr>
                <w:rFonts w:hint="eastAsia"/>
              </w:rPr>
            </w:pPr>
            <w:r>
              <w:rPr>
                <w:rFonts w:hint="eastAsia"/>
              </w:rPr>
              <w:t>（5）参加政府采购活动前三年内，在经营活动中没有重大违法记录（提供承诺书，格式自拟）；</w:t>
            </w:r>
          </w:p>
          <w:p>
            <w:pPr>
              <w:rPr>
                <w:rFonts w:hint="eastAsia"/>
              </w:rPr>
            </w:pPr>
            <w:r>
              <w:rPr>
                <w:rFonts w:hint="eastAsia"/>
              </w:rPr>
              <w:t>（6）法律、行政法规规定的其他条件。</w:t>
            </w:r>
          </w:p>
          <w:p>
            <w:pPr>
              <w:rPr>
                <w:rFonts w:hint="eastAsia"/>
              </w:rPr>
            </w:pPr>
            <w:r>
              <w:rPr>
                <w:rFonts w:hint="eastAsia"/>
              </w:rPr>
              <w:t>2.落实政府采购政策需满足的资格要求：</w:t>
            </w:r>
            <w:r>
              <w:rPr>
                <w:rFonts w:hint="eastAsia"/>
                <w:lang w:eastAsia="zh-CN"/>
              </w:rPr>
              <w:t>本项目执行优先采购节能产品、环境标志产品，扶持中小企业、监狱企业、残疾人福利性单位发展政策。</w:t>
            </w:r>
          </w:p>
          <w:p>
            <w:pPr>
              <w:rPr>
                <w:rFonts w:hint="eastAsia"/>
                <w:lang w:val="en-US" w:eastAsia="zh-CN"/>
              </w:rPr>
            </w:pPr>
            <w:r>
              <w:rPr>
                <w:rFonts w:hint="eastAsia"/>
                <w:lang w:val="en-US" w:eastAsia="zh-CN"/>
              </w:rPr>
              <w:t>3、本项目的特定资格要求</w:t>
            </w:r>
          </w:p>
          <w:p>
            <w:pPr>
              <w:rPr>
                <w:rFonts w:hint="eastAsia"/>
                <w:lang w:val="en-US" w:eastAsia="zh-CN"/>
              </w:rPr>
            </w:pPr>
            <w:r>
              <w:rPr>
                <w:rFonts w:hint="eastAsia"/>
                <w:lang w:val="en-US" w:eastAsia="zh-CN"/>
              </w:rPr>
              <w:t>3.1独立法人资格，提供有效的营业执照；</w:t>
            </w:r>
          </w:p>
          <w:p>
            <w:pPr>
              <w:rPr>
                <w:rFonts w:hint="eastAsia"/>
                <w:lang w:val="en-US" w:eastAsia="zh-CN"/>
              </w:rPr>
            </w:pPr>
            <w:r>
              <w:rPr>
                <w:rFonts w:hint="eastAsia"/>
                <w:lang w:val="en-US" w:eastAsia="zh-CN"/>
              </w:rPr>
              <w:t>3.2投标人须具备市政公用工程施工总承包叁级及以上资质，</w:t>
            </w:r>
            <w:r>
              <w:rPr>
                <w:rFonts w:hint="default"/>
                <w:lang w:val="en-US" w:eastAsia="zh-CN"/>
              </w:rPr>
              <w:t>并</w:t>
            </w:r>
            <w:r>
              <w:rPr>
                <w:rFonts w:hint="eastAsia"/>
                <w:lang w:val="en-US" w:eastAsia="zh-CN"/>
              </w:rPr>
              <w:t>具有有效的安全生产许可证；拟任项目经理须具备相关专业贰级及以上注册建造师执业资格（不含临时执业证），具备有效的安全生产考核合格证书，且项目经理不得在其他在建项目中担任职务；</w:t>
            </w:r>
          </w:p>
          <w:p>
            <w:pPr>
              <w:rPr>
                <w:rFonts w:hint="eastAsia"/>
                <w:lang w:val="en-US" w:eastAsia="zh-CN"/>
              </w:rPr>
            </w:pPr>
            <w:r>
              <w:rPr>
                <w:rFonts w:hint="eastAsia"/>
                <w:lang w:val="en-US" w:eastAsia="zh-CN"/>
              </w:rPr>
              <w:t>3.3依据财库[2016]125号文件规定，对列入失信被执行人、重大税收违法失信主体、政府采购严重违法失信行为记录名单的供应商，拒绝其参与本项目招投标活动。响应人需提供规范的信用报告，信用报告应通过“信用中国”网站(www.creditchina.gov.cn)下载，生成日期不得早于公告发布日期，中国政府采购网(www.ccgp.gov.cn)查询政府采购严重违法失信行为记录名单（提供招标公告发布之后的网站查询结果截图）</w:t>
            </w:r>
          </w:p>
          <w:p>
            <w:pPr>
              <w:rPr>
                <w:rFonts w:hint="eastAsia"/>
              </w:rPr>
            </w:pPr>
            <w:r>
              <w:rPr>
                <w:rFonts w:hint="eastAsia"/>
                <w:lang w:val="en-US" w:eastAsia="zh-CN"/>
              </w:rPr>
              <w:t>3.4</w:t>
            </w:r>
            <w:r>
              <w:rPr>
                <w:rFonts w:hint="eastAsia"/>
              </w:rPr>
              <w:t>供应商需提供无行贿犯罪记录承诺函（承诺对象包括：供应商、法定代表人、授权委托人）,并对其真实性负责，若承诺不实，造成的后果由供应商自行负责；</w:t>
            </w:r>
          </w:p>
          <w:p>
            <w:pPr>
              <w:rPr>
                <w:rFonts w:hint="eastAsia"/>
              </w:rPr>
            </w:pPr>
            <w:r>
              <w:rPr>
                <w:rFonts w:hint="eastAsia"/>
                <w:lang w:val="en-US" w:eastAsia="zh-CN"/>
              </w:rPr>
              <w:t>3.5</w:t>
            </w:r>
            <w:r>
              <w:rPr>
                <w:rFonts w:hint="eastAsia"/>
              </w:rPr>
              <w:t>本项目不接受联合体投标，不得分包转包；</w:t>
            </w:r>
          </w:p>
          <w:p>
            <w:r>
              <w:rPr>
                <w:rFonts w:hint="eastAsia"/>
              </w:rPr>
              <w:t>本项目采用资格后审，审查内容以投标截止时间前填报上传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48" w:type="dxa"/>
            <w:noWrap/>
            <w:vAlign w:val="center"/>
          </w:tcPr>
          <w:p>
            <w:pPr>
              <w:wordWrap/>
              <w:topLinePunct w:val="0"/>
              <w:spacing w:line="360" w:lineRule="auto"/>
              <w:jc w:val="center"/>
            </w:pPr>
            <w:r>
              <w:rPr>
                <w:rFonts w:hint="eastAsia"/>
              </w:rPr>
              <w:t>14</w:t>
            </w:r>
          </w:p>
        </w:tc>
        <w:tc>
          <w:tcPr>
            <w:tcW w:w="2682" w:type="dxa"/>
            <w:noWrap/>
            <w:vAlign w:val="center"/>
          </w:tcPr>
          <w:p>
            <w:pPr>
              <w:wordWrap/>
              <w:topLinePunct w:val="0"/>
              <w:spacing w:line="360" w:lineRule="auto"/>
              <w:jc w:val="center"/>
            </w:pPr>
            <w:r>
              <w:rPr>
                <w:rFonts w:hint="eastAsia"/>
              </w:rPr>
              <w:t>是否接受联合体参加磋商</w:t>
            </w:r>
          </w:p>
        </w:tc>
        <w:tc>
          <w:tcPr>
            <w:tcW w:w="6163" w:type="dxa"/>
            <w:noWrap/>
          </w:tcPr>
          <w:p>
            <w:pPr>
              <w:wordWrap/>
              <w:topLinePunct w:val="0"/>
              <w:spacing w:line="360" w:lineRule="auto"/>
            </w:pPr>
            <w:r>
              <w:rPr>
                <w:rFonts w:hint="eastAsia"/>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48" w:type="dxa"/>
            <w:noWrap/>
            <w:vAlign w:val="center"/>
          </w:tcPr>
          <w:p>
            <w:pPr>
              <w:wordWrap/>
              <w:topLinePunct w:val="0"/>
              <w:spacing w:line="360" w:lineRule="auto"/>
              <w:jc w:val="center"/>
            </w:pPr>
            <w:r>
              <w:rPr>
                <w:rFonts w:hint="eastAsia"/>
              </w:rPr>
              <w:t>15</w:t>
            </w:r>
          </w:p>
        </w:tc>
        <w:tc>
          <w:tcPr>
            <w:tcW w:w="2682" w:type="dxa"/>
            <w:noWrap/>
            <w:vAlign w:val="center"/>
          </w:tcPr>
          <w:p>
            <w:pPr>
              <w:wordWrap/>
              <w:topLinePunct w:val="0"/>
              <w:spacing w:line="360" w:lineRule="auto"/>
              <w:jc w:val="center"/>
            </w:pPr>
            <w:r>
              <w:rPr>
                <w:rFonts w:hint="eastAsia"/>
              </w:rPr>
              <w:t>现场考察</w:t>
            </w:r>
          </w:p>
        </w:tc>
        <w:tc>
          <w:tcPr>
            <w:tcW w:w="6163" w:type="dxa"/>
            <w:noWrap/>
            <w:vAlign w:val="center"/>
          </w:tcPr>
          <w:p>
            <w:pPr>
              <w:wordWrap/>
              <w:topLinePunct w:val="0"/>
              <w:spacing w:line="360" w:lineRule="auto"/>
            </w:pPr>
            <w:r>
              <w:rPr>
                <w:rFonts w:hint="eastAsia"/>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8" w:type="dxa"/>
            <w:noWrap/>
            <w:vAlign w:val="center"/>
          </w:tcPr>
          <w:p>
            <w:pPr>
              <w:wordWrap/>
              <w:topLinePunct w:val="0"/>
              <w:spacing w:line="360" w:lineRule="auto"/>
              <w:jc w:val="center"/>
            </w:pPr>
            <w:r>
              <w:rPr>
                <w:rFonts w:hint="eastAsia"/>
              </w:rPr>
              <w:t>16</w:t>
            </w:r>
          </w:p>
        </w:tc>
        <w:tc>
          <w:tcPr>
            <w:tcW w:w="2682" w:type="dxa"/>
            <w:noWrap/>
            <w:vAlign w:val="center"/>
          </w:tcPr>
          <w:p>
            <w:pPr>
              <w:wordWrap/>
              <w:topLinePunct w:val="0"/>
              <w:spacing w:line="360" w:lineRule="auto"/>
              <w:ind w:left="38" w:leftChars="18"/>
              <w:jc w:val="center"/>
            </w:pPr>
            <w:r>
              <w:rPr>
                <w:rFonts w:hint="eastAsia"/>
              </w:rPr>
              <w:t>答 疑 会</w:t>
            </w:r>
          </w:p>
        </w:tc>
        <w:tc>
          <w:tcPr>
            <w:tcW w:w="6163" w:type="dxa"/>
            <w:noWrap/>
            <w:vAlign w:val="center"/>
          </w:tcPr>
          <w:p>
            <w:pPr>
              <w:tabs>
                <w:tab w:val="left" w:pos="720"/>
                <w:tab w:val="left" w:pos="1904"/>
              </w:tabs>
              <w:wordWrap/>
              <w:topLinePunct w:val="0"/>
              <w:spacing w:line="360" w:lineRule="auto"/>
            </w:pPr>
            <w:r>
              <w:rPr>
                <w:rFonts w:hint="eastAsia"/>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8" w:type="dxa"/>
            <w:noWrap/>
            <w:vAlign w:val="center"/>
          </w:tcPr>
          <w:p>
            <w:pPr>
              <w:wordWrap/>
              <w:topLinePunct w:val="0"/>
              <w:spacing w:line="360" w:lineRule="auto"/>
              <w:jc w:val="center"/>
            </w:pPr>
            <w:r>
              <w:rPr>
                <w:rFonts w:hint="eastAsia"/>
              </w:rPr>
              <w:t>17</w:t>
            </w:r>
          </w:p>
        </w:tc>
        <w:tc>
          <w:tcPr>
            <w:tcW w:w="2682" w:type="dxa"/>
            <w:noWrap/>
            <w:vAlign w:val="center"/>
          </w:tcPr>
          <w:p>
            <w:pPr>
              <w:wordWrap/>
              <w:topLinePunct w:val="0"/>
              <w:spacing w:line="360" w:lineRule="auto"/>
              <w:jc w:val="center"/>
            </w:pPr>
            <w:r>
              <w:rPr>
                <w:rFonts w:hint="eastAsia"/>
              </w:rPr>
              <w:t>分包</w:t>
            </w:r>
          </w:p>
        </w:tc>
        <w:tc>
          <w:tcPr>
            <w:tcW w:w="6163" w:type="dxa"/>
            <w:noWrap/>
            <w:vAlign w:val="center"/>
          </w:tcPr>
          <w:p>
            <w:pPr>
              <w:wordWrap/>
              <w:topLinePunct w:val="0"/>
              <w:spacing w:line="360" w:lineRule="auto"/>
            </w:pPr>
            <w:r>
              <w:rPr>
                <w:rFonts w:hint="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8" w:type="dxa"/>
            <w:noWrap/>
            <w:vAlign w:val="center"/>
          </w:tcPr>
          <w:p>
            <w:pPr>
              <w:wordWrap/>
              <w:topLinePunct w:val="0"/>
              <w:spacing w:line="360" w:lineRule="auto"/>
              <w:jc w:val="center"/>
            </w:pPr>
            <w:r>
              <w:rPr>
                <w:rFonts w:hint="eastAsia"/>
              </w:rPr>
              <w:t>18</w:t>
            </w:r>
          </w:p>
        </w:tc>
        <w:tc>
          <w:tcPr>
            <w:tcW w:w="2682" w:type="dxa"/>
            <w:noWrap/>
            <w:vAlign w:val="center"/>
          </w:tcPr>
          <w:p>
            <w:pPr>
              <w:wordWrap/>
              <w:topLinePunct w:val="0"/>
              <w:spacing w:line="360" w:lineRule="auto"/>
              <w:jc w:val="center"/>
            </w:pPr>
            <w:r>
              <w:rPr>
                <w:rFonts w:hint="eastAsia"/>
                <w:kern w:val="0"/>
              </w:rPr>
              <w:t>实质性偏差</w:t>
            </w:r>
          </w:p>
        </w:tc>
        <w:tc>
          <w:tcPr>
            <w:tcW w:w="6163" w:type="dxa"/>
            <w:noWrap/>
            <w:vAlign w:val="center"/>
          </w:tcPr>
          <w:p>
            <w:pPr>
              <w:wordWrap/>
              <w:topLinePunct w:val="0"/>
              <w:spacing w:line="360" w:lineRule="auto"/>
            </w:pPr>
            <w:r>
              <w:rPr>
                <w:rFonts w:hint="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8" w:type="dxa"/>
            <w:noWrap/>
            <w:vAlign w:val="center"/>
          </w:tcPr>
          <w:p>
            <w:pPr>
              <w:wordWrap/>
              <w:topLinePunct w:val="0"/>
              <w:spacing w:line="360" w:lineRule="auto"/>
              <w:jc w:val="center"/>
            </w:pPr>
            <w:r>
              <w:rPr>
                <w:rFonts w:hint="eastAsia"/>
              </w:rPr>
              <w:t>19</w:t>
            </w:r>
          </w:p>
        </w:tc>
        <w:tc>
          <w:tcPr>
            <w:tcW w:w="2682" w:type="dxa"/>
            <w:noWrap/>
            <w:vAlign w:val="center"/>
          </w:tcPr>
          <w:p>
            <w:pPr>
              <w:wordWrap/>
              <w:topLinePunct w:val="0"/>
              <w:spacing w:line="360" w:lineRule="auto"/>
              <w:jc w:val="center"/>
            </w:pPr>
            <w:r>
              <w:rPr>
                <w:rFonts w:hint="eastAsia"/>
              </w:rPr>
              <w:t>是否接受选择性报价方案</w:t>
            </w:r>
          </w:p>
        </w:tc>
        <w:tc>
          <w:tcPr>
            <w:tcW w:w="6163" w:type="dxa"/>
            <w:noWrap/>
            <w:vAlign w:val="center"/>
          </w:tcPr>
          <w:p>
            <w:pPr>
              <w:wordWrap/>
              <w:topLinePunct w:val="0"/>
              <w:spacing w:line="360" w:lineRule="auto"/>
            </w:pPr>
            <w:r>
              <w:rPr>
                <w:rFonts w:hint="eastAsia"/>
              </w:rPr>
              <w:t>不接受：首次响应文件只允许一个报价方案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48" w:type="dxa"/>
            <w:noWrap/>
            <w:vAlign w:val="center"/>
          </w:tcPr>
          <w:p>
            <w:pPr>
              <w:wordWrap/>
              <w:topLinePunct w:val="0"/>
              <w:spacing w:line="360" w:lineRule="auto"/>
              <w:jc w:val="center"/>
            </w:pPr>
            <w:r>
              <w:rPr>
                <w:rFonts w:hint="eastAsia"/>
              </w:rPr>
              <w:t>20</w:t>
            </w:r>
          </w:p>
        </w:tc>
        <w:tc>
          <w:tcPr>
            <w:tcW w:w="2682" w:type="dxa"/>
            <w:noWrap/>
            <w:vAlign w:val="center"/>
          </w:tcPr>
          <w:p>
            <w:pPr>
              <w:wordWrap/>
              <w:topLinePunct w:val="0"/>
              <w:spacing w:line="360" w:lineRule="auto"/>
              <w:jc w:val="center"/>
            </w:pPr>
            <w:r>
              <w:rPr>
                <w:rFonts w:hint="eastAsia"/>
              </w:rPr>
              <w:t>构成竞争性磋商文件的其他材料</w:t>
            </w:r>
          </w:p>
        </w:tc>
        <w:tc>
          <w:tcPr>
            <w:tcW w:w="6163" w:type="dxa"/>
            <w:noWrap/>
            <w:vAlign w:val="center"/>
          </w:tcPr>
          <w:p>
            <w:pPr>
              <w:wordWrap/>
              <w:topLinePunct w:val="0"/>
              <w:spacing w:line="360" w:lineRule="auto"/>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8" w:type="dxa"/>
            <w:noWrap/>
            <w:vAlign w:val="center"/>
          </w:tcPr>
          <w:p>
            <w:pPr>
              <w:wordWrap/>
              <w:topLinePunct w:val="0"/>
              <w:spacing w:line="360" w:lineRule="auto"/>
              <w:jc w:val="center"/>
            </w:pPr>
            <w:r>
              <w:rPr>
                <w:rFonts w:hint="eastAsia"/>
              </w:rPr>
              <w:t>21</w:t>
            </w:r>
          </w:p>
        </w:tc>
        <w:tc>
          <w:tcPr>
            <w:tcW w:w="2682" w:type="dxa"/>
            <w:noWrap/>
            <w:vAlign w:val="center"/>
          </w:tcPr>
          <w:p>
            <w:pPr>
              <w:spacing w:before="156" w:beforeLines="50"/>
              <w:jc w:val="center"/>
              <w:rPr>
                <w:highlight w:val="none"/>
              </w:rPr>
            </w:pPr>
            <w:r>
              <w:rPr>
                <w:rFonts w:ascii="宋体" w:hAnsi="宋体"/>
                <w:color w:val="auto"/>
                <w:sz w:val="21"/>
                <w:szCs w:val="21"/>
                <w:highlight w:val="none"/>
              </w:rPr>
              <w:t>竞争性磋商文件的澄清</w:t>
            </w:r>
          </w:p>
        </w:tc>
        <w:tc>
          <w:tcPr>
            <w:tcW w:w="6163" w:type="dxa"/>
            <w:noWrap/>
            <w:vAlign w:val="center"/>
          </w:tcPr>
          <w:p>
            <w:pPr>
              <w:rPr>
                <w:rFonts w:ascii="宋体" w:hAnsi="宋体"/>
                <w:color w:val="auto"/>
                <w:sz w:val="21"/>
                <w:szCs w:val="21"/>
                <w:highlight w:val="none"/>
              </w:rPr>
            </w:pPr>
            <w:r>
              <w:rPr>
                <w:rFonts w:ascii="宋体" w:hAnsi="宋体"/>
                <w:color w:val="auto"/>
                <w:sz w:val="21"/>
                <w:szCs w:val="21"/>
                <w:highlight w:val="none"/>
              </w:rPr>
              <w:t>1.若供应商对磋商文件有疑点或异议，可在响应文件提交截止时间两个工作日前通知采购人，采购人将予以答复。</w:t>
            </w:r>
          </w:p>
          <w:p>
            <w:pPr>
              <w:rPr>
                <w:rFonts w:ascii="宋体" w:hAnsi="宋体"/>
                <w:color w:val="auto"/>
                <w:sz w:val="21"/>
                <w:szCs w:val="21"/>
                <w:highlight w:val="none"/>
              </w:rPr>
            </w:pPr>
            <w:r>
              <w:rPr>
                <w:rFonts w:ascii="宋体" w:hAnsi="宋体"/>
                <w:color w:val="auto"/>
                <w:sz w:val="21"/>
                <w:szCs w:val="21"/>
                <w:highlight w:val="none"/>
              </w:rPr>
              <w:t>2.提交响应文件截止时间前，采购人可以对磋商文件进行澄清或者修改，澄清或者修改的内容可能影响响应文件编制的，在提交响应文件截止之</w:t>
            </w:r>
            <w:r>
              <w:rPr>
                <w:rFonts w:hint="eastAsia" w:ascii="宋体" w:hAnsi="宋体"/>
                <w:color w:val="auto"/>
                <w:sz w:val="21"/>
                <w:szCs w:val="21"/>
                <w:highlight w:val="none"/>
              </w:rPr>
              <w:t>日</w:t>
            </w:r>
            <w:r>
              <w:rPr>
                <w:rFonts w:ascii="宋体" w:hAnsi="宋体"/>
                <w:color w:val="auto"/>
                <w:sz w:val="21"/>
                <w:szCs w:val="21"/>
                <w:highlight w:val="none"/>
              </w:rPr>
              <w:t>5日前，以公告形式通知所有获取磋商文件的供应商，供应商及时下载更正或补充文件，不足5日的，将顺延提交响应文件截止时间。更正或补充文件将作为磋商文件的组成部分，对所有供应商有约束力。</w:t>
            </w:r>
          </w:p>
          <w:p>
            <w:pPr>
              <w:rPr>
                <w:highlight w:val="none"/>
              </w:rPr>
            </w:pPr>
            <w:r>
              <w:rPr>
                <w:rFonts w:ascii="宋体" w:hAnsi="宋体"/>
                <w:color w:val="auto"/>
                <w:sz w:val="21"/>
                <w:szCs w:val="21"/>
                <w:highlight w:val="none"/>
              </w:rPr>
              <w:t>当磋商文件与更正或补充文件相矛盾时，以最后发出的更正或补充文件为准。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48" w:type="dxa"/>
            <w:noWrap/>
            <w:vAlign w:val="center"/>
          </w:tcPr>
          <w:p>
            <w:pPr>
              <w:wordWrap/>
              <w:topLinePunct w:val="0"/>
              <w:spacing w:line="360" w:lineRule="auto"/>
              <w:jc w:val="center"/>
            </w:pPr>
            <w:r>
              <w:rPr>
                <w:rFonts w:hint="eastAsia"/>
              </w:rPr>
              <w:t>22</w:t>
            </w:r>
          </w:p>
        </w:tc>
        <w:tc>
          <w:tcPr>
            <w:tcW w:w="2682" w:type="dxa"/>
            <w:noWrap/>
            <w:vAlign w:val="center"/>
          </w:tcPr>
          <w:p>
            <w:pPr>
              <w:wordWrap/>
              <w:topLinePunct w:val="0"/>
              <w:spacing w:line="360" w:lineRule="auto"/>
              <w:jc w:val="center"/>
            </w:pPr>
            <w:r>
              <w:rPr>
                <w:rFonts w:hint="eastAsia"/>
              </w:rPr>
              <w:t>竞争性磋商文件澄清发出的形式</w:t>
            </w:r>
          </w:p>
        </w:tc>
        <w:tc>
          <w:tcPr>
            <w:tcW w:w="6163" w:type="dxa"/>
            <w:noWrap/>
            <w:vAlign w:val="center"/>
          </w:tcPr>
          <w:p>
            <w:pPr>
              <w:wordWrap/>
              <w:topLinePunct w:val="0"/>
              <w:spacing w:line="360" w:lineRule="auto"/>
            </w:pPr>
            <w:r>
              <w:rPr>
                <w:rFonts w:hint="eastAsia"/>
                <w:highlight w:val="none"/>
                <w:lang w:val="en-US" w:eastAsia="zh-CN"/>
              </w:rPr>
              <w:t>公告</w:t>
            </w:r>
            <w:r>
              <w:rPr>
                <w:rFonts w:hint="eastAsia"/>
                <w:highlight w:val="none"/>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8" w:type="dxa"/>
            <w:noWrap/>
            <w:vAlign w:val="center"/>
          </w:tcPr>
          <w:p>
            <w:pPr>
              <w:wordWrap/>
              <w:topLinePunct w:val="0"/>
              <w:spacing w:line="360" w:lineRule="auto"/>
              <w:jc w:val="center"/>
            </w:pPr>
            <w:r>
              <w:rPr>
                <w:rFonts w:hint="eastAsia"/>
              </w:rPr>
              <w:t>23</w:t>
            </w:r>
          </w:p>
        </w:tc>
        <w:tc>
          <w:tcPr>
            <w:tcW w:w="2682" w:type="dxa"/>
            <w:noWrap/>
            <w:vAlign w:val="center"/>
          </w:tcPr>
          <w:p>
            <w:pPr>
              <w:wordWrap/>
              <w:topLinePunct w:val="0"/>
              <w:spacing w:line="360" w:lineRule="auto"/>
              <w:jc w:val="center"/>
            </w:pPr>
            <w:r>
              <w:rPr>
                <w:rFonts w:hint="eastAsia"/>
              </w:rPr>
              <w:t>响应人确认收到竞争性磋商文件澄清的时间</w:t>
            </w:r>
          </w:p>
        </w:tc>
        <w:tc>
          <w:tcPr>
            <w:tcW w:w="6163" w:type="dxa"/>
            <w:noWrap/>
            <w:vAlign w:val="center"/>
          </w:tcPr>
          <w:p>
            <w:pPr>
              <w:wordWrap/>
              <w:topLinePunct w:val="0"/>
              <w:spacing w:line="360" w:lineRule="auto"/>
            </w:pPr>
            <w:r>
              <w:rPr>
                <w:rFonts w:hint="eastAsia"/>
              </w:rPr>
              <w:t>在收到相应澄清文件后 24 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48" w:type="dxa"/>
            <w:noWrap/>
            <w:vAlign w:val="center"/>
          </w:tcPr>
          <w:p>
            <w:pPr>
              <w:wordWrap/>
              <w:topLinePunct w:val="0"/>
              <w:spacing w:line="360" w:lineRule="auto"/>
              <w:jc w:val="center"/>
            </w:pPr>
            <w:r>
              <w:rPr>
                <w:rFonts w:hint="eastAsia"/>
              </w:rPr>
              <w:t>24</w:t>
            </w:r>
          </w:p>
        </w:tc>
        <w:tc>
          <w:tcPr>
            <w:tcW w:w="2682" w:type="dxa"/>
            <w:noWrap/>
            <w:vAlign w:val="center"/>
          </w:tcPr>
          <w:p>
            <w:pPr>
              <w:wordWrap/>
              <w:topLinePunct w:val="0"/>
              <w:spacing w:line="360" w:lineRule="auto"/>
              <w:jc w:val="center"/>
            </w:pPr>
            <w:r>
              <w:rPr>
                <w:rFonts w:hint="eastAsia"/>
              </w:rPr>
              <w:t>竞争性磋商文件修改发出的形式</w:t>
            </w:r>
          </w:p>
        </w:tc>
        <w:tc>
          <w:tcPr>
            <w:tcW w:w="6163" w:type="dxa"/>
            <w:noWrap/>
            <w:vAlign w:val="center"/>
          </w:tcPr>
          <w:p>
            <w:pPr>
              <w:wordWrap/>
              <w:topLinePunct w:val="0"/>
              <w:spacing w:line="360" w:lineRule="auto"/>
            </w:pPr>
            <w:r>
              <w:rPr>
                <w:rFonts w:hint="eastAsia"/>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8" w:type="dxa"/>
            <w:noWrap/>
            <w:vAlign w:val="center"/>
          </w:tcPr>
          <w:p>
            <w:pPr>
              <w:wordWrap/>
              <w:topLinePunct w:val="0"/>
              <w:spacing w:line="360" w:lineRule="auto"/>
              <w:jc w:val="center"/>
            </w:pPr>
            <w:r>
              <w:rPr>
                <w:rFonts w:hint="eastAsia"/>
              </w:rPr>
              <w:t>25</w:t>
            </w:r>
          </w:p>
        </w:tc>
        <w:tc>
          <w:tcPr>
            <w:tcW w:w="2682" w:type="dxa"/>
            <w:noWrap/>
            <w:vAlign w:val="center"/>
          </w:tcPr>
          <w:p>
            <w:pPr>
              <w:wordWrap/>
              <w:topLinePunct w:val="0"/>
              <w:spacing w:line="360" w:lineRule="auto"/>
              <w:jc w:val="center"/>
            </w:pPr>
            <w:r>
              <w:rPr>
                <w:rFonts w:hint="eastAsia"/>
              </w:rPr>
              <w:t>响应人确认收到竞争性磋商文件修改的时间</w:t>
            </w:r>
          </w:p>
        </w:tc>
        <w:tc>
          <w:tcPr>
            <w:tcW w:w="6163" w:type="dxa"/>
            <w:noWrap/>
            <w:vAlign w:val="center"/>
          </w:tcPr>
          <w:p>
            <w:pPr>
              <w:wordWrap/>
              <w:topLinePunct w:val="0"/>
              <w:spacing w:line="360" w:lineRule="auto"/>
            </w:pPr>
            <w:r>
              <w:rPr>
                <w:rFonts w:hint="eastAsia"/>
              </w:rPr>
              <w:t>时间：在收到相应修改文件后 24 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noWrap/>
            <w:vAlign w:val="center"/>
          </w:tcPr>
          <w:p>
            <w:pPr>
              <w:wordWrap/>
              <w:topLinePunct w:val="0"/>
              <w:spacing w:line="360" w:lineRule="auto"/>
              <w:jc w:val="center"/>
            </w:pPr>
            <w:r>
              <w:rPr>
                <w:rFonts w:hint="eastAsia"/>
              </w:rPr>
              <w:t>26</w:t>
            </w:r>
          </w:p>
        </w:tc>
        <w:tc>
          <w:tcPr>
            <w:tcW w:w="2682" w:type="dxa"/>
            <w:noWrap/>
            <w:vAlign w:val="center"/>
          </w:tcPr>
          <w:p>
            <w:pPr>
              <w:wordWrap/>
              <w:topLinePunct w:val="0"/>
              <w:spacing w:line="360" w:lineRule="auto"/>
              <w:jc w:val="center"/>
            </w:pPr>
            <w:r>
              <w:rPr>
                <w:rFonts w:hint="eastAsia"/>
              </w:rPr>
              <w:t>磋商有效期</w:t>
            </w:r>
          </w:p>
        </w:tc>
        <w:tc>
          <w:tcPr>
            <w:tcW w:w="6163" w:type="dxa"/>
            <w:noWrap/>
          </w:tcPr>
          <w:p>
            <w:pPr>
              <w:wordWrap/>
              <w:topLinePunct w:val="0"/>
              <w:spacing w:line="360" w:lineRule="auto"/>
            </w:pPr>
            <w:r>
              <w:rPr>
                <w:rFonts w:hint="eastAsia"/>
              </w:rPr>
              <w:t>响应文件递交截止之日起</w:t>
            </w:r>
            <w:r>
              <w:rPr>
                <w:rFonts w:hint="eastAsia"/>
                <w:u w:val="single"/>
              </w:rPr>
              <w:t xml:space="preserve">  60  </w:t>
            </w:r>
            <w:r>
              <w:rPr>
                <w:rFonts w:hint="eastAsia"/>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48" w:type="dxa"/>
            <w:noWrap/>
            <w:vAlign w:val="center"/>
          </w:tcPr>
          <w:p>
            <w:pPr>
              <w:wordWrap/>
              <w:topLinePunct w:val="0"/>
              <w:spacing w:line="360" w:lineRule="auto"/>
              <w:jc w:val="center"/>
            </w:pPr>
            <w:r>
              <w:rPr>
                <w:rFonts w:hint="eastAsia"/>
              </w:rPr>
              <w:t>27</w:t>
            </w:r>
          </w:p>
        </w:tc>
        <w:tc>
          <w:tcPr>
            <w:tcW w:w="2682" w:type="dxa"/>
            <w:noWrap/>
            <w:vAlign w:val="center"/>
          </w:tcPr>
          <w:p>
            <w:pPr>
              <w:wordWrap/>
              <w:autoSpaceDE w:val="0"/>
              <w:autoSpaceDN w:val="0"/>
              <w:adjustRightInd w:val="0"/>
              <w:spacing w:line="360" w:lineRule="auto"/>
              <w:jc w:val="center"/>
              <w:rPr>
                <w:rFonts w:cs="FangSong_GB2312"/>
                <w:kern w:val="0"/>
              </w:rPr>
            </w:pPr>
            <w:r>
              <w:rPr>
                <w:rFonts w:hint="eastAsia" w:cs="FangSong_GB2312"/>
                <w:kern w:val="0"/>
              </w:rPr>
              <w:t>*磋商保证金</w:t>
            </w:r>
          </w:p>
        </w:tc>
        <w:tc>
          <w:tcPr>
            <w:tcW w:w="6163" w:type="dxa"/>
            <w:noWrap/>
            <w:vAlign w:val="center"/>
          </w:tcPr>
          <w:p>
            <w:pPr>
              <w:wordWrap/>
              <w:spacing w:line="360" w:lineRule="auto"/>
              <w:rPr>
                <w:rFonts w:cs="FangSong_GB2312"/>
                <w:kern w:val="0"/>
              </w:rPr>
            </w:pPr>
            <w:r>
              <w:rPr>
                <w:rFonts w:hint="eastAsia" w:cs="FangSong_GB2312"/>
                <w:kern w:val="0"/>
              </w:rPr>
              <w:t>本项目不缴纳磋商保证金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pPr>
              <w:wordWrap/>
              <w:topLinePunct w:val="0"/>
              <w:spacing w:line="360" w:lineRule="auto"/>
              <w:jc w:val="center"/>
            </w:pPr>
            <w:r>
              <w:rPr>
                <w:rFonts w:hint="eastAsia"/>
              </w:rPr>
              <w:t>28</w:t>
            </w:r>
          </w:p>
        </w:tc>
        <w:tc>
          <w:tcPr>
            <w:tcW w:w="2682" w:type="dxa"/>
            <w:noWrap/>
            <w:vAlign w:val="center"/>
          </w:tcPr>
          <w:p>
            <w:pPr>
              <w:widowControl/>
              <w:shd w:val="clear" w:color="auto" w:fill="FFFFFF"/>
              <w:wordWrap/>
              <w:spacing w:line="360" w:lineRule="auto"/>
              <w:jc w:val="center"/>
            </w:pPr>
            <w:r>
              <w:rPr>
                <w:rFonts w:hint="eastAsia"/>
                <w:kern w:val="0"/>
                <w:shd w:val="clear" w:color="auto" w:fill="FFFFFF"/>
              </w:rPr>
              <w:t>电子响应文件签名或盖章要求</w:t>
            </w:r>
          </w:p>
        </w:tc>
        <w:tc>
          <w:tcPr>
            <w:tcW w:w="6163" w:type="dxa"/>
            <w:noWrap/>
            <w:vAlign w:val="center"/>
          </w:tcPr>
          <w:p>
            <w:pPr>
              <w:widowControl/>
              <w:shd w:val="clear" w:color="auto" w:fill="FFFFFF"/>
              <w:wordWrap/>
              <w:spacing w:line="360" w:lineRule="auto"/>
              <w:jc w:val="left"/>
            </w:pPr>
            <w:r>
              <w:rPr>
                <w:rFonts w:hint="eastAsia"/>
                <w:kern w:val="0"/>
                <w:shd w:val="clear" w:color="auto" w:fill="FFFFFF"/>
              </w:rPr>
              <w:t>投标文件格式中规定需加盖电子签章的页面要求，供应商须加盖供应商电子公章或法定代表人电子签名。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48" w:type="dxa"/>
            <w:noWrap/>
            <w:vAlign w:val="center"/>
          </w:tcPr>
          <w:p>
            <w:pPr>
              <w:wordWrap/>
              <w:topLinePunct w:val="0"/>
              <w:spacing w:line="360" w:lineRule="auto"/>
              <w:jc w:val="center"/>
            </w:pPr>
            <w:r>
              <w:rPr>
                <w:rFonts w:hint="eastAsia"/>
              </w:rPr>
              <w:t>29</w:t>
            </w:r>
          </w:p>
        </w:tc>
        <w:tc>
          <w:tcPr>
            <w:tcW w:w="2682" w:type="dxa"/>
            <w:noWrap/>
          </w:tcPr>
          <w:p>
            <w:pPr>
              <w:pStyle w:val="39"/>
              <w:rPr>
                <w:b/>
                <w:sz w:val="20"/>
              </w:rPr>
            </w:pPr>
          </w:p>
          <w:p>
            <w:pPr>
              <w:pStyle w:val="39"/>
              <w:rPr>
                <w:b/>
                <w:sz w:val="20"/>
              </w:rPr>
            </w:pPr>
          </w:p>
          <w:p>
            <w:pPr>
              <w:pStyle w:val="39"/>
              <w:rPr>
                <w:b/>
                <w:sz w:val="20"/>
              </w:rPr>
            </w:pPr>
          </w:p>
          <w:p>
            <w:pPr>
              <w:pStyle w:val="39"/>
              <w:rPr>
                <w:b/>
                <w:sz w:val="20"/>
              </w:rPr>
            </w:pPr>
          </w:p>
          <w:p>
            <w:pPr>
              <w:pStyle w:val="39"/>
              <w:rPr>
                <w:b/>
                <w:sz w:val="20"/>
              </w:rPr>
            </w:pPr>
          </w:p>
          <w:p>
            <w:pPr>
              <w:pStyle w:val="39"/>
              <w:rPr>
                <w:b/>
                <w:sz w:val="20"/>
              </w:rPr>
            </w:pPr>
          </w:p>
          <w:p>
            <w:pPr>
              <w:pStyle w:val="39"/>
              <w:spacing w:before="6"/>
              <w:rPr>
                <w:b/>
                <w:sz w:val="25"/>
              </w:rPr>
            </w:pPr>
          </w:p>
          <w:p>
            <w:pPr>
              <w:pStyle w:val="39"/>
              <w:ind w:left="102" w:right="93"/>
              <w:jc w:val="center"/>
            </w:pPr>
            <w:r>
              <w:t>递交响应文件方式及地点</w:t>
            </w:r>
          </w:p>
        </w:tc>
        <w:tc>
          <w:tcPr>
            <w:tcW w:w="6163" w:type="dxa"/>
            <w:noWrap/>
          </w:tcPr>
          <w:p>
            <w:pPr>
              <w:pStyle w:val="39"/>
              <w:spacing w:before="131"/>
              <w:ind w:left="106" w:right="-15"/>
            </w:pPr>
            <w:r>
              <w:rPr>
                <w:rFonts w:hint="eastAsia"/>
              </w:rPr>
              <w:t>1、</w:t>
            </w:r>
            <w:r>
              <w:rPr>
                <w:rFonts w:hint="eastAsia"/>
                <w:lang w:val="en-US"/>
              </w:rPr>
              <w:t>响应</w:t>
            </w:r>
            <w:r>
              <w:rPr>
                <w:rFonts w:hint="eastAsia"/>
              </w:rPr>
              <w:t>文件递交</w:t>
            </w:r>
          </w:p>
          <w:p>
            <w:pPr>
              <w:pStyle w:val="39"/>
              <w:spacing w:before="131"/>
              <w:ind w:left="106" w:right="-15"/>
            </w:pPr>
            <w:r>
              <w:rPr>
                <w:rFonts w:hint="eastAsia"/>
                <w:lang w:val="en-US"/>
              </w:rPr>
              <w:t>供应商</w:t>
            </w:r>
            <w:r>
              <w:rPr>
                <w:rFonts w:hint="eastAsia"/>
              </w:rPr>
              <w:t>应在规定的</w:t>
            </w:r>
            <w:r>
              <w:rPr>
                <w:rFonts w:hint="eastAsia"/>
                <w:lang w:val="en-US"/>
              </w:rPr>
              <w:t>响应</w:t>
            </w:r>
            <w:r>
              <w:rPr>
                <w:rFonts w:hint="eastAsia"/>
              </w:rPr>
              <w:t>截止时间前完成</w:t>
            </w:r>
            <w:r>
              <w:rPr>
                <w:rFonts w:hint="eastAsia"/>
                <w:lang w:val="en-US"/>
              </w:rPr>
              <w:t>响应</w:t>
            </w:r>
            <w:r>
              <w:rPr>
                <w:rFonts w:hint="eastAsia"/>
              </w:rPr>
              <w:t>文件的递交。电子</w:t>
            </w:r>
            <w:r>
              <w:rPr>
                <w:rFonts w:hint="eastAsia"/>
                <w:lang w:val="en-US"/>
              </w:rPr>
              <w:t>响应</w:t>
            </w:r>
            <w:r>
              <w:rPr>
                <w:rFonts w:hint="eastAsia"/>
              </w:rPr>
              <w:t>文件（格式为:.</w:t>
            </w:r>
            <w:r>
              <w:rPr>
                <w:rFonts w:hint="eastAsia"/>
                <w:lang w:val="en-US" w:eastAsia="zh-CN"/>
              </w:rPr>
              <w:t>NYTF</w:t>
            </w:r>
            <w:r>
              <w:rPr>
                <w:rFonts w:hint="eastAsia"/>
              </w:rPr>
              <w:t>），</w:t>
            </w:r>
            <w:r>
              <w:rPr>
                <w:rFonts w:hint="eastAsia"/>
                <w:lang w:val="en-US"/>
              </w:rPr>
              <w:t>供应商</w:t>
            </w:r>
            <w:r>
              <w:rPr>
                <w:rFonts w:hint="eastAsia"/>
              </w:rPr>
              <w:t>上传时必须得到系统“上传成功”的确认回复，并认真检查电子</w:t>
            </w:r>
            <w:r>
              <w:rPr>
                <w:rFonts w:hint="eastAsia"/>
                <w:lang w:val="en-US"/>
              </w:rPr>
              <w:t>响应</w:t>
            </w:r>
            <w:r>
              <w:rPr>
                <w:rFonts w:hint="eastAsia"/>
              </w:rPr>
              <w:t>文件是否完整、正确。</w:t>
            </w:r>
          </w:p>
          <w:p>
            <w:pPr>
              <w:pStyle w:val="39"/>
              <w:spacing w:before="131"/>
              <w:ind w:left="106" w:right="-15"/>
            </w:pPr>
            <w:r>
              <w:rPr>
                <w:rFonts w:hint="eastAsia"/>
              </w:rPr>
              <w:t>2、</w:t>
            </w:r>
            <w:r>
              <w:rPr>
                <w:rFonts w:hint="eastAsia"/>
                <w:lang w:val="en-US"/>
              </w:rPr>
              <w:t>供应商</w:t>
            </w:r>
            <w:r>
              <w:rPr>
                <w:rFonts w:hint="eastAsia"/>
              </w:rPr>
              <w:t>的电子</w:t>
            </w:r>
            <w:r>
              <w:rPr>
                <w:rFonts w:hint="eastAsia"/>
                <w:lang w:val="en-US"/>
              </w:rPr>
              <w:t>响应</w:t>
            </w:r>
            <w:r>
              <w:rPr>
                <w:rFonts w:hint="eastAsia"/>
              </w:rPr>
              <w:t>文件应在采购文件规定的投标截止时间前到达交易系统。逾期到达交易系统的电子</w:t>
            </w:r>
            <w:r>
              <w:rPr>
                <w:rFonts w:hint="eastAsia"/>
                <w:lang w:val="en-US"/>
              </w:rPr>
              <w:t>响应</w:t>
            </w:r>
            <w:r>
              <w:rPr>
                <w:rFonts w:hint="eastAsia"/>
              </w:rPr>
              <w:t>文件视为放弃本</w:t>
            </w:r>
            <w:r>
              <w:rPr>
                <w:rFonts w:hint="eastAsia"/>
                <w:lang w:val="en-US"/>
              </w:rPr>
              <w:t>次投标</w:t>
            </w:r>
            <w:r>
              <w:rPr>
                <w:rFonts w:hint="eastAsia"/>
              </w:rPr>
              <w:t>。</w:t>
            </w:r>
            <w:r>
              <w:rPr>
                <w:rFonts w:hint="eastAsia"/>
                <w:lang w:val="en-US"/>
              </w:rPr>
              <w:t>网址：https://ggzyjy.nanyang.gov.cn/WCQWEB/</w:t>
            </w:r>
            <w:r>
              <w:rPr>
                <w:rFonts w:hint="eastAsia"/>
              </w:rPr>
              <w:t>。</w:t>
            </w:r>
          </w:p>
          <w:p>
            <w:pPr>
              <w:pStyle w:val="39"/>
              <w:spacing w:before="131"/>
              <w:ind w:left="106" w:right="-15"/>
            </w:pPr>
            <w:r>
              <w:rPr>
                <w:rFonts w:hint="eastAsia"/>
              </w:rPr>
              <w:t>3、</w:t>
            </w:r>
            <w:r>
              <w:rPr>
                <w:rFonts w:hint="eastAsia"/>
                <w:lang w:val="en-US"/>
              </w:rPr>
              <w:t>供应商</w:t>
            </w:r>
            <w:r>
              <w:rPr>
                <w:rFonts w:hint="eastAsia"/>
              </w:rPr>
              <w:t>应按时</w:t>
            </w:r>
            <w:r>
              <w:rPr>
                <w:rFonts w:hint="eastAsia"/>
                <w:lang w:val="en-US"/>
              </w:rPr>
              <w:t>登录不见面开标大厅参加</w:t>
            </w:r>
            <w:r>
              <w:rPr>
                <w:rFonts w:hint="eastAsia"/>
              </w:rPr>
              <w:t>开标会议，并进行</w:t>
            </w:r>
            <w:r>
              <w:rPr>
                <w:rFonts w:hint="eastAsia"/>
                <w:lang w:val="en-US"/>
              </w:rPr>
              <w:t>响应</w:t>
            </w:r>
            <w:r>
              <w:rPr>
                <w:rFonts w:hint="eastAsia"/>
              </w:rPr>
              <w:t>文件解密、答疑澄清等。</w:t>
            </w:r>
          </w:p>
          <w:p>
            <w:pPr>
              <w:pStyle w:val="39"/>
              <w:spacing w:before="131"/>
              <w:ind w:left="106" w:right="-15"/>
            </w:pPr>
            <w:r>
              <w:rPr>
                <w:rFonts w:hint="eastAsia"/>
              </w:rPr>
              <w:t>4、</w:t>
            </w:r>
            <w:r>
              <w:rPr>
                <w:rFonts w:hint="eastAsia"/>
                <w:lang w:val="en-US"/>
              </w:rPr>
              <w:t>供应商</w:t>
            </w:r>
            <w:r>
              <w:rPr>
                <w:rFonts w:hint="eastAsia"/>
              </w:rPr>
              <w:t>所上传的电子</w:t>
            </w:r>
            <w:r>
              <w:rPr>
                <w:rFonts w:hint="eastAsia"/>
                <w:lang w:val="en-US"/>
              </w:rPr>
              <w:t>响应</w:t>
            </w:r>
            <w:r>
              <w:rPr>
                <w:rFonts w:hint="eastAsia"/>
              </w:rPr>
              <w:t>文件在投标截止时间之后不予退回。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48" w:type="dxa"/>
            <w:noWrap/>
            <w:vAlign w:val="center"/>
          </w:tcPr>
          <w:p>
            <w:pPr>
              <w:wordWrap/>
              <w:topLinePunct w:val="0"/>
              <w:spacing w:line="360" w:lineRule="auto"/>
              <w:jc w:val="center"/>
            </w:pPr>
            <w:r>
              <w:rPr>
                <w:rFonts w:hint="eastAsia"/>
              </w:rPr>
              <w:t>30</w:t>
            </w:r>
          </w:p>
        </w:tc>
        <w:tc>
          <w:tcPr>
            <w:tcW w:w="2682" w:type="dxa"/>
            <w:noWrap/>
            <w:vAlign w:val="center"/>
          </w:tcPr>
          <w:p>
            <w:pPr>
              <w:wordWrap/>
              <w:topLinePunct w:val="0"/>
              <w:spacing w:line="360" w:lineRule="auto"/>
              <w:jc w:val="center"/>
            </w:pPr>
            <w:r>
              <w:rPr>
                <w:rFonts w:hint="eastAsia"/>
              </w:rPr>
              <w:t>电子投标文件递交</w:t>
            </w:r>
          </w:p>
        </w:tc>
        <w:tc>
          <w:tcPr>
            <w:tcW w:w="6163" w:type="dxa"/>
            <w:noWrap/>
            <w:vAlign w:val="center"/>
          </w:tcPr>
          <w:p>
            <w:pPr>
              <w:wordWrap/>
              <w:topLinePunct w:val="0"/>
              <w:spacing w:line="360" w:lineRule="auto"/>
            </w:pPr>
            <w:r>
              <w:t>1</w:t>
            </w:r>
            <w:r>
              <w:rPr>
                <w:rFonts w:hint="eastAsia"/>
              </w:rPr>
              <w:t>、该项目自行上传投标文件，无需寄送和递交非加密投标文件光盘等。需要注意开标前登录不见面系统进行签到；电子投标文件应在采购文件规定的投标截止时间前到达交易系统。逾期到达交易系统的电子投标文件视为放弃本次投标，采购人不予受理。</w:t>
            </w:r>
          </w:p>
          <w:p>
            <w:pPr>
              <w:wordWrap/>
              <w:topLinePunct w:val="0"/>
              <w:spacing w:line="360" w:lineRule="auto"/>
            </w:pPr>
            <w:r>
              <w:t>2</w:t>
            </w:r>
            <w:r>
              <w:rPr>
                <w:rFonts w:hint="eastAsia"/>
              </w:rPr>
              <w:t>、供应商所递交的电子投标文件在投标截止时间之后不予退回。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48" w:type="dxa"/>
            <w:noWrap/>
            <w:vAlign w:val="center"/>
          </w:tcPr>
          <w:p>
            <w:pPr>
              <w:wordWrap/>
              <w:topLinePunct w:val="0"/>
              <w:spacing w:line="360" w:lineRule="auto"/>
              <w:jc w:val="center"/>
            </w:pPr>
            <w:r>
              <w:rPr>
                <w:rFonts w:hint="eastAsia"/>
              </w:rPr>
              <w:t>31</w:t>
            </w:r>
          </w:p>
        </w:tc>
        <w:tc>
          <w:tcPr>
            <w:tcW w:w="2682" w:type="dxa"/>
            <w:noWrap/>
          </w:tcPr>
          <w:p>
            <w:pPr>
              <w:pStyle w:val="39"/>
              <w:rPr>
                <w:b/>
                <w:sz w:val="20"/>
              </w:rPr>
            </w:pPr>
          </w:p>
          <w:p>
            <w:pPr>
              <w:pStyle w:val="39"/>
              <w:spacing w:before="1"/>
              <w:ind w:left="102" w:right="93"/>
              <w:jc w:val="center"/>
            </w:pPr>
            <w:r>
              <w:t>响应文件的份数</w:t>
            </w:r>
          </w:p>
        </w:tc>
        <w:tc>
          <w:tcPr>
            <w:tcW w:w="6163" w:type="dxa"/>
            <w:noWrap/>
          </w:tcPr>
          <w:p>
            <w:pPr>
              <w:pStyle w:val="39"/>
              <w:spacing w:before="156"/>
              <w:rPr>
                <w:rFonts w:hint="eastAsia" w:eastAsia="宋体"/>
                <w:lang w:val="en-US" w:eastAsia="zh-CN" w:bidi="ar-SA"/>
              </w:rPr>
            </w:pPr>
            <w:r>
              <w:rPr>
                <w:rFonts w:hint="eastAsia"/>
                <w:lang w:val="en-US" w:bidi="ar-SA"/>
              </w:rPr>
              <w:t>供应商需在开标截止前上传一份符合要求的响应文件至社旗县公共资源交易中心系统</w:t>
            </w:r>
            <w:r>
              <w:rPr>
                <w:rFonts w:hint="eastAsia"/>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pPr>
              <w:wordWrap/>
              <w:topLinePunct w:val="0"/>
              <w:spacing w:line="360" w:lineRule="auto"/>
              <w:jc w:val="center"/>
            </w:pPr>
            <w:r>
              <w:rPr>
                <w:rFonts w:hint="eastAsia"/>
              </w:rPr>
              <w:t>32</w:t>
            </w:r>
          </w:p>
        </w:tc>
        <w:tc>
          <w:tcPr>
            <w:tcW w:w="2682" w:type="dxa"/>
            <w:noWrap/>
            <w:vAlign w:val="center"/>
          </w:tcPr>
          <w:p>
            <w:pPr>
              <w:wordWrap/>
              <w:topLinePunct w:val="0"/>
              <w:spacing w:line="360" w:lineRule="auto"/>
              <w:jc w:val="center"/>
            </w:pPr>
            <w:r>
              <w:rPr>
                <w:rFonts w:hint="eastAsia"/>
              </w:rPr>
              <w:t>开标程序</w:t>
            </w:r>
          </w:p>
        </w:tc>
        <w:tc>
          <w:tcPr>
            <w:tcW w:w="6163" w:type="dxa"/>
            <w:noWrap/>
            <w:vAlign w:val="center"/>
          </w:tcPr>
          <w:p>
            <w:pPr>
              <w:spacing w:line="360" w:lineRule="auto"/>
            </w:pPr>
            <w:r>
              <w:t>本项目采用“远程不见面”开标方式，不见面开标大厅地址</w:t>
            </w:r>
            <w:r>
              <w:rPr>
                <w:rFonts w:hint="eastAsia"/>
                <w:lang w:eastAsia="zh-CN"/>
              </w:rPr>
              <w:t>https://ggzyjy.nanyang.gov.cn/BidOpening/bidopeninghallaction/hall/login</w:t>
            </w:r>
            <w:r>
              <w:t>，供应商无需到南阳市</w:t>
            </w:r>
            <w:r>
              <w:rPr>
                <w:rFonts w:hint="eastAsia"/>
                <w:lang w:val="en-US" w:eastAsia="zh-CN"/>
              </w:rPr>
              <w:t>社旗县</w:t>
            </w:r>
            <w:r>
              <w:t>公共资源交易中心现场参加开标会议，无需到达现场提交原件资料。供应商应当在投标截止时间前，登录远程开标大厅，在线准时参加开标活动并进行文件解密、答疑澄清等。各供应商应在规定时间内对本单位的</w:t>
            </w:r>
            <w:r>
              <w:rPr>
                <w:rFonts w:hint="eastAsia"/>
              </w:rPr>
              <w:t>响应文件</w:t>
            </w:r>
            <w:r>
              <w:t>现场解密，因加密电子</w:t>
            </w:r>
            <w:r>
              <w:rPr>
                <w:rFonts w:hint="eastAsia"/>
              </w:rPr>
              <w:t>响应文件</w:t>
            </w:r>
            <w:r>
              <w:t>未能成功上传或误传而导致的解密失败，投标将被拒绝。</w:t>
            </w:r>
          </w:p>
          <w:p>
            <w:pPr>
              <w:spacing w:line="360" w:lineRule="auto"/>
            </w:pPr>
            <w:r>
              <w:t>1、</w:t>
            </w:r>
            <w:r>
              <w:rPr>
                <w:rFonts w:hint="eastAsia"/>
              </w:rPr>
              <w:t>供应商</w:t>
            </w:r>
            <w:r>
              <w:t>代表持本单位CA数字证书提前登录不见面开标系统。</w:t>
            </w:r>
          </w:p>
          <w:p>
            <w:pPr>
              <w:spacing w:line="360" w:lineRule="auto"/>
            </w:pPr>
            <w:r>
              <w:t>2、开标时间到，在线公布</w:t>
            </w:r>
            <w:r>
              <w:rPr>
                <w:rFonts w:hint="eastAsia"/>
              </w:rPr>
              <w:t>供应商</w:t>
            </w:r>
            <w:r>
              <w:t>、</w:t>
            </w:r>
            <w:r>
              <w:rPr>
                <w:rFonts w:hint="eastAsia"/>
              </w:rPr>
              <w:t>采购人</w:t>
            </w:r>
            <w:r>
              <w:t>代表、监标人等有关名单。并退回不符合要求的</w:t>
            </w:r>
            <w:r>
              <w:rPr>
                <w:rFonts w:hint="eastAsia"/>
              </w:rPr>
              <w:t>响应文件</w:t>
            </w:r>
            <w:r>
              <w:t>。</w:t>
            </w:r>
          </w:p>
          <w:p>
            <w:pPr>
              <w:spacing w:line="360" w:lineRule="auto"/>
            </w:pPr>
            <w:r>
              <w:t xml:space="preserve">3、开标顺序： </w:t>
            </w:r>
          </w:p>
          <w:p>
            <w:pPr>
              <w:spacing w:line="360" w:lineRule="auto"/>
            </w:pPr>
            <w:r>
              <w:t>①</w:t>
            </w:r>
            <w:r>
              <w:rPr>
                <w:rFonts w:hint="eastAsia"/>
              </w:rPr>
              <w:t>供应商</w:t>
            </w:r>
            <w:r>
              <w:t>解密：投标企业制作电子</w:t>
            </w:r>
            <w:r>
              <w:rPr>
                <w:rFonts w:hint="eastAsia"/>
              </w:rPr>
              <w:t>响应文件</w:t>
            </w:r>
            <w:r>
              <w:t>时，必须使用本单位企业数字证书进行加密，投标企业在开标前须自行检查数字证书有效性。在解密时间到达后，系统做出解密提示，请各</w:t>
            </w:r>
            <w:r>
              <w:rPr>
                <w:rFonts w:hint="eastAsia"/>
              </w:rPr>
              <w:t>供应商</w:t>
            </w:r>
            <w:r>
              <w:t>自行解密即可。开标解密时未解密成功的视为撤销其</w:t>
            </w:r>
            <w:r>
              <w:rPr>
                <w:rFonts w:hint="eastAsia"/>
              </w:rPr>
              <w:t>响应文件</w:t>
            </w:r>
            <w:r>
              <w:t>（因电子开标系统原因除外）。</w:t>
            </w:r>
          </w:p>
          <w:p>
            <w:pPr>
              <w:spacing w:line="360" w:lineRule="auto"/>
              <w:rPr>
                <w:rFonts w:hint="eastAsia" w:eastAsia="宋体"/>
                <w:lang w:eastAsia="zh-CN"/>
              </w:rPr>
            </w:pPr>
            <w:r>
              <w:t>②唱标。查看唱标信息（系统不提供语音在线播放，该页面停留5分钟供</w:t>
            </w:r>
            <w:r>
              <w:rPr>
                <w:rFonts w:hint="eastAsia"/>
              </w:rPr>
              <w:t>供应商</w:t>
            </w:r>
            <w:r>
              <w:t>查看，如无异议视为同意）。</w:t>
            </w:r>
            <w:r>
              <w:rPr>
                <w:rFonts w:hint="eastAsia"/>
              </w:rPr>
              <w:t>采购人</w:t>
            </w:r>
            <w:r>
              <w:t>、监督人需要关注开标过程中，</w:t>
            </w:r>
            <w:r>
              <w:rPr>
                <w:rFonts w:hint="eastAsia"/>
              </w:rPr>
              <w:t>供应商</w:t>
            </w:r>
            <w:r>
              <w:t>随时在线提出的异议、问题沟通等信息，并做好及时回复</w:t>
            </w:r>
            <w:r>
              <w:rPr>
                <w:rFonts w:hint="eastAsia"/>
                <w:lang w:eastAsia="zh-CN"/>
              </w:rPr>
              <w:t>。</w:t>
            </w:r>
          </w:p>
          <w:p>
            <w:pPr>
              <w:spacing w:line="360" w:lineRule="auto"/>
            </w:pPr>
            <w:r>
              <w:t>③</w:t>
            </w:r>
            <w:r>
              <w:rPr>
                <w:rFonts w:hint="eastAsia"/>
              </w:rPr>
              <w:t>采购人</w:t>
            </w:r>
            <w:r>
              <w:t>、监督人等相关人员在开标记录表上（可进入原评标系统直接打印）签字确认。</w:t>
            </w:r>
          </w:p>
          <w:p>
            <w:pPr>
              <w:spacing w:line="360" w:lineRule="auto"/>
            </w:pPr>
            <w:r>
              <w:t>④招标代理机构宣布开标结束，在评标系统中点击“开标结束”，并进行“招标文件导入”、“控制价文件导入”。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48" w:type="dxa"/>
            <w:noWrap/>
            <w:vAlign w:val="center"/>
          </w:tcPr>
          <w:p>
            <w:pPr>
              <w:wordWrap/>
              <w:topLinePunct w:val="0"/>
              <w:spacing w:line="360" w:lineRule="auto"/>
              <w:jc w:val="center"/>
            </w:pPr>
            <w:r>
              <w:rPr>
                <w:rFonts w:hint="eastAsia"/>
              </w:rPr>
              <w:t>33</w:t>
            </w:r>
          </w:p>
        </w:tc>
        <w:tc>
          <w:tcPr>
            <w:tcW w:w="2682" w:type="dxa"/>
            <w:noWrap/>
            <w:vAlign w:val="center"/>
          </w:tcPr>
          <w:p>
            <w:pPr>
              <w:wordWrap/>
              <w:topLinePunct w:val="0"/>
              <w:spacing w:line="360" w:lineRule="auto"/>
              <w:jc w:val="center"/>
              <w:rPr>
                <w:highlight w:val="none"/>
              </w:rPr>
            </w:pPr>
            <w:r>
              <w:rPr>
                <w:rFonts w:hint="eastAsia"/>
                <w:highlight w:val="none"/>
              </w:rPr>
              <w:t>提交首次响应文件</w:t>
            </w:r>
          </w:p>
          <w:p>
            <w:pPr>
              <w:wordWrap/>
              <w:topLinePunct w:val="0"/>
              <w:spacing w:line="360" w:lineRule="auto"/>
              <w:jc w:val="center"/>
              <w:rPr>
                <w:highlight w:val="none"/>
              </w:rPr>
            </w:pPr>
            <w:r>
              <w:rPr>
                <w:rFonts w:hint="eastAsia"/>
                <w:highlight w:val="none"/>
              </w:rPr>
              <w:t>截止时间</w:t>
            </w:r>
          </w:p>
        </w:tc>
        <w:tc>
          <w:tcPr>
            <w:tcW w:w="6163" w:type="dxa"/>
            <w:noWrap/>
            <w:vAlign w:val="center"/>
          </w:tcPr>
          <w:p>
            <w:pPr>
              <w:wordWrap/>
              <w:topLinePunct w:val="0"/>
              <w:spacing w:line="360" w:lineRule="auto"/>
              <w:rPr>
                <w:highlight w:val="none"/>
              </w:rPr>
            </w:pPr>
            <w:r>
              <w:rPr>
                <w:rFonts w:hint="eastAsia"/>
                <w:highlight w:val="none"/>
                <w:lang w:val="en-US" w:eastAsia="zh-CN"/>
              </w:rPr>
              <w:t xml:space="preserve"> 2024年1月9日10时00分</w:t>
            </w:r>
            <w:r>
              <w:rPr>
                <w:rFonts w:hint="eastAsia"/>
                <w:highlight w:val="none"/>
                <w:lang w:eastAsia="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648" w:type="dxa"/>
            <w:noWrap/>
            <w:vAlign w:val="center"/>
          </w:tcPr>
          <w:p>
            <w:pPr>
              <w:wordWrap/>
              <w:topLinePunct w:val="0"/>
              <w:spacing w:line="360" w:lineRule="auto"/>
              <w:jc w:val="center"/>
            </w:pPr>
            <w:r>
              <w:rPr>
                <w:rFonts w:hint="eastAsia"/>
              </w:rPr>
              <w:t>34</w:t>
            </w:r>
          </w:p>
        </w:tc>
        <w:tc>
          <w:tcPr>
            <w:tcW w:w="2682" w:type="dxa"/>
            <w:noWrap/>
            <w:vAlign w:val="center"/>
          </w:tcPr>
          <w:p>
            <w:pPr>
              <w:wordWrap/>
              <w:topLinePunct w:val="0"/>
              <w:spacing w:line="360" w:lineRule="auto"/>
              <w:jc w:val="center"/>
              <w:rPr>
                <w:highlight w:val="yellow"/>
              </w:rPr>
            </w:pPr>
            <w:r>
              <w:rPr>
                <w:rFonts w:hint="eastAsia"/>
              </w:rPr>
              <w:t>提交首次响应文件地点</w:t>
            </w:r>
          </w:p>
        </w:tc>
        <w:tc>
          <w:tcPr>
            <w:tcW w:w="6163" w:type="dxa"/>
            <w:noWrap/>
            <w:vAlign w:val="center"/>
          </w:tcPr>
          <w:p>
            <w:pPr>
              <w:wordWrap/>
              <w:topLinePunct w:val="0"/>
              <w:spacing w:line="360" w:lineRule="auto"/>
              <w:jc w:val="left"/>
              <w:rPr>
                <w:rFonts w:hint="eastAsia" w:eastAsia="宋体"/>
                <w:highlight w:val="yellow"/>
                <w:lang w:eastAsia="zh-CN"/>
              </w:rPr>
            </w:pPr>
            <w:r>
              <w:rPr>
                <w:rFonts w:hint="eastAsia" w:eastAsia="宋体"/>
                <w:highlight w:val="none"/>
                <w:lang w:eastAsia="zh-CN"/>
              </w:rPr>
              <w:t>社旗县公共资源交易中心系统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48" w:type="dxa"/>
            <w:noWrap/>
            <w:vAlign w:val="center"/>
          </w:tcPr>
          <w:p>
            <w:pPr>
              <w:wordWrap/>
              <w:topLinePunct w:val="0"/>
              <w:spacing w:line="360" w:lineRule="auto"/>
              <w:jc w:val="center"/>
            </w:pPr>
            <w:r>
              <w:rPr>
                <w:rFonts w:hint="eastAsia"/>
              </w:rPr>
              <w:t>35</w:t>
            </w:r>
          </w:p>
        </w:tc>
        <w:tc>
          <w:tcPr>
            <w:tcW w:w="2682" w:type="dxa"/>
            <w:noWrap/>
            <w:vAlign w:val="center"/>
          </w:tcPr>
          <w:p>
            <w:pPr>
              <w:wordWrap/>
              <w:topLinePunct w:val="0"/>
              <w:spacing w:line="360" w:lineRule="auto"/>
              <w:jc w:val="center"/>
            </w:pPr>
            <w:r>
              <w:rPr>
                <w:rFonts w:hint="eastAsia"/>
              </w:rPr>
              <w:t>是否退还磋商响应文件</w:t>
            </w:r>
          </w:p>
        </w:tc>
        <w:tc>
          <w:tcPr>
            <w:tcW w:w="6163" w:type="dxa"/>
            <w:noWrap/>
            <w:vAlign w:val="center"/>
          </w:tcPr>
          <w:p>
            <w:pPr>
              <w:wordWrap/>
              <w:topLinePunct w:val="0"/>
              <w:spacing w:line="360" w:lineRule="auto"/>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pPr>
              <w:wordWrap/>
              <w:topLinePunct w:val="0"/>
              <w:spacing w:line="460" w:lineRule="exact"/>
              <w:jc w:val="center"/>
            </w:pPr>
            <w:r>
              <w:rPr>
                <w:rFonts w:hint="eastAsia"/>
              </w:rPr>
              <w:t>36</w:t>
            </w:r>
          </w:p>
        </w:tc>
        <w:tc>
          <w:tcPr>
            <w:tcW w:w="2682" w:type="dxa"/>
            <w:noWrap/>
            <w:vAlign w:val="center"/>
          </w:tcPr>
          <w:p>
            <w:pPr>
              <w:wordWrap/>
              <w:topLinePunct w:val="0"/>
              <w:spacing w:line="360" w:lineRule="auto"/>
              <w:jc w:val="center"/>
            </w:pPr>
            <w:r>
              <w:rPr>
                <w:rFonts w:hint="eastAsia"/>
              </w:rPr>
              <w:t>磋商小组的组建</w:t>
            </w:r>
          </w:p>
        </w:tc>
        <w:tc>
          <w:tcPr>
            <w:tcW w:w="6163" w:type="dxa"/>
            <w:noWrap/>
          </w:tcPr>
          <w:p>
            <w:pPr>
              <w:wordWrap/>
              <w:topLinePunct w:val="0"/>
              <w:spacing w:line="360" w:lineRule="auto"/>
            </w:pPr>
            <w:r>
              <w:rPr>
                <w:rFonts w:hint="eastAsia"/>
              </w:rPr>
              <w:t>磋商小组由采购人代表1人和</w:t>
            </w:r>
            <w:r>
              <w:rPr>
                <w:rFonts w:hint="eastAsia"/>
                <w:lang w:val="en-US" w:eastAsia="zh-CN"/>
              </w:rPr>
              <w:t>评标</w:t>
            </w:r>
            <w:r>
              <w:rPr>
                <w:rFonts w:hint="eastAsia"/>
              </w:rPr>
              <w:t>专家2人组成，成员人数共3人，</w:t>
            </w:r>
            <w:r>
              <w:rPr>
                <w:rFonts w:hint="eastAsia"/>
                <w:lang w:val="en-US" w:eastAsia="zh-CN"/>
              </w:rPr>
              <w:t>评标</w:t>
            </w:r>
            <w:r>
              <w:rPr>
                <w:rFonts w:hint="eastAsia"/>
              </w:rPr>
              <w:t>专家确定方式：从相关专家库中随机抽取。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648" w:type="dxa"/>
            <w:noWrap/>
            <w:vAlign w:val="center"/>
          </w:tcPr>
          <w:p>
            <w:pPr>
              <w:wordWrap/>
              <w:topLinePunct w:val="0"/>
              <w:spacing w:line="360" w:lineRule="auto"/>
              <w:jc w:val="center"/>
            </w:pPr>
            <w:r>
              <w:rPr>
                <w:rFonts w:hint="eastAsia"/>
              </w:rPr>
              <w:t>37</w:t>
            </w:r>
          </w:p>
        </w:tc>
        <w:tc>
          <w:tcPr>
            <w:tcW w:w="2682" w:type="dxa"/>
            <w:noWrap/>
            <w:vAlign w:val="center"/>
          </w:tcPr>
          <w:p>
            <w:pPr>
              <w:wordWrap/>
              <w:topLinePunct w:val="0"/>
              <w:spacing w:line="360" w:lineRule="auto"/>
              <w:jc w:val="center"/>
            </w:pPr>
            <w:r>
              <w:rPr>
                <w:rFonts w:hint="eastAsia"/>
              </w:rPr>
              <w:t>是否授权磋商小组确定</w:t>
            </w:r>
          </w:p>
          <w:p>
            <w:pPr>
              <w:wordWrap/>
              <w:topLinePunct w:val="0"/>
              <w:spacing w:line="360" w:lineRule="auto"/>
              <w:jc w:val="center"/>
            </w:pPr>
            <w:r>
              <w:rPr>
                <w:rFonts w:hint="eastAsia"/>
              </w:rPr>
              <w:t>成交人</w:t>
            </w:r>
          </w:p>
        </w:tc>
        <w:tc>
          <w:tcPr>
            <w:tcW w:w="6163" w:type="dxa"/>
            <w:noWrap/>
            <w:vAlign w:val="center"/>
          </w:tcPr>
          <w:p>
            <w:pPr>
              <w:wordWrap/>
              <w:topLinePunct w:val="0"/>
              <w:spacing w:line="360" w:lineRule="auto"/>
            </w:pPr>
            <w:r>
              <w:rPr>
                <w:rFonts w:hint="eastAsia"/>
              </w:rPr>
              <w:t>否，推荐的成交候选人数：1-3名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48" w:type="dxa"/>
            <w:noWrap/>
            <w:vAlign w:val="center"/>
          </w:tcPr>
          <w:p>
            <w:pPr>
              <w:wordWrap/>
              <w:topLinePunct w:val="0"/>
              <w:spacing w:line="360" w:lineRule="auto"/>
              <w:jc w:val="center"/>
            </w:pPr>
            <w:r>
              <w:rPr>
                <w:rFonts w:hint="eastAsia"/>
              </w:rPr>
              <w:t>38</w:t>
            </w:r>
          </w:p>
        </w:tc>
        <w:tc>
          <w:tcPr>
            <w:tcW w:w="2682" w:type="dxa"/>
            <w:noWrap/>
            <w:vAlign w:val="center"/>
          </w:tcPr>
          <w:p>
            <w:pPr>
              <w:wordWrap/>
              <w:topLinePunct w:val="0"/>
              <w:spacing w:line="360" w:lineRule="auto"/>
              <w:jc w:val="center"/>
            </w:pPr>
            <w:r>
              <w:rPr>
                <w:rFonts w:hint="eastAsia"/>
              </w:rPr>
              <w:t>履约保证金</w:t>
            </w:r>
          </w:p>
        </w:tc>
        <w:tc>
          <w:tcPr>
            <w:tcW w:w="6163" w:type="dxa"/>
            <w:noWrap/>
            <w:vAlign w:val="center"/>
          </w:tcPr>
          <w:p>
            <w:pPr>
              <w:wordWrap/>
              <w:spacing w:line="360" w:lineRule="auto"/>
            </w:pPr>
            <w:r>
              <w:rPr>
                <w:rFonts w:hint="eastAsia"/>
              </w:rPr>
              <w:t>本项目不缴纳履约保证金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pPr>
              <w:wordWrap/>
              <w:topLinePunct w:val="0"/>
              <w:spacing w:line="360" w:lineRule="auto"/>
              <w:jc w:val="center"/>
            </w:pPr>
            <w:r>
              <w:rPr>
                <w:rFonts w:hint="eastAsia"/>
              </w:rPr>
              <w:t>39</w:t>
            </w:r>
          </w:p>
        </w:tc>
        <w:tc>
          <w:tcPr>
            <w:tcW w:w="2682" w:type="dxa"/>
            <w:noWrap/>
            <w:vAlign w:val="center"/>
          </w:tcPr>
          <w:p>
            <w:pPr>
              <w:wordWrap/>
              <w:topLinePunct w:val="0"/>
              <w:spacing w:line="360" w:lineRule="auto"/>
              <w:jc w:val="center"/>
            </w:pPr>
            <w:r>
              <w:rPr>
                <w:rFonts w:hint="eastAsia"/>
              </w:rPr>
              <w:t>代理费用收取方式及标准</w:t>
            </w:r>
          </w:p>
        </w:tc>
        <w:tc>
          <w:tcPr>
            <w:tcW w:w="6163" w:type="dxa"/>
            <w:noWrap/>
            <w:vAlign w:val="center"/>
          </w:tcPr>
          <w:p>
            <w:pPr>
              <w:wordWrap/>
              <w:topLinePunct w:val="0"/>
              <w:spacing w:line="360" w:lineRule="auto"/>
            </w:pPr>
            <w:r>
              <w:rPr>
                <w:rFonts w:hint="eastAsia"/>
                <w:lang w:val="en-US" w:eastAsia="zh-CN"/>
              </w:rPr>
              <w:t>参照河南省招标投标协会《河南省招标代理服务收费指导意见》豫招协〔2023〕002号文件规定</w:t>
            </w:r>
            <w:r>
              <w:rPr>
                <w:rFonts w:hint="eastAsia"/>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648" w:type="dxa"/>
            <w:noWrap/>
            <w:vAlign w:val="center"/>
          </w:tcPr>
          <w:p>
            <w:pPr>
              <w:wordWrap/>
              <w:topLinePunct w:val="0"/>
              <w:spacing w:line="360" w:lineRule="auto"/>
              <w:jc w:val="center"/>
            </w:pPr>
            <w:r>
              <w:rPr>
                <w:rFonts w:hint="eastAsia"/>
              </w:rPr>
              <w:t>40</w:t>
            </w:r>
          </w:p>
        </w:tc>
        <w:tc>
          <w:tcPr>
            <w:tcW w:w="2682" w:type="dxa"/>
            <w:noWrap/>
            <w:vAlign w:val="center"/>
          </w:tcPr>
          <w:p>
            <w:pPr>
              <w:wordWrap/>
              <w:topLinePunct w:val="0"/>
              <w:spacing w:line="360" w:lineRule="auto"/>
              <w:jc w:val="center"/>
            </w:pPr>
            <w:r>
              <w:rPr>
                <w:rFonts w:hint="eastAsia"/>
              </w:rPr>
              <w:t>采购程序</w:t>
            </w:r>
          </w:p>
        </w:tc>
        <w:tc>
          <w:tcPr>
            <w:tcW w:w="6163" w:type="dxa"/>
            <w:noWrap/>
            <w:vAlign w:val="center"/>
          </w:tcPr>
          <w:p>
            <w:pPr>
              <w:wordWrap/>
              <w:topLinePunct w:val="0"/>
              <w:spacing w:line="360" w:lineRule="auto"/>
            </w:pPr>
            <w:r>
              <w:rPr>
                <w:rFonts w:hint="eastAsia"/>
              </w:rPr>
              <w:t>1.成立磋商小组</w:t>
            </w:r>
          </w:p>
          <w:p>
            <w:pPr>
              <w:wordWrap/>
              <w:topLinePunct w:val="0"/>
              <w:spacing w:line="360" w:lineRule="auto"/>
            </w:pPr>
            <w:r>
              <w:rPr>
                <w:rFonts w:hint="eastAsia"/>
              </w:rPr>
              <w:t>2.制定或确认竞争性磋商文件</w:t>
            </w:r>
          </w:p>
          <w:p>
            <w:pPr>
              <w:wordWrap/>
              <w:topLinePunct w:val="0"/>
              <w:spacing w:line="360" w:lineRule="auto"/>
            </w:pPr>
            <w:r>
              <w:rPr>
                <w:rFonts w:hint="eastAsia"/>
              </w:rPr>
              <w:t>3.确定不少于3家的响应人参加磋商</w:t>
            </w:r>
          </w:p>
          <w:p>
            <w:pPr>
              <w:wordWrap/>
              <w:topLinePunct w:val="0"/>
              <w:spacing w:line="360" w:lineRule="auto"/>
            </w:pPr>
            <w:r>
              <w:rPr>
                <w:rFonts w:hint="eastAsia"/>
              </w:rPr>
              <w:t>4.磋商</w:t>
            </w:r>
          </w:p>
          <w:p>
            <w:pPr>
              <w:wordWrap/>
              <w:topLinePunct w:val="0"/>
              <w:spacing w:line="360" w:lineRule="auto"/>
            </w:pPr>
            <w:r>
              <w:rPr>
                <w:rFonts w:hint="eastAsia"/>
              </w:rPr>
              <w:t>5.确定响应人</w:t>
            </w:r>
          </w:p>
          <w:p>
            <w:pPr>
              <w:wordWrap/>
              <w:topLinePunct w:val="0"/>
              <w:spacing w:line="360" w:lineRule="auto"/>
            </w:pPr>
            <w:r>
              <w:rPr>
                <w:rFonts w:hint="eastAsia"/>
              </w:rPr>
              <w:t>6.在指定媒体公布结果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493" w:type="dxa"/>
            <w:gridSpan w:val="3"/>
            <w:noWrap/>
            <w:vAlign w:val="center"/>
          </w:tcPr>
          <w:p>
            <w:pPr>
              <w:widowControl/>
              <w:shd w:val="clear" w:color="auto" w:fill="FFFFFF"/>
              <w:spacing w:line="360" w:lineRule="auto"/>
              <w:jc w:val="center"/>
              <w:rPr>
                <w:kern w:val="0"/>
                <w:shd w:val="clear" w:color="auto" w:fill="FFFFFF"/>
              </w:rPr>
            </w:pPr>
            <w:r>
              <w:rPr>
                <w:rFonts w:hint="eastAsia"/>
                <w:b/>
                <w:bCs/>
                <w:sz w:val="24"/>
              </w:rPr>
              <w:t xml:space="preserve">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8" w:type="dxa"/>
            <w:noWrap/>
            <w:vAlign w:val="center"/>
          </w:tcPr>
          <w:p>
            <w:pPr>
              <w:wordWrap/>
              <w:topLinePunct w:val="0"/>
              <w:spacing w:line="360" w:lineRule="auto"/>
              <w:jc w:val="center"/>
            </w:pPr>
            <w:r>
              <w:rPr>
                <w:rFonts w:hint="eastAsia"/>
              </w:rPr>
              <w:t>41</w:t>
            </w:r>
          </w:p>
        </w:tc>
        <w:tc>
          <w:tcPr>
            <w:tcW w:w="2682" w:type="dxa"/>
            <w:noWrap/>
            <w:vAlign w:val="center"/>
          </w:tcPr>
          <w:p>
            <w:pPr>
              <w:autoSpaceDE w:val="0"/>
              <w:autoSpaceDN w:val="0"/>
              <w:spacing w:line="360" w:lineRule="auto"/>
              <w:jc w:val="center"/>
            </w:pPr>
            <w:r>
              <w:rPr>
                <w:rFonts w:hint="eastAsia" w:ascii="宋体" w:hAnsi="宋体" w:cs="宋体"/>
                <w:szCs w:val="21"/>
              </w:rPr>
              <w:t>政府采购政策支持</w:t>
            </w:r>
          </w:p>
        </w:tc>
        <w:tc>
          <w:tcPr>
            <w:tcW w:w="6163" w:type="dxa"/>
            <w:noWrap/>
            <w:vAlign w:val="center"/>
          </w:tcPr>
          <w:p>
            <w:pPr>
              <w:widowControl w:val="0"/>
              <w:tabs>
                <w:tab w:val="left" w:pos="1005"/>
              </w:tabs>
              <w:spacing w:line="360" w:lineRule="auto"/>
              <w:rPr>
                <w:rFonts w:ascii="宋体" w:hAnsi="宋体" w:cs="宋体"/>
                <w:b/>
                <w:bCs/>
                <w:color w:val="auto"/>
                <w:szCs w:val="21"/>
              </w:rPr>
            </w:pPr>
            <w:r>
              <w:rPr>
                <w:rFonts w:hint="eastAsia" w:ascii="宋体" w:hAnsi="宋体" w:cs="宋体"/>
                <w:b/>
                <w:color w:val="auto"/>
                <w:szCs w:val="21"/>
              </w:rPr>
              <w:t>（一）促进中小企业发展和</w:t>
            </w:r>
            <w:r>
              <w:rPr>
                <w:rFonts w:hint="eastAsia" w:ascii="宋体" w:hAnsi="宋体" w:cs="宋体"/>
                <w:b/>
                <w:bCs/>
                <w:color w:val="auto"/>
                <w:szCs w:val="21"/>
              </w:rPr>
              <w:t>支持监狱企业发展</w:t>
            </w:r>
            <w:r>
              <w:rPr>
                <w:rFonts w:hint="eastAsia" w:ascii="宋体" w:hAnsi="宋体" w:cs="宋体"/>
                <w:b/>
                <w:color w:val="auto"/>
                <w:szCs w:val="21"/>
              </w:rPr>
              <w:t>：</w:t>
            </w:r>
          </w:p>
          <w:p>
            <w:pPr>
              <w:widowControl w:val="0"/>
              <w:numPr>
                <w:ilvl w:val="0"/>
                <w:numId w:val="3"/>
              </w:numPr>
              <w:tabs>
                <w:tab w:val="left" w:pos="1005"/>
              </w:tabs>
              <w:spacing w:line="360" w:lineRule="auto"/>
              <w:rPr>
                <w:rFonts w:ascii="宋体" w:hAnsi="宋体" w:cs="宋体"/>
                <w:b/>
                <w:bCs/>
                <w:color w:val="auto"/>
                <w:szCs w:val="21"/>
              </w:rPr>
            </w:pPr>
            <w:r>
              <w:rPr>
                <w:rFonts w:hint="eastAsia" w:ascii="宋体" w:hAnsi="宋体" w:cs="宋体"/>
                <w:bCs/>
                <w:szCs w:val="21"/>
              </w:rPr>
              <w:t>根据《政府采购促进中小企业发展管理办法》（财库（20</w:t>
            </w:r>
            <w:r>
              <w:rPr>
                <w:rFonts w:ascii="宋体" w:hAnsi="宋体" w:cs="宋体"/>
                <w:bCs/>
                <w:szCs w:val="21"/>
              </w:rPr>
              <w:t>20</w:t>
            </w:r>
            <w:r>
              <w:rPr>
                <w:rFonts w:hint="eastAsia" w:ascii="宋体" w:hAnsi="宋体" w:cs="宋体"/>
                <w:bCs/>
                <w:szCs w:val="21"/>
              </w:rPr>
              <w:t>）</w:t>
            </w:r>
            <w:r>
              <w:rPr>
                <w:rFonts w:ascii="宋体" w:hAnsi="宋体" w:cs="宋体"/>
                <w:bCs/>
                <w:szCs w:val="21"/>
              </w:rPr>
              <w:t>46</w:t>
            </w:r>
            <w:r>
              <w:rPr>
                <w:rFonts w:hint="eastAsia" w:ascii="宋体" w:hAnsi="宋体" w:cs="宋体"/>
                <w:bCs/>
                <w:szCs w:val="21"/>
              </w:rPr>
              <w:t>号）和《财政部司法部关于政府采购支持监狱企业发展有关问题的通知》（财库（2014）68号）的规定</w:t>
            </w:r>
            <w:r>
              <w:rPr>
                <w:rFonts w:hint="eastAsia" w:ascii="宋体" w:hAnsi="宋体" w:cs="宋体"/>
                <w:bCs/>
                <w:color w:val="auto"/>
                <w:szCs w:val="21"/>
              </w:rPr>
              <w:t>，对满足价格扣除条件且在投标文件中提交了《中小企业声明函》或省级以上监狱管理局、戒毒管理局（含新疆生产建设兵团）出具的属于监狱企业的证明文件的供应商，在满足资格项规定的条件后，其投标报价扣除</w:t>
            </w:r>
            <w:r>
              <w:rPr>
                <w:rFonts w:hint="eastAsia" w:ascii="宋体" w:hAnsi="宋体" w:cs="宋体"/>
                <w:bCs/>
                <w:color w:val="auto"/>
                <w:szCs w:val="21"/>
                <w:lang w:val="en-US" w:eastAsia="zh-CN"/>
              </w:rPr>
              <w:t>5</w:t>
            </w:r>
            <w:r>
              <w:rPr>
                <w:rFonts w:hint="eastAsia" w:ascii="宋体" w:hAnsi="宋体" w:cs="宋体"/>
                <w:bCs/>
                <w:color w:val="auto"/>
                <w:szCs w:val="21"/>
              </w:rPr>
              <w:t>%后参与评审。</w:t>
            </w:r>
            <w:r>
              <w:rPr>
                <w:rFonts w:hint="eastAsia" w:ascii="宋体" w:hAnsi="宋体" w:cs="宋体"/>
                <w:b/>
                <w:bCs/>
                <w:color w:val="auto"/>
                <w:szCs w:val="21"/>
              </w:rPr>
              <w:t>（注：多品目投标时所有产品的生产企业须同时为小型、微型企业才能享受价格扣除政策）</w:t>
            </w:r>
          </w:p>
          <w:p>
            <w:pPr>
              <w:widowControl w:val="0"/>
              <w:numPr>
                <w:ilvl w:val="0"/>
                <w:numId w:val="3"/>
              </w:numPr>
              <w:tabs>
                <w:tab w:val="left" w:pos="1005"/>
              </w:tabs>
              <w:spacing w:line="360" w:lineRule="auto"/>
              <w:rPr>
                <w:rFonts w:ascii="宋体" w:hAnsi="宋体" w:cs="宋体"/>
                <w:bCs/>
                <w:color w:val="auto"/>
                <w:szCs w:val="21"/>
              </w:rPr>
            </w:pPr>
            <w:r>
              <w:rPr>
                <w:rFonts w:hint="eastAsia" w:ascii="宋体" w:hAnsi="宋体" w:cs="宋体"/>
                <w:bCs/>
                <w:color w:val="auto"/>
                <w:szCs w:val="21"/>
              </w:rPr>
              <w:t>中小企业划分标准以工信部联企业【2011】300号《工业和信息化部国家统计局国家发展和改革委财政部关于印发中小企业划型标准规定的通知》为依据。</w:t>
            </w:r>
          </w:p>
          <w:p>
            <w:pPr>
              <w:widowControl w:val="0"/>
              <w:tabs>
                <w:tab w:val="left" w:pos="1005"/>
              </w:tabs>
              <w:spacing w:line="360" w:lineRule="auto"/>
              <w:rPr>
                <w:rFonts w:ascii="宋体" w:hAnsi="宋体" w:cs="宋体"/>
                <w:bCs/>
                <w:color w:val="auto"/>
                <w:szCs w:val="21"/>
              </w:rPr>
            </w:pPr>
            <w:r>
              <w:rPr>
                <w:rFonts w:hint="eastAsia" w:ascii="宋体" w:hAnsi="宋体" w:cs="宋体"/>
                <w:b/>
                <w:color w:val="auto"/>
                <w:szCs w:val="21"/>
              </w:rPr>
              <w:t>（二）采购节能产品、信息安全产品，优先采购环境标志产品政策。</w:t>
            </w:r>
          </w:p>
          <w:p>
            <w:pPr>
              <w:widowControl w:val="0"/>
              <w:numPr>
                <w:ilvl w:val="1"/>
                <w:numId w:val="4"/>
              </w:numPr>
              <w:tabs>
                <w:tab w:val="left" w:pos="1005"/>
              </w:tabs>
              <w:spacing w:line="360" w:lineRule="auto"/>
              <w:ind w:left="29" w:hanging="29"/>
              <w:rPr>
                <w:rFonts w:ascii="宋体" w:hAnsi="宋体" w:cs="宋体"/>
                <w:bCs/>
                <w:color w:val="auto"/>
                <w:szCs w:val="21"/>
              </w:rPr>
            </w:pPr>
            <w:r>
              <w:rPr>
                <w:rFonts w:hint="eastAsia" w:ascii="宋体" w:hAnsi="宋体" w:cs="宋体"/>
                <w:bCs/>
                <w:color w:val="auto"/>
                <w:szCs w:val="21"/>
              </w:rPr>
              <w:t>节能产品是指列入财政部、国家发展和改革委员会制定的《节能产品政府采购清单》，且经过认定的节能产品；信息安全产品是指列入国家质检总局国家认监委《信息安全产品强制性认证目录》，并获得强制性产品认证证书的产品；环境标志产品是指列入财政部、国家环保总局制定的《环境标志产品政府采购清单》，且经过认证的环境标志产品。</w:t>
            </w:r>
          </w:p>
          <w:p>
            <w:pPr>
              <w:widowControl w:val="0"/>
              <w:numPr>
                <w:ilvl w:val="1"/>
                <w:numId w:val="4"/>
              </w:numPr>
              <w:tabs>
                <w:tab w:val="left" w:pos="1005"/>
              </w:tabs>
              <w:spacing w:line="360" w:lineRule="auto"/>
              <w:ind w:left="29" w:hanging="29"/>
              <w:rPr>
                <w:rFonts w:ascii="宋体" w:hAnsi="宋体" w:cs="宋体"/>
                <w:bCs/>
                <w:color w:val="auto"/>
                <w:szCs w:val="21"/>
              </w:rPr>
            </w:pPr>
            <w:r>
              <w:rPr>
                <w:rFonts w:hint="eastAsia" w:ascii="宋体" w:hAnsi="宋体" w:cs="宋体"/>
                <w:bCs/>
                <w:color w:val="auto"/>
                <w:szCs w:val="21"/>
              </w:rPr>
              <w:t>提供的产品属于信息安全产品的，供应商应当选择经国家认证的信息安全产品投标，并提供由中国信息安全认证中心按国家标准认证颁发的有效认证证书复印件。</w:t>
            </w:r>
          </w:p>
          <w:p>
            <w:pPr>
              <w:numPr>
                <w:ilvl w:val="0"/>
                <w:numId w:val="3"/>
              </w:numPr>
              <w:tabs>
                <w:tab w:val="left" w:pos="1005"/>
              </w:tabs>
              <w:spacing w:line="360" w:lineRule="auto"/>
            </w:pPr>
            <w:r>
              <w:rPr>
                <w:rFonts w:hint="eastAsia" w:ascii="宋体" w:hAnsi="宋体" w:cs="宋体"/>
                <w:bCs/>
                <w:color w:val="auto"/>
                <w:szCs w:val="21"/>
              </w:rPr>
              <w:t>提供的产品属于政府强制采购节能产品的，供应商应当选择《节能产品政府采购清单》中的产品投标，并提供有效的节能产品认证证书复印件。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48" w:type="dxa"/>
            <w:noWrap/>
            <w:vAlign w:val="center"/>
          </w:tcPr>
          <w:p>
            <w:pPr>
              <w:wordWrap/>
              <w:topLinePunct w:val="0"/>
              <w:spacing w:line="360" w:lineRule="auto"/>
              <w:jc w:val="center"/>
              <w:rPr>
                <w:rFonts w:hint="eastAsia" w:eastAsia="宋体"/>
                <w:lang w:eastAsia="zh-CN"/>
              </w:rPr>
            </w:pPr>
            <w:r>
              <w:rPr>
                <w:rFonts w:hint="eastAsia"/>
              </w:rPr>
              <w:t>4</w:t>
            </w:r>
            <w:r>
              <w:rPr>
                <w:rFonts w:hint="eastAsia"/>
                <w:lang w:val="en-US" w:eastAsia="zh-CN"/>
              </w:rPr>
              <w:t>2</w:t>
            </w:r>
          </w:p>
        </w:tc>
        <w:tc>
          <w:tcPr>
            <w:tcW w:w="2682" w:type="dxa"/>
            <w:noWrap/>
            <w:vAlign w:val="center"/>
          </w:tcPr>
          <w:p>
            <w:pPr>
              <w:widowControl/>
              <w:shd w:val="clear" w:color="auto" w:fill="FFFFFF"/>
              <w:spacing w:line="360" w:lineRule="auto"/>
              <w:jc w:val="center"/>
            </w:pPr>
            <w:r>
              <w:rPr>
                <w:rFonts w:hint="eastAsia"/>
                <w:kern w:val="0"/>
                <w:shd w:val="clear" w:color="auto" w:fill="FFFFFF"/>
              </w:rPr>
              <w:t>解释权</w:t>
            </w:r>
          </w:p>
        </w:tc>
        <w:tc>
          <w:tcPr>
            <w:tcW w:w="6163" w:type="dxa"/>
            <w:noWrap/>
            <w:vAlign w:val="center"/>
          </w:tcPr>
          <w:p>
            <w:pPr>
              <w:spacing w:line="360" w:lineRule="auto"/>
            </w:pPr>
            <w:r>
              <w:rPr>
                <w:rFonts w:hint="eastAsia"/>
              </w:rPr>
              <w:t>竞争性磋商文件未尽事宜按现行采购的有关法律法规和规定执行。竞争性磋商文件解释权归采购人和采购代理机构。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48" w:type="dxa"/>
            <w:noWrap/>
            <w:vAlign w:val="center"/>
          </w:tcPr>
          <w:p>
            <w:pPr>
              <w:wordWrap/>
              <w:topLinePunct w:val="0"/>
              <w:spacing w:line="360" w:lineRule="auto"/>
              <w:jc w:val="center"/>
              <w:rPr>
                <w:rFonts w:hint="default" w:eastAsia="宋体"/>
                <w:lang w:val="en-US" w:eastAsia="zh-CN"/>
              </w:rPr>
            </w:pPr>
            <w:r>
              <w:rPr>
                <w:rFonts w:hint="eastAsia"/>
                <w:lang w:val="en-US" w:eastAsia="zh-CN"/>
              </w:rPr>
              <w:t>43</w:t>
            </w:r>
          </w:p>
        </w:tc>
        <w:tc>
          <w:tcPr>
            <w:tcW w:w="8845" w:type="dxa"/>
            <w:gridSpan w:val="2"/>
            <w:noWrap/>
            <w:vAlign w:val="center"/>
          </w:tcPr>
          <w:p>
            <w:pPr>
              <w:spacing w:line="360" w:lineRule="auto"/>
              <w:rPr>
                <w:rFonts w:hint="eastAsia"/>
              </w:rPr>
            </w:pPr>
            <w:r>
              <w:rPr>
                <w:rStyle w:val="44"/>
                <w:rFonts w:hint="eastAsia" w:ascii="宋体" w:hAnsi="宋体" w:eastAsia="宋体" w:cs="Times New Roman"/>
                <w:szCs w:val="21"/>
                <w:lang w:val="en-US" w:eastAsia="zh-CN"/>
              </w:rPr>
              <w:t>各供应商在编制电子投标文件时，应避免因使用同一台计算机制作或同一台计算机上传或相同企业秘钥（CA）上传电子投标文件等其他人为因素，造成投标文件制作机器码一致的，其投标将被否决。由此造成的其他不良后果，均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48" w:type="dxa"/>
            <w:noWrap/>
            <w:vAlign w:val="center"/>
          </w:tcPr>
          <w:p>
            <w:pPr>
              <w:wordWrap/>
              <w:topLinePunct w:val="0"/>
              <w:spacing w:line="360" w:lineRule="auto"/>
              <w:jc w:val="center"/>
              <w:rPr>
                <w:rFonts w:hint="default"/>
                <w:lang w:val="en-US" w:eastAsia="zh-CN"/>
              </w:rPr>
            </w:pPr>
            <w:bookmarkStart w:id="6" w:name="_Toc30815"/>
            <w:bookmarkStart w:id="7" w:name="_Toc12193"/>
            <w:r>
              <w:rPr>
                <w:rFonts w:hint="eastAsia"/>
                <w:lang w:val="en-US" w:eastAsia="zh-CN"/>
              </w:rPr>
              <w:t>44</w:t>
            </w:r>
          </w:p>
        </w:tc>
        <w:tc>
          <w:tcPr>
            <w:tcW w:w="8845" w:type="dxa"/>
            <w:gridSpan w:val="2"/>
            <w:noWrap/>
            <w:vAlign w:val="center"/>
          </w:tcPr>
          <w:p>
            <w:pPr>
              <w:spacing w:line="360" w:lineRule="auto"/>
              <w:rPr>
                <w:rStyle w:val="44"/>
                <w:rFonts w:hint="default" w:ascii="宋体" w:hAnsi="宋体" w:eastAsia="宋体" w:cs="Times New Roman"/>
                <w:szCs w:val="21"/>
                <w:lang w:val="en-US" w:eastAsia="zh-CN"/>
              </w:rPr>
            </w:pPr>
            <w:r>
              <w:rPr>
                <w:rStyle w:val="44"/>
                <w:rFonts w:hint="eastAsia" w:ascii="宋体" w:hAnsi="宋体" w:eastAsia="宋体" w:cs="Times New Roman"/>
                <w:szCs w:val="21"/>
                <w:lang w:val="en-US" w:eastAsia="zh-CN"/>
              </w:rPr>
              <w:t>质量缺陷期：12个月</w:t>
            </w:r>
          </w:p>
        </w:tc>
      </w:tr>
    </w:tbl>
    <w:p>
      <w:pPr>
        <w:pStyle w:val="3"/>
        <w:numPr>
          <w:ilvl w:val="0"/>
          <w:numId w:val="5"/>
        </w:numPr>
        <w:tabs>
          <w:tab w:val="left" w:pos="360"/>
          <w:tab w:val="clear" w:pos="425"/>
        </w:tabs>
        <w:spacing w:line="360" w:lineRule="auto"/>
        <w:jc w:val="both"/>
        <w:outlineLvl w:val="1"/>
        <w:rPr>
          <w:rFonts w:hAnsi="宋体" w:cs="黑体"/>
          <w:b/>
          <w:color w:val="auto"/>
        </w:rPr>
      </w:pPr>
      <w:r>
        <w:rPr>
          <w:rFonts w:hint="eastAsia" w:hAnsi="宋体" w:cs="黑体"/>
          <w:b/>
          <w:color w:val="auto"/>
        </w:rPr>
        <w:t>总则</w:t>
      </w:r>
      <w:bookmarkEnd w:id="6"/>
      <w:bookmarkEnd w:id="7"/>
    </w:p>
    <w:p>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8" w:name="_Toc27089"/>
      <w:bookmarkStart w:id="9" w:name="_Toc428351629"/>
      <w:bookmarkStart w:id="10" w:name="_Toc455678100"/>
      <w:bookmarkStart w:id="11" w:name="_Toc462934274"/>
      <w:bookmarkStart w:id="12" w:name="_Toc13394"/>
      <w:bookmarkStart w:id="13" w:name="_Toc25531"/>
      <w:bookmarkStart w:id="14" w:name="_Toc454788009"/>
      <w:bookmarkStart w:id="15" w:name="_Toc463011253"/>
      <w:bookmarkStart w:id="16" w:name="_Toc277149365"/>
      <w:bookmarkStart w:id="17" w:name="_Toc428276569"/>
      <w:r>
        <w:rPr>
          <w:rFonts w:hint="eastAsia" w:hAnsi="宋体" w:cs="黑体"/>
          <w:b/>
          <w:color w:val="auto"/>
          <w:sz w:val="21"/>
          <w:szCs w:val="21"/>
        </w:rPr>
        <w:t>项目概况</w:t>
      </w:r>
      <w:bookmarkEnd w:id="8"/>
      <w:bookmarkEnd w:id="9"/>
      <w:bookmarkEnd w:id="10"/>
      <w:bookmarkEnd w:id="11"/>
      <w:bookmarkEnd w:id="12"/>
      <w:bookmarkEnd w:id="13"/>
      <w:bookmarkEnd w:id="14"/>
      <w:bookmarkEnd w:id="15"/>
      <w:bookmarkEnd w:id="16"/>
      <w:bookmarkEnd w:id="17"/>
    </w:p>
    <w:p>
      <w:pPr>
        <w:wordWrap/>
        <w:topLinePunct w:val="0"/>
        <w:spacing w:line="360" w:lineRule="auto"/>
        <w:ind w:firstLine="420" w:firstLineChars="200"/>
        <w:rPr>
          <w:rFonts w:cs="Times New Roman"/>
        </w:rPr>
      </w:pPr>
      <w:r>
        <w:rPr>
          <w:rFonts w:hint="eastAsia" w:cs="Times New Roman"/>
        </w:rPr>
        <w:t>根据《中华人民共和国政府采购法》《中华人民共和国政府采购法实施条例》等有关法律、法规和规章的规定，本采购项目已具备竞争性磋商条件，现对本项目进行竞争性磋商。</w:t>
      </w:r>
    </w:p>
    <w:p>
      <w:pPr>
        <w:pStyle w:val="3"/>
        <w:numPr>
          <w:ilvl w:val="2"/>
          <w:numId w:val="5"/>
        </w:numPr>
        <w:tabs>
          <w:tab w:val="left" w:pos="0"/>
          <w:tab w:val="clear" w:pos="1418"/>
        </w:tabs>
        <w:spacing w:line="360" w:lineRule="auto"/>
        <w:ind w:left="420" w:leftChars="200" w:firstLine="0"/>
        <w:rPr>
          <w:rFonts w:hAnsi="宋体" w:cs="黑体"/>
          <w:color w:val="auto"/>
          <w:sz w:val="21"/>
          <w:szCs w:val="21"/>
        </w:rPr>
      </w:pPr>
      <w:r>
        <w:rPr>
          <w:rFonts w:hint="eastAsia" w:hAnsi="宋体" w:cs="黑体"/>
          <w:color w:val="auto"/>
          <w:sz w:val="21"/>
          <w:szCs w:val="21"/>
        </w:rPr>
        <w:t>采购人：《响应人须知前附表》中所述的，依法进行政府采购的国家机关、事业单位、团体组织。</w:t>
      </w:r>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采购代理机构：受采购人委托组织采购活动，在采购过程中负有相应责任的社会中介组织。</w:t>
      </w:r>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采购方式：见《响应人须知前附表》。</w:t>
      </w:r>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项目名称及采购编号：见《响应人须知前附表》。</w:t>
      </w:r>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建设地点：见《响应人须知前附表》。</w:t>
      </w:r>
    </w:p>
    <w:p>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8" w:name="_Toc454788010"/>
      <w:bookmarkStart w:id="19" w:name="_Toc270604804"/>
      <w:bookmarkStart w:id="20" w:name="_Toc462934275"/>
      <w:bookmarkStart w:id="21" w:name="_Toc428351630"/>
      <w:bookmarkStart w:id="22" w:name="_Toc269470296"/>
      <w:bookmarkStart w:id="23" w:name="_Toc455678101"/>
      <w:bookmarkStart w:id="24" w:name="_Toc29176"/>
      <w:bookmarkStart w:id="25" w:name="_Toc428276570"/>
      <w:bookmarkStart w:id="26" w:name="_Toc463011254"/>
      <w:bookmarkStart w:id="27" w:name="_Toc270604577"/>
      <w:bookmarkStart w:id="28" w:name="_Toc277149366"/>
      <w:bookmarkStart w:id="29" w:name="_Toc19738"/>
      <w:bookmarkStart w:id="30" w:name="_Toc13259"/>
      <w:r>
        <w:rPr>
          <w:rFonts w:hint="eastAsia" w:hAnsi="宋体" w:cs="黑体"/>
          <w:b/>
          <w:color w:val="auto"/>
          <w:sz w:val="21"/>
          <w:szCs w:val="21"/>
        </w:rPr>
        <w:t>资金来源和落实情况</w:t>
      </w:r>
      <w:bookmarkEnd w:id="18"/>
      <w:bookmarkEnd w:id="19"/>
      <w:bookmarkEnd w:id="20"/>
      <w:bookmarkEnd w:id="21"/>
      <w:bookmarkEnd w:id="22"/>
      <w:bookmarkEnd w:id="23"/>
      <w:bookmarkEnd w:id="24"/>
      <w:bookmarkEnd w:id="25"/>
      <w:bookmarkEnd w:id="26"/>
      <w:bookmarkEnd w:id="27"/>
      <w:bookmarkEnd w:id="28"/>
      <w:bookmarkEnd w:id="29"/>
      <w:bookmarkEnd w:id="30"/>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资金来源：见《响应人须知前附表》。</w:t>
      </w:r>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采购预算金额：见《响应人须知前附表》。</w:t>
      </w:r>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采购项目性质：见《响应人须知前附表》。</w:t>
      </w:r>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资金落实情况：见《响应人须知前附表》。</w:t>
      </w:r>
    </w:p>
    <w:p>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1" w:name="_Toc463011255"/>
      <w:bookmarkStart w:id="32" w:name="_Toc428276571"/>
      <w:bookmarkStart w:id="33" w:name="_Toc462934276"/>
      <w:bookmarkStart w:id="34" w:name="_Toc74"/>
      <w:bookmarkStart w:id="35" w:name="_Toc9637"/>
      <w:bookmarkStart w:id="36" w:name="_Toc20155"/>
      <w:bookmarkStart w:id="37" w:name="_Toc270604805"/>
      <w:bookmarkStart w:id="38" w:name="_Toc455678102"/>
      <w:bookmarkStart w:id="39" w:name="_Toc270604578"/>
      <w:bookmarkStart w:id="40" w:name="_Toc277149367"/>
      <w:bookmarkStart w:id="41" w:name="_Toc269470297"/>
      <w:bookmarkStart w:id="42" w:name="_Toc454788011"/>
      <w:bookmarkStart w:id="43" w:name="_Toc428351631"/>
      <w:r>
        <w:rPr>
          <w:rFonts w:hint="eastAsia" w:hAnsi="宋体" w:cs="黑体"/>
          <w:b/>
          <w:color w:val="auto"/>
          <w:sz w:val="21"/>
          <w:szCs w:val="21"/>
        </w:rPr>
        <w:t>采购范围、计划工期和质量</w:t>
      </w:r>
      <w:bookmarkEnd w:id="31"/>
      <w:bookmarkEnd w:id="32"/>
      <w:bookmarkEnd w:id="33"/>
      <w:bookmarkEnd w:id="34"/>
      <w:bookmarkEnd w:id="35"/>
      <w:bookmarkEnd w:id="36"/>
      <w:bookmarkEnd w:id="37"/>
      <w:bookmarkEnd w:id="38"/>
      <w:bookmarkEnd w:id="39"/>
      <w:bookmarkEnd w:id="40"/>
      <w:bookmarkEnd w:id="41"/>
      <w:bookmarkEnd w:id="42"/>
      <w:bookmarkEnd w:id="43"/>
      <w:r>
        <w:rPr>
          <w:rFonts w:hint="eastAsia" w:hAnsi="宋体" w:cs="黑体"/>
          <w:b/>
          <w:color w:val="auto"/>
          <w:sz w:val="21"/>
          <w:szCs w:val="21"/>
        </w:rPr>
        <w:t>标准</w:t>
      </w:r>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采购范围：见《响应人须知前附表》。</w:t>
      </w:r>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计划工期：见《响应人须知前附表》。</w:t>
      </w:r>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质量标准：见《响应人须知前附表》。</w:t>
      </w:r>
    </w:p>
    <w:p>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4" w:name="_Toc270604579"/>
      <w:bookmarkStart w:id="45" w:name="_Toc463011256"/>
      <w:bookmarkStart w:id="46" w:name="_Toc462934277"/>
      <w:bookmarkStart w:id="47" w:name="_Toc277149368"/>
      <w:bookmarkStart w:id="48" w:name="_Toc428276572"/>
      <w:bookmarkStart w:id="49" w:name="_Toc428351632"/>
      <w:bookmarkStart w:id="50" w:name="_Toc11519"/>
      <w:bookmarkStart w:id="51" w:name="_Toc6648"/>
      <w:bookmarkStart w:id="52" w:name="_Toc269470298"/>
      <w:bookmarkStart w:id="53" w:name="_Toc16958"/>
      <w:bookmarkStart w:id="54" w:name="_Toc270604806"/>
      <w:bookmarkStart w:id="55" w:name="_Toc455678103"/>
      <w:bookmarkStart w:id="56" w:name="_Toc454788012"/>
      <w:r>
        <w:rPr>
          <w:rFonts w:hint="eastAsia" w:hAnsi="宋体" w:cs="黑体"/>
          <w:b/>
          <w:color w:val="auto"/>
          <w:sz w:val="21"/>
          <w:szCs w:val="21"/>
        </w:rPr>
        <w:t>响应人资格要求</w:t>
      </w:r>
      <w:bookmarkEnd w:id="44"/>
      <w:bookmarkEnd w:id="45"/>
      <w:bookmarkEnd w:id="46"/>
      <w:bookmarkEnd w:id="47"/>
      <w:bookmarkEnd w:id="48"/>
      <w:bookmarkEnd w:id="49"/>
      <w:bookmarkEnd w:id="50"/>
      <w:bookmarkEnd w:id="51"/>
      <w:bookmarkEnd w:id="52"/>
      <w:bookmarkEnd w:id="53"/>
      <w:bookmarkEnd w:id="54"/>
      <w:bookmarkEnd w:id="55"/>
      <w:bookmarkEnd w:id="56"/>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响应人应具备的资格条件：见《响应人须知前附表》</w:t>
      </w:r>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响应人不得存在下列情形之一：</w:t>
      </w:r>
    </w:p>
    <w:p>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bookmarkStart w:id="57" w:name="_Toc19948"/>
      <w:bookmarkStart w:id="58" w:name="_Toc14128"/>
      <w:bookmarkStart w:id="59" w:name="_Toc455678104"/>
      <w:bookmarkStart w:id="60" w:name="_Toc269470299"/>
      <w:bookmarkStart w:id="61" w:name="_Toc277149369"/>
      <w:bookmarkStart w:id="62" w:name="_Toc428276573"/>
      <w:bookmarkStart w:id="63" w:name="_Toc463011257"/>
      <w:bookmarkStart w:id="64" w:name="_Toc454788013"/>
      <w:bookmarkStart w:id="65" w:name="_Toc270604807"/>
      <w:bookmarkStart w:id="66" w:name="_Toc462934278"/>
      <w:bookmarkStart w:id="67" w:name="_Toc428351633"/>
      <w:bookmarkStart w:id="68" w:name="_Toc270604580"/>
      <w:bookmarkStart w:id="69" w:name="_Toc28593"/>
      <w:r>
        <w:rPr>
          <w:rFonts w:hint="eastAsia" w:cs="微软雅黑"/>
          <w:kern w:val="0"/>
        </w:rPr>
        <w:t>与采购人存在利害关系且可能影响磋商公正性；</w:t>
      </w:r>
    </w:p>
    <w:p>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与本磋商项目的其他响应人为同一个单位负责人；</w:t>
      </w:r>
    </w:p>
    <w:p>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与本磋商项目的其他响应人存在控股、管理关系；</w:t>
      </w:r>
    </w:p>
    <w:p>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为本磋商项目提供过整体设计、规范编制或者项目管理、监理、检测等服务；</w:t>
      </w:r>
    </w:p>
    <w:p>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为本磋商项目的采购代理机构；</w:t>
      </w:r>
    </w:p>
    <w:p>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响应人以他人名义投标、串通投标、以行贿手段牟取中标，或在投标中弄虚作假的；</w:t>
      </w:r>
    </w:p>
    <w:p>
      <w:pPr>
        <w:numPr>
          <w:ilvl w:val="0"/>
          <w:numId w:val="6"/>
        </w:numPr>
        <w:wordWrap/>
        <w:topLinePunct w:val="0"/>
        <w:autoSpaceDE w:val="0"/>
        <w:autoSpaceDN w:val="0"/>
        <w:adjustRightInd w:val="0"/>
        <w:spacing w:line="360" w:lineRule="auto"/>
        <w:ind w:left="0" w:right="40" w:firstLine="420" w:firstLineChars="200"/>
        <w:jc w:val="left"/>
      </w:pPr>
      <w:r>
        <w:rPr>
          <w:rFonts w:hint="eastAsia" w:cs="微软雅黑"/>
          <w:kern w:val="0"/>
        </w:rPr>
        <w:t>法律法规规定的其他情形。</w:t>
      </w:r>
    </w:p>
    <w:bookmarkEnd w:id="57"/>
    <w:bookmarkEnd w:id="58"/>
    <w:bookmarkEnd w:id="59"/>
    <w:bookmarkEnd w:id="60"/>
    <w:bookmarkEnd w:id="61"/>
    <w:bookmarkEnd w:id="62"/>
    <w:bookmarkEnd w:id="63"/>
    <w:bookmarkEnd w:id="64"/>
    <w:bookmarkEnd w:id="65"/>
    <w:bookmarkEnd w:id="66"/>
    <w:bookmarkEnd w:id="67"/>
    <w:bookmarkEnd w:id="68"/>
    <w:bookmarkEnd w:id="69"/>
    <w:p>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70" w:name="_Toc32336"/>
      <w:r>
        <w:rPr>
          <w:rFonts w:hint="eastAsia" w:hAnsi="宋体" w:cs="黑体"/>
          <w:b/>
          <w:color w:val="auto"/>
          <w:sz w:val="21"/>
          <w:szCs w:val="21"/>
        </w:rPr>
        <w:t>费用承担</w:t>
      </w:r>
    </w:p>
    <w:p>
      <w:pPr>
        <w:wordWrap/>
        <w:topLinePunct w:val="0"/>
        <w:spacing w:line="360" w:lineRule="auto"/>
        <w:ind w:left="420" w:leftChars="200"/>
      </w:pPr>
      <w:r>
        <w:rPr>
          <w:rFonts w:hint="eastAsia"/>
        </w:rPr>
        <w:t>响应人准备和参加竞争性磋商活动发生的费用自理。</w:t>
      </w:r>
    </w:p>
    <w:p>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r>
        <w:rPr>
          <w:rFonts w:hint="eastAsia" w:hAnsi="宋体" w:cs="黑体"/>
          <w:b/>
          <w:color w:val="auto"/>
          <w:sz w:val="21"/>
          <w:szCs w:val="21"/>
        </w:rPr>
        <w:t>保密</w:t>
      </w:r>
      <w:bookmarkEnd w:id="70"/>
    </w:p>
    <w:p>
      <w:pPr>
        <w:wordWrap/>
        <w:topLinePunct w:val="0"/>
        <w:spacing w:line="360" w:lineRule="auto"/>
        <w:ind w:firstLine="420" w:firstLineChars="200"/>
      </w:pPr>
      <w:bookmarkStart w:id="71" w:name="_Toc428276575"/>
      <w:bookmarkStart w:id="72" w:name="_Toc7606"/>
      <w:bookmarkStart w:id="73" w:name="_Toc462934280"/>
      <w:bookmarkStart w:id="74" w:name="_Toc428351635"/>
      <w:bookmarkStart w:id="75" w:name="_Toc19438"/>
      <w:bookmarkStart w:id="76" w:name="_Toc270604582"/>
      <w:bookmarkStart w:id="77" w:name="_Toc277149371"/>
      <w:bookmarkStart w:id="78" w:name="_Toc454788015"/>
      <w:bookmarkStart w:id="79" w:name="_Toc463011259"/>
      <w:bookmarkStart w:id="80" w:name="_Toc270604809"/>
      <w:bookmarkStart w:id="81" w:name="_Toc455678106"/>
      <w:bookmarkStart w:id="82" w:name="_Toc269470301"/>
      <w:r>
        <w:rPr>
          <w:rFonts w:hint="eastAsia"/>
        </w:rPr>
        <w:t>参与竞争性磋商活动的各方应对竞争性磋商文件和响应文件中的商业和技术等秘密保密，否则应承担相应的法律责任。</w:t>
      </w:r>
    </w:p>
    <w:p>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83" w:name="_Toc25734"/>
      <w:r>
        <w:rPr>
          <w:rFonts w:hint="eastAsia" w:hAnsi="宋体" w:cs="黑体"/>
          <w:b/>
          <w:color w:val="auto"/>
          <w:sz w:val="21"/>
          <w:szCs w:val="21"/>
        </w:rPr>
        <w:t>语言文字</w:t>
      </w:r>
      <w:bookmarkEnd w:id="71"/>
      <w:bookmarkEnd w:id="72"/>
      <w:bookmarkEnd w:id="73"/>
      <w:bookmarkEnd w:id="74"/>
      <w:bookmarkEnd w:id="75"/>
      <w:bookmarkEnd w:id="76"/>
      <w:bookmarkEnd w:id="77"/>
      <w:bookmarkEnd w:id="78"/>
      <w:bookmarkEnd w:id="79"/>
      <w:bookmarkEnd w:id="80"/>
      <w:bookmarkEnd w:id="81"/>
      <w:bookmarkEnd w:id="82"/>
      <w:bookmarkEnd w:id="83"/>
    </w:p>
    <w:p>
      <w:pPr>
        <w:wordWrap/>
        <w:topLinePunct w:val="0"/>
        <w:spacing w:line="360" w:lineRule="auto"/>
        <w:ind w:firstLine="420" w:firstLineChars="200"/>
      </w:pPr>
      <w:bookmarkStart w:id="84" w:name="_Toc269470302"/>
      <w:bookmarkStart w:id="85" w:name="_Toc270604583"/>
      <w:bookmarkStart w:id="86" w:name="_Toc463011260"/>
      <w:bookmarkStart w:id="87" w:name="_Toc29299"/>
      <w:bookmarkStart w:id="88" w:name="_Toc455678107"/>
      <w:bookmarkStart w:id="89" w:name="_Toc454788016"/>
      <w:bookmarkStart w:id="90" w:name="_Toc277149372"/>
      <w:bookmarkStart w:id="91" w:name="_Toc428351636"/>
      <w:bookmarkStart w:id="92" w:name="_Toc9894"/>
      <w:bookmarkStart w:id="93" w:name="_Toc462934281"/>
      <w:bookmarkStart w:id="94" w:name="_Toc428276576"/>
      <w:bookmarkStart w:id="95" w:name="_Toc270604810"/>
      <w:r>
        <w:rPr>
          <w:rFonts w:hint="eastAsia"/>
          <w:kern w:val="0"/>
        </w:rPr>
        <w:t>竞争性磋商文件及响应文件</w:t>
      </w:r>
      <w:r>
        <w:rPr>
          <w:rFonts w:hint="eastAsia"/>
          <w:spacing w:val="-2"/>
          <w:kern w:val="0"/>
        </w:rPr>
        <w:t>使</w:t>
      </w:r>
      <w:r>
        <w:rPr>
          <w:rFonts w:hint="eastAsia"/>
          <w:kern w:val="0"/>
        </w:rPr>
        <w:t>用语</w:t>
      </w:r>
      <w:r>
        <w:rPr>
          <w:rFonts w:hint="eastAsia"/>
          <w:spacing w:val="-2"/>
          <w:kern w:val="0"/>
        </w:rPr>
        <w:t>言</w:t>
      </w:r>
      <w:r>
        <w:rPr>
          <w:rFonts w:hint="eastAsia"/>
          <w:kern w:val="0"/>
        </w:rPr>
        <w:t>文字应</w:t>
      </w:r>
      <w:r>
        <w:rPr>
          <w:rFonts w:hint="eastAsia"/>
          <w:spacing w:val="-2"/>
          <w:kern w:val="0"/>
        </w:rPr>
        <w:t>为</w:t>
      </w:r>
      <w:r>
        <w:rPr>
          <w:rFonts w:hint="eastAsia"/>
          <w:kern w:val="0"/>
        </w:rPr>
        <w:t>中</w:t>
      </w:r>
      <w:r>
        <w:rPr>
          <w:rFonts w:hint="eastAsia"/>
          <w:spacing w:val="-2"/>
          <w:kern w:val="0"/>
        </w:rPr>
        <w:t>文</w:t>
      </w:r>
      <w:r>
        <w:rPr>
          <w:rFonts w:hint="eastAsia"/>
          <w:kern w:val="0"/>
        </w:rPr>
        <w:t>。</w:t>
      </w:r>
      <w:r>
        <w:rPr>
          <w:rFonts w:hint="eastAsia"/>
          <w:spacing w:val="-2"/>
          <w:kern w:val="0"/>
        </w:rPr>
        <w:t>专</w:t>
      </w:r>
      <w:r>
        <w:rPr>
          <w:rFonts w:hint="eastAsia"/>
          <w:kern w:val="0"/>
        </w:rPr>
        <w:t>用</w:t>
      </w:r>
      <w:r>
        <w:rPr>
          <w:rFonts w:hint="eastAsia"/>
          <w:spacing w:val="-2"/>
          <w:kern w:val="0"/>
        </w:rPr>
        <w:t>术</w:t>
      </w:r>
      <w:r>
        <w:rPr>
          <w:rFonts w:hint="eastAsia"/>
          <w:kern w:val="0"/>
        </w:rPr>
        <w:t>语</w:t>
      </w:r>
      <w:r>
        <w:rPr>
          <w:rFonts w:hint="eastAsia"/>
          <w:spacing w:val="-2"/>
          <w:kern w:val="0"/>
        </w:rPr>
        <w:t>使</w:t>
      </w:r>
      <w:r>
        <w:rPr>
          <w:rFonts w:hint="eastAsia"/>
          <w:kern w:val="0"/>
        </w:rPr>
        <w:t>用外</w:t>
      </w:r>
      <w:r>
        <w:rPr>
          <w:rFonts w:hint="eastAsia"/>
          <w:spacing w:val="-2"/>
          <w:kern w:val="0"/>
        </w:rPr>
        <w:t>文</w:t>
      </w:r>
      <w:r>
        <w:rPr>
          <w:rFonts w:hint="eastAsia"/>
          <w:kern w:val="0"/>
        </w:rPr>
        <w:t>的</w:t>
      </w:r>
      <w:r>
        <w:rPr>
          <w:rFonts w:hint="eastAsia"/>
          <w:spacing w:val="-2"/>
          <w:kern w:val="0"/>
        </w:rPr>
        <w:t>，</w:t>
      </w:r>
      <w:r>
        <w:rPr>
          <w:rFonts w:hint="eastAsia"/>
          <w:kern w:val="0"/>
        </w:rPr>
        <w:t>应</w:t>
      </w:r>
      <w:r>
        <w:rPr>
          <w:rFonts w:hint="eastAsia"/>
          <w:spacing w:val="-2"/>
          <w:kern w:val="0"/>
        </w:rPr>
        <w:t>附</w:t>
      </w:r>
      <w:r>
        <w:rPr>
          <w:rFonts w:hint="eastAsia"/>
          <w:kern w:val="0"/>
        </w:rPr>
        <w:t>有</w:t>
      </w:r>
      <w:r>
        <w:rPr>
          <w:rFonts w:hint="eastAsia"/>
          <w:spacing w:val="-2"/>
          <w:kern w:val="0"/>
        </w:rPr>
        <w:t>中</w:t>
      </w:r>
      <w:r>
        <w:rPr>
          <w:rFonts w:hint="eastAsia"/>
          <w:kern w:val="0"/>
        </w:rPr>
        <w:t>文</w:t>
      </w:r>
      <w:r>
        <w:rPr>
          <w:rFonts w:hint="eastAsia"/>
          <w:spacing w:val="-2"/>
          <w:kern w:val="0"/>
        </w:rPr>
        <w:t>注</w:t>
      </w:r>
      <w:r>
        <w:rPr>
          <w:rFonts w:hint="eastAsia"/>
          <w:kern w:val="0"/>
        </w:rPr>
        <w:t>释</w:t>
      </w:r>
      <w:r>
        <w:rPr>
          <w:rFonts w:hint="eastAsia"/>
        </w:rPr>
        <w:t>。</w:t>
      </w:r>
    </w:p>
    <w:p>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96" w:name="_Toc30996"/>
      <w:r>
        <w:rPr>
          <w:rFonts w:hint="eastAsia" w:hAnsi="宋体" w:cs="黑体"/>
          <w:b/>
          <w:color w:val="auto"/>
          <w:sz w:val="21"/>
          <w:szCs w:val="21"/>
        </w:rPr>
        <w:t>计量单位</w:t>
      </w:r>
      <w:bookmarkEnd w:id="84"/>
      <w:bookmarkEnd w:id="85"/>
      <w:bookmarkEnd w:id="86"/>
      <w:bookmarkEnd w:id="87"/>
      <w:bookmarkEnd w:id="88"/>
      <w:bookmarkEnd w:id="89"/>
      <w:bookmarkEnd w:id="90"/>
      <w:bookmarkEnd w:id="91"/>
      <w:bookmarkEnd w:id="92"/>
      <w:bookmarkEnd w:id="93"/>
      <w:bookmarkEnd w:id="94"/>
      <w:bookmarkEnd w:id="95"/>
      <w:bookmarkEnd w:id="96"/>
    </w:p>
    <w:p>
      <w:pPr>
        <w:wordWrap/>
        <w:topLinePunct w:val="0"/>
        <w:spacing w:line="360" w:lineRule="auto"/>
        <w:ind w:left="420" w:leftChars="200"/>
      </w:pPr>
      <w:r>
        <w:rPr>
          <w:rFonts w:hint="eastAsia"/>
        </w:rPr>
        <w:t>所有计量均采用中华人民共和国法定计量标准单位。</w:t>
      </w:r>
    </w:p>
    <w:p>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97" w:name="_Toc428351637"/>
      <w:bookmarkStart w:id="98" w:name="_Toc462934282"/>
      <w:bookmarkStart w:id="99" w:name="_Toc270604584"/>
      <w:bookmarkStart w:id="100" w:name="_Toc428276577"/>
      <w:bookmarkStart w:id="101" w:name="_Toc270604811"/>
      <w:bookmarkStart w:id="102" w:name="_Toc269470303"/>
      <w:bookmarkStart w:id="103" w:name="_Toc455678108"/>
      <w:bookmarkStart w:id="104" w:name="_Toc277149373"/>
      <w:bookmarkStart w:id="105" w:name="_Toc454788017"/>
      <w:bookmarkStart w:id="106" w:name="_Toc11248"/>
      <w:bookmarkStart w:id="107" w:name="_Toc7491"/>
      <w:bookmarkStart w:id="108" w:name="_Toc463011261"/>
      <w:bookmarkStart w:id="109" w:name="_Toc14349"/>
      <w:r>
        <w:rPr>
          <w:rFonts w:hint="eastAsia" w:hAnsi="宋体" w:cs="黑体"/>
          <w:b/>
          <w:color w:val="auto"/>
          <w:sz w:val="21"/>
          <w:szCs w:val="21"/>
        </w:rPr>
        <w:t>现场</w:t>
      </w:r>
      <w:bookmarkEnd w:id="97"/>
      <w:bookmarkEnd w:id="98"/>
      <w:bookmarkEnd w:id="99"/>
      <w:bookmarkEnd w:id="100"/>
      <w:bookmarkEnd w:id="101"/>
      <w:bookmarkEnd w:id="102"/>
      <w:bookmarkEnd w:id="103"/>
      <w:bookmarkEnd w:id="104"/>
      <w:bookmarkEnd w:id="105"/>
      <w:bookmarkEnd w:id="106"/>
      <w:bookmarkEnd w:id="107"/>
      <w:bookmarkEnd w:id="108"/>
      <w:r>
        <w:rPr>
          <w:rFonts w:hint="eastAsia" w:hAnsi="宋体" w:cs="黑体"/>
          <w:b/>
          <w:color w:val="auto"/>
          <w:sz w:val="21"/>
          <w:szCs w:val="21"/>
        </w:rPr>
        <w:t>考察</w:t>
      </w:r>
      <w:bookmarkEnd w:id="109"/>
      <w:r>
        <w:rPr>
          <w:rFonts w:hint="eastAsia" w:hAnsi="宋体" w:cs="黑体"/>
          <w:b/>
          <w:color w:val="auto"/>
          <w:sz w:val="21"/>
          <w:szCs w:val="21"/>
        </w:rPr>
        <w:t>或答疑会</w:t>
      </w:r>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现场考察：响应人须知前附表规定组织现场考察的，采购人按《响应人须知前附表》规定的时间、地点组织响应人考察项目现场。部分响应人未按时参加现场考察的，不影响现场考察的正常进行。</w:t>
      </w:r>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响应人现场考察发生的费用自理。</w:t>
      </w:r>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除采购人的原因外，响应人自行负责在现场考察中所发生的人员伤亡和财产损失。</w:t>
      </w:r>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采购人在现场考察中介绍的项目场地和相关的周边环境情况，供响应人在编制响应文件时参考，采购人不对响应人据此作出的判断和决策负责。</w:t>
      </w:r>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答疑会：见《响应人须知前附表》。</w:t>
      </w:r>
    </w:p>
    <w:p>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10" w:name="_Toc463011263"/>
      <w:bookmarkStart w:id="111" w:name="_Toc462934284"/>
      <w:bookmarkStart w:id="112" w:name="_Toc277149375"/>
      <w:bookmarkStart w:id="113" w:name="_Toc8646"/>
      <w:bookmarkStart w:id="114" w:name="_Toc270604586"/>
      <w:bookmarkStart w:id="115" w:name="_Toc20135"/>
      <w:bookmarkStart w:id="116" w:name="_Toc455678110"/>
      <w:bookmarkStart w:id="117" w:name="_Toc428276579"/>
      <w:bookmarkStart w:id="118" w:name="_Toc24091"/>
      <w:bookmarkStart w:id="119" w:name="_Toc270604813"/>
      <w:bookmarkStart w:id="120" w:name="_Toc428351639"/>
      <w:bookmarkStart w:id="121" w:name="_Toc454788019"/>
      <w:bookmarkStart w:id="122" w:name="_Toc269470305"/>
      <w:r>
        <w:rPr>
          <w:rFonts w:hint="eastAsia" w:hAnsi="宋体" w:cs="黑体"/>
          <w:b/>
          <w:color w:val="auto"/>
          <w:sz w:val="21"/>
          <w:szCs w:val="21"/>
        </w:rPr>
        <w:t>分包</w:t>
      </w:r>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123" w:name="_Toc270604587"/>
      <w:bookmarkStart w:id="124" w:name="_Toc8513"/>
      <w:bookmarkStart w:id="125" w:name="_Toc269470306"/>
      <w:bookmarkStart w:id="126" w:name="_Toc29688"/>
      <w:bookmarkStart w:id="127" w:name="_Toc454788020"/>
      <w:bookmarkStart w:id="128" w:name="_Toc270604814"/>
      <w:bookmarkStart w:id="129" w:name="_Toc428276580"/>
      <w:bookmarkStart w:id="130" w:name="_Toc455678111"/>
      <w:bookmarkStart w:id="131" w:name="_Toc10220"/>
      <w:bookmarkStart w:id="132" w:name="_Toc463011264"/>
      <w:bookmarkStart w:id="133" w:name="_Toc277149376"/>
      <w:bookmarkStart w:id="134" w:name="_Toc462934285"/>
      <w:bookmarkStart w:id="135" w:name="_Toc428351640"/>
      <w:r>
        <w:rPr>
          <w:rFonts w:hint="eastAsia" w:hAnsi="宋体" w:cs="黑体"/>
          <w:color w:val="auto"/>
          <w:sz w:val="21"/>
          <w:szCs w:val="21"/>
        </w:rPr>
        <w:t>响应人拟在成交后将成交项目的非主体、非关键性工作进行分包的，应符合《响应人须知前附表》规定的分包内容、分包金额和资质要求等限制性条件，除《响应人须知前附表》规定的非主体、非关键性工作外，其他工作不得分包。</w:t>
      </w:r>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成交人不得向他人转让成交项目，接受分包的人不得再次分包。成交人应当就分包项目向采购人负责，接受分包的人就分包项目承担连带责任。</w:t>
      </w:r>
    </w:p>
    <w:bookmarkEnd w:id="123"/>
    <w:bookmarkEnd w:id="124"/>
    <w:bookmarkEnd w:id="125"/>
    <w:bookmarkEnd w:id="126"/>
    <w:bookmarkEnd w:id="127"/>
    <w:bookmarkEnd w:id="128"/>
    <w:bookmarkEnd w:id="129"/>
    <w:bookmarkEnd w:id="130"/>
    <w:bookmarkEnd w:id="131"/>
    <w:bookmarkEnd w:id="132"/>
    <w:bookmarkEnd w:id="133"/>
    <w:bookmarkEnd w:id="134"/>
    <w:bookmarkEnd w:id="135"/>
    <w:p>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r>
        <w:rPr>
          <w:rFonts w:hint="eastAsia" w:hAnsi="宋体" w:cs="黑体"/>
          <w:b/>
          <w:color w:val="auto"/>
          <w:sz w:val="21"/>
          <w:szCs w:val="21"/>
        </w:rPr>
        <w:t>响应和偏差</w:t>
      </w:r>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响应文件应当对竞争性磋商文件的实质性要求和条件作出满足性或更有利于采购人的响应，否则，响应人的响应文件将被否决。实质性要求和条件见《响应人须知前附表》。</w:t>
      </w:r>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允许响应文件偏离竞争性磋商文件某些要求的，偏差应当符合竞争性磋商文件规定的偏差范围和幅度。</w:t>
      </w:r>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响应文件对竞争性磋商文件的全部偏差，均应在响应文件的商务和技术偏差表中列明，除列明的内容外，视为响应人响应竞争性磋商文件的全部要求。</w:t>
      </w:r>
    </w:p>
    <w:p>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36" w:name="_Toc17145"/>
      <w:bookmarkStart w:id="137" w:name="_Toc23956"/>
      <w:bookmarkStart w:id="138" w:name="_Toc463011265"/>
      <w:bookmarkStart w:id="139" w:name="_Toc455678112"/>
      <w:bookmarkStart w:id="140" w:name="_Toc11809"/>
      <w:bookmarkStart w:id="141" w:name="_Toc462934286"/>
      <w:r>
        <w:rPr>
          <w:rFonts w:hint="eastAsia" w:hAnsi="宋体" w:cs="黑体"/>
          <w:b/>
          <w:color w:val="auto"/>
          <w:sz w:val="21"/>
          <w:szCs w:val="21"/>
        </w:rPr>
        <w:t>选择性报价方案</w:t>
      </w:r>
      <w:bookmarkEnd w:id="136"/>
      <w:bookmarkEnd w:id="137"/>
      <w:bookmarkEnd w:id="138"/>
      <w:bookmarkEnd w:id="139"/>
      <w:bookmarkEnd w:id="140"/>
      <w:bookmarkEnd w:id="141"/>
    </w:p>
    <w:p>
      <w:pPr>
        <w:tabs>
          <w:tab w:val="left" w:pos="720"/>
          <w:tab w:val="left" w:pos="1320"/>
        </w:tabs>
        <w:snapToGrid w:val="0"/>
        <w:spacing w:line="360" w:lineRule="auto"/>
        <w:ind w:firstLine="420" w:firstLineChars="200"/>
        <w:contextualSpacing/>
      </w:pPr>
      <w:r>
        <w:rPr>
          <w:rFonts w:hint="eastAsia" w:cs="黑体"/>
        </w:rPr>
        <w:t>选择性报价方案：见响应人须知前附表。</w:t>
      </w:r>
    </w:p>
    <w:p>
      <w:pPr>
        <w:pStyle w:val="3"/>
        <w:numPr>
          <w:ilvl w:val="0"/>
          <w:numId w:val="5"/>
        </w:numPr>
        <w:tabs>
          <w:tab w:val="left" w:pos="360"/>
          <w:tab w:val="clear" w:pos="425"/>
        </w:tabs>
        <w:spacing w:line="360" w:lineRule="auto"/>
        <w:jc w:val="both"/>
        <w:outlineLvl w:val="1"/>
        <w:rPr>
          <w:rFonts w:hAnsi="宋体" w:cs="黑体"/>
          <w:b/>
          <w:color w:val="auto"/>
        </w:rPr>
      </w:pPr>
      <w:bookmarkStart w:id="142" w:name="_Toc9724"/>
      <w:bookmarkStart w:id="143" w:name="_Toc5446"/>
      <w:bookmarkStart w:id="144" w:name="_Toc6260"/>
      <w:bookmarkStart w:id="145" w:name="_Toc270604588"/>
      <w:r>
        <w:rPr>
          <w:rFonts w:hint="eastAsia" w:hAnsi="宋体" w:cs="黑体"/>
          <w:b/>
          <w:color w:val="auto"/>
        </w:rPr>
        <w:t>竞争性磋商文件</w:t>
      </w:r>
      <w:bookmarkEnd w:id="142"/>
      <w:bookmarkEnd w:id="143"/>
      <w:bookmarkEnd w:id="144"/>
      <w:bookmarkEnd w:id="145"/>
    </w:p>
    <w:p>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46" w:name="_Toc19729"/>
      <w:bookmarkStart w:id="147" w:name="_Toc270604816"/>
      <w:bookmarkStart w:id="148" w:name="_Toc428276582"/>
      <w:bookmarkStart w:id="149" w:name="_Toc454788022"/>
      <w:bookmarkStart w:id="150" w:name="_Toc463011267"/>
      <w:bookmarkStart w:id="151" w:name="_Toc428351642"/>
      <w:bookmarkStart w:id="152" w:name="_Toc277149378"/>
      <w:bookmarkStart w:id="153" w:name="_Toc269470308"/>
      <w:bookmarkStart w:id="154" w:name="_Toc462934288"/>
      <w:bookmarkStart w:id="155" w:name="_Toc10962"/>
      <w:bookmarkStart w:id="156" w:name="_Toc455678114"/>
      <w:bookmarkStart w:id="157" w:name="_Toc270604589"/>
      <w:bookmarkStart w:id="158" w:name="_Toc27664"/>
      <w:r>
        <w:rPr>
          <w:rFonts w:hint="eastAsia" w:hAnsi="宋体" w:cs="黑体"/>
          <w:b/>
          <w:color w:val="auto"/>
          <w:sz w:val="21"/>
          <w:szCs w:val="21"/>
        </w:rPr>
        <w:t>竞争性磋商文件的组成</w:t>
      </w:r>
      <w:bookmarkEnd w:id="146"/>
      <w:bookmarkEnd w:id="147"/>
      <w:bookmarkEnd w:id="148"/>
      <w:bookmarkEnd w:id="149"/>
      <w:bookmarkEnd w:id="150"/>
      <w:bookmarkEnd w:id="151"/>
      <w:bookmarkEnd w:id="152"/>
      <w:bookmarkEnd w:id="153"/>
      <w:bookmarkEnd w:id="154"/>
      <w:bookmarkEnd w:id="155"/>
      <w:bookmarkEnd w:id="156"/>
      <w:bookmarkEnd w:id="157"/>
      <w:bookmarkEnd w:id="158"/>
    </w:p>
    <w:p>
      <w:pPr>
        <w:tabs>
          <w:tab w:val="left" w:pos="1260"/>
        </w:tabs>
        <w:autoSpaceDE w:val="0"/>
        <w:autoSpaceDN w:val="0"/>
        <w:adjustRightInd w:val="0"/>
        <w:snapToGrid w:val="0"/>
        <w:spacing w:line="360" w:lineRule="auto"/>
        <w:ind w:firstLine="472" w:firstLineChars="225"/>
        <w:contextualSpacing/>
        <w:jc w:val="left"/>
        <w:rPr>
          <w:rFonts w:cs="FangSong_GB2312"/>
          <w:kern w:val="0"/>
        </w:rPr>
      </w:pPr>
      <w:r>
        <w:rPr>
          <w:rFonts w:hint="eastAsia" w:cs="FangSong_GB2312"/>
          <w:kern w:val="0"/>
        </w:rPr>
        <w:t>本竞争性磋商文件包括：</w:t>
      </w:r>
    </w:p>
    <w:p>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竞争性磋商公告</w:t>
      </w:r>
    </w:p>
    <w:p>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响应人须知</w:t>
      </w:r>
    </w:p>
    <w:p>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评审办法</w:t>
      </w:r>
    </w:p>
    <w:p>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合同</w:t>
      </w:r>
    </w:p>
    <w:p>
      <w:pPr>
        <w:numPr>
          <w:ilvl w:val="0"/>
          <w:numId w:val="7"/>
        </w:numPr>
        <w:wordWrap/>
        <w:topLinePunct w:val="0"/>
        <w:autoSpaceDE w:val="0"/>
        <w:autoSpaceDN w:val="0"/>
        <w:adjustRightInd w:val="0"/>
        <w:spacing w:line="360" w:lineRule="auto"/>
        <w:ind w:left="987" w:leftChars="200" w:right="40" w:hanging="567"/>
        <w:jc w:val="left"/>
      </w:pPr>
      <w:r>
        <w:rPr>
          <w:rFonts w:hint="eastAsia" w:cs="微软雅黑"/>
          <w:kern w:val="0"/>
        </w:rPr>
        <w:t>工程量清单</w:t>
      </w:r>
    </w:p>
    <w:p>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图纸</w:t>
      </w:r>
    </w:p>
    <w:p>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技术标准和要求</w:t>
      </w:r>
    </w:p>
    <w:p>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磋商响应文件格式</w:t>
      </w:r>
    </w:p>
    <w:p>
      <w:pPr>
        <w:tabs>
          <w:tab w:val="left" w:pos="1260"/>
        </w:tabs>
        <w:autoSpaceDE w:val="0"/>
        <w:autoSpaceDN w:val="0"/>
        <w:adjustRightInd w:val="0"/>
        <w:snapToGrid w:val="0"/>
        <w:spacing w:line="360" w:lineRule="auto"/>
        <w:ind w:firstLine="472" w:firstLineChars="225"/>
        <w:contextualSpacing/>
        <w:jc w:val="left"/>
        <w:rPr>
          <w:rFonts w:cs="FangSong_GB2312"/>
          <w:kern w:val="0"/>
        </w:rPr>
      </w:pPr>
      <w:r>
        <w:rPr>
          <w:rFonts w:hint="eastAsia" w:cs="FangSong_GB2312"/>
          <w:kern w:val="0"/>
        </w:rPr>
        <w:t>根据本章第</w:t>
      </w:r>
      <w:r>
        <w:rPr>
          <w:rFonts w:cs="TimesNewRomanPSMT"/>
          <w:kern w:val="0"/>
        </w:rPr>
        <w:t>1.</w:t>
      </w:r>
      <w:r>
        <w:rPr>
          <w:rFonts w:hint="eastAsia" w:cs="TimesNewRomanPSMT"/>
          <w:kern w:val="0"/>
        </w:rPr>
        <w:t>9</w:t>
      </w:r>
      <w:r>
        <w:rPr>
          <w:rFonts w:hint="eastAsia" w:cs="FangSong_GB2312"/>
          <w:kern w:val="0"/>
        </w:rPr>
        <w:t>款、第</w:t>
      </w:r>
      <w:r>
        <w:rPr>
          <w:rFonts w:cs="TimesNewRomanPSMT"/>
          <w:kern w:val="0"/>
        </w:rPr>
        <w:t xml:space="preserve">2.2 </w:t>
      </w:r>
      <w:r>
        <w:rPr>
          <w:rFonts w:hint="eastAsia" w:cs="FangSong_GB2312"/>
          <w:kern w:val="0"/>
        </w:rPr>
        <w:t>款和第</w:t>
      </w:r>
      <w:r>
        <w:rPr>
          <w:rFonts w:cs="TimesNewRomanPSMT"/>
          <w:kern w:val="0"/>
        </w:rPr>
        <w:t xml:space="preserve">2.3 </w:t>
      </w:r>
      <w:r>
        <w:rPr>
          <w:rFonts w:hint="eastAsia" w:cs="FangSong_GB2312"/>
          <w:kern w:val="0"/>
        </w:rPr>
        <w:t>款对竞争性磋商文件所作的澄清、修改，构成竞争性磋商文件的组成部分。</w:t>
      </w:r>
    </w:p>
    <w:p>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59" w:name="_Toc455678115"/>
      <w:bookmarkStart w:id="160" w:name="_Toc463011268"/>
      <w:bookmarkStart w:id="161" w:name="_Toc270604817"/>
      <w:bookmarkStart w:id="162" w:name="_Toc462934289"/>
      <w:bookmarkStart w:id="163" w:name="_Toc13094"/>
      <w:bookmarkStart w:id="164" w:name="_Toc454788023"/>
      <w:bookmarkStart w:id="165" w:name="_Toc11511"/>
      <w:bookmarkStart w:id="166" w:name="_Toc277149379"/>
      <w:bookmarkStart w:id="167" w:name="_Toc269470309"/>
      <w:bookmarkStart w:id="168" w:name="_Toc428351643"/>
      <w:bookmarkStart w:id="169" w:name="_Toc270604590"/>
      <w:bookmarkStart w:id="170" w:name="_Toc5047"/>
      <w:bookmarkStart w:id="171" w:name="_Toc428276583"/>
      <w:r>
        <w:rPr>
          <w:rFonts w:hint="eastAsia" w:hAnsi="宋体" w:cs="黑体"/>
          <w:b/>
          <w:color w:val="auto"/>
          <w:sz w:val="21"/>
          <w:szCs w:val="21"/>
        </w:rPr>
        <w:t>竞争性磋商文件的澄清</w:t>
      </w:r>
      <w:bookmarkEnd w:id="159"/>
      <w:bookmarkEnd w:id="160"/>
      <w:bookmarkEnd w:id="161"/>
      <w:bookmarkEnd w:id="162"/>
      <w:bookmarkEnd w:id="163"/>
      <w:bookmarkEnd w:id="164"/>
      <w:bookmarkEnd w:id="165"/>
      <w:bookmarkEnd w:id="166"/>
      <w:bookmarkEnd w:id="167"/>
      <w:bookmarkEnd w:id="168"/>
      <w:bookmarkEnd w:id="169"/>
      <w:bookmarkEnd w:id="170"/>
      <w:bookmarkEnd w:id="171"/>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172" w:name="_Toc463011269"/>
      <w:bookmarkStart w:id="173" w:name="_Toc428351644"/>
      <w:bookmarkStart w:id="174" w:name="_Toc20316"/>
      <w:bookmarkStart w:id="175" w:name="_Toc454788024"/>
      <w:bookmarkStart w:id="176" w:name="_Toc270604818"/>
      <w:bookmarkStart w:id="177" w:name="_Toc428276584"/>
      <w:bookmarkStart w:id="178" w:name="_Toc277149380"/>
      <w:bookmarkStart w:id="179" w:name="_Toc462934290"/>
      <w:bookmarkStart w:id="180" w:name="_Toc269470310"/>
      <w:bookmarkStart w:id="181" w:name="_Toc400"/>
      <w:bookmarkStart w:id="182" w:name="_Toc455678116"/>
      <w:bookmarkStart w:id="183" w:name="_Toc270604591"/>
      <w:r>
        <w:rPr>
          <w:rFonts w:hint="eastAsia" w:hAnsi="宋体" w:cs="黑体"/>
          <w:color w:val="auto"/>
          <w:sz w:val="21"/>
          <w:szCs w:val="21"/>
        </w:rPr>
        <w:t>响应人应仔细阅读和检查竞争性磋商文件的全部内容。如发现缺页或附件不全，应及时向采购人提出，以便补齐。如有疑问，应按《响应人须知前附表》规定的时间和形式将提出的问题送达采购人，要求采购人对竞争性磋商文件予以澄清。</w:t>
      </w:r>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竞争性磋商文件的澄清以《响应人须知前附表》规定的形式在原公告媒体发布澄清公告，但不指明澄清问题的来源。澄清发出的时间距本章第4.2.1项规定的提交首次响应文件截止时间不足5日的，并且澄清内容可能影响响应文件编制的，将相应延长提交首次响应文件截止时间。</w:t>
      </w:r>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除非采购人认为确有必要答复，否则，采购人有权拒绝回复响应人在本章第2.2.1项规定的时间后的任何澄清要求。在规定的时间内未提出疑问的，将被视为对竞争性磋商文件完全认可。</w:t>
      </w:r>
    </w:p>
    <w:p>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84" w:name="_Toc5535"/>
      <w:r>
        <w:rPr>
          <w:rFonts w:hint="eastAsia" w:hAnsi="宋体" w:cs="黑体"/>
          <w:b/>
          <w:color w:val="auto"/>
          <w:sz w:val="21"/>
          <w:szCs w:val="21"/>
        </w:rPr>
        <w:t>竞争性磋商文件的修改</w:t>
      </w:r>
      <w:bookmarkEnd w:id="172"/>
      <w:bookmarkEnd w:id="173"/>
      <w:bookmarkEnd w:id="174"/>
      <w:bookmarkEnd w:id="175"/>
      <w:bookmarkEnd w:id="176"/>
      <w:bookmarkEnd w:id="177"/>
      <w:bookmarkEnd w:id="178"/>
      <w:bookmarkEnd w:id="179"/>
      <w:bookmarkEnd w:id="180"/>
      <w:bookmarkEnd w:id="181"/>
      <w:bookmarkEnd w:id="182"/>
      <w:bookmarkEnd w:id="183"/>
      <w:bookmarkEnd w:id="184"/>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185" w:name="_Toc12045"/>
      <w:bookmarkStart w:id="186" w:name="_Toc270604592"/>
      <w:r>
        <w:rPr>
          <w:rFonts w:hint="eastAsia" w:hAnsi="宋体" w:cs="黑体"/>
          <w:color w:val="auto"/>
          <w:sz w:val="21"/>
          <w:szCs w:val="21"/>
        </w:rPr>
        <w:t>采购人或者采购代理机构可以对已发出的竞争性磋商文件进行必要的修改，但不得改变采购标的和资格条件，修改的内容为竞争性磋商文件的组成部分。</w:t>
      </w:r>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或采购代理机构以《响应人须知前附表》规定的形式修改竞争性磋商文件，同时在原公告媒体发布变更公告。修改竞争性磋商文件的时间距本章第4.2.1项规定的提交首次响应文件截止时间不足5日的，并且修改内容可能影响响应文件编制的，将相应延长提交首次响应文件截止时间。</w:t>
      </w:r>
    </w:p>
    <w:p>
      <w:pPr>
        <w:pStyle w:val="3"/>
        <w:numPr>
          <w:ilvl w:val="0"/>
          <w:numId w:val="5"/>
        </w:numPr>
        <w:tabs>
          <w:tab w:val="left" w:pos="360"/>
          <w:tab w:val="clear" w:pos="425"/>
        </w:tabs>
        <w:spacing w:line="360" w:lineRule="auto"/>
        <w:jc w:val="both"/>
        <w:outlineLvl w:val="1"/>
        <w:rPr>
          <w:rFonts w:hAnsi="宋体" w:cs="黑体"/>
          <w:b/>
          <w:color w:val="auto"/>
        </w:rPr>
      </w:pPr>
      <w:bookmarkStart w:id="187" w:name="_Toc9050"/>
      <w:bookmarkStart w:id="188" w:name="_Toc28297"/>
      <w:r>
        <w:rPr>
          <w:rFonts w:hint="eastAsia" w:hAnsi="宋体" w:cs="黑体"/>
          <w:b/>
          <w:color w:val="auto"/>
        </w:rPr>
        <w:t>磋商响应文件</w:t>
      </w:r>
      <w:bookmarkEnd w:id="185"/>
      <w:bookmarkEnd w:id="186"/>
      <w:r>
        <w:rPr>
          <w:rFonts w:hint="eastAsia" w:hAnsi="宋体" w:cs="黑体"/>
          <w:b/>
          <w:color w:val="auto"/>
        </w:rPr>
        <w:t>编写</w:t>
      </w:r>
      <w:bookmarkEnd w:id="187"/>
      <w:bookmarkEnd w:id="188"/>
    </w:p>
    <w:p>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89" w:name="_Toc463011271"/>
      <w:bookmarkStart w:id="190" w:name="_Toc20143"/>
      <w:bookmarkStart w:id="191" w:name="_Toc455678118"/>
      <w:bookmarkStart w:id="192" w:name="_Toc26455"/>
      <w:bookmarkStart w:id="193" w:name="_Toc12181"/>
      <w:bookmarkStart w:id="194" w:name="_Toc428351646"/>
      <w:bookmarkStart w:id="195" w:name="_Toc277149382"/>
      <w:bookmarkStart w:id="196" w:name="_Toc270604593"/>
      <w:bookmarkStart w:id="197" w:name="_Toc270604820"/>
      <w:bookmarkStart w:id="198" w:name="_Toc462934292"/>
      <w:bookmarkStart w:id="199" w:name="_Toc454788026"/>
      <w:bookmarkStart w:id="200" w:name="_Toc428276586"/>
      <w:bookmarkStart w:id="201" w:name="_Toc269470312"/>
      <w:r>
        <w:rPr>
          <w:rFonts w:hint="eastAsia" w:hAnsi="宋体" w:cs="黑体"/>
          <w:b/>
          <w:color w:val="auto"/>
          <w:sz w:val="21"/>
          <w:szCs w:val="21"/>
        </w:rPr>
        <w:t>磋商响应文件的组成</w:t>
      </w:r>
      <w:bookmarkEnd w:id="189"/>
      <w:bookmarkEnd w:id="190"/>
      <w:bookmarkEnd w:id="191"/>
      <w:bookmarkEnd w:id="192"/>
      <w:bookmarkEnd w:id="193"/>
      <w:bookmarkEnd w:id="194"/>
      <w:bookmarkEnd w:id="195"/>
      <w:bookmarkEnd w:id="196"/>
      <w:bookmarkEnd w:id="197"/>
      <w:bookmarkEnd w:id="198"/>
      <w:bookmarkEnd w:id="199"/>
      <w:bookmarkEnd w:id="200"/>
      <w:bookmarkEnd w:id="201"/>
    </w:p>
    <w:p>
      <w:pPr>
        <w:pStyle w:val="3"/>
        <w:numPr>
          <w:ilvl w:val="0"/>
          <w:numId w:val="0"/>
        </w:numPr>
        <w:snapToGrid w:val="0"/>
        <w:spacing w:line="360" w:lineRule="auto"/>
        <w:ind w:left="540"/>
        <w:contextualSpacing/>
        <w:jc w:val="both"/>
        <w:rPr>
          <w:rFonts w:hAnsi="宋体" w:cs="黑体"/>
          <w:color w:val="auto"/>
          <w:sz w:val="21"/>
          <w:szCs w:val="21"/>
        </w:rPr>
      </w:pPr>
      <w:r>
        <w:rPr>
          <w:rFonts w:hint="eastAsia" w:hAnsi="宋体" w:cs="黑体"/>
          <w:color w:val="auto"/>
          <w:sz w:val="21"/>
          <w:szCs w:val="21"/>
        </w:rPr>
        <w:t>磋商响应文件应包括下列内容：</w:t>
      </w:r>
    </w:p>
    <w:p>
      <w:pPr>
        <w:wordWrap/>
        <w:topLinePunct w:val="0"/>
        <w:autoSpaceDE w:val="0"/>
        <w:autoSpaceDN w:val="0"/>
        <w:adjustRightInd w:val="0"/>
        <w:spacing w:line="360" w:lineRule="auto"/>
        <w:ind w:right="40" w:firstLine="420" w:firstLineChars="200"/>
        <w:jc w:val="left"/>
        <w:rPr>
          <w:rFonts w:cs="微软雅黑"/>
          <w:kern w:val="0"/>
        </w:rPr>
      </w:pPr>
      <w:bookmarkStart w:id="202" w:name="_Toc22898"/>
      <w:bookmarkStart w:id="203" w:name="_Toc4803"/>
      <w:bookmarkStart w:id="204" w:name="_Toc455678119"/>
      <w:bookmarkStart w:id="205" w:name="_Toc462934293"/>
      <w:bookmarkStart w:id="206" w:name="_Toc463011272"/>
      <w:bookmarkStart w:id="207" w:name="_Toc21496"/>
      <w:bookmarkStart w:id="208" w:name="_Toc270604822"/>
      <w:bookmarkStart w:id="209" w:name="_Toc277149384"/>
      <w:bookmarkStart w:id="210" w:name="_Toc269470314"/>
      <w:bookmarkStart w:id="211" w:name="_Toc270604595"/>
      <w:r>
        <w:rPr>
          <w:rFonts w:hint="eastAsia"/>
        </w:rPr>
        <w:t>（1）</w:t>
      </w:r>
      <w:r>
        <w:rPr>
          <w:rFonts w:hint="eastAsia" w:cs="微软雅黑"/>
          <w:kern w:val="0"/>
        </w:rPr>
        <w:t>报价函及报价函附录</w:t>
      </w:r>
    </w:p>
    <w:p>
      <w:pPr>
        <w:wordWrap/>
        <w:topLinePunct w:val="0"/>
        <w:spacing w:line="360" w:lineRule="auto"/>
        <w:ind w:firstLine="420" w:firstLineChars="200"/>
      </w:pPr>
      <w:r>
        <w:rPr>
          <w:rFonts w:hint="eastAsia"/>
        </w:rPr>
        <w:t>（2）法定代表人身份证明</w:t>
      </w:r>
      <w:r>
        <w:rPr>
          <w:rFonts w:hint="eastAsia" w:cs="微软雅黑"/>
          <w:kern w:val="0"/>
        </w:rPr>
        <w:t>或授权委托书</w:t>
      </w:r>
    </w:p>
    <w:p>
      <w:pPr>
        <w:wordWrap/>
        <w:topLinePunct w:val="0"/>
        <w:spacing w:line="360" w:lineRule="auto"/>
        <w:ind w:firstLine="420" w:firstLineChars="200"/>
      </w:pPr>
      <w:r>
        <w:rPr>
          <w:rFonts w:hint="eastAsia"/>
        </w:rPr>
        <w:t>（3）响应人资格审查资料</w:t>
      </w:r>
    </w:p>
    <w:p>
      <w:pPr>
        <w:wordWrap/>
        <w:topLinePunct w:val="0"/>
        <w:spacing w:line="360" w:lineRule="auto"/>
        <w:ind w:firstLine="420" w:firstLineChars="200"/>
      </w:pPr>
      <w:r>
        <w:rPr>
          <w:rFonts w:hint="eastAsia"/>
        </w:rPr>
        <w:t>（4）已标价工程量清单</w:t>
      </w:r>
    </w:p>
    <w:p>
      <w:pPr>
        <w:wordWrap/>
        <w:topLinePunct w:val="0"/>
        <w:spacing w:line="360" w:lineRule="auto"/>
        <w:ind w:firstLine="420" w:firstLineChars="200"/>
      </w:pPr>
      <w:r>
        <w:rPr>
          <w:rFonts w:hint="eastAsia"/>
        </w:rPr>
        <w:t>（5）施工组织设计</w:t>
      </w:r>
    </w:p>
    <w:p>
      <w:pPr>
        <w:wordWrap/>
        <w:topLinePunct w:val="0"/>
        <w:spacing w:line="360" w:lineRule="auto"/>
        <w:ind w:firstLine="420" w:firstLineChars="200"/>
      </w:pPr>
      <w:r>
        <w:rPr>
          <w:rFonts w:hint="eastAsia"/>
        </w:rPr>
        <w:t>（6）项目管理机构</w:t>
      </w:r>
    </w:p>
    <w:p>
      <w:pPr>
        <w:wordWrap/>
        <w:topLinePunct w:val="0"/>
        <w:autoSpaceDE w:val="0"/>
        <w:autoSpaceDN w:val="0"/>
        <w:adjustRightInd w:val="0"/>
        <w:spacing w:line="360" w:lineRule="auto"/>
        <w:ind w:right="40" w:firstLine="420" w:firstLineChars="200"/>
        <w:jc w:val="left"/>
        <w:rPr>
          <w:rFonts w:cs="微软雅黑"/>
          <w:kern w:val="0"/>
        </w:rPr>
      </w:pPr>
      <w:r>
        <w:rPr>
          <w:rFonts w:hint="eastAsia"/>
        </w:rPr>
        <w:t>（</w:t>
      </w:r>
      <w:r>
        <w:rPr>
          <w:rFonts w:hint="eastAsia"/>
          <w:lang w:val="en-US" w:eastAsia="zh-CN"/>
        </w:rPr>
        <w:t>7</w:t>
      </w:r>
      <w:r>
        <w:rPr>
          <w:rFonts w:hint="eastAsia"/>
        </w:rPr>
        <w:t>）</w:t>
      </w:r>
      <w:r>
        <w:rPr>
          <w:rFonts w:hint="eastAsia" w:cs="微软雅黑"/>
          <w:kern w:val="0"/>
        </w:rPr>
        <w:t>服务承诺</w:t>
      </w:r>
    </w:p>
    <w:p>
      <w:pPr>
        <w:wordWrap/>
        <w:topLinePunct w:val="0"/>
        <w:autoSpaceDE w:val="0"/>
        <w:autoSpaceDN w:val="0"/>
        <w:adjustRightInd w:val="0"/>
        <w:spacing w:line="360" w:lineRule="auto"/>
        <w:ind w:right="40" w:firstLine="420" w:firstLineChars="200"/>
        <w:jc w:val="left"/>
        <w:rPr>
          <w:rFonts w:cs="微软雅黑"/>
          <w:kern w:val="0"/>
        </w:rPr>
      </w:pPr>
      <w:r>
        <w:rPr>
          <w:rFonts w:hint="eastAsia"/>
        </w:rPr>
        <w:t>（</w:t>
      </w:r>
      <w:r>
        <w:rPr>
          <w:rFonts w:hint="eastAsia"/>
          <w:lang w:val="en-US" w:eastAsia="zh-CN"/>
        </w:rPr>
        <w:t>8</w:t>
      </w:r>
      <w:r>
        <w:rPr>
          <w:rFonts w:hint="eastAsia"/>
        </w:rPr>
        <w:t>）</w:t>
      </w:r>
      <w:r>
        <w:rPr>
          <w:rFonts w:hint="eastAsia" w:cs="微软雅黑"/>
          <w:kern w:val="0"/>
        </w:rPr>
        <w:t>反商业贿赂承诺书</w:t>
      </w:r>
    </w:p>
    <w:p>
      <w:pPr>
        <w:wordWrap/>
        <w:topLinePunct w:val="0"/>
        <w:autoSpaceDE w:val="0"/>
        <w:autoSpaceDN w:val="0"/>
        <w:adjustRightInd w:val="0"/>
        <w:spacing w:line="360" w:lineRule="auto"/>
        <w:ind w:right="40" w:firstLine="420" w:firstLineChars="200"/>
        <w:jc w:val="left"/>
        <w:rPr>
          <w:rFonts w:cs="微软雅黑"/>
          <w:kern w:val="0"/>
        </w:rPr>
      </w:pPr>
      <w:r>
        <w:rPr>
          <w:rFonts w:hint="eastAsia"/>
        </w:rPr>
        <w:t>（</w:t>
      </w:r>
      <w:r>
        <w:rPr>
          <w:rFonts w:hint="eastAsia"/>
          <w:lang w:val="en-US" w:eastAsia="zh-CN"/>
        </w:rPr>
        <w:t>9</w:t>
      </w:r>
      <w:r>
        <w:rPr>
          <w:rFonts w:hint="eastAsia"/>
        </w:rPr>
        <w:t>）</w:t>
      </w:r>
      <w:r>
        <w:rPr>
          <w:rFonts w:hint="eastAsia" w:cs="微软雅黑"/>
          <w:kern w:val="0"/>
        </w:rPr>
        <w:t>中小企业声明函</w:t>
      </w:r>
    </w:p>
    <w:p>
      <w:pPr>
        <w:wordWrap/>
        <w:topLinePunct w:val="0"/>
        <w:autoSpaceDE w:val="0"/>
        <w:autoSpaceDN w:val="0"/>
        <w:adjustRightInd w:val="0"/>
        <w:spacing w:line="360" w:lineRule="auto"/>
        <w:ind w:right="40" w:firstLine="420" w:firstLineChars="200"/>
        <w:jc w:val="left"/>
      </w:pPr>
      <w:r>
        <w:rPr>
          <w:rFonts w:hint="eastAsia" w:cs="微软雅黑"/>
          <w:kern w:val="0"/>
        </w:rPr>
        <w:t>（1</w:t>
      </w:r>
      <w:r>
        <w:rPr>
          <w:rFonts w:hint="eastAsia" w:cs="微软雅黑"/>
          <w:kern w:val="0"/>
          <w:lang w:val="en-US" w:eastAsia="zh-CN"/>
        </w:rPr>
        <w:t>0</w:t>
      </w:r>
      <w:r>
        <w:rPr>
          <w:rFonts w:hint="eastAsia" w:cs="微软雅黑"/>
          <w:kern w:val="0"/>
        </w:rPr>
        <w:t>）残疾人福利性单位声明函</w:t>
      </w:r>
    </w:p>
    <w:p>
      <w:pPr>
        <w:wordWrap/>
        <w:topLinePunct w:val="0"/>
        <w:autoSpaceDE w:val="0"/>
        <w:autoSpaceDN w:val="0"/>
        <w:adjustRightInd w:val="0"/>
        <w:spacing w:line="360" w:lineRule="auto"/>
        <w:ind w:right="40" w:firstLine="420" w:firstLineChars="200"/>
        <w:jc w:val="left"/>
        <w:rPr>
          <w:rFonts w:cs="微软雅黑"/>
          <w:kern w:val="0"/>
        </w:rPr>
      </w:pPr>
      <w:r>
        <w:rPr>
          <w:rFonts w:hint="eastAsia"/>
        </w:rPr>
        <w:t>（1</w:t>
      </w:r>
      <w:r>
        <w:rPr>
          <w:rFonts w:hint="eastAsia"/>
          <w:lang w:val="en-US" w:eastAsia="zh-CN"/>
        </w:rPr>
        <w:t>1</w:t>
      </w:r>
      <w:r>
        <w:rPr>
          <w:rFonts w:hint="eastAsia"/>
        </w:rPr>
        <w:t>）</w:t>
      </w:r>
      <w:r>
        <w:rPr>
          <w:rFonts w:hint="eastAsia" w:cs="微软雅黑"/>
          <w:kern w:val="0"/>
        </w:rPr>
        <w:t>其他资料</w:t>
      </w:r>
    </w:p>
    <w:p>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r>
        <w:rPr>
          <w:rFonts w:hint="eastAsia" w:hAnsi="宋体" w:cs="黑体"/>
          <w:b/>
          <w:color w:val="auto"/>
          <w:sz w:val="21"/>
          <w:szCs w:val="21"/>
        </w:rPr>
        <w:t>磋商价格构成及报价要求</w:t>
      </w:r>
      <w:bookmarkEnd w:id="202"/>
      <w:bookmarkEnd w:id="203"/>
      <w:bookmarkEnd w:id="204"/>
      <w:bookmarkEnd w:id="205"/>
      <w:bookmarkEnd w:id="206"/>
      <w:bookmarkEnd w:id="207"/>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212" w:name="_Toc58"/>
      <w:bookmarkStart w:id="213" w:name="_Toc428351648"/>
      <w:bookmarkStart w:id="214" w:name="_Toc455678120"/>
      <w:bookmarkStart w:id="215" w:name="_Toc17969"/>
      <w:bookmarkStart w:id="216" w:name="_Toc9193"/>
      <w:bookmarkStart w:id="217" w:name="_Toc462934294"/>
      <w:bookmarkStart w:id="218" w:name="_Toc454788028"/>
      <w:bookmarkStart w:id="219" w:name="_Toc428276588"/>
      <w:bookmarkStart w:id="220" w:name="_Toc463011273"/>
      <w:r>
        <w:rPr>
          <w:rFonts w:hint="eastAsia" w:hAnsi="宋体" w:cs="黑体"/>
          <w:color w:val="auto"/>
          <w:sz w:val="21"/>
          <w:szCs w:val="21"/>
        </w:rPr>
        <w:t>响应人应按第五章“工程量清单”的要求编制“已标价工程量清单”。</w:t>
      </w:r>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采购人设有最高采购限价的，响应人的报价不得超过最高采购限价，最高采购限价或其计算方法在响应人须知前附表中载明。</w:t>
      </w:r>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磋商报价应包括施工设备、劳务、管理、材料、维护、利润、税金、政策性文件规定及合同中包含的风险、责任以及投标人认为与工程有关的其他费用。</w:t>
      </w:r>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除非本磋商文件对工程量清单编制和报价另有说明的，否则，响应人应按采购人给出的工程量清单中的项目和数量进行报价，不得做任何修改(主要材料价表格、单位工程主材表除外），投标人依据投标人自身的技术装备、施工经验、企业成本、管理水平和现行市场价格信息，合理自主报价。分两次报价：第一次报价必须按照磋商文件的报价格式填报，第二次报价在磋商中填报，第二次报价（不得高于一次报价）即为最终报价。</w:t>
      </w:r>
    </w:p>
    <w:p>
      <w:pPr>
        <w:rPr>
          <w:rFonts w:hint="eastAsia" w:eastAsia="宋体"/>
          <w:lang w:val="en-US" w:eastAsia="zh-CN"/>
        </w:rPr>
      </w:pPr>
      <w:r>
        <w:rPr>
          <w:rFonts w:hint="eastAsia" w:cs="黑体"/>
          <w:b/>
          <w:bCs/>
          <w:color w:val="auto"/>
          <w:sz w:val="24"/>
          <w:szCs w:val="24"/>
          <w:lang w:val="en-US" w:eastAsia="zh-CN"/>
        </w:rPr>
        <w:t>注：</w:t>
      </w:r>
      <w:r>
        <w:rPr>
          <w:rFonts w:hint="eastAsia" w:ascii="宋体" w:hAnsi="宋体" w:cs="宋体"/>
          <w:b/>
          <w:bCs/>
          <w:color w:val="000000"/>
          <w:spacing w:val="4"/>
          <w:sz w:val="24"/>
          <w:highlight w:val="none"/>
        </w:rPr>
        <w:t>请各</w:t>
      </w:r>
      <w:r>
        <w:rPr>
          <w:rFonts w:hint="eastAsia" w:ascii="宋体" w:hAnsi="宋体" w:cs="宋体"/>
          <w:b/>
          <w:bCs/>
          <w:color w:val="000000"/>
          <w:spacing w:val="4"/>
          <w:sz w:val="24"/>
          <w:highlight w:val="none"/>
          <w:lang w:eastAsia="zh-CN"/>
        </w:rPr>
        <w:t>投标人</w:t>
      </w:r>
      <w:r>
        <w:rPr>
          <w:rFonts w:hint="eastAsia" w:ascii="宋体" w:hAnsi="宋体" w:cs="宋体"/>
          <w:b/>
          <w:bCs/>
          <w:color w:val="000000"/>
          <w:spacing w:val="4"/>
          <w:sz w:val="24"/>
          <w:highlight w:val="none"/>
        </w:rPr>
        <w:t>各自在规定时间内进行网上二次报价</w:t>
      </w:r>
      <w:r>
        <w:rPr>
          <w:rFonts w:hint="eastAsia" w:cs="宋体"/>
          <w:b/>
          <w:bCs/>
          <w:color w:val="000000"/>
          <w:spacing w:val="4"/>
          <w:sz w:val="24"/>
          <w:highlight w:val="none"/>
          <w:lang w:eastAsia="zh-CN"/>
        </w:rPr>
        <w:t>，</w:t>
      </w:r>
      <w:r>
        <w:rPr>
          <w:rFonts w:hint="eastAsia" w:cs="宋体"/>
          <w:b/>
          <w:bCs/>
          <w:color w:val="000000"/>
          <w:spacing w:val="4"/>
          <w:sz w:val="24"/>
          <w:highlight w:val="none"/>
          <w:lang w:val="en-US" w:eastAsia="zh-CN"/>
        </w:rPr>
        <w:t>未在规定时间内进行二次报价的投标人，应做废标处理。</w:t>
      </w:r>
      <w:r>
        <w:rPr>
          <w:rFonts w:hint="eastAsia" w:ascii="宋体" w:hAnsi="宋体" w:cs="宋体"/>
          <w:b/>
          <w:bCs/>
          <w:color w:val="000000"/>
          <w:spacing w:val="4"/>
          <w:sz w:val="24"/>
          <w:highlight w:val="none"/>
          <w:lang w:eastAsia="zh-CN"/>
        </w:rPr>
        <w:t>（注：</w:t>
      </w:r>
      <w:r>
        <w:rPr>
          <w:rFonts w:hint="eastAsia" w:ascii="宋体" w:hAnsi="宋体" w:cs="宋体"/>
          <w:b/>
          <w:bCs/>
          <w:sz w:val="24"/>
          <w:highlight w:val="none"/>
          <w:lang w:eastAsia="zh-CN"/>
        </w:rPr>
        <w:t>二次</w:t>
      </w:r>
      <w:r>
        <w:rPr>
          <w:rFonts w:hint="eastAsia" w:ascii="宋体" w:hAnsi="宋体" w:cs="宋体"/>
          <w:b/>
          <w:bCs/>
          <w:sz w:val="24"/>
          <w:highlight w:val="none"/>
        </w:rPr>
        <w:t>报价</w:t>
      </w:r>
      <w:r>
        <w:rPr>
          <w:rFonts w:hint="eastAsia" w:ascii="宋体" w:hAnsi="宋体" w:cs="宋体"/>
          <w:b/>
          <w:bCs/>
          <w:sz w:val="24"/>
          <w:highlight w:val="none"/>
          <w:lang w:eastAsia="zh-CN"/>
        </w:rPr>
        <w:t>不得高于</w:t>
      </w:r>
      <w:r>
        <w:rPr>
          <w:rFonts w:hint="eastAsia" w:ascii="宋体" w:hAnsi="宋体" w:cs="宋体"/>
          <w:b/>
          <w:bCs/>
          <w:sz w:val="24"/>
          <w:highlight w:val="none"/>
        </w:rPr>
        <w:t>一次报价</w:t>
      </w:r>
      <w:r>
        <w:rPr>
          <w:rFonts w:hint="eastAsia" w:ascii="宋体" w:hAnsi="宋体" w:cs="宋体"/>
          <w:b/>
          <w:bCs/>
          <w:color w:val="000000"/>
          <w:spacing w:val="4"/>
          <w:sz w:val="24"/>
          <w:highlight w:val="none"/>
          <w:lang w:eastAsia="zh-CN"/>
        </w:rPr>
        <w:t>）</w:t>
      </w:r>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本项目的磋商报价应按照竞争性磋商文件、补充通知、答疑纪要、现场情况、承包范围，并充分考虑供货及服务期间各类市场风险和国家政策性调整等风险系数，由各响应人根据自身情况，在合理范围内，自主考虑、优惠报价，但不得低于企业成本。</w:t>
      </w:r>
    </w:p>
    <w:p>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r>
        <w:rPr>
          <w:rFonts w:hint="eastAsia" w:hAnsi="宋体" w:cs="黑体"/>
          <w:b/>
          <w:color w:val="auto"/>
          <w:sz w:val="21"/>
          <w:szCs w:val="21"/>
        </w:rPr>
        <w:t>磋商有效期</w:t>
      </w:r>
      <w:bookmarkEnd w:id="208"/>
      <w:bookmarkEnd w:id="209"/>
      <w:bookmarkEnd w:id="210"/>
      <w:bookmarkEnd w:id="211"/>
      <w:bookmarkEnd w:id="212"/>
      <w:bookmarkEnd w:id="213"/>
      <w:bookmarkEnd w:id="214"/>
      <w:bookmarkEnd w:id="215"/>
      <w:bookmarkEnd w:id="216"/>
      <w:bookmarkEnd w:id="217"/>
      <w:bookmarkEnd w:id="218"/>
      <w:bookmarkEnd w:id="219"/>
      <w:bookmarkEnd w:id="220"/>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磋商有效期见《响应人须知前附表》，从提交首次响应文件的截止之日起算。</w:t>
      </w:r>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在磋商有效期内，响应人撤销响应文件的，应承担竞争性磋商文件和法律规定的责任。</w:t>
      </w:r>
    </w:p>
    <w:p>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21" w:name="_Toc23856"/>
      <w:bookmarkStart w:id="222" w:name="_Toc428276589"/>
      <w:bookmarkStart w:id="223" w:name="_Toc455678121"/>
      <w:bookmarkStart w:id="224" w:name="_Toc25039"/>
      <w:bookmarkStart w:id="225" w:name="_Toc454788029"/>
      <w:bookmarkStart w:id="226" w:name="_Toc463011274"/>
      <w:bookmarkStart w:id="227" w:name="_Toc15074"/>
      <w:bookmarkStart w:id="228" w:name="_Toc462934295"/>
      <w:bookmarkStart w:id="229" w:name="_Toc428351649"/>
      <w:r>
        <w:rPr>
          <w:rFonts w:hint="eastAsia" w:hAnsi="宋体" w:cs="黑体"/>
          <w:b/>
          <w:color w:val="auto"/>
          <w:sz w:val="21"/>
          <w:szCs w:val="21"/>
        </w:rPr>
        <w:t>磋商保证金</w:t>
      </w:r>
      <w:bookmarkEnd w:id="221"/>
      <w:bookmarkEnd w:id="222"/>
      <w:bookmarkEnd w:id="223"/>
      <w:bookmarkEnd w:id="224"/>
      <w:bookmarkEnd w:id="225"/>
      <w:bookmarkEnd w:id="226"/>
      <w:bookmarkEnd w:id="227"/>
      <w:bookmarkEnd w:id="228"/>
      <w:bookmarkEnd w:id="229"/>
    </w:p>
    <w:p>
      <w:pPr>
        <w:pStyle w:val="3"/>
        <w:numPr>
          <w:ilvl w:val="0"/>
          <w:numId w:val="0"/>
        </w:numPr>
        <w:tabs>
          <w:tab w:val="left" w:pos="425"/>
          <w:tab w:val="left" w:pos="540"/>
        </w:tabs>
        <w:spacing w:line="360" w:lineRule="auto"/>
        <w:ind w:left="540"/>
        <w:jc w:val="both"/>
        <w:outlineLvl w:val="1"/>
        <w:rPr>
          <w:rFonts w:hAnsi="宋体" w:cs="黑体"/>
          <w:b/>
          <w:color w:val="auto"/>
          <w:sz w:val="21"/>
          <w:szCs w:val="21"/>
        </w:rPr>
      </w:pPr>
      <w:r>
        <w:rPr>
          <w:rFonts w:hint="eastAsia" w:hAnsi="宋体" w:cs="黑体"/>
          <w:b/>
          <w:color w:val="auto"/>
          <w:sz w:val="21"/>
          <w:szCs w:val="21"/>
        </w:rPr>
        <w:t>本项目不缴纳磋商保证金</w:t>
      </w:r>
    </w:p>
    <w:p>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30" w:name="_Toc4446"/>
      <w:bookmarkStart w:id="231" w:name="_Toc428276590"/>
      <w:bookmarkStart w:id="232" w:name="_Toc32308"/>
      <w:bookmarkStart w:id="233" w:name="_Toc277149385"/>
      <w:bookmarkStart w:id="234" w:name="_Toc270604823"/>
      <w:bookmarkStart w:id="235" w:name="_Toc455678122"/>
      <w:bookmarkStart w:id="236" w:name="_Toc270604596"/>
      <w:bookmarkStart w:id="237" w:name="_Toc462934296"/>
      <w:bookmarkStart w:id="238" w:name="_Toc463011275"/>
      <w:bookmarkStart w:id="239" w:name="_Toc7919"/>
      <w:bookmarkStart w:id="240" w:name="_Toc428351650"/>
      <w:bookmarkStart w:id="241" w:name="_Toc454788030"/>
      <w:bookmarkStart w:id="242" w:name="_Toc269470318"/>
      <w:r>
        <w:rPr>
          <w:rFonts w:hint="eastAsia" w:hAnsi="宋体" w:cs="黑体"/>
          <w:b/>
          <w:color w:val="auto"/>
          <w:sz w:val="21"/>
          <w:szCs w:val="21"/>
        </w:rPr>
        <w:t>磋商响应文件的编制</w:t>
      </w:r>
      <w:bookmarkEnd w:id="230"/>
      <w:bookmarkEnd w:id="231"/>
      <w:bookmarkEnd w:id="232"/>
      <w:bookmarkEnd w:id="233"/>
      <w:bookmarkEnd w:id="234"/>
      <w:bookmarkEnd w:id="235"/>
      <w:bookmarkEnd w:id="236"/>
      <w:bookmarkEnd w:id="237"/>
      <w:bookmarkEnd w:id="238"/>
      <w:bookmarkEnd w:id="239"/>
      <w:bookmarkEnd w:id="240"/>
      <w:bookmarkEnd w:id="241"/>
      <w:bookmarkEnd w:id="242"/>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响应文件应按第八章磋商响应文件格式进行编写，如有必要，可以增加附页，作为磋商响应文件的组成部分。其中，报价函附录在满足竞争性磋商文件实质性要求的基础上，可以提出比竞争性磋商文件要求更有利于采购人的承诺。</w:t>
      </w:r>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磋商响应文件应当对竞争性磋商文件有关磋商报价、计划工期、磋商有效期、质量标准等实质性内容作出响应。</w:t>
      </w:r>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（1）磋商响应文件应按第八章磋商响应文件格式进行编写，并由响应人的法定代表人或其委托代理人签字或盖单位章。委托代理人签字的，磋商响应文件应附法定代表人签字的授权委托书。</w:t>
      </w:r>
    </w:p>
    <w:p>
      <w:pPr>
        <w:pStyle w:val="3"/>
        <w:numPr>
          <w:ilvl w:val="0"/>
          <w:numId w:val="5"/>
        </w:numPr>
        <w:tabs>
          <w:tab w:val="left" w:pos="360"/>
          <w:tab w:val="clear" w:pos="425"/>
        </w:tabs>
        <w:spacing w:line="360" w:lineRule="auto"/>
        <w:jc w:val="both"/>
        <w:outlineLvl w:val="1"/>
        <w:rPr>
          <w:rFonts w:hAnsi="宋体" w:cs="黑体"/>
          <w:b/>
          <w:color w:val="auto"/>
        </w:rPr>
      </w:pPr>
      <w:bookmarkStart w:id="243" w:name="_Toc12187"/>
      <w:bookmarkStart w:id="244" w:name="_Toc6530"/>
      <w:bookmarkStart w:id="245" w:name="_Toc13452"/>
      <w:r>
        <w:rPr>
          <w:rFonts w:hint="eastAsia" w:hAnsi="宋体" w:cs="黑体"/>
          <w:b/>
          <w:color w:val="auto"/>
        </w:rPr>
        <w:t>响应文件的递交</w:t>
      </w:r>
      <w:bookmarkEnd w:id="243"/>
      <w:bookmarkEnd w:id="244"/>
      <w:bookmarkEnd w:id="245"/>
    </w:p>
    <w:p>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46" w:name="_Toc21528"/>
      <w:bookmarkStart w:id="247" w:name="_Toc270604598"/>
      <w:bookmarkStart w:id="248" w:name="_Toc455678124"/>
      <w:bookmarkStart w:id="249" w:name="_Toc269470320"/>
      <w:bookmarkStart w:id="250" w:name="_Toc454788032"/>
      <w:bookmarkStart w:id="251" w:name="_Toc428276592"/>
      <w:bookmarkStart w:id="252" w:name="_Toc31608"/>
      <w:bookmarkStart w:id="253" w:name="_Toc462934298"/>
      <w:bookmarkStart w:id="254" w:name="_Toc27477"/>
      <w:bookmarkStart w:id="255" w:name="_Toc277149387"/>
      <w:bookmarkStart w:id="256" w:name="_Toc270604825"/>
      <w:bookmarkStart w:id="257" w:name="_Toc428351652"/>
      <w:bookmarkStart w:id="258" w:name="_Toc463011277"/>
      <w:r>
        <w:rPr>
          <w:rFonts w:hint="eastAsia" w:hAnsi="宋体" w:cs="黑体"/>
          <w:b/>
          <w:color w:val="auto"/>
          <w:sz w:val="21"/>
          <w:szCs w:val="21"/>
        </w:rPr>
        <w:t>响应文件的密封和标记</w:t>
      </w:r>
      <w:bookmarkEnd w:id="246"/>
      <w:bookmarkEnd w:id="247"/>
      <w:bookmarkEnd w:id="248"/>
      <w:bookmarkEnd w:id="249"/>
      <w:bookmarkEnd w:id="250"/>
      <w:bookmarkEnd w:id="251"/>
      <w:bookmarkEnd w:id="252"/>
      <w:bookmarkEnd w:id="253"/>
      <w:bookmarkEnd w:id="254"/>
      <w:bookmarkEnd w:id="255"/>
      <w:bookmarkEnd w:id="256"/>
      <w:bookmarkEnd w:id="257"/>
      <w:bookmarkEnd w:id="258"/>
    </w:p>
    <w:p>
      <w:pPr>
        <w:pStyle w:val="3"/>
        <w:numPr>
          <w:ilvl w:val="1"/>
          <w:numId w:val="0"/>
        </w:numPr>
        <w:tabs>
          <w:tab w:val="left" w:pos="0"/>
        </w:tabs>
        <w:spacing w:line="360" w:lineRule="auto"/>
        <w:ind w:left="420" w:leftChars="200"/>
        <w:jc w:val="both"/>
        <w:rPr>
          <w:rFonts w:hAnsi="宋体"/>
          <w:color w:val="auto"/>
          <w:szCs w:val="21"/>
        </w:rPr>
      </w:pPr>
      <w:r>
        <w:rPr>
          <w:rFonts w:hint="eastAsia" w:hAnsi="宋体" w:cs="黑体"/>
          <w:color w:val="auto"/>
          <w:sz w:val="21"/>
          <w:szCs w:val="21"/>
        </w:rPr>
        <w:t>见《响应人须知前附表》。</w:t>
      </w:r>
    </w:p>
    <w:p>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59" w:name="_Toc29167"/>
      <w:bookmarkStart w:id="260" w:name="_Toc277149388"/>
      <w:bookmarkStart w:id="261" w:name="_Toc270604826"/>
      <w:bookmarkStart w:id="262" w:name="_Toc454788033"/>
      <w:bookmarkStart w:id="263" w:name="_Toc428276593"/>
      <w:bookmarkStart w:id="264" w:name="_Toc462934299"/>
      <w:bookmarkStart w:id="265" w:name="_Toc270604599"/>
      <w:bookmarkStart w:id="266" w:name="_Toc463011278"/>
      <w:bookmarkStart w:id="267" w:name="_Toc5938"/>
      <w:bookmarkStart w:id="268" w:name="_Toc269470321"/>
      <w:bookmarkStart w:id="269" w:name="_Toc428351653"/>
      <w:bookmarkStart w:id="270" w:name="_Toc20197"/>
      <w:bookmarkStart w:id="271" w:name="_Toc455678125"/>
      <w:r>
        <w:rPr>
          <w:rFonts w:hint="eastAsia" w:hAnsi="宋体" w:cs="黑体"/>
          <w:b/>
          <w:color w:val="auto"/>
          <w:sz w:val="21"/>
          <w:szCs w:val="21"/>
        </w:rPr>
        <w:t>磋商响应文件的递交</w:t>
      </w:r>
      <w:bookmarkEnd w:id="259"/>
      <w:bookmarkEnd w:id="260"/>
      <w:bookmarkEnd w:id="261"/>
      <w:bookmarkEnd w:id="262"/>
      <w:bookmarkEnd w:id="263"/>
      <w:bookmarkEnd w:id="264"/>
      <w:bookmarkEnd w:id="265"/>
      <w:bookmarkEnd w:id="266"/>
      <w:bookmarkEnd w:id="267"/>
      <w:bookmarkEnd w:id="268"/>
      <w:bookmarkEnd w:id="269"/>
      <w:bookmarkEnd w:id="270"/>
      <w:bookmarkEnd w:id="271"/>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响应人应在《响应人须知前附表》规定的提交首次响应文件截止时间前递交响应文件。</w:t>
      </w:r>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响应人递交响应文件的地点：见《响应人须知前附表》。</w:t>
      </w:r>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除《响应人须知前附表》另有规定外响应人所递交的响应文件不予退还。</w:t>
      </w:r>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逾期送达的响应文件，采购人将予以拒收。</w:t>
      </w:r>
    </w:p>
    <w:p>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72" w:name="_Toc455678126"/>
      <w:bookmarkStart w:id="273" w:name="_Toc270604600"/>
      <w:bookmarkStart w:id="274" w:name="_Toc428276594"/>
      <w:bookmarkStart w:id="275" w:name="_Toc454788034"/>
      <w:bookmarkStart w:id="276" w:name="_Toc269470322"/>
      <w:bookmarkStart w:id="277" w:name="_Toc26556"/>
      <w:bookmarkStart w:id="278" w:name="_Toc462934300"/>
      <w:bookmarkStart w:id="279" w:name="_Toc428351654"/>
      <w:bookmarkStart w:id="280" w:name="_Toc27108"/>
      <w:bookmarkStart w:id="281" w:name="_Toc270604827"/>
      <w:bookmarkStart w:id="282" w:name="_Toc29096"/>
      <w:bookmarkStart w:id="283" w:name="_Toc463011279"/>
      <w:bookmarkStart w:id="284" w:name="_Toc277149389"/>
      <w:r>
        <w:rPr>
          <w:rFonts w:hint="eastAsia" w:hAnsi="宋体" w:cs="黑体"/>
          <w:b/>
          <w:color w:val="auto"/>
          <w:sz w:val="21"/>
          <w:szCs w:val="21"/>
        </w:rPr>
        <w:t>磋商响应文件的补充、修改与撤回</w:t>
      </w:r>
      <w:bookmarkEnd w:id="272"/>
      <w:bookmarkEnd w:id="273"/>
      <w:bookmarkEnd w:id="274"/>
      <w:bookmarkEnd w:id="275"/>
      <w:bookmarkEnd w:id="276"/>
      <w:bookmarkEnd w:id="277"/>
      <w:bookmarkEnd w:id="278"/>
      <w:bookmarkEnd w:id="279"/>
      <w:bookmarkEnd w:id="280"/>
      <w:bookmarkEnd w:id="281"/>
      <w:bookmarkEnd w:id="282"/>
      <w:bookmarkEnd w:id="283"/>
      <w:bookmarkEnd w:id="284"/>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在本章第4.2.1项规定的递交首次磋商截止时间前，响应人可以补充、修改或撤回已递交的磋商响应文件。</w:t>
      </w:r>
    </w:p>
    <w:p>
      <w:pPr>
        <w:pStyle w:val="3"/>
        <w:numPr>
          <w:ilvl w:val="0"/>
          <w:numId w:val="5"/>
        </w:numPr>
        <w:tabs>
          <w:tab w:val="left" w:pos="360"/>
          <w:tab w:val="clear" w:pos="425"/>
        </w:tabs>
        <w:spacing w:line="360" w:lineRule="auto"/>
        <w:jc w:val="both"/>
        <w:outlineLvl w:val="1"/>
        <w:rPr>
          <w:rFonts w:hAnsi="宋体" w:cs="黑体"/>
          <w:b/>
          <w:color w:val="auto"/>
        </w:rPr>
      </w:pPr>
      <w:bookmarkStart w:id="285" w:name="_Toc270604601"/>
      <w:bookmarkStart w:id="286" w:name="_Toc5513"/>
      <w:bookmarkStart w:id="287" w:name="_Toc20799"/>
      <w:bookmarkStart w:id="288" w:name="_Toc5800"/>
      <w:r>
        <w:rPr>
          <w:rFonts w:hint="eastAsia" w:hAnsi="宋体" w:cs="黑体"/>
          <w:b/>
          <w:color w:val="auto"/>
        </w:rPr>
        <w:t>竞争性</w:t>
      </w:r>
      <w:bookmarkEnd w:id="285"/>
      <w:r>
        <w:rPr>
          <w:rFonts w:hint="eastAsia" w:hAnsi="宋体" w:cs="黑体"/>
          <w:b/>
          <w:color w:val="auto"/>
        </w:rPr>
        <w:t>磋商</w:t>
      </w:r>
      <w:bookmarkEnd w:id="286"/>
      <w:bookmarkEnd w:id="287"/>
      <w:bookmarkEnd w:id="288"/>
    </w:p>
    <w:p>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89" w:name="_Toc428351656"/>
      <w:bookmarkStart w:id="290" w:name="_Toc269470324"/>
      <w:bookmarkStart w:id="291" w:name="_Toc463011281"/>
      <w:bookmarkStart w:id="292" w:name="_Toc29475"/>
      <w:bookmarkStart w:id="293" w:name="_Toc462934302"/>
      <w:bookmarkStart w:id="294" w:name="_Toc428276596"/>
      <w:bookmarkStart w:id="295" w:name="_Toc454788036"/>
      <w:bookmarkStart w:id="296" w:name="_Toc270604829"/>
      <w:bookmarkStart w:id="297" w:name="_Toc277149391"/>
      <w:bookmarkStart w:id="298" w:name="_Toc10079"/>
      <w:bookmarkStart w:id="299" w:name="_Toc270604602"/>
      <w:bookmarkStart w:id="300" w:name="_Toc455678128"/>
      <w:bookmarkStart w:id="301" w:name="_Toc27501"/>
      <w:r>
        <w:rPr>
          <w:rFonts w:hint="eastAsia" w:hAnsi="宋体" w:cs="黑体"/>
          <w:b/>
          <w:color w:val="auto"/>
          <w:sz w:val="21"/>
          <w:szCs w:val="21"/>
        </w:rPr>
        <w:t>开启时间和地点</w:t>
      </w:r>
      <w:bookmarkEnd w:id="289"/>
      <w:bookmarkEnd w:id="290"/>
      <w:bookmarkEnd w:id="291"/>
      <w:bookmarkEnd w:id="292"/>
      <w:bookmarkEnd w:id="293"/>
      <w:bookmarkEnd w:id="294"/>
      <w:bookmarkEnd w:id="295"/>
      <w:bookmarkEnd w:id="296"/>
      <w:bookmarkEnd w:id="297"/>
      <w:bookmarkEnd w:id="298"/>
      <w:bookmarkEnd w:id="299"/>
      <w:bookmarkEnd w:id="300"/>
      <w:bookmarkEnd w:id="301"/>
    </w:p>
    <w:p>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采购人在本章第</w:t>
      </w:r>
      <w:r>
        <w:rPr>
          <w:rFonts w:cs="TimesNewRomanPSMT"/>
          <w:kern w:val="0"/>
        </w:rPr>
        <w:t>4.2.1</w:t>
      </w:r>
      <w:r>
        <w:rPr>
          <w:rFonts w:hint="eastAsia" w:cs="FangSong_GB2312"/>
          <w:kern w:val="0"/>
        </w:rPr>
        <w:t>项规定的提交首次响应文件截止时间（开启时间）和</w:t>
      </w:r>
      <w:r>
        <w:rPr>
          <w:rFonts w:hint="eastAsia" w:cs="黑体"/>
        </w:rPr>
        <w:t>《响应人须知前附表》</w:t>
      </w:r>
      <w:r>
        <w:rPr>
          <w:rFonts w:hint="eastAsia" w:cs="FangSong_GB2312"/>
          <w:kern w:val="0"/>
        </w:rPr>
        <w:t>规定的地点进行竞争性磋商，并邀请所有响应人的法定代表人或其委托代理人准时参加。</w:t>
      </w:r>
    </w:p>
    <w:p>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02" w:name="_Toc428351657"/>
      <w:bookmarkStart w:id="303" w:name="_Toc21367"/>
      <w:bookmarkStart w:id="304" w:name="_Toc428276597"/>
      <w:bookmarkStart w:id="305" w:name="_Toc454788037"/>
      <w:bookmarkStart w:id="306" w:name="_Toc455678129"/>
      <w:bookmarkStart w:id="307" w:name="_Toc462934303"/>
      <w:bookmarkStart w:id="308" w:name="_Toc14109"/>
      <w:bookmarkStart w:id="309" w:name="_Toc270604603"/>
      <w:bookmarkStart w:id="310" w:name="_Toc270604830"/>
      <w:bookmarkStart w:id="311" w:name="_Toc12033"/>
      <w:bookmarkStart w:id="312" w:name="_Toc277149392"/>
      <w:bookmarkStart w:id="313" w:name="_Toc269470325"/>
      <w:bookmarkStart w:id="314" w:name="_Toc463011282"/>
      <w:r>
        <w:rPr>
          <w:rFonts w:hint="eastAsia" w:hAnsi="宋体" w:cs="黑体"/>
          <w:b/>
          <w:color w:val="auto"/>
          <w:sz w:val="21"/>
          <w:szCs w:val="21"/>
        </w:rPr>
        <w:t>磋商程序</w:t>
      </w:r>
      <w:bookmarkEnd w:id="302"/>
      <w:bookmarkEnd w:id="303"/>
      <w:bookmarkEnd w:id="304"/>
      <w:bookmarkEnd w:id="305"/>
      <w:bookmarkEnd w:id="306"/>
      <w:bookmarkEnd w:id="307"/>
      <w:bookmarkEnd w:id="308"/>
      <w:bookmarkEnd w:id="309"/>
      <w:bookmarkEnd w:id="310"/>
      <w:bookmarkEnd w:id="311"/>
      <w:bookmarkEnd w:id="312"/>
      <w:bookmarkEnd w:id="313"/>
      <w:bookmarkEnd w:id="314"/>
    </w:p>
    <w:p>
      <w:pPr>
        <w:wordWrap/>
        <w:topLinePunct w:val="0"/>
        <w:spacing w:line="360" w:lineRule="auto"/>
        <w:rPr>
          <w:highlight w:val="yellow"/>
        </w:rPr>
      </w:pPr>
      <w:bookmarkStart w:id="315" w:name="_Toc269470330"/>
      <w:r>
        <w:t>1</w:t>
      </w:r>
      <w:r>
        <w:rPr>
          <w:rFonts w:hint="eastAsia"/>
        </w:rPr>
        <w:t>、供应商代表持本单位</w:t>
      </w:r>
      <w:r>
        <w:t xml:space="preserve">CA </w:t>
      </w:r>
      <w:r>
        <w:rPr>
          <w:rFonts w:hint="eastAsia"/>
        </w:rPr>
        <w:t>数字证书提前登录不见面开标系统并在线</w:t>
      </w:r>
    </w:p>
    <w:p>
      <w:pPr>
        <w:wordWrap/>
        <w:topLinePunct w:val="0"/>
        <w:spacing w:line="360" w:lineRule="auto"/>
        <w:rPr>
          <w:highlight w:val="yellow"/>
        </w:rPr>
      </w:pPr>
      <w:r>
        <w:t>2</w:t>
      </w:r>
      <w:r>
        <w:rPr>
          <w:rFonts w:hint="eastAsia"/>
        </w:rPr>
        <w:t>、开标时间到，在线公布供应商、采购人代表、监标人等有关名单。</w:t>
      </w:r>
    </w:p>
    <w:p>
      <w:pPr>
        <w:wordWrap/>
        <w:topLinePunct w:val="0"/>
        <w:spacing w:line="360" w:lineRule="auto"/>
      </w:pPr>
      <w:r>
        <w:t>3</w:t>
      </w:r>
      <w:r>
        <w:rPr>
          <w:rFonts w:hint="eastAsia"/>
        </w:rPr>
        <w:t>、开标顺序：</w:t>
      </w:r>
    </w:p>
    <w:p>
      <w:pPr>
        <w:pStyle w:val="37"/>
        <w:ind w:firstLine="0"/>
        <w:rPr>
          <w:kern w:val="2"/>
          <w:szCs w:val="21"/>
          <w:lang w:val="en-US"/>
        </w:rPr>
      </w:pPr>
      <w:r>
        <w:rPr>
          <w:rFonts w:hint="eastAsia"/>
          <w:kern w:val="2"/>
          <w:szCs w:val="21"/>
          <w:lang w:val="en-US"/>
        </w:rPr>
        <w:t>①供应商解密：投标企业制作电子投标文件时，必须使用本单位企业数字证书进行加密，投标企业在开标前须自行检查数字证书有效性。在解密时间到达后，系统做出解密提示，请各供应商自行解密即可。开标解密时未解密成功的视为撤销其投标文件（因电子开标系统原因除外）。</w:t>
      </w:r>
    </w:p>
    <w:p>
      <w:pPr>
        <w:pStyle w:val="37"/>
        <w:ind w:firstLine="0"/>
        <w:rPr>
          <w:kern w:val="2"/>
          <w:szCs w:val="21"/>
          <w:lang w:val="en-US"/>
        </w:rPr>
      </w:pPr>
      <w:r>
        <w:rPr>
          <w:rFonts w:hint="default"/>
          <w:kern w:val="2"/>
          <w:szCs w:val="21"/>
          <w:lang w:val="en-US"/>
        </w:rPr>
        <w:t>②</w:t>
      </w:r>
      <w:r>
        <w:rPr>
          <w:rFonts w:hint="eastAsia"/>
          <w:kern w:val="2"/>
          <w:szCs w:val="21"/>
          <w:lang w:val="en-US"/>
        </w:rPr>
        <w:t>唱标。查看唱标信息（系统不提供语音在线播放，该页面停留</w:t>
      </w:r>
      <w:r>
        <w:rPr>
          <w:kern w:val="2"/>
          <w:szCs w:val="21"/>
          <w:lang w:val="en-US"/>
        </w:rPr>
        <w:t xml:space="preserve">5 </w:t>
      </w:r>
      <w:r>
        <w:rPr>
          <w:rFonts w:hint="eastAsia"/>
          <w:kern w:val="2"/>
          <w:szCs w:val="21"/>
          <w:lang w:val="en-US"/>
        </w:rPr>
        <w:t>分钟供供应商查看，如无异议视为同意）。采购人、监督人需要关注开标过程中，供应商随时在线提出的异议、问题沟通等信息，并做好及时回复；</w:t>
      </w:r>
    </w:p>
    <w:p>
      <w:pPr>
        <w:pStyle w:val="37"/>
        <w:ind w:firstLine="0"/>
        <w:rPr>
          <w:lang w:val="en-US"/>
        </w:rPr>
      </w:pPr>
      <w:r>
        <w:rPr>
          <w:rFonts w:hint="eastAsia"/>
          <w:kern w:val="2"/>
          <w:szCs w:val="21"/>
          <w:lang w:val="en-US"/>
        </w:rPr>
        <w:t>③采购人、监督人等相关人员在开标记录表上（可进入原评标系统直接打印）签字确认。⑤采购代理机构宣布开标结束，在评标系统中点击“开标结束”，并进行“采购文件导入”、“控制价文件导入”。</w:t>
      </w:r>
    </w:p>
    <w:p>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16" w:name="_Toc8282"/>
      <w:bookmarkStart w:id="317" w:name="_Toc462934304"/>
      <w:bookmarkStart w:id="318" w:name="_Toc2705"/>
      <w:bookmarkStart w:id="319" w:name="_Toc455678130"/>
      <w:bookmarkStart w:id="320" w:name="_Toc463011283"/>
      <w:bookmarkStart w:id="321" w:name="_Toc31993"/>
      <w:r>
        <w:rPr>
          <w:rFonts w:hint="eastAsia" w:hAnsi="宋体" w:cs="黑体"/>
          <w:b/>
          <w:color w:val="auto"/>
          <w:sz w:val="21"/>
          <w:szCs w:val="21"/>
        </w:rPr>
        <w:t>磋商</w:t>
      </w:r>
      <w:bookmarkEnd w:id="316"/>
      <w:bookmarkEnd w:id="317"/>
      <w:bookmarkEnd w:id="318"/>
      <w:bookmarkEnd w:id="319"/>
      <w:bookmarkEnd w:id="320"/>
      <w:bookmarkEnd w:id="321"/>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磋商小组</w:t>
      </w:r>
    </w:p>
    <w:p>
      <w:pPr>
        <w:numPr>
          <w:ilvl w:val="0"/>
          <w:numId w:val="8"/>
        </w:numPr>
        <w:snapToGrid w:val="0"/>
        <w:spacing w:line="360" w:lineRule="auto"/>
        <w:ind w:left="0" w:firstLine="420" w:firstLineChars="200"/>
        <w:contextualSpacing/>
      </w:pPr>
      <w:r>
        <w:rPr>
          <w:rFonts w:hint="eastAsia"/>
        </w:rPr>
        <w:t>磋商工作由磋商小组独立进行，磋商小组由采购人代表1人和评</w:t>
      </w:r>
      <w:r>
        <w:rPr>
          <w:rFonts w:hint="eastAsia"/>
          <w:lang w:val="en-US" w:eastAsia="zh-CN"/>
        </w:rPr>
        <w:t>标</w:t>
      </w:r>
      <w:r>
        <w:rPr>
          <w:rFonts w:hint="eastAsia"/>
        </w:rPr>
        <w:t>专家2人组成，成员人数共3人，评</w:t>
      </w:r>
      <w:r>
        <w:rPr>
          <w:rFonts w:hint="eastAsia"/>
          <w:lang w:val="en-US" w:eastAsia="zh-CN"/>
        </w:rPr>
        <w:t>标</w:t>
      </w:r>
      <w:r>
        <w:rPr>
          <w:rFonts w:hint="eastAsia"/>
        </w:rPr>
        <w:t>专家确定方式：从相关专家库中随机抽取。</w:t>
      </w:r>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w:t>
      </w:r>
    </w:p>
    <w:p>
      <w:pPr>
        <w:numPr>
          <w:ilvl w:val="0"/>
          <w:numId w:val="9"/>
        </w:numPr>
        <w:snapToGrid w:val="0"/>
        <w:spacing w:line="360" w:lineRule="auto"/>
        <w:ind w:left="0" w:firstLine="420" w:firstLineChars="200"/>
        <w:contextualSpacing/>
      </w:pPr>
      <w:r>
        <w:rPr>
          <w:rFonts w:hint="eastAsia"/>
        </w:rPr>
        <w:t>磋商小组成员应当按照客观、公正、审慎的原则，根据竞争性磋商文件第三章规定的评审程序、评审方法和评审标准进行独立评审。</w:t>
      </w:r>
    </w:p>
    <w:p>
      <w:pPr>
        <w:numPr>
          <w:ilvl w:val="0"/>
          <w:numId w:val="9"/>
        </w:numPr>
        <w:snapToGrid w:val="0"/>
        <w:spacing w:line="360" w:lineRule="auto"/>
        <w:ind w:left="0" w:firstLine="420" w:firstLineChars="200"/>
        <w:contextualSpacing/>
      </w:pPr>
      <w:r>
        <w:rPr>
          <w:rFonts w:hint="eastAsia"/>
        </w:rPr>
        <w:t>竞争性磋商文件内容违反国家有关强制性规定的，磋商小组应当停止评审并向采购人或者采购代理机构说明情况。</w:t>
      </w:r>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22" w:name="_Toc109537522"/>
      <w:bookmarkStart w:id="323" w:name="_Toc90713357"/>
      <w:bookmarkStart w:id="324" w:name="_Toc90712538"/>
      <w:bookmarkStart w:id="325" w:name="_Toc109550798"/>
      <w:r>
        <w:rPr>
          <w:rFonts w:hint="eastAsia" w:hAnsi="宋体" w:cs="黑体"/>
          <w:color w:val="auto"/>
          <w:sz w:val="21"/>
          <w:szCs w:val="21"/>
        </w:rPr>
        <w:t>评审报告</w:t>
      </w:r>
    </w:p>
    <w:p>
      <w:pPr>
        <w:snapToGrid w:val="0"/>
        <w:spacing w:line="360" w:lineRule="auto"/>
        <w:ind w:firstLine="420" w:firstLineChars="200"/>
        <w:contextualSpacing/>
      </w:pPr>
      <w:r>
        <w:rPr>
          <w:rFonts w:hint="eastAsia"/>
        </w:rPr>
        <w:t>磋商</w:t>
      </w:r>
      <w:r>
        <w:t>小组应当根据评审记录和评审结果编写评审报告，其主要内容包括：</w:t>
      </w:r>
    </w:p>
    <w:p>
      <w:pPr>
        <w:numPr>
          <w:ilvl w:val="0"/>
          <w:numId w:val="10"/>
        </w:numPr>
        <w:snapToGrid w:val="0"/>
        <w:spacing w:line="360" w:lineRule="auto"/>
        <w:ind w:left="0" w:firstLine="420" w:firstLineChars="200"/>
        <w:contextualSpacing/>
      </w:pPr>
      <w:r>
        <w:t>邀请</w:t>
      </w:r>
      <w:r>
        <w:rPr>
          <w:rFonts w:hint="eastAsia"/>
        </w:rPr>
        <w:t>响应人</w:t>
      </w:r>
      <w:r>
        <w:t>参加采购活动的具体方式和相关情况</w:t>
      </w:r>
      <w:r>
        <w:rPr>
          <w:rFonts w:hint="eastAsia"/>
        </w:rPr>
        <w:t>；</w:t>
      </w:r>
    </w:p>
    <w:p>
      <w:pPr>
        <w:numPr>
          <w:ilvl w:val="0"/>
          <w:numId w:val="10"/>
        </w:numPr>
        <w:snapToGrid w:val="0"/>
        <w:spacing w:line="360" w:lineRule="auto"/>
        <w:ind w:left="0" w:firstLine="420" w:firstLineChars="200"/>
        <w:contextualSpacing/>
      </w:pPr>
      <w:r>
        <w:t>响应文件开启日期和地点</w:t>
      </w:r>
      <w:r>
        <w:rPr>
          <w:rFonts w:hint="eastAsia"/>
        </w:rPr>
        <w:t>；</w:t>
      </w:r>
    </w:p>
    <w:p>
      <w:pPr>
        <w:numPr>
          <w:ilvl w:val="0"/>
          <w:numId w:val="10"/>
        </w:numPr>
        <w:snapToGrid w:val="0"/>
        <w:spacing w:line="360" w:lineRule="auto"/>
        <w:ind w:left="0" w:firstLine="420" w:firstLineChars="200"/>
        <w:contextualSpacing/>
      </w:pPr>
      <w:r>
        <w:t>获取竞争性磋商文件的</w:t>
      </w:r>
      <w:r>
        <w:rPr>
          <w:rFonts w:hint="eastAsia"/>
        </w:rPr>
        <w:t>响应人</w:t>
      </w:r>
      <w:r>
        <w:t>名单和磋商小组成员名单</w:t>
      </w:r>
      <w:r>
        <w:rPr>
          <w:rFonts w:hint="eastAsia"/>
        </w:rPr>
        <w:t>；</w:t>
      </w:r>
    </w:p>
    <w:p>
      <w:pPr>
        <w:numPr>
          <w:ilvl w:val="0"/>
          <w:numId w:val="10"/>
        </w:numPr>
        <w:snapToGrid w:val="0"/>
        <w:spacing w:line="360" w:lineRule="auto"/>
        <w:ind w:left="0" w:firstLine="420" w:firstLineChars="200"/>
        <w:contextualSpacing/>
      </w:pPr>
      <w:r>
        <w:t>评审情况记录和说明，包括对</w:t>
      </w:r>
      <w:r>
        <w:rPr>
          <w:rFonts w:hint="eastAsia"/>
        </w:rPr>
        <w:t>响应人</w:t>
      </w:r>
      <w:r>
        <w:t>的资格审查情况、</w:t>
      </w:r>
      <w:r>
        <w:rPr>
          <w:rFonts w:hint="eastAsia"/>
        </w:rPr>
        <w:t>响应人</w:t>
      </w:r>
      <w:r>
        <w:t>响应文件评审情况、磋商情况、报价情况等</w:t>
      </w:r>
      <w:r>
        <w:rPr>
          <w:rFonts w:hint="eastAsia"/>
        </w:rPr>
        <w:t>；</w:t>
      </w:r>
    </w:p>
    <w:p>
      <w:pPr>
        <w:numPr>
          <w:ilvl w:val="0"/>
          <w:numId w:val="10"/>
        </w:numPr>
        <w:snapToGrid w:val="0"/>
        <w:spacing w:line="360" w:lineRule="auto"/>
        <w:ind w:left="0" w:firstLine="420" w:firstLineChars="200"/>
        <w:contextualSpacing/>
      </w:pPr>
      <w:r>
        <w:t>提出的成交候选</w:t>
      </w:r>
      <w:r>
        <w:rPr>
          <w:rFonts w:hint="eastAsia"/>
        </w:rPr>
        <w:t>人</w:t>
      </w:r>
      <w:r>
        <w:t>的排序名单及理由。</w:t>
      </w:r>
    </w:p>
    <w:p>
      <w:pPr>
        <w:snapToGrid w:val="0"/>
        <w:spacing w:line="360" w:lineRule="auto"/>
        <w:ind w:firstLine="420" w:firstLineChars="200"/>
        <w:contextualSpacing/>
      </w:pPr>
      <w:r>
        <w:t>评审报告应当由</w:t>
      </w:r>
      <w:r>
        <w:rPr>
          <w:rFonts w:hint="eastAsia"/>
        </w:rPr>
        <w:t>磋商</w:t>
      </w:r>
      <w:r>
        <w:t>小组全体人员签字认可。</w:t>
      </w:r>
      <w:r>
        <w:rPr>
          <w:rFonts w:hint="eastAsia"/>
        </w:rPr>
        <w:t>磋商</w:t>
      </w:r>
      <w:r>
        <w:t>小组成员对评审报告有异议的，</w:t>
      </w:r>
      <w:r>
        <w:rPr>
          <w:rFonts w:hint="eastAsia"/>
        </w:rPr>
        <w:t>磋商</w:t>
      </w:r>
      <w:r>
        <w:t>小组按照少数服从多数的原则推荐成交候选人，采购程序继续进行。对评审报告有异议的</w:t>
      </w:r>
      <w:r>
        <w:rPr>
          <w:rFonts w:hint="eastAsia"/>
        </w:rPr>
        <w:t>磋商</w:t>
      </w:r>
      <w:r>
        <w:t>小组成员，应当在报告上</w:t>
      </w:r>
      <w:r>
        <w:rPr>
          <w:rFonts w:hint="eastAsia"/>
        </w:rPr>
        <w:t>签字</w:t>
      </w:r>
      <w:r>
        <w:t>不同意见并说明理由，由</w:t>
      </w:r>
      <w:r>
        <w:rPr>
          <w:rFonts w:hint="eastAsia"/>
        </w:rPr>
        <w:t>磋商</w:t>
      </w:r>
      <w:r>
        <w:t>小组书面记录相关情况。</w:t>
      </w:r>
      <w:r>
        <w:rPr>
          <w:rFonts w:hint="eastAsia"/>
        </w:rPr>
        <w:t>磋商</w:t>
      </w:r>
      <w:r>
        <w:t>小组成员拒绝在报告上签字又不书面说明其不同意见和理由的，视为同意评审报告。</w:t>
      </w:r>
    </w:p>
    <w:p>
      <w:pPr>
        <w:snapToGrid w:val="0"/>
        <w:spacing w:line="360" w:lineRule="auto"/>
        <w:ind w:firstLine="420" w:firstLineChars="200"/>
        <w:contextualSpacing/>
      </w:pPr>
      <w:r>
        <w:rPr>
          <w:rFonts w:hint="eastAsia"/>
        </w:rPr>
        <w:t>评审完成后，磋商小组应当向采购人提交书面评审报告和成交候选人名单。磋商小组推荐成交候选人的人数见响应人须知前附表。</w:t>
      </w:r>
    </w:p>
    <w:p>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26" w:name="_Toc454788039"/>
      <w:bookmarkStart w:id="327" w:name="_Toc26984"/>
      <w:bookmarkStart w:id="328" w:name="_Toc428351659"/>
      <w:bookmarkStart w:id="329" w:name="_Toc21137"/>
      <w:bookmarkStart w:id="330" w:name="_Toc455678131"/>
      <w:bookmarkStart w:id="331" w:name="_Toc463011284"/>
      <w:bookmarkStart w:id="332" w:name="_Toc422126473"/>
      <w:bookmarkStart w:id="333" w:name="_Toc462934305"/>
      <w:bookmarkStart w:id="334" w:name="_Toc19623"/>
      <w:bookmarkStart w:id="335" w:name="_Toc428276599"/>
      <w:r>
        <w:rPr>
          <w:rFonts w:hint="eastAsia" w:hAnsi="宋体" w:cs="黑体"/>
          <w:b/>
          <w:color w:val="auto"/>
          <w:sz w:val="21"/>
          <w:szCs w:val="21"/>
        </w:rPr>
        <w:t>磋商过程的保密性</w:t>
      </w:r>
      <w:bookmarkEnd w:id="326"/>
      <w:bookmarkEnd w:id="327"/>
      <w:bookmarkEnd w:id="328"/>
      <w:bookmarkEnd w:id="329"/>
      <w:bookmarkEnd w:id="330"/>
      <w:bookmarkEnd w:id="331"/>
      <w:bookmarkEnd w:id="332"/>
      <w:bookmarkEnd w:id="333"/>
      <w:bookmarkEnd w:id="334"/>
      <w:bookmarkEnd w:id="335"/>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磋商期间，直到授予成交人合同止，凡是与磋商响应文件审查、澄清、评价、比较以及推荐成交人等方面的情况，均不得向响应人或其他无关的人员透露。</w:t>
      </w:r>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在磋商过程中，响应人如向磋商小组成员施加任何影响，都将会导致其磋商被拒绝，政府采购监管部门将记录其不良行为。</w:t>
      </w:r>
    </w:p>
    <w:p>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36" w:name="_Toc13834"/>
      <w:bookmarkStart w:id="337" w:name="_Toc21281"/>
      <w:bookmarkStart w:id="338" w:name="_Toc462934306"/>
      <w:bookmarkStart w:id="339" w:name="_Toc455678132"/>
      <w:bookmarkStart w:id="340" w:name="_Toc5212"/>
      <w:bookmarkStart w:id="341" w:name="_Toc463011285"/>
      <w:r>
        <w:rPr>
          <w:rFonts w:hint="eastAsia" w:hAnsi="宋体" w:cs="黑体"/>
          <w:b/>
          <w:color w:val="auto"/>
          <w:sz w:val="21"/>
          <w:szCs w:val="21"/>
        </w:rPr>
        <w:t>终止竞争性磋商采购活动</w:t>
      </w:r>
      <w:bookmarkEnd w:id="336"/>
      <w:bookmarkEnd w:id="337"/>
      <w:bookmarkEnd w:id="338"/>
      <w:bookmarkEnd w:id="339"/>
      <w:bookmarkEnd w:id="340"/>
      <w:bookmarkEnd w:id="341"/>
    </w:p>
    <w:p>
      <w:pPr>
        <w:pStyle w:val="7"/>
        <w:snapToGrid w:val="0"/>
        <w:spacing w:line="360" w:lineRule="auto"/>
        <w:contextualSpacing/>
        <w:rPr>
          <w:rFonts w:ascii="宋体" w:hAnsi="宋体" w:cs="黑体"/>
          <w:szCs w:val="21"/>
        </w:rPr>
      </w:pPr>
      <w:r>
        <w:rPr>
          <w:rFonts w:hint="eastAsia" w:ascii="宋体" w:hAnsi="宋体" w:cs="黑体"/>
          <w:szCs w:val="21"/>
        </w:rPr>
        <w:t>出现下列情形之一的，采购人或者采购代理机构应当终止竞争性磋商采购活动，发布项目终止公告并说明原因，重新开展采购活动：</w:t>
      </w:r>
    </w:p>
    <w:p>
      <w:pPr>
        <w:numPr>
          <w:ilvl w:val="0"/>
          <w:numId w:val="11"/>
        </w:numPr>
        <w:snapToGrid w:val="0"/>
        <w:spacing w:line="360" w:lineRule="auto"/>
        <w:ind w:left="0" w:firstLine="420" w:firstLineChars="200"/>
        <w:contextualSpacing/>
      </w:pPr>
      <w:r>
        <w:rPr>
          <w:rFonts w:hint="eastAsia"/>
        </w:rPr>
        <w:t>因情况变化，不再符合规定的竞争性磋商采购方式适用情形的；</w:t>
      </w:r>
    </w:p>
    <w:p>
      <w:pPr>
        <w:numPr>
          <w:ilvl w:val="0"/>
          <w:numId w:val="11"/>
        </w:numPr>
        <w:snapToGrid w:val="0"/>
        <w:spacing w:line="360" w:lineRule="auto"/>
        <w:ind w:left="0" w:firstLine="420" w:firstLineChars="200"/>
        <w:contextualSpacing/>
      </w:pPr>
      <w:r>
        <w:rPr>
          <w:rFonts w:hint="eastAsia"/>
        </w:rPr>
        <w:t>出现影响采购公正的违法、违规行为的；</w:t>
      </w:r>
    </w:p>
    <w:p>
      <w:pPr>
        <w:numPr>
          <w:ilvl w:val="0"/>
          <w:numId w:val="11"/>
        </w:numPr>
        <w:snapToGrid w:val="0"/>
        <w:spacing w:line="360" w:lineRule="auto"/>
        <w:ind w:left="0" w:firstLine="420" w:firstLineChars="200"/>
        <w:contextualSpacing/>
      </w:pPr>
      <w:r>
        <w:rPr>
          <w:rFonts w:hint="eastAsia"/>
        </w:rPr>
        <w:t>在采购过程中符合要求的响应人或者报价未超过采购预算的响应人不足3家的。</w:t>
      </w:r>
    </w:p>
    <w:bookmarkEnd w:id="322"/>
    <w:bookmarkEnd w:id="323"/>
    <w:bookmarkEnd w:id="324"/>
    <w:bookmarkEnd w:id="325"/>
    <w:p>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42" w:name="_Toc31756"/>
      <w:bookmarkStart w:id="343" w:name="_Toc454788040"/>
      <w:bookmarkStart w:id="344" w:name="_Toc428351660"/>
      <w:bookmarkStart w:id="345" w:name="_Toc463011286"/>
      <w:bookmarkStart w:id="346" w:name="_Toc455678133"/>
      <w:bookmarkStart w:id="347" w:name="_Toc7308"/>
      <w:bookmarkStart w:id="348" w:name="_Toc462934307"/>
      <w:bookmarkStart w:id="349" w:name="_Toc12985"/>
      <w:bookmarkStart w:id="350" w:name="_Toc428276600"/>
      <w:r>
        <w:rPr>
          <w:rFonts w:hint="eastAsia" w:hAnsi="宋体" w:cs="黑体"/>
          <w:b/>
          <w:color w:val="auto"/>
          <w:sz w:val="21"/>
          <w:szCs w:val="21"/>
        </w:rPr>
        <w:t>确定成交人</w:t>
      </w:r>
      <w:bookmarkEnd w:id="342"/>
      <w:bookmarkEnd w:id="343"/>
      <w:bookmarkEnd w:id="344"/>
      <w:bookmarkEnd w:id="345"/>
      <w:bookmarkEnd w:id="346"/>
      <w:bookmarkEnd w:id="347"/>
      <w:bookmarkEnd w:id="348"/>
      <w:bookmarkEnd w:id="349"/>
      <w:bookmarkEnd w:id="350"/>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采购代理机构应当自评审结束之日起</w:t>
      </w:r>
      <w:r>
        <w:rPr>
          <w:rFonts w:hint="eastAsia" w:hAnsi="宋体" w:cs="黑体"/>
          <w:color w:val="auto"/>
          <w:sz w:val="21"/>
          <w:szCs w:val="21"/>
          <w:lang w:val="en-US" w:eastAsia="zh-CN"/>
        </w:rPr>
        <w:t>1</w:t>
      </w:r>
      <w:r>
        <w:rPr>
          <w:rFonts w:hint="eastAsia" w:hAnsi="宋体" w:cs="黑体"/>
          <w:color w:val="auto"/>
          <w:sz w:val="21"/>
          <w:szCs w:val="21"/>
        </w:rPr>
        <w:t>个工作日内将评审报告送交采购人。采购人应当自收到评审报告之日起</w:t>
      </w:r>
      <w:r>
        <w:rPr>
          <w:rFonts w:hint="eastAsia" w:hAnsi="宋体" w:cs="黑体"/>
          <w:color w:val="auto"/>
          <w:sz w:val="21"/>
          <w:szCs w:val="21"/>
          <w:lang w:val="en-US" w:eastAsia="zh-CN"/>
        </w:rPr>
        <w:t>1</w:t>
      </w:r>
      <w:r>
        <w:rPr>
          <w:rFonts w:hint="eastAsia" w:hAnsi="宋体" w:cs="黑体"/>
          <w:color w:val="auto"/>
          <w:sz w:val="21"/>
          <w:szCs w:val="21"/>
        </w:rPr>
        <w:t>个工作日内在评审报告推荐的成交候选人中按顺序确定成交人。</w:t>
      </w:r>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采购人也可以书面授权磋商小组直接确定成交人。磋商小组直接确定成交人的应在竞争性磋商文件中写明。</w:t>
      </w:r>
    </w:p>
    <w:p>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51" w:name="_Toc455678134"/>
      <w:bookmarkStart w:id="352" w:name="_Toc454788041"/>
      <w:bookmarkStart w:id="353" w:name="_Toc422126474"/>
      <w:bookmarkStart w:id="354" w:name="_Toc428276601"/>
      <w:bookmarkStart w:id="355" w:name="_Toc428351661"/>
      <w:bookmarkStart w:id="356" w:name="_Toc462934308"/>
      <w:bookmarkStart w:id="357" w:name="_Toc2677"/>
      <w:bookmarkStart w:id="358" w:name="_Toc16692"/>
      <w:bookmarkStart w:id="359" w:name="_Toc15190"/>
      <w:bookmarkStart w:id="360" w:name="_Toc463011287"/>
      <w:r>
        <w:rPr>
          <w:rFonts w:hint="eastAsia" w:hAnsi="宋体" w:cs="黑体"/>
          <w:b/>
          <w:color w:val="auto"/>
          <w:sz w:val="21"/>
          <w:szCs w:val="21"/>
        </w:rPr>
        <w:t>成交结果</w:t>
      </w:r>
      <w:bookmarkEnd w:id="351"/>
      <w:bookmarkEnd w:id="352"/>
      <w:bookmarkEnd w:id="353"/>
      <w:bookmarkEnd w:id="354"/>
      <w:bookmarkEnd w:id="355"/>
      <w:r>
        <w:rPr>
          <w:rFonts w:hint="eastAsia" w:hAnsi="宋体" w:cs="黑体"/>
          <w:b/>
          <w:color w:val="auto"/>
          <w:sz w:val="21"/>
          <w:szCs w:val="21"/>
        </w:rPr>
        <w:t>公告</w:t>
      </w:r>
      <w:bookmarkEnd w:id="356"/>
      <w:bookmarkEnd w:id="357"/>
      <w:bookmarkEnd w:id="358"/>
      <w:bookmarkEnd w:id="359"/>
      <w:bookmarkEnd w:id="360"/>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采购人或者采购代理机构自成交人确定之日起</w:t>
      </w:r>
      <w:r>
        <w:rPr>
          <w:rFonts w:hint="eastAsia" w:hAnsi="宋体" w:cs="黑体"/>
          <w:color w:val="auto"/>
          <w:sz w:val="21"/>
          <w:szCs w:val="21"/>
          <w:lang w:val="en-US" w:eastAsia="zh-CN"/>
        </w:rPr>
        <w:t>1</w:t>
      </w:r>
      <w:r>
        <w:rPr>
          <w:rFonts w:hint="eastAsia" w:hAnsi="宋体" w:cs="黑体"/>
          <w:color w:val="auto"/>
          <w:sz w:val="21"/>
          <w:szCs w:val="21"/>
        </w:rPr>
        <w:t>个工作日内，在公告发布的同一媒介上公告成交结果，同时向成交人发出成交通知书，并将竞争性磋商文件随成交结果同时公告，公告期限1个工作日。</w:t>
      </w:r>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61" w:name="_Toc270604607"/>
      <w:r>
        <w:rPr>
          <w:rFonts w:hint="eastAsia" w:hAnsi="宋体" w:cs="黑体"/>
          <w:color w:val="auto"/>
          <w:sz w:val="21"/>
          <w:szCs w:val="21"/>
        </w:rPr>
        <w:t>成交结果公告内容包括</w:t>
      </w:r>
      <w:bookmarkEnd w:id="315"/>
      <w:bookmarkEnd w:id="361"/>
      <w:r>
        <w:rPr>
          <w:rFonts w:hint="eastAsia" w:hAnsi="宋体" w:cs="黑体"/>
          <w:color w:val="auto"/>
          <w:sz w:val="21"/>
          <w:szCs w:val="21"/>
        </w:rPr>
        <w:t>采购人和采购代理机构的名称、地址和联系方式、项目名称和项目编号、成交人名称、地址和成交金额、主要成交标的的名称、规格型号、数量、单价、服务要求、磋商小组成员名单。</w:t>
      </w:r>
    </w:p>
    <w:p>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62" w:name="_Toc18026"/>
      <w:bookmarkStart w:id="363" w:name="_Toc462934310"/>
      <w:bookmarkStart w:id="364" w:name="_Toc455678136"/>
      <w:bookmarkStart w:id="365" w:name="_Toc11152"/>
      <w:bookmarkStart w:id="366" w:name="_Toc463011289"/>
      <w:bookmarkStart w:id="367" w:name="_Toc4900"/>
      <w:r>
        <w:rPr>
          <w:rFonts w:hint="eastAsia" w:hAnsi="宋体" w:cs="黑体"/>
          <w:b/>
          <w:color w:val="auto"/>
          <w:sz w:val="21"/>
          <w:szCs w:val="21"/>
        </w:rPr>
        <w:t>成交通知书</w:t>
      </w:r>
      <w:bookmarkEnd w:id="362"/>
      <w:bookmarkEnd w:id="363"/>
      <w:bookmarkEnd w:id="364"/>
      <w:bookmarkEnd w:id="365"/>
      <w:bookmarkEnd w:id="366"/>
      <w:bookmarkEnd w:id="367"/>
      <w:bookmarkStart w:id="368" w:name="_Toc463011290"/>
      <w:bookmarkStart w:id="369" w:name="_Toc23963"/>
      <w:bookmarkStart w:id="370" w:name="_Toc462934311"/>
      <w:bookmarkStart w:id="371" w:name="_Toc11018"/>
      <w:bookmarkStart w:id="372" w:name="_Toc455678137"/>
      <w:bookmarkStart w:id="373" w:name="_Toc269470335"/>
    </w:p>
    <w:bookmarkEnd w:id="368"/>
    <w:bookmarkEnd w:id="369"/>
    <w:bookmarkEnd w:id="370"/>
    <w:bookmarkEnd w:id="371"/>
    <w:bookmarkEnd w:id="372"/>
    <w:p>
      <w:pPr>
        <w:wordWrap/>
        <w:topLinePunct w:val="0"/>
        <w:spacing w:line="360" w:lineRule="auto"/>
        <w:ind w:firstLine="420" w:firstLineChars="200"/>
      </w:pPr>
      <w:bookmarkStart w:id="374" w:name="_Toc462934313"/>
      <w:bookmarkStart w:id="375" w:name="_Toc720"/>
      <w:bookmarkStart w:id="376" w:name="_Toc455678139"/>
      <w:bookmarkStart w:id="377" w:name="_Toc463011292"/>
      <w:bookmarkStart w:id="378" w:name="_Toc10798"/>
      <w:r>
        <w:rPr>
          <w:rFonts w:hint="eastAsia"/>
        </w:rPr>
        <w:t>在公告成交结果的同时，采购人或者采购代理机构向成交人发出成交通知书，成交通知书将作为进行合同磋商和签订合同的依据。</w:t>
      </w:r>
    </w:p>
    <w:p>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79" w:name="_Toc17481"/>
      <w:r>
        <w:rPr>
          <w:rFonts w:hint="eastAsia" w:hAnsi="宋体" w:cs="黑体"/>
          <w:b/>
          <w:color w:val="auto"/>
          <w:sz w:val="21"/>
          <w:szCs w:val="21"/>
        </w:rPr>
        <w:t>履约保证金</w:t>
      </w:r>
      <w:bookmarkEnd w:id="374"/>
      <w:bookmarkEnd w:id="375"/>
      <w:bookmarkEnd w:id="376"/>
      <w:bookmarkEnd w:id="377"/>
      <w:bookmarkEnd w:id="378"/>
      <w:bookmarkEnd w:id="379"/>
    </w:p>
    <w:p>
      <w:pPr>
        <w:ind w:firstLine="421"/>
        <w:rPr>
          <w:rFonts w:hint="eastAsia"/>
        </w:rPr>
      </w:pPr>
      <w:r>
        <w:rPr>
          <w:rFonts w:hint="eastAsia"/>
        </w:rPr>
        <w:t>不缴纳。</w:t>
      </w:r>
    </w:p>
    <w:p>
      <w:pPr>
        <w:widowControl/>
        <w:shd w:val="solid" w:color="FFFFFF" w:fill="auto"/>
        <w:wordWrap w:val="0"/>
        <w:spacing w:line="360" w:lineRule="auto"/>
        <w:rPr>
          <w:rFonts w:hint="eastAsia" w:cs="宋体"/>
          <w:b/>
          <w:bCs/>
          <w:szCs w:val="24"/>
        </w:rPr>
      </w:pPr>
      <w:r>
        <w:rPr>
          <w:rFonts w:hint="eastAsia" w:cs="宋体"/>
          <w:szCs w:val="24"/>
          <w:lang w:val="en-US" w:eastAsia="zh-CN"/>
        </w:rPr>
        <w:t>5.10</w:t>
      </w:r>
      <w:r>
        <w:rPr>
          <w:rFonts w:hint="eastAsia" w:cs="宋体"/>
          <w:b/>
          <w:bCs/>
          <w:szCs w:val="24"/>
        </w:rPr>
        <w:t>投标文件出现下列情况之一者，应当视为无效投标文件：</w:t>
      </w:r>
    </w:p>
    <w:p>
      <w:pPr>
        <w:widowControl/>
        <w:spacing w:line="360" w:lineRule="auto"/>
        <w:rPr>
          <w:rFonts w:hint="eastAsia" w:cs="宋体"/>
          <w:szCs w:val="24"/>
        </w:rPr>
      </w:pPr>
      <w:r>
        <w:rPr>
          <w:rFonts w:hint="eastAsia" w:cs="宋体"/>
          <w:szCs w:val="24"/>
        </w:rPr>
        <w:t xml:space="preserve"> 1)投标人不符合《中华人民共和国政府采购法》第二十二条规定,做无效标处理；</w:t>
      </w:r>
    </w:p>
    <w:p>
      <w:pPr>
        <w:widowControl/>
        <w:spacing w:line="360" w:lineRule="auto"/>
        <w:rPr>
          <w:rFonts w:hint="eastAsia" w:cs="宋体"/>
          <w:szCs w:val="24"/>
        </w:rPr>
      </w:pPr>
      <w:r>
        <w:rPr>
          <w:rFonts w:hint="eastAsia" w:cs="宋体"/>
          <w:szCs w:val="24"/>
        </w:rPr>
        <w:t xml:space="preserve"> 2)投标人以他人的名义投标、串通投标，做无效废标处理；</w:t>
      </w:r>
    </w:p>
    <w:p>
      <w:pPr>
        <w:widowControl/>
        <w:spacing w:line="360" w:lineRule="auto"/>
        <w:rPr>
          <w:rFonts w:hint="eastAsia" w:cs="宋体"/>
          <w:szCs w:val="24"/>
        </w:rPr>
      </w:pPr>
      <w:r>
        <w:rPr>
          <w:rFonts w:hint="eastAsia" w:cs="宋体"/>
          <w:szCs w:val="24"/>
        </w:rPr>
        <w:t xml:space="preserve"> 3)以不正当手段谋取中标的，做无效标处理；</w:t>
      </w:r>
    </w:p>
    <w:p>
      <w:pPr>
        <w:widowControl/>
        <w:spacing w:line="360" w:lineRule="auto"/>
        <w:rPr>
          <w:rFonts w:hint="eastAsia" w:cs="宋体"/>
          <w:szCs w:val="24"/>
        </w:rPr>
      </w:pPr>
      <w:r>
        <w:rPr>
          <w:rFonts w:hint="eastAsia" w:cs="宋体"/>
          <w:szCs w:val="24"/>
        </w:rPr>
        <w:t xml:space="preserve">      其形式有：a.投标人提供虚假材料谋取中标；</w:t>
      </w:r>
    </w:p>
    <w:p>
      <w:pPr>
        <w:widowControl/>
        <w:spacing w:line="360" w:lineRule="auto"/>
        <w:rPr>
          <w:rFonts w:hint="eastAsia" w:cs="宋体"/>
          <w:szCs w:val="24"/>
        </w:rPr>
      </w:pPr>
      <w:r>
        <w:rPr>
          <w:rFonts w:hint="eastAsia" w:cs="宋体"/>
          <w:szCs w:val="24"/>
        </w:rPr>
        <w:t xml:space="preserve">            </w:t>
      </w:r>
      <w:r>
        <w:rPr>
          <w:rFonts w:hint="eastAsia" w:cs="宋体"/>
          <w:szCs w:val="24"/>
          <w:lang w:val="en-US" w:eastAsia="zh-CN"/>
        </w:rPr>
        <w:t xml:space="preserve">  </w:t>
      </w:r>
      <w:r>
        <w:rPr>
          <w:rFonts w:hint="eastAsia" w:cs="宋体"/>
          <w:szCs w:val="24"/>
        </w:rPr>
        <w:t xml:space="preserve">  b.投标人干扰市场公平，采取赠送、赠予等方式谋取中标；</w:t>
      </w:r>
    </w:p>
    <w:p>
      <w:pPr>
        <w:widowControl/>
        <w:spacing w:line="360" w:lineRule="auto"/>
        <w:rPr>
          <w:rFonts w:hint="eastAsia" w:cs="宋体"/>
          <w:szCs w:val="24"/>
        </w:rPr>
      </w:pPr>
      <w:r>
        <w:rPr>
          <w:rFonts w:hint="eastAsia" w:cs="宋体"/>
          <w:szCs w:val="24"/>
        </w:rPr>
        <w:t xml:space="preserve">            </w:t>
      </w:r>
      <w:r>
        <w:rPr>
          <w:rFonts w:hint="eastAsia" w:cs="宋体"/>
          <w:szCs w:val="24"/>
          <w:lang w:val="en-US" w:eastAsia="zh-CN"/>
        </w:rPr>
        <w:t xml:space="preserve">  </w:t>
      </w:r>
      <w:r>
        <w:rPr>
          <w:rFonts w:hint="eastAsia" w:cs="宋体"/>
          <w:szCs w:val="24"/>
        </w:rPr>
        <w:t xml:space="preserve">  c.投标人以低于成本报价恶意竞标；</w:t>
      </w:r>
    </w:p>
    <w:p>
      <w:pPr>
        <w:widowControl/>
        <w:spacing w:line="360" w:lineRule="auto"/>
        <w:rPr>
          <w:rFonts w:hint="eastAsia" w:cs="宋体"/>
          <w:szCs w:val="24"/>
        </w:rPr>
      </w:pPr>
      <w:r>
        <w:rPr>
          <w:rFonts w:hint="eastAsia" w:cs="宋体"/>
          <w:szCs w:val="24"/>
        </w:rPr>
        <w:t xml:space="preserve">  4）交货期不确切、不肯定的投标，作无效标处理；</w:t>
      </w:r>
    </w:p>
    <w:p>
      <w:pPr>
        <w:widowControl/>
        <w:spacing w:line="360" w:lineRule="auto"/>
        <w:rPr>
          <w:rFonts w:hint="eastAsia" w:cs="宋体"/>
          <w:szCs w:val="24"/>
        </w:rPr>
      </w:pPr>
      <w:r>
        <w:rPr>
          <w:rFonts w:hint="eastAsia" w:cs="宋体"/>
          <w:szCs w:val="24"/>
        </w:rPr>
        <w:t xml:space="preserve">  5）投标人低于成本价竞标的，作废无效标处理；</w:t>
      </w:r>
    </w:p>
    <w:p>
      <w:pPr>
        <w:widowControl/>
        <w:spacing w:line="360" w:lineRule="auto"/>
        <w:rPr>
          <w:rFonts w:hint="eastAsia" w:cs="宋体"/>
          <w:szCs w:val="24"/>
        </w:rPr>
      </w:pPr>
      <w:r>
        <w:rPr>
          <w:rFonts w:hint="eastAsia" w:cs="宋体"/>
          <w:szCs w:val="24"/>
        </w:rPr>
        <w:t xml:space="preserve">  6）投标文件未按招标文件规定签字盖章的，作无效标处理； </w:t>
      </w:r>
    </w:p>
    <w:p>
      <w:pPr>
        <w:widowControl/>
        <w:spacing w:line="360" w:lineRule="auto"/>
        <w:rPr>
          <w:rFonts w:hint="eastAsia" w:cs="宋体"/>
          <w:szCs w:val="24"/>
        </w:rPr>
      </w:pPr>
      <w:r>
        <w:rPr>
          <w:rFonts w:hint="eastAsia" w:cs="宋体"/>
          <w:szCs w:val="24"/>
        </w:rPr>
        <w:t xml:space="preserve">  7）投标文件关键内容字迹模糊，无法辨认的，作无效标处理；</w:t>
      </w:r>
    </w:p>
    <w:p>
      <w:pPr>
        <w:widowControl/>
        <w:spacing w:line="360" w:lineRule="auto"/>
        <w:rPr>
          <w:rFonts w:hint="eastAsia" w:cs="宋体"/>
          <w:szCs w:val="24"/>
        </w:rPr>
      </w:pPr>
      <w:r>
        <w:rPr>
          <w:rFonts w:hint="eastAsia" w:cs="宋体"/>
          <w:szCs w:val="24"/>
        </w:rPr>
        <w:t xml:space="preserve">  8）投标文件不写投标报价或投标报价超过控制资金（不含等于控制资金）的，作无效标处理；</w:t>
      </w:r>
    </w:p>
    <w:p>
      <w:pPr>
        <w:widowControl/>
        <w:spacing w:line="360" w:lineRule="auto"/>
        <w:rPr>
          <w:rFonts w:hint="eastAsia" w:cs="宋体"/>
          <w:szCs w:val="24"/>
        </w:rPr>
      </w:pPr>
      <w:r>
        <w:rPr>
          <w:rFonts w:hint="eastAsia" w:cs="宋体"/>
          <w:szCs w:val="24"/>
        </w:rPr>
        <w:t xml:space="preserve">  9）审查不合格的，作无效标处理；</w:t>
      </w:r>
    </w:p>
    <w:p>
      <w:pPr>
        <w:widowControl/>
        <w:spacing w:line="360" w:lineRule="auto"/>
        <w:rPr>
          <w:rFonts w:hint="eastAsia" w:cs="宋体"/>
          <w:szCs w:val="24"/>
        </w:rPr>
      </w:pPr>
      <w:r>
        <w:rPr>
          <w:rFonts w:hint="eastAsia" w:cs="宋体"/>
          <w:szCs w:val="24"/>
        </w:rPr>
        <w:t xml:space="preserve">  10）附有招标人不能接受的条件的，作无效标处理；</w:t>
      </w:r>
    </w:p>
    <w:p>
      <w:pPr>
        <w:widowControl/>
        <w:spacing w:line="360" w:lineRule="auto"/>
        <w:rPr>
          <w:rFonts w:hint="eastAsia" w:cs="宋体"/>
          <w:szCs w:val="24"/>
        </w:rPr>
      </w:pPr>
      <w:r>
        <w:rPr>
          <w:rFonts w:hint="eastAsia" w:cs="宋体"/>
          <w:szCs w:val="24"/>
        </w:rPr>
        <w:t xml:space="preserve">  11) 未响应招标文件要求的；</w:t>
      </w:r>
    </w:p>
    <w:p>
      <w:pPr>
        <w:widowControl/>
        <w:spacing w:line="360" w:lineRule="auto"/>
        <w:rPr>
          <w:rFonts w:hint="eastAsia" w:cs="宋体"/>
          <w:szCs w:val="24"/>
        </w:rPr>
      </w:pPr>
      <w:r>
        <w:rPr>
          <w:rFonts w:hint="eastAsia" w:cs="宋体"/>
          <w:szCs w:val="24"/>
        </w:rPr>
        <w:t xml:space="preserve">  12）违反国家有关法律法规的，作无效标处理。</w:t>
      </w:r>
    </w:p>
    <w:p>
      <w:pPr>
        <w:widowControl/>
        <w:spacing w:line="360" w:lineRule="auto"/>
        <w:ind w:firstLine="210" w:firstLineChars="100"/>
        <w:rPr>
          <w:rFonts w:hint="eastAsia" w:cs="宋体"/>
          <w:szCs w:val="24"/>
        </w:rPr>
      </w:pPr>
      <w:r>
        <w:rPr>
          <w:rFonts w:hint="eastAsia" w:cs="宋体"/>
          <w:szCs w:val="24"/>
          <w:lang w:val="en-US" w:eastAsia="zh-CN"/>
        </w:rPr>
        <w:t>13</w:t>
      </w:r>
      <w:r>
        <w:rPr>
          <w:rFonts w:hint="eastAsia" w:cs="宋体"/>
          <w:szCs w:val="24"/>
        </w:rPr>
        <w:t>）不同供应商响应文件制作机器码一致的；</w:t>
      </w:r>
    </w:p>
    <w:p>
      <w:pPr>
        <w:widowControl/>
        <w:spacing w:line="360" w:lineRule="auto"/>
        <w:ind w:firstLine="210" w:firstLineChars="100"/>
        <w:rPr>
          <w:rFonts w:hint="eastAsia" w:cs="宋体"/>
          <w:szCs w:val="24"/>
        </w:rPr>
      </w:pPr>
      <w:r>
        <w:rPr>
          <w:rFonts w:hint="eastAsia" w:cs="宋体"/>
          <w:szCs w:val="24"/>
          <w:lang w:val="en-US" w:eastAsia="zh-CN"/>
        </w:rPr>
        <w:t>14</w:t>
      </w:r>
      <w:r>
        <w:rPr>
          <w:rFonts w:hint="eastAsia" w:cs="宋体"/>
          <w:szCs w:val="24"/>
        </w:rPr>
        <w:t>）不同供应商的报价文件异常一致或呈阶梯性规律变化的；</w:t>
      </w:r>
    </w:p>
    <w:p>
      <w:pPr>
        <w:widowControl/>
        <w:spacing w:line="360" w:lineRule="auto"/>
        <w:rPr>
          <w:rFonts w:hint="eastAsia" w:cs="宋体"/>
          <w:szCs w:val="24"/>
        </w:rPr>
      </w:pPr>
      <w:r>
        <w:rPr>
          <w:rFonts w:hint="eastAsia" w:cs="宋体"/>
          <w:szCs w:val="24"/>
          <w:lang w:val="en-US" w:eastAsia="zh-CN"/>
        </w:rPr>
        <w:t>5.11</w:t>
      </w:r>
      <w:r>
        <w:rPr>
          <w:rFonts w:hint="eastAsia" w:cs="宋体"/>
          <w:b/>
          <w:bCs/>
          <w:szCs w:val="24"/>
        </w:rPr>
        <w:t>有下列情形之一的，视为投标人串通投标，其投标无效：</w:t>
      </w:r>
    </w:p>
    <w:p>
      <w:pPr>
        <w:widowControl/>
        <w:spacing w:line="360" w:lineRule="auto"/>
        <w:rPr>
          <w:rFonts w:hint="eastAsia" w:cs="宋体"/>
          <w:szCs w:val="24"/>
        </w:rPr>
      </w:pPr>
      <w:r>
        <w:rPr>
          <w:rFonts w:hint="eastAsia" w:cs="宋体"/>
          <w:szCs w:val="24"/>
        </w:rPr>
        <w:t>（一）不同投标人的投标文件由同一单位或者个人编制；</w:t>
      </w:r>
    </w:p>
    <w:p>
      <w:pPr>
        <w:widowControl/>
        <w:spacing w:line="360" w:lineRule="auto"/>
        <w:rPr>
          <w:rFonts w:hint="eastAsia" w:cs="宋体"/>
          <w:szCs w:val="24"/>
        </w:rPr>
      </w:pPr>
      <w:r>
        <w:rPr>
          <w:rFonts w:hint="eastAsia" w:cs="宋体"/>
          <w:szCs w:val="24"/>
        </w:rPr>
        <w:t>（二）不同投标人委托同一单位或者个人办理投标事宜；</w:t>
      </w:r>
    </w:p>
    <w:p>
      <w:pPr>
        <w:widowControl/>
        <w:spacing w:line="360" w:lineRule="auto"/>
        <w:rPr>
          <w:rFonts w:hint="eastAsia" w:cs="宋体"/>
          <w:szCs w:val="24"/>
        </w:rPr>
      </w:pPr>
      <w:r>
        <w:rPr>
          <w:rFonts w:hint="eastAsia" w:cs="宋体"/>
          <w:szCs w:val="24"/>
        </w:rPr>
        <w:t>（三）不同投标人的投标文件载明的项目管理成员或者联系人员为同一人；</w:t>
      </w:r>
    </w:p>
    <w:p>
      <w:pPr>
        <w:widowControl/>
        <w:spacing w:line="360" w:lineRule="auto"/>
        <w:rPr>
          <w:rFonts w:hint="eastAsia" w:cs="宋体"/>
          <w:szCs w:val="24"/>
        </w:rPr>
      </w:pPr>
      <w:r>
        <w:rPr>
          <w:rFonts w:hint="eastAsia" w:cs="宋体"/>
          <w:szCs w:val="24"/>
        </w:rPr>
        <w:t>（四）不同投标人的投标文件异常一致或者投标报价呈规律性差异；</w:t>
      </w:r>
    </w:p>
    <w:p>
      <w:pPr>
        <w:widowControl/>
        <w:spacing w:line="360" w:lineRule="auto"/>
        <w:rPr>
          <w:rFonts w:hint="eastAsia" w:cs="宋体"/>
          <w:szCs w:val="24"/>
        </w:rPr>
      </w:pPr>
      <w:r>
        <w:rPr>
          <w:rFonts w:hint="eastAsia" w:cs="宋体"/>
          <w:szCs w:val="24"/>
        </w:rPr>
        <w:t>（五）不同投标人的投标文件相互混装；</w:t>
      </w:r>
    </w:p>
    <w:p>
      <w:pPr>
        <w:widowControl/>
        <w:spacing w:line="360" w:lineRule="auto"/>
      </w:pPr>
      <w:r>
        <w:rPr>
          <w:rFonts w:hint="eastAsia" w:cs="宋体"/>
          <w:szCs w:val="24"/>
        </w:rPr>
        <w:t>（六）不同投标人的投标保证金从同一单位或者个人的账户转出。</w:t>
      </w:r>
    </w:p>
    <w:p>
      <w:pPr>
        <w:pStyle w:val="3"/>
        <w:numPr>
          <w:ilvl w:val="0"/>
          <w:numId w:val="5"/>
        </w:numPr>
        <w:tabs>
          <w:tab w:val="left" w:pos="360"/>
          <w:tab w:val="clear" w:pos="425"/>
        </w:tabs>
        <w:spacing w:line="360" w:lineRule="auto"/>
        <w:jc w:val="both"/>
        <w:outlineLvl w:val="1"/>
        <w:rPr>
          <w:rFonts w:hAnsi="宋体" w:cs="黑体"/>
          <w:b/>
          <w:color w:val="auto"/>
        </w:rPr>
      </w:pPr>
      <w:bookmarkStart w:id="380" w:name="_Toc23149"/>
      <w:bookmarkStart w:id="381" w:name="_Toc1471"/>
      <w:r>
        <w:rPr>
          <w:rFonts w:hint="eastAsia" w:hAnsi="宋体" w:cs="黑体"/>
          <w:b/>
          <w:color w:val="auto"/>
        </w:rPr>
        <w:t>授予合同</w:t>
      </w:r>
      <w:bookmarkEnd w:id="380"/>
      <w:bookmarkEnd w:id="381"/>
      <w:bookmarkStart w:id="382" w:name="_Toc32765"/>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83" w:name="_Toc26749"/>
      <w:bookmarkStart w:id="384" w:name="_Toc8361"/>
      <w:bookmarkStart w:id="385" w:name="_Toc5672"/>
      <w:r>
        <w:rPr>
          <w:rFonts w:hint="eastAsia" w:hAnsi="宋体" w:cs="黑体"/>
          <w:color w:val="auto"/>
          <w:sz w:val="21"/>
          <w:szCs w:val="21"/>
        </w:rPr>
        <w:t>采购人自成交通知书发出之日起</w:t>
      </w:r>
      <w:r>
        <w:rPr>
          <w:rFonts w:hint="eastAsia" w:hAnsi="宋体" w:cs="黑体"/>
          <w:color w:val="auto"/>
          <w:sz w:val="21"/>
          <w:szCs w:val="21"/>
          <w:lang w:val="en-US" w:eastAsia="zh-CN"/>
        </w:rPr>
        <w:t>1</w:t>
      </w:r>
      <w:r>
        <w:rPr>
          <w:rFonts w:hint="eastAsia" w:hAnsi="宋体" w:cs="黑体"/>
          <w:color w:val="auto"/>
          <w:sz w:val="21"/>
          <w:szCs w:val="21"/>
        </w:rPr>
        <w:t>日内，按照竞争性磋商文件和成交人响应文件的规定，与成交人签订书面合同。所签订的合同不得对竞争性磋商文件确定的事项和成交人响应文件作实质性修改。</w:t>
      </w:r>
      <w:bookmarkEnd w:id="382"/>
      <w:bookmarkEnd w:id="383"/>
      <w:bookmarkEnd w:id="384"/>
      <w:bookmarkEnd w:id="385"/>
      <w:bookmarkStart w:id="386" w:name="_Toc26954"/>
    </w:p>
    <w:bookmarkEnd w:id="386"/>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87" w:name="_Toc12834"/>
      <w:bookmarkStart w:id="388" w:name="_Toc10652"/>
      <w:bookmarkStart w:id="389" w:name="_Toc21772"/>
      <w:bookmarkStart w:id="390" w:name="_Toc14039"/>
      <w:r>
        <w:rPr>
          <w:rFonts w:hint="eastAsia" w:hAnsi="宋体" w:cs="黑体"/>
          <w:color w:val="auto"/>
          <w:sz w:val="21"/>
          <w:szCs w:val="21"/>
        </w:rPr>
        <w:t>竞争性磋商文件、成交人的响应文件和澄清文件等，均应作为签约的合同文本的基础。</w:t>
      </w:r>
      <w:bookmarkEnd w:id="387"/>
      <w:bookmarkEnd w:id="388"/>
      <w:bookmarkEnd w:id="389"/>
      <w:bookmarkEnd w:id="390"/>
      <w:bookmarkStart w:id="391" w:name="_Toc5481"/>
    </w:p>
    <w:bookmarkEnd w:id="391"/>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92" w:name="_Toc4762"/>
      <w:bookmarkStart w:id="393" w:name="_Toc10089"/>
      <w:bookmarkStart w:id="394" w:name="_Toc18228"/>
      <w:bookmarkStart w:id="395" w:name="_Toc12739"/>
      <w:r>
        <w:rPr>
          <w:rFonts w:hint="eastAsia" w:hAnsi="宋体" w:cs="黑体"/>
          <w:color w:val="auto"/>
          <w:sz w:val="21"/>
          <w:szCs w:val="21"/>
        </w:rPr>
        <w:t>政府采购合同包括采购人与成交人的名称和住所、标的、数量、质量、价款或者报酬、履行期限及地点和方式、验收要求、违约责任、解决争议的方法等内容。</w:t>
      </w:r>
      <w:bookmarkEnd w:id="392"/>
      <w:bookmarkEnd w:id="393"/>
      <w:bookmarkEnd w:id="394"/>
      <w:bookmarkEnd w:id="395"/>
      <w:bookmarkStart w:id="396" w:name="_Toc7717"/>
    </w:p>
    <w:p>
      <w:pPr>
        <w:pStyle w:val="3"/>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97" w:name="_Toc5311"/>
      <w:bookmarkStart w:id="398" w:name="_Toc18078"/>
      <w:bookmarkStart w:id="399" w:name="_Toc6035"/>
      <w:r>
        <w:rPr>
          <w:rFonts w:hint="eastAsia" w:hAnsi="宋体" w:cs="黑体"/>
          <w:color w:val="auto"/>
          <w:sz w:val="21"/>
          <w:szCs w:val="21"/>
        </w:rPr>
        <w:t>如成交人不按本章第6.1项约定签订合同，采购人将报请取消其成交决定，采购人可按照磋商小组推荐的成交候选人名单排序，确定下一候选人为成交人或者重新采购。</w:t>
      </w:r>
      <w:bookmarkEnd w:id="396"/>
      <w:bookmarkEnd w:id="397"/>
      <w:bookmarkEnd w:id="398"/>
      <w:bookmarkEnd w:id="399"/>
    </w:p>
    <w:bookmarkEnd w:id="373"/>
    <w:p>
      <w:pPr>
        <w:pStyle w:val="3"/>
        <w:numPr>
          <w:ilvl w:val="0"/>
          <w:numId w:val="5"/>
        </w:numPr>
        <w:tabs>
          <w:tab w:val="left" w:pos="360"/>
          <w:tab w:val="clear" w:pos="425"/>
        </w:tabs>
        <w:spacing w:line="360" w:lineRule="auto"/>
        <w:jc w:val="both"/>
        <w:outlineLvl w:val="1"/>
        <w:rPr>
          <w:rFonts w:hAnsi="宋体" w:cs="黑体"/>
          <w:b/>
          <w:color w:val="auto"/>
        </w:rPr>
      </w:pPr>
      <w:bookmarkStart w:id="400" w:name="_Toc27882"/>
      <w:bookmarkStart w:id="401" w:name="_Toc269470338"/>
      <w:bookmarkStart w:id="402" w:name="_Toc270604610"/>
      <w:bookmarkStart w:id="403" w:name="_Toc24967"/>
      <w:bookmarkStart w:id="404" w:name="_Toc25425"/>
      <w:r>
        <w:rPr>
          <w:rFonts w:hint="eastAsia" w:hAnsi="宋体" w:cs="黑体"/>
          <w:b/>
          <w:color w:val="auto"/>
        </w:rPr>
        <w:t>纪律和监督</w:t>
      </w:r>
      <w:bookmarkEnd w:id="400"/>
      <w:bookmarkEnd w:id="401"/>
      <w:bookmarkEnd w:id="402"/>
      <w:bookmarkEnd w:id="403"/>
      <w:bookmarkEnd w:id="404"/>
    </w:p>
    <w:p>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05" w:name="_Toc463011302"/>
      <w:bookmarkStart w:id="406" w:name="_Toc454788046"/>
      <w:bookmarkStart w:id="407" w:name="_Toc277149399"/>
      <w:bookmarkStart w:id="408" w:name="_Toc270604611"/>
      <w:bookmarkStart w:id="409" w:name="_Toc269470339"/>
      <w:bookmarkStart w:id="410" w:name="_Toc2717"/>
      <w:bookmarkStart w:id="411" w:name="_Toc455678149"/>
      <w:bookmarkStart w:id="412" w:name="_Toc31772"/>
      <w:bookmarkStart w:id="413" w:name="_Toc462934323"/>
      <w:bookmarkStart w:id="414" w:name="_Toc270604838"/>
      <w:bookmarkStart w:id="415" w:name="_Toc428276606"/>
      <w:bookmarkStart w:id="416" w:name="_Toc428351666"/>
      <w:bookmarkStart w:id="417" w:name="_Toc13152"/>
      <w:r>
        <w:rPr>
          <w:rFonts w:hint="eastAsia" w:hAnsi="宋体" w:cs="黑体"/>
          <w:b/>
          <w:color w:val="auto"/>
          <w:sz w:val="21"/>
          <w:szCs w:val="21"/>
        </w:rPr>
        <w:t>对采购人的纪律要求</w:t>
      </w:r>
      <w:bookmarkEnd w:id="405"/>
      <w:bookmarkEnd w:id="406"/>
      <w:bookmarkEnd w:id="407"/>
      <w:bookmarkEnd w:id="408"/>
      <w:bookmarkEnd w:id="409"/>
      <w:bookmarkEnd w:id="410"/>
      <w:bookmarkEnd w:id="411"/>
      <w:bookmarkEnd w:id="412"/>
      <w:bookmarkEnd w:id="413"/>
      <w:bookmarkEnd w:id="414"/>
      <w:bookmarkEnd w:id="415"/>
      <w:bookmarkEnd w:id="416"/>
      <w:bookmarkEnd w:id="417"/>
    </w:p>
    <w:p>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采购人不得泄</w:t>
      </w:r>
      <w:r>
        <w:rPr>
          <w:rFonts w:hint="eastAsia" w:cs="FangSong_GB2312"/>
          <w:kern w:val="0"/>
          <w:lang w:eastAsia="zh-CN"/>
        </w:rPr>
        <w:t>露</w:t>
      </w:r>
      <w:r>
        <w:rPr>
          <w:rFonts w:hint="eastAsia" w:cs="FangSong_GB2312"/>
          <w:kern w:val="0"/>
        </w:rPr>
        <w:t>竞争性磋商中应当保密的情况和资料，不得与响应人串通损害国家利益、社会公共利益或者他人合法权益。</w:t>
      </w:r>
    </w:p>
    <w:p>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18" w:name="_Toc463011303"/>
      <w:bookmarkStart w:id="419" w:name="_Toc277149400"/>
      <w:bookmarkStart w:id="420" w:name="_Toc454788047"/>
      <w:bookmarkStart w:id="421" w:name="_Toc428276607"/>
      <w:bookmarkStart w:id="422" w:name="_Toc270604839"/>
      <w:bookmarkStart w:id="423" w:name="_Toc10123"/>
      <w:bookmarkStart w:id="424" w:name="_Toc270604612"/>
      <w:bookmarkStart w:id="425" w:name="_Toc1136"/>
      <w:bookmarkStart w:id="426" w:name="_Toc462934324"/>
      <w:bookmarkStart w:id="427" w:name="_Toc455678150"/>
      <w:bookmarkStart w:id="428" w:name="_Toc24245"/>
      <w:bookmarkStart w:id="429" w:name="_Toc269470340"/>
      <w:bookmarkStart w:id="430" w:name="_Toc428351667"/>
      <w:r>
        <w:rPr>
          <w:rFonts w:hint="eastAsia" w:hAnsi="宋体" w:cs="黑体"/>
          <w:b/>
          <w:color w:val="auto"/>
          <w:sz w:val="21"/>
          <w:szCs w:val="21"/>
        </w:rPr>
        <w:t>对响应人的纪律要求</w:t>
      </w:r>
      <w:bookmarkEnd w:id="418"/>
      <w:bookmarkEnd w:id="419"/>
      <w:bookmarkEnd w:id="420"/>
      <w:bookmarkEnd w:id="421"/>
      <w:bookmarkEnd w:id="422"/>
      <w:bookmarkEnd w:id="423"/>
      <w:bookmarkEnd w:id="424"/>
      <w:bookmarkEnd w:id="425"/>
      <w:bookmarkEnd w:id="426"/>
      <w:bookmarkEnd w:id="427"/>
      <w:bookmarkEnd w:id="428"/>
      <w:bookmarkEnd w:id="429"/>
      <w:bookmarkEnd w:id="430"/>
    </w:p>
    <w:p>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响应人不得相互串通或者与采购人串通，不得向采购人或者磋商小组成员行贿谋取成交，不得以他人名义磋商或者以其他方式弄虚作假骗取成交；响应人不得以任何方式干扰、影响磋商工作。</w:t>
      </w:r>
    </w:p>
    <w:p>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31" w:name="_Toc15953"/>
      <w:bookmarkStart w:id="432" w:name="_Toc463011304"/>
      <w:bookmarkStart w:id="433" w:name="_Toc23588"/>
      <w:bookmarkStart w:id="434" w:name="_Toc277149401"/>
      <w:bookmarkStart w:id="435" w:name="_Toc270604840"/>
      <w:bookmarkStart w:id="436" w:name="_Toc428276608"/>
      <w:bookmarkStart w:id="437" w:name="_Toc26184"/>
      <w:bookmarkStart w:id="438" w:name="_Toc454788048"/>
      <w:bookmarkStart w:id="439" w:name="_Toc428351668"/>
      <w:bookmarkStart w:id="440" w:name="_Toc462934325"/>
      <w:bookmarkStart w:id="441" w:name="_Toc455678151"/>
      <w:bookmarkStart w:id="442" w:name="_Toc269470341"/>
      <w:bookmarkStart w:id="443" w:name="_Toc270604613"/>
      <w:r>
        <w:rPr>
          <w:rFonts w:hint="eastAsia" w:hAnsi="宋体" w:cs="黑体"/>
          <w:b/>
          <w:color w:val="auto"/>
          <w:sz w:val="21"/>
          <w:szCs w:val="21"/>
        </w:rPr>
        <w:t>对磋商小组成员的纪律要求</w:t>
      </w:r>
      <w:bookmarkEnd w:id="431"/>
      <w:bookmarkEnd w:id="432"/>
      <w:bookmarkEnd w:id="433"/>
      <w:bookmarkEnd w:id="434"/>
      <w:bookmarkEnd w:id="435"/>
      <w:bookmarkEnd w:id="436"/>
      <w:bookmarkEnd w:id="437"/>
      <w:bookmarkEnd w:id="438"/>
      <w:bookmarkEnd w:id="439"/>
      <w:bookmarkEnd w:id="440"/>
      <w:bookmarkEnd w:id="441"/>
      <w:bookmarkEnd w:id="442"/>
      <w:bookmarkEnd w:id="443"/>
    </w:p>
    <w:p>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磋商小组成员不得收受他人的财物或者其他好处，不得向他人透</w:t>
      </w:r>
      <w:r>
        <w:rPr>
          <w:rFonts w:hint="eastAsia" w:cs="FangSong_GB2312"/>
          <w:kern w:val="0"/>
          <w:lang w:eastAsia="zh-CN"/>
        </w:rPr>
        <w:t>露</w:t>
      </w:r>
      <w:r>
        <w:rPr>
          <w:rFonts w:hint="eastAsia" w:cs="FangSong_GB2312"/>
          <w:kern w:val="0"/>
        </w:rPr>
        <w:t>对磋商响应文件的评审和比较、成交候选人的推荐情况以及与磋商有关的其他情况。在磋商活动中，磋商小组成员不得擅离职守，影响磋商程序正常进行。</w:t>
      </w:r>
    </w:p>
    <w:p>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44" w:name="_Toc8563"/>
      <w:bookmarkStart w:id="445" w:name="_Toc462934326"/>
      <w:bookmarkStart w:id="446" w:name="_Toc277149402"/>
      <w:bookmarkStart w:id="447" w:name="_Toc428276609"/>
      <w:bookmarkStart w:id="448" w:name="_Toc270604614"/>
      <w:bookmarkStart w:id="449" w:name="_Toc463011305"/>
      <w:bookmarkStart w:id="450" w:name="_Toc428351669"/>
      <w:bookmarkStart w:id="451" w:name="_Toc4673"/>
      <w:bookmarkStart w:id="452" w:name="_Toc270604841"/>
      <w:bookmarkStart w:id="453" w:name="_Toc454788049"/>
      <w:bookmarkStart w:id="454" w:name="_Toc14202"/>
      <w:bookmarkStart w:id="455" w:name="_Toc269470342"/>
      <w:bookmarkStart w:id="456" w:name="_Toc455678152"/>
      <w:r>
        <w:rPr>
          <w:rFonts w:hint="eastAsia" w:hAnsi="宋体" w:cs="黑体"/>
          <w:b/>
          <w:color w:val="auto"/>
          <w:sz w:val="21"/>
          <w:szCs w:val="21"/>
        </w:rPr>
        <w:t>对与磋商活动有关的工作人员的纪律要求</w:t>
      </w:r>
      <w:bookmarkEnd w:id="444"/>
      <w:bookmarkEnd w:id="445"/>
      <w:bookmarkEnd w:id="446"/>
      <w:bookmarkEnd w:id="447"/>
      <w:bookmarkEnd w:id="448"/>
      <w:bookmarkEnd w:id="449"/>
      <w:bookmarkEnd w:id="450"/>
      <w:bookmarkEnd w:id="451"/>
      <w:bookmarkEnd w:id="452"/>
      <w:bookmarkEnd w:id="453"/>
      <w:bookmarkEnd w:id="454"/>
      <w:bookmarkEnd w:id="455"/>
      <w:bookmarkEnd w:id="456"/>
    </w:p>
    <w:p>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与磋商活动有关的工作人员不得收受他人的财物或者其他好处，不得向他人透</w:t>
      </w:r>
      <w:r>
        <w:rPr>
          <w:rFonts w:hint="eastAsia" w:cs="FangSong_GB2312"/>
          <w:kern w:val="0"/>
          <w:lang w:eastAsia="zh-CN"/>
        </w:rPr>
        <w:t>露</w:t>
      </w:r>
      <w:r>
        <w:rPr>
          <w:rFonts w:hint="eastAsia" w:cs="FangSong_GB2312"/>
          <w:kern w:val="0"/>
        </w:rPr>
        <w:t>对磋商响应文件的评审和比较、成交候选人的推荐情况以及与磋商有关的其他情况。在磋商活动中，与磋商活动有关的工作人员不得擅离职守，影响磋商程序正常进行。</w:t>
      </w:r>
    </w:p>
    <w:p>
      <w:pPr>
        <w:pStyle w:val="3"/>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57" w:name="_Toc27033"/>
      <w:bookmarkStart w:id="458" w:name="_Toc454788050"/>
      <w:bookmarkStart w:id="459" w:name="_Toc428351670"/>
      <w:bookmarkStart w:id="460" w:name="_Toc270604615"/>
      <w:bookmarkStart w:id="461" w:name="_Toc269470343"/>
      <w:bookmarkStart w:id="462" w:name="_Toc29089"/>
      <w:bookmarkStart w:id="463" w:name="_Toc277149403"/>
      <w:bookmarkStart w:id="464" w:name="_Toc428276610"/>
      <w:bookmarkStart w:id="465" w:name="_Toc270604842"/>
      <w:r>
        <w:rPr>
          <w:rFonts w:hint="eastAsia" w:hAnsi="宋体" w:cs="黑体"/>
          <w:b/>
          <w:color w:val="auto"/>
          <w:sz w:val="21"/>
          <w:szCs w:val="21"/>
        </w:rPr>
        <w:t>询问、质疑和投诉</w:t>
      </w:r>
      <w:bookmarkEnd w:id="457"/>
      <w:bookmarkEnd w:id="458"/>
      <w:bookmarkEnd w:id="459"/>
      <w:bookmarkEnd w:id="460"/>
      <w:bookmarkEnd w:id="461"/>
      <w:bookmarkEnd w:id="462"/>
      <w:bookmarkEnd w:id="463"/>
      <w:bookmarkEnd w:id="464"/>
      <w:bookmarkEnd w:id="465"/>
    </w:p>
    <w:p>
      <w:pPr>
        <w:pStyle w:val="3"/>
        <w:keepNext w:val="0"/>
        <w:keepLines w:val="0"/>
        <w:pageBreakBefore w:val="0"/>
        <w:widowControl w:val="0"/>
        <w:numPr>
          <w:ilvl w:val="2"/>
          <w:numId w:val="5"/>
        </w:numPr>
        <w:tabs>
          <w:tab w:val="left" w:pos="0"/>
          <w:tab w:val="clear" w:pos="1418"/>
        </w:tabs>
        <w:kinsoku/>
        <w:wordWrap/>
        <w:overflowPunct/>
        <w:topLinePunct w:val="0"/>
        <w:autoSpaceDE w:val="0"/>
        <w:autoSpaceDN w:val="0"/>
        <w:bidi w:val="0"/>
        <w:adjustRightInd w:val="0"/>
        <w:snapToGrid/>
        <w:spacing w:line="400" w:lineRule="exact"/>
        <w:ind w:left="420" w:leftChars="200" w:firstLine="0"/>
        <w:jc w:val="both"/>
        <w:textAlignment w:val="auto"/>
        <w:rPr>
          <w:rFonts w:hAnsi="宋体" w:cs="黑体"/>
          <w:color w:val="auto"/>
          <w:sz w:val="21"/>
          <w:szCs w:val="21"/>
        </w:rPr>
      </w:pPr>
      <w:bookmarkStart w:id="466" w:name="_Toc462934328"/>
      <w:bookmarkStart w:id="467" w:name="_Toc11785"/>
      <w:bookmarkStart w:id="468" w:name="_Toc17445"/>
      <w:bookmarkStart w:id="469" w:name="_Toc463011307"/>
      <w:bookmarkStart w:id="470" w:name="_Toc455678154"/>
      <w:r>
        <w:rPr>
          <w:rFonts w:hint="eastAsia" w:hAnsi="宋体" w:cs="黑体"/>
          <w:color w:val="auto"/>
          <w:sz w:val="21"/>
          <w:szCs w:val="21"/>
        </w:rPr>
        <w:t>响应人或有关当事人对磋商过程、成交结果有异议的，可以向采购人或者采购代理机构提出询问。</w:t>
      </w:r>
      <w:bookmarkEnd w:id="466"/>
      <w:bookmarkEnd w:id="467"/>
      <w:bookmarkEnd w:id="468"/>
      <w:bookmarkEnd w:id="469"/>
      <w:bookmarkEnd w:id="470"/>
    </w:p>
    <w:p>
      <w:pPr>
        <w:pStyle w:val="3"/>
        <w:keepNext w:val="0"/>
        <w:keepLines w:val="0"/>
        <w:pageBreakBefore w:val="0"/>
        <w:widowControl w:val="0"/>
        <w:numPr>
          <w:ilvl w:val="2"/>
          <w:numId w:val="5"/>
        </w:numPr>
        <w:tabs>
          <w:tab w:val="left" w:pos="0"/>
          <w:tab w:val="clear" w:pos="1418"/>
        </w:tabs>
        <w:kinsoku/>
        <w:wordWrap/>
        <w:overflowPunct/>
        <w:topLinePunct w:val="0"/>
        <w:autoSpaceDE w:val="0"/>
        <w:autoSpaceDN w:val="0"/>
        <w:bidi w:val="0"/>
        <w:adjustRightInd w:val="0"/>
        <w:snapToGrid/>
        <w:spacing w:line="400" w:lineRule="exact"/>
        <w:ind w:left="420" w:leftChars="200" w:firstLine="0"/>
        <w:jc w:val="both"/>
        <w:textAlignment w:val="auto"/>
        <w:rPr>
          <w:rFonts w:hAnsi="宋体" w:cs="黑体"/>
          <w:color w:val="auto"/>
          <w:sz w:val="21"/>
          <w:szCs w:val="21"/>
        </w:rPr>
      </w:pPr>
      <w:bookmarkStart w:id="471" w:name="_Toc463011308"/>
      <w:bookmarkStart w:id="472" w:name="_Toc27421"/>
      <w:bookmarkStart w:id="473" w:name="_Toc24621"/>
      <w:bookmarkStart w:id="474" w:name="_Toc462934329"/>
      <w:bookmarkStart w:id="475" w:name="_Toc455678155"/>
      <w:r>
        <w:rPr>
          <w:rFonts w:hint="eastAsia" w:hAnsi="宋体" w:cs="黑体"/>
          <w:color w:val="auto"/>
          <w:sz w:val="21"/>
          <w:szCs w:val="21"/>
        </w:rPr>
        <w:t>采购人或者采购代理机构应当在三个工作日内对响应人依法提出的询问作出答复。</w:t>
      </w:r>
      <w:bookmarkEnd w:id="471"/>
      <w:bookmarkEnd w:id="472"/>
      <w:bookmarkEnd w:id="473"/>
      <w:bookmarkEnd w:id="474"/>
      <w:bookmarkEnd w:id="475"/>
    </w:p>
    <w:p>
      <w:pPr>
        <w:pStyle w:val="3"/>
        <w:keepNext w:val="0"/>
        <w:keepLines w:val="0"/>
        <w:pageBreakBefore w:val="0"/>
        <w:widowControl w:val="0"/>
        <w:numPr>
          <w:ilvl w:val="2"/>
          <w:numId w:val="5"/>
        </w:numPr>
        <w:tabs>
          <w:tab w:val="left" w:pos="0"/>
          <w:tab w:val="clear" w:pos="1418"/>
        </w:tabs>
        <w:kinsoku/>
        <w:wordWrap/>
        <w:overflowPunct/>
        <w:topLinePunct w:val="0"/>
        <w:autoSpaceDE w:val="0"/>
        <w:autoSpaceDN w:val="0"/>
        <w:bidi w:val="0"/>
        <w:adjustRightInd w:val="0"/>
        <w:snapToGrid/>
        <w:spacing w:line="400" w:lineRule="exact"/>
        <w:ind w:left="420" w:leftChars="200" w:firstLine="0"/>
        <w:jc w:val="both"/>
        <w:textAlignment w:val="auto"/>
        <w:rPr>
          <w:rFonts w:hAnsi="宋体" w:cs="黑体"/>
          <w:color w:val="auto"/>
          <w:sz w:val="21"/>
          <w:szCs w:val="21"/>
        </w:rPr>
      </w:pPr>
      <w:bookmarkStart w:id="476" w:name="_Toc462934330"/>
      <w:bookmarkStart w:id="477" w:name="_Toc463011309"/>
      <w:bookmarkStart w:id="478" w:name="_Toc28381"/>
      <w:bookmarkStart w:id="479" w:name="_Toc30298"/>
      <w:bookmarkStart w:id="480" w:name="_Toc455678156"/>
      <w:r>
        <w:rPr>
          <w:rFonts w:hint="eastAsia" w:hAnsi="宋体" w:cs="黑体"/>
          <w:color w:val="auto"/>
          <w:sz w:val="21"/>
          <w:szCs w:val="21"/>
        </w:rPr>
        <w:t>响应人认为竞争性磋商文件、采购过程使自己的权益受到损害的，可以在知道或者应知其权益受到损害之日起七个工作日内，以书面形式向采购人提出质疑。</w:t>
      </w:r>
      <w:bookmarkEnd w:id="476"/>
      <w:bookmarkEnd w:id="477"/>
      <w:bookmarkEnd w:id="478"/>
      <w:bookmarkEnd w:id="479"/>
      <w:bookmarkEnd w:id="480"/>
    </w:p>
    <w:p>
      <w:pPr>
        <w:pStyle w:val="3"/>
        <w:keepNext w:val="0"/>
        <w:keepLines w:val="0"/>
        <w:pageBreakBefore w:val="0"/>
        <w:widowControl w:val="0"/>
        <w:numPr>
          <w:ilvl w:val="2"/>
          <w:numId w:val="5"/>
        </w:numPr>
        <w:tabs>
          <w:tab w:val="left" w:pos="0"/>
          <w:tab w:val="clear" w:pos="1418"/>
        </w:tabs>
        <w:kinsoku/>
        <w:wordWrap/>
        <w:overflowPunct/>
        <w:topLinePunct w:val="0"/>
        <w:autoSpaceDE w:val="0"/>
        <w:autoSpaceDN w:val="0"/>
        <w:bidi w:val="0"/>
        <w:adjustRightInd w:val="0"/>
        <w:snapToGrid/>
        <w:spacing w:line="400" w:lineRule="exact"/>
        <w:ind w:left="420" w:leftChars="200" w:firstLine="0"/>
        <w:jc w:val="both"/>
        <w:textAlignment w:val="auto"/>
        <w:rPr>
          <w:rFonts w:hAnsi="宋体" w:cs="黑体"/>
          <w:color w:val="auto"/>
          <w:sz w:val="21"/>
          <w:szCs w:val="21"/>
        </w:rPr>
      </w:pPr>
      <w:bookmarkStart w:id="481" w:name="_Toc462934331"/>
      <w:bookmarkStart w:id="482" w:name="_Toc463011310"/>
      <w:bookmarkStart w:id="483" w:name="_Toc288"/>
      <w:bookmarkStart w:id="484" w:name="_Toc16614"/>
      <w:r>
        <w:rPr>
          <w:rFonts w:hint="eastAsia" w:hAnsi="宋体" w:cs="黑体"/>
          <w:color w:val="auto"/>
          <w:sz w:val="21"/>
          <w:szCs w:val="21"/>
        </w:rPr>
        <w:t>响应人认为成交结果使自己的权益受到损害的，可以在成交结果公告期限届满之日起七个工作日内，以书面形式向采购人提出质疑，接收质疑函联系部门、电话及地址详见竞争性磋商公告。</w:t>
      </w:r>
      <w:bookmarkEnd w:id="481"/>
      <w:bookmarkEnd w:id="482"/>
      <w:bookmarkEnd w:id="483"/>
      <w:bookmarkEnd w:id="484"/>
      <w:r>
        <w:rPr>
          <w:rFonts w:hint="eastAsia" w:hAnsi="宋体" w:cs="黑体"/>
          <w:color w:val="auto"/>
          <w:sz w:val="21"/>
          <w:szCs w:val="21"/>
        </w:rPr>
        <w:t>在法定质疑期内响应人针对同一采购程序环节的质疑应当一次性提出。</w:t>
      </w:r>
    </w:p>
    <w:p>
      <w:pPr>
        <w:pStyle w:val="3"/>
        <w:keepNext w:val="0"/>
        <w:keepLines w:val="0"/>
        <w:pageBreakBefore w:val="0"/>
        <w:widowControl w:val="0"/>
        <w:numPr>
          <w:ilvl w:val="2"/>
          <w:numId w:val="5"/>
        </w:numPr>
        <w:tabs>
          <w:tab w:val="left" w:pos="0"/>
          <w:tab w:val="clear" w:pos="1418"/>
        </w:tabs>
        <w:kinsoku/>
        <w:wordWrap/>
        <w:overflowPunct/>
        <w:topLinePunct w:val="0"/>
        <w:autoSpaceDE w:val="0"/>
        <w:autoSpaceDN w:val="0"/>
        <w:bidi w:val="0"/>
        <w:adjustRightInd w:val="0"/>
        <w:snapToGrid/>
        <w:spacing w:line="400" w:lineRule="exact"/>
        <w:ind w:left="420" w:leftChars="200" w:firstLine="0"/>
        <w:jc w:val="both"/>
        <w:textAlignment w:val="auto"/>
        <w:rPr>
          <w:rFonts w:hAnsi="宋体" w:cs="黑体"/>
          <w:color w:val="auto"/>
          <w:sz w:val="21"/>
          <w:szCs w:val="21"/>
        </w:rPr>
      </w:pPr>
      <w:bookmarkStart w:id="485" w:name="_Toc462934332"/>
      <w:bookmarkStart w:id="486" w:name="_Toc18478"/>
      <w:bookmarkStart w:id="487" w:name="_Toc463011311"/>
      <w:bookmarkStart w:id="488" w:name="_Toc5258"/>
      <w:bookmarkStart w:id="489" w:name="_Toc455678157"/>
      <w:r>
        <w:rPr>
          <w:rFonts w:hint="eastAsia" w:hAnsi="宋体" w:cs="黑体"/>
          <w:color w:val="auto"/>
          <w:sz w:val="21"/>
          <w:szCs w:val="21"/>
        </w:rPr>
        <w:t>采购人或者采购代理机构应当在收到响应人的书面质疑后七个工作日内作出答复，并以书面形式通知质疑响应人和其他有关响应人，但答复的内容不得涉及商业秘密。</w:t>
      </w:r>
      <w:bookmarkEnd w:id="485"/>
      <w:bookmarkEnd w:id="486"/>
      <w:bookmarkEnd w:id="487"/>
      <w:bookmarkEnd w:id="488"/>
      <w:bookmarkEnd w:id="489"/>
    </w:p>
    <w:p>
      <w:pPr>
        <w:pStyle w:val="3"/>
        <w:keepNext w:val="0"/>
        <w:keepLines w:val="0"/>
        <w:pageBreakBefore w:val="0"/>
        <w:widowControl w:val="0"/>
        <w:numPr>
          <w:ilvl w:val="2"/>
          <w:numId w:val="5"/>
        </w:numPr>
        <w:tabs>
          <w:tab w:val="left" w:pos="0"/>
          <w:tab w:val="clear" w:pos="1418"/>
        </w:tabs>
        <w:kinsoku/>
        <w:wordWrap/>
        <w:overflowPunct/>
        <w:topLinePunct w:val="0"/>
        <w:autoSpaceDE w:val="0"/>
        <w:autoSpaceDN w:val="0"/>
        <w:bidi w:val="0"/>
        <w:adjustRightInd w:val="0"/>
        <w:snapToGrid/>
        <w:spacing w:line="400" w:lineRule="exact"/>
        <w:ind w:left="420" w:leftChars="200" w:firstLine="0"/>
        <w:jc w:val="both"/>
        <w:textAlignment w:val="auto"/>
        <w:rPr>
          <w:rFonts w:hAnsi="宋体" w:cs="黑体"/>
          <w:color w:val="auto"/>
          <w:sz w:val="21"/>
          <w:szCs w:val="21"/>
        </w:rPr>
      </w:pPr>
      <w:bookmarkStart w:id="490" w:name="_Toc4898"/>
      <w:bookmarkStart w:id="491" w:name="_Toc463011312"/>
      <w:bookmarkStart w:id="492" w:name="_Toc455678158"/>
      <w:bookmarkStart w:id="493" w:name="_Toc21390"/>
      <w:bookmarkStart w:id="494" w:name="_Toc462934333"/>
      <w:r>
        <w:rPr>
          <w:rFonts w:hint="eastAsia" w:hAnsi="宋体" w:cs="黑体"/>
          <w:color w:val="auto"/>
          <w:sz w:val="21"/>
          <w:szCs w:val="21"/>
        </w:rPr>
        <w:t>质疑单位对采购人、采购代理机构的答复不满意或者采购人、采购代理机构未在规定的时间内作出答复的，可以在答复期满后十五个工作日内向同级政府采购监督管理部门投诉。</w:t>
      </w:r>
      <w:bookmarkEnd w:id="490"/>
      <w:bookmarkEnd w:id="491"/>
      <w:bookmarkEnd w:id="492"/>
      <w:bookmarkEnd w:id="493"/>
      <w:bookmarkEnd w:id="494"/>
    </w:p>
    <w:p>
      <w:pPr>
        <w:pStyle w:val="3"/>
        <w:keepNext w:val="0"/>
        <w:keepLines w:val="0"/>
        <w:pageBreakBefore w:val="0"/>
        <w:widowControl w:val="0"/>
        <w:numPr>
          <w:ilvl w:val="2"/>
          <w:numId w:val="5"/>
        </w:numPr>
        <w:tabs>
          <w:tab w:val="left" w:pos="0"/>
          <w:tab w:val="clear" w:pos="1418"/>
        </w:tabs>
        <w:kinsoku/>
        <w:wordWrap/>
        <w:overflowPunct/>
        <w:topLinePunct w:val="0"/>
        <w:autoSpaceDE w:val="0"/>
        <w:autoSpaceDN w:val="0"/>
        <w:bidi w:val="0"/>
        <w:adjustRightInd w:val="0"/>
        <w:snapToGrid/>
        <w:spacing w:line="400" w:lineRule="exact"/>
        <w:ind w:left="420" w:leftChars="200" w:firstLine="0"/>
        <w:jc w:val="both"/>
        <w:textAlignment w:val="auto"/>
        <w:rPr>
          <w:rFonts w:hAnsi="宋体" w:cs="黑体"/>
          <w:color w:val="auto"/>
          <w:sz w:val="21"/>
          <w:szCs w:val="21"/>
        </w:rPr>
      </w:pPr>
      <w:bookmarkStart w:id="495" w:name="_Toc462934334"/>
      <w:bookmarkStart w:id="496" w:name="_Toc463011313"/>
      <w:bookmarkStart w:id="497" w:name="_Toc17682"/>
      <w:bookmarkStart w:id="498" w:name="_Toc455678159"/>
      <w:bookmarkStart w:id="499" w:name="_Toc11631"/>
      <w:r>
        <w:rPr>
          <w:rFonts w:hint="eastAsia" w:hAnsi="宋体" w:cs="黑体"/>
          <w:color w:val="auto"/>
          <w:sz w:val="21"/>
          <w:szCs w:val="21"/>
        </w:rPr>
        <w:t>响应人质疑、投诉应当有明确的请求和必要的证明材料。响应人投诉的事项不得超出已质疑事项的范围。</w:t>
      </w:r>
      <w:bookmarkEnd w:id="495"/>
      <w:bookmarkEnd w:id="496"/>
      <w:bookmarkEnd w:id="497"/>
      <w:bookmarkEnd w:id="498"/>
      <w:bookmarkEnd w:id="499"/>
    </w:p>
    <w:p>
      <w:pPr>
        <w:pStyle w:val="3"/>
        <w:numPr>
          <w:ilvl w:val="0"/>
          <w:numId w:val="5"/>
        </w:numPr>
        <w:tabs>
          <w:tab w:val="left" w:pos="360"/>
          <w:tab w:val="clear" w:pos="425"/>
        </w:tabs>
        <w:spacing w:line="360" w:lineRule="auto"/>
        <w:jc w:val="both"/>
        <w:outlineLvl w:val="1"/>
        <w:rPr>
          <w:rFonts w:hAnsi="宋体" w:cs="黑体"/>
          <w:b/>
          <w:color w:val="auto"/>
        </w:rPr>
      </w:pPr>
      <w:bookmarkStart w:id="500" w:name="_Toc5729"/>
      <w:bookmarkStart w:id="501" w:name="_Toc13477"/>
      <w:r>
        <w:rPr>
          <w:rFonts w:hint="eastAsia" w:hAnsi="宋体" w:cs="黑体"/>
          <w:b/>
          <w:color w:val="auto"/>
        </w:rPr>
        <w:t>需要补充的其他内容</w:t>
      </w:r>
      <w:bookmarkEnd w:id="500"/>
      <w:bookmarkEnd w:id="501"/>
    </w:p>
    <w:p>
      <w:pPr>
        <w:autoSpaceDE w:val="0"/>
        <w:autoSpaceDN w:val="0"/>
        <w:adjustRightInd w:val="0"/>
        <w:snapToGrid w:val="0"/>
        <w:spacing w:line="360" w:lineRule="auto"/>
        <w:ind w:firstLine="420" w:firstLineChars="200"/>
        <w:contextualSpacing/>
        <w:jc w:val="left"/>
        <w:rPr>
          <w:rFonts w:hint="eastAsia"/>
          <w:b/>
          <w:sz w:val="32"/>
          <w:szCs w:val="32"/>
        </w:rPr>
      </w:pPr>
      <w:r>
        <w:rPr>
          <w:rFonts w:hint="eastAsia" w:cs="FangSong_GB2312"/>
          <w:kern w:val="0"/>
        </w:rPr>
        <w:t>需要补充的其他内容：见</w:t>
      </w:r>
      <w:r>
        <w:rPr>
          <w:rFonts w:hint="eastAsia" w:cs="黑体"/>
        </w:rPr>
        <w:t>《响应人须知前附表》</w:t>
      </w:r>
      <w:r>
        <w:rPr>
          <w:rFonts w:hint="eastAsia" w:cs="FangSong_GB2312"/>
          <w:kern w:val="0"/>
        </w:rPr>
        <w:t>。</w:t>
      </w:r>
      <w:bookmarkStart w:id="502" w:name="_Toc72695358"/>
      <w:bookmarkStart w:id="503" w:name="_Toc1582"/>
      <w:bookmarkStart w:id="504" w:name="_Toc26850"/>
      <w:bookmarkStart w:id="505" w:name="_Toc72694686"/>
      <w:bookmarkStart w:id="506" w:name="_Toc6633"/>
      <w:bookmarkStart w:id="507" w:name="_Toc12415"/>
      <w:bookmarkStart w:id="508" w:name="_Toc23659"/>
      <w:bookmarkStart w:id="509" w:name="_Toc1534"/>
      <w:bookmarkStart w:id="510" w:name="_Toc22753"/>
      <w:bookmarkStart w:id="511" w:name="_Toc21398"/>
      <w:bookmarkStart w:id="512" w:name="_Toc14114"/>
      <w:bookmarkStart w:id="513" w:name="_Toc16950"/>
      <w:bookmarkStart w:id="514" w:name="_Toc16535"/>
      <w:bookmarkStart w:id="515" w:name="_Toc22649"/>
      <w:bookmarkStart w:id="516" w:name="_Toc4734"/>
    </w:p>
    <w:p>
      <w:pPr>
        <w:rPr>
          <w:rFonts w:hint="eastAsia"/>
          <w:b/>
          <w:sz w:val="32"/>
          <w:szCs w:val="32"/>
        </w:rPr>
      </w:pPr>
    </w:p>
    <w:p>
      <w:pPr>
        <w:jc w:val="center"/>
        <w:outlineLvl w:val="0"/>
        <w:rPr>
          <w:b/>
          <w:sz w:val="32"/>
          <w:szCs w:val="32"/>
        </w:rPr>
      </w:pPr>
      <w:r>
        <w:rPr>
          <w:rFonts w:hint="eastAsia"/>
          <w:b/>
          <w:sz w:val="32"/>
          <w:szCs w:val="32"/>
        </w:rPr>
        <w:t>第三章  评审办法</w:t>
      </w:r>
      <w:bookmarkEnd w:id="502"/>
      <w:bookmarkEnd w:id="503"/>
      <w:bookmarkEnd w:id="504"/>
      <w:bookmarkEnd w:id="505"/>
    </w:p>
    <w:p>
      <w:pPr>
        <w:pStyle w:val="13"/>
        <w:spacing w:beforeLines="100" w:afterLines="100" w:line="276" w:lineRule="auto"/>
        <w:jc w:val="center"/>
        <w:outlineLvl w:val="1"/>
        <w:rPr>
          <w:rFonts w:hAnsi="宋体"/>
          <w:b/>
          <w:bCs/>
          <w:sz w:val="32"/>
          <w:szCs w:val="32"/>
        </w:rPr>
      </w:pPr>
      <w:bookmarkStart w:id="517" w:name="_Toc72694687"/>
      <w:r>
        <w:rPr>
          <w:rFonts w:hint="eastAsia" w:hAnsi="宋体"/>
          <w:b/>
          <w:bCs/>
          <w:sz w:val="32"/>
          <w:szCs w:val="32"/>
        </w:rPr>
        <w:t>评审办法前附表</w:t>
      </w:r>
      <w:bookmarkEnd w:id="506"/>
      <w:bookmarkEnd w:id="507"/>
      <w:bookmarkEnd w:id="508"/>
      <w:bookmarkEnd w:id="509"/>
      <w:bookmarkEnd w:id="510"/>
      <w:bookmarkEnd w:id="511"/>
      <w:bookmarkEnd w:id="512"/>
      <w:bookmarkEnd w:id="513"/>
      <w:bookmarkEnd w:id="514"/>
      <w:bookmarkEnd w:id="515"/>
      <w:bookmarkEnd w:id="516"/>
      <w:bookmarkEnd w:id="517"/>
    </w:p>
    <w:tbl>
      <w:tblPr>
        <w:tblStyle w:val="23"/>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879"/>
        <w:gridCol w:w="2212"/>
        <w:gridCol w:w="5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jc w:val="center"/>
        </w:trPr>
        <w:tc>
          <w:tcPr>
            <w:tcW w:w="1894" w:type="dxa"/>
            <w:gridSpan w:val="2"/>
            <w:noWrap/>
            <w:vAlign w:val="center"/>
          </w:tcPr>
          <w:p>
            <w:pPr>
              <w:widowControl/>
              <w:spacing w:line="360" w:lineRule="auto"/>
              <w:jc w:val="center"/>
              <w:rPr>
                <w:b/>
                <w:kern w:val="0"/>
              </w:rPr>
            </w:pPr>
            <w:r>
              <w:rPr>
                <w:rFonts w:hint="eastAsia"/>
                <w:b/>
                <w:kern w:val="0"/>
              </w:rPr>
              <w:t>条款</w:t>
            </w:r>
          </w:p>
        </w:tc>
        <w:tc>
          <w:tcPr>
            <w:tcW w:w="2212" w:type="dxa"/>
            <w:noWrap/>
            <w:vAlign w:val="center"/>
          </w:tcPr>
          <w:p>
            <w:pPr>
              <w:widowControl/>
              <w:spacing w:line="360" w:lineRule="auto"/>
              <w:jc w:val="center"/>
              <w:rPr>
                <w:b/>
                <w:kern w:val="0"/>
              </w:rPr>
            </w:pPr>
            <w:r>
              <w:rPr>
                <w:rFonts w:hint="eastAsia"/>
                <w:b/>
                <w:kern w:val="0"/>
              </w:rPr>
              <w:t>评审因素</w:t>
            </w:r>
          </w:p>
        </w:tc>
        <w:tc>
          <w:tcPr>
            <w:tcW w:w="5294" w:type="dxa"/>
            <w:noWrap/>
            <w:vAlign w:val="center"/>
          </w:tcPr>
          <w:p>
            <w:pPr>
              <w:widowControl/>
              <w:spacing w:line="360" w:lineRule="auto"/>
              <w:jc w:val="center"/>
              <w:rPr>
                <w:b/>
                <w:kern w:val="0"/>
              </w:rPr>
            </w:pPr>
            <w:r>
              <w:rPr>
                <w:rFonts w:hint="eastAsia"/>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15" w:type="dxa"/>
            <w:vMerge w:val="restart"/>
            <w:noWrap/>
            <w:vAlign w:val="center"/>
          </w:tcPr>
          <w:p>
            <w:pPr>
              <w:widowControl/>
              <w:spacing w:line="360" w:lineRule="auto"/>
              <w:jc w:val="center"/>
              <w:rPr>
                <w:kern w:val="0"/>
              </w:rPr>
            </w:pPr>
            <w:r>
              <w:rPr>
                <w:rFonts w:hint="eastAsia"/>
                <w:kern w:val="0"/>
              </w:rPr>
              <w:t>2.1.1</w:t>
            </w:r>
          </w:p>
        </w:tc>
        <w:tc>
          <w:tcPr>
            <w:tcW w:w="879" w:type="dxa"/>
            <w:vMerge w:val="restart"/>
            <w:noWrap/>
            <w:vAlign w:val="center"/>
          </w:tcPr>
          <w:p>
            <w:pPr>
              <w:widowControl/>
              <w:spacing w:line="360" w:lineRule="auto"/>
              <w:jc w:val="center"/>
              <w:rPr>
                <w:kern w:val="0"/>
              </w:rPr>
            </w:pPr>
            <w:r>
              <w:rPr>
                <w:rFonts w:hint="eastAsia"/>
                <w:kern w:val="0"/>
              </w:rPr>
              <w:t>形式</w:t>
            </w:r>
          </w:p>
          <w:p>
            <w:pPr>
              <w:widowControl/>
              <w:spacing w:line="360" w:lineRule="auto"/>
              <w:jc w:val="center"/>
              <w:rPr>
                <w:kern w:val="0"/>
              </w:rPr>
            </w:pPr>
            <w:r>
              <w:rPr>
                <w:rFonts w:hint="eastAsia"/>
                <w:kern w:val="0"/>
              </w:rPr>
              <w:t>评审</w:t>
            </w:r>
          </w:p>
          <w:p>
            <w:pPr>
              <w:pStyle w:val="37"/>
              <w:ind w:firstLine="0" w:firstLineChars="0"/>
              <w:jc w:val="center"/>
              <w:rPr>
                <w:lang w:val="en-US"/>
              </w:rPr>
            </w:pPr>
            <w:r>
              <w:rPr>
                <w:rFonts w:hint="eastAsia"/>
                <w:lang w:val="en-US"/>
              </w:rPr>
              <w:t>标准</w:t>
            </w:r>
          </w:p>
        </w:tc>
        <w:tc>
          <w:tcPr>
            <w:tcW w:w="2212" w:type="dxa"/>
            <w:noWrap/>
            <w:vAlign w:val="center"/>
          </w:tcPr>
          <w:p>
            <w:pPr>
              <w:widowControl/>
              <w:spacing w:line="360" w:lineRule="auto"/>
              <w:jc w:val="center"/>
              <w:rPr>
                <w:kern w:val="0"/>
              </w:rPr>
            </w:pPr>
            <w:r>
              <w:rPr>
                <w:rFonts w:hint="eastAsia"/>
                <w:kern w:val="0"/>
              </w:rPr>
              <w:t>响应文件签字、盖章</w:t>
            </w:r>
          </w:p>
        </w:tc>
        <w:tc>
          <w:tcPr>
            <w:tcW w:w="5294" w:type="dxa"/>
            <w:noWrap/>
            <w:vAlign w:val="center"/>
          </w:tcPr>
          <w:p>
            <w:pPr>
              <w:widowControl/>
              <w:spacing w:line="360" w:lineRule="auto"/>
              <w:jc w:val="center"/>
              <w:rPr>
                <w:kern w:val="0"/>
              </w:rPr>
            </w:pPr>
            <w:r>
              <w:rPr>
                <w:rFonts w:hint="eastAsia"/>
              </w:rPr>
              <w:t>响应文件按竞争性磋商文件要求签字、盖章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jc w:val="center"/>
              <w:rPr>
                <w:kern w:val="0"/>
              </w:rPr>
            </w:pPr>
            <w:r>
              <w:rPr>
                <w:rFonts w:hint="eastAsia"/>
                <w:kern w:val="0"/>
              </w:rPr>
              <w:t>响应文件格式</w:t>
            </w:r>
          </w:p>
        </w:tc>
        <w:tc>
          <w:tcPr>
            <w:tcW w:w="5294" w:type="dxa"/>
            <w:noWrap/>
            <w:vAlign w:val="center"/>
          </w:tcPr>
          <w:p>
            <w:pPr>
              <w:widowControl/>
              <w:spacing w:line="360" w:lineRule="auto"/>
              <w:jc w:val="center"/>
              <w:rPr>
                <w:kern w:val="0"/>
              </w:rPr>
            </w:pPr>
            <w:r>
              <w:rPr>
                <w:rFonts w:hint="eastAsia"/>
                <w:kern w:val="0"/>
              </w:rPr>
              <w:t>符合竞争性磋商文件中提供的响应文件格式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jc w:val="center"/>
              <w:rPr>
                <w:kern w:val="0"/>
              </w:rPr>
            </w:pPr>
            <w:r>
              <w:rPr>
                <w:rFonts w:hint="eastAsia"/>
                <w:kern w:val="0"/>
              </w:rPr>
              <w:t>响应人名称</w:t>
            </w:r>
          </w:p>
        </w:tc>
        <w:tc>
          <w:tcPr>
            <w:tcW w:w="5294" w:type="dxa"/>
            <w:noWrap/>
            <w:vAlign w:val="center"/>
          </w:tcPr>
          <w:p>
            <w:pPr>
              <w:widowControl/>
              <w:spacing w:line="360" w:lineRule="auto"/>
              <w:jc w:val="center"/>
              <w:rPr>
                <w:kern w:val="0"/>
              </w:rPr>
            </w:pPr>
            <w:r>
              <w:rPr>
                <w:rFonts w:hint="eastAsia"/>
                <w:kern w:val="0"/>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jc w:val="center"/>
              <w:rPr>
                <w:kern w:val="0"/>
              </w:rPr>
            </w:pPr>
            <w:r>
              <w:rPr>
                <w:rFonts w:hint="eastAsia"/>
                <w:kern w:val="0"/>
              </w:rPr>
              <w:t>报价唯一</w:t>
            </w:r>
          </w:p>
        </w:tc>
        <w:tc>
          <w:tcPr>
            <w:tcW w:w="5294" w:type="dxa"/>
            <w:noWrap/>
            <w:vAlign w:val="center"/>
          </w:tcPr>
          <w:p>
            <w:pPr>
              <w:widowControl/>
              <w:spacing w:line="360" w:lineRule="auto"/>
              <w:jc w:val="center"/>
              <w:rPr>
                <w:kern w:val="0"/>
              </w:rPr>
            </w:pPr>
            <w:r>
              <w:rPr>
                <w:rFonts w:hint="eastAsia"/>
                <w:kern w:val="0"/>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015" w:type="dxa"/>
            <w:vMerge w:val="restart"/>
            <w:noWrap/>
            <w:vAlign w:val="center"/>
          </w:tcPr>
          <w:p>
            <w:pPr>
              <w:widowControl/>
              <w:spacing w:line="360" w:lineRule="auto"/>
              <w:jc w:val="center"/>
              <w:rPr>
                <w:kern w:val="0"/>
              </w:rPr>
            </w:pPr>
            <w:r>
              <w:rPr>
                <w:rFonts w:hint="eastAsia"/>
                <w:kern w:val="0"/>
              </w:rPr>
              <w:t>2.1.2</w:t>
            </w:r>
          </w:p>
        </w:tc>
        <w:tc>
          <w:tcPr>
            <w:tcW w:w="879" w:type="dxa"/>
            <w:vMerge w:val="restart"/>
            <w:noWrap/>
            <w:vAlign w:val="center"/>
          </w:tcPr>
          <w:p>
            <w:pPr>
              <w:widowControl/>
              <w:spacing w:line="360" w:lineRule="auto"/>
              <w:jc w:val="center"/>
            </w:pPr>
            <w:r>
              <w:rPr>
                <w:rFonts w:hint="eastAsia"/>
              </w:rPr>
              <w:t>资格</w:t>
            </w:r>
          </w:p>
          <w:p>
            <w:pPr>
              <w:widowControl/>
              <w:spacing w:line="360" w:lineRule="auto"/>
              <w:jc w:val="center"/>
            </w:pPr>
            <w:r>
              <w:rPr>
                <w:rFonts w:hint="eastAsia"/>
              </w:rPr>
              <w:t>审查</w:t>
            </w:r>
          </w:p>
          <w:p>
            <w:pPr>
              <w:widowControl/>
              <w:spacing w:line="360" w:lineRule="auto"/>
              <w:jc w:val="center"/>
            </w:pPr>
            <w:r>
              <w:rPr>
                <w:rFonts w:hint="eastAsia"/>
                <w:kern w:val="0"/>
              </w:rPr>
              <w:t>标准</w:t>
            </w:r>
          </w:p>
        </w:tc>
        <w:tc>
          <w:tcPr>
            <w:tcW w:w="2212" w:type="dxa"/>
            <w:noWrap/>
            <w:vAlign w:val="center"/>
          </w:tcPr>
          <w:p>
            <w:pPr>
              <w:widowControl/>
              <w:spacing w:line="276" w:lineRule="auto"/>
              <w:jc w:val="center"/>
              <w:rPr>
                <w:kern w:val="0"/>
              </w:rPr>
            </w:pPr>
            <w:r>
              <w:rPr>
                <w:rFonts w:hint="eastAsia"/>
              </w:rPr>
              <w:t>《中华人民共和国政府采购法》第二十二条</w:t>
            </w:r>
          </w:p>
        </w:tc>
        <w:tc>
          <w:tcPr>
            <w:tcW w:w="5294" w:type="dxa"/>
            <w:noWrap/>
            <w:vAlign w:val="center"/>
          </w:tcPr>
          <w:p>
            <w:pPr>
              <w:widowControl/>
              <w:spacing w:line="276" w:lineRule="auto"/>
              <w:jc w:val="center"/>
              <w:rPr>
                <w:kern w:val="0"/>
              </w:rPr>
            </w:pPr>
            <w:r>
              <w:rPr>
                <w:rFonts w:hint="eastAsia"/>
                <w:kern w:val="0"/>
              </w:rPr>
              <w:t>符合第二章“响应人须知前附表”第13项规定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jc w:val="center"/>
              <w:rPr>
                <w:kern w:val="0"/>
              </w:rPr>
            </w:pPr>
            <w:r>
              <w:rPr>
                <w:rFonts w:hint="eastAsia"/>
                <w:kern w:val="0"/>
              </w:rPr>
              <w:t>营业执照</w:t>
            </w:r>
          </w:p>
        </w:tc>
        <w:tc>
          <w:tcPr>
            <w:tcW w:w="5294" w:type="dxa"/>
            <w:noWrap/>
            <w:vAlign w:val="center"/>
          </w:tcPr>
          <w:p>
            <w:pPr>
              <w:widowControl/>
              <w:spacing w:line="360" w:lineRule="auto"/>
              <w:jc w:val="center"/>
              <w:rPr>
                <w:kern w:val="0"/>
              </w:rPr>
            </w:pPr>
            <w:r>
              <w:rPr>
                <w:rFonts w:hint="eastAsia"/>
                <w:kern w:val="0"/>
              </w:rPr>
              <w:t>符合第二章“响应人须知前附表”第13项规定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jc w:val="center"/>
              <w:rPr>
                <w:kern w:val="0"/>
              </w:rPr>
            </w:pPr>
            <w:r>
              <w:rPr>
                <w:rFonts w:hint="eastAsia"/>
                <w:kern w:val="0"/>
              </w:rPr>
              <w:t>资质等级</w:t>
            </w:r>
          </w:p>
        </w:tc>
        <w:tc>
          <w:tcPr>
            <w:tcW w:w="5294" w:type="dxa"/>
            <w:noWrap/>
            <w:vAlign w:val="center"/>
          </w:tcPr>
          <w:p>
            <w:pPr>
              <w:widowControl/>
              <w:spacing w:line="360" w:lineRule="auto"/>
              <w:jc w:val="center"/>
              <w:rPr>
                <w:kern w:val="0"/>
              </w:rPr>
            </w:pPr>
            <w:r>
              <w:rPr>
                <w:rFonts w:hint="eastAsia"/>
                <w:kern w:val="0"/>
              </w:rPr>
              <w:t>符合第二章“响应人须知前附表”第13项规定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jc w:val="center"/>
              <w:rPr>
                <w:kern w:val="0"/>
              </w:rPr>
            </w:pPr>
            <w:r>
              <w:rPr>
                <w:rFonts w:hint="eastAsia"/>
                <w:kern w:val="0"/>
              </w:rPr>
              <w:t>安全生产许可证</w:t>
            </w:r>
          </w:p>
        </w:tc>
        <w:tc>
          <w:tcPr>
            <w:tcW w:w="5294" w:type="dxa"/>
            <w:noWrap/>
            <w:vAlign w:val="center"/>
          </w:tcPr>
          <w:p>
            <w:pPr>
              <w:widowControl/>
              <w:spacing w:line="360" w:lineRule="auto"/>
              <w:jc w:val="center"/>
              <w:rPr>
                <w:kern w:val="0"/>
              </w:rPr>
            </w:pPr>
            <w:r>
              <w:rPr>
                <w:rFonts w:hint="eastAsia"/>
                <w:kern w:val="0"/>
              </w:rPr>
              <w:t>符合第二章“响应人须知前附表”第13项规定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jc w:val="center"/>
              <w:rPr>
                <w:kern w:val="0"/>
              </w:rPr>
            </w:pPr>
            <w:r>
              <w:rPr>
                <w:rFonts w:hint="eastAsia"/>
                <w:kern w:val="0"/>
              </w:rPr>
              <w:t>项目经理</w:t>
            </w:r>
          </w:p>
        </w:tc>
        <w:tc>
          <w:tcPr>
            <w:tcW w:w="5294" w:type="dxa"/>
            <w:noWrap/>
            <w:vAlign w:val="center"/>
          </w:tcPr>
          <w:p>
            <w:pPr>
              <w:widowControl/>
              <w:spacing w:line="360" w:lineRule="auto"/>
              <w:jc w:val="center"/>
              <w:rPr>
                <w:kern w:val="0"/>
              </w:rPr>
            </w:pPr>
            <w:r>
              <w:rPr>
                <w:rFonts w:hint="eastAsia"/>
                <w:kern w:val="0"/>
              </w:rPr>
              <w:t>符合第二章“响应人须知前附表”第13项规定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jc w:val="center"/>
              <w:rPr>
                <w:kern w:val="0"/>
              </w:rPr>
            </w:pPr>
            <w:r>
              <w:rPr>
                <w:rFonts w:hint="eastAsia"/>
              </w:rPr>
              <w:t>无行贿犯罪记录承诺函</w:t>
            </w:r>
          </w:p>
        </w:tc>
        <w:tc>
          <w:tcPr>
            <w:tcW w:w="5294" w:type="dxa"/>
            <w:noWrap/>
            <w:vAlign w:val="center"/>
          </w:tcPr>
          <w:p>
            <w:pPr>
              <w:widowControl/>
              <w:spacing w:line="360" w:lineRule="auto"/>
              <w:jc w:val="center"/>
              <w:rPr>
                <w:kern w:val="0"/>
              </w:rPr>
            </w:pPr>
            <w:r>
              <w:rPr>
                <w:rFonts w:hint="eastAsia"/>
                <w:kern w:val="0"/>
              </w:rPr>
              <w:t>符合第二章“响应人须知前附表”第13项规定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jc w:val="center"/>
              <w:rPr>
                <w:kern w:val="0"/>
              </w:rPr>
            </w:pPr>
            <w:r>
              <w:rPr>
                <w:rFonts w:hint="eastAsia"/>
                <w:kern w:val="0"/>
              </w:rPr>
              <w:t>信用查询记录</w:t>
            </w:r>
          </w:p>
        </w:tc>
        <w:tc>
          <w:tcPr>
            <w:tcW w:w="5294" w:type="dxa"/>
            <w:noWrap/>
            <w:vAlign w:val="center"/>
          </w:tcPr>
          <w:p>
            <w:pPr>
              <w:widowControl/>
              <w:spacing w:line="360" w:lineRule="auto"/>
              <w:jc w:val="center"/>
              <w:rPr>
                <w:kern w:val="0"/>
              </w:rPr>
            </w:pPr>
            <w:r>
              <w:rPr>
                <w:rFonts w:hint="eastAsia"/>
                <w:kern w:val="0"/>
              </w:rPr>
              <w:t>符合第二章“响应人须知前附表”第13项规定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ind w:firstLine="525" w:firstLineChars="250"/>
              <w:rPr>
                <w:kern w:val="0"/>
              </w:rPr>
            </w:pPr>
            <w:r>
              <w:rPr>
                <w:rFonts w:hint="eastAsia"/>
                <w:kern w:val="0"/>
              </w:rPr>
              <w:t>其他要求</w:t>
            </w:r>
          </w:p>
        </w:tc>
        <w:tc>
          <w:tcPr>
            <w:tcW w:w="5294" w:type="dxa"/>
            <w:noWrap/>
            <w:vAlign w:val="center"/>
          </w:tcPr>
          <w:p>
            <w:pPr>
              <w:widowControl/>
              <w:spacing w:line="360" w:lineRule="auto"/>
              <w:jc w:val="center"/>
              <w:rPr>
                <w:kern w:val="0"/>
              </w:rPr>
            </w:pPr>
            <w:r>
              <w:rPr>
                <w:rFonts w:hint="eastAsia"/>
                <w:kern w:val="0"/>
              </w:rPr>
              <w:t>符合第二章“响应人须知前附表”第13项规定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1015" w:type="dxa"/>
            <w:vMerge w:val="restart"/>
            <w:noWrap/>
            <w:vAlign w:val="center"/>
          </w:tcPr>
          <w:p>
            <w:pPr>
              <w:widowControl/>
              <w:spacing w:line="360" w:lineRule="auto"/>
              <w:jc w:val="center"/>
              <w:rPr>
                <w:kern w:val="0"/>
              </w:rPr>
            </w:pPr>
            <w:r>
              <w:rPr>
                <w:rFonts w:hint="eastAsia"/>
                <w:kern w:val="0"/>
              </w:rPr>
              <w:t>2.1.3</w:t>
            </w:r>
          </w:p>
        </w:tc>
        <w:tc>
          <w:tcPr>
            <w:tcW w:w="879" w:type="dxa"/>
            <w:vMerge w:val="restart"/>
            <w:noWrap/>
            <w:vAlign w:val="center"/>
          </w:tcPr>
          <w:p>
            <w:pPr>
              <w:widowControl/>
              <w:spacing w:line="360" w:lineRule="auto"/>
              <w:jc w:val="center"/>
            </w:pPr>
            <w:r>
              <w:rPr>
                <w:rFonts w:hint="eastAsia"/>
              </w:rPr>
              <w:t>响应</w:t>
            </w:r>
          </w:p>
          <w:p>
            <w:pPr>
              <w:widowControl/>
              <w:spacing w:line="360" w:lineRule="auto"/>
              <w:jc w:val="center"/>
            </w:pPr>
            <w:r>
              <w:rPr>
                <w:rFonts w:hint="eastAsia"/>
              </w:rPr>
              <w:t>性审</w:t>
            </w:r>
          </w:p>
          <w:p>
            <w:pPr>
              <w:widowControl/>
              <w:spacing w:line="360" w:lineRule="auto"/>
              <w:jc w:val="center"/>
              <w:rPr>
                <w:kern w:val="0"/>
              </w:rPr>
            </w:pPr>
            <w:r>
              <w:rPr>
                <w:rFonts w:hint="eastAsia"/>
              </w:rPr>
              <w:t>查</w:t>
            </w:r>
            <w:r>
              <w:rPr>
                <w:rFonts w:hint="eastAsia"/>
                <w:kern w:val="0"/>
              </w:rPr>
              <w:t>标</w:t>
            </w:r>
          </w:p>
          <w:p>
            <w:pPr>
              <w:widowControl/>
              <w:spacing w:line="360" w:lineRule="auto"/>
              <w:jc w:val="center"/>
              <w:rPr>
                <w:kern w:val="0"/>
              </w:rPr>
            </w:pPr>
            <w:r>
              <w:rPr>
                <w:rFonts w:hint="eastAsia"/>
                <w:kern w:val="0"/>
              </w:rPr>
              <w:t>准</w:t>
            </w:r>
          </w:p>
        </w:tc>
        <w:tc>
          <w:tcPr>
            <w:tcW w:w="2212" w:type="dxa"/>
            <w:noWrap/>
            <w:vAlign w:val="center"/>
          </w:tcPr>
          <w:p>
            <w:pPr>
              <w:widowControl/>
              <w:spacing w:line="276" w:lineRule="auto"/>
              <w:jc w:val="center"/>
              <w:rPr>
                <w:kern w:val="0"/>
              </w:rPr>
            </w:pPr>
            <w:r>
              <w:rPr>
                <w:rFonts w:hint="eastAsia"/>
                <w:kern w:val="0"/>
              </w:rPr>
              <w:t>磋商报价</w:t>
            </w:r>
          </w:p>
        </w:tc>
        <w:tc>
          <w:tcPr>
            <w:tcW w:w="5294" w:type="dxa"/>
            <w:noWrap/>
            <w:vAlign w:val="center"/>
          </w:tcPr>
          <w:p>
            <w:pPr>
              <w:widowControl/>
              <w:spacing w:line="276" w:lineRule="auto"/>
              <w:jc w:val="left"/>
              <w:rPr>
                <w:kern w:val="0"/>
              </w:rPr>
            </w:pPr>
            <w:r>
              <w:rPr>
                <w:rFonts w:hint="eastAsia"/>
                <w:kern w:val="0"/>
                <w:highlight w:val="none"/>
              </w:rPr>
              <w:t>报价未超过竞争性磋商文件中规定的预算金额或者最高限价的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276" w:lineRule="auto"/>
              <w:jc w:val="center"/>
              <w:rPr>
                <w:kern w:val="0"/>
              </w:rPr>
            </w:pPr>
            <w:r>
              <w:rPr>
                <w:rFonts w:hint="eastAsia"/>
                <w:kern w:val="0"/>
              </w:rPr>
              <w:t>响应内容</w:t>
            </w:r>
          </w:p>
        </w:tc>
        <w:tc>
          <w:tcPr>
            <w:tcW w:w="5294" w:type="dxa"/>
            <w:noWrap/>
            <w:vAlign w:val="center"/>
          </w:tcPr>
          <w:p>
            <w:pPr>
              <w:widowControl/>
              <w:spacing w:line="276" w:lineRule="auto"/>
              <w:jc w:val="center"/>
              <w:rPr>
                <w:kern w:val="0"/>
              </w:rPr>
            </w:pPr>
            <w:r>
              <w:rPr>
                <w:rFonts w:hint="eastAsia"/>
                <w:kern w:val="0"/>
              </w:rPr>
              <w:t>符合第二章“响应人须知前附表”第10项规定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276" w:lineRule="auto"/>
              <w:jc w:val="center"/>
              <w:rPr>
                <w:kern w:val="0"/>
              </w:rPr>
            </w:pPr>
            <w:r>
              <w:rPr>
                <w:rFonts w:hint="eastAsia"/>
                <w:kern w:val="0"/>
              </w:rPr>
              <w:t>工期</w:t>
            </w:r>
          </w:p>
        </w:tc>
        <w:tc>
          <w:tcPr>
            <w:tcW w:w="5294" w:type="dxa"/>
            <w:noWrap/>
            <w:vAlign w:val="center"/>
          </w:tcPr>
          <w:p>
            <w:pPr>
              <w:widowControl/>
              <w:spacing w:line="276" w:lineRule="auto"/>
              <w:jc w:val="center"/>
              <w:rPr>
                <w:kern w:val="0"/>
              </w:rPr>
            </w:pPr>
            <w:r>
              <w:rPr>
                <w:rFonts w:hint="eastAsia"/>
                <w:kern w:val="0"/>
              </w:rPr>
              <w:t>符合第二章“响应人须知前附表”第11项规定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276" w:lineRule="auto"/>
              <w:jc w:val="center"/>
              <w:rPr>
                <w:kern w:val="0"/>
              </w:rPr>
            </w:pPr>
            <w:r>
              <w:rPr>
                <w:rFonts w:hint="eastAsia"/>
                <w:kern w:val="0"/>
              </w:rPr>
              <w:t>质量标准</w:t>
            </w:r>
          </w:p>
        </w:tc>
        <w:tc>
          <w:tcPr>
            <w:tcW w:w="5294" w:type="dxa"/>
            <w:noWrap/>
            <w:vAlign w:val="center"/>
          </w:tcPr>
          <w:p>
            <w:pPr>
              <w:widowControl/>
              <w:spacing w:line="276" w:lineRule="auto"/>
              <w:jc w:val="center"/>
              <w:rPr>
                <w:kern w:val="0"/>
              </w:rPr>
            </w:pPr>
            <w:r>
              <w:rPr>
                <w:rFonts w:hint="eastAsia"/>
                <w:kern w:val="0"/>
              </w:rPr>
              <w:t>符合第二章“响应人须知前附表”第12项规定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276" w:lineRule="auto"/>
              <w:jc w:val="center"/>
              <w:rPr>
                <w:kern w:val="0"/>
              </w:rPr>
            </w:pPr>
            <w:r>
              <w:rPr>
                <w:rFonts w:hint="eastAsia"/>
              </w:rPr>
              <w:t>磋商有效期</w:t>
            </w:r>
          </w:p>
        </w:tc>
        <w:tc>
          <w:tcPr>
            <w:tcW w:w="5294" w:type="dxa"/>
            <w:noWrap/>
            <w:vAlign w:val="center"/>
          </w:tcPr>
          <w:p>
            <w:pPr>
              <w:widowControl/>
              <w:spacing w:line="276" w:lineRule="auto"/>
              <w:jc w:val="center"/>
              <w:rPr>
                <w:kern w:val="0"/>
              </w:rPr>
            </w:pPr>
            <w:r>
              <w:rPr>
                <w:rFonts w:hint="eastAsia"/>
                <w:kern w:val="0"/>
              </w:rPr>
              <w:t>符合第二章“响应人须知前附表”第26项规定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spacing w:line="276" w:lineRule="auto"/>
              <w:jc w:val="center"/>
            </w:pPr>
            <w:r>
              <w:t>已标价工程量清单</w:t>
            </w:r>
          </w:p>
        </w:tc>
        <w:tc>
          <w:tcPr>
            <w:tcW w:w="5294" w:type="dxa"/>
            <w:noWrap/>
            <w:vAlign w:val="center"/>
          </w:tcPr>
          <w:p>
            <w:pPr>
              <w:spacing w:line="276" w:lineRule="auto"/>
              <w:ind w:firstLine="420" w:firstLineChars="200"/>
              <w:rPr>
                <w:kern w:val="0"/>
              </w:rPr>
            </w:pPr>
            <w:r>
              <w:t>符合第</w:t>
            </w:r>
            <w:r>
              <w:rPr>
                <w:rFonts w:hint="eastAsia"/>
              </w:rPr>
              <w:t>五</w:t>
            </w:r>
            <w:r>
              <w:t>章“工程量清单”</w:t>
            </w:r>
            <w:r>
              <w:rPr>
                <w:rFonts w:hint="eastAsia"/>
              </w:rPr>
              <w:t>要求</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1894" w:type="dxa"/>
            <w:gridSpan w:val="2"/>
            <w:noWrap/>
            <w:vAlign w:val="center"/>
          </w:tcPr>
          <w:p>
            <w:pPr>
              <w:autoSpaceDE w:val="0"/>
              <w:autoSpaceDN w:val="0"/>
              <w:adjustRightInd w:val="0"/>
              <w:spacing w:line="360" w:lineRule="auto"/>
              <w:ind w:left="38" w:leftChars="18"/>
              <w:jc w:val="center"/>
              <w:rPr>
                <w:kern w:val="0"/>
              </w:rPr>
            </w:pPr>
            <w:r>
              <w:rPr>
                <w:rFonts w:hint="eastAsia"/>
                <w:kern w:val="0"/>
              </w:rPr>
              <w:t>条款号</w:t>
            </w:r>
          </w:p>
        </w:tc>
        <w:tc>
          <w:tcPr>
            <w:tcW w:w="2212" w:type="dxa"/>
            <w:noWrap/>
            <w:vAlign w:val="center"/>
          </w:tcPr>
          <w:p>
            <w:pPr>
              <w:autoSpaceDE w:val="0"/>
              <w:autoSpaceDN w:val="0"/>
              <w:adjustRightInd w:val="0"/>
              <w:spacing w:line="360" w:lineRule="auto"/>
              <w:ind w:left="38" w:leftChars="18"/>
              <w:jc w:val="center"/>
              <w:rPr>
                <w:kern w:val="0"/>
              </w:rPr>
            </w:pPr>
            <w:r>
              <w:rPr>
                <w:rFonts w:hint="eastAsia"/>
                <w:kern w:val="0"/>
              </w:rPr>
              <w:t>条款内容</w:t>
            </w:r>
          </w:p>
        </w:tc>
        <w:tc>
          <w:tcPr>
            <w:tcW w:w="5294" w:type="dxa"/>
            <w:noWrap/>
            <w:vAlign w:val="center"/>
          </w:tcPr>
          <w:p>
            <w:pPr>
              <w:autoSpaceDE w:val="0"/>
              <w:autoSpaceDN w:val="0"/>
              <w:adjustRightInd w:val="0"/>
              <w:spacing w:line="360" w:lineRule="auto"/>
              <w:ind w:left="38" w:leftChars="18"/>
              <w:jc w:val="center"/>
              <w:rPr>
                <w:kern w:val="0"/>
              </w:rPr>
            </w:pPr>
            <w:r>
              <w:rPr>
                <w:rFonts w:hint="eastAsia"/>
                <w:kern w:val="0"/>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4" w:type="dxa"/>
            <w:gridSpan w:val="2"/>
            <w:noWrap/>
            <w:vAlign w:val="center"/>
          </w:tcPr>
          <w:p>
            <w:pPr>
              <w:autoSpaceDE w:val="0"/>
              <w:autoSpaceDN w:val="0"/>
              <w:adjustRightInd w:val="0"/>
              <w:spacing w:line="276" w:lineRule="auto"/>
              <w:ind w:left="38" w:leftChars="18"/>
              <w:jc w:val="center"/>
              <w:rPr>
                <w:kern w:val="0"/>
              </w:rPr>
            </w:pPr>
            <w:r>
              <w:rPr>
                <w:rFonts w:hint="eastAsia"/>
                <w:kern w:val="0"/>
              </w:rPr>
              <w:t>2.2.1</w:t>
            </w:r>
          </w:p>
        </w:tc>
        <w:tc>
          <w:tcPr>
            <w:tcW w:w="2212" w:type="dxa"/>
            <w:noWrap/>
            <w:vAlign w:val="center"/>
          </w:tcPr>
          <w:p>
            <w:pPr>
              <w:autoSpaceDE w:val="0"/>
              <w:autoSpaceDN w:val="0"/>
              <w:adjustRightInd w:val="0"/>
              <w:spacing w:line="276" w:lineRule="auto"/>
              <w:ind w:left="38" w:leftChars="18"/>
              <w:jc w:val="center"/>
              <w:rPr>
                <w:kern w:val="0"/>
              </w:rPr>
            </w:pPr>
            <w:r>
              <w:rPr>
                <w:rFonts w:hint="eastAsia"/>
                <w:kern w:val="0"/>
              </w:rPr>
              <w:t>分值构成</w:t>
            </w:r>
          </w:p>
          <w:p>
            <w:pPr>
              <w:autoSpaceDE w:val="0"/>
              <w:autoSpaceDN w:val="0"/>
              <w:adjustRightInd w:val="0"/>
              <w:spacing w:line="276" w:lineRule="auto"/>
              <w:ind w:left="38" w:leftChars="18"/>
              <w:jc w:val="center"/>
              <w:rPr>
                <w:kern w:val="0"/>
              </w:rPr>
            </w:pPr>
            <w:r>
              <w:rPr>
                <w:rFonts w:hint="eastAsia"/>
                <w:kern w:val="0"/>
              </w:rPr>
              <w:t>(总分100分)</w:t>
            </w:r>
          </w:p>
        </w:tc>
        <w:tc>
          <w:tcPr>
            <w:tcW w:w="5294" w:type="dxa"/>
            <w:noWrap/>
            <w:vAlign w:val="center"/>
          </w:tcPr>
          <w:p>
            <w:pPr>
              <w:autoSpaceDE w:val="0"/>
              <w:autoSpaceDN w:val="0"/>
              <w:adjustRightInd w:val="0"/>
              <w:spacing w:line="276" w:lineRule="auto"/>
              <w:ind w:left="38" w:leftChars="18"/>
              <w:jc w:val="left"/>
              <w:rPr>
                <w:b/>
                <w:bCs/>
                <w:kern w:val="0"/>
              </w:rPr>
            </w:pPr>
            <w:r>
              <w:rPr>
                <w:rFonts w:hint="eastAsia"/>
                <w:b/>
                <w:bCs/>
                <w:kern w:val="0"/>
              </w:rPr>
              <w:t>报价得分：30分</w:t>
            </w:r>
          </w:p>
          <w:p>
            <w:pPr>
              <w:autoSpaceDE w:val="0"/>
              <w:autoSpaceDN w:val="0"/>
              <w:adjustRightInd w:val="0"/>
              <w:spacing w:line="276" w:lineRule="auto"/>
              <w:ind w:left="38" w:leftChars="18"/>
              <w:jc w:val="left"/>
              <w:rPr>
                <w:b/>
              </w:rPr>
            </w:pPr>
            <w:r>
              <w:rPr>
                <w:rFonts w:hint="eastAsia"/>
                <w:b/>
              </w:rPr>
              <w:t>技术部分：50分</w:t>
            </w:r>
          </w:p>
          <w:p>
            <w:pPr>
              <w:autoSpaceDE w:val="0"/>
              <w:autoSpaceDN w:val="0"/>
              <w:adjustRightInd w:val="0"/>
              <w:spacing w:line="276" w:lineRule="auto"/>
              <w:ind w:left="38" w:leftChars="18"/>
              <w:jc w:val="left"/>
              <w:rPr>
                <w:b/>
              </w:rPr>
            </w:pPr>
            <w:r>
              <w:rPr>
                <w:rFonts w:hint="eastAsia"/>
                <w:b/>
              </w:rPr>
              <w:t>综合实力：20分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894" w:type="dxa"/>
            <w:gridSpan w:val="2"/>
            <w:noWrap/>
            <w:vAlign w:val="center"/>
          </w:tcPr>
          <w:p>
            <w:pPr>
              <w:autoSpaceDE w:val="0"/>
              <w:autoSpaceDN w:val="0"/>
              <w:adjustRightInd w:val="0"/>
              <w:spacing w:line="360" w:lineRule="auto"/>
              <w:ind w:left="38" w:leftChars="18"/>
              <w:jc w:val="center"/>
              <w:rPr>
                <w:kern w:val="0"/>
              </w:rPr>
            </w:pPr>
            <w:r>
              <w:rPr>
                <w:rFonts w:hint="eastAsia"/>
                <w:kern w:val="0"/>
              </w:rPr>
              <w:t>条款号</w:t>
            </w:r>
          </w:p>
        </w:tc>
        <w:tc>
          <w:tcPr>
            <w:tcW w:w="2212" w:type="dxa"/>
            <w:noWrap/>
            <w:vAlign w:val="center"/>
          </w:tcPr>
          <w:p>
            <w:pPr>
              <w:autoSpaceDE w:val="0"/>
              <w:autoSpaceDN w:val="0"/>
              <w:adjustRightInd w:val="0"/>
              <w:spacing w:line="360" w:lineRule="auto"/>
              <w:ind w:left="38" w:leftChars="18"/>
              <w:jc w:val="center"/>
              <w:rPr>
                <w:kern w:val="0"/>
              </w:rPr>
            </w:pPr>
            <w:r>
              <w:rPr>
                <w:rFonts w:hint="eastAsia"/>
                <w:kern w:val="0"/>
              </w:rPr>
              <w:t>评分因素</w:t>
            </w:r>
          </w:p>
        </w:tc>
        <w:tc>
          <w:tcPr>
            <w:tcW w:w="5294" w:type="dxa"/>
            <w:noWrap/>
            <w:vAlign w:val="center"/>
          </w:tcPr>
          <w:p>
            <w:pPr>
              <w:autoSpaceDE w:val="0"/>
              <w:autoSpaceDN w:val="0"/>
              <w:adjustRightInd w:val="0"/>
              <w:spacing w:line="360" w:lineRule="auto"/>
              <w:ind w:left="38" w:leftChars="18" w:firstLine="1890" w:firstLineChars="900"/>
              <w:rPr>
                <w:b/>
              </w:rPr>
            </w:pPr>
            <w:r>
              <w:rPr>
                <w:rFonts w:hint="eastAsia"/>
                <w:kern w:val="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015" w:type="dxa"/>
            <w:noWrap/>
            <w:vAlign w:val="center"/>
          </w:tcPr>
          <w:p>
            <w:pPr>
              <w:widowControl/>
              <w:spacing w:line="360" w:lineRule="auto"/>
              <w:jc w:val="center"/>
              <w:rPr>
                <w:kern w:val="0"/>
              </w:rPr>
            </w:pPr>
            <w:r>
              <w:rPr>
                <w:rFonts w:hint="eastAsia"/>
                <w:kern w:val="0"/>
              </w:rPr>
              <w:t>2.2.2（1）</w:t>
            </w:r>
          </w:p>
        </w:tc>
        <w:tc>
          <w:tcPr>
            <w:tcW w:w="879" w:type="dxa"/>
            <w:vAlign w:val="center"/>
          </w:tcPr>
          <w:p>
            <w:pPr>
              <w:widowControl/>
              <w:spacing w:line="360" w:lineRule="auto"/>
              <w:jc w:val="center"/>
              <w:rPr>
                <w:b/>
              </w:rPr>
            </w:pPr>
            <w:r>
              <w:rPr>
                <w:rFonts w:hint="eastAsia"/>
                <w:b/>
              </w:rPr>
              <w:t>报价</w:t>
            </w:r>
          </w:p>
          <w:p>
            <w:pPr>
              <w:widowControl/>
              <w:spacing w:line="360" w:lineRule="auto"/>
              <w:jc w:val="center"/>
              <w:rPr>
                <w:b/>
              </w:rPr>
            </w:pPr>
            <w:r>
              <w:rPr>
                <w:rFonts w:hint="eastAsia"/>
                <w:b/>
              </w:rPr>
              <w:t>得分</w:t>
            </w:r>
          </w:p>
          <w:p>
            <w:pPr>
              <w:widowControl/>
              <w:spacing w:line="360" w:lineRule="auto"/>
              <w:jc w:val="center"/>
              <w:rPr>
                <w:b/>
              </w:rPr>
            </w:pPr>
            <w:r>
              <w:rPr>
                <w:rFonts w:hint="eastAsia"/>
                <w:b/>
              </w:rPr>
              <w:t>（30分）</w:t>
            </w:r>
          </w:p>
        </w:tc>
        <w:tc>
          <w:tcPr>
            <w:tcW w:w="2212" w:type="dxa"/>
            <w:noWrap/>
            <w:vAlign w:val="center"/>
          </w:tcPr>
          <w:p>
            <w:pPr>
              <w:pStyle w:val="37"/>
              <w:ind w:firstLine="0" w:firstLineChars="0"/>
            </w:pPr>
            <w:r>
              <w:rPr>
                <w:rFonts w:hint="eastAsia"/>
                <w:b/>
              </w:rPr>
              <w:t>磋商报价评分标准</w:t>
            </w:r>
          </w:p>
        </w:tc>
        <w:tc>
          <w:tcPr>
            <w:tcW w:w="5294" w:type="dxa"/>
            <w:noWrap/>
            <w:vAlign w:val="center"/>
          </w:tcPr>
          <w:p>
            <w:pPr>
              <w:widowControl/>
              <w:spacing w:line="360" w:lineRule="auto"/>
              <w:jc w:val="left"/>
              <w:rPr>
                <w:rFonts w:hint="eastAsia"/>
              </w:rPr>
            </w:pPr>
            <w:r>
              <w:rPr>
                <w:rFonts w:hint="eastAsia"/>
                <w:lang w:eastAsia="zh-CN"/>
              </w:rPr>
              <w:t>注：</w:t>
            </w:r>
            <w:r>
              <w:rPr>
                <w:rFonts w:hint="eastAsia"/>
              </w:rPr>
              <w:t>（一）促进中小企业发展和支持监狱企业发展：</w:t>
            </w:r>
          </w:p>
          <w:p>
            <w:pPr>
              <w:widowControl/>
              <w:spacing w:line="360" w:lineRule="auto"/>
              <w:jc w:val="left"/>
              <w:rPr>
                <w:rFonts w:hint="eastAsia"/>
              </w:rPr>
            </w:pPr>
            <w:r>
              <w:rPr>
                <w:rFonts w:hint="eastAsia"/>
              </w:rPr>
              <w:t>根据《政府采购促进中小企业发展管理办法》（财库（2020）46号）和《财政部司法部关于政府采购支持监狱企业发展有关问题的通知》（财库（2014）68号）的规定，对满足价格扣除条件且在投标文件中提交了《中小企业声明函》或省级以上监狱管理局、戒毒管理局（含新疆生产建设兵团）出具的属于监狱企业的证明文件的供应商，在满足资格项规定的条件后，其投标报价扣除</w:t>
            </w:r>
            <w:r>
              <w:rPr>
                <w:rFonts w:hint="eastAsia"/>
                <w:lang w:val="en-US" w:eastAsia="zh-CN"/>
              </w:rPr>
              <w:t>5</w:t>
            </w:r>
            <w:r>
              <w:rPr>
                <w:rFonts w:hint="eastAsia"/>
              </w:rPr>
              <w:t>%后参与评审。（注：多品目投标时所有产品的生产企业须同时为小型、微型企业才能享受价格扣除政策）</w:t>
            </w:r>
          </w:p>
          <w:p>
            <w:pPr>
              <w:widowControl/>
              <w:spacing w:line="360" w:lineRule="auto"/>
              <w:jc w:val="left"/>
              <w:rPr>
                <w:rFonts w:hint="eastAsia"/>
              </w:rPr>
            </w:pPr>
            <w:r>
              <w:rPr>
                <w:rFonts w:hint="eastAsia"/>
              </w:rPr>
              <w:t>中小企业划分标准以工信部联企业【2011】300号《工业和信息化部国家统计局国家发展和改革委财政部关于印发中小企业划型标准规定的通知》为依据。</w:t>
            </w:r>
          </w:p>
          <w:p>
            <w:pPr>
              <w:widowControl/>
              <w:spacing w:line="360" w:lineRule="auto"/>
              <w:jc w:val="left"/>
              <w:rPr>
                <w:rFonts w:hint="eastAsia"/>
              </w:rPr>
            </w:pPr>
            <w:r>
              <w:rPr>
                <w:rFonts w:hint="eastAsia"/>
              </w:rPr>
              <w:t>（二）强制采购节能产品、信息安全产品，优先采购环境标志产品政策。</w:t>
            </w:r>
          </w:p>
          <w:p>
            <w:pPr>
              <w:widowControl/>
              <w:spacing w:line="360" w:lineRule="auto"/>
              <w:jc w:val="left"/>
              <w:rPr>
                <w:rFonts w:hint="eastAsia"/>
              </w:rPr>
            </w:pPr>
            <w:r>
              <w:rPr>
                <w:rFonts w:hint="eastAsia"/>
              </w:rPr>
              <w:t>节能产品是指列入财政部、国家发展和改革委员会制定的《节能产品政府采购清单》，且经过认定的节能产品；信息安全产品是指列入国家质检总局国家认监委《信息安全产品强制性认证目录》，并获得强制性产品认证证书的产品；环境标志产品是指列入财政部、国家环保总局制定的《环境标志产品政府采购清单》，且经过认证的环境标志产品。</w:t>
            </w:r>
          </w:p>
          <w:p>
            <w:pPr>
              <w:widowControl/>
              <w:spacing w:line="360" w:lineRule="auto"/>
              <w:jc w:val="left"/>
              <w:rPr>
                <w:rFonts w:hint="eastAsia"/>
              </w:rPr>
            </w:pPr>
            <w:r>
              <w:rPr>
                <w:rFonts w:hint="eastAsia"/>
              </w:rPr>
              <w:t>提供的产品属于信息安全产品的，供应商应当选择经国家认证的信息安全产品投标，并提供由中国信息安全认证中心按国家标准认证颁发的有效认证证书复印件。</w:t>
            </w:r>
          </w:p>
          <w:p>
            <w:pPr>
              <w:widowControl/>
              <w:spacing w:line="360" w:lineRule="auto"/>
              <w:jc w:val="left"/>
              <w:rPr>
                <w:rFonts w:hint="eastAsia"/>
              </w:rPr>
            </w:pPr>
            <w:r>
              <w:rPr>
                <w:rFonts w:hint="eastAsia"/>
              </w:rPr>
              <w:t>提供的产品属于政府强制采购节能产品的，供应商应当选择《节能产品政府采购清单》中的产品投标，并提供有效的节能产品认证证书复印件。</w:t>
            </w:r>
          </w:p>
          <w:p>
            <w:pPr>
              <w:widowControl/>
              <w:spacing w:line="360" w:lineRule="auto"/>
              <w:jc w:val="left"/>
              <w:rPr>
                <w:rFonts w:hint="eastAsia"/>
              </w:rPr>
            </w:pPr>
            <w:r>
              <w:rPr>
                <w:rFonts w:hint="eastAsia"/>
              </w:rPr>
              <w:t>满足磋商文件要求且响应价格最低的响应报价为基准价，其价格分为满分。其他供应商的价格分统一按照下列公式计算：</w:t>
            </w:r>
          </w:p>
          <w:p>
            <w:pPr>
              <w:widowControl/>
              <w:spacing w:line="360" w:lineRule="auto"/>
              <w:jc w:val="left"/>
              <w:rPr>
                <w:b/>
              </w:rPr>
            </w:pPr>
            <w:r>
              <w:rPr>
                <w:rFonts w:hint="eastAsia"/>
              </w:rPr>
              <w:t>报价得分=(基准价／最后报价)×</w:t>
            </w:r>
            <w:r>
              <w:rPr>
                <w:rFonts w:hint="eastAsia"/>
                <w:lang w:val="en-US" w:eastAsia="zh-CN"/>
              </w:rPr>
              <w:t>30</w:t>
            </w: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restart"/>
            <w:noWrap/>
            <w:vAlign w:val="center"/>
          </w:tcPr>
          <w:p>
            <w:pPr>
              <w:widowControl/>
              <w:spacing w:line="360" w:lineRule="auto"/>
              <w:jc w:val="center"/>
              <w:rPr>
                <w:kern w:val="0"/>
              </w:rPr>
            </w:pPr>
            <w:r>
              <w:rPr>
                <w:rFonts w:hint="eastAsia"/>
                <w:kern w:val="0"/>
              </w:rPr>
              <w:t>2.2.2（2）</w:t>
            </w:r>
          </w:p>
        </w:tc>
        <w:tc>
          <w:tcPr>
            <w:tcW w:w="879" w:type="dxa"/>
            <w:vMerge w:val="restart"/>
            <w:noWrap/>
            <w:vAlign w:val="center"/>
          </w:tcPr>
          <w:p>
            <w:pPr>
              <w:widowControl/>
              <w:spacing w:line="360" w:lineRule="auto"/>
              <w:rPr>
                <w:b/>
              </w:rPr>
            </w:pPr>
            <w:r>
              <w:rPr>
                <w:rFonts w:hint="eastAsia"/>
                <w:b/>
              </w:rPr>
              <w:t>技术部分（50）</w:t>
            </w:r>
          </w:p>
        </w:tc>
        <w:tc>
          <w:tcPr>
            <w:tcW w:w="2212" w:type="dxa"/>
            <w:noWrap/>
            <w:vAlign w:val="top"/>
          </w:tcPr>
          <w:p>
            <w:pPr>
              <w:widowControl/>
              <w:spacing w:line="360" w:lineRule="auto"/>
              <w:jc w:val="left"/>
              <w:rPr>
                <w:kern w:val="0"/>
              </w:rPr>
            </w:pPr>
            <w:r>
              <w:rPr>
                <w:rFonts w:hint="eastAsia"/>
              </w:rPr>
              <w:t>1.内容完整性和编制水平</w:t>
            </w:r>
          </w:p>
        </w:tc>
        <w:tc>
          <w:tcPr>
            <w:tcW w:w="5294" w:type="dxa"/>
            <w:noWrap/>
            <w:vAlign w:val="top"/>
          </w:tcPr>
          <w:p>
            <w:pPr>
              <w:spacing w:line="320" w:lineRule="exact"/>
              <w:rPr>
                <w:rFonts w:hint="eastAsia" w:ascii="宋体" w:hAnsi="宋体" w:cs="宋体"/>
                <w:szCs w:val="21"/>
                <w:lang w:val="en-US" w:eastAsia="zh-CN"/>
              </w:rPr>
            </w:pPr>
            <w:r>
              <w:rPr>
                <w:rFonts w:hint="eastAsia" w:ascii="宋体" w:hAnsi="宋体" w:cs="宋体"/>
                <w:szCs w:val="21"/>
                <w:lang w:eastAsia="zh-CN"/>
              </w:rPr>
              <w:t>第一档：</w:t>
            </w:r>
            <w:r>
              <w:rPr>
                <w:rFonts w:hint="eastAsia"/>
              </w:rPr>
              <w:t>内容完整性和编制水平</w:t>
            </w:r>
            <w:r>
              <w:rPr>
                <w:rFonts w:hint="eastAsia" w:ascii="宋体" w:hAnsi="宋体" w:cs="宋体"/>
                <w:szCs w:val="21"/>
              </w:rPr>
              <w:t>准确</w:t>
            </w:r>
            <w:r>
              <w:rPr>
                <w:rFonts w:hint="eastAsia" w:ascii="宋体" w:hAnsi="宋体" w:cs="宋体"/>
                <w:szCs w:val="21"/>
                <w:lang w:eastAsia="zh-CN"/>
              </w:rPr>
              <w:t>、合理的得</w:t>
            </w:r>
            <w:r>
              <w:rPr>
                <w:rFonts w:hint="eastAsia" w:ascii="宋体" w:hAnsi="宋体" w:cs="宋体"/>
                <w:szCs w:val="21"/>
                <w:lang w:val="en-US" w:eastAsia="zh-CN"/>
              </w:rPr>
              <w:t>3-5分。</w:t>
            </w:r>
          </w:p>
          <w:p>
            <w:pPr>
              <w:spacing w:line="320" w:lineRule="exact"/>
              <w:rPr>
                <w:rFonts w:hint="eastAsia" w:ascii="宋体" w:hAnsi="宋体" w:cs="宋体"/>
                <w:szCs w:val="21"/>
                <w:lang w:val="en-US" w:eastAsia="zh-CN"/>
              </w:rPr>
            </w:pPr>
            <w:r>
              <w:rPr>
                <w:rFonts w:hint="eastAsia" w:ascii="宋体" w:hAnsi="宋体" w:cs="宋体"/>
                <w:szCs w:val="21"/>
                <w:lang w:eastAsia="zh-CN"/>
              </w:rPr>
              <w:t>第二档：</w:t>
            </w:r>
            <w:r>
              <w:rPr>
                <w:rFonts w:hint="eastAsia"/>
              </w:rPr>
              <w:t>内容完整性和编制水平</w:t>
            </w:r>
            <w:r>
              <w:rPr>
                <w:rFonts w:hint="eastAsia" w:ascii="宋体" w:hAnsi="宋体" w:cs="宋体"/>
                <w:szCs w:val="21"/>
                <w:lang w:eastAsia="zh-CN"/>
              </w:rPr>
              <w:t>简洁、合理的得</w:t>
            </w:r>
            <w:r>
              <w:rPr>
                <w:rFonts w:hint="eastAsia" w:ascii="宋体" w:hAnsi="宋体" w:cs="宋体"/>
                <w:szCs w:val="21"/>
                <w:lang w:val="en-US" w:eastAsia="zh-CN"/>
              </w:rPr>
              <w:t>1-</w:t>
            </w:r>
            <w:r>
              <w:rPr>
                <w:rFonts w:hint="eastAsia" w:cs="宋体"/>
                <w:szCs w:val="21"/>
                <w:lang w:val="en-US" w:eastAsia="zh-CN"/>
              </w:rPr>
              <w:t>3</w:t>
            </w:r>
            <w:r>
              <w:rPr>
                <w:rFonts w:hint="eastAsia" w:ascii="宋体" w:hAnsi="宋体" w:cs="宋体"/>
                <w:szCs w:val="21"/>
                <w:lang w:val="en-US" w:eastAsia="zh-CN"/>
              </w:rPr>
              <w:t>分。</w:t>
            </w:r>
          </w:p>
          <w:p>
            <w:pPr>
              <w:widowControl/>
              <w:spacing w:line="360" w:lineRule="auto"/>
              <w:jc w:val="left"/>
              <w:rPr>
                <w:kern w:val="0"/>
              </w:rPr>
            </w:pPr>
            <w:r>
              <w:rPr>
                <w:rFonts w:hint="eastAsia" w:ascii="宋体" w:hAnsi="宋体" w:cs="宋体"/>
                <w:szCs w:val="21"/>
                <w:lang w:eastAsia="zh-CN"/>
              </w:rPr>
              <w:t>第三档：</w:t>
            </w:r>
            <w:r>
              <w:rPr>
                <w:rFonts w:hint="eastAsia"/>
              </w:rPr>
              <w:t>内容完整性和编制水平</w:t>
            </w:r>
            <w:r>
              <w:rPr>
                <w:rFonts w:hint="eastAsia" w:ascii="宋体" w:hAnsi="宋体" w:cs="宋体"/>
                <w:szCs w:val="21"/>
                <w:lang w:eastAsia="zh-CN"/>
              </w:rPr>
              <w:t>提供不健全的得</w:t>
            </w:r>
            <w:r>
              <w:rPr>
                <w:rFonts w:hint="eastAsia" w:ascii="宋体" w:hAnsi="宋体" w:cs="宋体"/>
                <w:szCs w:val="21"/>
                <w:lang w:val="en-US" w:eastAsia="zh-CN"/>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top"/>
          </w:tcPr>
          <w:p>
            <w:pPr>
              <w:widowControl/>
              <w:spacing w:line="360" w:lineRule="auto"/>
              <w:jc w:val="left"/>
              <w:rPr>
                <w:kern w:val="0"/>
              </w:rPr>
            </w:pPr>
            <w:r>
              <w:rPr>
                <w:rFonts w:hint="eastAsia"/>
              </w:rPr>
              <w:t>2.施工方案与技术措施</w:t>
            </w:r>
          </w:p>
        </w:tc>
        <w:tc>
          <w:tcPr>
            <w:tcW w:w="5294" w:type="dxa"/>
            <w:noWrap/>
            <w:vAlign w:val="top"/>
          </w:tcPr>
          <w:p>
            <w:pPr>
              <w:spacing w:line="320" w:lineRule="exact"/>
              <w:rPr>
                <w:rFonts w:hint="eastAsia"/>
                <w:lang w:val="en-US" w:eastAsia="zh-CN"/>
              </w:rPr>
            </w:pPr>
            <w:r>
              <w:rPr>
                <w:rFonts w:hint="eastAsia"/>
                <w:lang w:eastAsia="zh-CN"/>
              </w:rPr>
              <w:t>第一档：</w:t>
            </w:r>
            <w:r>
              <w:rPr>
                <w:rFonts w:hint="eastAsia"/>
              </w:rPr>
              <w:t>施工方案与技术措施可实施性</w:t>
            </w:r>
            <w:r>
              <w:rPr>
                <w:rFonts w:hint="eastAsia"/>
                <w:lang w:eastAsia="zh-CN"/>
              </w:rPr>
              <w:t>强的得</w:t>
            </w:r>
            <w:r>
              <w:rPr>
                <w:rFonts w:hint="eastAsia"/>
                <w:lang w:val="en-US" w:eastAsia="zh-CN"/>
              </w:rPr>
              <w:t>3-5分。</w:t>
            </w:r>
          </w:p>
          <w:p>
            <w:pPr>
              <w:spacing w:line="320" w:lineRule="exac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w:t>
            </w:r>
            <w:r>
              <w:rPr>
                <w:rFonts w:hint="eastAsia" w:ascii="Times New Roman" w:hAnsi="Times New Roman" w:eastAsia="宋体" w:cs="Times New Roman"/>
                <w:lang w:val="en-US" w:eastAsia="zh-CN"/>
              </w:rPr>
              <w:t>二</w:t>
            </w:r>
            <w:r>
              <w:rPr>
                <w:rFonts w:hint="default" w:ascii="Times New Roman" w:hAnsi="Times New Roman" w:eastAsia="宋体" w:cs="Times New Roman"/>
                <w:lang w:val="en-US" w:eastAsia="zh-CN"/>
              </w:rPr>
              <w:t>档：</w:t>
            </w:r>
            <w:r>
              <w:rPr>
                <w:rFonts w:hint="eastAsia"/>
              </w:rPr>
              <w:t>施工方案与技术措施</w:t>
            </w:r>
            <w:r>
              <w:rPr>
                <w:rFonts w:hint="eastAsia" w:ascii="Times New Roman" w:hAnsi="Times New Roman" w:eastAsia="宋体" w:cs="Times New Roman"/>
                <w:lang w:val="en-US" w:eastAsia="zh-CN"/>
              </w:rPr>
              <w:t>齐全、合理</w:t>
            </w:r>
            <w:r>
              <w:rPr>
                <w:rFonts w:hint="default" w:ascii="Times New Roman" w:hAnsi="Times New Roman" w:eastAsia="宋体" w:cs="Times New Roman"/>
                <w:lang w:val="en-US" w:eastAsia="zh-CN"/>
              </w:rPr>
              <w:t>的得</w:t>
            </w:r>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3</w:t>
            </w:r>
            <w:r>
              <w:rPr>
                <w:rFonts w:hint="default" w:ascii="Times New Roman" w:hAnsi="Times New Roman" w:eastAsia="宋体" w:cs="Times New Roman"/>
                <w:lang w:val="en-US" w:eastAsia="zh-CN"/>
              </w:rPr>
              <w:t>分。</w:t>
            </w:r>
          </w:p>
          <w:p>
            <w:pPr>
              <w:widowControl/>
              <w:spacing w:line="360" w:lineRule="auto"/>
              <w:jc w:val="left"/>
              <w:rPr>
                <w:kern w:val="0"/>
              </w:rPr>
            </w:pPr>
            <w:r>
              <w:rPr>
                <w:rFonts w:hint="eastAsia" w:ascii="Times New Roman" w:hAnsi="Times New Roman" w:eastAsia="宋体" w:cs="Times New Roman"/>
                <w:lang w:val="en-US" w:eastAsia="zh-CN"/>
              </w:rPr>
              <w:t>第三档：</w:t>
            </w:r>
            <w:r>
              <w:rPr>
                <w:rFonts w:hint="eastAsia"/>
              </w:rPr>
              <w:t>施工方案与技术措施</w:t>
            </w:r>
            <w:r>
              <w:rPr>
                <w:rFonts w:hint="eastAsia" w:ascii="Times New Roman" w:hAnsi="Times New Roman" w:eastAsia="宋体" w:cs="Times New Roman"/>
                <w:lang w:val="en-US" w:eastAsia="zh-CN"/>
              </w:rPr>
              <w:t>提供不健全的得0-1分。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top"/>
          </w:tcPr>
          <w:p>
            <w:pPr>
              <w:widowControl/>
              <w:spacing w:line="360" w:lineRule="auto"/>
              <w:jc w:val="left"/>
              <w:rPr>
                <w:kern w:val="0"/>
              </w:rPr>
            </w:pPr>
            <w:r>
              <w:rPr>
                <w:rFonts w:hint="eastAsia"/>
              </w:rPr>
              <w:t>3.质量管理体系与措施</w:t>
            </w:r>
          </w:p>
        </w:tc>
        <w:tc>
          <w:tcPr>
            <w:tcW w:w="5294" w:type="dxa"/>
            <w:noWrap/>
            <w:vAlign w:val="top"/>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第一档：</w:t>
            </w:r>
            <w:r>
              <w:rPr>
                <w:rFonts w:hint="eastAsia"/>
              </w:rPr>
              <w:t>质量管理体系与措施</w:t>
            </w:r>
            <w:r>
              <w:rPr>
                <w:rFonts w:hint="eastAsia" w:ascii="Times New Roman" w:hAnsi="Times New Roman" w:eastAsia="宋体" w:cs="Times New Roman"/>
              </w:rPr>
              <w:t>可靠</w:t>
            </w:r>
            <w:r>
              <w:rPr>
                <w:rFonts w:hint="eastAsia" w:ascii="Times New Roman" w:hAnsi="Times New Roman" w:eastAsia="宋体" w:cs="Times New Roman"/>
                <w:lang w:eastAsia="zh-CN"/>
              </w:rPr>
              <w:t>、充分的得</w:t>
            </w:r>
            <w:r>
              <w:rPr>
                <w:rFonts w:hint="eastAsia" w:ascii="Times New Roman" w:hAnsi="Times New Roman" w:eastAsia="宋体" w:cs="Times New Roman"/>
                <w:lang w:val="en-US" w:eastAsia="zh-CN"/>
              </w:rPr>
              <w:t>3-5分。</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第二档：</w:t>
            </w:r>
            <w:r>
              <w:rPr>
                <w:rFonts w:hint="eastAsia"/>
              </w:rPr>
              <w:t>质量管理体系与措施</w:t>
            </w:r>
            <w:r>
              <w:rPr>
                <w:rFonts w:hint="eastAsia" w:ascii="Times New Roman" w:hAnsi="Times New Roman" w:eastAsia="宋体" w:cs="Times New Roman"/>
                <w:lang w:val="en-US" w:eastAsia="zh-CN"/>
              </w:rPr>
              <w:t>合理、科学的得1-</w:t>
            </w:r>
            <w:r>
              <w:rPr>
                <w:rFonts w:hint="eastAsia" w:ascii="Times New Roman" w:hAnsi="Times New Roman" w:cs="Times New Roman"/>
                <w:lang w:val="en-US" w:eastAsia="zh-CN"/>
              </w:rPr>
              <w:t>3</w:t>
            </w:r>
            <w:r>
              <w:rPr>
                <w:rFonts w:hint="eastAsia" w:ascii="Times New Roman" w:hAnsi="Times New Roman" w:eastAsia="宋体" w:cs="Times New Roman"/>
                <w:lang w:val="en-US" w:eastAsia="zh-CN"/>
              </w:rPr>
              <w:t>分。</w:t>
            </w:r>
          </w:p>
          <w:p>
            <w:pPr>
              <w:widowControl/>
              <w:spacing w:line="360" w:lineRule="auto"/>
              <w:jc w:val="left"/>
              <w:rPr>
                <w:kern w:val="0"/>
              </w:rPr>
            </w:pPr>
            <w:r>
              <w:rPr>
                <w:rFonts w:hint="eastAsia" w:ascii="Times New Roman" w:hAnsi="Times New Roman" w:eastAsia="宋体" w:cs="Times New Roman"/>
                <w:lang w:val="en-US" w:eastAsia="zh-CN"/>
              </w:rPr>
              <w:t>第三档：</w:t>
            </w:r>
            <w:r>
              <w:rPr>
                <w:rFonts w:hint="eastAsia"/>
              </w:rPr>
              <w:t>质量管理体系与措施</w:t>
            </w:r>
            <w:r>
              <w:rPr>
                <w:rFonts w:hint="eastAsia" w:ascii="Times New Roman" w:hAnsi="Times New Roman" w:eastAsia="宋体" w:cs="Times New Roman"/>
                <w:lang w:val="en-US" w:eastAsia="zh-CN"/>
              </w:rPr>
              <w:t>提供不健全的得0-1分。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top"/>
          </w:tcPr>
          <w:p>
            <w:pPr>
              <w:widowControl/>
              <w:spacing w:line="360" w:lineRule="auto"/>
              <w:jc w:val="left"/>
              <w:rPr>
                <w:kern w:val="0"/>
              </w:rPr>
            </w:pPr>
            <w:r>
              <w:rPr>
                <w:rFonts w:hint="eastAsia"/>
              </w:rPr>
              <w:t>4.安全管理体系与措施</w:t>
            </w:r>
          </w:p>
        </w:tc>
        <w:tc>
          <w:tcPr>
            <w:tcW w:w="5294" w:type="dxa"/>
            <w:noWrap/>
            <w:vAlign w:val="top"/>
          </w:tcPr>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第一档：</w:t>
            </w:r>
            <w:r>
              <w:rPr>
                <w:rFonts w:hint="eastAsia"/>
              </w:rPr>
              <w:t>安全管理体系与措施</w:t>
            </w:r>
            <w:r>
              <w:rPr>
                <w:rFonts w:hint="eastAsia" w:ascii="Times New Roman" w:hAnsi="Times New Roman" w:eastAsia="宋体" w:cs="Times New Roman"/>
                <w:lang w:eastAsia="zh-CN"/>
              </w:rPr>
              <w:t>符合工程建设强制性标准且有效性、实施性强的得</w:t>
            </w:r>
            <w:r>
              <w:rPr>
                <w:rFonts w:hint="eastAsia" w:ascii="Times New Roman" w:hAnsi="Times New Roman" w:eastAsia="宋体" w:cs="Times New Roman"/>
                <w:lang w:val="en-US" w:eastAsia="zh-CN"/>
              </w:rPr>
              <w:t>3-5分。</w:t>
            </w:r>
          </w:p>
          <w:p>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第二档：</w:t>
            </w:r>
            <w:r>
              <w:rPr>
                <w:rFonts w:hint="eastAsia"/>
              </w:rPr>
              <w:t>安全管理体系与措施</w:t>
            </w:r>
            <w:r>
              <w:rPr>
                <w:rFonts w:hint="eastAsia" w:ascii="Times New Roman" w:hAnsi="Times New Roman" w:eastAsia="宋体" w:cs="Times New Roman"/>
                <w:lang w:eastAsia="zh-CN"/>
              </w:rPr>
              <w:t>符合工程建设强制性标准的得</w:t>
            </w:r>
            <w:r>
              <w:rPr>
                <w:rFonts w:hint="eastAsia" w:ascii="Times New Roman" w:hAnsi="Times New Roman" w:eastAsia="宋体" w:cs="Times New Roman"/>
                <w:lang w:val="en-US" w:eastAsia="zh-CN"/>
              </w:rPr>
              <w:t>1-</w:t>
            </w:r>
            <w:r>
              <w:rPr>
                <w:rFonts w:hint="eastAsia" w:ascii="Times New Roman" w:hAnsi="Times New Roman" w:cs="Times New Roman"/>
                <w:lang w:val="en-US" w:eastAsia="zh-CN"/>
              </w:rPr>
              <w:t>3</w:t>
            </w:r>
            <w:r>
              <w:rPr>
                <w:rFonts w:hint="eastAsia" w:ascii="Times New Roman" w:hAnsi="Times New Roman" w:eastAsia="宋体" w:cs="Times New Roman"/>
                <w:lang w:val="en-US" w:eastAsia="zh-CN"/>
              </w:rPr>
              <w:t>分。</w:t>
            </w:r>
          </w:p>
          <w:p>
            <w:pPr>
              <w:widowControl/>
              <w:spacing w:line="360" w:lineRule="auto"/>
              <w:jc w:val="left"/>
              <w:rPr>
                <w:kern w:val="0"/>
              </w:rPr>
            </w:pPr>
            <w:r>
              <w:rPr>
                <w:rFonts w:hint="eastAsia" w:ascii="Times New Roman" w:hAnsi="Times New Roman" w:eastAsia="宋体" w:cs="Times New Roman"/>
                <w:lang w:val="en-US" w:eastAsia="zh-CN"/>
              </w:rPr>
              <w:t>第三档：</w:t>
            </w:r>
            <w:r>
              <w:rPr>
                <w:rFonts w:hint="eastAsia"/>
              </w:rPr>
              <w:t>安全管理体系与措施</w:t>
            </w:r>
            <w:r>
              <w:rPr>
                <w:rFonts w:hint="eastAsia" w:ascii="Times New Roman" w:hAnsi="Times New Roman" w:eastAsia="宋体" w:cs="Times New Roman"/>
                <w:lang w:val="en-US" w:eastAsia="zh-CN"/>
              </w:rPr>
              <w:t>提供不健全的得0-1分。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top"/>
          </w:tcPr>
          <w:p>
            <w:pPr>
              <w:widowControl/>
              <w:spacing w:line="360" w:lineRule="auto"/>
              <w:jc w:val="left"/>
              <w:rPr>
                <w:kern w:val="0"/>
              </w:rPr>
            </w:pPr>
            <w:r>
              <w:rPr>
                <w:rFonts w:hint="eastAsia"/>
              </w:rPr>
              <w:t>5.文明施工管理体系与措施</w:t>
            </w:r>
          </w:p>
        </w:tc>
        <w:tc>
          <w:tcPr>
            <w:tcW w:w="5294" w:type="dxa"/>
            <w:noWrap/>
            <w:vAlign w:val="top"/>
          </w:tcPr>
          <w:p>
            <w:pPr>
              <w:spacing w:line="320" w:lineRule="exact"/>
              <w:rPr>
                <w:rFonts w:hint="eastAsia"/>
                <w:lang w:val="en-US" w:eastAsia="zh-CN"/>
              </w:rPr>
            </w:pPr>
            <w:r>
              <w:rPr>
                <w:rFonts w:hint="eastAsia"/>
                <w:lang w:eastAsia="zh-CN"/>
              </w:rPr>
              <w:t>第一档：</w:t>
            </w:r>
            <w:r>
              <w:rPr>
                <w:rFonts w:hint="eastAsia"/>
              </w:rPr>
              <w:t>文明施工管理体系与措施</w:t>
            </w:r>
            <w:r>
              <w:rPr>
                <w:rFonts w:hint="eastAsia"/>
                <w:lang w:eastAsia="zh-CN"/>
              </w:rPr>
              <w:t>充分可靠且有效性强的得</w:t>
            </w:r>
            <w:r>
              <w:rPr>
                <w:rFonts w:hint="eastAsia"/>
                <w:lang w:val="en-US" w:eastAsia="zh-CN"/>
              </w:rPr>
              <w:t>3-5分。</w:t>
            </w:r>
          </w:p>
          <w:p>
            <w:pPr>
              <w:spacing w:line="320" w:lineRule="exact"/>
              <w:rPr>
                <w:rFonts w:hint="eastAsia"/>
                <w:lang w:val="en-US" w:eastAsia="zh-CN"/>
              </w:rPr>
            </w:pPr>
            <w:r>
              <w:rPr>
                <w:rFonts w:hint="eastAsia"/>
                <w:lang w:eastAsia="zh-CN"/>
              </w:rPr>
              <w:t>第二档：</w:t>
            </w:r>
            <w:r>
              <w:rPr>
                <w:rFonts w:hint="eastAsia"/>
              </w:rPr>
              <w:t>文明施工管理体系与措施</w:t>
            </w:r>
            <w:r>
              <w:rPr>
                <w:rFonts w:hint="eastAsia"/>
                <w:lang w:eastAsia="zh-CN"/>
              </w:rPr>
              <w:t>充分合理的得</w:t>
            </w:r>
            <w:r>
              <w:rPr>
                <w:rFonts w:hint="eastAsia"/>
                <w:lang w:val="en-US" w:eastAsia="zh-CN"/>
              </w:rPr>
              <w:t>1-3分。</w:t>
            </w:r>
          </w:p>
          <w:p>
            <w:pPr>
              <w:widowControl/>
              <w:spacing w:line="360" w:lineRule="auto"/>
              <w:jc w:val="left"/>
              <w:rPr>
                <w:kern w:val="0"/>
              </w:rPr>
            </w:pPr>
            <w:r>
              <w:rPr>
                <w:rFonts w:hint="eastAsia"/>
                <w:lang w:eastAsia="zh-CN"/>
              </w:rPr>
              <w:t>第三档：</w:t>
            </w:r>
            <w:r>
              <w:rPr>
                <w:rFonts w:hint="eastAsia"/>
              </w:rPr>
              <w:t>文明施工管理体系与措施</w:t>
            </w:r>
            <w:r>
              <w:rPr>
                <w:rFonts w:hint="eastAsia"/>
                <w:lang w:eastAsia="zh-CN"/>
              </w:rPr>
              <w:t>提供不健全的得</w:t>
            </w:r>
            <w:r>
              <w:rPr>
                <w:rFonts w:hint="eastAsia"/>
                <w:lang w:val="en-US" w:eastAsia="zh-CN"/>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top"/>
          </w:tcPr>
          <w:p>
            <w:pPr>
              <w:widowControl/>
              <w:spacing w:line="360" w:lineRule="auto"/>
              <w:jc w:val="left"/>
              <w:rPr>
                <w:kern w:val="0"/>
              </w:rPr>
            </w:pPr>
            <w:r>
              <w:rPr>
                <w:rFonts w:hint="eastAsia"/>
              </w:rPr>
              <w:t>6.环境保护管理体系与措施</w:t>
            </w:r>
          </w:p>
        </w:tc>
        <w:tc>
          <w:tcPr>
            <w:tcW w:w="5294" w:type="dxa"/>
            <w:noWrap/>
            <w:vAlign w:val="top"/>
          </w:tcPr>
          <w:p>
            <w:pPr>
              <w:spacing w:line="320" w:lineRule="exact"/>
              <w:rPr>
                <w:rFonts w:hint="eastAsia"/>
                <w:lang w:val="en-US" w:eastAsia="zh-CN"/>
              </w:rPr>
            </w:pPr>
            <w:r>
              <w:rPr>
                <w:rFonts w:hint="eastAsia"/>
                <w:lang w:eastAsia="zh-CN"/>
              </w:rPr>
              <w:t>第一档：</w:t>
            </w:r>
            <w:r>
              <w:rPr>
                <w:rFonts w:hint="eastAsia"/>
              </w:rPr>
              <w:t>环境保护管理体系与措施</w:t>
            </w:r>
            <w:r>
              <w:rPr>
                <w:rFonts w:hint="eastAsia"/>
                <w:lang w:eastAsia="zh-CN"/>
              </w:rPr>
              <w:t>充分可靠且有效性强的得</w:t>
            </w:r>
            <w:r>
              <w:rPr>
                <w:rFonts w:hint="eastAsia"/>
                <w:lang w:val="en-US" w:eastAsia="zh-CN"/>
              </w:rPr>
              <w:t>3-5分。</w:t>
            </w:r>
          </w:p>
          <w:p>
            <w:pPr>
              <w:spacing w:line="320" w:lineRule="exact"/>
              <w:rPr>
                <w:rFonts w:hint="eastAsia"/>
                <w:lang w:val="en-US" w:eastAsia="zh-CN"/>
              </w:rPr>
            </w:pPr>
            <w:r>
              <w:rPr>
                <w:rFonts w:hint="eastAsia"/>
                <w:lang w:eastAsia="zh-CN"/>
              </w:rPr>
              <w:t>第二档：</w:t>
            </w:r>
            <w:r>
              <w:rPr>
                <w:rFonts w:hint="eastAsia"/>
              </w:rPr>
              <w:t>环境保护管理体系与措施</w:t>
            </w:r>
            <w:r>
              <w:rPr>
                <w:rFonts w:hint="eastAsia"/>
                <w:lang w:eastAsia="zh-CN"/>
              </w:rPr>
              <w:t>充分合理的得</w:t>
            </w:r>
            <w:r>
              <w:rPr>
                <w:rFonts w:hint="eastAsia"/>
                <w:lang w:val="en-US" w:eastAsia="zh-CN"/>
              </w:rPr>
              <w:t>1-3分。</w:t>
            </w:r>
          </w:p>
          <w:p>
            <w:pPr>
              <w:widowControl/>
              <w:spacing w:line="360" w:lineRule="auto"/>
              <w:jc w:val="left"/>
              <w:rPr>
                <w:kern w:val="0"/>
              </w:rPr>
            </w:pPr>
            <w:r>
              <w:rPr>
                <w:rFonts w:hint="eastAsia"/>
                <w:lang w:eastAsia="zh-CN"/>
              </w:rPr>
              <w:t>第三档：</w:t>
            </w:r>
            <w:r>
              <w:rPr>
                <w:rFonts w:hint="eastAsia"/>
              </w:rPr>
              <w:t>环境保护管理体系与措施</w:t>
            </w:r>
            <w:r>
              <w:rPr>
                <w:rFonts w:hint="eastAsia"/>
                <w:lang w:eastAsia="zh-CN"/>
              </w:rPr>
              <w:t>提供不健全的得</w:t>
            </w:r>
            <w:r>
              <w:rPr>
                <w:rFonts w:hint="eastAsia"/>
                <w:lang w:val="en-US" w:eastAsia="zh-CN"/>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top"/>
          </w:tcPr>
          <w:p>
            <w:pPr>
              <w:widowControl/>
              <w:spacing w:line="360" w:lineRule="auto"/>
              <w:jc w:val="left"/>
              <w:rPr>
                <w:kern w:val="0"/>
              </w:rPr>
            </w:pPr>
            <w:r>
              <w:rPr>
                <w:rFonts w:hint="eastAsia"/>
              </w:rPr>
              <w:t>7.工程进度计划与措施</w:t>
            </w:r>
          </w:p>
        </w:tc>
        <w:tc>
          <w:tcPr>
            <w:tcW w:w="5294" w:type="dxa"/>
            <w:noWrap/>
            <w:vAlign w:val="top"/>
          </w:tcPr>
          <w:p>
            <w:pPr>
              <w:spacing w:line="320" w:lineRule="exact"/>
              <w:rPr>
                <w:rFonts w:hint="eastAsia"/>
                <w:lang w:val="en-US" w:eastAsia="zh-CN"/>
              </w:rPr>
            </w:pPr>
            <w:r>
              <w:rPr>
                <w:rFonts w:hint="eastAsia"/>
                <w:lang w:eastAsia="zh-CN"/>
              </w:rPr>
              <w:t>第一档：</w:t>
            </w:r>
            <w:r>
              <w:rPr>
                <w:rFonts w:hint="eastAsia"/>
              </w:rPr>
              <w:t>工程进度计划与措施可实施性</w:t>
            </w:r>
            <w:r>
              <w:rPr>
                <w:rFonts w:hint="eastAsia"/>
                <w:lang w:eastAsia="zh-CN"/>
              </w:rPr>
              <w:t>强的得</w:t>
            </w:r>
            <w:r>
              <w:rPr>
                <w:rFonts w:hint="eastAsia"/>
                <w:lang w:val="en-US" w:eastAsia="zh-CN"/>
              </w:rPr>
              <w:t>3-5分。</w:t>
            </w:r>
          </w:p>
          <w:p>
            <w:pPr>
              <w:spacing w:line="320" w:lineRule="exac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w:t>
            </w:r>
            <w:r>
              <w:rPr>
                <w:rFonts w:hint="eastAsia" w:ascii="Times New Roman" w:hAnsi="Times New Roman" w:eastAsia="宋体" w:cs="Times New Roman"/>
                <w:lang w:val="en-US" w:eastAsia="zh-CN"/>
              </w:rPr>
              <w:t>二</w:t>
            </w:r>
            <w:r>
              <w:rPr>
                <w:rFonts w:hint="default" w:ascii="Times New Roman" w:hAnsi="Times New Roman" w:eastAsia="宋体" w:cs="Times New Roman"/>
                <w:lang w:val="en-US" w:eastAsia="zh-CN"/>
              </w:rPr>
              <w:t>档：</w:t>
            </w:r>
            <w:r>
              <w:rPr>
                <w:rFonts w:hint="eastAsia"/>
              </w:rPr>
              <w:t>工程进度计划与措施</w:t>
            </w:r>
            <w:r>
              <w:rPr>
                <w:rFonts w:hint="eastAsia" w:ascii="Times New Roman" w:hAnsi="Times New Roman" w:eastAsia="宋体" w:cs="Times New Roman"/>
                <w:lang w:val="en-US" w:eastAsia="zh-CN"/>
              </w:rPr>
              <w:t>齐全、合理</w:t>
            </w:r>
            <w:r>
              <w:rPr>
                <w:rFonts w:hint="default" w:ascii="Times New Roman" w:hAnsi="Times New Roman" w:eastAsia="宋体" w:cs="Times New Roman"/>
                <w:lang w:val="en-US" w:eastAsia="zh-CN"/>
              </w:rPr>
              <w:t>的得</w:t>
            </w:r>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3</w:t>
            </w:r>
            <w:r>
              <w:rPr>
                <w:rFonts w:hint="default" w:ascii="Times New Roman" w:hAnsi="Times New Roman" w:eastAsia="宋体" w:cs="Times New Roman"/>
                <w:lang w:val="en-US" w:eastAsia="zh-CN"/>
              </w:rPr>
              <w:t>分。</w:t>
            </w:r>
          </w:p>
          <w:p>
            <w:pPr>
              <w:widowControl/>
              <w:spacing w:line="360" w:lineRule="auto"/>
              <w:jc w:val="left"/>
              <w:rPr>
                <w:kern w:val="0"/>
              </w:rPr>
            </w:pPr>
            <w:r>
              <w:rPr>
                <w:rFonts w:hint="eastAsia" w:ascii="Times New Roman" w:hAnsi="Times New Roman" w:eastAsia="宋体" w:cs="Times New Roman"/>
                <w:lang w:val="en-US" w:eastAsia="zh-CN"/>
              </w:rPr>
              <w:t>第三档：</w:t>
            </w:r>
            <w:r>
              <w:rPr>
                <w:rFonts w:hint="eastAsia"/>
              </w:rPr>
              <w:t>工程进度计划与措施</w:t>
            </w:r>
            <w:r>
              <w:rPr>
                <w:rFonts w:hint="eastAsia" w:ascii="Times New Roman" w:hAnsi="Times New Roman" w:eastAsia="宋体" w:cs="Times New Roman"/>
                <w:lang w:val="en-US" w:eastAsia="zh-CN"/>
              </w:rPr>
              <w:t>提供不健全的得0-1分。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top"/>
          </w:tcPr>
          <w:p>
            <w:pPr>
              <w:widowControl/>
              <w:spacing w:line="360" w:lineRule="auto"/>
              <w:jc w:val="left"/>
              <w:rPr>
                <w:kern w:val="0"/>
              </w:rPr>
            </w:pPr>
            <w:r>
              <w:rPr>
                <w:rFonts w:hint="eastAsia"/>
              </w:rPr>
              <w:t>8.资源配备计划（人员和设备等）</w:t>
            </w:r>
          </w:p>
        </w:tc>
        <w:tc>
          <w:tcPr>
            <w:tcW w:w="5294" w:type="dxa"/>
            <w:noWrap/>
            <w:vAlign w:val="top"/>
          </w:tcPr>
          <w:p>
            <w:pPr>
              <w:spacing w:line="320" w:lineRule="exact"/>
              <w:rPr>
                <w:rFonts w:hint="eastAsia"/>
                <w:lang w:val="en-US" w:eastAsia="zh-CN"/>
              </w:rPr>
            </w:pPr>
            <w:r>
              <w:rPr>
                <w:rFonts w:hint="eastAsia"/>
                <w:lang w:eastAsia="zh-CN"/>
              </w:rPr>
              <w:t>第一档：</w:t>
            </w:r>
            <w:r>
              <w:rPr>
                <w:rFonts w:hint="eastAsia"/>
              </w:rPr>
              <w:t>资源配备计划（人员和设备等）可实施性</w:t>
            </w:r>
            <w:r>
              <w:rPr>
                <w:rFonts w:hint="eastAsia"/>
                <w:lang w:eastAsia="zh-CN"/>
              </w:rPr>
              <w:t>强的得</w:t>
            </w:r>
            <w:r>
              <w:rPr>
                <w:rFonts w:hint="eastAsia"/>
                <w:lang w:val="en-US" w:eastAsia="zh-CN"/>
              </w:rPr>
              <w:t>3-5分。</w:t>
            </w:r>
          </w:p>
          <w:p>
            <w:pPr>
              <w:spacing w:line="320" w:lineRule="exac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w:t>
            </w:r>
            <w:r>
              <w:rPr>
                <w:rFonts w:hint="eastAsia" w:ascii="Times New Roman" w:hAnsi="Times New Roman" w:eastAsia="宋体" w:cs="Times New Roman"/>
                <w:lang w:val="en-US" w:eastAsia="zh-CN"/>
              </w:rPr>
              <w:t>二</w:t>
            </w:r>
            <w:r>
              <w:rPr>
                <w:rFonts w:hint="default" w:ascii="Times New Roman" w:hAnsi="Times New Roman" w:eastAsia="宋体" w:cs="Times New Roman"/>
                <w:lang w:val="en-US" w:eastAsia="zh-CN"/>
              </w:rPr>
              <w:t>档：</w:t>
            </w:r>
            <w:r>
              <w:rPr>
                <w:rFonts w:hint="eastAsia"/>
              </w:rPr>
              <w:t>资源配备计划（人员和设备等）</w:t>
            </w:r>
            <w:r>
              <w:rPr>
                <w:rFonts w:hint="eastAsia" w:ascii="Times New Roman" w:hAnsi="Times New Roman" w:eastAsia="宋体" w:cs="Times New Roman"/>
                <w:lang w:val="en-US" w:eastAsia="zh-CN"/>
              </w:rPr>
              <w:t>齐全、合理</w:t>
            </w:r>
            <w:r>
              <w:rPr>
                <w:rFonts w:hint="default" w:ascii="Times New Roman" w:hAnsi="Times New Roman" w:eastAsia="宋体" w:cs="Times New Roman"/>
                <w:lang w:val="en-US" w:eastAsia="zh-CN"/>
              </w:rPr>
              <w:t>的得</w:t>
            </w:r>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3</w:t>
            </w:r>
            <w:r>
              <w:rPr>
                <w:rFonts w:hint="default" w:ascii="Times New Roman" w:hAnsi="Times New Roman" w:eastAsia="宋体" w:cs="Times New Roman"/>
                <w:lang w:val="en-US" w:eastAsia="zh-CN"/>
              </w:rPr>
              <w:t>分。</w:t>
            </w:r>
          </w:p>
          <w:p>
            <w:pPr>
              <w:widowControl/>
              <w:spacing w:line="360" w:lineRule="auto"/>
              <w:jc w:val="left"/>
              <w:rPr>
                <w:kern w:val="0"/>
              </w:rPr>
            </w:pPr>
            <w:r>
              <w:rPr>
                <w:rFonts w:hint="eastAsia" w:ascii="Times New Roman" w:hAnsi="Times New Roman" w:eastAsia="宋体" w:cs="Times New Roman"/>
                <w:lang w:val="en-US" w:eastAsia="zh-CN"/>
              </w:rPr>
              <w:t>第三档：</w:t>
            </w:r>
            <w:r>
              <w:rPr>
                <w:rFonts w:hint="eastAsia"/>
              </w:rPr>
              <w:t>资源配备计划（人员和设备等）</w:t>
            </w:r>
            <w:r>
              <w:rPr>
                <w:rFonts w:hint="eastAsia" w:ascii="Times New Roman" w:hAnsi="Times New Roman" w:eastAsia="宋体" w:cs="Times New Roman"/>
                <w:lang w:val="en-US" w:eastAsia="zh-CN"/>
              </w:rPr>
              <w:t>提供不健全的得0-1分。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4"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top"/>
          </w:tcPr>
          <w:p>
            <w:pPr>
              <w:widowControl/>
              <w:spacing w:line="360" w:lineRule="auto"/>
              <w:jc w:val="left"/>
              <w:rPr>
                <w:kern w:val="0"/>
              </w:rPr>
            </w:pPr>
            <w:r>
              <w:rPr>
                <w:rFonts w:hint="eastAsia"/>
              </w:rPr>
              <w:t>9.新工艺、新技术、新设备、新材料的采用程度，其在确保质量、降低成本、缩短工期、减轻劳动强度、提高工效等方面的作用。</w:t>
            </w:r>
          </w:p>
        </w:tc>
        <w:tc>
          <w:tcPr>
            <w:tcW w:w="5294" w:type="dxa"/>
            <w:noWrap/>
            <w:vAlign w:val="top"/>
          </w:tcPr>
          <w:p>
            <w:pPr>
              <w:widowControl/>
              <w:spacing w:line="360" w:lineRule="auto"/>
              <w:jc w:val="left"/>
            </w:pPr>
          </w:p>
          <w:p>
            <w:pPr>
              <w:spacing w:line="320" w:lineRule="exact"/>
              <w:rPr>
                <w:rFonts w:hint="eastAsia"/>
                <w:lang w:val="en-US" w:eastAsia="zh-CN"/>
              </w:rPr>
            </w:pPr>
            <w:r>
              <w:rPr>
                <w:rFonts w:hint="eastAsia"/>
                <w:lang w:eastAsia="zh-CN"/>
              </w:rPr>
              <w:t>第一档：</w:t>
            </w:r>
            <w:r>
              <w:rPr>
                <w:rFonts w:hint="eastAsia"/>
              </w:rPr>
              <w:t>可实施性</w:t>
            </w:r>
            <w:r>
              <w:rPr>
                <w:rFonts w:hint="eastAsia"/>
                <w:lang w:eastAsia="zh-CN"/>
              </w:rPr>
              <w:t>强的得</w:t>
            </w:r>
            <w:r>
              <w:rPr>
                <w:rFonts w:hint="eastAsia"/>
                <w:lang w:val="en-US" w:eastAsia="zh-CN"/>
              </w:rPr>
              <w:t>3-5分。</w:t>
            </w:r>
          </w:p>
          <w:p>
            <w:pPr>
              <w:spacing w:line="320" w:lineRule="exac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w:t>
            </w:r>
            <w:r>
              <w:rPr>
                <w:rFonts w:hint="eastAsia" w:ascii="Times New Roman" w:hAnsi="Times New Roman" w:eastAsia="宋体" w:cs="Times New Roman"/>
                <w:lang w:val="en-US" w:eastAsia="zh-CN"/>
              </w:rPr>
              <w:t>二</w:t>
            </w:r>
            <w:r>
              <w:rPr>
                <w:rFonts w:hint="default" w:ascii="Times New Roman" w:hAnsi="Times New Roman" w:eastAsia="宋体" w:cs="Times New Roman"/>
                <w:lang w:val="en-US" w:eastAsia="zh-CN"/>
              </w:rPr>
              <w:t>档：</w:t>
            </w:r>
            <w:r>
              <w:rPr>
                <w:rFonts w:hint="eastAsia" w:ascii="Times New Roman" w:hAnsi="Times New Roman" w:eastAsia="宋体" w:cs="Times New Roman"/>
                <w:lang w:val="en-US" w:eastAsia="zh-CN"/>
              </w:rPr>
              <w:t>齐全、合理</w:t>
            </w:r>
            <w:r>
              <w:rPr>
                <w:rFonts w:hint="default" w:ascii="Times New Roman" w:hAnsi="Times New Roman" w:eastAsia="宋体" w:cs="Times New Roman"/>
                <w:lang w:val="en-US" w:eastAsia="zh-CN"/>
              </w:rPr>
              <w:t>的得</w:t>
            </w:r>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3</w:t>
            </w:r>
            <w:r>
              <w:rPr>
                <w:rFonts w:hint="default" w:ascii="Times New Roman" w:hAnsi="Times New Roman" w:eastAsia="宋体" w:cs="Times New Roman"/>
                <w:lang w:val="en-US" w:eastAsia="zh-CN"/>
              </w:rPr>
              <w:t>分。</w:t>
            </w:r>
          </w:p>
          <w:p>
            <w:pPr>
              <w:widowControl/>
              <w:spacing w:line="360" w:lineRule="auto"/>
              <w:jc w:val="left"/>
              <w:rPr>
                <w:kern w:val="0"/>
              </w:rPr>
            </w:pPr>
            <w:r>
              <w:rPr>
                <w:rFonts w:hint="eastAsia" w:ascii="Times New Roman" w:hAnsi="Times New Roman" w:eastAsia="宋体" w:cs="Times New Roman"/>
                <w:lang w:val="en-US" w:eastAsia="zh-CN"/>
              </w:rPr>
              <w:t>第三档：提供不健全的得0-1分。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top"/>
          </w:tcPr>
          <w:p>
            <w:pPr>
              <w:widowControl/>
              <w:spacing w:line="360" w:lineRule="auto"/>
              <w:jc w:val="left"/>
              <w:rPr>
                <w:kern w:val="0"/>
              </w:rPr>
            </w:pPr>
            <w:r>
              <w:rPr>
                <w:rFonts w:hint="eastAsia"/>
              </w:rPr>
              <w:t>10.施工总进度表及施工总平面图</w:t>
            </w:r>
          </w:p>
        </w:tc>
        <w:tc>
          <w:tcPr>
            <w:tcW w:w="5294" w:type="dxa"/>
            <w:noWrap/>
            <w:vAlign w:val="top"/>
          </w:tcPr>
          <w:p>
            <w:pPr>
              <w:spacing w:line="320" w:lineRule="exact"/>
              <w:rPr>
                <w:rFonts w:hint="eastAsia" w:ascii="宋体" w:hAnsi="宋体" w:cs="宋体"/>
                <w:szCs w:val="21"/>
                <w:lang w:val="en-US" w:eastAsia="zh-CN"/>
              </w:rPr>
            </w:pPr>
            <w:r>
              <w:rPr>
                <w:rFonts w:hint="eastAsia" w:ascii="宋体" w:hAnsi="宋体" w:cs="宋体"/>
                <w:szCs w:val="21"/>
                <w:lang w:eastAsia="zh-CN"/>
              </w:rPr>
              <w:t>第一档：</w:t>
            </w:r>
            <w:r>
              <w:rPr>
                <w:rFonts w:hint="eastAsia"/>
              </w:rPr>
              <w:t>施工总进度表及施工总平面图</w:t>
            </w:r>
            <w:r>
              <w:rPr>
                <w:rFonts w:hint="eastAsia" w:ascii="宋体" w:hAnsi="宋体" w:cs="宋体"/>
                <w:szCs w:val="21"/>
                <w:lang w:eastAsia="zh-CN"/>
              </w:rPr>
              <w:t>实施性强的得</w:t>
            </w:r>
            <w:r>
              <w:rPr>
                <w:rFonts w:hint="eastAsia" w:cs="宋体"/>
                <w:szCs w:val="21"/>
                <w:lang w:val="en-US" w:eastAsia="zh-CN"/>
              </w:rPr>
              <w:t>3</w:t>
            </w:r>
            <w:r>
              <w:rPr>
                <w:rFonts w:hint="eastAsia" w:ascii="宋体" w:hAnsi="宋体" w:cs="宋体"/>
                <w:szCs w:val="21"/>
                <w:lang w:val="en-US" w:eastAsia="zh-CN"/>
              </w:rPr>
              <w:t>-5分。</w:t>
            </w:r>
          </w:p>
          <w:p>
            <w:pPr>
              <w:spacing w:line="320" w:lineRule="exact"/>
              <w:rPr>
                <w:rFonts w:hint="eastAsia" w:ascii="宋体" w:hAnsi="宋体" w:cs="宋体"/>
                <w:szCs w:val="21"/>
                <w:lang w:val="en-US" w:eastAsia="zh-CN"/>
              </w:rPr>
            </w:pPr>
            <w:r>
              <w:rPr>
                <w:rFonts w:hint="eastAsia" w:ascii="宋体" w:hAnsi="宋体" w:cs="宋体"/>
                <w:szCs w:val="21"/>
                <w:lang w:val="en-US" w:eastAsia="zh-CN"/>
              </w:rPr>
              <w:t>第二档：</w:t>
            </w:r>
            <w:r>
              <w:rPr>
                <w:rFonts w:hint="eastAsia"/>
              </w:rPr>
              <w:t>施工总进度表及施工总平面图</w:t>
            </w:r>
            <w:r>
              <w:rPr>
                <w:rFonts w:hint="eastAsia" w:ascii="宋体" w:hAnsi="宋体" w:cs="宋体"/>
                <w:szCs w:val="21"/>
                <w:lang w:eastAsia="zh-CN"/>
              </w:rPr>
              <w:t>科学、合理的得</w:t>
            </w:r>
            <w:r>
              <w:rPr>
                <w:rFonts w:hint="eastAsia" w:cs="宋体"/>
                <w:szCs w:val="21"/>
                <w:lang w:val="en-US" w:eastAsia="zh-CN"/>
              </w:rPr>
              <w:t>1</w:t>
            </w:r>
            <w:r>
              <w:rPr>
                <w:rFonts w:hint="eastAsia" w:ascii="宋体" w:hAnsi="宋体" w:cs="宋体"/>
                <w:szCs w:val="21"/>
                <w:lang w:val="en-US" w:eastAsia="zh-CN"/>
              </w:rPr>
              <w:t>-3分。</w:t>
            </w:r>
          </w:p>
          <w:p>
            <w:pPr>
              <w:widowControl/>
              <w:spacing w:line="360" w:lineRule="auto"/>
              <w:jc w:val="left"/>
              <w:rPr>
                <w:kern w:val="0"/>
              </w:rPr>
            </w:pPr>
            <w:r>
              <w:rPr>
                <w:rFonts w:hint="eastAsia" w:ascii="宋体" w:hAnsi="宋体" w:cs="宋体"/>
                <w:szCs w:val="21"/>
                <w:lang w:eastAsia="zh-CN"/>
              </w:rPr>
              <w:t>第三档：</w:t>
            </w:r>
            <w:r>
              <w:rPr>
                <w:rFonts w:hint="eastAsia"/>
              </w:rPr>
              <w:t>施工总进度表及施工总平面图</w:t>
            </w:r>
            <w:r>
              <w:rPr>
                <w:rFonts w:hint="eastAsia" w:ascii="宋体" w:hAnsi="宋体" w:cs="宋体"/>
                <w:szCs w:val="21"/>
                <w:lang w:eastAsia="zh-CN"/>
              </w:rPr>
              <w:t>提供不健全的得</w:t>
            </w:r>
            <w:r>
              <w:rPr>
                <w:rFonts w:hint="eastAsia" w:ascii="宋体" w:hAnsi="宋体" w:cs="宋体"/>
                <w:szCs w:val="21"/>
                <w:lang w:val="en-US" w:eastAsia="zh-CN"/>
              </w:rPr>
              <w:t>0-</w:t>
            </w:r>
            <w:r>
              <w:rPr>
                <w:rFonts w:hint="eastAsia" w:cs="宋体"/>
                <w:szCs w:val="21"/>
                <w:lang w:val="en-US" w:eastAsia="zh-CN"/>
              </w:rPr>
              <w:t>1</w:t>
            </w:r>
            <w:r>
              <w:rPr>
                <w:rFonts w:hint="eastAsia" w:ascii="宋体" w:hAnsi="宋体" w:cs="宋体"/>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7506" w:type="dxa"/>
            <w:gridSpan w:val="2"/>
            <w:noWrap/>
            <w:vAlign w:val="center"/>
          </w:tcPr>
          <w:p>
            <w:pPr>
              <w:wordWrap/>
              <w:topLinePunct w:val="0"/>
              <w:adjustRightInd w:val="0"/>
              <w:snapToGrid w:val="0"/>
              <w:spacing w:line="360" w:lineRule="auto"/>
              <w:jc w:val="left"/>
              <w:rPr>
                <w:kern w:val="0"/>
              </w:rPr>
            </w:pPr>
            <w:r>
              <w:rPr>
                <w:rFonts w:hint="eastAsia"/>
                <w:b/>
                <w:spacing w:val="1"/>
              </w:rPr>
              <w:t>以上1-10项若有缺项的，该项为0分；不缺项的，不低于最低分。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015" w:type="dxa"/>
            <w:vMerge w:val="restart"/>
            <w:noWrap/>
            <w:vAlign w:val="center"/>
          </w:tcPr>
          <w:p>
            <w:pPr>
              <w:widowControl/>
              <w:spacing w:line="360" w:lineRule="auto"/>
              <w:jc w:val="center"/>
              <w:rPr>
                <w:kern w:val="0"/>
              </w:rPr>
            </w:pPr>
            <w:r>
              <w:rPr>
                <w:rFonts w:hint="eastAsia"/>
                <w:kern w:val="0"/>
              </w:rPr>
              <w:t>2.2.2（3）</w:t>
            </w:r>
          </w:p>
        </w:tc>
        <w:tc>
          <w:tcPr>
            <w:tcW w:w="879" w:type="dxa"/>
            <w:vMerge w:val="restart"/>
            <w:noWrap/>
            <w:vAlign w:val="center"/>
          </w:tcPr>
          <w:p>
            <w:pPr>
              <w:wordWrap/>
              <w:topLinePunct w:val="0"/>
              <w:spacing w:line="360" w:lineRule="auto"/>
              <w:jc w:val="center"/>
              <w:rPr>
                <w:b/>
              </w:rPr>
            </w:pPr>
            <w:r>
              <w:rPr>
                <w:rFonts w:hint="eastAsia"/>
                <w:b/>
                <w:bCs/>
              </w:rPr>
              <w:t>综合实力（20分</w:t>
            </w:r>
            <w:r>
              <w:rPr>
                <w:rFonts w:hint="eastAsia"/>
                <w:b/>
              </w:rPr>
              <w:t>）</w:t>
            </w:r>
          </w:p>
          <w:p>
            <w:pPr>
              <w:widowControl/>
              <w:spacing w:line="360" w:lineRule="auto"/>
              <w:jc w:val="center"/>
              <w:rPr>
                <w:b/>
              </w:rPr>
            </w:pPr>
          </w:p>
        </w:tc>
        <w:tc>
          <w:tcPr>
            <w:tcW w:w="2212" w:type="dxa"/>
            <w:noWrap/>
            <w:vAlign w:val="center"/>
          </w:tcPr>
          <w:p>
            <w:pPr>
              <w:spacing w:line="276" w:lineRule="auto"/>
              <w:jc w:val="center"/>
            </w:pPr>
            <w:r>
              <w:rPr>
                <w:rFonts w:hint="eastAsia"/>
              </w:rPr>
              <w:t>投标人施工技术力量及项目管理机构（2分）</w:t>
            </w:r>
          </w:p>
        </w:tc>
        <w:tc>
          <w:tcPr>
            <w:tcW w:w="5294" w:type="dxa"/>
            <w:noWrap/>
            <w:vAlign w:val="center"/>
          </w:tcPr>
          <w:p>
            <w:pPr>
              <w:spacing w:line="276" w:lineRule="auto"/>
              <w:jc w:val="left"/>
            </w:pPr>
            <w:r>
              <w:rPr>
                <w:rFonts w:hint="eastAsia"/>
              </w:rPr>
              <w:t>对项目配备人员进行综合评审，具备施工员、质量员、资料员、材料员的得2 分，本项共2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vMerge w:val="restart"/>
            <w:noWrap/>
            <w:vAlign w:val="center"/>
          </w:tcPr>
          <w:p>
            <w:pPr>
              <w:spacing w:line="276" w:lineRule="auto"/>
              <w:jc w:val="center"/>
            </w:pPr>
            <w:r>
              <w:rPr>
                <w:rFonts w:hint="eastAsia"/>
              </w:rPr>
              <w:t>服务承诺（</w:t>
            </w:r>
            <w:r>
              <w:rPr>
                <w:rFonts w:hint="eastAsia"/>
                <w:lang w:val="en-US" w:eastAsia="zh-CN"/>
              </w:rPr>
              <w:t>12</w:t>
            </w:r>
            <w:r>
              <w:rPr>
                <w:rFonts w:hint="eastAsia"/>
              </w:rPr>
              <w:t>分）</w:t>
            </w:r>
          </w:p>
        </w:tc>
        <w:tc>
          <w:tcPr>
            <w:tcW w:w="5294" w:type="dxa"/>
            <w:noWrap/>
            <w:vAlign w:val="center"/>
          </w:tcPr>
          <w:p>
            <w:pPr>
              <w:spacing w:line="276" w:lineRule="auto"/>
              <w:jc w:val="left"/>
              <w:rPr>
                <w:shd w:val="clear" w:color="auto" w:fill="FFFFFF"/>
              </w:rPr>
            </w:pPr>
            <w:r>
              <w:rPr>
                <w:rFonts w:hint="eastAsia"/>
              </w:rPr>
              <w:t>工程质量保修期内、外的优惠及服务承诺（0-</w:t>
            </w:r>
            <w:r>
              <w:rPr>
                <w:rFonts w:hint="eastAsia"/>
                <w:lang w:val="en-US" w:eastAsia="zh-CN"/>
              </w:rP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vMerge w:val="continue"/>
            <w:noWrap/>
            <w:vAlign w:val="center"/>
          </w:tcPr>
          <w:p>
            <w:pPr>
              <w:spacing w:line="276" w:lineRule="auto"/>
              <w:jc w:val="center"/>
            </w:pPr>
          </w:p>
        </w:tc>
        <w:tc>
          <w:tcPr>
            <w:tcW w:w="5294" w:type="dxa"/>
            <w:noWrap/>
            <w:vAlign w:val="center"/>
          </w:tcPr>
          <w:p>
            <w:pPr>
              <w:spacing w:line="276" w:lineRule="auto"/>
              <w:jc w:val="left"/>
            </w:pPr>
            <w:r>
              <w:rPr>
                <w:rFonts w:hint="eastAsia"/>
              </w:rPr>
              <w:t>不拖欠农民工工资的有关承诺及措施（0-</w:t>
            </w:r>
            <w:r>
              <w:rPr>
                <w:rFonts w:hint="eastAsia"/>
                <w:lang w:val="en-US" w:eastAsia="zh-CN"/>
              </w:rPr>
              <w:t>4</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vMerge w:val="continue"/>
            <w:noWrap/>
            <w:vAlign w:val="center"/>
          </w:tcPr>
          <w:p>
            <w:pPr>
              <w:spacing w:line="276" w:lineRule="auto"/>
              <w:jc w:val="center"/>
            </w:pPr>
          </w:p>
        </w:tc>
        <w:tc>
          <w:tcPr>
            <w:tcW w:w="5294" w:type="dxa"/>
            <w:noWrap/>
            <w:vAlign w:val="center"/>
          </w:tcPr>
          <w:p>
            <w:pPr>
              <w:spacing w:line="276" w:lineRule="auto"/>
              <w:jc w:val="left"/>
            </w:pPr>
            <w:r>
              <w:rPr>
                <w:rFonts w:hint="eastAsia"/>
              </w:rPr>
              <w:t>其他优惠服务承诺（0-</w:t>
            </w:r>
            <w:r>
              <w:rPr>
                <w:rFonts w:hint="eastAsia"/>
                <w:lang w:val="en-US" w:eastAsia="zh-CN"/>
              </w:rPr>
              <w:t>3</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360" w:lineRule="auto"/>
              <w:jc w:val="left"/>
              <w:rPr>
                <w:bCs/>
                <w:kern w:val="0"/>
              </w:rPr>
            </w:pPr>
            <w:r>
              <w:rPr>
                <w:rFonts w:hint="eastAsia"/>
                <w:bCs/>
                <w:kern w:val="0"/>
              </w:rPr>
              <w:t>节能清单产品</w:t>
            </w:r>
            <w:r>
              <w:rPr>
                <w:rFonts w:hint="eastAsia"/>
              </w:rPr>
              <w:t>（0.5分）</w:t>
            </w:r>
          </w:p>
          <w:p>
            <w:pPr>
              <w:widowControl/>
              <w:spacing w:line="360" w:lineRule="auto"/>
              <w:jc w:val="center"/>
              <w:rPr>
                <w:bCs/>
                <w:kern w:val="0"/>
              </w:rPr>
            </w:pPr>
          </w:p>
        </w:tc>
        <w:tc>
          <w:tcPr>
            <w:tcW w:w="5294" w:type="dxa"/>
            <w:noWrap/>
            <w:vAlign w:val="center"/>
          </w:tcPr>
          <w:p>
            <w:pPr>
              <w:widowControl/>
              <w:wordWrap/>
              <w:topLinePunct w:val="0"/>
              <w:spacing w:line="276" w:lineRule="auto"/>
              <w:ind w:firstLine="420" w:firstLineChars="200"/>
              <w:jc w:val="left"/>
              <w:rPr>
                <w:kern w:val="0"/>
              </w:rPr>
            </w:pPr>
            <w:r>
              <w:rPr>
                <w:rFonts w:hint="eastAsia"/>
                <w:kern w:val="0"/>
              </w:rPr>
              <w:t>所投建筑材料如为“节能产品政府采购清单”内的非强制节能产品的，每有一项加0.5分，最多加0.5分。</w:t>
            </w:r>
          </w:p>
          <w:p>
            <w:pPr>
              <w:widowControl/>
              <w:wordWrap/>
              <w:topLinePunct w:val="0"/>
              <w:spacing w:line="276" w:lineRule="auto"/>
              <w:ind w:firstLine="420" w:firstLineChars="200"/>
              <w:jc w:val="left"/>
              <w:rPr>
                <w:kern w:val="0"/>
              </w:rPr>
            </w:pPr>
            <w:r>
              <w:rPr>
                <w:rFonts w:hint="eastAsia"/>
                <w:kern w:val="0"/>
              </w:rPr>
              <w:t>响应人须在响应文件中附该产品在国家有关部门公布的最新一期节能清单中所在页的复印件</w:t>
            </w:r>
            <w:r>
              <w:rPr>
                <w:rFonts w:hint="eastAsia"/>
                <w:b/>
                <w:bCs/>
                <w:kern w:val="0"/>
              </w:rPr>
              <w:t>（若政府采购活动开始后，尚未进入评审环节前，相关部门重新发布新一期《节能产品政府采购清单》的，可同时执行上期和最新一期节能清单）</w:t>
            </w:r>
            <w:r>
              <w:rPr>
                <w:rFonts w:hint="eastAsia"/>
                <w:kern w:val="0"/>
              </w:rPr>
              <w:t>，及</w:t>
            </w:r>
            <w:r>
              <w:rPr>
                <w:rFonts w:hint="eastAsia"/>
              </w:rPr>
              <w:t>在有效期内的《国家节能产品认证证书》</w:t>
            </w:r>
            <w:r>
              <w:rPr>
                <w:rFonts w:hint="eastAsia"/>
                <w:kern w:val="0"/>
              </w:rPr>
              <w:t>复印件，否则磋商小组有权不予认可。清单可在中华人民共和国财政部网站（http://www.mof.gov.cn）、中国政府采购网（http://www.ccgp.gov.cn/）查阅。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spacing w:line="276" w:lineRule="auto"/>
              <w:jc w:val="left"/>
              <w:rPr>
                <w:bCs/>
                <w:kern w:val="0"/>
              </w:rPr>
            </w:pPr>
            <w:r>
              <w:rPr>
                <w:rFonts w:hint="eastAsia"/>
                <w:bCs/>
                <w:kern w:val="0"/>
              </w:rPr>
              <w:t>环保清单产品</w:t>
            </w:r>
            <w:r>
              <w:rPr>
                <w:rFonts w:hint="eastAsia"/>
              </w:rPr>
              <w:t>（0.5分）</w:t>
            </w:r>
          </w:p>
          <w:p>
            <w:pPr>
              <w:widowControl/>
              <w:spacing w:line="276" w:lineRule="auto"/>
              <w:jc w:val="center"/>
              <w:rPr>
                <w:bCs/>
                <w:kern w:val="0"/>
              </w:rPr>
            </w:pPr>
          </w:p>
        </w:tc>
        <w:tc>
          <w:tcPr>
            <w:tcW w:w="5294" w:type="dxa"/>
            <w:noWrap/>
            <w:vAlign w:val="center"/>
          </w:tcPr>
          <w:p>
            <w:pPr>
              <w:widowControl/>
              <w:wordWrap/>
              <w:topLinePunct w:val="0"/>
              <w:spacing w:line="276" w:lineRule="auto"/>
              <w:ind w:firstLine="420" w:firstLineChars="200"/>
              <w:jc w:val="left"/>
            </w:pPr>
            <w:r>
              <w:rPr>
                <w:rFonts w:hint="eastAsia"/>
              </w:rPr>
              <w:t>所投建筑材料如为“环境标志产品政府采购清单”内的产品的，每有一项加0.5分，最多加0.5分。</w:t>
            </w:r>
          </w:p>
          <w:p>
            <w:pPr>
              <w:widowControl/>
              <w:wordWrap/>
              <w:topLinePunct w:val="0"/>
              <w:spacing w:line="276" w:lineRule="auto"/>
              <w:ind w:firstLine="420" w:firstLineChars="200"/>
              <w:jc w:val="left"/>
            </w:pPr>
            <w:r>
              <w:rPr>
                <w:rFonts w:hint="eastAsia"/>
              </w:rPr>
              <w:t>响应人须在响应文件中附该产品在国家有关部门公布的最新一期环保清单中所在页的复印件（若政府采购活动开始后，尚未进入评审环节前，相关部门重新发布新一期《环境标志产品政府采购清单》的，可同时执行上期和最新一期环保清单），及在有效期内的《中国环境标志产品认证证书》复印件，否则评委委员会有权不予认可。清单可在中华人民共和国财政部网站（http://www.mof.gov.cn）、中国政府采购网（http://www.ccgp.gov.cn/）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pPr>
              <w:widowControl/>
              <w:spacing w:line="360" w:lineRule="auto"/>
              <w:jc w:val="center"/>
              <w:rPr>
                <w:kern w:val="0"/>
              </w:rPr>
            </w:pPr>
          </w:p>
        </w:tc>
        <w:tc>
          <w:tcPr>
            <w:tcW w:w="879" w:type="dxa"/>
            <w:vMerge w:val="continue"/>
            <w:noWrap/>
            <w:vAlign w:val="center"/>
          </w:tcPr>
          <w:p>
            <w:pPr>
              <w:widowControl/>
              <w:spacing w:line="360" w:lineRule="auto"/>
              <w:jc w:val="center"/>
              <w:rPr>
                <w:kern w:val="0"/>
              </w:rPr>
            </w:pPr>
          </w:p>
        </w:tc>
        <w:tc>
          <w:tcPr>
            <w:tcW w:w="2212" w:type="dxa"/>
            <w:noWrap/>
            <w:vAlign w:val="center"/>
          </w:tcPr>
          <w:p>
            <w:pPr>
              <w:widowControl/>
              <w:wordWrap/>
              <w:topLinePunct w:val="0"/>
              <w:spacing w:line="276" w:lineRule="auto"/>
              <w:jc w:val="left"/>
              <w:rPr>
                <w:rFonts w:hint="eastAsia"/>
              </w:rPr>
            </w:pPr>
            <w:r>
              <w:rPr>
                <w:rFonts w:hint="eastAsia"/>
              </w:rPr>
              <w:t>响应文件编制（5分）</w:t>
            </w:r>
          </w:p>
        </w:tc>
        <w:tc>
          <w:tcPr>
            <w:tcW w:w="5294" w:type="dxa"/>
            <w:noWrap/>
            <w:vAlign w:val="center"/>
          </w:tcPr>
          <w:p>
            <w:pPr>
              <w:widowControl/>
              <w:wordWrap/>
              <w:topLinePunct w:val="0"/>
              <w:spacing w:line="276" w:lineRule="auto"/>
              <w:ind w:firstLine="420" w:firstLineChars="200"/>
              <w:jc w:val="left"/>
              <w:rPr>
                <w:rFonts w:hint="eastAsia"/>
              </w:rPr>
            </w:pPr>
            <w:r>
              <w:rPr>
                <w:rFonts w:hint="eastAsia"/>
              </w:rPr>
              <w:t xml:space="preserve">根据响应文件编制的完整性、条理性和逻辑性在 </w:t>
            </w:r>
            <w:r>
              <w:rPr>
                <w:rFonts w:hint="eastAsia"/>
                <w:lang w:val="en-US" w:eastAsia="zh-CN"/>
              </w:rPr>
              <w:t>0</w:t>
            </w:r>
            <w:r>
              <w:rPr>
                <w:rFonts w:hint="eastAsia"/>
              </w:rPr>
              <w:t>-5 分范围内酌情进行打分。</w:t>
            </w:r>
          </w:p>
        </w:tc>
      </w:tr>
    </w:tbl>
    <w:p>
      <w:pPr>
        <w:pStyle w:val="3"/>
        <w:numPr>
          <w:ilvl w:val="0"/>
          <w:numId w:val="12"/>
        </w:numPr>
        <w:tabs>
          <w:tab w:val="left" w:pos="360"/>
        </w:tabs>
        <w:spacing w:line="360" w:lineRule="auto"/>
        <w:jc w:val="both"/>
        <w:outlineLvl w:val="1"/>
        <w:rPr>
          <w:rFonts w:hAnsi="宋体" w:cs="黑体"/>
          <w:b/>
          <w:color w:val="auto"/>
        </w:rPr>
      </w:pPr>
      <w:r>
        <w:rPr>
          <w:rFonts w:hint="eastAsia" w:hAnsi="宋体" w:cs="黑体"/>
          <w:b/>
          <w:color w:val="auto"/>
        </w:rPr>
        <w:t>评审办法</w:t>
      </w:r>
    </w:p>
    <w:p>
      <w:pPr>
        <w:wordWrap/>
        <w:topLinePunct w:val="0"/>
        <w:autoSpaceDE w:val="0"/>
        <w:autoSpaceDN w:val="0"/>
        <w:adjustRightInd w:val="0"/>
        <w:spacing w:line="360" w:lineRule="auto"/>
        <w:ind w:right="-23" w:firstLine="420" w:firstLineChars="200"/>
        <w:jc w:val="left"/>
        <w:rPr>
          <w:kern w:val="0"/>
        </w:rPr>
      </w:pPr>
      <w:r>
        <w:rPr>
          <w:rFonts w:hint="eastAsia"/>
          <w:kern w:val="0"/>
        </w:rPr>
        <w:t>本次竞争性磋商采用综合评分法评审，磋商小组对满</w:t>
      </w:r>
      <w:r>
        <w:rPr>
          <w:rFonts w:hint="eastAsia"/>
          <w:spacing w:val="-2"/>
          <w:kern w:val="0"/>
        </w:rPr>
        <w:t>足</w:t>
      </w:r>
      <w:r>
        <w:rPr>
          <w:rFonts w:hint="eastAsia"/>
          <w:kern w:val="0"/>
        </w:rPr>
        <w:t>竞争性磋商文件实质性要求且最终确定采购需求和在规定时间提交最后报价的</w:t>
      </w:r>
      <w:r>
        <w:rPr>
          <w:rFonts w:hint="eastAsia"/>
          <w:spacing w:val="-2"/>
          <w:kern w:val="0"/>
        </w:rPr>
        <w:t>响应文</w:t>
      </w:r>
      <w:r>
        <w:rPr>
          <w:rFonts w:hint="eastAsia"/>
          <w:kern w:val="0"/>
        </w:rPr>
        <w:t>件，且按照评审因素的量化指标评审得分最高的响应人为成交候选人的评审方法。</w:t>
      </w:r>
    </w:p>
    <w:p>
      <w:pPr>
        <w:pStyle w:val="3"/>
        <w:numPr>
          <w:ilvl w:val="0"/>
          <w:numId w:val="12"/>
        </w:numPr>
        <w:tabs>
          <w:tab w:val="left" w:pos="360"/>
        </w:tabs>
        <w:spacing w:line="360" w:lineRule="auto"/>
        <w:outlineLvl w:val="1"/>
        <w:rPr>
          <w:rFonts w:hAnsi="宋体" w:cs="黑体"/>
          <w:b/>
          <w:color w:val="auto"/>
        </w:rPr>
      </w:pPr>
      <w:bookmarkStart w:id="518" w:name="_Toc5920"/>
      <w:bookmarkStart w:id="519" w:name="_Toc30895"/>
      <w:bookmarkStart w:id="520" w:name="_Toc30234"/>
      <w:bookmarkStart w:id="521" w:name="_Toc3406"/>
      <w:bookmarkStart w:id="522" w:name="_Toc9376"/>
      <w:bookmarkStart w:id="523" w:name="_Toc13454"/>
      <w:bookmarkStart w:id="524" w:name="_Toc26533"/>
      <w:bookmarkStart w:id="525" w:name="_Toc4003"/>
      <w:bookmarkStart w:id="526" w:name="_Toc6135"/>
      <w:bookmarkStart w:id="527" w:name="_Toc17219"/>
      <w:r>
        <w:rPr>
          <w:rFonts w:hint="eastAsia" w:hAnsi="宋体" w:cs="黑体"/>
          <w:b/>
          <w:color w:val="auto"/>
        </w:rPr>
        <w:t>评审标准</w:t>
      </w:r>
      <w:bookmarkEnd w:id="518"/>
      <w:bookmarkEnd w:id="519"/>
      <w:bookmarkEnd w:id="520"/>
      <w:bookmarkEnd w:id="521"/>
      <w:bookmarkEnd w:id="522"/>
      <w:bookmarkEnd w:id="523"/>
      <w:bookmarkEnd w:id="524"/>
      <w:bookmarkEnd w:id="525"/>
      <w:bookmarkEnd w:id="526"/>
      <w:bookmarkEnd w:id="527"/>
    </w:p>
    <w:p>
      <w:pPr>
        <w:pStyle w:val="5"/>
        <w:numPr>
          <w:ilvl w:val="1"/>
          <w:numId w:val="13"/>
        </w:numPr>
        <w:rPr>
          <w:sz w:val="21"/>
        </w:rPr>
      </w:pPr>
      <w:bookmarkStart w:id="528" w:name="_Toc11754"/>
      <w:bookmarkStart w:id="529" w:name="_Toc25181"/>
      <w:bookmarkStart w:id="530" w:name="_Toc28336"/>
      <w:bookmarkStart w:id="531" w:name="_Toc31651"/>
      <w:bookmarkStart w:id="532" w:name="_Toc29139"/>
      <w:bookmarkStart w:id="533" w:name="_Toc27094"/>
      <w:bookmarkStart w:id="534" w:name="_Toc17735"/>
      <w:bookmarkStart w:id="535" w:name="_Toc7259"/>
      <w:bookmarkStart w:id="536" w:name="_Toc6724"/>
      <w:bookmarkStart w:id="537" w:name="_Toc5467"/>
      <w:bookmarkStart w:id="538" w:name="_Toc10856"/>
      <w:r>
        <w:rPr>
          <w:rFonts w:hint="eastAsia"/>
          <w:sz w:val="21"/>
        </w:rPr>
        <w:t>初步评审标准</w:t>
      </w:r>
      <w:bookmarkEnd w:id="528"/>
      <w:bookmarkEnd w:id="529"/>
    </w:p>
    <w:p>
      <w:pPr>
        <w:numPr>
          <w:ilvl w:val="2"/>
          <w:numId w:val="14"/>
        </w:numPr>
        <w:spacing w:line="360" w:lineRule="auto"/>
        <w:jc w:val="left"/>
      </w:pPr>
      <w:r>
        <w:rPr>
          <w:rFonts w:hint="eastAsia"/>
        </w:rPr>
        <w:t>形式评审标准：见评审办法前附表。</w:t>
      </w:r>
    </w:p>
    <w:p>
      <w:pPr>
        <w:numPr>
          <w:ilvl w:val="2"/>
          <w:numId w:val="14"/>
        </w:numPr>
        <w:spacing w:line="360" w:lineRule="auto"/>
        <w:jc w:val="left"/>
      </w:pPr>
      <w:r>
        <w:rPr>
          <w:rFonts w:hint="eastAsia"/>
        </w:rPr>
        <w:t>资格评审标准：见评审办法前附表。</w:t>
      </w:r>
    </w:p>
    <w:p>
      <w:pPr>
        <w:numPr>
          <w:ilvl w:val="2"/>
          <w:numId w:val="14"/>
        </w:numPr>
        <w:spacing w:line="360" w:lineRule="auto"/>
        <w:jc w:val="left"/>
      </w:pPr>
      <w:r>
        <w:rPr>
          <w:rFonts w:hint="eastAsia"/>
        </w:rPr>
        <w:t>响应性评审标准：见评审办法前附表。</w:t>
      </w:r>
    </w:p>
    <w:p>
      <w:pPr>
        <w:pStyle w:val="5"/>
        <w:numPr>
          <w:ilvl w:val="1"/>
          <w:numId w:val="13"/>
        </w:numPr>
        <w:rPr>
          <w:sz w:val="21"/>
        </w:rPr>
      </w:pPr>
      <w:bookmarkStart w:id="539" w:name="_Toc8909"/>
      <w:bookmarkStart w:id="540" w:name="_Toc3639"/>
      <w:r>
        <w:rPr>
          <w:rFonts w:hint="eastAsia"/>
          <w:sz w:val="21"/>
        </w:rPr>
        <w:t>分值构成与评分标准</w:t>
      </w:r>
      <w:bookmarkEnd w:id="530"/>
      <w:bookmarkEnd w:id="531"/>
      <w:bookmarkEnd w:id="532"/>
      <w:bookmarkEnd w:id="533"/>
      <w:bookmarkEnd w:id="534"/>
      <w:bookmarkEnd w:id="535"/>
      <w:bookmarkEnd w:id="536"/>
      <w:bookmarkEnd w:id="537"/>
      <w:bookmarkEnd w:id="538"/>
      <w:bookmarkEnd w:id="539"/>
      <w:bookmarkEnd w:id="540"/>
    </w:p>
    <w:p>
      <w:pPr>
        <w:numPr>
          <w:ilvl w:val="2"/>
          <w:numId w:val="15"/>
        </w:numPr>
        <w:autoSpaceDE w:val="0"/>
        <w:autoSpaceDN w:val="0"/>
        <w:adjustRightInd w:val="0"/>
        <w:spacing w:line="360" w:lineRule="auto"/>
        <w:ind w:right="-23"/>
        <w:jc w:val="left"/>
        <w:rPr>
          <w:kern w:val="0"/>
        </w:rPr>
      </w:pPr>
      <w:r>
        <w:rPr>
          <w:rFonts w:hint="eastAsia"/>
          <w:kern w:val="0"/>
        </w:rPr>
        <w:t>分值构成</w:t>
      </w:r>
    </w:p>
    <w:p>
      <w:pPr>
        <w:numPr>
          <w:ilvl w:val="0"/>
          <w:numId w:val="16"/>
        </w:numPr>
        <w:wordWrap/>
        <w:topLinePunct w:val="0"/>
        <w:autoSpaceDE w:val="0"/>
        <w:autoSpaceDN w:val="0"/>
        <w:adjustRightInd w:val="0"/>
        <w:spacing w:line="360" w:lineRule="auto"/>
        <w:ind w:left="0" w:right="40" w:firstLine="420" w:firstLineChars="200"/>
        <w:jc w:val="left"/>
        <w:rPr>
          <w:kern w:val="0"/>
        </w:rPr>
      </w:pPr>
      <w:r>
        <w:rPr>
          <w:rFonts w:hint="eastAsia"/>
          <w:kern w:val="0"/>
        </w:rPr>
        <w:t>报价得分：见评审办法前附表；</w:t>
      </w:r>
    </w:p>
    <w:p>
      <w:pPr>
        <w:numPr>
          <w:ilvl w:val="0"/>
          <w:numId w:val="16"/>
        </w:numPr>
        <w:wordWrap/>
        <w:topLinePunct w:val="0"/>
        <w:autoSpaceDE w:val="0"/>
        <w:autoSpaceDN w:val="0"/>
        <w:adjustRightInd w:val="0"/>
        <w:spacing w:line="360" w:lineRule="auto"/>
        <w:ind w:left="0" w:right="40" w:firstLine="420" w:firstLineChars="200"/>
        <w:jc w:val="left"/>
        <w:rPr>
          <w:kern w:val="0"/>
        </w:rPr>
      </w:pPr>
      <w:r>
        <w:rPr>
          <w:rFonts w:hint="eastAsia"/>
          <w:kern w:val="0"/>
        </w:rPr>
        <w:t>技术部分：见评审办法前附表；</w:t>
      </w:r>
    </w:p>
    <w:p>
      <w:pPr>
        <w:numPr>
          <w:ilvl w:val="0"/>
          <w:numId w:val="16"/>
        </w:numPr>
        <w:wordWrap/>
        <w:topLinePunct w:val="0"/>
        <w:autoSpaceDE w:val="0"/>
        <w:autoSpaceDN w:val="0"/>
        <w:adjustRightInd w:val="0"/>
        <w:spacing w:line="360" w:lineRule="auto"/>
        <w:ind w:left="0" w:right="40" w:firstLine="420" w:firstLineChars="200"/>
        <w:jc w:val="left"/>
        <w:rPr>
          <w:kern w:val="0"/>
        </w:rPr>
      </w:pPr>
      <w:r>
        <w:rPr>
          <w:rFonts w:hint="eastAsia"/>
          <w:kern w:val="0"/>
        </w:rPr>
        <w:t>综合实力部分：见评审办法前附表；</w:t>
      </w:r>
    </w:p>
    <w:p>
      <w:pPr>
        <w:numPr>
          <w:ilvl w:val="2"/>
          <w:numId w:val="15"/>
        </w:numPr>
        <w:autoSpaceDE w:val="0"/>
        <w:autoSpaceDN w:val="0"/>
        <w:adjustRightInd w:val="0"/>
        <w:spacing w:line="360" w:lineRule="auto"/>
        <w:ind w:right="-23"/>
        <w:jc w:val="left"/>
        <w:rPr>
          <w:kern w:val="0"/>
        </w:rPr>
      </w:pPr>
      <w:r>
        <w:rPr>
          <w:rFonts w:hint="eastAsia"/>
          <w:kern w:val="0"/>
        </w:rPr>
        <w:t>评分标准</w:t>
      </w:r>
    </w:p>
    <w:p>
      <w:pPr>
        <w:numPr>
          <w:ilvl w:val="0"/>
          <w:numId w:val="17"/>
        </w:numPr>
        <w:wordWrap/>
        <w:topLinePunct w:val="0"/>
        <w:autoSpaceDE w:val="0"/>
        <w:autoSpaceDN w:val="0"/>
        <w:adjustRightInd w:val="0"/>
        <w:spacing w:line="360" w:lineRule="auto"/>
        <w:ind w:left="0" w:right="40" w:firstLine="420" w:firstLineChars="200"/>
        <w:jc w:val="left"/>
        <w:rPr>
          <w:kern w:val="0"/>
        </w:rPr>
      </w:pPr>
      <w:r>
        <w:rPr>
          <w:rFonts w:hint="eastAsia"/>
          <w:kern w:val="0"/>
        </w:rPr>
        <w:t>报价得分标准：见评审办法前附表；</w:t>
      </w:r>
    </w:p>
    <w:p>
      <w:pPr>
        <w:numPr>
          <w:ilvl w:val="0"/>
          <w:numId w:val="17"/>
        </w:numPr>
        <w:wordWrap/>
        <w:topLinePunct w:val="0"/>
        <w:autoSpaceDE w:val="0"/>
        <w:autoSpaceDN w:val="0"/>
        <w:adjustRightInd w:val="0"/>
        <w:spacing w:line="360" w:lineRule="auto"/>
        <w:ind w:left="0" w:right="40" w:firstLine="420" w:firstLineChars="200"/>
        <w:jc w:val="left"/>
        <w:rPr>
          <w:kern w:val="0"/>
        </w:rPr>
      </w:pPr>
      <w:r>
        <w:rPr>
          <w:rFonts w:hint="eastAsia"/>
          <w:kern w:val="0"/>
        </w:rPr>
        <w:t>技术部分标准：见评审办法前附表；</w:t>
      </w:r>
    </w:p>
    <w:p>
      <w:pPr>
        <w:numPr>
          <w:ilvl w:val="0"/>
          <w:numId w:val="17"/>
        </w:numPr>
        <w:wordWrap/>
        <w:topLinePunct w:val="0"/>
        <w:autoSpaceDE w:val="0"/>
        <w:autoSpaceDN w:val="0"/>
        <w:adjustRightInd w:val="0"/>
        <w:spacing w:line="360" w:lineRule="auto"/>
        <w:ind w:left="0" w:right="40" w:firstLine="420" w:firstLineChars="200"/>
        <w:jc w:val="left"/>
        <w:rPr>
          <w:kern w:val="0"/>
        </w:rPr>
      </w:pPr>
      <w:r>
        <w:rPr>
          <w:rFonts w:hint="eastAsia"/>
          <w:kern w:val="0"/>
        </w:rPr>
        <w:t>综合实力标准：见评审办法前附表；</w:t>
      </w:r>
    </w:p>
    <w:p>
      <w:pPr>
        <w:pStyle w:val="3"/>
        <w:numPr>
          <w:ilvl w:val="0"/>
          <w:numId w:val="12"/>
        </w:numPr>
        <w:tabs>
          <w:tab w:val="left" w:pos="360"/>
        </w:tabs>
        <w:spacing w:line="360" w:lineRule="auto"/>
        <w:jc w:val="both"/>
        <w:outlineLvl w:val="1"/>
        <w:rPr>
          <w:rFonts w:hAnsi="宋体" w:cs="黑体"/>
          <w:b/>
          <w:color w:val="auto"/>
        </w:rPr>
      </w:pPr>
      <w:bookmarkStart w:id="541" w:name="_Toc5605"/>
      <w:bookmarkStart w:id="542" w:name="_Toc5149"/>
      <w:bookmarkStart w:id="543" w:name="_Toc22175"/>
      <w:bookmarkStart w:id="544" w:name="_Toc1740"/>
      <w:bookmarkStart w:id="545" w:name="_Toc28724"/>
      <w:bookmarkStart w:id="546" w:name="_Toc21732"/>
      <w:bookmarkStart w:id="547" w:name="_Toc4338"/>
      <w:bookmarkStart w:id="548" w:name="_Toc29125"/>
      <w:bookmarkStart w:id="549" w:name="_Toc16356"/>
      <w:bookmarkStart w:id="550" w:name="_Toc26726"/>
      <w:r>
        <w:rPr>
          <w:rFonts w:hint="eastAsia" w:hAnsi="宋体" w:cs="黑体"/>
          <w:b/>
          <w:color w:val="auto"/>
        </w:rPr>
        <w:t>评审程序</w:t>
      </w:r>
      <w:bookmarkEnd w:id="541"/>
      <w:bookmarkEnd w:id="542"/>
      <w:bookmarkEnd w:id="543"/>
      <w:bookmarkEnd w:id="544"/>
      <w:bookmarkEnd w:id="545"/>
      <w:bookmarkEnd w:id="546"/>
      <w:bookmarkEnd w:id="547"/>
      <w:bookmarkEnd w:id="548"/>
      <w:bookmarkEnd w:id="549"/>
      <w:bookmarkEnd w:id="550"/>
    </w:p>
    <w:p>
      <w:pPr>
        <w:pStyle w:val="5"/>
        <w:numPr>
          <w:ilvl w:val="1"/>
          <w:numId w:val="18"/>
        </w:numPr>
        <w:rPr>
          <w:sz w:val="21"/>
        </w:rPr>
      </w:pPr>
      <w:bookmarkStart w:id="551" w:name="_Toc9443"/>
      <w:bookmarkStart w:id="552" w:name="_Toc32083"/>
      <w:bookmarkStart w:id="553" w:name="_Toc18983"/>
      <w:bookmarkStart w:id="554" w:name="_Toc1654"/>
      <w:bookmarkStart w:id="555" w:name="_Toc9613"/>
      <w:bookmarkStart w:id="556" w:name="_Toc17957"/>
      <w:bookmarkStart w:id="557" w:name="_Toc7036"/>
      <w:bookmarkStart w:id="558" w:name="_Toc3824"/>
      <w:bookmarkStart w:id="559" w:name="_Toc26056"/>
      <w:bookmarkStart w:id="560" w:name="_Toc10682"/>
      <w:bookmarkStart w:id="561" w:name="_Toc5708"/>
      <w:r>
        <w:rPr>
          <w:rFonts w:hint="eastAsia"/>
          <w:sz w:val="21"/>
        </w:rPr>
        <w:t>初步评审</w:t>
      </w:r>
      <w:bookmarkEnd w:id="551"/>
      <w:bookmarkEnd w:id="552"/>
      <w:bookmarkEnd w:id="553"/>
      <w:bookmarkEnd w:id="554"/>
      <w:bookmarkEnd w:id="555"/>
      <w:bookmarkEnd w:id="556"/>
      <w:bookmarkEnd w:id="557"/>
      <w:bookmarkEnd w:id="558"/>
      <w:bookmarkEnd w:id="559"/>
      <w:bookmarkEnd w:id="560"/>
      <w:bookmarkEnd w:id="561"/>
    </w:p>
    <w:p>
      <w:pPr>
        <w:numPr>
          <w:ilvl w:val="2"/>
          <w:numId w:val="19"/>
        </w:numPr>
        <w:autoSpaceDE w:val="0"/>
        <w:autoSpaceDN w:val="0"/>
        <w:adjustRightInd w:val="0"/>
        <w:spacing w:line="360" w:lineRule="auto"/>
        <w:ind w:right="-23"/>
        <w:jc w:val="left"/>
        <w:rPr>
          <w:kern w:val="0"/>
        </w:rPr>
      </w:pPr>
      <w:r>
        <w:rPr>
          <w:rFonts w:hint="eastAsia"/>
          <w:kern w:val="0"/>
        </w:rPr>
        <w:t>磋商小组依据本章评审办法前附表规定的标准，对响应人的响应文件进行初步评审，以确定其是否满足竞争性磋商文件的实质性要求，有一项不符合评审标准的，磋商小组应当认定其响应文件无效。</w:t>
      </w:r>
    </w:p>
    <w:p>
      <w:pPr>
        <w:numPr>
          <w:ilvl w:val="2"/>
          <w:numId w:val="19"/>
        </w:numPr>
        <w:autoSpaceDE w:val="0"/>
        <w:autoSpaceDN w:val="0"/>
        <w:adjustRightInd w:val="0"/>
        <w:spacing w:line="360" w:lineRule="auto"/>
        <w:ind w:right="-23"/>
        <w:jc w:val="left"/>
        <w:rPr>
          <w:kern w:val="0"/>
        </w:rPr>
      </w:pPr>
      <w:r>
        <w:rPr>
          <w:rFonts w:hint="eastAsia"/>
          <w:kern w:val="0"/>
        </w:rPr>
        <w:t>磋商报价有算术错误及其他错误的。</w:t>
      </w:r>
    </w:p>
    <w:p>
      <w:pPr>
        <w:numPr>
          <w:ilvl w:val="0"/>
          <w:numId w:val="20"/>
        </w:numPr>
        <w:wordWrap/>
        <w:topLinePunct w:val="0"/>
        <w:autoSpaceDE w:val="0"/>
        <w:autoSpaceDN w:val="0"/>
        <w:adjustRightInd w:val="0"/>
        <w:spacing w:line="360" w:lineRule="auto"/>
        <w:ind w:left="0" w:right="40" w:firstLine="420" w:firstLineChars="200"/>
        <w:jc w:val="left"/>
      </w:pPr>
      <w:r>
        <w:rPr>
          <w:rFonts w:hint="eastAsia"/>
        </w:rPr>
        <w:t>大写金额和小写金额不一致的，以大写金额为准。</w:t>
      </w:r>
    </w:p>
    <w:p>
      <w:pPr>
        <w:numPr>
          <w:ilvl w:val="0"/>
          <w:numId w:val="20"/>
        </w:numPr>
        <w:wordWrap/>
        <w:topLinePunct w:val="0"/>
        <w:autoSpaceDE w:val="0"/>
        <w:autoSpaceDN w:val="0"/>
        <w:adjustRightInd w:val="0"/>
        <w:spacing w:line="360" w:lineRule="auto"/>
        <w:ind w:left="0" w:right="40" w:firstLine="420" w:firstLineChars="200"/>
        <w:jc w:val="left"/>
      </w:pPr>
      <w:r>
        <w:rPr>
          <w:rFonts w:hint="eastAsia"/>
        </w:rPr>
        <w:t>总价金额与按单价汇总金额不一致的，以单价金额计算结果为准。</w:t>
      </w:r>
    </w:p>
    <w:p>
      <w:pPr>
        <w:numPr>
          <w:ilvl w:val="0"/>
          <w:numId w:val="20"/>
        </w:numPr>
        <w:wordWrap/>
        <w:topLinePunct w:val="0"/>
        <w:autoSpaceDE w:val="0"/>
        <w:autoSpaceDN w:val="0"/>
        <w:adjustRightInd w:val="0"/>
        <w:spacing w:line="360" w:lineRule="auto"/>
        <w:ind w:left="0" w:right="40" w:firstLine="420" w:firstLineChars="200"/>
        <w:jc w:val="left"/>
      </w:pPr>
      <w:r>
        <w:rPr>
          <w:rFonts w:hint="eastAsia"/>
        </w:rPr>
        <w:t>单价金额小数点或者百分比有明显错位的，以总价为准。</w:t>
      </w:r>
    </w:p>
    <w:p>
      <w:pPr>
        <w:pStyle w:val="5"/>
        <w:numPr>
          <w:ilvl w:val="1"/>
          <w:numId w:val="18"/>
        </w:numPr>
        <w:rPr>
          <w:sz w:val="21"/>
        </w:rPr>
      </w:pPr>
      <w:r>
        <w:rPr>
          <w:rFonts w:hint="eastAsia"/>
          <w:sz w:val="21"/>
        </w:rPr>
        <w:t>详细磋商</w:t>
      </w:r>
    </w:p>
    <w:p>
      <w:pPr>
        <w:numPr>
          <w:ilvl w:val="2"/>
          <w:numId w:val="21"/>
        </w:numPr>
        <w:spacing w:line="360" w:lineRule="auto"/>
        <w:jc w:val="left"/>
      </w:pPr>
      <w:r>
        <w:rPr>
          <w:rFonts w:hint="eastAsia"/>
        </w:rPr>
        <w:t>竞争性磋商文件不能详细列明采购标的的技术、服务要求，需经磋商由响应人提供最终解决方案的，磋商结束后，磋商小组应当按照少数服从多数的原则投票推荐3家以上响应人的解决方案，并要求其在规定时间内提交最后报价。</w:t>
      </w:r>
    </w:p>
    <w:p>
      <w:pPr>
        <w:numPr>
          <w:ilvl w:val="2"/>
          <w:numId w:val="21"/>
        </w:numPr>
        <w:spacing w:line="360" w:lineRule="auto"/>
        <w:jc w:val="left"/>
      </w:pPr>
      <w:r>
        <w:rPr>
          <w:rFonts w:hint="eastAsia"/>
        </w:rPr>
        <w:t>竞争性磋商文件能够详细列明采购标的的技术、服务要求的，磋商结束后，磋商小组应当要求所有实质性响应的响应人在规定时间内提交最后报价，提交最后报价的响应人不得少于3家。</w:t>
      </w:r>
    </w:p>
    <w:p>
      <w:pPr>
        <w:numPr>
          <w:ilvl w:val="2"/>
          <w:numId w:val="21"/>
        </w:numPr>
        <w:spacing w:line="360" w:lineRule="auto"/>
        <w:jc w:val="left"/>
      </w:pPr>
      <w:r>
        <w:rPr>
          <w:rFonts w:hint="eastAsia"/>
        </w:rPr>
        <w:t>最后报价（二轮报价）是响应人响应文件的有效组成部分【注：1、最后报价不得超出响应人的第一轮报价；2、最后报价明显低于成本价的，响应人需做出合理说明，否则将承担不被接受的风险】。</w:t>
      </w:r>
    </w:p>
    <w:p>
      <w:pPr>
        <w:numPr>
          <w:ilvl w:val="2"/>
          <w:numId w:val="21"/>
        </w:numPr>
        <w:spacing w:line="360" w:lineRule="auto"/>
        <w:jc w:val="left"/>
      </w:pPr>
      <w:r>
        <w:rPr>
          <w:rFonts w:hint="eastAsia"/>
        </w:rPr>
        <w:t>经磋商确定最终采购需求和提交最后报价的响应人后，由磋商小组采用综合评分法对提交最后报价的响应人的响应文件和最后报价进行综合评分。</w:t>
      </w:r>
    </w:p>
    <w:p>
      <w:pPr>
        <w:pStyle w:val="5"/>
        <w:numPr>
          <w:ilvl w:val="1"/>
          <w:numId w:val="18"/>
        </w:numPr>
        <w:rPr>
          <w:sz w:val="21"/>
        </w:rPr>
      </w:pPr>
      <w:bookmarkStart w:id="562" w:name="_Toc12089"/>
      <w:bookmarkStart w:id="563" w:name="_Toc26213"/>
      <w:bookmarkStart w:id="564" w:name="_Toc30428"/>
      <w:bookmarkStart w:id="565" w:name="_Toc8285"/>
      <w:bookmarkStart w:id="566" w:name="_Toc18430"/>
      <w:bookmarkStart w:id="567" w:name="_Toc18705"/>
      <w:bookmarkStart w:id="568" w:name="_Toc13336"/>
      <w:bookmarkStart w:id="569" w:name="_Toc22449"/>
      <w:bookmarkStart w:id="570" w:name="_Toc1221"/>
      <w:bookmarkStart w:id="571" w:name="_Toc10132"/>
      <w:bookmarkStart w:id="572" w:name="_Toc24391"/>
      <w:r>
        <w:rPr>
          <w:rFonts w:hint="eastAsia"/>
          <w:sz w:val="21"/>
        </w:rPr>
        <w:t>详细评审</w:t>
      </w:r>
      <w:bookmarkEnd w:id="562"/>
      <w:bookmarkEnd w:id="563"/>
      <w:bookmarkEnd w:id="564"/>
      <w:bookmarkEnd w:id="565"/>
      <w:bookmarkEnd w:id="566"/>
      <w:bookmarkEnd w:id="567"/>
      <w:bookmarkEnd w:id="568"/>
      <w:bookmarkEnd w:id="569"/>
      <w:bookmarkEnd w:id="570"/>
      <w:bookmarkEnd w:id="571"/>
      <w:bookmarkEnd w:id="572"/>
    </w:p>
    <w:p>
      <w:pPr>
        <w:numPr>
          <w:ilvl w:val="2"/>
          <w:numId w:val="22"/>
        </w:numPr>
        <w:wordWrap/>
        <w:topLinePunct w:val="0"/>
        <w:autoSpaceDE w:val="0"/>
        <w:autoSpaceDN w:val="0"/>
        <w:adjustRightInd w:val="0"/>
        <w:spacing w:before="40" w:line="360" w:lineRule="auto"/>
        <w:ind w:right="142"/>
        <w:jc w:val="left"/>
        <w:rPr>
          <w:bCs/>
          <w:kern w:val="0"/>
        </w:rPr>
      </w:pPr>
      <w:r>
        <w:rPr>
          <w:rFonts w:hint="eastAsia"/>
          <w:bCs/>
          <w:kern w:val="0"/>
        </w:rPr>
        <w:t>磋商小组按本章评审方法规定的量化因素和分值进行打分，并计算出综合得分。</w:t>
      </w:r>
    </w:p>
    <w:p>
      <w:pPr>
        <w:numPr>
          <w:ilvl w:val="0"/>
          <w:numId w:val="23"/>
        </w:numPr>
        <w:wordWrap/>
        <w:topLinePunct w:val="0"/>
        <w:autoSpaceDE w:val="0"/>
        <w:autoSpaceDN w:val="0"/>
        <w:adjustRightInd w:val="0"/>
        <w:spacing w:line="360" w:lineRule="auto"/>
        <w:ind w:left="0" w:right="40" w:firstLine="420" w:firstLineChars="200"/>
        <w:jc w:val="left"/>
        <w:rPr>
          <w:kern w:val="0"/>
        </w:rPr>
      </w:pPr>
      <w:r>
        <w:rPr>
          <w:rFonts w:hint="eastAsia"/>
          <w:kern w:val="0"/>
        </w:rPr>
        <w:t>按本章第2.2.2（1）目规定的评审因素和分值对报价得分计算出得分A；</w:t>
      </w:r>
    </w:p>
    <w:p>
      <w:pPr>
        <w:numPr>
          <w:ilvl w:val="0"/>
          <w:numId w:val="23"/>
        </w:numPr>
        <w:wordWrap/>
        <w:topLinePunct w:val="0"/>
        <w:autoSpaceDE w:val="0"/>
        <w:autoSpaceDN w:val="0"/>
        <w:adjustRightInd w:val="0"/>
        <w:spacing w:line="360" w:lineRule="auto"/>
        <w:ind w:left="0" w:right="40" w:firstLine="420" w:firstLineChars="200"/>
        <w:jc w:val="left"/>
        <w:rPr>
          <w:kern w:val="0"/>
        </w:rPr>
      </w:pPr>
      <w:r>
        <w:rPr>
          <w:rFonts w:hint="eastAsia"/>
          <w:kern w:val="0"/>
        </w:rPr>
        <w:t>按本章第2.2.2（2）目规定的评审因素和分值对技术部分计算出得分B；</w:t>
      </w:r>
    </w:p>
    <w:p>
      <w:pPr>
        <w:numPr>
          <w:ilvl w:val="0"/>
          <w:numId w:val="23"/>
        </w:numPr>
        <w:wordWrap/>
        <w:topLinePunct w:val="0"/>
        <w:autoSpaceDE w:val="0"/>
        <w:autoSpaceDN w:val="0"/>
        <w:adjustRightInd w:val="0"/>
        <w:spacing w:line="360" w:lineRule="auto"/>
        <w:ind w:left="0" w:right="40" w:firstLine="420" w:firstLineChars="200"/>
        <w:jc w:val="left"/>
        <w:rPr>
          <w:kern w:val="0"/>
        </w:rPr>
      </w:pPr>
      <w:r>
        <w:rPr>
          <w:rFonts w:hint="eastAsia"/>
          <w:kern w:val="0"/>
        </w:rPr>
        <w:t>按本章第2.2.2（3）目规定的评审因素和分值对综合实力计算出得分C。</w:t>
      </w:r>
    </w:p>
    <w:p>
      <w:pPr>
        <w:numPr>
          <w:ilvl w:val="2"/>
          <w:numId w:val="22"/>
        </w:numPr>
        <w:wordWrap/>
        <w:topLinePunct w:val="0"/>
        <w:autoSpaceDE w:val="0"/>
        <w:autoSpaceDN w:val="0"/>
        <w:adjustRightInd w:val="0"/>
        <w:spacing w:before="40" w:line="360" w:lineRule="auto"/>
        <w:ind w:right="142"/>
        <w:jc w:val="left"/>
        <w:rPr>
          <w:bCs/>
          <w:kern w:val="0"/>
        </w:rPr>
      </w:pPr>
      <w:r>
        <w:rPr>
          <w:rFonts w:hint="eastAsia"/>
          <w:bCs/>
          <w:kern w:val="0"/>
        </w:rPr>
        <w:t>评分分值计算保留小数点后两位，小数点后第三位“四舍五入”。</w:t>
      </w:r>
    </w:p>
    <w:p>
      <w:pPr>
        <w:numPr>
          <w:ilvl w:val="2"/>
          <w:numId w:val="22"/>
        </w:numPr>
        <w:wordWrap/>
        <w:topLinePunct w:val="0"/>
        <w:autoSpaceDE w:val="0"/>
        <w:autoSpaceDN w:val="0"/>
        <w:adjustRightInd w:val="0"/>
        <w:spacing w:before="40" w:line="360" w:lineRule="auto"/>
        <w:ind w:right="142"/>
        <w:jc w:val="left"/>
        <w:rPr>
          <w:bCs/>
          <w:kern w:val="0"/>
        </w:rPr>
      </w:pPr>
      <w:r>
        <w:rPr>
          <w:rFonts w:hint="eastAsia"/>
          <w:bCs/>
          <w:kern w:val="0"/>
        </w:rPr>
        <w:t>响应人得分=A+B+C。</w:t>
      </w:r>
    </w:p>
    <w:p>
      <w:pPr>
        <w:numPr>
          <w:ilvl w:val="2"/>
          <w:numId w:val="22"/>
        </w:numPr>
        <w:wordWrap/>
        <w:topLinePunct w:val="0"/>
        <w:autoSpaceDE w:val="0"/>
        <w:autoSpaceDN w:val="0"/>
        <w:adjustRightInd w:val="0"/>
        <w:spacing w:before="40" w:line="360" w:lineRule="auto"/>
        <w:ind w:right="142"/>
        <w:jc w:val="left"/>
        <w:rPr>
          <w:bCs/>
          <w:kern w:val="0"/>
        </w:rPr>
      </w:pPr>
      <w:r>
        <w:rPr>
          <w:rFonts w:hint="eastAsia"/>
          <w:bCs/>
          <w:kern w:val="0"/>
        </w:rPr>
        <w:t>磋商小组认为响应人的最后报价明显低于成本价的，有可能影响产品质量或者不能诚信履约的，应当要求其在评审现场合理的时间内提供说明，必要时提交相关证明材料；响应人不能证明其报价合理性的，磋商小组应当将其作为无效投标处理。</w:t>
      </w:r>
    </w:p>
    <w:p>
      <w:pPr>
        <w:pStyle w:val="5"/>
        <w:numPr>
          <w:ilvl w:val="1"/>
          <w:numId w:val="18"/>
        </w:numPr>
        <w:rPr>
          <w:sz w:val="21"/>
        </w:rPr>
      </w:pPr>
      <w:r>
        <w:rPr>
          <w:rFonts w:hint="eastAsia"/>
          <w:sz w:val="21"/>
        </w:rPr>
        <w:t>评审结果</w:t>
      </w:r>
    </w:p>
    <w:p>
      <w:pPr>
        <w:wordWrap/>
        <w:topLinePunct w:val="0"/>
        <w:autoSpaceDE w:val="0"/>
        <w:autoSpaceDN w:val="0"/>
        <w:adjustRightInd w:val="0"/>
        <w:spacing w:before="40" w:line="360" w:lineRule="auto"/>
        <w:ind w:left="425" w:right="142"/>
        <w:jc w:val="left"/>
        <w:rPr>
          <w:bCs/>
          <w:kern w:val="0"/>
        </w:rPr>
      </w:pPr>
      <w:r>
        <w:rPr>
          <w:rFonts w:hint="eastAsia"/>
          <w:bCs/>
          <w:kern w:val="0"/>
        </w:rPr>
        <w:t>3.4.1除采购人授权直接确定成交人外，按照评审得分由高到低顺序推荐3名成交候选响应人评审得分相同的，按照最后报价由低到高的顺序推荐。评审得分且最后报价相同的并列。</w:t>
      </w:r>
    </w:p>
    <w:p>
      <w:pPr>
        <w:wordWrap/>
        <w:topLinePunct w:val="0"/>
        <w:autoSpaceDE w:val="0"/>
        <w:autoSpaceDN w:val="0"/>
        <w:adjustRightInd w:val="0"/>
        <w:spacing w:before="40" w:line="360" w:lineRule="auto"/>
        <w:ind w:left="425" w:right="142"/>
        <w:jc w:val="left"/>
        <w:rPr>
          <w:rFonts w:hint="eastAsia"/>
          <w:b/>
          <w:sz w:val="32"/>
          <w:szCs w:val="32"/>
        </w:rPr>
      </w:pPr>
      <w:r>
        <w:rPr>
          <w:rFonts w:hint="eastAsia"/>
          <w:bCs/>
          <w:kern w:val="0"/>
        </w:rPr>
        <w:t>3.4.2磋商小组完成评审后，应当向采购人提交书面评审报告和成交候选人名单并编写评审报告。</w:t>
      </w:r>
      <w:bookmarkStart w:id="573" w:name="_Toc28722"/>
      <w:bookmarkStart w:id="574" w:name="_Toc72694688"/>
      <w:bookmarkStart w:id="575" w:name="_Toc72695359"/>
    </w:p>
    <w:p>
      <w:pPr>
        <w:pageBreakBefore/>
        <w:adjustRightInd w:val="0"/>
        <w:snapToGrid w:val="0"/>
        <w:spacing w:line="360" w:lineRule="auto"/>
        <w:jc w:val="center"/>
        <w:outlineLvl w:val="0"/>
        <w:rPr>
          <w:rFonts w:hint="eastAsia" w:ascii="宋体" w:hAnsi="宋体" w:cs="宋体"/>
          <w:b/>
          <w:bCs/>
          <w:color w:val="000000"/>
          <w:spacing w:val="4"/>
          <w:sz w:val="32"/>
          <w:szCs w:val="32"/>
        </w:rPr>
      </w:pPr>
      <w:r>
        <w:rPr>
          <w:rFonts w:hint="eastAsia"/>
          <w:b/>
          <w:sz w:val="32"/>
          <w:szCs w:val="32"/>
        </w:rPr>
        <w:t xml:space="preserve">第四章  </w:t>
      </w:r>
      <w:bookmarkEnd w:id="573"/>
      <w:bookmarkEnd w:id="574"/>
      <w:bookmarkEnd w:id="575"/>
      <w:r>
        <w:rPr>
          <w:rFonts w:hint="eastAsia" w:ascii="宋体" w:hAnsi="宋体" w:cs="宋体"/>
          <w:b/>
          <w:bCs/>
          <w:color w:val="000000"/>
          <w:spacing w:val="4"/>
          <w:sz w:val="32"/>
          <w:szCs w:val="32"/>
        </w:rPr>
        <w:t>采购合同（</w:t>
      </w:r>
      <w:r>
        <w:rPr>
          <w:rFonts w:hint="eastAsia" w:cs="宋体"/>
          <w:b/>
          <w:bCs/>
          <w:color w:val="000000"/>
          <w:spacing w:val="4"/>
          <w:sz w:val="32"/>
          <w:szCs w:val="32"/>
          <w:lang w:val="en-US" w:eastAsia="zh-CN"/>
        </w:rPr>
        <w:t>仅供参考</w:t>
      </w:r>
      <w:r>
        <w:rPr>
          <w:rFonts w:hint="eastAsia" w:ascii="宋体" w:hAnsi="宋体" w:cs="宋体"/>
          <w:b/>
          <w:bCs/>
          <w:color w:val="000000"/>
          <w:spacing w:val="4"/>
          <w:sz w:val="32"/>
          <w:szCs w:val="32"/>
        </w:rPr>
        <w:t>）</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采购合同编号：  </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采购人（甲方）：</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供应商（乙方）：</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根据《中华人民共和国合同法》、《中华人民共和国建筑法》及有关法律规定，遵循平等、自愿、公平和诚实信用的原则，双方就</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工程施工及有关事项协商一致，共同达成如下协议：</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1. 工程概况 </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（1）工程项目名称：</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（2）工程地点： </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（3）工程立项批准文号：</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（4）资金来源：</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（5）工程内容：</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2.合同工期</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计划开工日期：</w:t>
      </w:r>
      <w:r>
        <w:rPr>
          <w:rFonts w:hint="default"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年</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月</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日</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计划竣工日期：</w:t>
      </w:r>
      <w:r>
        <w:rPr>
          <w:rFonts w:hint="default"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年</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月</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日</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工期总日历天数：</w:t>
      </w:r>
      <w:r>
        <w:rPr>
          <w:rFonts w:hint="default"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天。工期总日历天数与根据前述计划开竣工日期计算的工期天数不一致的，以工期总日历天数为准。</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质量标准</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质量</w:t>
      </w:r>
      <w:r>
        <w:rPr>
          <w:rFonts w:hint="eastAsia" w:ascii="仿宋" w:hAnsi="仿宋" w:eastAsia="仿宋" w:cs="Times New Roman"/>
          <w:sz w:val="24"/>
          <w:szCs w:val="18"/>
          <w:u w:val="none"/>
          <w:lang w:val="en-US" w:eastAsia="zh-CN"/>
        </w:rPr>
        <w:t>:合格</w:t>
      </w:r>
      <w:r>
        <w:rPr>
          <w:rFonts w:hint="default" w:ascii="仿宋" w:hAnsi="仿宋" w:eastAsia="仿宋" w:cs="Times New Roman"/>
          <w:sz w:val="24"/>
          <w:szCs w:val="18"/>
          <w:u w:val="none"/>
          <w:lang w:val="en-US" w:eastAsia="zh-CN"/>
        </w:rPr>
        <w:t>。</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4. 合同金额 </w:t>
      </w:r>
    </w:p>
    <w:p>
      <w:pPr>
        <w:ind w:firstLine="480" w:firstLineChars="200"/>
        <w:jc w:val="left"/>
        <w:rPr>
          <w:rFonts w:hint="default" w:ascii="仿宋" w:hAnsi="仿宋" w:eastAsia="仿宋" w:cs="Times New Roman"/>
          <w:sz w:val="24"/>
          <w:szCs w:val="18"/>
          <w:u w:val="single"/>
          <w:lang w:val="en-US" w:eastAsia="zh-CN"/>
        </w:rPr>
      </w:pPr>
      <w:r>
        <w:rPr>
          <w:rFonts w:hint="default" w:ascii="仿宋" w:hAnsi="仿宋" w:eastAsia="仿宋" w:cs="Times New Roman"/>
          <w:sz w:val="24"/>
          <w:szCs w:val="18"/>
          <w:u w:val="none"/>
          <w:lang w:val="en-US" w:eastAsia="zh-CN"/>
        </w:rPr>
        <w:t>（1）合同金额小写：</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元   大写：</w:t>
      </w:r>
      <w:r>
        <w:rPr>
          <w:rFonts w:hint="eastAsia"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none"/>
          <w:lang w:val="en-US" w:eastAsia="zh-CN"/>
        </w:rPr>
        <w:t>;</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（2）具体标的见附件。 </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（3）合同价格形式：固定总价合同。 </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（4）付款进度安排：合同签订生效后，施工企业进驻且施工准备阶段，支付合同价款的50%;主体工程完成时，支付合同价款的30%; 项目工程验收合格并且手续齐全后支付合同价款的17%;合同价款的3%做为质量保证金，待质量保修期满经验收合格后无息支付。</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（5）资金支付方式：对公转账</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5.合同文件构成</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本协议书与下列文件一起构成合同文件：</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（1）中标通知书（如果有）；</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（2）投标函及其附录（如果有）；</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（3）专用合同条款及其附件；</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（4）通用合同条款；</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（5）技术标准和要求；</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（6）图纸；</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（7）已标价工程量清单或预算书；</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（8）其他合同文件。</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在合同订立及履行过程中形成的与合同有关的文件均构成合同文件组成部分。</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上述各项合同文件包括合同当事人就该项合同文件所作出的补充和修改，属于同一类内容的文件，应以最新签署的为准。专用合同条款及其附件须经合同当事人签字或盖章。</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6.承诺</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1.发包人承诺按照法律规定履行项目审批手续、筹集工程建设资金并按照合同约定的期限和方式支付合同价款。</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2.承包人承诺按照法律规定及合同约定组织完成工程施工，确保工程质量和安全，不进行转包及违法分包，并在缺陷责任期及保修期内承担相应的工程维修责任。</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3.发包人和承包人通过招投标形式签订合同的，双方理解并承诺不再就同一工程另行签订与合同实质性内容相背离的协议。</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7.词语含义</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本协议书中词语含义与第二部分通用合同条款中赋予的含义相同。</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8.签订时间</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本合同于</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年</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月</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日签订。</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9.签订地点</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本合同在</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签订。</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10.补充协议</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合同未尽事宜，合同当事人另行签订补充协议，补充协议是合同的组成部分。</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11.合同生效</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本合同一式</w:t>
      </w:r>
      <w:r>
        <w:rPr>
          <w:rFonts w:hint="default"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份，均具有同等法律效力，甲方执</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份，乙方执</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份。</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甲 方：（公章）                    乙 方：（公章）</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法定代表人：                       法定代表人：  </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委托代理人：                      委托代理人： </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组织机构代码：                    组织机构代码：</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电 话：                            电 话：</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开户银行：                         开户银行：</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账号：                             账号：</w:t>
      </w:r>
    </w:p>
    <w:p>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地址：                             地址：</w:t>
      </w:r>
    </w:p>
    <w:p>
      <w:pPr>
        <w:widowControl/>
        <w:spacing w:line="440" w:lineRule="atLeast"/>
        <w:ind w:left="718"/>
        <w:rPr>
          <w:rFonts w:hint="eastAsia" w:ascii="宋体" w:hAnsi="宋体" w:cs="宋体"/>
          <w:kern w:val="0"/>
          <w:sz w:val="24"/>
        </w:rPr>
      </w:pPr>
    </w:p>
    <w:p>
      <w:pPr>
        <w:jc w:val="center"/>
        <w:rPr>
          <w:rFonts w:hint="eastAsia" w:ascii="宋体" w:hAnsi="宋体"/>
          <w:bCs/>
          <w:kern w:val="44"/>
          <w:sz w:val="32"/>
          <w:szCs w:val="32"/>
          <w:highlight w:val="none"/>
        </w:rPr>
      </w:pPr>
    </w:p>
    <w:p>
      <w:pPr>
        <w:jc w:val="center"/>
        <w:rPr>
          <w:rFonts w:hint="eastAsia" w:ascii="宋体" w:hAnsi="宋体"/>
          <w:bCs/>
          <w:kern w:val="44"/>
          <w:sz w:val="32"/>
          <w:szCs w:val="32"/>
          <w:highlight w:val="none"/>
        </w:rPr>
      </w:pPr>
    </w:p>
    <w:p>
      <w:pPr>
        <w:jc w:val="center"/>
        <w:rPr>
          <w:rFonts w:hint="eastAsia" w:ascii="宋体" w:hAnsi="宋体"/>
          <w:bCs/>
          <w:kern w:val="44"/>
          <w:sz w:val="32"/>
          <w:szCs w:val="32"/>
          <w:highlight w:val="none"/>
        </w:rPr>
      </w:pPr>
    </w:p>
    <w:p>
      <w:pPr>
        <w:jc w:val="center"/>
        <w:rPr>
          <w:rFonts w:hint="eastAsia" w:ascii="宋体" w:hAnsi="宋体"/>
          <w:bCs/>
          <w:kern w:val="44"/>
          <w:sz w:val="32"/>
          <w:szCs w:val="32"/>
          <w:highlight w:val="none"/>
        </w:rPr>
      </w:pPr>
    </w:p>
    <w:p>
      <w:pPr>
        <w:jc w:val="center"/>
        <w:rPr>
          <w:rFonts w:hint="eastAsia" w:ascii="宋体" w:hAnsi="宋体"/>
          <w:bCs/>
          <w:kern w:val="44"/>
          <w:sz w:val="32"/>
          <w:szCs w:val="32"/>
          <w:highlight w:val="none"/>
        </w:rPr>
      </w:pPr>
    </w:p>
    <w:p>
      <w:pPr>
        <w:jc w:val="center"/>
        <w:rPr>
          <w:rFonts w:hint="eastAsia" w:ascii="宋体" w:hAnsi="宋体"/>
          <w:bCs/>
          <w:kern w:val="44"/>
          <w:sz w:val="32"/>
          <w:szCs w:val="32"/>
          <w:highlight w:val="none"/>
        </w:rPr>
      </w:pPr>
    </w:p>
    <w:p>
      <w:pPr>
        <w:jc w:val="center"/>
        <w:rPr>
          <w:rFonts w:hint="eastAsia" w:ascii="宋体" w:hAnsi="宋体"/>
          <w:bCs/>
          <w:kern w:val="44"/>
          <w:sz w:val="32"/>
          <w:szCs w:val="32"/>
          <w:highlight w:val="none"/>
        </w:rPr>
      </w:pPr>
    </w:p>
    <w:p>
      <w:pPr>
        <w:jc w:val="center"/>
        <w:rPr>
          <w:rFonts w:hint="eastAsia" w:ascii="宋体" w:hAnsi="宋体"/>
          <w:bCs/>
          <w:kern w:val="44"/>
          <w:sz w:val="32"/>
          <w:szCs w:val="32"/>
          <w:highlight w:val="none"/>
        </w:rPr>
      </w:pPr>
    </w:p>
    <w:p>
      <w:pPr>
        <w:jc w:val="center"/>
        <w:rPr>
          <w:rFonts w:hint="eastAsia" w:ascii="宋体" w:hAnsi="宋体"/>
          <w:bCs/>
          <w:kern w:val="44"/>
          <w:sz w:val="32"/>
          <w:szCs w:val="32"/>
          <w:highlight w:val="none"/>
        </w:rPr>
      </w:pPr>
    </w:p>
    <w:p>
      <w:pPr>
        <w:jc w:val="center"/>
        <w:rPr>
          <w:rFonts w:hint="eastAsia" w:ascii="宋体" w:hAnsi="宋体"/>
          <w:bCs/>
          <w:kern w:val="44"/>
          <w:sz w:val="32"/>
          <w:szCs w:val="32"/>
          <w:highlight w:val="none"/>
        </w:rPr>
      </w:pPr>
    </w:p>
    <w:p>
      <w:pPr>
        <w:jc w:val="center"/>
        <w:rPr>
          <w:rFonts w:hint="eastAsia" w:ascii="宋体" w:hAnsi="宋体"/>
          <w:sz w:val="24"/>
        </w:rPr>
      </w:pPr>
      <w:r>
        <w:rPr>
          <w:rFonts w:hint="eastAsia" w:ascii="宋体" w:hAnsi="宋体"/>
          <w:bCs/>
          <w:kern w:val="44"/>
          <w:sz w:val="32"/>
          <w:szCs w:val="32"/>
          <w:highlight w:val="none"/>
        </w:rPr>
        <w:t>建设部和工商行政管理局制订的建筑施工制式合同</w:t>
      </w:r>
    </w:p>
    <w:p>
      <w:pPr>
        <w:spacing w:line="420" w:lineRule="exact"/>
        <w:ind w:firstLine="240" w:firstLineChars="100"/>
        <w:rPr>
          <w:rFonts w:hint="eastAsia" w:ascii="宋体" w:hAnsi="宋体"/>
          <w:sz w:val="24"/>
        </w:rPr>
      </w:pPr>
    </w:p>
    <w:p>
      <w:pPr>
        <w:rPr>
          <w:rFonts w:hint="eastAsia" w:ascii="宋体" w:hAnsi="宋体"/>
          <w:sz w:val="28"/>
          <w:szCs w:val="28"/>
        </w:rPr>
      </w:pPr>
      <w:r>
        <w:rPr>
          <w:rFonts w:hint="eastAsia" w:ascii="宋体" w:hAnsi="宋体"/>
          <w:sz w:val="28"/>
          <w:szCs w:val="28"/>
        </w:rPr>
        <w:t>1．其他协议条款</w:t>
      </w:r>
    </w:p>
    <w:p>
      <w:pPr>
        <w:rPr>
          <w:rFonts w:hint="eastAsia" w:ascii="宋体" w:hAnsi="宋体"/>
          <w:sz w:val="28"/>
          <w:szCs w:val="28"/>
        </w:rPr>
      </w:pPr>
      <w:r>
        <w:rPr>
          <w:rFonts w:hint="eastAsia" w:ascii="宋体" w:hAnsi="宋体"/>
          <w:sz w:val="28"/>
          <w:szCs w:val="28"/>
        </w:rPr>
        <w:t xml:space="preserve">    1.1承包人负责相关安全措施（包含自身的人身、财产及周边的设施及人身安全），按规定办理相应的各种保险并承担相应费用。</w:t>
      </w:r>
    </w:p>
    <w:p>
      <w:pPr>
        <w:rPr>
          <w:rFonts w:hint="eastAsia" w:ascii="宋体" w:hAnsi="宋体"/>
          <w:sz w:val="28"/>
          <w:szCs w:val="28"/>
        </w:rPr>
      </w:pPr>
      <w:r>
        <w:rPr>
          <w:rFonts w:hint="eastAsia" w:ascii="宋体" w:hAnsi="宋体"/>
          <w:sz w:val="28"/>
          <w:szCs w:val="28"/>
        </w:rPr>
        <w:t xml:space="preserve">    1.2在施工过程中，因建材的供应、人工的使用等原因引起的地方关系纠纷，由承包人协调解决。</w:t>
      </w:r>
    </w:p>
    <w:p>
      <w:pPr>
        <w:rPr>
          <w:rFonts w:hint="eastAsia" w:ascii="宋体" w:hAnsi="宋体"/>
          <w:sz w:val="28"/>
          <w:szCs w:val="28"/>
        </w:rPr>
      </w:pPr>
      <w:r>
        <w:rPr>
          <w:rFonts w:hint="eastAsia" w:ascii="宋体" w:hAnsi="宋体"/>
          <w:sz w:val="28"/>
          <w:szCs w:val="28"/>
        </w:rPr>
        <w:t xml:space="preserve">    1.3与相邻施工单位交叉施工时严格服从发包人组织安排，无偿提供配合，积极配合甲方开展工作。</w:t>
      </w:r>
    </w:p>
    <w:p>
      <w:pPr>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1.4工程材料、成品、半成品需经监理或发包人验收合格后方能用于工程。凡不合格材料必须在发现后24小时内清出现场。否则，由发包人清理，发生的清理费用由承包人承担。</w:t>
      </w:r>
    </w:p>
    <w:p>
      <w:pPr>
        <w:rPr>
          <w:rFonts w:hint="eastAsia" w:ascii="宋体" w:hAnsi="宋体"/>
          <w:sz w:val="28"/>
          <w:szCs w:val="28"/>
        </w:rPr>
      </w:pPr>
      <w:r>
        <w:rPr>
          <w:rFonts w:hint="eastAsia" w:ascii="宋体" w:hAnsi="宋体"/>
          <w:sz w:val="28"/>
          <w:szCs w:val="28"/>
        </w:rPr>
        <w:t xml:space="preserve">    1.5建筑垃圾由承包人自行清理，否则，由发包人清理的一切费用归承包人承担</w:t>
      </w:r>
    </w:p>
    <w:p>
      <w:pPr>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1.6承包人在施工过程中，自行排除周边环境干扰。若因不能自行排除干扰造成的工期延误，则不顺延工期，若在规定工期内未完工，将扣除合同价款的20%作为违约金。</w:t>
      </w:r>
    </w:p>
    <w:p>
      <w:pPr>
        <w:rPr>
          <w:rFonts w:hint="eastAsia" w:ascii="宋体" w:hAnsi="宋体"/>
          <w:sz w:val="28"/>
          <w:szCs w:val="28"/>
        </w:rPr>
      </w:pPr>
      <w:r>
        <w:rPr>
          <w:rFonts w:hint="eastAsia" w:ascii="宋体" w:hAnsi="宋体"/>
          <w:sz w:val="28"/>
          <w:szCs w:val="28"/>
        </w:rPr>
        <w:t xml:space="preserve">    1.7、如发包人如期按合同支付工程款，承包人未能按期拨付民工工资，而引起民工上访事件，对甲方造成不良影响的，第一次扣款0.5万元，第二次扣款1万元，第三次扣款2万元，依此类推。</w:t>
      </w:r>
    </w:p>
    <w:p>
      <w:pPr>
        <w:ind w:firstLine="435"/>
        <w:rPr>
          <w:rFonts w:hint="eastAsia" w:ascii="宋体" w:hAnsi="宋体"/>
          <w:sz w:val="28"/>
          <w:szCs w:val="28"/>
        </w:rPr>
      </w:pPr>
      <w:r>
        <w:rPr>
          <w:rFonts w:hint="eastAsia" w:ascii="宋体" w:hAnsi="宋体"/>
          <w:sz w:val="28"/>
          <w:szCs w:val="28"/>
        </w:rPr>
        <w:t>1.8、承包人要服从发包人现场协调指挥。</w:t>
      </w:r>
    </w:p>
    <w:p>
      <w:pPr>
        <w:ind w:firstLine="435"/>
        <w:rPr>
          <w:rFonts w:hint="eastAsia" w:ascii="宋体" w:hAnsi="宋体"/>
          <w:sz w:val="28"/>
          <w:szCs w:val="28"/>
        </w:rPr>
      </w:pPr>
      <w:r>
        <w:rPr>
          <w:rFonts w:hint="eastAsia" w:ascii="宋体" w:hAnsi="宋体"/>
          <w:sz w:val="28"/>
          <w:szCs w:val="28"/>
        </w:rPr>
        <w:t>1.9、文明施工</w:t>
      </w:r>
    </w:p>
    <w:p>
      <w:pPr>
        <w:rPr>
          <w:rFonts w:hint="eastAsia" w:ascii="宋体" w:hAnsi="宋体"/>
          <w:sz w:val="28"/>
          <w:szCs w:val="28"/>
        </w:rPr>
      </w:pPr>
      <w:r>
        <w:rPr>
          <w:rFonts w:hint="eastAsia" w:ascii="宋体" w:hAnsi="宋体"/>
          <w:sz w:val="28"/>
          <w:szCs w:val="28"/>
        </w:rPr>
        <w:t xml:space="preserve">    合同当事人对文明施工的要求承包人在工程施工期间，未按约定标准履行或工地管理脏乱差，由此发生的违约责任和（或）延误的工期由承包人承担。</w:t>
      </w:r>
    </w:p>
    <w:p>
      <w:pPr>
        <w:rPr>
          <w:rFonts w:hint="eastAsia" w:ascii="宋体" w:hAnsi="宋体"/>
          <w:sz w:val="28"/>
          <w:szCs w:val="28"/>
        </w:rPr>
      </w:pPr>
      <w:r>
        <w:rPr>
          <w:rFonts w:hint="eastAsia" w:ascii="宋体" w:hAnsi="宋体"/>
          <w:sz w:val="28"/>
          <w:szCs w:val="28"/>
        </w:rPr>
        <w:t xml:space="preserve">    1.10、安全文明施工与环境保护</w:t>
      </w:r>
    </w:p>
    <w:p>
      <w:pPr>
        <w:rPr>
          <w:rFonts w:hint="eastAsia" w:ascii="宋体" w:hAnsi="宋体"/>
          <w:sz w:val="28"/>
          <w:szCs w:val="28"/>
        </w:rPr>
      </w:pPr>
      <w:r>
        <w:rPr>
          <w:rFonts w:hint="eastAsia" w:ascii="宋体" w:hAnsi="宋体"/>
          <w:sz w:val="28"/>
          <w:szCs w:val="28"/>
        </w:rPr>
        <w:t xml:space="preserve">    1.10.1安全文明施工</w:t>
      </w:r>
    </w:p>
    <w:p>
      <w:pPr>
        <w:rPr>
          <w:rFonts w:hint="eastAsia" w:ascii="宋体" w:hAnsi="宋体"/>
          <w:sz w:val="28"/>
          <w:szCs w:val="28"/>
        </w:rPr>
      </w:pPr>
      <w:r>
        <w:rPr>
          <w:rFonts w:hint="eastAsia" w:ascii="宋体" w:hAnsi="宋体"/>
          <w:sz w:val="28"/>
          <w:szCs w:val="28"/>
        </w:rPr>
        <w:t xml:space="preserve">    项目安全生产的达标目标及相应事项的约定：承包人应遵守《建设工程安全生产管理条例》及其他工程建设安全生产有关管理规定，严格按现行安全标准组织施工，切实落实提交的安全施工规划、方案、预案和措施，执行发包人及监理人关于安全生产的要求和指示，并随时接受行业安全检查人员依法实施的监督检查，采取必要的安全防护措施，消除事故隐患。</w:t>
      </w:r>
    </w:p>
    <w:p>
      <w:pPr>
        <w:rPr>
          <w:rFonts w:hint="eastAsia" w:ascii="宋体" w:hAnsi="宋体"/>
          <w:sz w:val="28"/>
          <w:szCs w:val="28"/>
        </w:rPr>
      </w:pPr>
      <w:r>
        <w:rPr>
          <w:rFonts w:hint="eastAsia" w:ascii="宋体" w:hAnsi="宋体"/>
          <w:sz w:val="28"/>
          <w:szCs w:val="28"/>
        </w:rPr>
        <w:t xml:space="preserve">  本工程在整个施工期间社绝一切人身伤亡和重大质量安全事故，如发生上述事故，承包人除接受政府相关部门处罚外，还应承担违约责任和（或）延误的工期由承包人承担。</w:t>
      </w:r>
    </w:p>
    <w:p>
      <w:pPr>
        <w:ind w:firstLine="560" w:firstLineChars="200"/>
        <w:rPr>
          <w:rFonts w:hint="eastAsia" w:ascii="宋体" w:hAnsi="宋体"/>
          <w:sz w:val="28"/>
          <w:szCs w:val="28"/>
        </w:rPr>
      </w:pPr>
      <w:r>
        <w:rPr>
          <w:rFonts w:hint="eastAsia" w:ascii="宋体" w:hAnsi="宋体"/>
          <w:sz w:val="28"/>
          <w:szCs w:val="28"/>
        </w:rPr>
        <w:t>1.10.2环境保护</w:t>
      </w:r>
    </w:p>
    <w:p>
      <w:pPr>
        <w:rPr>
          <w:rFonts w:hint="eastAsia" w:ascii="宋体" w:hAnsi="宋体"/>
          <w:sz w:val="28"/>
          <w:szCs w:val="28"/>
        </w:rPr>
      </w:pPr>
      <w:r>
        <w:rPr>
          <w:rFonts w:hint="eastAsia" w:ascii="宋体" w:hAnsi="宋体"/>
          <w:sz w:val="28"/>
          <w:szCs w:val="28"/>
        </w:rPr>
        <w:t xml:space="preserve">    承包人应在施工组织设计中列明环境保护的具体措施。在合同履行期间，承包人应采取合理措施保护旌工现场环境。对施工作业过程中可能引起盼大气、水、噪音以及固体废物污染采取具体可行的防范措施。承包人应当承担因其原因引起的环境污染侵权损害赔偿责任，因上述环境污染引起纠纷而导致暂停施工的，由此增加的费用和（或）延误的工期由承包人承担。</w:t>
      </w:r>
    </w:p>
    <w:p>
      <w:pPr>
        <w:ind w:firstLine="560" w:firstLineChars="200"/>
        <w:rPr>
          <w:rFonts w:hint="eastAsia" w:ascii="宋体" w:hAnsi="宋体"/>
          <w:sz w:val="28"/>
          <w:szCs w:val="28"/>
        </w:rPr>
      </w:pPr>
      <w:r>
        <w:rPr>
          <w:rFonts w:hint="eastAsia" w:ascii="宋体" w:hAnsi="宋体"/>
          <w:sz w:val="28"/>
          <w:szCs w:val="28"/>
        </w:rPr>
        <w:t>1.11、施工总进度计划表</w:t>
      </w:r>
    </w:p>
    <w:p>
      <w:pPr>
        <w:rPr>
          <w:rFonts w:hint="eastAsia" w:ascii="宋体" w:hAnsi="宋体"/>
          <w:sz w:val="28"/>
          <w:szCs w:val="28"/>
        </w:rPr>
      </w:pPr>
      <w:r>
        <w:rPr>
          <w:rFonts w:hint="eastAsia" w:ascii="宋体" w:hAnsi="宋体"/>
          <w:sz w:val="28"/>
          <w:szCs w:val="28"/>
        </w:rPr>
        <w:t xml:space="preserve">    施工总进度表发包人开工通知单之日起，说明每天应完成的工作内容，未按约定完成当天工作的，应扣工程总价款的1%，工期结束后若不能交工，则扣工程总价款的20%作为违约金。</w:t>
      </w:r>
    </w:p>
    <w:p>
      <w:pPr>
        <w:ind w:firstLine="560" w:firstLineChars="200"/>
        <w:rPr>
          <w:rFonts w:hint="eastAsia" w:ascii="宋体" w:hAnsi="宋体"/>
          <w:sz w:val="28"/>
          <w:szCs w:val="28"/>
        </w:rPr>
      </w:pPr>
      <w:r>
        <w:rPr>
          <w:rFonts w:hint="eastAsia" w:ascii="宋体" w:hAnsi="宋体"/>
          <w:sz w:val="28"/>
          <w:szCs w:val="28"/>
        </w:rPr>
        <w:t>1.12、严格执行消防安全规定，设计、施工、竣工均达到消防相关要求，不能将消防设施封、堵、围、隔起来，或任意拆卸、改迁等。如不按甲方要求去做，扣发工程款费用的10%作为违约金。</w:t>
      </w:r>
    </w:p>
    <w:p>
      <w:pPr>
        <w:ind w:firstLine="560" w:firstLineChars="200"/>
        <w:rPr>
          <w:rFonts w:hint="eastAsia" w:ascii="宋体" w:hAnsi="宋体"/>
          <w:sz w:val="28"/>
          <w:szCs w:val="28"/>
        </w:rPr>
      </w:pPr>
      <w:r>
        <w:rPr>
          <w:rFonts w:hint="eastAsia" w:ascii="宋体" w:hAnsi="宋体"/>
          <w:sz w:val="28"/>
          <w:szCs w:val="28"/>
        </w:rPr>
        <w:t>1.13、原有地砖等设施不许损坏，如果损坏施工方恢复原状。</w:t>
      </w:r>
    </w:p>
    <w:p>
      <w:pPr>
        <w:ind w:firstLine="560" w:firstLineChars="200"/>
        <w:rPr>
          <w:rFonts w:hint="eastAsia" w:ascii="宋体" w:hAnsi="宋体" w:eastAsia="宋体"/>
          <w:sz w:val="28"/>
          <w:szCs w:val="28"/>
          <w:lang w:val="en-US" w:eastAsia="zh-CN"/>
        </w:rPr>
      </w:pPr>
      <w:r>
        <w:rPr>
          <w:rFonts w:hint="eastAsia" w:ascii="宋体" w:hAnsi="宋体"/>
          <w:sz w:val="28"/>
          <w:szCs w:val="28"/>
        </w:rPr>
        <w:t>1.14、履约保证金</w:t>
      </w:r>
      <w:r>
        <w:rPr>
          <w:rFonts w:hint="eastAsia" w:ascii="宋体" w:hAnsi="宋体"/>
          <w:sz w:val="28"/>
          <w:szCs w:val="28"/>
          <w:lang w:val="en-US" w:eastAsia="zh-CN"/>
        </w:rPr>
        <w:t>:不收取。</w:t>
      </w:r>
    </w:p>
    <w:p>
      <w:pPr>
        <w:ind w:firstLine="560" w:firstLineChars="200"/>
        <w:rPr>
          <w:rFonts w:hint="eastAsia" w:ascii="宋体" w:hAnsi="宋体"/>
          <w:sz w:val="28"/>
          <w:szCs w:val="28"/>
        </w:rPr>
      </w:pPr>
      <w:r>
        <w:rPr>
          <w:rFonts w:hint="eastAsia" w:ascii="宋体" w:hAnsi="宋体"/>
          <w:sz w:val="28"/>
          <w:szCs w:val="28"/>
        </w:rPr>
        <w:t>1.15、合同签订生效后，施工企业进驻且</w:t>
      </w:r>
      <w:r>
        <w:rPr>
          <w:rFonts w:hint="eastAsia" w:ascii="宋体" w:hAnsi="宋体"/>
          <w:sz w:val="28"/>
          <w:szCs w:val="28"/>
          <w:lang w:val="en-US" w:eastAsia="zh-CN"/>
        </w:rPr>
        <w:t>施工准备阶段</w:t>
      </w:r>
      <w:r>
        <w:rPr>
          <w:rFonts w:hint="eastAsia" w:ascii="宋体" w:hAnsi="宋体"/>
          <w:sz w:val="28"/>
          <w:szCs w:val="28"/>
        </w:rPr>
        <w:t>，支付合同价款的50%;主体工程完成时，支付合同价款的30%; 项目工程验收合格并且手续齐全后支付合同价款的17%;合同价款的3%做为质量保证金，待质量保修期满经验收合格后无息支付。</w:t>
      </w:r>
    </w:p>
    <w:p>
      <w:pPr>
        <w:pStyle w:val="22"/>
        <w:rPr>
          <w:rFonts w:ascii="宋体" w:hAnsi="宋体"/>
        </w:rPr>
      </w:pPr>
    </w:p>
    <w:p>
      <w:pPr>
        <w:pStyle w:val="22"/>
        <w:rPr>
          <w:rFonts w:ascii="宋体" w:hAnsi="宋体"/>
        </w:rPr>
      </w:pPr>
    </w:p>
    <w:p>
      <w:pPr>
        <w:pStyle w:val="22"/>
        <w:rPr>
          <w:rFonts w:ascii="宋体" w:hAnsi="宋体"/>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left="0" w:leftChars="0" w:firstLine="0" w:firstLineChars="0"/>
        <w:rPr>
          <w:rFonts w:ascii="宋体" w:hAnsi="宋体"/>
          <w:b/>
          <w:sz w:val="24"/>
          <w:szCs w:val="24"/>
        </w:rPr>
      </w:pPr>
    </w:p>
    <w:p>
      <w:pPr>
        <w:pStyle w:val="22"/>
        <w:spacing w:line="360" w:lineRule="auto"/>
        <w:ind w:left="0" w:leftChars="0" w:firstLine="0" w:firstLineChars="0"/>
        <w:rPr>
          <w:rFonts w:ascii="宋体" w:hAnsi="宋体"/>
          <w:b/>
          <w:sz w:val="24"/>
          <w:szCs w:val="24"/>
        </w:rPr>
      </w:pPr>
    </w:p>
    <w:p>
      <w:pPr>
        <w:jc w:val="center"/>
        <w:outlineLvl w:val="0"/>
        <w:rPr>
          <w:b/>
          <w:sz w:val="30"/>
          <w:szCs w:val="30"/>
        </w:rPr>
      </w:pPr>
      <w:bookmarkStart w:id="576" w:name="_Toc72695360"/>
      <w:bookmarkStart w:id="577" w:name="_Toc22360"/>
      <w:r>
        <w:rPr>
          <w:rFonts w:hint="eastAsia"/>
          <w:b/>
          <w:sz w:val="32"/>
          <w:szCs w:val="32"/>
        </w:rPr>
        <w:t>第五章  工程量清单</w:t>
      </w:r>
      <w:bookmarkEnd w:id="576"/>
      <w:bookmarkEnd w:id="577"/>
    </w:p>
    <w:p>
      <w:pPr>
        <w:spacing w:line="360" w:lineRule="auto"/>
        <w:ind w:firstLine="4094" w:firstLineChars="1942"/>
        <w:rPr>
          <w:b/>
        </w:rPr>
      </w:pPr>
      <w:r>
        <w:rPr>
          <w:rFonts w:hint="eastAsia"/>
          <w:b/>
        </w:rPr>
        <w:t>（另附）</w:t>
      </w: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left="0" w:leftChars="0" w:firstLine="0" w:firstLineChars="0"/>
        <w:rPr>
          <w:rFonts w:ascii="宋体" w:hAnsi="宋体"/>
          <w:b/>
          <w:sz w:val="24"/>
          <w:szCs w:val="24"/>
        </w:rPr>
      </w:pPr>
    </w:p>
    <w:p>
      <w:pPr>
        <w:pStyle w:val="22"/>
        <w:spacing w:line="360" w:lineRule="auto"/>
        <w:ind w:left="0" w:leftChars="0" w:firstLine="0" w:firstLineChars="0"/>
        <w:rPr>
          <w:rFonts w:ascii="宋体" w:hAnsi="宋体"/>
          <w:b/>
          <w:sz w:val="24"/>
          <w:szCs w:val="24"/>
        </w:rPr>
      </w:pPr>
    </w:p>
    <w:p>
      <w:pPr>
        <w:jc w:val="center"/>
        <w:outlineLvl w:val="0"/>
        <w:rPr>
          <w:b/>
          <w:sz w:val="32"/>
          <w:szCs w:val="32"/>
        </w:rPr>
      </w:pPr>
      <w:bookmarkStart w:id="578" w:name="_Toc72694689"/>
      <w:bookmarkStart w:id="579" w:name="_Toc72695361"/>
      <w:bookmarkStart w:id="580" w:name="_Toc12052"/>
      <w:r>
        <w:rPr>
          <w:rFonts w:hint="eastAsia"/>
          <w:b/>
          <w:sz w:val="32"/>
          <w:szCs w:val="32"/>
        </w:rPr>
        <w:t>第六章  图纸</w:t>
      </w:r>
      <w:bookmarkEnd w:id="578"/>
      <w:bookmarkEnd w:id="579"/>
      <w:bookmarkEnd w:id="580"/>
    </w:p>
    <w:p>
      <w:pPr>
        <w:spacing w:line="360" w:lineRule="auto"/>
        <w:ind w:firstLine="422" w:firstLineChars="200"/>
        <w:jc w:val="center"/>
        <w:rPr>
          <w:b/>
        </w:rPr>
      </w:pPr>
      <w:r>
        <w:rPr>
          <w:rFonts w:hint="eastAsia"/>
          <w:b/>
        </w:rPr>
        <w:t xml:space="preserve"> （</w:t>
      </w:r>
      <w:r>
        <w:rPr>
          <w:rFonts w:hint="eastAsia"/>
          <w:b/>
          <w:lang w:val="en-US" w:eastAsia="zh-CN"/>
        </w:rPr>
        <w:t>如</w:t>
      </w:r>
      <w:r>
        <w:rPr>
          <w:rFonts w:hint="eastAsia"/>
          <w:b/>
        </w:rPr>
        <w:t>有</w:t>
      </w:r>
      <w:r>
        <w:rPr>
          <w:rFonts w:hint="eastAsia"/>
          <w:b/>
          <w:lang w:val="en-US" w:eastAsia="zh-CN"/>
        </w:rPr>
        <w:t>另附</w:t>
      </w:r>
      <w:r>
        <w:rPr>
          <w:rFonts w:hint="eastAsia"/>
          <w:b/>
        </w:rPr>
        <w:t>）</w:t>
      </w: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rPr>
      </w:pPr>
    </w:p>
    <w:p>
      <w:pPr>
        <w:pStyle w:val="37"/>
        <w:spacing w:line="360" w:lineRule="auto"/>
        <w:rPr>
          <w:b/>
          <w:lang w:val="en-US"/>
        </w:rPr>
      </w:pPr>
    </w:p>
    <w:p>
      <w:pPr>
        <w:pStyle w:val="37"/>
        <w:spacing w:line="360" w:lineRule="auto"/>
        <w:rPr>
          <w:b/>
          <w:lang w:val="en-US"/>
        </w:rPr>
      </w:pPr>
    </w:p>
    <w:p>
      <w:pPr>
        <w:jc w:val="center"/>
        <w:outlineLvl w:val="0"/>
        <w:rPr>
          <w:b/>
          <w:sz w:val="32"/>
          <w:szCs w:val="32"/>
        </w:rPr>
      </w:pPr>
      <w:bookmarkStart w:id="581" w:name="_Toc72694690"/>
      <w:bookmarkStart w:id="582" w:name="_Toc13065"/>
      <w:bookmarkStart w:id="583" w:name="_Toc72695362"/>
      <w:r>
        <w:rPr>
          <w:rFonts w:hint="eastAsia"/>
          <w:b/>
          <w:sz w:val="32"/>
          <w:szCs w:val="32"/>
        </w:rPr>
        <w:t>第七章  技术标准和要求</w:t>
      </w:r>
      <w:bookmarkEnd w:id="581"/>
      <w:bookmarkEnd w:id="582"/>
      <w:bookmarkEnd w:id="583"/>
    </w:p>
    <w:p>
      <w:pPr>
        <w:spacing w:line="360" w:lineRule="auto"/>
        <w:ind w:firstLine="420" w:firstLineChars="200"/>
        <w:rPr>
          <w:kern w:val="0"/>
          <w:highlight w:val="none"/>
        </w:rPr>
      </w:pPr>
      <w:bookmarkStart w:id="584" w:name="_Toc246930466"/>
      <w:bookmarkStart w:id="585" w:name="_Toc279505674"/>
      <w:bookmarkStart w:id="586" w:name="_Toc278558603"/>
      <w:bookmarkStart w:id="587" w:name="_Toc246931736"/>
      <w:r>
        <w:rPr>
          <w:rFonts w:hint="eastAsia"/>
          <w:kern w:val="0"/>
          <w:highlight w:val="none"/>
        </w:rPr>
        <w:t>除非合同文件中另有特别注明，本工程适用中华人民共和国现行有效的国家规范、规程和标准。其他设计文件中的有关文字说明是本工程技术规范的组成。对于涉及新技术、新工艺和新材料的工作，相应厂家使用说明或操作说明等的内容，或适用的国外同类标准的内容也是本工程技术规范的组成部分。</w:t>
      </w:r>
    </w:p>
    <w:p>
      <w:pPr>
        <w:spacing w:line="360" w:lineRule="auto"/>
        <w:ind w:firstLine="420" w:firstLineChars="200"/>
        <w:rPr>
          <w:kern w:val="0"/>
          <w:highlight w:val="none"/>
        </w:rPr>
      </w:pPr>
      <w:r>
        <w:rPr>
          <w:rFonts w:hint="eastAsia"/>
          <w:kern w:val="0"/>
          <w:highlight w:val="none"/>
        </w:rPr>
        <w:t>合同中约定的任何响应人应予遵照执行的国家规范、规程和标准都指他们各自的最新版本。如果在构成本工程规范和技术说明的任何内容与任何现行国家规范、规程和标准包括他们适用的修改之间出现相互矛盾之处或不一致的指示，响应人应按照其中要求最严格的标准执行。材料、施工工艺和本工程都应依照本工程规范和技术说明以及相关国家规范、规程和标准的最新版本；或把最新版本的要求当作对响应人工作的最起码要求，而执行更高的标准。</w:t>
      </w:r>
    </w:p>
    <w:p>
      <w:pPr>
        <w:spacing w:line="360" w:lineRule="auto"/>
        <w:ind w:firstLine="420" w:firstLineChars="200"/>
        <w:rPr>
          <w:kern w:val="0"/>
          <w:highlight w:val="none"/>
        </w:rPr>
      </w:pPr>
      <w:r>
        <w:rPr>
          <w:rFonts w:hint="eastAsia"/>
          <w:kern w:val="0"/>
          <w:highlight w:val="none"/>
        </w:rPr>
        <w:t>未尽项均执行现行规范及标准,以上规范如有变化，以最新发布的为准。</w:t>
      </w:r>
    </w:p>
    <w:bookmarkEnd w:id="584"/>
    <w:bookmarkEnd w:id="585"/>
    <w:bookmarkEnd w:id="586"/>
    <w:bookmarkEnd w:id="587"/>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jc w:val="center"/>
        <w:outlineLvl w:val="0"/>
      </w:pPr>
      <w:bookmarkStart w:id="588" w:name="_Toc3615"/>
      <w:bookmarkStart w:id="589" w:name="_Toc11677"/>
      <w:bookmarkStart w:id="590" w:name="_Toc15058_WPSOffice_Level1"/>
      <w:bookmarkStart w:id="591" w:name="_Toc72695363"/>
      <w:bookmarkStart w:id="592" w:name="_Toc72694691"/>
      <w:r>
        <w:rPr>
          <w:rFonts w:hint="eastAsia"/>
          <w:b/>
          <w:sz w:val="32"/>
          <w:szCs w:val="32"/>
        </w:rPr>
        <w:t xml:space="preserve">第八章  </w:t>
      </w:r>
      <w:bookmarkEnd w:id="588"/>
      <w:bookmarkEnd w:id="589"/>
      <w:bookmarkEnd w:id="590"/>
      <w:bookmarkEnd w:id="591"/>
      <w:bookmarkEnd w:id="592"/>
      <w:r>
        <w:rPr>
          <w:rFonts w:hint="eastAsia"/>
          <w:b/>
          <w:sz w:val="32"/>
          <w:szCs w:val="32"/>
        </w:rPr>
        <w:t>磋商响应文件格式</w:t>
      </w:r>
    </w:p>
    <w:p>
      <w:pPr>
        <w:pStyle w:val="13"/>
        <w:spacing w:beforeLines="100" w:afterLines="100" w:line="360" w:lineRule="auto"/>
        <w:ind w:firstLine="7280" w:firstLineChars="2600"/>
        <w:jc w:val="left"/>
        <w:rPr>
          <w:rFonts w:hAnsi="宋体"/>
          <w:bCs/>
          <w:sz w:val="28"/>
          <w:szCs w:val="28"/>
        </w:rPr>
      </w:pPr>
    </w:p>
    <w:p>
      <w:pPr>
        <w:pStyle w:val="13"/>
        <w:spacing w:beforeLines="100" w:afterLines="100" w:line="360" w:lineRule="auto"/>
        <w:jc w:val="center"/>
        <w:rPr>
          <w:rFonts w:hAnsi="宋体"/>
          <w:b/>
          <w:sz w:val="44"/>
          <w:szCs w:val="44"/>
        </w:rPr>
      </w:pPr>
      <w:bookmarkStart w:id="593" w:name="_Toc31859_WPSOffice_Level1"/>
      <w:bookmarkStart w:id="594" w:name="_Toc2821_WPSOffice_Level1"/>
      <w:bookmarkStart w:id="595" w:name="_Toc7266_WPSOffice_Level1"/>
      <w:r>
        <w:rPr>
          <w:rFonts w:hint="eastAsia" w:hAnsi="宋体"/>
          <w:b/>
          <w:sz w:val="44"/>
          <w:szCs w:val="44"/>
          <w:u w:val="single"/>
        </w:rPr>
        <w:t xml:space="preserve">    </w:t>
      </w:r>
      <w:r>
        <w:rPr>
          <w:rFonts w:hint="eastAsia" w:hAnsi="宋体"/>
          <w:b/>
          <w:sz w:val="44"/>
          <w:szCs w:val="44"/>
        </w:rPr>
        <w:t>项目</w:t>
      </w:r>
      <w:r>
        <w:rPr>
          <w:rFonts w:hint="eastAsia" w:hAnsi="宋体"/>
          <w:b/>
          <w:sz w:val="44"/>
          <w:szCs w:val="44"/>
          <w:u w:val="single"/>
          <w:lang w:val="en-US" w:eastAsia="zh-CN"/>
        </w:rPr>
        <w:t xml:space="preserve">  </w:t>
      </w:r>
      <w:r>
        <w:rPr>
          <w:rFonts w:hint="eastAsia" w:hAnsi="宋体"/>
          <w:b/>
          <w:sz w:val="44"/>
          <w:szCs w:val="44"/>
          <w:lang w:val="en-US" w:eastAsia="zh-CN"/>
        </w:rPr>
        <w:t>标段</w:t>
      </w:r>
      <w:r>
        <w:rPr>
          <w:rFonts w:hint="eastAsia" w:hAnsi="宋体"/>
          <w:b/>
          <w:sz w:val="44"/>
          <w:szCs w:val="44"/>
        </w:rPr>
        <w:t>竞争性磋商</w:t>
      </w:r>
      <w:bookmarkEnd w:id="593"/>
      <w:bookmarkEnd w:id="594"/>
      <w:bookmarkEnd w:id="595"/>
    </w:p>
    <w:p>
      <w:pPr>
        <w:pStyle w:val="13"/>
        <w:spacing w:beforeLines="100" w:afterLines="100" w:line="360" w:lineRule="auto"/>
        <w:jc w:val="center"/>
        <w:rPr>
          <w:rFonts w:hAnsi="宋体"/>
          <w:b/>
          <w:bCs/>
          <w:sz w:val="32"/>
          <w:u w:val="single"/>
        </w:rPr>
      </w:pPr>
    </w:p>
    <w:p>
      <w:pPr>
        <w:pStyle w:val="13"/>
        <w:spacing w:beforeLines="100" w:afterLines="100" w:line="360" w:lineRule="auto"/>
        <w:jc w:val="center"/>
        <w:rPr>
          <w:rFonts w:hAnsi="宋体"/>
          <w:b/>
          <w:bCs/>
          <w:sz w:val="84"/>
          <w:szCs w:val="84"/>
        </w:rPr>
      </w:pPr>
      <w:bookmarkStart w:id="596" w:name="_Toc22398_WPSOffice_Level1"/>
      <w:bookmarkStart w:id="597" w:name="_Toc22990_WPSOffice_Level1"/>
      <w:bookmarkStart w:id="598" w:name="_Toc9678_WPSOffice_Level1"/>
      <w:r>
        <w:rPr>
          <w:rFonts w:hint="eastAsia" w:hAnsi="宋体"/>
          <w:b/>
          <w:bCs/>
          <w:sz w:val="84"/>
          <w:szCs w:val="84"/>
        </w:rPr>
        <w:t>响应文件</w:t>
      </w:r>
      <w:bookmarkEnd w:id="596"/>
      <w:bookmarkEnd w:id="597"/>
      <w:bookmarkEnd w:id="598"/>
    </w:p>
    <w:p>
      <w:pPr>
        <w:pStyle w:val="13"/>
        <w:spacing w:beforeLines="100" w:afterLines="100" w:line="360" w:lineRule="auto"/>
        <w:jc w:val="center"/>
        <w:rPr>
          <w:rFonts w:hAnsi="宋体"/>
          <w:b/>
          <w:bCs/>
          <w:sz w:val="30"/>
          <w:szCs w:val="30"/>
        </w:rPr>
      </w:pPr>
      <w:bookmarkStart w:id="599" w:name="_Toc26187_WPSOffice_Level1"/>
      <w:bookmarkStart w:id="600" w:name="_Toc26010_WPSOffice_Level1"/>
      <w:bookmarkStart w:id="601" w:name="_Toc29975_WPSOffice_Level1"/>
      <w:r>
        <w:rPr>
          <w:rFonts w:hint="eastAsia" w:hAnsi="宋体"/>
          <w:b/>
          <w:bCs/>
          <w:sz w:val="30"/>
          <w:szCs w:val="30"/>
        </w:rPr>
        <w:t>采购编号：</w:t>
      </w:r>
      <w:bookmarkEnd w:id="599"/>
      <w:bookmarkEnd w:id="600"/>
      <w:bookmarkEnd w:id="601"/>
    </w:p>
    <w:p>
      <w:pPr>
        <w:pStyle w:val="13"/>
        <w:spacing w:beforeLines="100" w:afterLines="100" w:line="360" w:lineRule="auto"/>
        <w:jc w:val="center"/>
        <w:rPr>
          <w:rFonts w:hAnsi="宋体"/>
          <w:bCs/>
          <w:sz w:val="32"/>
        </w:rPr>
      </w:pPr>
      <w:bookmarkStart w:id="602" w:name="_Toc25149_WPSOffice_Level1"/>
      <w:bookmarkStart w:id="603" w:name="_Toc21750_WPSOffice_Level1"/>
      <w:bookmarkStart w:id="604" w:name="_Toc31498_WPSOffice_Level1"/>
      <w:r>
        <w:rPr>
          <w:rFonts w:hint="eastAsia" w:hAnsi="宋体"/>
          <w:bCs/>
          <w:sz w:val="32"/>
        </w:rPr>
        <w:t>（封面）</w:t>
      </w:r>
      <w:bookmarkEnd w:id="602"/>
      <w:bookmarkEnd w:id="603"/>
      <w:bookmarkEnd w:id="604"/>
    </w:p>
    <w:p>
      <w:pPr>
        <w:pStyle w:val="13"/>
        <w:spacing w:beforeLines="100" w:afterLines="100" w:line="360" w:lineRule="auto"/>
        <w:rPr>
          <w:rFonts w:hAnsi="宋体"/>
          <w:b/>
          <w:bCs/>
          <w:sz w:val="32"/>
          <w:u w:val="single"/>
        </w:rPr>
      </w:pPr>
    </w:p>
    <w:p>
      <w:pPr>
        <w:pStyle w:val="13"/>
        <w:spacing w:beforeLines="100" w:afterLines="100" w:line="360" w:lineRule="auto"/>
        <w:jc w:val="center"/>
        <w:rPr>
          <w:rFonts w:hAnsi="宋体"/>
          <w:b/>
          <w:bCs/>
          <w:sz w:val="32"/>
          <w:u w:val="single"/>
        </w:rPr>
      </w:pPr>
    </w:p>
    <w:p>
      <w:pPr>
        <w:pStyle w:val="13"/>
        <w:spacing w:beforeLines="100" w:afterLines="100" w:line="360" w:lineRule="auto"/>
        <w:rPr>
          <w:rFonts w:hAnsi="宋体"/>
          <w:b/>
          <w:bCs/>
          <w:sz w:val="32"/>
          <w:u w:val="single"/>
        </w:rPr>
      </w:pPr>
    </w:p>
    <w:p>
      <w:pPr>
        <w:pStyle w:val="13"/>
        <w:spacing w:beforeLines="100" w:afterLines="100" w:line="360" w:lineRule="auto"/>
        <w:jc w:val="center"/>
        <w:rPr>
          <w:rFonts w:hAnsi="宋体"/>
          <w:b/>
          <w:bCs/>
          <w:sz w:val="32"/>
          <w:u w:val="single"/>
        </w:rPr>
      </w:pPr>
      <w:bookmarkStart w:id="605" w:name="_Toc25974_WPSOffice_Level1"/>
      <w:bookmarkStart w:id="606" w:name="_Toc7166_WPSOffice_Level1"/>
      <w:bookmarkStart w:id="607" w:name="_Toc25325_WPSOffice_Level1"/>
      <w:r>
        <w:rPr>
          <w:rFonts w:hint="eastAsia" w:hAnsi="宋体"/>
          <w:b/>
          <w:bCs/>
          <w:sz w:val="32"/>
        </w:rPr>
        <w:t>供  应  商：（电子签章）</w:t>
      </w:r>
      <w:bookmarkEnd w:id="605"/>
      <w:bookmarkEnd w:id="606"/>
      <w:bookmarkEnd w:id="607"/>
    </w:p>
    <w:p>
      <w:pPr>
        <w:pStyle w:val="13"/>
        <w:spacing w:beforeLines="100" w:afterLines="100" w:line="360" w:lineRule="auto"/>
        <w:ind w:firstLine="596" w:firstLineChars="198"/>
        <w:rPr>
          <w:rFonts w:hAnsi="宋体"/>
          <w:b/>
          <w:bCs/>
          <w:sz w:val="30"/>
          <w:szCs w:val="30"/>
        </w:rPr>
      </w:pPr>
      <w:bookmarkStart w:id="608" w:name="_Toc31393_WPSOffice_Level1"/>
      <w:bookmarkStart w:id="609" w:name="_Toc21858_WPSOffice_Level1"/>
      <w:bookmarkStart w:id="610" w:name="_Toc29840_WPSOffice_Level1"/>
      <w:r>
        <w:rPr>
          <w:rFonts w:hint="eastAsia" w:hAnsi="宋体"/>
          <w:b/>
          <w:bCs/>
          <w:sz w:val="30"/>
          <w:szCs w:val="30"/>
        </w:rPr>
        <w:t>法定代表人或其委托代理人：（电子签名）</w:t>
      </w:r>
      <w:bookmarkEnd w:id="608"/>
      <w:bookmarkEnd w:id="609"/>
      <w:bookmarkEnd w:id="610"/>
    </w:p>
    <w:p>
      <w:pPr>
        <w:pStyle w:val="11"/>
        <w:spacing w:line="360" w:lineRule="auto"/>
        <w:ind w:left="0" w:leftChars="0" w:firstLine="2129" w:firstLineChars="707"/>
        <w:rPr>
          <w:rFonts w:ascii="宋体" w:hAnsi="宋体"/>
          <w:b/>
          <w:bCs/>
          <w:sz w:val="30"/>
          <w:szCs w:val="30"/>
        </w:rPr>
      </w:pPr>
      <w:bookmarkStart w:id="611" w:name="_Toc32012_WPSOffice_Level1"/>
      <w:bookmarkStart w:id="612" w:name="_Toc15496_WPSOffice_Level1"/>
      <w:bookmarkStart w:id="613" w:name="_Toc11679_WPSOffice_Level1"/>
      <w:r>
        <w:rPr>
          <w:rFonts w:hint="eastAsia" w:ascii="宋体" w:hAnsi="宋体"/>
          <w:b/>
          <w:bCs/>
          <w:sz w:val="30"/>
          <w:szCs w:val="30"/>
        </w:rPr>
        <w:t>日      期：       年    月    日</w:t>
      </w:r>
      <w:bookmarkEnd w:id="611"/>
      <w:bookmarkEnd w:id="612"/>
      <w:bookmarkEnd w:id="613"/>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left="0" w:leftChars="0" w:firstLine="0" w:firstLineChars="0"/>
        <w:rPr>
          <w:rFonts w:ascii="宋体" w:hAnsi="宋体"/>
          <w:b/>
          <w:sz w:val="24"/>
          <w:szCs w:val="24"/>
        </w:rPr>
      </w:pPr>
    </w:p>
    <w:p>
      <w:pPr>
        <w:spacing w:line="360" w:lineRule="auto"/>
        <w:jc w:val="center"/>
        <w:rPr>
          <w:b/>
          <w:sz w:val="28"/>
          <w:szCs w:val="28"/>
        </w:rPr>
      </w:pPr>
      <w:bookmarkStart w:id="614" w:name="_Toc11715_WPSOffice_Level1"/>
      <w:bookmarkStart w:id="615" w:name="_Toc502_WPSOffice_Level1"/>
      <w:bookmarkStart w:id="616" w:name="_Toc20683_WPSOffice_Level1"/>
      <w:r>
        <w:rPr>
          <w:rFonts w:hint="eastAsia"/>
          <w:b/>
          <w:sz w:val="28"/>
          <w:szCs w:val="28"/>
        </w:rPr>
        <w:t>响应文件目录</w:t>
      </w:r>
      <w:bookmarkEnd w:id="614"/>
      <w:bookmarkEnd w:id="615"/>
      <w:bookmarkEnd w:id="616"/>
    </w:p>
    <w:p>
      <w:pPr>
        <w:wordWrap/>
        <w:topLinePunct w:val="0"/>
        <w:autoSpaceDE w:val="0"/>
        <w:autoSpaceDN w:val="0"/>
        <w:adjustRightInd w:val="0"/>
        <w:spacing w:line="360" w:lineRule="auto"/>
        <w:ind w:right="40" w:firstLine="420" w:firstLineChars="200"/>
        <w:jc w:val="left"/>
        <w:rPr>
          <w:rFonts w:cs="微软雅黑"/>
          <w:kern w:val="0"/>
        </w:rPr>
      </w:pPr>
      <w:bookmarkStart w:id="617" w:name="_Toc11154_WPSOffice_Level1"/>
      <w:bookmarkStart w:id="618" w:name="_Toc2989_WPSOffice_Level1"/>
      <w:bookmarkStart w:id="619" w:name="_Toc22859_WPSOffice_Level1"/>
      <w:r>
        <w:rPr>
          <w:rFonts w:hint="eastAsia"/>
        </w:rPr>
        <w:t>一、</w:t>
      </w:r>
      <w:r>
        <w:rPr>
          <w:rFonts w:hint="eastAsia" w:cs="微软雅黑"/>
          <w:kern w:val="0"/>
        </w:rPr>
        <w:t>报价函及报价函附录</w:t>
      </w:r>
      <w:bookmarkEnd w:id="617"/>
      <w:bookmarkEnd w:id="618"/>
      <w:bookmarkEnd w:id="619"/>
    </w:p>
    <w:p>
      <w:pPr>
        <w:wordWrap/>
        <w:topLinePunct w:val="0"/>
        <w:spacing w:line="360" w:lineRule="auto"/>
        <w:ind w:firstLine="420" w:firstLineChars="200"/>
        <w:rPr>
          <w:kern w:val="0"/>
        </w:rPr>
      </w:pPr>
      <w:bookmarkStart w:id="620" w:name="_Toc7550_WPSOffice_Level1"/>
      <w:bookmarkStart w:id="621" w:name="_Toc6626_WPSOffice_Level1"/>
      <w:bookmarkStart w:id="622" w:name="_Toc13949_WPSOffice_Level1"/>
      <w:r>
        <w:rPr>
          <w:rFonts w:hint="eastAsia"/>
        </w:rPr>
        <w:t>二、法定代表人身份证明</w:t>
      </w:r>
      <w:r>
        <w:rPr>
          <w:rFonts w:hint="eastAsia"/>
          <w:kern w:val="0"/>
        </w:rPr>
        <w:t>或授权委托书</w:t>
      </w:r>
      <w:bookmarkEnd w:id="620"/>
      <w:bookmarkEnd w:id="621"/>
      <w:bookmarkEnd w:id="622"/>
    </w:p>
    <w:p>
      <w:pPr>
        <w:wordWrap/>
        <w:topLinePunct w:val="0"/>
        <w:spacing w:line="360" w:lineRule="auto"/>
        <w:ind w:firstLine="420" w:firstLineChars="200"/>
      </w:pPr>
      <w:bookmarkStart w:id="623" w:name="_Toc31278_WPSOffice_Level1"/>
      <w:bookmarkStart w:id="624" w:name="_Toc19690_WPSOffice_Level1"/>
      <w:bookmarkStart w:id="625" w:name="_Toc32584_WPSOffice_Level1"/>
      <w:r>
        <w:rPr>
          <w:rFonts w:hint="eastAsia"/>
        </w:rPr>
        <w:t>三、响应人资格审查资料</w:t>
      </w:r>
      <w:bookmarkEnd w:id="623"/>
      <w:bookmarkEnd w:id="624"/>
      <w:bookmarkEnd w:id="625"/>
    </w:p>
    <w:p>
      <w:pPr>
        <w:wordWrap/>
        <w:topLinePunct w:val="0"/>
        <w:spacing w:line="360" w:lineRule="auto"/>
        <w:ind w:firstLine="420" w:firstLineChars="200"/>
      </w:pPr>
      <w:bookmarkStart w:id="626" w:name="_Toc16168_WPSOffice_Level1"/>
      <w:bookmarkStart w:id="627" w:name="_Toc19781_WPSOffice_Level1"/>
      <w:bookmarkStart w:id="628" w:name="_Toc4041_WPSOffice_Level1"/>
      <w:r>
        <w:rPr>
          <w:rFonts w:hint="eastAsia"/>
        </w:rPr>
        <w:t>四、已标价工程量清单</w:t>
      </w:r>
      <w:bookmarkEnd w:id="626"/>
      <w:bookmarkEnd w:id="627"/>
      <w:bookmarkEnd w:id="628"/>
    </w:p>
    <w:p>
      <w:pPr>
        <w:wordWrap/>
        <w:topLinePunct w:val="0"/>
        <w:spacing w:line="360" w:lineRule="auto"/>
        <w:ind w:firstLine="420" w:firstLineChars="200"/>
      </w:pPr>
      <w:bookmarkStart w:id="629" w:name="_Toc10286_WPSOffice_Level1"/>
      <w:bookmarkStart w:id="630" w:name="_Toc4809_WPSOffice_Level1"/>
      <w:bookmarkStart w:id="631" w:name="_Toc18132_WPSOffice_Level1"/>
      <w:r>
        <w:rPr>
          <w:rFonts w:hint="eastAsia"/>
        </w:rPr>
        <w:t>五、施工组织设计</w:t>
      </w:r>
      <w:bookmarkEnd w:id="629"/>
      <w:bookmarkEnd w:id="630"/>
      <w:bookmarkEnd w:id="631"/>
    </w:p>
    <w:p>
      <w:pPr>
        <w:wordWrap/>
        <w:topLinePunct w:val="0"/>
        <w:spacing w:line="360" w:lineRule="auto"/>
        <w:ind w:firstLine="420" w:firstLineChars="200"/>
      </w:pPr>
      <w:bookmarkStart w:id="632" w:name="_Toc14778_WPSOffice_Level1"/>
      <w:bookmarkStart w:id="633" w:name="_Toc10069_WPSOffice_Level1"/>
      <w:bookmarkStart w:id="634" w:name="_Toc23500_WPSOffice_Level1"/>
      <w:r>
        <w:rPr>
          <w:rFonts w:hint="eastAsia"/>
        </w:rPr>
        <w:t>六、项目管理机构</w:t>
      </w:r>
      <w:bookmarkEnd w:id="632"/>
      <w:bookmarkEnd w:id="633"/>
      <w:bookmarkEnd w:id="634"/>
    </w:p>
    <w:p>
      <w:pPr>
        <w:wordWrap/>
        <w:topLinePunct w:val="0"/>
        <w:autoSpaceDE w:val="0"/>
        <w:autoSpaceDN w:val="0"/>
        <w:adjustRightInd w:val="0"/>
        <w:spacing w:line="360" w:lineRule="auto"/>
        <w:ind w:right="40" w:firstLine="420" w:firstLineChars="200"/>
        <w:jc w:val="left"/>
        <w:rPr>
          <w:rFonts w:cs="微软雅黑"/>
          <w:kern w:val="0"/>
        </w:rPr>
      </w:pPr>
      <w:bookmarkStart w:id="635" w:name="_Toc31174_WPSOffice_Level1"/>
      <w:bookmarkStart w:id="636" w:name="_Toc10657_WPSOffice_Level1"/>
      <w:bookmarkStart w:id="637" w:name="_Toc9873_WPSOffice_Level1"/>
      <w:r>
        <w:rPr>
          <w:rFonts w:hint="eastAsia"/>
          <w:lang w:val="en-US" w:eastAsia="zh-CN"/>
        </w:rPr>
        <w:t>七</w:t>
      </w:r>
      <w:r>
        <w:rPr>
          <w:rFonts w:hint="eastAsia"/>
        </w:rPr>
        <w:t>、</w:t>
      </w:r>
      <w:r>
        <w:rPr>
          <w:rFonts w:hint="eastAsia" w:cs="微软雅黑"/>
          <w:kern w:val="0"/>
        </w:rPr>
        <w:t>服务承诺</w:t>
      </w:r>
      <w:bookmarkEnd w:id="635"/>
      <w:bookmarkEnd w:id="636"/>
      <w:bookmarkEnd w:id="637"/>
    </w:p>
    <w:p>
      <w:pPr>
        <w:wordWrap/>
        <w:topLinePunct w:val="0"/>
        <w:autoSpaceDE w:val="0"/>
        <w:autoSpaceDN w:val="0"/>
        <w:adjustRightInd w:val="0"/>
        <w:spacing w:line="360" w:lineRule="auto"/>
        <w:ind w:right="40" w:firstLine="420" w:firstLineChars="200"/>
        <w:jc w:val="left"/>
        <w:rPr>
          <w:rFonts w:cs="微软雅黑"/>
          <w:kern w:val="0"/>
        </w:rPr>
      </w:pPr>
      <w:bookmarkStart w:id="638" w:name="_Toc16358_WPSOffice_Level1"/>
      <w:bookmarkStart w:id="639" w:name="_Toc18831_WPSOffice_Level1"/>
      <w:bookmarkStart w:id="640" w:name="_Toc31900_WPSOffice_Level1"/>
      <w:r>
        <w:rPr>
          <w:rFonts w:hint="eastAsia" w:cs="微软雅黑"/>
          <w:kern w:val="0"/>
          <w:lang w:val="en-US" w:eastAsia="zh-CN"/>
        </w:rPr>
        <w:t>八</w:t>
      </w:r>
      <w:r>
        <w:rPr>
          <w:rFonts w:hint="eastAsia" w:cs="微软雅黑"/>
          <w:kern w:val="0"/>
        </w:rPr>
        <w:t>、反商业贿赂承诺书</w:t>
      </w:r>
      <w:bookmarkEnd w:id="638"/>
      <w:bookmarkEnd w:id="639"/>
      <w:bookmarkEnd w:id="640"/>
    </w:p>
    <w:p>
      <w:pPr>
        <w:wordWrap/>
        <w:topLinePunct w:val="0"/>
        <w:autoSpaceDE w:val="0"/>
        <w:autoSpaceDN w:val="0"/>
        <w:adjustRightInd w:val="0"/>
        <w:spacing w:line="360" w:lineRule="auto"/>
        <w:ind w:right="40" w:firstLine="420" w:firstLineChars="200"/>
        <w:jc w:val="left"/>
        <w:rPr>
          <w:rFonts w:cs="微软雅黑"/>
          <w:kern w:val="0"/>
        </w:rPr>
      </w:pPr>
      <w:bookmarkStart w:id="641" w:name="_Toc25410_WPSOffice_Level1"/>
      <w:bookmarkStart w:id="642" w:name="_Toc25044_WPSOffice_Level1"/>
      <w:bookmarkStart w:id="643" w:name="_Toc527_WPSOffice_Level1"/>
      <w:r>
        <w:rPr>
          <w:rFonts w:hint="eastAsia" w:cs="微软雅黑"/>
          <w:kern w:val="0"/>
          <w:lang w:val="en-US" w:eastAsia="zh-CN"/>
        </w:rPr>
        <w:t>九</w:t>
      </w:r>
      <w:r>
        <w:rPr>
          <w:rFonts w:hint="eastAsia" w:cs="微软雅黑"/>
          <w:kern w:val="0"/>
        </w:rPr>
        <w:t>、中小企业声明函</w:t>
      </w:r>
      <w:bookmarkEnd w:id="641"/>
      <w:bookmarkEnd w:id="642"/>
      <w:bookmarkEnd w:id="643"/>
    </w:p>
    <w:p>
      <w:pPr>
        <w:wordWrap/>
        <w:topLinePunct w:val="0"/>
        <w:autoSpaceDE w:val="0"/>
        <w:autoSpaceDN w:val="0"/>
        <w:adjustRightInd w:val="0"/>
        <w:spacing w:line="360" w:lineRule="auto"/>
        <w:ind w:right="40" w:firstLine="420" w:firstLineChars="200"/>
        <w:jc w:val="left"/>
        <w:rPr>
          <w:rFonts w:cs="微软雅黑"/>
          <w:kern w:val="0"/>
        </w:rPr>
      </w:pPr>
      <w:bookmarkStart w:id="644" w:name="_Toc29336_WPSOffice_Level1"/>
      <w:bookmarkStart w:id="645" w:name="_Toc21910_WPSOffice_Level1"/>
      <w:bookmarkStart w:id="646" w:name="_Toc14706_WPSOffice_Level1"/>
      <w:r>
        <w:rPr>
          <w:rFonts w:hint="eastAsia" w:cs="微软雅黑"/>
          <w:kern w:val="0"/>
        </w:rPr>
        <w:t>十、残疾人福利性单位声明函</w:t>
      </w:r>
      <w:bookmarkEnd w:id="644"/>
      <w:bookmarkEnd w:id="645"/>
      <w:bookmarkEnd w:id="646"/>
    </w:p>
    <w:p>
      <w:pPr>
        <w:wordWrap/>
        <w:topLinePunct w:val="0"/>
        <w:autoSpaceDE w:val="0"/>
        <w:autoSpaceDN w:val="0"/>
        <w:adjustRightInd w:val="0"/>
        <w:spacing w:line="360" w:lineRule="auto"/>
        <w:ind w:right="40" w:firstLine="420" w:firstLineChars="200"/>
        <w:jc w:val="left"/>
        <w:rPr>
          <w:rFonts w:cs="微软雅黑"/>
          <w:kern w:val="0"/>
        </w:rPr>
      </w:pPr>
      <w:bookmarkStart w:id="647" w:name="_Toc27164_WPSOffice_Level1"/>
      <w:bookmarkStart w:id="648" w:name="_Toc27516_WPSOffice_Level1"/>
      <w:bookmarkStart w:id="649" w:name="_Toc10752_WPSOffice_Level1"/>
      <w:r>
        <w:rPr>
          <w:rFonts w:hint="eastAsia" w:cs="微软雅黑"/>
          <w:kern w:val="0"/>
        </w:rPr>
        <w:t>十</w:t>
      </w:r>
      <w:r>
        <w:rPr>
          <w:rFonts w:hint="eastAsia" w:cs="微软雅黑"/>
          <w:kern w:val="0"/>
          <w:lang w:val="en-US" w:eastAsia="zh-CN"/>
        </w:rPr>
        <w:t>一</w:t>
      </w:r>
      <w:r>
        <w:rPr>
          <w:rFonts w:hint="eastAsia" w:cs="微软雅黑"/>
          <w:kern w:val="0"/>
        </w:rPr>
        <w:t>、其他资料</w:t>
      </w:r>
      <w:bookmarkEnd w:id="647"/>
      <w:bookmarkEnd w:id="648"/>
      <w:bookmarkEnd w:id="649"/>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1"/>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5"/>
        <w:numPr>
          <w:ilvl w:val="0"/>
          <w:numId w:val="24"/>
        </w:numPr>
        <w:tabs>
          <w:tab w:val="left" w:pos="425"/>
        </w:tabs>
        <w:rPr>
          <w:szCs w:val="24"/>
        </w:rPr>
      </w:pPr>
      <w:bookmarkStart w:id="650" w:name="_Toc7590_WPSOffice_Level1"/>
      <w:bookmarkStart w:id="651" w:name="_Toc11653_WPSOffice_Level1"/>
      <w:bookmarkStart w:id="652" w:name="_Toc29365"/>
      <w:bookmarkStart w:id="653" w:name="_Toc32417_WPSOffice_Level1"/>
      <w:r>
        <w:rPr>
          <w:rFonts w:hint="eastAsia"/>
          <w:szCs w:val="24"/>
          <w:lang w:val="zh-CN"/>
        </w:rPr>
        <w:t>报价函及报价函附录</w:t>
      </w:r>
      <w:bookmarkEnd w:id="650"/>
      <w:bookmarkEnd w:id="651"/>
      <w:bookmarkEnd w:id="652"/>
      <w:bookmarkEnd w:id="653"/>
    </w:p>
    <w:p>
      <w:pPr>
        <w:pStyle w:val="6"/>
        <w:numPr>
          <w:ilvl w:val="0"/>
          <w:numId w:val="25"/>
        </w:numPr>
        <w:jc w:val="center"/>
        <w:rPr>
          <w:sz w:val="28"/>
          <w:szCs w:val="28"/>
        </w:rPr>
      </w:pPr>
      <w:r>
        <w:rPr>
          <w:rFonts w:hint="eastAsia"/>
          <w:sz w:val="28"/>
          <w:szCs w:val="28"/>
          <w:lang w:val="zh-CN"/>
        </w:rPr>
        <w:t>报价函</w:t>
      </w:r>
    </w:p>
    <w:p>
      <w:pPr>
        <w:spacing w:line="360" w:lineRule="auto"/>
      </w:pPr>
      <w:r>
        <w:rPr>
          <w:rFonts w:hint="eastAsia"/>
        </w:rPr>
        <w:t>致：（</w:t>
      </w:r>
      <w:r>
        <w:rPr>
          <w:rFonts w:hint="eastAsia"/>
          <w:u w:val="single"/>
        </w:rPr>
        <w:t>采购人或采购代理机构名称</w:t>
      </w:r>
      <w:r>
        <w:rPr>
          <w:rFonts w:hint="eastAsia"/>
        </w:rPr>
        <w:t>）</w:t>
      </w:r>
    </w:p>
    <w:p>
      <w:pPr>
        <w:pStyle w:val="12"/>
        <w:numPr>
          <w:ilvl w:val="0"/>
          <w:numId w:val="26"/>
        </w:numPr>
        <w:tabs>
          <w:tab w:val="left" w:pos="0"/>
          <w:tab w:val="clear" w:pos="420"/>
        </w:tabs>
        <w:spacing w:after="0" w:line="360" w:lineRule="auto"/>
        <w:ind w:left="0" w:firstLine="315" w:firstLineChars="150"/>
        <w:rPr>
          <w:sz w:val="21"/>
        </w:rPr>
      </w:pPr>
      <w:r>
        <w:rPr>
          <w:rFonts w:hint="eastAsia"/>
          <w:sz w:val="21"/>
        </w:rPr>
        <w:t>我方已仔细研究了</w:t>
      </w:r>
      <w:r>
        <w:rPr>
          <w:rFonts w:hint="eastAsia"/>
          <w:sz w:val="21"/>
          <w:u w:val="single"/>
        </w:rPr>
        <w:tab/>
      </w:r>
      <w:r>
        <w:rPr>
          <w:rFonts w:hint="eastAsia"/>
          <w:sz w:val="21"/>
          <w:u w:val="single"/>
          <w:lang w:val="en-US" w:eastAsia="zh-CN"/>
        </w:rPr>
        <w:t xml:space="preserve">   </w:t>
      </w:r>
      <w:r>
        <w:rPr>
          <w:rFonts w:hint="eastAsia"/>
          <w:sz w:val="21"/>
        </w:rPr>
        <w:t>（项目名称）采购项目竞争性磋商文件的全部内容，愿意以人民币</w:t>
      </w:r>
      <w:r>
        <w:rPr>
          <w:rFonts w:hint="eastAsia"/>
          <w:sz w:val="21"/>
          <w:lang w:val="en-US" w:eastAsia="zh-CN"/>
        </w:rPr>
        <w:t xml:space="preserve">   </w:t>
      </w:r>
      <w:r>
        <w:rPr>
          <w:rFonts w:hint="eastAsia"/>
          <w:sz w:val="21"/>
          <w:u w:val="single"/>
          <w:lang w:val="en-US" w:eastAsia="zh-CN"/>
        </w:rPr>
        <w:t xml:space="preserve">     </w:t>
      </w:r>
      <w:r>
        <w:rPr>
          <w:rFonts w:hint="eastAsia"/>
          <w:sz w:val="21"/>
        </w:rPr>
        <w:t>（大写）（¥</w:t>
      </w:r>
      <w:r>
        <w:rPr>
          <w:rFonts w:hint="eastAsia"/>
          <w:sz w:val="21"/>
          <w:lang w:val="en-US" w:eastAsia="zh-CN"/>
        </w:rPr>
        <w:t xml:space="preserve"> </w:t>
      </w:r>
      <w:r>
        <w:rPr>
          <w:rFonts w:hint="eastAsia"/>
          <w:sz w:val="21"/>
          <w:u w:val="single"/>
        </w:rPr>
        <w:tab/>
      </w:r>
      <w:r>
        <w:rPr>
          <w:rFonts w:hint="eastAsia"/>
          <w:sz w:val="21"/>
          <w:u w:val="single"/>
          <w:lang w:val="en-US" w:eastAsia="zh-CN"/>
        </w:rPr>
        <w:t xml:space="preserve"> </w:t>
      </w:r>
      <w:r>
        <w:rPr>
          <w:rFonts w:hint="eastAsia"/>
          <w:sz w:val="21"/>
        </w:rPr>
        <w:t>）的磋商总报价，计划工期</w:t>
      </w:r>
      <w:r>
        <w:rPr>
          <w:rFonts w:hint="eastAsia"/>
          <w:sz w:val="21"/>
          <w:u w:val="single"/>
        </w:rPr>
        <w:t xml:space="preserve">      </w:t>
      </w:r>
      <w:r>
        <w:rPr>
          <w:rFonts w:hint="eastAsia"/>
          <w:sz w:val="21"/>
        </w:rPr>
        <w:t>日历天，按合同约定完成全部工作。</w:t>
      </w:r>
    </w:p>
    <w:p>
      <w:pPr>
        <w:pStyle w:val="12"/>
        <w:numPr>
          <w:ilvl w:val="0"/>
          <w:numId w:val="26"/>
        </w:numPr>
        <w:tabs>
          <w:tab w:val="left" w:pos="0"/>
          <w:tab w:val="clear" w:pos="420"/>
        </w:tabs>
        <w:spacing w:after="0" w:line="360" w:lineRule="auto"/>
        <w:ind w:left="0" w:firstLine="315" w:firstLineChars="150"/>
        <w:rPr>
          <w:sz w:val="21"/>
        </w:rPr>
      </w:pPr>
      <w:r>
        <w:rPr>
          <w:rFonts w:hint="eastAsia"/>
          <w:sz w:val="21"/>
        </w:rPr>
        <w:t>如果我方成交，我方将按竞争性磋商文件的规定签订并严格履行合同中的责任和义务，在签订合同时不向你方提出附加条件，按照竞争性磋商文件要求提交履约保证金，在合同约定的期限内完成合同规定的全部内容。</w:t>
      </w:r>
    </w:p>
    <w:p>
      <w:pPr>
        <w:pStyle w:val="12"/>
        <w:numPr>
          <w:ilvl w:val="0"/>
          <w:numId w:val="26"/>
        </w:numPr>
        <w:tabs>
          <w:tab w:val="left" w:pos="720"/>
          <w:tab w:val="clear" w:pos="420"/>
        </w:tabs>
        <w:spacing w:after="0" w:line="360" w:lineRule="auto"/>
        <w:ind w:left="0" w:firstLine="315" w:firstLineChars="150"/>
        <w:rPr>
          <w:sz w:val="21"/>
        </w:rPr>
      </w:pPr>
      <w:r>
        <w:rPr>
          <w:rFonts w:hint="eastAsia"/>
          <w:sz w:val="21"/>
        </w:rPr>
        <w:t>我方已详细审查全部竞争性磋商文件，包括修改文件以及全部参考资料和有关附件。我方完全理解并同意放弃对这方面有不明及误解的权力。</w:t>
      </w:r>
    </w:p>
    <w:p>
      <w:pPr>
        <w:pStyle w:val="12"/>
        <w:numPr>
          <w:ilvl w:val="0"/>
          <w:numId w:val="26"/>
        </w:numPr>
        <w:tabs>
          <w:tab w:val="left" w:pos="720"/>
          <w:tab w:val="clear" w:pos="420"/>
        </w:tabs>
        <w:spacing w:after="0" w:line="360" w:lineRule="auto"/>
        <w:ind w:hanging="60"/>
        <w:rPr>
          <w:sz w:val="21"/>
        </w:rPr>
      </w:pPr>
      <w:r>
        <w:rPr>
          <w:rFonts w:hint="eastAsia"/>
          <w:sz w:val="21"/>
        </w:rPr>
        <w:t>磋商有效期为提交首次响应文件的截止之日起</w:t>
      </w:r>
      <w:r>
        <w:rPr>
          <w:rFonts w:hint="eastAsia"/>
          <w:sz w:val="21"/>
          <w:u w:val="single"/>
        </w:rPr>
        <w:t xml:space="preserve">  60  </w:t>
      </w:r>
      <w:r>
        <w:rPr>
          <w:rFonts w:hint="eastAsia"/>
          <w:sz w:val="21"/>
        </w:rPr>
        <w:t>日历天。</w:t>
      </w:r>
    </w:p>
    <w:p>
      <w:pPr>
        <w:pStyle w:val="12"/>
        <w:numPr>
          <w:ilvl w:val="0"/>
          <w:numId w:val="26"/>
        </w:numPr>
        <w:tabs>
          <w:tab w:val="left" w:pos="720"/>
          <w:tab w:val="clear" w:pos="420"/>
        </w:tabs>
        <w:spacing w:after="0" w:line="360" w:lineRule="auto"/>
        <w:ind w:left="0" w:firstLine="360"/>
        <w:rPr>
          <w:sz w:val="21"/>
        </w:rPr>
      </w:pPr>
      <w:r>
        <w:rPr>
          <w:rFonts w:hint="eastAsia"/>
          <w:sz w:val="21"/>
        </w:rPr>
        <w:t>如果在规定的开启时间后，我方在磋商有效期内撤回响应文件，磋商保证金将不予退回。</w:t>
      </w:r>
    </w:p>
    <w:p>
      <w:pPr>
        <w:pStyle w:val="12"/>
        <w:numPr>
          <w:ilvl w:val="0"/>
          <w:numId w:val="26"/>
        </w:numPr>
        <w:tabs>
          <w:tab w:val="left" w:pos="720"/>
          <w:tab w:val="clear" w:pos="420"/>
        </w:tabs>
        <w:spacing w:after="0" w:line="360" w:lineRule="auto"/>
        <w:ind w:left="0" w:firstLine="360"/>
        <w:rPr>
          <w:sz w:val="21"/>
        </w:rPr>
      </w:pPr>
      <w:r>
        <w:rPr>
          <w:rFonts w:hint="eastAsia"/>
          <w:sz w:val="21"/>
        </w:rPr>
        <w:t>我方在此声明，所递交的响应文件及有关资料内容完整、真实和准确，且不存在第二章“响应人须知”第 1.4.3项规定的任何一种情形。</w:t>
      </w:r>
    </w:p>
    <w:p>
      <w:pPr>
        <w:pStyle w:val="12"/>
        <w:numPr>
          <w:ilvl w:val="0"/>
          <w:numId w:val="26"/>
        </w:numPr>
        <w:tabs>
          <w:tab w:val="left" w:pos="720"/>
          <w:tab w:val="clear" w:pos="420"/>
        </w:tabs>
        <w:spacing w:after="0" w:line="360" w:lineRule="auto"/>
        <w:ind w:left="0" w:firstLine="360"/>
        <w:rPr>
          <w:sz w:val="21"/>
        </w:rPr>
      </w:pPr>
      <w:r>
        <w:rPr>
          <w:rFonts w:hint="eastAsia"/>
          <w:sz w:val="21"/>
        </w:rPr>
        <w:t>我方同意提供按照贵方可能要求的与其磋商有关的一切数据或资料，完全理解贵方不一定接受最低价的响应。</w:t>
      </w:r>
    </w:p>
    <w:p>
      <w:pPr>
        <w:spacing w:line="360" w:lineRule="auto"/>
      </w:pPr>
    </w:p>
    <w:p>
      <w:pPr>
        <w:pStyle w:val="11"/>
        <w:spacing w:line="360" w:lineRule="auto"/>
        <w:ind w:left="1" w:leftChars="0" w:firstLine="420" w:firstLineChars="200"/>
        <w:rPr>
          <w:rFonts w:ascii="宋体" w:hAnsi="宋体" w:cs="宋体"/>
        </w:rPr>
      </w:pPr>
      <w:r>
        <w:rPr>
          <w:rFonts w:hint="eastAsia" w:ascii="宋体" w:hAnsi="宋体" w:cs="宋体"/>
        </w:rPr>
        <w:t xml:space="preserve">地    址：                  邮政编码：               </w:t>
      </w:r>
    </w:p>
    <w:p>
      <w:pPr>
        <w:pStyle w:val="11"/>
        <w:spacing w:line="360" w:lineRule="auto"/>
        <w:ind w:left="1" w:leftChars="0" w:firstLine="420" w:firstLineChars="200"/>
        <w:rPr>
          <w:rFonts w:ascii="宋体" w:hAnsi="宋体" w:cs="宋体"/>
        </w:rPr>
      </w:pPr>
      <w:r>
        <w:rPr>
          <w:rFonts w:hint="eastAsia" w:ascii="宋体" w:hAnsi="宋体" w:cs="宋体"/>
        </w:rPr>
        <w:t xml:space="preserve">电    话：                  传    真：               </w:t>
      </w:r>
    </w:p>
    <w:p>
      <w:pPr>
        <w:pStyle w:val="11"/>
        <w:spacing w:line="360" w:lineRule="auto"/>
        <w:ind w:left="1" w:leftChars="0" w:firstLine="420" w:firstLineChars="200"/>
        <w:rPr>
          <w:rFonts w:ascii="宋体" w:hAnsi="宋体" w:cs="宋体"/>
        </w:rPr>
      </w:pPr>
    </w:p>
    <w:p>
      <w:pPr>
        <w:pStyle w:val="11"/>
        <w:spacing w:line="360" w:lineRule="auto"/>
        <w:ind w:left="1" w:leftChars="0" w:firstLine="420" w:firstLineChars="200"/>
        <w:jc w:val="right"/>
        <w:rPr>
          <w:rFonts w:ascii="宋体" w:hAnsi="宋体" w:cs="宋体"/>
        </w:rPr>
      </w:pPr>
      <w:r>
        <w:rPr>
          <w:rFonts w:hint="eastAsia" w:ascii="宋体" w:hAnsi="宋体" w:cs="宋体"/>
        </w:rPr>
        <w:t>响应人：（电子签章）</w:t>
      </w:r>
    </w:p>
    <w:p>
      <w:pPr>
        <w:pStyle w:val="11"/>
        <w:spacing w:line="360" w:lineRule="auto"/>
        <w:ind w:left="1" w:leftChars="0" w:firstLine="420" w:firstLineChars="200"/>
        <w:jc w:val="right"/>
        <w:rPr>
          <w:rFonts w:hint="eastAsia" w:ascii="宋体" w:hAnsi="宋体" w:cs="宋体"/>
        </w:rPr>
      </w:pPr>
      <w:r>
        <w:rPr>
          <w:rFonts w:hint="eastAsia" w:ascii="宋体" w:hAnsi="宋体" w:cs="宋体"/>
        </w:rPr>
        <w:t>法定代表人或其委托代理人：（电子签名）</w:t>
      </w:r>
    </w:p>
    <w:p>
      <w:pPr>
        <w:pStyle w:val="11"/>
        <w:wordWrap w:val="0"/>
        <w:spacing w:line="360" w:lineRule="auto"/>
        <w:ind w:left="1" w:leftChars="0" w:firstLine="420" w:firstLineChars="200"/>
        <w:jc w:val="right"/>
        <w:rPr>
          <w:rFonts w:hint="eastAsia" w:ascii="宋体" w:hAnsi="宋体" w:cs="宋体"/>
          <w:u w:val="single"/>
          <w:lang w:val="en-US" w:eastAsia="zh-CN"/>
        </w:rPr>
      </w:pPr>
      <w:r>
        <w:rPr>
          <w:rFonts w:hint="eastAsia" w:ascii="宋体" w:hAnsi="宋体" w:cs="宋体"/>
          <w:lang w:val="en-US" w:eastAsia="zh-CN"/>
        </w:rPr>
        <w:t xml:space="preserve">投标联系人; </w:t>
      </w:r>
      <w:r>
        <w:rPr>
          <w:rFonts w:hint="eastAsia" w:ascii="宋体" w:hAnsi="宋体" w:cs="宋体"/>
          <w:u w:val="single"/>
          <w:lang w:val="en-US" w:eastAsia="zh-CN"/>
        </w:rPr>
        <w:t xml:space="preserve">                           </w:t>
      </w:r>
    </w:p>
    <w:p>
      <w:pPr>
        <w:pStyle w:val="11"/>
        <w:wordWrap w:val="0"/>
        <w:spacing w:line="360" w:lineRule="auto"/>
        <w:ind w:left="1" w:leftChars="0" w:firstLine="420" w:firstLineChars="200"/>
        <w:jc w:val="right"/>
        <w:rPr>
          <w:rFonts w:hint="default" w:ascii="宋体" w:hAnsi="宋体" w:cs="宋体"/>
          <w:u w:val="single"/>
          <w:lang w:val="en-US" w:eastAsia="zh-CN"/>
        </w:rPr>
      </w:pPr>
      <w:r>
        <w:rPr>
          <w:rFonts w:hint="eastAsia" w:ascii="宋体" w:hAnsi="宋体" w:cs="宋体"/>
          <w:u w:val="none"/>
          <w:lang w:val="en-US" w:eastAsia="zh-CN"/>
        </w:rPr>
        <w:t xml:space="preserve">联系电话（手机号码）; </w:t>
      </w:r>
      <w:r>
        <w:rPr>
          <w:rFonts w:hint="eastAsia" w:ascii="宋体" w:hAnsi="宋体" w:cs="宋体"/>
          <w:u w:val="single"/>
          <w:lang w:val="en-US" w:eastAsia="zh-CN"/>
        </w:rPr>
        <w:t xml:space="preserve">                 </w:t>
      </w:r>
    </w:p>
    <w:p>
      <w:pPr>
        <w:pStyle w:val="11"/>
        <w:spacing w:line="360" w:lineRule="auto"/>
        <w:ind w:left="1" w:leftChars="0" w:firstLine="420" w:firstLineChars="200"/>
        <w:jc w:val="right"/>
        <w:rPr>
          <w:rFonts w:ascii="宋体" w:hAnsi="宋体" w:cs="宋体"/>
        </w:rPr>
      </w:pPr>
      <w:r>
        <w:rPr>
          <w:rFonts w:hint="eastAsia" w:ascii="宋体" w:hAnsi="宋体" w:cs="宋体"/>
        </w:rPr>
        <w:t>日期：     年    月    日</w:t>
      </w:r>
    </w:p>
    <w:p>
      <w:pPr>
        <w:pStyle w:val="22"/>
        <w:spacing w:line="360" w:lineRule="auto"/>
        <w:ind w:firstLine="482"/>
        <w:rPr>
          <w:rFonts w:ascii="宋体" w:hAnsi="宋体"/>
          <w:b/>
          <w:sz w:val="24"/>
          <w:szCs w:val="24"/>
        </w:rPr>
      </w:pPr>
    </w:p>
    <w:p>
      <w:pPr>
        <w:pStyle w:val="22"/>
        <w:spacing w:line="360" w:lineRule="auto"/>
        <w:ind w:firstLine="482"/>
        <w:rPr>
          <w:rFonts w:ascii="宋体" w:hAnsi="宋体"/>
          <w:b/>
          <w:sz w:val="24"/>
          <w:szCs w:val="24"/>
        </w:rPr>
      </w:pPr>
    </w:p>
    <w:p>
      <w:pPr>
        <w:pStyle w:val="7"/>
      </w:pPr>
    </w:p>
    <w:p>
      <w:pPr>
        <w:pStyle w:val="6"/>
        <w:numPr>
          <w:ilvl w:val="0"/>
          <w:numId w:val="25"/>
        </w:numPr>
        <w:jc w:val="center"/>
        <w:rPr>
          <w:sz w:val="28"/>
          <w:szCs w:val="28"/>
          <w:lang w:val="zh-CN"/>
        </w:rPr>
      </w:pPr>
      <w:bookmarkStart w:id="654" w:name="_Toc21386"/>
      <w:r>
        <w:rPr>
          <w:rFonts w:hint="eastAsia"/>
          <w:sz w:val="28"/>
          <w:szCs w:val="28"/>
          <w:lang w:val="zh-CN"/>
        </w:rPr>
        <w:t>报价函附录（第一轮报价）</w:t>
      </w:r>
      <w:bookmarkEnd w:id="654"/>
    </w:p>
    <w:p>
      <w:pPr>
        <w:spacing w:line="360" w:lineRule="auto"/>
        <w:rPr>
          <w:lang w:val="zh-CN"/>
        </w:rPr>
      </w:pPr>
    </w:p>
    <w:tbl>
      <w:tblPr>
        <w:tblStyle w:val="23"/>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5"/>
        <w:gridCol w:w="3016"/>
        <w:gridCol w:w="698"/>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r>
              <w:rPr>
                <w:rFonts w:hint="eastAsia"/>
              </w:rPr>
              <w:t>项目名称</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r>
              <w:rPr>
                <w:rFonts w:hint="eastAsia"/>
              </w:rPr>
              <w:t>响应人</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r>
              <w:rPr>
                <w:rFonts w:hint="eastAsia"/>
              </w:rPr>
              <w:t>采购编号</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jc w:val="center"/>
        </w:trPr>
        <w:tc>
          <w:tcPr>
            <w:tcW w:w="2535" w:type="dxa"/>
            <w:tcBorders>
              <w:top w:val="single" w:color="auto" w:sz="4" w:space="0"/>
              <w:left w:val="single" w:color="auto" w:sz="4" w:space="0"/>
              <w:right w:val="single" w:color="auto" w:sz="4" w:space="0"/>
            </w:tcBorders>
            <w:noWrap/>
            <w:vAlign w:val="center"/>
          </w:tcPr>
          <w:p>
            <w:pPr>
              <w:widowControl/>
              <w:spacing w:line="360" w:lineRule="auto"/>
              <w:jc w:val="center"/>
            </w:pPr>
            <w:r>
              <w:rPr>
                <w:rFonts w:hint="eastAsia"/>
              </w:rPr>
              <w:t>磋商总报价</w:t>
            </w:r>
          </w:p>
        </w:tc>
        <w:tc>
          <w:tcPr>
            <w:tcW w:w="6345" w:type="dxa"/>
            <w:gridSpan w:val="3"/>
            <w:tcBorders>
              <w:top w:val="single" w:color="auto" w:sz="4" w:space="0"/>
              <w:left w:val="single" w:color="auto" w:sz="4" w:space="0"/>
              <w:right w:val="single" w:color="auto" w:sz="4" w:space="0"/>
            </w:tcBorders>
            <w:noWrap/>
            <w:vAlign w:val="center"/>
          </w:tcPr>
          <w:p>
            <w:pPr>
              <w:spacing w:line="360" w:lineRule="auto"/>
              <w:rPr>
                <w:u w:val="single"/>
              </w:rPr>
            </w:pPr>
            <w:r>
              <w:rPr>
                <w:rFonts w:hint="eastAsia"/>
              </w:rPr>
              <w:t>大写：</w:t>
            </w:r>
          </w:p>
          <w:p>
            <w:pPr>
              <w:spacing w:line="360" w:lineRule="auto"/>
              <w:rPr>
                <w:u w:val="single"/>
              </w:rPr>
            </w:pPr>
            <w:r>
              <w:rPr>
                <w:rFonts w:hint="eastAsia"/>
              </w:rPr>
              <w:t>小写：¥</w:t>
            </w:r>
          </w:p>
          <w:p>
            <w:pPr>
              <w:widowControl/>
              <w:spacing w:line="360" w:lineRule="auto"/>
              <w:jc w:val="center"/>
              <w:rPr>
                <w:b/>
                <w:bCs/>
              </w:rPr>
            </w:pPr>
            <w:r>
              <w:rPr>
                <w:rFonts w:hint="eastAsia"/>
                <w:b/>
                <w:bCs/>
              </w:rPr>
              <w:t>（响应人应在此填列第一次报价，但以响应人最后一次的磋商报价为成交价）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535" w:type="dxa"/>
            <w:tcBorders>
              <w:top w:val="single" w:color="auto" w:sz="4" w:space="0"/>
              <w:left w:val="single" w:color="auto" w:sz="4" w:space="0"/>
              <w:right w:val="single" w:color="auto" w:sz="4" w:space="0"/>
            </w:tcBorders>
            <w:noWrap/>
            <w:vAlign w:val="center"/>
          </w:tcPr>
          <w:p>
            <w:pPr>
              <w:widowControl/>
              <w:spacing w:line="360" w:lineRule="auto"/>
              <w:jc w:val="center"/>
            </w:pPr>
            <w:r>
              <w:rPr>
                <w:rFonts w:hint="eastAsia"/>
              </w:rPr>
              <w:t>项目经理</w:t>
            </w:r>
          </w:p>
        </w:tc>
        <w:tc>
          <w:tcPr>
            <w:tcW w:w="3016" w:type="dxa"/>
            <w:tcBorders>
              <w:top w:val="single" w:color="auto" w:sz="4" w:space="0"/>
              <w:left w:val="single" w:color="auto" w:sz="4" w:space="0"/>
              <w:right w:val="single" w:color="auto" w:sz="4" w:space="0"/>
            </w:tcBorders>
            <w:noWrap/>
            <w:vAlign w:val="center"/>
          </w:tcPr>
          <w:p>
            <w:pPr>
              <w:widowControl/>
              <w:spacing w:line="360" w:lineRule="auto"/>
              <w:jc w:val="center"/>
              <w:rPr>
                <w:b/>
                <w:bCs/>
              </w:rPr>
            </w:pPr>
          </w:p>
        </w:tc>
        <w:tc>
          <w:tcPr>
            <w:tcW w:w="698" w:type="dxa"/>
            <w:tcBorders>
              <w:top w:val="single" w:color="auto" w:sz="4" w:space="0"/>
              <w:left w:val="single" w:color="auto" w:sz="4" w:space="0"/>
              <w:right w:val="single" w:color="auto" w:sz="4" w:space="0"/>
            </w:tcBorders>
            <w:noWrap/>
            <w:vAlign w:val="center"/>
          </w:tcPr>
          <w:p>
            <w:pPr>
              <w:widowControl/>
              <w:spacing w:line="360" w:lineRule="auto"/>
              <w:jc w:val="center"/>
              <w:rPr>
                <w:b/>
                <w:bCs/>
              </w:rPr>
            </w:pPr>
            <w:r>
              <w:rPr>
                <w:rFonts w:hint="eastAsia"/>
              </w:rPr>
              <w:t>证书编号</w:t>
            </w:r>
          </w:p>
        </w:tc>
        <w:tc>
          <w:tcPr>
            <w:tcW w:w="2631" w:type="dxa"/>
            <w:tcBorders>
              <w:top w:val="single" w:color="auto" w:sz="4" w:space="0"/>
              <w:left w:val="single" w:color="auto" w:sz="4" w:space="0"/>
              <w:right w:val="single" w:color="auto" w:sz="4" w:space="0"/>
            </w:tcBorders>
            <w:noWrap/>
            <w:vAlign w:val="center"/>
          </w:tcPr>
          <w:p>
            <w:pPr>
              <w:widowControl/>
              <w:spacing w:line="360" w:lineRule="auto"/>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r>
              <w:rPr>
                <w:rFonts w:hint="eastAsia"/>
              </w:rPr>
              <w:t>计划工期</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r>
              <w:rPr>
                <w:rFonts w:hint="eastAsia"/>
              </w:rPr>
              <w:t>质量</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r>
              <w:rPr>
                <w:rFonts w:hint="eastAsia"/>
              </w:rPr>
              <w:t>投标有效期</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r>
              <w:rPr>
                <w:rFonts w:hint="eastAsia"/>
              </w:rPr>
              <w:t>优惠与</w:t>
            </w:r>
          </w:p>
          <w:p>
            <w:pPr>
              <w:widowControl/>
              <w:spacing w:line="360" w:lineRule="auto"/>
              <w:jc w:val="center"/>
            </w:pPr>
            <w:r>
              <w:rPr>
                <w:rFonts w:hint="eastAsia"/>
              </w:rPr>
              <w:t>服务承诺</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r>
              <w:rPr>
                <w:rFonts w:hint="eastAsia"/>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pPr>
            <w:r>
              <w:rPr>
                <w:rFonts w:hint="eastAsia"/>
              </w:rPr>
              <w:t>备  注</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pPr>
          </w:p>
        </w:tc>
      </w:tr>
    </w:tbl>
    <w:p>
      <w:pPr>
        <w:spacing w:line="360" w:lineRule="auto"/>
      </w:pPr>
    </w:p>
    <w:p>
      <w:pPr>
        <w:spacing w:line="360" w:lineRule="auto"/>
      </w:pPr>
    </w:p>
    <w:p>
      <w:pPr>
        <w:spacing w:line="360" w:lineRule="auto"/>
        <w:jc w:val="right"/>
      </w:pPr>
      <w:r>
        <w:rPr>
          <w:rFonts w:hint="eastAsia"/>
        </w:rPr>
        <w:t>响应人：（电子签章）</w:t>
      </w:r>
    </w:p>
    <w:p>
      <w:pPr>
        <w:spacing w:line="360" w:lineRule="auto"/>
        <w:jc w:val="right"/>
      </w:pPr>
    </w:p>
    <w:p>
      <w:pPr>
        <w:spacing w:line="360" w:lineRule="auto"/>
        <w:jc w:val="right"/>
      </w:pPr>
      <w:r>
        <w:rPr>
          <w:rFonts w:hint="eastAsia"/>
        </w:rPr>
        <w:t>法定代表人或其委托代理人：（电子签名）</w:t>
      </w:r>
    </w:p>
    <w:p>
      <w:pPr>
        <w:spacing w:line="360" w:lineRule="auto"/>
        <w:jc w:val="right"/>
      </w:pPr>
    </w:p>
    <w:p>
      <w:pPr>
        <w:tabs>
          <w:tab w:val="left" w:pos="5380"/>
          <w:tab w:val="left" w:pos="6520"/>
          <w:tab w:val="left" w:pos="7680"/>
        </w:tabs>
        <w:autoSpaceDE w:val="0"/>
        <w:autoSpaceDN w:val="0"/>
        <w:adjustRightInd w:val="0"/>
        <w:spacing w:line="360" w:lineRule="auto"/>
        <w:ind w:right="-20" w:firstLine="1050" w:firstLineChars="500"/>
        <w:jc w:val="right"/>
        <w:rPr>
          <w:kern w:val="0"/>
        </w:rPr>
      </w:pPr>
      <w:r>
        <w:rPr>
          <w:rFonts w:hint="eastAsia"/>
          <w:kern w:val="0"/>
        </w:rPr>
        <w:t>年   月  日</w:t>
      </w:r>
    </w:p>
    <w:p>
      <w:pPr>
        <w:pStyle w:val="3"/>
        <w:numPr>
          <w:ilvl w:val="1"/>
          <w:numId w:val="0"/>
        </w:numPr>
        <w:spacing w:line="360" w:lineRule="auto"/>
        <w:rPr>
          <w:rFonts w:hAnsi="宋体"/>
          <w:color w:val="auto"/>
        </w:rPr>
      </w:pPr>
    </w:p>
    <w:p>
      <w:pPr>
        <w:pStyle w:val="5"/>
        <w:numPr>
          <w:ilvl w:val="0"/>
          <w:numId w:val="24"/>
        </w:numPr>
        <w:tabs>
          <w:tab w:val="left" w:pos="425"/>
        </w:tabs>
        <w:rPr>
          <w:szCs w:val="24"/>
          <w:lang w:val="zh-CN"/>
        </w:rPr>
      </w:pPr>
      <w:bookmarkStart w:id="655" w:name="_Toc3479_WPSOffice_Level1"/>
      <w:bookmarkStart w:id="656" w:name="_Toc22490_WPSOffice_Level1"/>
      <w:bookmarkStart w:id="657" w:name="_Toc5242_WPSOffice_Level1"/>
      <w:r>
        <w:rPr>
          <w:rFonts w:hint="eastAsia"/>
          <w:szCs w:val="24"/>
          <w:lang w:val="zh-CN"/>
        </w:rPr>
        <w:t>法定代表人身份证明</w:t>
      </w:r>
      <w:bookmarkEnd w:id="655"/>
      <w:bookmarkEnd w:id="656"/>
      <w:bookmarkEnd w:id="657"/>
    </w:p>
    <w:p>
      <w:pPr>
        <w:wordWrap/>
        <w:topLinePunct w:val="0"/>
        <w:autoSpaceDE w:val="0"/>
        <w:autoSpaceDN w:val="0"/>
        <w:adjustRightInd w:val="0"/>
        <w:spacing w:line="360" w:lineRule="auto"/>
        <w:rPr>
          <w:kern w:val="0"/>
        </w:rPr>
      </w:pPr>
    </w:p>
    <w:p>
      <w:pPr>
        <w:wordWrap/>
        <w:topLinePunct w:val="0"/>
        <w:autoSpaceDE w:val="0"/>
        <w:autoSpaceDN w:val="0"/>
        <w:adjustRightInd w:val="0"/>
        <w:spacing w:line="360" w:lineRule="auto"/>
        <w:rPr>
          <w:kern w:val="0"/>
          <w:u w:val="single"/>
        </w:rPr>
      </w:pPr>
      <w:r>
        <w:rPr>
          <w:rFonts w:hint="eastAsia"/>
          <w:kern w:val="0"/>
        </w:rPr>
        <w:t>响应人名称：</w:t>
      </w:r>
    </w:p>
    <w:p>
      <w:pPr>
        <w:wordWrap/>
        <w:topLinePunct w:val="0"/>
        <w:autoSpaceDE w:val="0"/>
        <w:autoSpaceDN w:val="0"/>
        <w:adjustRightInd w:val="0"/>
        <w:spacing w:line="360" w:lineRule="auto"/>
        <w:ind w:firstLine="420" w:firstLineChars="200"/>
        <w:rPr>
          <w:kern w:val="0"/>
          <w:u w:val="single"/>
        </w:rPr>
      </w:pPr>
      <w:r>
        <w:rPr>
          <w:rFonts w:hint="eastAsia"/>
          <w:kern w:val="0"/>
        </w:rPr>
        <w:t>姓名： 性别： 年龄： 职务：系（响应人名称）的法定代表人。</w:t>
      </w:r>
    </w:p>
    <w:p>
      <w:pPr>
        <w:wordWrap/>
        <w:topLinePunct w:val="0"/>
        <w:autoSpaceDE w:val="0"/>
        <w:autoSpaceDN w:val="0"/>
        <w:adjustRightInd w:val="0"/>
        <w:spacing w:line="360" w:lineRule="auto"/>
        <w:rPr>
          <w:kern w:val="0"/>
        </w:rPr>
      </w:pPr>
      <w:r>
        <w:rPr>
          <w:rFonts w:hint="eastAsia"/>
          <w:kern w:val="0"/>
        </w:rPr>
        <w:t>特此证明。</w:t>
      </w:r>
    </w:p>
    <w:p>
      <w:pPr>
        <w:wordWrap/>
        <w:topLinePunct w:val="0"/>
        <w:autoSpaceDE w:val="0"/>
        <w:autoSpaceDN w:val="0"/>
        <w:adjustRightInd w:val="0"/>
        <w:spacing w:line="360" w:lineRule="auto"/>
        <w:rPr>
          <w:kern w:val="0"/>
        </w:rPr>
      </w:pPr>
      <w:r>
        <w:rPr>
          <w:rFonts w:hint="eastAsia"/>
          <w:kern w:val="0"/>
        </w:rPr>
        <w:t xml:space="preserve">附：法定代表人身份证复印件。 </w:t>
      </w:r>
    </w:p>
    <w:p>
      <w:pPr>
        <w:wordWrap/>
        <w:topLinePunct w:val="0"/>
        <w:autoSpaceDE w:val="0"/>
        <w:autoSpaceDN w:val="0"/>
        <w:adjustRightInd w:val="0"/>
        <w:spacing w:line="360" w:lineRule="auto"/>
        <w:rPr>
          <w:kern w:val="0"/>
        </w:rPr>
      </w:pPr>
      <w:r>
        <w:rPr>
          <w:rFonts w:hint="eastAsia"/>
          <w:kern w:val="0"/>
        </w:rPr>
        <w:t>注：本身份证明需由响应人加盖单位公章。</w:t>
      </w:r>
    </w:p>
    <w:p>
      <w:pPr>
        <w:wordWrap/>
        <w:topLinePunct w:val="0"/>
        <w:autoSpaceDE w:val="0"/>
        <w:autoSpaceDN w:val="0"/>
        <w:adjustRightInd w:val="0"/>
        <w:spacing w:line="360" w:lineRule="auto"/>
        <w:rPr>
          <w:kern w:val="0"/>
        </w:rPr>
      </w:pPr>
    </w:p>
    <w:p>
      <w:pPr>
        <w:wordWrap/>
        <w:topLinePunct w:val="0"/>
        <w:autoSpaceDE w:val="0"/>
        <w:autoSpaceDN w:val="0"/>
        <w:adjustRightInd w:val="0"/>
        <w:spacing w:line="360" w:lineRule="auto"/>
        <w:rPr>
          <w:kern w:val="0"/>
        </w:rPr>
      </w:pPr>
    </w:p>
    <w:p>
      <w:pPr>
        <w:wordWrap/>
        <w:topLinePunct w:val="0"/>
        <w:autoSpaceDE w:val="0"/>
        <w:autoSpaceDN w:val="0"/>
        <w:adjustRightInd w:val="0"/>
        <w:spacing w:line="360" w:lineRule="auto"/>
        <w:rPr>
          <w:kern w:val="0"/>
        </w:rPr>
      </w:pPr>
    </w:p>
    <w:p>
      <w:pPr>
        <w:wordWrap/>
        <w:topLinePunct w:val="0"/>
        <w:autoSpaceDE w:val="0"/>
        <w:autoSpaceDN w:val="0"/>
        <w:adjustRightInd w:val="0"/>
        <w:spacing w:line="360" w:lineRule="auto"/>
        <w:rPr>
          <w:kern w:val="0"/>
        </w:rPr>
      </w:pPr>
    </w:p>
    <w:p>
      <w:pPr>
        <w:spacing w:line="360" w:lineRule="auto"/>
        <w:jc w:val="right"/>
      </w:pPr>
      <w:r>
        <w:rPr>
          <w:rFonts w:hint="eastAsia"/>
        </w:rPr>
        <w:t>响应人：（电子签章）</w:t>
      </w:r>
    </w:p>
    <w:p>
      <w:pPr>
        <w:spacing w:line="360" w:lineRule="auto"/>
        <w:jc w:val="right"/>
      </w:pPr>
    </w:p>
    <w:p>
      <w:pPr>
        <w:tabs>
          <w:tab w:val="left" w:pos="5380"/>
          <w:tab w:val="left" w:pos="6520"/>
          <w:tab w:val="left" w:pos="7680"/>
        </w:tabs>
        <w:autoSpaceDE w:val="0"/>
        <w:autoSpaceDN w:val="0"/>
        <w:adjustRightInd w:val="0"/>
        <w:spacing w:line="360" w:lineRule="auto"/>
        <w:ind w:right="-20" w:firstLine="1050" w:firstLineChars="500"/>
        <w:jc w:val="right"/>
        <w:rPr>
          <w:kern w:val="0"/>
        </w:rPr>
      </w:pPr>
      <w:r>
        <w:rPr>
          <w:rFonts w:hint="eastAsia"/>
          <w:kern w:val="0"/>
        </w:rPr>
        <w:t>年  月  日</w:t>
      </w:r>
    </w:p>
    <w:p>
      <w:pPr>
        <w:pStyle w:val="22"/>
        <w:tabs>
          <w:tab w:val="left" w:pos="4093"/>
        </w:tabs>
        <w:spacing w:line="360" w:lineRule="auto"/>
        <w:ind w:firstLine="482"/>
        <w:rPr>
          <w:rFonts w:ascii="宋体" w:hAnsi="宋体"/>
          <w:b/>
          <w:sz w:val="24"/>
          <w:szCs w:val="24"/>
        </w:rPr>
      </w:pPr>
    </w:p>
    <w:p>
      <w:pPr>
        <w:pStyle w:val="22"/>
        <w:tabs>
          <w:tab w:val="left" w:pos="4093"/>
        </w:tabs>
        <w:spacing w:line="360" w:lineRule="auto"/>
        <w:ind w:firstLine="482"/>
        <w:rPr>
          <w:rFonts w:ascii="宋体" w:hAnsi="宋体"/>
          <w:b/>
          <w:sz w:val="24"/>
          <w:szCs w:val="24"/>
        </w:rPr>
      </w:pPr>
    </w:p>
    <w:p>
      <w:pPr>
        <w:pStyle w:val="22"/>
        <w:tabs>
          <w:tab w:val="left" w:pos="4093"/>
        </w:tabs>
        <w:spacing w:line="360" w:lineRule="auto"/>
        <w:ind w:firstLine="482"/>
        <w:rPr>
          <w:rFonts w:ascii="宋体" w:hAnsi="宋体"/>
          <w:b/>
          <w:sz w:val="24"/>
          <w:szCs w:val="24"/>
        </w:rPr>
      </w:pPr>
    </w:p>
    <w:p>
      <w:pPr>
        <w:pStyle w:val="22"/>
        <w:tabs>
          <w:tab w:val="left" w:pos="4093"/>
        </w:tabs>
        <w:spacing w:line="360" w:lineRule="auto"/>
        <w:ind w:firstLine="482"/>
        <w:rPr>
          <w:rFonts w:ascii="宋体" w:hAnsi="宋体"/>
          <w:b/>
          <w:sz w:val="24"/>
          <w:szCs w:val="24"/>
        </w:rPr>
      </w:pPr>
    </w:p>
    <w:p>
      <w:pPr>
        <w:pStyle w:val="22"/>
        <w:tabs>
          <w:tab w:val="left" w:pos="4093"/>
        </w:tabs>
        <w:spacing w:line="360" w:lineRule="auto"/>
        <w:ind w:firstLine="482"/>
        <w:rPr>
          <w:rFonts w:ascii="宋体" w:hAnsi="宋体"/>
          <w:b/>
          <w:sz w:val="24"/>
          <w:szCs w:val="24"/>
        </w:rPr>
      </w:pPr>
    </w:p>
    <w:p>
      <w:pPr>
        <w:pStyle w:val="22"/>
        <w:tabs>
          <w:tab w:val="left" w:pos="4093"/>
        </w:tabs>
        <w:spacing w:line="360" w:lineRule="auto"/>
        <w:ind w:firstLine="482"/>
        <w:rPr>
          <w:rFonts w:ascii="宋体" w:hAnsi="宋体"/>
          <w:b/>
          <w:sz w:val="24"/>
          <w:szCs w:val="24"/>
        </w:rPr>
      </w:pPr>
    </w:p>
    <w:p>
      <w:pPr>
        <w:pStyle w:val="22"/>
        <w:tabs>
          <w:tab w:val="left" w:pos="4093"/>
        </w:tabs>
        <w:spacing w:line="360" w:lineRule="auto"/>
        <w:ind w:firstLine="482"/>
        <w:rPr>
          <w:rFonts w:ascii="宋体" w:hAnsi="宋体"/>
          <w:b/>
          <w:sz w:val="24"/>
          <w:szCs w:val="24"/>
        </w:rPr>
      </w:pPr>
    </w:p>
    <w:p>
      <w:pPr>
        <w:pStyle w:val="22"/>
        <w:tabs>
          <w:tab w:val="left" w:pos="4093"/>
        </w:tabs>
        <w:spacing w:line="360" w:lineRule="auto"/>
        <w:ind w:firstLine="482"/>
        <w:rPr>
          <w:rFonts w:ascii="宋体" w:hAnsi="宋体"/>
          <w:b/>
          <w:sz w:val="24"/>
          <w:szCs w:val="24"/>
        </w:rPr>
      </w:pPr>
    </w:p>
    <w:p>
      <w:pPr>
        <w:pStyle w:val="22"/>
        <w:tabs>
          <w:tab w:val="left" w:pos="4093"/>
        </w:tabs>
        <w:spacing w:line="360" w:lineRule="auto"/>
        <w:ind w:firstLine="482"/>
        <w:rPr>
          <w:rFonts w:ascii="宋体" w:hAnsi="宋体"/>
          <w:b/>
          <w:sz w:val="24"/>
          <w:szCs w:val="24"/>
        </w:rPr>
      </w:pPr>
    </w:p>
    <w:p>
      <w:pPr>
        <w:pStyle w:val="22"/>
        <w:tabs>
          <w:tab w:val="left" w:pos="4093"/>
        </w:tabs>
        <w:spacing w:line="360" w:lineRule="auto"/>
        <w:ind w:firstLine="482"/>
        <w:rPr>
          <w:rFonts w:ascii="宋体" w:hAnsi="宋体"/>
          <w:b/>
          <w:sz w:val="24"/>
          <w:szCs w:val="24"/>
        </w:rPr>
      </w:pPr>
    </w:p>
    <w:p>
      <w:pPr>
        <w:pStyle w:val="22"/>
        <w:tabs>
          <w:tab w:val="left" w:pos="4093"/>
        </w:tabs>
        <w:spacing w:line="360" w:lineRule="auto"/>
        <w:ind w:left="0" w:leftChars="0" w:firstLine="0" w:firstLineChars="0"/>
        <w:rPr>
          <w:rFonts w:ascii="宋体" w:hAnsi="宋体"/>
          <w:b/>
          <w:sz w:val="24"/>
          <w:szCs w:val="24"/>
        </w:rPr>
      </w:pPr>
    </w:p>
    <w:p>
      <w:pPr>
        <w:pStyle w:val="7"/>
      </w:pPr>
    </w:p>
    <w:p>
      <w:pPr>
        <w:spacing w:line="360" w:lineRule="auto"/>
        <w:jc w:val="center"/>
        <w:rPr>
          <w:b/>
          <w:bCs/>
          <w:sz w:val="32"/>
          <w:szCs w:val="32"/>
          <w:lang w:val="zh-CN"/>
        </w:rPr>
      </w:pPr>
      <w:bookmarkStart w:id="658" w:name="_Toc6674"/>
      <w:bookmarkStart w:id="659" w:name="_Toc11816"/>
      <w:bookmarkStart w:id="660" w:name="_Toc28309"/>
      <w:bookmarkStart w:id="661" w:name="_Toc7315_WPSOffice_Level1"/>
      <w:bookmarkStart w:id="662" w:name="_Toc31474_WPSOffice_Level1"/>
      <w:bookmarkStart w:id="663" w:name="_Toc21662_WPSOffice_Level1"/>
      <w:bookmarkStart w:id="664" w:name="_Toc12134"/>
      <w:r>
        <w:rPr>
          <w:rFonts w:hint="eastAsia"/>
          <w:b/>
          <w:bCs/>
          <w:sz w:val="32"/>
          <w:szCs w:val="32"/>
          <w:lang w:val="zh-CN"/>
        </w:rPr>
        <w:t>法定代表人授权委托书</w:t>
      </w:r>
      <w:bookmarkEnd w:id="658"/>
      <w:bookmarkEnd w:id="659"/>
      <w:bookmarkEnd w:id="660"/>
      <w:bookmarkEnd w:id="661"/>
      <w:bookmarkEnd w:id="662"/>
      <w:bookmarkEnd w:id="663"/>
      <w:bookmarkEnd w:id="664"/>
    </w:p>
    <w:p>
      <w:pPr>
        <w:autoSpaceDE w:val="0"/>
        <w:autoSpaceDN w:val="0"/>
        <w:adjustRightInd w:val="0"/>
        <w:spacing w:line="360" w:lineRule="auto"/>
        <w:rPr>
          <w:rFonts w:cs="微软雅黑"/>
          <w:kern w:val="0"/>
          <w:sz w:val="20"/>
          <w:szCs w:val="20"/>
        </w:rPr>
      </w:pPr>
    </w:p>
    <w:p>
      <w:pPr>
        <w:tabs>
          <w:tab w:val="left" w:pos="3880"/>
        </w:tabs>
        <w:wordWrap/>
        <w:topLinePunct w:val="0"/>
        <w:autoSpaceDE w:val="0"/>
        <w:autoSpaceDN w:val="0"/>
        <w:adjustRightInd w:val="0"/>
        <w:spacing w:line="360" w:lineRule="auto"/>
        <w:ind w:firstLine="420" w:firstLineChars="200"/>
      </w:pPr>
      <w:r>
        <w:rPr>
          <w:rFonts w:hint="eastAsia"/>
        </w:rPr>
        <w:t>本人（姓名）系（响应人名称）的法定代表人，现委托（姓名、职务）为我方代理人。</w:t>
      </w:r>
      <w:r>
        <w:rPr>
          <w:rFonts w:hint="eastAsia"/>
          <w:kern w:val="0"/>
          <w:position w:val="-2"/>
        </w:rPr>
        <w:t>代理</w:t>
      </w:r>
      <w:r>
        <w:rPr>
          <w:rFonts w:hint="eastAsia"/>
          <w:spacing w:val="-2"/>
          <w:kern w:val="0"/>
          <w:position w:val="-2"/>
        </w:rPr>
        <w:t>人</w:t>
      </w:r>
      <w:r>
        <w:rPr>
          <w:rFonts w:hint="eastAsia"/>
          <w:kern w:val="0"/>
          <w:position w:val="-2"/>
        </w:rPr>
        <w:t>根据授权，</w:t>
      </w:r>
      <w:r>
        <w:rPr>
          <w:rFonts w:hint="eastAsia"/>
          <w:spacing w:val="-2"/>
          <w:kern w:val="0"/>
          <w:position w:val="-2"/>
        </w:rPr>
        <w:t>以</w:t>
      </w:r>
      <w:r>
        <w:rPr>
          <w:rFonts w:hint="eastAsia"/>
          <w:kern w:val="0"/>
          <w:position w:val="-2"/>
        </w:rPr>
        <w:t>我方名</w:t>
      </w:r>
      <w:r>
        <w:rPr>
          <w:rFonts w:hint="eastAsia"/>
        </w:rPr>
        <w:t>义签字、澄清确认、递交、撤回、修改采购项目响应文件、签订合同和处理有关事宜，其法律后果由我方承担。</w:t>
      </w:r>
    </w:p>
    <w:p>
      <w:pPr>
        <w:wordWrap/>
        <w:topLinePunct w:val="0"/>
        <w:spacing w:line="360" w:lineRule="auto"/>
        <w:ind w:firstLine="420"/>
      </w:pPr>
    </w:p>
    <w:p>
      <w:pPr>
        <w:spacing w:line="360" w:lineRule="auto"/>
        <w:ind w:firstLine="420" w:firstLineChars="200"/>
        <w:rPr>
          <w:u w:val="single"/>
        </w:rPr>
      </w:pPr>
      <w:r>
        <w:rPr>
          <w:rFonts w:hint="eastAsia"/>
        </w:rPr>
        <w:t>委托期限：</w:t>
      </w:r>
    </w:p>
    <w:p>
      <w:pPr>
        <w:spacing w:line="360" w:lineRule="auto"/>
        <w:ind w:firstLine="420" w:firstLineChars="200"/>
      </w:pPr>
      <w:r>
        <w:rPr>
          <w:rFonts w:hint="eastAsia"/>
        </w:rPr>
        <w:t>代理人无转委托权。</w:t>
      </w:r>
    </w:p>
    <w:p>
      <w:pPr>
        <w:spacing w:line="360" w:lineRule="auto"/>
        <w:ind w:firstLine="420" w:firstLineChars="200"/>
      </w:pPr>
      <w:r>
        <w:rPr>
          <w:rFonts w:hint="eastAsia"/>
        </w:rPr>
        <w:t>附：</w:t>
      </w:r>
      <w:r>
        <w:rPr>
          <w:rFonts w:hint="eastAsia"/>
          <w:spacing w:val="-2"/>
          <w:kern w:val="0"/>
        </w:rPr>
        <w:t>法</w:t>
      </w:r>
      <w:r>
        <w:rPr>
          <w:rFonts w:hint="eastAsia"/>
          <w:kern w:val="0"/>
        </w:rPr>
        <w:t>定</w:t>
      </w:r>
      <w:r>
        <w:rPr>
          <w:rFonts w:hint="eastAsia"/>
          <w:spacing w:val="-2"/>
          <w:kern w:val="0"/>
        </w:rPr>
        <w:t>代</w:t>
      </w:r>
      <w:r>
        <w:rPr>
          <w:rFonts w:hint="eastAsia"/>
          <w:kern w:val="0"/>
        </w:rPr>
        <w:t>表</w:t>
      </w:r>
      <w:r>
        <w:rPr>
          <w:rFonts w:hint="eastAsia"/>
          <w:spacing w:val="-2"/>
          <w:kern w:val="0"/>
        </w:rPr>
        <w:t>人</w:t>
      </w:r>
      <w:r>
        <w:rPr>
          <w:rFonts w:hint="eastAsia"/>
          <w:kern w:val="0"/>
        </w:rPr>
        <w:t>身</w:t>
      </w:r>
      <w:r>
        <w:rPr>
          <w:rFonts w:hint="eastAsia"/>
          <w:spacing w:val="-2"/>
          <w:kern w:val="0"/>
        </w:rPr>
        <w:t>份</w:t>
      </w:r>
      <w:r>
        <w:rPr>
          <w:rFonts w:hint="eastAsia"/>
          <w:kern w:val="0"/>
        </w:rPr>
        <w:t>证</w:t>
      </w:r>
      <w:r>
        <w:rPr>
          <w:rFonts w:hint="eastAsia"/>
          <w:spacing w:val="-2"/>
          <w:kern w:val="0"/>
        </w:rPr>
        <w:t>复</w:t>
      </w:r>
      <w:r>
        <w:rPr>
          <w:rFonts w:hint="eastAsia"/>
          <w:kern w:val="0"/>
        </w:rPr>
        <w:t>印件</w:t>
      </w:r>
      <w:r>
        <w:rPr>
          <w:rFonts w:hint="eastAsia"/>
          <w:spacing w:val="-2"/>
          <w:kern w:val="0"/>
        </w:rPr>
        <w:t>及</w:t>
      </w:r>
      <w:r>
        <w:rPr>
          <w:rFonts w:hint="eastAsia"/>
          <w:kern w:val="0"/>
        </w:rPr>
        <w:t>委</w:t>
      </w:r>
      <w:r>
        <w:rPr>
          <w:rFonts w:hint="eastAsia"/>
          <w:spacing w:val="-2"/>
          <w:kern w:val="0"/>
        </w:rPr>
        <w:t>托</w:t>
      </w:r>
      <w:r>
        <w:rPr>
          <w:rFonts w:hint="eastAsia"/>
          <w:kern w:val="0"/>
        </w:rPr>
        <w:t>代</w:t>
      </w:r>
      <w:r>
        <w:rPr>
          <w:rFonts w:hint="eastAsia"/>
          <w:spacing w:val="-2"/>
          <w:kern w:val="0"/>
        </w:rPr>
        <w:t>理</w:t>
      </w:r>
      <w:r>
        <w:rPr>
          <w:rFonts w:hint="eastAsia"/>
          <w:kern w:val="0"/>
        </w:rPr>
        <w:t>人</w:t>
      </w:r>
      <w:r>
        <w:rPr>
          <w:rFonts w:hint="eastAsia"/>
          <w:spacing w:val="-2"/>
          <w:kern w:val="0"/>
        </w:rPr>
        <w:t>身</w:t>
      </w:r>
      <w:r>
        <w:rPr>
          <w:rFonts w:hint="eastAsia"/>
          <w:kern w:val="0"/>
        </w:rPr>
        <w:t>份</w:t>
      </w:r>
      <w:r>
        <w:rPr>
          <w:rFonts w:hint="eastAsia"/>
          <w:spacing w:val="-2"/>
          <w:kern w:val="0"/>
        </w:rPr>
        <w:t>证</w:t>
      </w:r>
      <w:r>
        <w:rPr>
          <w:rFonts w:hint="eastAsia"/>
          <w:kern w:val="0"/>
        </w:rPr>
        <w:t>复印件</w:t>
      </w:r>
    </w:p>
    <w:p>
      <w:pPr>
        <w:spacing w:line="360" w:lineRule="auto"/>
      </w:pPr>
    </w:p>
    <w:p>
      <w:pPr>
        <w:spacing w:line="360" w:lineRule="auto"/>
      </w:pPr>
    </w:p>
    <w:p>
      <w:pPr>
        <w:spacing w:line="360" w:lineRule="auto"/>
      </w:pPr>
      <w:r>
        <w:rPr>
          <w:rFonts w:hint="eastAsia"/>
        </w:rPr>
        <w:t>响应人：（电子签章）</w:t>
      </w:r>
    </w:p>
    <w:p>
      <w:pPr>
        <w:pStyle w:val="3"/>
        <w:numPr>
          <w:ilvl w:val="0"/>
          <w:numId w:val="0"/>
        </w:numPr>
        <w:spacing w:line="360" w:lineRule="auto"/>
        <w:ind w:left="575" w:hanging="575"/>
        <w:rPr>
          <w:rFonts w:hAnsi="宋体"/>
          <w:color w:val="auto"/>
          <w:kern w:val="2"/>
          <w:sz w:val="21"/>
          <w:szCs w:val="21"/>
        </w:rPr>
      </w:pPr>
      <w:r>
        <w:rPr>
          <w:rFonts w:hint="eastAsia" w:hAnsi="宋体"/>
          <w:color w:val="auto"/>
          <w:kern w:val="2"/>
          <w:sz w:val="21"/>
          <w:szCs w:val="21"/>
        </w:rPr>
        <w:t>法定代表人：（电子签名）</w:t>
      </w:r>
    </w:p>
    <w:p>
      <w:pPr>
        <w:pStyle w:val="3"/>
        <w:numPr>
          <w:ilvl w:val="0"/>
          <w:numId w:val="0"/>
        </w:numPr>
        <w:spacing w:line="360" w:lineRule="auto"/>
        <w:ind w:left="575" w:hanging="575"/>
        <w:rPr>
          <w:rFonts w:hAnsi="宋体"/>
          <w:color w:val="auto"/>
          <w:kern w:val="2"/>
          <w:sz w:val="21"/>
          <w:szCs w:val="21"/>
          <w:u w:val="single"/>
        </w:rPr>
      </w:pPr>
      <w:r>
        <w:rPr>
          <w:rFonts w:hint="eastAsia" w:hAnsi="宋体"/>
          <w:color w:val="auto"/>
          <w:kern w:val="2"/>
          <w:sz w:val="21"/>
          <w:szCs w:val="21"/>
        </w:rPr>
        <w:t>身份证号：</w:t>
      </w:r>
    </w:p>
    <w:p>
      <w:pPr>
        <w:spacing w:line="360" w:lineRule="auto"/>
      </w:pPr>
      <w:r>
        <w:rPr>
          <w:rFonts w:hint="eastAsia"/>
        </w:rPr>
        <w:t>委托代理人：（电子签名）</w:t>
      </w:r>
    </w:p>
    <w:p>
      <w:pPr>
        <w:spacing w:line="360" w:lineRule="auto"/>
        <w:rPr>
          <w:u w:val="single"/>
        </w:rPr>
      </w:pPr>
      <w:r>
        <w:rPr>
          <w:rFonts w:hint="eastAsia"/>
        </w:rPr>
        <w:t>身份证号：</w:t>
      </w:r>
    </w:p>
    <w:p>
      <w:pPr>
        <w:spacing w:line="360" w:lineRule="auto"/>
        <w:rPr>
          <w:kern w:val="0"/>
          <w:u w:val="single"/>
        </w:rPr>
      </w:pPr>
    </w:p>
    <w:p>
      <w:pPr>
        <w:tabs>
          <w:tab w:val="left" w:pos="5380"/>
          <w:tab w:val="left" w:pos="6520"/>
          <w:tab w:val="left" w:pos="7680"/>
        </w:tabs>
        <w:autoSpaceDE w:val="0"/>
        <w:autoSpaceDN w:val="0"/>
        <w:adjustRightInd w:val="0"/>
        <w:spacing w:line="360" w:lineRule="auto"/>
        <w:ind w:right="-20" w:firstLine="1050" w:firstLineChars="500"/>
        <w:jc w:val="right"/>
        <w:rPr>
          <w:kern w:val="0"/>
        </w:rPr>
      </w:pPr>
      <w:r>
        <w:rPr>
          <w:rFonts w:hint="eastAsia"/>
          <w:kern w:val="0"/>
        </w:rPr>
        <w:t>年  月  日</w:t>
      </w:r>
    </w:p>
    <w:p>
      <w:pPr>
        <w:pStyle w:val="22"/>
        <w:tabs>
          <w:tab w:val="left" w:pos="4093"/>
        </w:tabs>
        <w:spacing w:line="360" w:lineRule="auto"/>
        <w:ind w:firstLine="482"/>
        <w:jc w:val="right"/>
        <w:rPr>
          <w:rFonts w:ascii="宋体" w:hAnsi="宋体"/>
          <w:b/>
          <w:sz w:val="24"/>
          <w:szCs w:val="24"/>
        </w:rPr>
      </w:pPr>
    </w:p>
    <w:p>
      <w:pPr>
        <w:pStyle w:val="22"/>
        <w:spacing w:line="360" w:lineRule="auto"/>
        <w:ind w:left="0" w:leftChars="0" w:firstLine="0" w:firstLineChars="0"/>
        <w:rPr>
          <w:rFonts w:ascii="宋体" w:hAnsi="宋体"/>
          <w:b/>
          <w:sz w:val="24"/>
          <w:szCs w:val="24"/>
        </w:rPr>
      </w:pPr>
    </w:p>
    <w:p>
      <w:pPr>
        <w:pStyle w:val="22"/>
        <w:spacing w:line="360" w:lineRule="auto"/>
        <w:ind w:left="0" w:leftChars="0" w:firstLine="0" w:firstLineChars="0"/>
        <w:rPr>
          <w:rFonts w:ascii="宋体" w:hAnsi="宋体"/>
          <w:b/>
          <w:sz w:val="24"/>
          <w:szCs w:val="24"/>
        </w:rPr>
      </w:pPr>
    </w:p>
    <w:p>
      <w:pPr>
        <w:pStyle w:val="22"/>
        <w:spacing w:line="360" w:lineRule="auto"/>
        <w:ind w:left="0" w:leftChars="0" w:firstLine="0" w:firstLineChars="0"/>
        <w:rPr>
          <w:rFonts w:ascii="宋体" w:hAnsi="宋体"/>
          <w:b/>
          <w:sz w:val="24"/>
          <w:szCs w:val="24"/>
        </w:rPr>
      </w:pPr>
    </w:p>
    <w:p>
      <w:pPr>
        <w:pStyle w:val="22"/>
        <w:spacing w:line="360" w:lineRule="auto"/>
        <w:ind w:left="0" w:leftChars="0" w:firstLine="0" w:firstLineChars="0"/>
        <w:rPr>
          <w:rFonts w:ascii="宋体" w:hAnsi="宋体"/>
          <w:b/>
          <w:sz w:val="24"/>
          <w:szCs w:val="24"/>
        </w:rPr>
      </w:pPr>
    </w:p>
    <w:p>
      <w:pPr>
        <w:pStyle w:val="22"/>
        <w:spacing w:line="360" w:lineRule="auto"/>
        <w:ind w:left="0" w:leftChars="0" w:firstLine="0" w:firstLineChars="0"/>
        <w:rPr>
          <w:rFonts w:ascii="宋体" w:hAnsi="宋体"/>
          <w:b/>
          <w:sz w:val="24"/>
          <w:szCs w:val="24"/>
        </w:rPr>
      </w:pPr>
    </w:p>
    <w:p>
      <w:pPr>
        <w:pStyle w:val="5"/>
        <w:tabs>
          <w:tab w:val="left" w:pos="425"/>
        </w:tabs>
        <w:ind w:left="0"/>
        <w:rPr>
          <w:szCs w:val="24"/>
          <w:lang w:val="zh-CN"/>
        </w:rPr>
      </w:pPr>
    </w:p>
    <w:p>
      <w:pPr>
        <w:pStyle w:val="7"/>
        <w:rPr>
          <w:lang w:val="zh-CN"/>
        </w:rPr>
      </w:pPr>
    </w:p>
    <w:p>
      <w:pPr>
        <w:pStyle w:val="7"/>
        <w:spacing w:line="360" w:lineRule="auto"/>
        <w:rPr>
          <w:rFonts w:ascii="宋体" w:hAnsi="宋体"/>
          <w:lang w:val="zh-CN"/>
        </w:rPr>
      </w:pPr>
    </w:p>
    <w:p>
      <w:pPr>
        <w:pStyle w:val="5"/>
        <w:numPr>
          <w:ilvl w:val="0"/>
          <w:numId w:val="24"/>
        </w:numPr>
        <w:tabs>
          <w:tab w:val="left" w:pos="425"/>
        </w:tabs>
        <w:rPr>
          <w:szCs w:val="24"/>
          <w:lang w:val="zh-CN"/>
        </w:rPr>
      </w:pPr>
      <w:bookmarkStart w:id="665" w:name="_Toc10033_WPSOffice_Level1"/>
      <w:bookmarkStart w:id="666" w:name="_Toc108_WPSOffice_Level1"/>
      <w:bookmarkStart w:id="667" w:name="_Toc15417_WPSOffice_Level1"/>
      <w:r>
        <w:rPr>
          <w:rFonts w:hint="eastAsia"/>
          <w:szCs w:val="24"/>
          <w:lang w:val="zh-CN"/>
        </w:rPr>
        <w:t>响应人资格审查资料</w:t>
      </w:r>
      <w:bookmarkEnd w:id="665"/>
      <w:bookmarkEnd w:id="666"/>
      <w:bookmarkEnd w:id="667"/>
    </w:p>
    <w:p>
      <w:pPr>
        <w:spacing w:line="360" w:lineRule="auto"/>
      </w:pPr>
    </w:p>
    <w:p>
      <w:pPr>
        <w:spacing w:line="360" w:lineRule="auto"/>
        <w:jc w:val="center"/>
        <w:rPr>
          <w:b/>
        </w:rPr>
      </w:pPr>
      <w:r>
        <w:rPr>
          <w:rFonts w:hint="eastAsia"/>
          <w:b/>
        </w:rPr>
        <w:t>（一）响应人基本情况表</w:t>
      </w:r>
    </w:p>
    <w:tbl>
      <w:tblPr>
        <w:tblStyle w:val="23"/>
        <w:tblW w:w="92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042"/>
        <w:gridCol w:w="1744"/>
        <w:gridCol w:w="691"/>
        <w:gridCol w:w="521"/>
        <w:gridCol w:w="1174"/>
        <w:gridCol w:w="49"/>
        <w:gridCol w:w="700"/>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16" w:type="dxa"/>
            <w:noWrap/>
            <w:vAlign w:val="center"/>
          </w:tcPr>
          <w:p>
            <w:pPr>
              <w:spacing w:line="360" w:lineRule="auto"/>
            </w:pPr>
            <w:r>
              <w:rPr>
                <w:rFonts w:hint="eastAsia"/>
              </w:rPr>
              <w:t>响应人名称</w:t>
            </w:r>
          </w:p>
        </w:tc>
        <w:tc>
          <w:tcPr>
            <w:tcW w:w="7304" w:type="dxa"/>
            <w:gridSpan w:val="8"/>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16" w:type="dxa"/>
            <w:noWrap/>
            <w:vAlign w:val="center"/>
          </w:tcPr>
          <w:p>
            <w:pPr>
              <w:spacing w:line="360" w:lineRule="auto"/>
            </w:pPr>
            <w:r>
              <w:rPr>
                <w:rFonts w:hint="eastAsia"/>
              </w:rPr>
              <w:t>注册地址</w:t>
            </w:r>
          </w:p>
        </w:tc>
        <w:tc>
          <w:tcPr>
            <w:tcW w:w="3998" w:type="dxa"/>
            <w:gridSpan w:val="4"/>
            <w:noWrap/>
            <w:vAlign w:val="center"/>
          </w:tcPr>
          <w:p>
            <w:pPr>
              <w:spacing w:line="360" w:lineRule="auto"/>
            </w:pPr>
          </w:p>
        </w:tc>
        <w:tc>
          <w:tcPr>
            <w:tcW w:w="1174" w:type="dxa"/>
            <w:noWrap/>
            <w:vAlign w:val="center"/>
          </w:tcPr>
          <w:p>
            <w:pPr>
              <w:spacing w:line="360" w:lineRule="auto"/>
            </w:pPr>
            <w:r>
              <w:rPr>
                <w:rFonts w:hint="eastAsia"/>
              </w:rPr>
              <w:t>邮政编码</w:t>
            </w:r>
          </w:p>
        </w:tc>
        <w:tc>
          <w:tcPr>
            <w:tcW w:w="2132" w:type="dxa"/>
            <w:gridSpan w:val="3"/>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916" w:type="dxa"/>
            <w:vMerge w:val="restart"/>
            <w:noWrap/>
            <w:vAlign w:val="center"/>
          </w:tcPr>
          <w:p>
            <w:pPr>
              <w:spacing w:line="360" w:lineRule="auto"/>
            </w:pPr>
            <w:r>
              <w:rPr>
                <w:rFonts w:hint="eastAsia"/>
              </w:rPr>
              <w:t>联系方式</w:t>
            </w:r>
          </w:p>
        </w:tc>
        <w:tc>
          <w:tcPr>
            <w:tcW w:w="1042" w:type="dxa"/>
            <w:noWrap/>
            <w:vAlign w:val="center"/>
          </w:tcPr>
          <w:p>
            <w:pPr>
              <w:spacing w:line="360" w:lineRule="auto"/>
            </w:pPr>
            <w:r>
              <w:rPr>
                <w:rFonts w:hint="eastAsia"/>
              </w:rPr>
              <w:t>联系人</w:t>
            </w:r>
          </w:p>
        </w:tc>
        <w:tc>
          <w:tcPr>
            <w:tcW w:w="2956" w:type="dxa"/>
            <w:gridSpan w:val="3"/>
            <w:noWrap/>
            <w:vAlign w:val="center"/>
          </w:tcPr>
          <w:p>
            <w:pPr>
              <w:spacing w:line="360" w:lineRule="auto"/>
            </w:pPr>
          </w:p>
        </w:tc>
        <w:tc>
          <w:tcPr>
            <w:tcW w:w="1174" w:type="dxa"/>
            <w:noWrap/>
            <w:vAlign w:val="center"/>
          </w:tcPr>
          <w:p>
            <w:pPr>
              <w:spacing w:line="360" w:lineRule="auto"/>
            </w:pPr>
            <w:r>
              <w:rPr>
                <w:rFonts w:hint="eastAsia"/>
              </w:rPr>
              <w:t>电话</w:t>
            </w:r>
          </w:p>
        </w:tc>
        <w:tc>
          <w:tcPr>
            <w:tcW w:w="2132" w:type="dxa"/>
            <w:gridSpan w:val="3"/>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16" w:type="dxa"/>
            <w:vMerge w:val="continue"/>
            <w:noWrap/>
            <w:vAlign w:val="center"/>
          </w:tcPr>
          <w:p>
            <w:pPr>
              <w:spacing w:line="360" w:lineRule="auto"/>
            </w:pPr>
          </w:p>
        </w:tc>
        <w:tc>
          <w:tcPr>
            <w:tcW w:w="1042" w:type="dxa"/>
            <w:noWrap/>
            <w:vAlign w:val="center"/>
          </w:tcPr>
          <w:p>
            <w:pPr>
              <w:spacing w:line="360" w:lineRule="auto"/>
            </w:pPr>
            <w:r>
              <w:rPr>
                <w:rFonts w:hint="eastAsia"/>
              </w:rPr>
              <w:t>传真</w:t>
            </w:r>
          </w:p>
        </w:tc>
        <w:tc>
          <w:tcPr>
            <w:tcW w:w="2956" w:type="dxa"/>
            <w:gridSpan w:val="3"/>
            <w:noWrap/>
            <w:vAlign w:val="center"/>
          </w:tcPr>
          <w:p>
            <w:pPr>
              <w:spacing w:line="360" w:lineRule="auto"/>
            </w:pPr>
          </w:p>
        </w:tc>
        <w:tc>
          <w:tcPr>
            <w:tcW w:w="1174" w:type="dxa"/>
            <w:noWrap/>
            <w:vAlign w:val="center"/>
          </w:tcPr>
          <w:p>
            <w:pPr>
              <w:spacing w:line="360" w:lineRule="auto"/>
            </w:pPr>
            <w:r>
              <w:rPr>
                <w:rFonts w:hint="eastAsia"/>
              </w:rPr>
              <w:t>网址</w:t>
            </w:r>
          </w:p>
        </w:tc>
        <w:tc>
          <w:tcPr>
            <w:tcW w:w="2132" w:type="dxa"/>
            <w:gridSpan w:val="3"/>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16" w:type="dxa"/>
            <w:noWrap/>
            <w:vAlign w:val="center"/>
          </w:tcPr>
          <w:p>
            <w:pPr>
              <w:spacing w:line="360" w:lineRule="auto"/>
            </w:pPr>
            <w:r>
              <w:rPr>
                <w:rFonts w:hint="eastAsia"/>
              </w:rPr>
              <w:t>组织结构</w:t>
            </w:r>
          </w:p>
        </w:tc>
        <w:tc>
          <w:tcPr>
            <w:tcW w:w="7304" w:type="dxa"/>
            <w:gridSpan w:val="8"/>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916" w:type="dxa"/>
            <w:noWrap/>
            <w:vAlign w:val="center"/>
          </w:tcPr>
          <w:p>
            <w:pPr>
              <w:spacing w:line="360" w:lineRule="auto"/>
            </w:pPr>
            <w:r>
              <w:rPr>
                <w:rFonts w:hint="eastAsia"/>
              </w:rPr>
              <w:t>法定代表人</w:t>
            </w:r>
          </w:p>
        </w:tc>
        <w:tc>
          <w:tcPr>
            <w:tcW w:w="1042" w:type="dxa"/>
            <w:noWrap/>
            <w:vAlign w:val="center"/>
          </w:tcPr>
          <w:p>
            <w:pPr>
              <w:spacing w:line="360" w:lineRule="auto"/>
            </w:pPr>
            <w:r>
              <w:rPr>
                <w:rFonts w:hint="eastAsia"/>
              </w:rPr>
              <w:t>姓名</w:t>
            </w:r>
          </w:p>
        </w:tc>
        <w:tc>
          <w:tcPr>
            <w:tcW w:w="1744" w:type="dxa"/>
            <w:noWrap/>
            <w:vAlign w:val="center"/>
          </w:tcPr>
          <w:p>
            <w:pPr>
              <w:spacing w:line="360" w:lineRule="auto"/>
            </w:pPr>
          </w:p>
        </w:tc>
        <w:tc>
          <w:tcPr>
            <w:tcW w:w="1212" w:type="dxa"/>
            <w:gridSpan w:val="2"/>
            <w:noWrap/>
            <w:vAlign w:val="center"/>
          </w:tcPr>
          <w:p>
            <w:pPr>
              <w:spacing w:line="360" w:lineRule="auto"/>
            </w:pPr>
            <w:r>
              <w:rPr>
                <w:rFonts w:hint="eastAsia"/>
              </w:rPr>
              <w:t>技术职称</w:t>
            </w:r>
          </w:p>
        </w:tc>
        <w:tc>
          <w:tcPr>
            <w:tcW w:w="1223" w:type="dxa"/>
            <w:gridSpan w:val="2"/>
            <w:noWrap/>
            <w:vAlign w:val="center"/>
          </w:tcPr>
          <w:p>
            <w:pPr>
              <w:spacing w:line="360" w:lineRule="auto"/>
            </w:pPr>
          </w:p>
        </w:tc>
        <w:tc>
          <w:tcPr>
            <w:tcW w:w="700" w:type="dxa"/>
            <w:noWrap/>
            <w:vAlign w:val="center"/>
          </w:tcPr>
          <w:p>
            <w:pPr>
              <w:spacing w:line="360" w:lineRule="auto"/>
            </w:pPr>
            <w:r>
              <w:rPr>
                <w:rFonts w:hint="eastAsia"/>
              </w:rPr>
              <w:t>电话</w:t>
            </w:r>
          </w:p>
        </w:tc>
        <w:tc>
          <w:tcPr>
            <w:tcW w:w="1383" w:type="dxa"/>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16" w:type="dxa"/>
            <w:noWrap/>
            <w:vAlign w:val="center"/>
          </w:tcPr>
          <w:p>
            <w:pPr>
              <w:spacing w:line="360" w:lineRule="auto"/>
            </w:pPr>
            <w:r>
              <w:rPr>
                <w:rFonts w:hint="eastAsia"/>
              </w:rPr>
              <w:t>技术负责人</w:t>
            </w:r>
          </w:p>
        </w:tc>
        <w:tc>
          <w:tcPr>
            <w:tcW w:w="1042" w:type="dxa"/>
            <w:noWrap/>
            <w:vAlign w:val="center"/>
          </w:tcPr>
          <w:p>
            <w:pPr>
              <w:spacing w:line="360" w:lineRule="auto"/>
            </w:pPr>
            <w:r>
              <w:rPr>
                <w:rFonts w:hint="eastAsia"/>
              </w:rPr>
              <w:t>姓名</w:t>
            </w:r>
          </w:p>
        </w:tc>
        <w:tc>
          <w:tcPr>
            <w:tcW w:w="1744" w:type="dxa"/>
            <w:noWrap/>
            <w:vAlign w:val="center"/>
          </w:tcPr>
          <w:p>
            <w:pPr>
              <w:spacing w:line="360" w:lineRule="auto"/>
            </w:pPr>
          </w:p>
        </w:tc>
        <w:tc>
          <w:tcPr>
            <w:tcW w:w="1212" w:type="dxa"/>
            <w:gridSpan w:val="2"/>
            <w:noWrap/>
            <w:vAlign w:val="center"/>
          </w:tcPr>
          <w:p>
            <w:pPr>
              <w:spacing w:line="360" w:lineRule="auto"/>
            </w:pPr>
            <w:r>
              <w:rPr>
                <w:rFonts w:hint="eastAsia"/>
              </w:rPr>
              <w:t>技术职称</w:t>
            </w:r>
          </w:p>
        </w:tc>
        <w:tc>
          <w:tcPr>
            <w:tcW w:w="1223" w:type="dxa"/>
            <w:gridSpan w:val="2"/>
            <w:noWrap/>
            <w:vAlign w:val="center"/>
          </w:tcPr>
          <w:p>
            <w:pPr>
              <w:spacing w:line="360" w:lineRule="auto"/>
            </w:pPr>
          </w:p>
        </w:tc>
        <w:tc>
          <w:tcPr>
            <w:tcW w:w="700" w:type="dxa"/>
            <w:noWrap/>
            <w:vAlign w:val="center"/>
          </w:tcPr>
          <w:p>
            <w:pPr>
              <w:spacing w:line="360" w:lineRule="auto"/>
            </w:pPr>
            <w:r>
              <w:rPr>
                <w:rFonts w:hint="eastAsia"/>
              </w:rPr>
              <w:t>电话</w:t>
            </w:r>
          </w:p>
        </w:tc>
        <w:tc>
          <w:tcPr>
            <w:tcW w:w="1383" w:type="dxa"/>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16" w:type="dxa"/>
            <w:noWrap/>
            <w:vAlign w:val="center"/>
          </w:tcPr>
          <w:p>
            <w:pPr>
              <w:spacing w:line="360" w:lineRule="auto"/>
            </w:pPr>
            <w:r>
              <w:rPr>
                <w:rFonts w:hint="eastAsia"/>
              </w:rPr>
              <w:t>成立时间</w:t>
            </w:r>
          </w:p>
        </w:tc>
        <w:tc>
          <w:tcPr>
            <w:tcW w:w="2786" w:type="dxa"/>
            <w:gridSpan w:val="2"/>
            <w:noWrap/>
            <w:vAlign w:val="center"/>
          </w:tcPr>
          <w:p>
            <w:pPr>
              <w:spacing w:line="360" w:lineRule="auto"/>
            </w:pPr>
          </w:p>
        </w:tc>
        <w:tc>
          <w:tcPr>
            <w:tcW w:w="4518" w:type="dxa"/>
            <w:gridSpan w:val="6"/>
            <w:noWrap/>
            <w:vAlign w:val="center"/>
          </w:tcPr>
          <w:p>
            <w:pPr>
              <w:spacing w:line="360" w:lineRule="auto"/>
            </w:pPr>
            <w:r>
              <w:rPr>
                <w:rFonts w:hint="eastAsia"/>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16" w:type="dxa"/>
            <w:noWrap/>
            <w:vAlign w:val="center"/>
          </w:tcPr>
          <w:p>
            <w:pPr>
              <w:spacing w:line="360" w:lineRule="auto"/>
            </w:pPr>
            <w:r>
              <w:rPr>
                <w:rFonts w:hint="eastAsia"/>
              </w:rPr>
              <w:t>营业执照号</w:t>
            </w:r>
          </w:p>
        </w:tc>
        <w:tc>
          <w:tcPr>
            <w:tcW w:w="2786" w:type="dxa"/>
            <w:gridSpan w:val="2"/>
            <w:noWrap/>
            <w:vAlign w:val="center"/>
          </w:tcPr>
          <w:p>
            <w:pPr>
              <w:spacing w:line="360" w:lineRule="auto"/>
            </w:pPr>
          </w:p>
        </w:tc>
        <w:tc>
          <w:tcPr>
            <w:tcW w:w="691" w:type="dxa"/>
            <w:vMerge w:val="restart"/>
            <w:noWrap/>
            <w:vAlign w:val="center"/>
          </w:tcPr>
          <w:p>
            <w:pPr>
              <w:spacing w:line="360" w:lineRule="auto"/>
            </w:pPr>
            <w:r>
              <w:rPr>
                <w:rFonts w:hint="eastAsia"/>
              </w:rPr>
              <w:t>其中</w:t>
            </w:r>
          </w:p>
        </w:tc>
        <w:tc>
          <w:tcPr>
            <w:tcW w:w="1744" w:type="dxa"/>
            <w:gridSpan w:val="3"/>
            <w:noWrap/>
            <w:vAlign w:val="center"/>
          </w:tcPr>
          <w:p>
            <w:pPr>
              <w:spacing w:line="360" w:lineRule="auto"/>
            </w:pPr>
            <w:r>
              <w:rPr>
                <w:rFonts w:hint="eastAsia"/>
              </w:rPr>
              <w:t>项目经理</w:t>
            </w:r>
          </w:p>
        </w:tc>
        <w:tc>
          <w:tcPr>
            <w:tcW w:w="2083" w:type="dxa"/>
            <w:gridSpan w:val="2"/>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916" w:type="dxa"/>
            <w:noWrap/>
            <w:vAlign w:val="center"/>
          </w:tcPr>
          <w:p>
            <w:pPr>
              <w:spacing w:line="360" w:lineRule="auto"/>
            </w:pPr>
            <w:r>
              <w:rPr>
                <w:rFonts w:hint="eastAsia"/>
              </w:rPr>
              <w:t>注册资金</w:t>
            </w:r>
          </w:p>
        </w:tc>
        <w:tc>
          <w:tcPr>
            <w:tcW w:w="2786" w:type="dxa"/>
            <w:gridSpan w:val="2"/>
            <w:noWrap/>
            <w:vAlign w:val="center"/>
          </w:tcPr>
          <w:p>
            <w:pPr>
              <w:spacing w:line="360" w:lineRule="auto"/>
            </w:pPr>
          </w:p>
        </w:tc>
        <w:tc>
          <w:tcPr>
            <w:tcW w:w="691" w:type="dxa"/>
            <w:vMerge w:val="continue"/>
            <w:noWrap/>
            <w:vAlign w:val="center"/>
          </w:tcPr>
          <w:p>
            <w:pPr>
              <w:spacing w:line="360" w:lineRule="auto"/>
            </w:pPr>
          </w:p>
        </w:tc>
        <w:tc>
          <w:tcPr>
            <w:tcW w:w="1744" w:type="dxa"/>
            <w:gridSpan w:val="3"/>
            <w:noWrap/>
            <w:vAlign w:val="center"/>
          </w:tcPr>
          <w:p>
            <w:pPr>
              <w:spacing w:line="360" w:lineRule="auto"/>
            </w:pPr>
            <w:r>
              <w:rPr>
                <w:rFonts w:hint="eastAsia"/>
              </w:rPr>
              <w:t>高级职称人员</w:t>
            </w:r>
          </w:p>
        </w:tc>
        <w:tc>
          <w:tcPr>
            <w:tcW w:w="2083" w:type="dxa"/>
            <w:gridSpan w:val="2"/>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16" w:type="dxa"/>
            <w:noWrap/>
            <w:vAlign w:val="center"/>
          </w:tcPr>
          <w:p>
            <w:pPr>
              <w:spacing w:line="360" w:lineRule="auto"/>
            </w:pPr>
            <w:r>
              <w:rPr>
                <w:rFonts w:hint="eastAsia"/>
              </w:rPr>
              <w:t>开户银行</w:t>
            </w:r>
          </w:p>
        </w:tc>
        <w:tc>
          <w:tcPr>
            <w:tcW w:w="2786" w:type="dxa"/>
            <w:gridSpan w:val="2"/>
            <w:noWrap/>
            <w:vAlign w:val="center"/>
          </w:tcPr>
          <w:p>
            <w:pPr>
              <w:spacing w:line="360" w:lineRule="auto"/>
            </w:pPr>
          </w:p>
        </w:tc>
        <w:tc>
          <w:tcPr>
            <w:tcW w:w="691" w:type="dxa"/>
            <w:vMerge w:val="continue"/>
            <w:noWrap/>
            <w:vAlign w:val="center"/>
          </w:tcPr>
          <w:p>
            <w:pPr>
              <w:spacing w:line="360" w:lineRule="auto"/>
            </w:pPr>
          </w:p>
        </w:tc>
        <w:tc>
          <w:tcPr>
            <w:tcW w:w="1744" w:type="dxa"/>
            <w:gridSpan w:val="3"/>
            <w:noWrap/>
            <w:vAlign w:val="center"/>
          </w:tcPr>
          <w:p>
            <w:pPr>
              <w:spacing w:line="360" w:lineRule="auto"/>
            </w:pPr>
            <w:r>
              <w:rPr>
                <w:rFonts w:hint="eastAsia"/>
              </w:rPr>
              <w:t>中级职称人员</w:t>
            </w:r>
          </w:p>
        </w:tc>
        <w:tc>
          <w:tcPr>
            <w:tcW w:w="2083" w:type="dxa"/>
            <w:gridSpan w:val="2"/>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916" w:type="dxa"/>
            <w:noWrap/>
            <w:vAlign w:val="center"/>
          </w:tcPr>
          <w:p>
            <w:pPr>
              <w:spacing w:line="360" w:lineRule="auto"/>
            </w:pPr>
            <w:r>
              <w:rPr>
                <w:rFonts w:hint="eastAsia"/>
              </w:rPr>
              <w:t>账号</w:t>
            </w:r>
          </w:p>
        </w:tc>
        <w:tc>
          <w:tcPr>
            <w:tcW w:w="2786" w:type="dxa"/>
            <w:gridSpan w:val="2"/>
            <w:noWrap/>
            <w:vAlign w:val="center"/>
          </w:tcPr>
          <w:p>
            <w:pPr>
              <w:spacing w:line="360" w:lineRule="auto"/>
            </w:pPr>
          </w:p>
        </w:tc>
        <w:tc>
          <w:tcPr>
            <w:tcW w:w="691" w:type="dxa"/>
            <w:vMerge w:val="continue"/>
            <w:noWrap/>
            <w:vAlign w:val="center"/>
          </w:tcPr>
          <w:p>
            <w:pPr>
              <w:spacing w:line="360" w:lineRule="auto"/>
            </w:pPr>
          </w:p>
        </w:tc>
        <w:tc>
          <w:tcPr>
            <w:tcW w:w="1744" w:type="dxa"/>
            <w:gridSpan w:val="3"/>
            <w:noWrap/>
            <w:vAlign w:val="center"/>
          </w:tcPr>
          <w:p>
            <w:pPr>
              <w:spacing w:line="360" w:lineRule="auto"/>
            </w:pPr>
            <w:r>
              <w:rPr>
                <w:rFonts w:hint="eastAsia"/>
              </w:rPr>
              <w:t>初级职称人员</w:t>
            </w:r>
          </w:p>
        </w:tc>
        <w:tc>
          <w:tcPr>
            <w:tcW w:w="2083" w:type="dxa"/>
            <w:gridSpan w:val="2"/>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16" w:type="dxa"/>
            <w:noWrap/>
            <w:vAlign w:val="center"/>
          </w:tcPr>
          <w:p>
            <w:pPr>
              <w:spacing w:line="360" w:lineRule="auto"/>
            </w:pPr>
          </w:p>
        </w:tc>
        <w:tc>
          <w:tcPr>
            <w:tcW w:w="2786" w:type="dxa"/>
            <w:gridSpan w:val="2"/>
            <w:noWrap/>
            <w:vAlign w:val="center"/>
          </w:tcPr>
          <w:p>
            <w:pPr>
              <w:spacing w:line="360" w:lineRule="auto"/>
            </w:pPr>
          </w:p>
        </w:tc>
        <w:tc>
          <w:tcPr>
            <w:tcW w:w="691" w:type="dxa"/>
            <w:vMerge w:val="continue"/>
            <w:noWrap/>
            <w:vAlign w:val="center"/>
          </w:tcPr>
          <w:p>
            <w:pPr>
              <w:spacing w:line="360" w:lineRule="auto"/>
            </w:pPr>
          </w:p>
        </w:tc>
        <w:tc>
          <w:tcPr>
            <w:tcW w:w="1744" w:type="dxa"/>
            <w:gridSpan w:val="3"/>
            <w:noWrap/>
            <w:vAlign w:val="center"/>
          </w:tcPr>
          <w:p>
            <w:pPr>
              <w:spacing w:line="360" w:lineRule="auto"/>
            </w:pPr>
            <w:r>
              <w:rPr>
                <w:rFonts w:hint="eastAsia"/>
              </w:rPr>
              <w:t>技工</w:t>
            </w:r>
          </w:p>
        </w:tc>
        <w:tc>
          <w:tcPr>
            <w:tcW w:w="2083" w:type="dxa"/>
            <w:gridSpan w:val="2"/>
            <w:noWrap/>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1916" w:type="dxa"/>
            <w:noWrap/>
          </w:tcPr>
          <w:p>
            <w:pPr>
              <w:spacing w:line="360" w:lineRule="auto"/>
            </w:pPr>
            <w:r>
              <w:rPr>
                <w:rFonts w:hint="eastAsia"/>
              </w:rPr>
              <w:t>经营范围备注</w:t>
            </w:r>
          </w:p>
        </w:tc>
        <w:tc>
          <w:tcPr>
            <w:tcW w:w="7304" w:type="dxa"/>
            <w:gridSpan w:val="8"/>
            <w:noWrap/>
          </w:tcPr>
          <w:p>
            <w:pPr>
              <w:spacing w:line="360" w:lineRule="auto"/>
              <w:ind w:firstLine="420" w:firstLineChars="200"/>
            </w:pPr>
          </w:p>
        </w:tc>
      </w:tr>
    </w:tbl>
    <w:p>
      <w:pPr>
        <w:spacing w:line="360" w:lineRule="auto"/>
        <w:rPr>
          <w:b/>
        </w:rPr>
      </w:pPr>
    </w:p>
    <w:p>
      <w:pPr>
        <w:autoSpaceDE w:val="0"/>
        <w:autoSpaceDN w:val="0"/>
        <w:adjustRightInd w:val="0"/>
        <w:spacing w:line="360" w:lineRule="auto"/>
        <w:jc w:val="left"/>
        <w:rPr>
          <w:bCs/>
        </w:rPr>
      </w:pPr>
    </w:p>
    <w:p>
      <w:pPr>
        <w:autoSpaceDE w:val="0"/>
        <w:autoSpaceDN w:val="0"/>
        <w:adjustRightInd w:val="0"/>
        <w:spacing w:line="360" w:lineRule="auto"/>
        <w:jc w:val="left"/>
        <w:rPr>
          <w:rFonts w:cs="微软雅黑"/>
          <w:kern w:val="0"/>
          <w:sz w:val="20"/>
          <w:szCs w:val="20"/>
        </w:rPr>
      </w:pPr>
      <w:r>
        <w:rPr>
          <w:rFonts w:hint="eastAsia"/>
          <w:bCs/>
        </w:rPr>
        <w:t>本表后需附营业执照及相关资质证书</w:t>
      </w:r>
      <w:r>
        <w:rPr>
          <w:rFonts w:hint="eastAsia"/>
        </w:rPr>
        <w:t>复印件</w:t>
      </w:r>
    </w:p>
    <w:p>
      <w:pPr>
        <w:pStyle w:val="37"/>
        <w:spacing w:line="360" w:lineRule="auto"/>
        <w:ind w:firstLine="0"/>
        <w:rPr>
          <w:lang w:val="en-US"/>
        </w:rPr>
      </w:pPr>
    </w:p>
    <w:p>
      <w:pPr>
        <w:spacing w:line="360" w:lineRule="auto"/>
        <w:jc w:val="center"/>
        <w:rPr>
          <w:b/>
        </w:rPr>
      </w:pPr>
      <w:r>
        <w:rPr>
          <w:rFonts w:hint="eastAsia"/>
          <w:b/>
        </w:rPr>
        <w:t>（二）参加政府采购活动前3年在经营活动中没有重大</w:t>
      </w:r>
    </w:p>
    <w:p>
      <w:pPr>
        <w:spacing w:line="360" w:lineRule="auto"/>
        <w:jc w:val="center"/>
        <w:rPr>
          <w:rFonts w:cs="黑体"/>
          <w:b/>
          <w:sz w:val="28"/>
          <w:szCs w:val="28"/>
        </w:rPr>
      </w:pPr>
      <w:r>
        <w:rPr>
          <w:rFonts w:hint="eastAsia"/>
          <w:b/>
        </w:rPr>
        <w:t>违法记录的书面声明</w:t>
      </w:r>
    </w:p>
    <w:p>
      <w:pPr>
        <w:spacing w:beforeLines="50" w:afterLines="50" w:line="360" w:lineRule="auto"/>
        <w:ind w:left="687" w:leftChars="227" w:hanging="210" w:hangingChars="100"/>
        <w:rPr>
          <w:highlight w:val="yellow"/>
          <w:u w:val="single"/>
        </w:rPr>
      </w:pPr>
      <w:r>
        <w:rPr>
          <w:rFonts w:hint="eastAsia"/>
        </w:rPr>
        <w:t>采购人名称：</w:t>
      </w:r>
    </w:p>
    <w:p>
      <w:pPr>
        <w:spacing w:beforeLines="50" w:afterLines="50" w:line="360" w:lineRule="auto"/>
        <w:ind w:left="689" w:leftChars="328" w:firstLine="210" w:firstLineChars="100"/>
      </w:pPr>
      <w:r>
        <w:rPr>
          <w:rFonts w:hint="eastAsia"/>
        </w:rPr>
        <w:t>我单位在参加政府采购活动前3年在经营活动中没有重大违法记录，特此声明。</w:t>
      </w:r>
    </w:p>
    <w:p>
      <w:pPr>
        <w:spacing w:beforeLines="50" w:afterLines="50" w:line="360" w:lineRule="auto"/>
        <w:ind w:left="687" w:leftChars="227" w:hanging="210" w:hangingChars="100"/>
      </w:pPr>
    </w:p>
    <w:p>
      <w:pPr>
        <w:spacing w:beforeLines="50" w:afterLines="50" w:line="360" w:lineRule="auto"/>
        <w:ind w:left="687" w:leftChars="227" w:hanging="210" w:hangingChars="100"/>
      </w:pPr>
    </w:p>
    <w:p>
      <w:pPr>
        <w:spacing w:beforeLines="50" w:afterLines="50" w:line="360" w:lineRule="auto"/>
        <w:ind w:left="687" w:leftChars="227" w:hanging="210" w:hangingChars="100"/>
      </w:pPr>
    </w:p>
    <w:p>
      <w:pPr>
        <w:spacing w:beforeLines="50" w:afterLines="50" w:line="360" w:lineRule="auto"/>
        <w:ind w:left="687" w:leftChars="227" w:hanging="210" w:hangingChars="100"/>
      </w:pPr>
    </w:p>
    <w:p>
      <w:pPr>
        <w:pStyle w:val="37"/>
        <w:spacing w:line="360" w:lineRule="auto"/>
        <w:rPr>
          <w:lang w:val="en-US"/>
        </w:rPr>
      </w:pPr>
    </w:p>
    <w:p>
      <w:pPr>
        <w:pStyle w:val="37"/>
        <w:spacing w:line="360" w:lineRule="auto"/>
        <w:rPr>
          <w:lang w:val="en-US"/>
        </w:rPr>
      </w:pPr>
    </w:p>
    <w:p>
      <w:pPr>
        <w:spacing w:line="360" w:lineRule="auto"/>
        <w:jc w:val="right"/>
      </w:pPr>
    </w:p>
    <w:p>
      <w:pPr>
        <w:spacing w:line="360" w:lineRule="auto"/>
        <w:jc w:val="right"/>
        <w:rPr>
          <w:u w:val="single"/>
        </w:rPr>
      </w:pPr>
      <w:r>
        <w:rPr>
          <w:rFonts w:hint="eastAsia"/>
        </w:rPr>
        <w:t>响应人（电子签章）：</w:t>
      </w:r>
    </w:p>
    <w:p>
      <w:pPr>
        <w:spacing w:line="360" w:lineRule="auto"/>
        <w:jc w:val="right"/>
        <w:rPr>
          <w:u w:val="single"/>
        </w:rPr>
      </w:pPr>
      <w:r>
        <w:rPr>
          <w:rFonts w:hint="eastAsia"/>
        </w:rPr>
        <w:t>法定代表人或被授权人（电子签名）：</w:t>
      </w:r>
    </w:p>
    <w:p>
      <w:pPr>
        <w:spacing w:line="360" w:lineRule="auto"/>
        <w:jc w:val="right"/>
      </w:pPr>
    </w:p>
    <w:p>
      <w:pPr>
        <w:spacing w:line="360" w:lineRule="auto"/>
        <w:jc w:val="right"/>
      </w:pPr>
      <w:r>
        <w:rPr>
          <w:rFonts w:hint="eastAsia"/>
        </w:rPr>
        <w:t>日期：   年  月  日</w:t>
      </w:r>
    </w:p>
    <w:p>
      <w:pPr>
        <w:spacing w:line="360" w:lineRule="auto"/>
        <w:rPr>
          <w:b/>
        </w:rPr>
      </w:pPr>
    </w:p>
    <w:p>
      <w:pPr>
        <w:pStyle w:val="3"/>
        <w:numPr>
          <w:ilvl w:val="0"/>
          <w:numId w:val="0"/>
        </w:numPr>
        <w:spacing w:line="360" w:lineRule="auto"/>
        <w:ind w:left="424" w:leftChars="202" w:firstLine="1050" w:firstLineChars="500"/>
        <w:rPr>
          <w:rFonts w:hAnsi="宋体"/>
          <w:b/>
          <w:color w:val="auto"/>
          <w:kern w:val="2"/>
          <w:sz w:val="21"/>
          <w:szCs w:val="21"/>
        </w:rPr>
      </w:pPr>
      <w:r>
        <w:rPr>
          <w:rFonts w:hAnsi="宋体"/>
          <w:color w:val="auto"/>
          <w:sz w:val="21"/>
        </w:rPr>
        <w:br w:type="page"/>
      </w:r>
      <w:r>
        <w:rPr>
          <w:rFonts w:hint="eastAsia" w:hAnsi="宋体"/>
          <w:b/>
          <w:color w:val="auto"/>
          <w:kern w:val="2"/>
          <w:sz w:val="21"/>
          <w:szCs w:val="21"/>
        </w:rPr>
        <w:t>（三）具备履行合同所必需的设备和专业技术能力的证明材料</w:t>
      </w:r>
    </w:p>
    <w:p>
      <w:pPr>
        <w:pStyle w:val="3"/>
        <w:numPr>
          <w:ilvl w:val="0"/>
          <w:numId w:val="0"/>
        </w:numPr>
        <w:spacing w:line="360" w:lineRule="auto"/>
        <w:ind w:left="425"/>
        <w:rPr>
          <w:rFonts w:hAnsi="宋体" w:cs="黑体"/>
          <w:b/>
          <w:color w:val="auto"/>
          <w:sz w:val="28"/>
          <w:szCs w:val="28"/>
        </w:rPr>
      </w:pPr>
    </w:p>
    <w:p>
      <w:pPr>
        <w:spacing w:beforeLines="50" w:afterLines="50" w:line="360" w:lineRule="auto"/>
        <w:ind w:left="687" w:leftChars="227" w:hanging="210" w:hangingChars="100"/>
        <w:rPr>
          <w:highlight w:val="yellow"/>
        </w:rPr>
      </w:pPr>
      <w:r>
        <w:rPr>
          <w:rFonts w:hint="eastAsia"/>
        </w:rPr>
        <w:t>采购人名称：</w:t>
      </w:r>
    </w:p>
    <w:p>
      <w:pPr>
        <w:spacing w:beforeLines="50" w:afterLines="50" w:line="360" w:lineRule="auto"/>
        <w:ind w:left="689" w:leftChars="328" w:firstLine="210" w:firstLineChars="100"/>
      </w:pPr>
      <w:r>
        <w:rPr>
          <w:rFonts w:hint="eastAsia"/>
        </w:rPr>
        <w:t>我单位具备履行合同所必需的设备和专业技术能力，特此声明。</w:t>
      </w:r>
    </w:p>
    <w:p>
      <w:pPr>
        <w:spacing w:beforeLines="50" w:afterLines="50" w:line="360" w:lineRule="auto"/>
        <w:ind w:left="687" w:leftChars="227" w:hanging="210" w:hangingChars="100"/>
      </w:pPr>
    </w:p>
    <w:p>
      <w:pPr>
        <w:spacing w:beforeLines="50" w:afterLines="50" w:line="360" w:lineRule="auto"/>
        <w:ind w:left="687" w:leftChars="227" w:hanging="210" w:hangingChars="100"/>
      </w:pPr>
    </w:p>
    <w:p>
      <w:pPr>
        <w:spacing w:beforeLines="50" w:afterLines="50" w:line="360" w:lineRule="auto"/>
        <w:ind w:left="687" w:leftChars="227" w:hanging="210" w:hangingChars="100"/>
      </w:pPr>
    </w:p>
    <w:p>
      <w:pPr>
        <w:spacing w:beforeLines="50" w:afterLines="50" w:line="360" w:lineRule="auto"/>
        <w:ind w:left="687" w:leftChars="227" w:hanging="210" w:hangingChars="100"/>
      </w:pPr>
    </w:p>
    <w:p>
      <w:pPr>
        <w:pStyle w:val="37"/>
        <w:spacing w:line="360" w:lineRule="auto"/>
        <w:rPr>
          <w:lang w:val="en-US"/>
        </w:rPr>
      </w:pPr>
    </w:p>
    <w:p>
      <w:pPr>
        <w:pStyle w:val="37"/>
        <w:spacing w:line="360" w:lineRule="auto"/>
        <w:rPr>
          <w:lang w:val="en-US"/>
        </w:rPr>
      </w:pPr>
    </w:p>
    <w:p>
      <w:pPr>
        <w:spacing w:beforeLines="50" w:afterLines="50" w:line="360" w:lineRule="auto"/>
        <w:ind w:left="687" w:leftChars="227" w:hanging="210" w:hangingChars="100"/>
      </w:pPr>
    </w:p>
    <w:p>
      <w:pPr>
        <w:spacing w:line="360" w:lineRule="auto"/>
        <w:jc w:val="right"/>
      </w:pPr>
    </w:p>
    <w:p>
      <w:pPr>
        <w:spacing w:line="360" w:lineRule="auto"/>
        <w:jc w:val="right"/>
        <w:rPr>
          <w:u w:val="single"/>
        </w:rPr>
      </w:pPr>
      <w:r>
        <w:rPr>
          <w:rFonts w:hint="eastAsia"/>
        </w:rPr>
        <w:t>响应人（电子签章）：</w:t>
      </w:r>
    </w:p>
    <w:p>
      <w:pPr>
        <w:spacing w:line="360" w:lineRule="auto"/>
        <w:jc w:val="right"/>
        <w:rPr>
          <w:u w:val="single"/>
        </w:rPr>
      </w:pPr>
      <w:r>
        <w:rPr>
          <w:rFonts w:hint="eastAsia"/>
        </w:rPr>
        <w:t>法定代表人或被授权人（电子签名）：</w:t>
      </w:r>
    </w:p>
    <w:p>
      <w:pPr>
        <w:spacing w:line="360" w:lineRule="auto"/>
        <w:jc w:val="right"/>
      </w:pPr>
    </w:p>
    <w:p>
      <w:pPr>
        <w:spacing w:line="360" w:lineRule="auto"/>
        <w:jc w:val="right"/>
      </w:pPr>
      <w:r>
        <w:rPr>
          <w:rFonts w:hint="eastAsia"/>
        </w:rPr>
        <w:t>日期：  年  月  日</w:t>
      </w:r>
    </w:p>
    <w:p>
      <w:pPr>
        <w:spacing w:beforeLines="50" w:afterLines="50" w:line="360" w:lineRule="auto"/>
        <w:ind w:left="687" w:leftChars="227" w:hanging="210" w:hangingChars="100"/>
      </w:pPr>
    </w:p>
    <w:p>
      <w:pPr>
        <w:spacing w:beforeLines="50" w:afterLines="50" w:line="360" w:lineRule="auto"/>
        <w:ind w:left="687" w:leftChars="227" w:hanging="210" w:hangingChars="100"/>
      </w:pPr>
    </w:p>
    <w:p>
      <w:pPr>
        <w:spacing w:beforeLines="50" w:afterLines="50" w:line="360" w:lineRule="auto"/>
        <w:ind w:left="687" w:leftChars="227" w:hanging="210" w:hangingChars="100"/>
      </w:pPr>
    </w:p>
    <w:p>
      <w:pPr>
        <w:spacing w:beforeLines="50" w:afterLines="50" w:line="360" w:lineRule="auto"/>
        <w:ind w:left="687" w:leftChars="227" w:hanging="210" w:hangingChars="100"/>
      </w:pPr>
    </w:p>
    <w:p>
      <w:pPr>
        <w:pStyle w:val="22"/>
        <w:spacing w:line="360" w:lineRule="auto"/>
        <w:rPr>
          <w:rFonts w:ascii="宋体" w:hAnsi="宋体" w:cs="宋体"/>
        </w:rPr>
      </w:pPr>
    </w:p>
    <w:p>
      <w:pPr>
        <w:pStyle w:val="22"/>
        <w:spacing w:line="360" w:lineRule="auto"/>
        <w:rPr>
          <w:rFonts w:ascii="宋体" w:hAnsi="宋体" w:cs="宋体"/>
        </w:rPr>
      </w:pPr>
    </w:p>
    <w:p>
      <w:pPr>
        <w:pStyle w:val="22"/>
        <w:spacing w:line="360" w:lineRule="auto"/>
        <w:ind w:left="0" w:leftChars="0" w:firstLine="0" w:firstLineChars="0"/>
        <w:rPr>
          <w:rFonts w:ascii="宋体" w:hAnsi="宋体" w:cs="宋体"/>
        </w:rPr>
      </w:pPr>
    </w:p>
    <w:p>
      <w:pPr>
        <w:rPr>
          <w:rFonts w:hint="eastAsia" w:ascii="仿宋" w:hAnsi="仿宋" w:eastAsia="仿宋" w:cs="仿宋"/>
          <w:sz w:val="22"/>
          <w:szCs w:val="28"/>
        </w:rPr>
      </w:pPr>
    </w:p>
    <w:p>
      <w:pPr>
        <w:rPr>
          <w:rFonts w:hint="eastAsia" w:ascii="仿宋" w:hAnsi="仿宋" w:eastAsia="仿宋" w:cs="仿宋"/>
          <w:sz w:val="22"/>
          <w:szCs w:val="28"/>
        </w:rPr>
      </w:pPr>
      <w:r>
        <w:rPr>
          <w:rFonts w:hint="eastAsia" w:ascii="仿宋" w:hAnsi="仿宋" w:eastAsia="仿宋" w:cs="仿宋"/>
          <w:sz w:val="22"/>
          <w:szCs w:val="28"/>
        </w:rPr>
        <w:t>附件：</w:t>
      </w:r>
    </w:p>
    <w:p>
      <w:pPr>
        <w:rPr>
          <w:rFonts w:hint="eastAsia" w:ascii="仿宋" w:hAnsi="仿宋" w:eastAsia="仿宋" w:cs="仿宋"/>
          <w:sz w:val="22"/>
          <w:szCs w:val="28"/>
        </w:rPr>
      </w:pPr>
    </w:p>
    <w:p>
      <w:pPr>
        <w:jc w:val="center"/>
        <w:rPr>
          <w:rFonts w:hint="eastAsia" w:ascii="宋体" w:hAnsi="宋体" w:eastAsia="宋体" w:cs="宋体"/>
          <w:b/>
          <w:bCs/>
          <w:sz w:val="28"/>
          <w:szCs w:val="36"/>
        </w:rPr>
      </w:pPr>
      <w:r>
        <w:rPr>
          <w:rFonts w:hint="eastAsia" w:ascii="宋体" w:hAnsi="宋体" w:eastAsia="宋体" w:cs="宋体"/>
          <w:b/>
          <w:bCs/>
          <w:sz w:val="28"/>
          <w:szCs w:val="36"/>
          <w:lang w:val="en-US" w:eastAsia="zh-CN"/>
        </w:rPr>
        <w:t>社旗县</w:t>
      </w:r>
      <w:r>
        <w:rPr>
          <w:rFonts w:hint="eastAsia" w:ascii="宋体" w:hAnsi="宋体" w:eastAsia="宋体" w:cs="宋体"/>
          <w:b/>
          <w:bCs/>
          <w:sz w:val="28"/>
          <w:szCs w:val="36"/>
        </w:rPr>
        <w:t>政府采购供应商信用承诺函</w:t>
      </w:r>
    </w:p>
    <w:p>
      <w:pPr>
        <w:rPr>
          <w:rFonts w:hint="eastAsia" w:ascii="仿宋" w:hAnsi="仿宋" w:eastAsia="仿宋" w:cs="仿宋"/>
          <w:sz w:val="22"/>
          <w:szCs w:val="28"/>
        </w:rPr>
      </w:pP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致(采购人或采购代理机构):</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单位名称：</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统一社会信用代码：</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法定代表人：</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联系地址和电话：</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(一)具有独立承担民事责任的能力；</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(五)参加政府采购活动前三年内，在经营活动中没有</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2"/>
          <w:szCs w:val="28"/>
        </w:rPr>
      </w:pPr>
      <w:r>
        <w:rPr>
          <w:rFonts w:hint="eastAsia" w:ascii="仿宋" w:hAnsi="仿宋" w:eastAsia="仿宋" w:cs="仿宋"/>
          <w:sz w:val="22"/>
          <w:szCs w:val="28"/>
        </w:rPr>
        <w:t>重大违法记录；</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(六)法律、行政法规规定的其他条件。</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我单位保证上述承诺事项的真实性，如有弄虚作假或其他违法违规行为，愿意承担一切法律责任，并承担因此所造成的一切损失。</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pPr>
        <w:keepNext w:val="0"/>
        <w:keepLines w:val="0"/>
        <w:pageBreakBefore w:val="0"/>
        <w:widowControl w:val="0"/>
        <w:kinsoku/>
        <w:wordWrap/>
        <w:overflowPunct/>
        <w:topLinePunct w:val="0"/>
        <w:autoSpaceDE/>
        <w:autoSpaceDN/>
        <w:bidi w:val="0"/>
        <w:adjustRightInd/>
        <w:snapToGrid/>
        <w:ind w:firstLine="2200" w:firstLineChars="1000"/>
        <w:textAlignment w:val="auto"/>
        <w:rPr>
          <w:rFonts w:hint="eastAsia" w:ascii="仿宋" w:hAnsi="仿宋" w:eastAsia="仿宋" w:cs="仿宋"/>
          <w:sz w:val="22"/>
          <w:szCs w:val="28"/>
        </w:rPr>
      </w:pPr>
      <w:r>
        <w:rPr>
          <w:rFonts w:hint="eastAsia" w:ascii="仿宋" w:hAnsi="仿宋" w:eastAsia="仿宋" w:cs="仿宋"/>
          <w:sz w:val="22"/>
          <w:szCs w:val="28"/>
        </w:rPr>
        <w:t>投标人(企业电子章):</w:t>
      </w:r>
    </w:p>
    <w:p>
      <w:pPr>
        <w:keepNext w:val="0"/>
        <w:keepLines w:val="0"/>
        <w:pageBreakBefore w:val="0"/>
        <w:widowControl w:val="0"/>
        <w:kinsoku/>
        <w:wordWrap/>
        <w:overflowPunct/>
        <w:topLinePunct w:val="0"/>
        <w:autoSpaceDE/>
        <w:autoSpaceDN/>
        <w:bidi w:val="0"/>
        <w:adjustRightInd/>
        <w:snapToGrid/>
        <w:ind w:firstLine="1100" w:firstLineChars="500"/>
        <w:textAlignment w:val="auto"/>
        <w:rPr>
          <w:rFonts w:hint="eastAsia" w:ascii="仿宋" w:hAnsi="仿宋" w:eastAsia="仿宋" w:cs="仿宋"/>
          <w:sz w:val="22"/>
          <w:szCs w:val="28"/>
        </w:rPr>
      </w:pPr>
      <w:r>
        <w:rPr>
          <w:rFonts w:hint="eastAsia" w:ascii="仿宋" w:hAnsi="仿宋" w:eastAsia="仿宋" w:cs="仿宋"/>
          <w:sz w:val="22"/>
          <w:szCs w:val="28"/>
        </w:rPr>
        <w:t>法定代表人或授权代表(签字或电子印章):</w:t>
      </w:r>
    </w:p>
    <w:p>
      <w:pPr>
        <w:keepNext w:val="0"/>
        <w:keepLines w:val="0"/>
        <w:pageBreakBefore w:val="0"/>
        <w:widowControl w:val="0"/>
        <w:kinsoku/>
        <w:wordWrap/>
        <w:overflowPunct/>
        <w:topLinePunct w:val="0"/>
        <w:autoSpaceDE/>
        <w:autoSpaceDN/>
        <w:bidi w:val="0"/>
        <w:adjustRightInd/>
        <w:snapToGrid/>
        <w:ind w:firstLine="2420" w:firstLineChars="1100"/>
        <w:textAlignment w:val="auto"/>
        <w:rPr>
          <w:rFonts w:hint="eastAsia" w:ascii="仿宋" w:hAnsi="仿宋" w:eastAsia="仿宋" w:cs="仿宋"/>
          <w:sz w:val="22"/>
          <w:szCs w:val="28"/>
        </w:rPr>
      </w:pPr>
      <w:r>
        <w:rPr>
          <w:rFonts w:hint="eastAsia" w:ascii="仿宋" w:hAnsi="仿宋" w:eastAsia="仿宋" w:cs="仿宋"/>
          <w:sz w:val="22"/>
          <w:szCs w:val="28"/>
        </w:rPr>
        <w:t>日期：        年     月    日</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注：</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1、投标人须在投标文件中按此模板提供承诺函，未提供视为未实质性响应招标文件要求，按无效投标处理。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2、投标人的法定代表人或者授权代表的签字或盖章应 真实、有效，如由授权代表签字或盖章的，应提供“法定代表人授权书”。</w:t>
      </w:r>
    </w:p>
    <w:p/>
    <w:p>
      <w:pPr>
        <w:pStyle w:val="22"/>
        <w:spacing w:line="360" w:lineRule="auto"/>
        <w:ind w:left="0" w:leftChars="0" w:firstLine="0" w:firstLineChars="0"/>
        <w:rPr>
          <w:rFonts w:ascii="宋体" w:hAnsi="宋体" w:cs="宋体"/>
        </w:rPr>
      </w:pPr>
    </w:p>
    <w:p>
      <w:pPr>
        <w:spacing w:beforeLines="50" w:afterLines="50" w:line="360" w:lineRule="auto"/>
        <w:jc w:val="center"/>
        <w:rPr>
          <w:rFonts w:hint="eastAsia"/>
          <w:b/>
        </w:rPr>
      </w:pPr>
    </w:p>
    <w:p>
      <w:pPr>
        <w:spacing w:beforeLines="50" w:afterLines="50" w:line="360" w:lineRule="auto"/>
        <w:jc w:val="center"/>
        <w:rPr>
          <w:rFonts w:hint="eastAsia"/>
          <w:b/>
        </w:rPr>
      </w:pPr>
    </w:p>
    <w:p>
      <w:pPr>
        <w:spacing w:beforeLines="50" w:afterLines="50" w:line="360" w:lineRule="auto"/>
        <w:jc w:val="center"/>
        <w:rPr>
          <w:b/>
        </w:rPr>
      </w:pPr>
      <w:r>
        <w:rPr>
          <w:rFonts w:hint="eastAsia"/>
          <w:b/>
        </w:rPr>
        <w:t>（四）其他资料</w:t>
      </w:r>
    </w:p>
    <w:p>
      <w:pPr>
        <w:spacing w:line="360" w:lineRule="auto"/>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21"/>
        <w:rPr>
          <w:rFonts w:ascii="宋体" w:hAnsi="宋体"/>
        </w:rPr>
      </w:pPr>
    </w:p>
    <w:p>
      <w:pPr>
        <w:pStyle w:val="22"/>
        <w:rPr>
          <w:rFonts w:ascii="宋体" w:hAnsi="宋体"/>
        </w:rPr>
      </w:pPr>
    </w:p>
    <w:p>
      <w:pPr>
        <w:pStyle w:val="21"/>
        <w:rPr>
          <w:rFonts w:ascii="宋体" w:hAnsi="宋体"/>
        </w:rPr>
      </w:pPr>
    </w:p>
    <w:p>
      <w:pPr>
        <w:pStyle w:val="45"/>
        <w:jc w:val="center"/>
        <w:rPr>
          <w:rFonts w:hint="eastAsia" w:ascii="宋体" w:hAnsi="宋体" w:eastAsia="宋体"/>
          <w:b/>
          <w:szCs w:val="24"/>
          <w:lang w:eastAsia="zh-CN"/>
        </w:rPr>
      </w:pPr>
      <w:r>
        <w:rPr>
          <w:rFonts w:hint="eastAsia" w:ascii="宋体" w:hAnsi="宋体" w:eastAsia="宋体"/>
          <w:b/>
          <w:sz w:val="32"/>
          <w:szCs w:val="32"/>
          <w:lang w:eastAsia="zh-CN"/>
        </w:rPr>
        <w:t>南阳市政府采购供应商信用记录表</w:t>
      </w:r>
    </w:p>
    <w:p>
      <w:pPr>
        <w:rPr>
          <w:rFonts w:hint="eastAsia" w:ascii="Cambria" w:hAnsi="Cambria"/>
        </w:rPr>
      </w:pPr>
      <w:r>
        <w:t xml:space="preserve"> </w:t>
      </w:r>
    </w:p>
    <w:p>
      <w:pPr>
        <w:pStyle w:val="18"/>
        <w:keepNext w:val="0"/>
        <w:keepLines w:val="0"/>
        <w:pageBreakBefore w:val="0"/>
        <w:widowControl w:val="0"/>
        <w:kinsoku/>
        <w:wordWrap/>
        <w:overflowPunct/>
        <w:topLinePunct w:val="0"/>
        <w:autoSpaceDE/>
        <w:autoSpaceDN/>
        <w:bidi w:val="0"/>
        <w:adjustRightInd/>
        <w:snapToGrid w:val="0"/>
        <w:spacing w:line="360" w:lineRule="auto"/>
        <w:textAlignment w:val="auto"/>
        <w:rPr>
          <w:sz w:val="24"/>
          <w:szCs w:val="24"/>
        </w:rPr>
      </w:pPr>
      <w:r>
        <w:rPr>
          <w:rFonts w:hint="eastAsia" w:ascii="宋体" w:hAnsi="宋体"/>
          <w:sz w:val="24"/>
          <w:szCs w:val="24"/>
        </w:rPr>
        <w:t>注：根据</w:t>
      </w:r>
      <w:r>
        <w:rPr>
          <w:rFonts w:hint="eastAsia" w:ascii="宋体" w:hAnsi="宋体"/>
          <w:sz w:val="24"/>
          <w:szCs w:val="24"/>
          <w:lang w:eastAsia="zh-CN"/>
        </w:rPr>
        <w:t>社旗县</w:t>
      </w:r>
      <w:r>
        <w:rPr>
          <w:rFonts w:hint="eastAsia" w:ascii="宋体" w:hAnsi="宋体"/>
          <w:sz w:val="24"/>
          <w:szCs w:val="24"/>
        </w:rPr>
        <w:t>财政局</w:t>
      </w:r>
      <w:r>
        <w:rPr>
          <w:rFonts w:hint="eastAsia" w:ascii="宋体" w:hAnsi="宋体"/>
          <w:sz w:val="24"/>
          <w:szCs w:val="24"/>
          <w:lang w:eastAsia="zh-CN"/>
        </w:rPr>
        <w:t>规定</w:t>
      </w:r>
      <w:r>
        <w:rPr>
          <w:rFonts w:hint="eastAsia"/>
          <w:sz w:val="24"/>
          <w:szCs w:val="24"/>
          <w:lang w:val="en-US" w:eastAsia="zh-CN"/>
        </w:rPr>
        <w:t>2023</w:t>
      </w:r>
      <w:r>
        <w:rPr>
          <w:rFonts w:hint="eastAsia" w:ascii="宋体" w:hAnsi="宋体"/>
          <w:sz w:val="24"/>
          <w:szCs w:val="24"/>
        </w:rPr>
        <w:t>年</w:t>
      </w:r>
      <w:r>
        <w:rPr>
          <w:rFonts w:hint="eastAsia"/>
          <w:sz w:val="24"/>
          <w:szCs w:val="24"/>
          <w:lang w:val="en-US" w:eastAsia="zh-CN"/>
        </w:rPr>
        <w:t>1</w:t>
      </w:r>
      <w:r>
        <w:rPr>
          <w:rFonts w:hint="eastAsia" w:ascii="宋体" w:hAnsi="宋体"/>
          <w:sz w:val="24"/>
          <w:szCs w:val="24"/>
        </w:rPr>
        <w:t>月</w:t>
      </w:r>
      <w:r>
        <w:rPr>
          <w:rFonts w:hint="eastAsia"/>
          <w:sz w:val="24"/>
          <w:szCs w:val="24"/>
          <w:lang w:val="en-US" w:eastAsia="zh-CN"/>
        </w:rPr>
        <w:t>1</w:t>
      </w:r>
      <w:r>
        <w:rPr>
          <w:rFonts w:hint="eastAsia" w:ascii="宋体" w:hAnsi="宋体"/>
          <w:sz w:val="24"/>
          <w:szCs w:val="24"/>
        </w:rPr>
        <w:t>日</w:t>
      </w:r>
      <w:r>
        <w:rPr>
          <w:rFonts w:hint="eastAsia" w:ascii="宋体" w:hAnsi="宋体"/>
          <w:sz w:val="24"/>
          <w:szCs w:val="24"/>
          <w:lang w:eastAsia="zh-CN"/>
        </w:rPr>
        <w:t>起</w:t>
      </w:r>
      <w:r>
        <w:rPr>
          <w:rFonts w:hint="eastAsia" w:ascii="宋体" w:hAnsi="宋体"/>
          <w:sz w:val="24"/>
          <w:szCs w:val="24"/>
        </w:rPr>
        <w:t>按照《社旗县政府采购信用评价实施办法》的规定，由供应商在投标（响应）文件中提供“社旗县政府采购供应商信用记录表”（由供应商注册后在系统内打印），供应商按照该文件要求进入</w:t>
      </w:r>
      <w:r>
        <w:rPr>
          <w:rFonts w:hint="eastAsia"/>
          <w:sz w:val="24"/>
          <w:szCs w:val="24"/>
        </w:rPr>
        <w:t>http://sheqi.nanyangzcxy.cn/</w:t>
      </w:r>
      <w:r>
        <w:rPr>
          <w:rFonts w:hint="eastAsia" w:ascii="宋体" w:hAnsi="宋体"/>
          <w:sz w:val="24"/>
          <w:szCs w:val="24"/>
        </w:rPr>
        <w:t>，完善供应商信息并打印信用记录附于此处。</w:t>
      </w:r>
    </w:p>
    <w:p>
      <w:pPr>
        <w:pStyle w:val="22"/>
      </w:pPr>
    </w:p>
    <w:p>
      <w:pPr>
        <w:pStyle w:val="21"/>
      </w:pPr>
    </w:p>
    <w:p>
      <w:pPr>
        <w:pStyle w:val="22"/>
      </w:pPr>
    </w:p>
    <w:p>
      <w:pPr>
        <w:pStyle w:val="21"/>
      </w:pPr>
    </w:p>
    <w:p>
      <w:pPr>
        <w:pStyle w:val="22"/>
      </w:pPr>
    </w:p>
    <w:p>
      <w:pPr>
        <w:pStyle w:val="21"/>
      </w:pPr>
    </w:p>
    <w:p>
      <w:pPr>
        <w:pStyle w:val="22"/>
      </w:pPr>
    </w:p>
    <w:p>
      <w:pPr>
        <w:pStyle w:val="21"/>
      </w:pPr>
    </w:p>
    <w:p>
      <w:pPr>
        <w:pStyle w:val="22"/>
      </w:pPr>
    </w:p>
    <w:p>
      <w:pPr>
        <w:pStyle w:val="21"/>
      </w:pPr>
    </w:p>
    <w:p>
      <w:pPr>
        <w:pStyle w:val="22"/>
      </w:pPr>
    </w:p>
    <w:p>
      <w:pPr>
        <w:pStyle w:val="21"/>
      </w:pPr>
    </w:p>
    <w:p>
      <w:pPr>
        <w:pStyle w:val="22"/>
      </w:pPr>
    </w:p>
    <w:p>
      <w:pPr>
        <w:pStyle w:val="21"/>
      </w:pPr>
    </w:p>
    <w:p>
      <w:pPr>
        <w:pStyle w:val="22"/>
      </w:pPr>
    </w:p>
    <w:p>
      <w:pPr>
        <w:pStyle w:val="21"/>
      </w:pPr>
    </w:p>
    <w:p>
      <w:pPr>
        <w:pStyle w:val="22"/>
      </w:pPr>
    </w:p>
    <w:p>
      <w:pPr>
        <w:pStyle w:val="21"/>
      </w:pPr>
    </w:p>
    <w:p>
      <w:pPr>
        <w:pStyle w:val="22"/>
      </w:pPr>
    </w:p>
    <w:p>
      <w:pPr>
        <w:pStyle w:val="21"/>
      </w:pPr>
    </w:p>
    <w:p>
      <w:pPr>
        <w:pStyle w:val="22"/>
      </w:pPr>
    </w:p>
    <w:p>
      <w:pPr>
        <w:pStyle w:val="21"/>
      </w:pPr>
    </w:p>
    <w:p>
      <w:pPr>
        <w:pStyle w:val="22"/>
      </w:pPr>
    </w:p>
    <w:p>
      <w:pPr>
        <w:pStyle w:val="21"/>
      </w:pPr>
    </w:p>
    <w:p>
      <w:pPr>
        <w:pStyle w:val="22"/>
      </w:pPr>
    </w:p>
    <w:p>
      <w:pPr>
        <w:pStyle w:val="21"/>
      </w:pPr>
    </w:p>
    <w:p>
      <w:pPr>
        <w:pStyle w:val="22"/>
      </w:pPr>
    </w:p>
    <w:p>
      <w:pPr>
        <w:pStyle w:val="22"/>
        <w:spacing w:line="360" w:lineRule="auto"/>
        <w:ind w:left="0" w:leftChars="0" w:firstLine="0" w:firstLineChars="0"/>
        <w:rPr>
          <w:rFonts w:ascii="宋体" w:hAnsi="宋体"/>
        </w:rPr>
      </w:pPr>
    </w:p>
    <w:p>
      <w:pPr>
        <w:pStyle w:val="22"/>
        <w:spacing w:line="360" w:lineRule="auto"/>
        <w:ind w:left="0" w:leftChars="0" w:firstLine="0" w:firstLineChars="0"/>
        <w:rPr>
          <w:rFonts w:ascii="宋体" w:hAnsi="宋体"/>
        </w:rPr>
      </w:pPr>
    </w:p>
    <w:p>
      <w:pPr>
        <w:pStyle w:val="5"/>
        <w:numPr>
          <w:ilvl w:val="0"/>
          <w:numId w:val="24"/>
        </w:numPr>
        <w:tabs>
          <w:tab w:val="left" w:pos="425"/>
        </w:tabs>
        <w:rPr>
          <w:szCs w:val="24"/>
          <w:lang w:val="zh-CN"/>
        </w:rPr>
      </w:pPr>
      <w:bookmarkStart w:id="668" w:name="_Toc17461_WPSOffice_Level1"/>
      <w:bookmarkStart w:id="669" w:name="_Toc16259"/>
      <w:bookmarkStart w:id="670" w:name="_Toc10021_WPSOffice_Level1"/>
      <w:bookmarkStart w:id="671" w:name="_Toc12164_WPSOffice_Level1"/>
      <w:r>
        <w:rPr>
          <w:rFonts w:hint="eastAsia"/>
          <w:szCs w:val="24"/>
          <w:lang w:val="zh-CN"/>
        </w:rPr>
        <w:t>已标价工程量清单</w:t>
      </w:r>
      <w:bookmarkEnd w:id="668"/>
      <w:bookmarkEnd w:id="669"/>
      <w:bookmarkEnd w:id="670"/>
      <w:bookmarkEnd w:id="671"/>
    </w:p>
    <w:p>
      <w:pPr>
        <w:pStyle w:val="5"/>
        <w:tabs>
          <w:tab w:val="left" w:pos="840"/>
        </w:tabs>
        <w:ind w:left="0"/>
        <w:rPr>
          <w:bCs w:val="0"/>
          <w:szCs w:val="24"/>
          <w:lang w:val="zh-CN"/>
        </w:rPr>
      </w:pPr>
      <w:r>
        <w:rPr>
          <w:rFonts w:hint="eastAsia"/>
          <w:bCs w:val="0"/>
          <w:szCs w:val="24"/>
          <w:lang w:val="zh-CN"/>
        </w:rPr>
        <w:br w:type="page"/>
      </w:r>
      <w:bookmarkStart w:id="672" w:name="_Toc28662"/>
      <w:bookmarkStart w:id="673" w:name="_Toc29835_WPSOffice_Level1"/>
      <w:bookmarkStart w:id="674" w:name="_Toc25723_WPSOffice_Level1"/>
      <w:bookmarkStart w:id="675" w:name="_Toc21612_WPSOffice_Level1"/>
      <w:r>
        <w:rPr>
          <w:rFonts w:hint="eastAsia"/>
          <w:bCs w:val="0"/>
          <w:szCs w:val="24"/>
          <w:highlight w:val="none"/>
          <w:lang w:val="zh-CN"/>
        </w:rPr>
        <w:t>五、</w:t>
      </w:r>
      <w:r>
        <w:rPr>
          <w:rFonts w:hint="eastAsia"/>
          <w:szCs w:val="24"/>
          <w:lang w:val="zh-CN"/>
        </w:rPr>
        <w:t>施工组织设计</w:t>
      </w:r>
      <w:bookmarkEnd w:id="672"/>
      <w:bookmarkEnd w:id="673"/>
      <w:bookmarkEnd w:id="674"/>
      <w:bookmarkEnd w:id="675"/>
    </w:p>
    <w:p>
      <w:pPr>
        <w:spacing w:line="360" w:lineRule="auto"/>
        <w:ind w:firstLine="420" w:firstLineChars="200"/>
      </w:pPr>
      <w:r>
        <w:rPr>
          <w:rFonts w:hint="eastAsia"/>
        </w:rPr>
        <w:t>1.响应人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绿色施工设备、绿色施工技术保障、绿色施工经费保障、地下管线及其他地上地下设施的保护加固措施等。</w:t>
      </w:r>
    </w:p>
    <w:p>
      <w:pPr>
        <w:tabs>
          <w:tab w:val="left" w:pos="720"/>
        </w:tabs>
        <w:spacing w:line="360" w:lineRule="auto"/>
        <w:ind w:firstLine="420" w:firstLineChars="200"/>
      </w:pPr>
      <w:r>
        <w:rPr>
          <w:rFonts w:hint="eastAsia"/>
        </w:rPr>
        <w:t xml:space="preserve">2. </w:t>
      </w:r>
      <w:r>
        <w:rPr>
          <w:rFonts w:hint="eastAsia"/>
        </w:rPr>
        <w:tab/>
      </w:r>
      <w:r>
        <w:rPr>
          <w:rFonts w:hint="eastAsia"/>
        </w:rPr>
        <w:t>施工组织设计除采用文字表述外可附下列图表，图表及格式要求附后。</w:t>
      </w:r>
    </w:p>
    <w:p>
      <w:pPr>
        <w:tabs>
          <w:tab w:val="left" w:pos="720"/>
        </w:tabs>
        <w:spacing w:line="360" w:lineRule="auto"/>
        <w:ind w:firstLine="756" w:firstLineChars="360"/>
      </w:pPr>
      <w:r>
        <w:rPr>
          <w:rFonts w:hint="eastAsia"/>
        </w:rPr>
        <w:t>附表一  拟投入本项目的主要施工设备表</w:t>
      </w:r>
    </w:p>
    <w:p>
      <w:pPr>
        <w:tabs>
          <w:tab w:val="left" w:pos="720"/>
        </w:tabs>
        <w:spacing w:line="360" w:lineRule="auto"/>
        <w:ind w:firstLine="756" w:firstLineChars="360"/>
      </w:pPr>
      <w:r>
        <w:rPr>
          <w:rFonts w:hint="eastAsia"/>
        </w:rPr>
        <w:t>附表二  拟配备本项目的试验和检测仪器设备表</w:t>
      </w:r>
    </w:p>
    <w:p>
      <w:pPr>
        <w:tabs>
          <w:tab w:val="left" w:pos="720"/>
        </w:tabs>
        <w:spacing w:line="360" w:lineRule="auto"/>
        <w:ind w:firstLine="756" w:firstLineChars="360"/>
      </w:pPr>
      <w:r>
        <w:rPr>
          <w:rFonts w:hint="eastAsia"/>
        </w:rPr>
        <w:t>附表三  劳动力计划表</w:t>
      </w:r>
    </w:p>
    <w:p>
      <w:pPr>
        <w:tabs>
          <w:tab w:val="left" w:pos="720"/>
        </w:tabs>
        <w:spacing w:line="360" w:lineRule="auto"/>
        <w:ind w:firstLine="756" w:firstLineChars="360"/>
      </w:pPr>
      <w:r>
        <w:rPr>
          <w:rFonts w:hint="eastAsia"/>
        </w:rPr>
        <w:t>附表四  计划开、竣工日期和施工进度网络图</w:t>
      </w:r>
    </w:p>
    <w:p>
      <w:pPr>
        <w:tabs>
          <w:tab w:val="left" w:pos="720"/>
        </w:tabs>
        <w:spacing w:line="360" w:lineRule="auto"/>
        <w:ind w:firstLine="756" w:firstLineChars="360"/>
      </w:pPr>
      <w:r>
        <w:rPr>
          <w:rFonts w:hint="eastAsia"/>
        </w:rPr>
        <w:t>附表五  施工总平面图</w:t>
      </w:r>
    </w:p>
    <w:p>
      <w:pPr>
        <w:tabs>
          <w:tab w:val="left" w:pos="720"/>
        </w:tabs>
        <w:spacing w:line="360" w:lineRule="auto"/>
        <w:ind w:firstLine="756" w:firstLineChars="360"/>
      </w:pPr>
      <w:r>
        <w:rPr>
          <w:rFonts w:hint="eastAsia"/>
        </w:rPr>
        <w:t>附表六  临时用地表</w:t>
      </w: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rPr>
          <w:rFonts w:ascii="宋体" w:hAnsi="宋体" w:cs="宋体"/>
          <w:b/>
        </w:rPr>
      </w:pPr>
    </w:p>
    <w:p>
      <w:pPr>
        <w:pStyle w:val="11"/>
        <w:spacing w:line="360" w:lineRule="auto"/>
        <w:ind w:left="0" w:leftChars="0" w:firstLine="0" w:firstLineChars="0"/>
        <w:rPr>
          <w:rFonts w:ascii="宋体" w:hAnsi="宋体" w:cs="宋体"/>
          <w:b/>
        </w:rPr>
      </w:pPr>
    </w:p>
    <w:p>
      <w:pPr>
        <w:pStyle w:val="11"/>
        <w:spacing w:line="360" w:lineRule="auto"/>
        <w:ind w:left="0" w:leftChars="0" w:firstLine="0" w:firstLineChars="0"/>
        <w:rPr>
          <w:rFonts w:ascii="宋体" w:hAnsi="宋体" w:cs="宋体"/>
          <w:b/>
        </w:rPr>
      </w:pPr>
    </w:p>
    <w:p>
      <w:pPr>
        <w:pStyle w:val="11"/>
        <w:spacing w:line="360" w:lineRule="auto"/>
        <w:ind w:left="0" w:leftChars="0" w:firstLine="0" w:firstLineChars="0"/>
        <w:rPr>
          <w:rFonts w:ascii="宋体" w:hAnsi="宋体" w:cs="宋体"/>
          <w:b/>
        </w:rPr>
      </w:pPr>
    </w:p>
    <w:p>
      <w:pPr>
        <w:spacing w:line="360" w:lineRule="auto"/>
        <w:rPr>
          <w:rFonts w:hint="eastAsia"/>
        </w:rPr>
      </w:pPr>
      <w:bookmarkStart w:id="676" w:name="_Toc144974865"/>
      <w:bookmarkStart w:id="677" w:name="_Toc251248802"/>
      <w:bookmarkStart w:id="678" w:name="_Toc152045797"/>
      <w:bookmarkStart w:id="679" w:name="_Toc152042586"/>
      <w:bookmarkStart w:id="680" w:name="_Toc314125025"/>
    </w:p>
    <w:p>
      <w:pPr>
        <w:spacing w:line="360" w:lineRule="auto"/>
      </w:pPr>
      <w:r>
        <w:rPr>
          <w:rFonts w:hint="eastAsia"/>
        </w:rPr>
        <w:t>附表一：拟投入本项目的主要施工设备表</w:t>
      </w:r>
      <w:bookmarkEnd w:id="676"/>
      <w:bookmarkEnd w:id="677"/>
      <w:bookmarkEnd w:id="678"/>
      <w:bookmarkEnd w:id="679"/>
      <w:bookmarkEnd w:id="680"/>
    </w:p>
    <w:tbl>
      <w:tblPr>
        <w:tblStyle w:val="23"/>
        <w:tblW w:w="96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198"/>
        <w:gridCol w:w="839"/>
        <w:gridCol w:w="1092"/>
        <w:gridCol w:w="741"/>
        <w:gridCol w:w="814"/>
        <w:gridCol w:w="1337"/>
        <w:gridCol w:w="964"/>
        <w:gridCol w:w="1163"/>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ign w:val="center"/>
          </w:tcPr>
          <w:p>
            <w:pPr>
              <w:spacing w:line="360" w:lineRule="auto"/>
            </w:pPr>
            <w:r>
              <w:rPr>
                <w:rFonts w:hint="eastAsia"/>
              </w:rPr>
              <w:t>序号</w:t>
            </w:r>
          </w:p>
        </w:tc>
        <w:tc>
          <w:tcPr>
            <w:tcW w:w="1198" w:type="dxa"/>
            <w:noWrap/>
            <w:vAlign w:val="center"/>
          </w:tcPr>
          <w:p>
            <w:pPr>
              <w:spacing w:line="360" w:lineRule="auto"/>
              <w:jc w:val="center"/>
            </w:pPr>
            <w:r>
              <w:rPr>
                <w:rFonts w:hint="eastAsia"/>
              </w:rPr>
              <w:t>设备名称</w:t>
            </w:r>
          </w:p>
        </w:tc>
        <w:tc>
          <w:tcPr>
            <w:tcW w:w="839" w:type="dxa"/>
            <w:noWrap/>
            <w:vAlign w:val="center"/>
          </w:tcPr>
          <w:p>
            <w:pPr>
              <w:spacing w:line="360" w:lineRule="auto"/>
              <w:jc w:val="center"/>
            </w:pPr>
            <w:r>
              <w:rPr>
                <w:rFonts w:hint="eastAsia"/>
              </w:rPr>
              <w:t>型号</w:t>
            </w:r>
          </w:p>
          <w:p>
            <w:pPr>
              <w:spacing w:line="360" w:lineRule="auto"/>
              <w:jc w:val="center"/>
            </w:pPr>
            <w:r>
              <w:rPr>
                <w:rFonts w:hint="eastAsia"/>
              </w:rPr>
              <w:t>规格</w:t>
            </w:r>
          </w:p>
        </w:tc>
        <w:tc>
          <w:tcPr>
            <w:tcW w:w="1092" w:type="dxa"/>
            <w:noWrap/>
            <w:vAlign w:val="center"/>
          </w:tcPr>
          <w:p>
            <w:pPr>
              <w:spacing w:line="360" w:lineRule="auto"/>
              <w:jc w:val="center"/>
            </w:pPr>
            <w:r>
              <w:rPr>
                <w:rFonts w:hint="eastAsia"/>
              </w:rPr>
              <w:t>数量</w:t>
            </w:r>
          </w:p>
        </w:tc>
        <w:tc>
          <w:tcPr>
            <w:tcW w:w="741" w:type="dxa"/>
            <w:noWrap/>
            <w:vAlign w:val="center"/>
          </w:tcPr>
          <w:p>
            <w:pPr>
              <w:spacing w:line="360" w:lineRule="auto"/>
              <w:jc w:val="center"/>
            </w:pPr>
            <w:r>
              <w:rPr>
                <w:rFonts w:hint="eastAsia"/>
              </w:rPr>
              <w:t>国别</w:t>
            </w:r>
          </w:p>
          <w:p>
            <w:pPr>
              <w:spacing w:line="360" w:lineRule="auto"/>
              <w:jc w:val="center"/>
            </w:pPr>
            <w:r>
              <w:rPr>
                <w:rFonts w:hint="eastAsia"/>
              </w:rPr>
              <w:t>产地</w:t>
            </w:r>
          </w:p>
        </w:tc>
        <w:tc>
          <w:tcPr>
            <w:tcW w:w="814" w:type="dxa"/>
            <w:noWrap/>
            <w:vAlign w:val="center"/>
          </w:tcPr>
          <w:p>
            <w:pPr>
              <w:spacing w:line="360" w:lineRule="auto"/>
              <w:jc w:val="center"/>
            </w:pPr>
            <w:r>
              <w:rPr>
                <w:rFonts w:hint="eastAsia"/>
              </w:rPr>
              <w:t>制造</w:t>
            </w:r>
          </w:p>
          <w:p>
            <w:pPr>
              <w:spacing w:line="360" w:lineRule="auto"/>
              <w:jc w:val="center"/>
            </w:pPr>
            <w:r>
              <w:rPr>
                <w:rFonts w:hint="eastAsia"/>
              </w:rPr>
              <w:t>年份</w:t>
            </w:r>
          </w:p>
        </w:tc>
        <w:tc>
          <w:tcPr>
            <w:tcW w:w="1337" w:type="dxa"/>
            <w:noWrap/>
            <w:vAlign w:val="center"/>
          </w:tcPr>
          <w:p>
            <w:pPr>
              <w:spacing w:line="360" w:lineRule="auto"/>
              <w:jc w:val="center"/>
            </w:pPr>
            <w:r>
              <w:rPr>
                <w:rFonts w:hint="eastAsia"/>
              </w:rPr>
              <w:t>额定功率</w:t>
            </w:r>
          </w:p>
          <w:p>
            <w:pPr>
              <w:spacing w:line="360" w:lineRule="auto"/>
              <w:jc w:val="center"/>
            </w:pPr>
            <w:r>
              <w:rPr>
                <w:rFonts w:hint="eastAsia"/>
              </w:rPr>
              <w:t>（KW）</w:t>
            </w:r>
          </w:p>
        </w:tc>
        <w:tc>
          <w:tcPr>
            <w:tcW w:w="964" w:type="dxa"/>
            <w:noWrap/>
            <w:vAlign w:val="center"/>
          </w:tcPr>
          <w:p>
            <w:pPr>
              <w:spacing w:line="360" w:lineRule="auto"/>
              <w:jc w:val="center"/>
            </w:pPr>
            <w:r>
              <w:rPr>
                <w:rFonts w:hint="eastAsia"/>
              </w:rPr>
              <w:t>生产</w:t>
            </w:r>
          </w:p>
          <w:p>
            <w:pPr>
              <w:spacing w:line="360" w:lineRule="auto"/>
              <w:jc w:val="center"/>
            </w:pPr>
            <w:r>
              <w:rPr>
                <w:rFonts w:hint="eastAsia"/>
              </w:rPr>
              <w:t>能力</w:t>
            </w:r>
          </w:p>
        </w:tc>
        <w:tc>
          <w:tcPr>
            <w:tcW w:w="1163" w:type="dxa"/>
            <w:noWrap/>
            <w:vAlign w:val="center"/>
          </w:tcPr>
          <w:p>
            <w:pPr>
              <w:spacing w:line="360" w:lineRule="auto"/>
              <w:jc w:val="center"/>
            </w:pPr>
            <w:r>
              <w:rPr>
                <w:rFonts w:hint="eastAsia"/>
              </w:rPr>
              <w:t>用于施工部位</w:t>
            </w:r>
          </w:p>
        </w:tc>
        <w:tc>
          <w:tcPr>
            <w:tcW w:w="762" w:type="dxa"/>
            <w:noWrap/>
            <w:vAlign w:val="center"/>
          </w:tcPr>
          <w:p>
            <w:pPr>
              <w:spacing w:line="360" w:lineRule="auto"/>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ign w:val="center"/>
          </w:tcPr>
          <w:p>
            <w:pPr>
              <w:spacing w:line="360" w:lineRule="auto"/>
              <w:jc w:val="center"/>
            </w:pPr>
          </w:p>
        </w:tc>
        <w:tc>
          <w:tcPr>
            <w:tcW w:w="1198" w:type="dxa"/>
            <w:noWrap/>
            <w:vAlign w:val="center"/>
          </w:tcPr>
          <w:p>
            <w:pPr>
              <w:spacing w:line="360" w:lineRule="auto"/>
              <w:jc w:val="center"/>
            </w:pPr>
          </w:p>
        </w:tc>
        <w:tc>
          <w:tcPr>
            <w:tcW w:w="839" w:type="dxa"/>
            <w:noWrap/>
            <w:vAlign w:val="center"/>
          </w:tcPr>
          <w:p>
            <w:pPr>
              <w:spacing w:line="360" w:lineRule="auto"/>
              <w:jc w:val="center"/>
            </w:pPr>
          </w:p>
        </w:tc>
        <w:tc>
          <w:tcPr>
            <w:tcW w:w="1092" w:type="dxa"/>
            <w:noWrap/>
            <w:vAlign w:val="center"/>
          </w:tcPr>
          <w:p>
            <w:pPr>
              <w:spacing w:line="360" w:lineRule="auto"/>
              <w:jc w:val="center"/>
            </w:pPr>
          </w:p>
        </w:tc>
        <w:tc>
          <w:tcPr>
            <w:tcW w:w="741" w:type="dxa"/>
            <w:noWrap/>
            <w:vAlign w:val="center"/>
          </w:tcPr>
          <w:p>
            <w:pPr>
              <w:spacing w:line="360" w:lineRule="auto"/>
              <w:jc w:val="center"/>
            </w:pPr>
          </w:p>
        </w:tc>
        <w:tc>
          <w:tcPr>
            <w:tcW w:w="814" w:type="dxa"/>
            <w:noWrap/>
            <w:vAlign w:val="center"/>
          </w:tcPr>
          <w:p>
            <w:pPr>
              <w:spacing w:line="360" w:lineRule="auto"/>
              <w:jc w:val="center"/>
            </w:pPr>
          </w:p>
        </w:tc>
        <w:tc>
          <w:tcPr>
            <w:tcW w:w="1337" w:type="dxa"/>
            <w:noWrap/>
            <w:vAlign w:val="center"/>
          </w:tcPr>
          <w:p>
            <w:pPr>
              <w:spacing w:line="360" w:lineRule="auto"/>
              <w:jc w:val="center"/>
            </w:pPr>
          </w:p>
        </w:tc>
        <w:tc>
          <w:tcPr>
            <w:tcW w:w="964" w:type="dxa"/>
            <w:noWrap/>
            <w:vAlign w:val="center"/>
          </w:tcPr>
          <w:p>
            <w:pPr>
              <w:spacing w:line="360" w:lineRule="auto"/>
              <w:jc w:val="center"/>
            </w:pPr>
          </w:p>
        </w:tc>
        <w:tc>
          <w:tcPr>
            <w:tcW w:w="1163" w:type="dxa"/>
            <w:noWrap/>
            <w:vAlign w:val="center"/>
          </w:tcPr>
          <w:p>
            <w:pPr>
              <w:spacing w:line="360" w:lineRule="auto"/>
              <w:jc w:val="center"/>
            </w:pPr>
          </w:p>
        </w:tc>
        <w:tc>
          <w:tcPr>
            <w:tcW w:w="762"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ign w:val="center"/>
          </w:tcPr>
          <w:p>
            <w:pPr>
              <w:spacing w:line="360" w:lineRule="auto"/>
              <w:jc w:val="center"/>
            </w:pPr>
          </w:p>
        </w:tc>
        <w:tc>
          <w:tcPr>
            <w:tcW w:w="1198" w:type="dxa"/>
            <w:noWrap/>
            <w:vAlign w:val="center"/>
          </w:tcPr>
          <w:p>
            <w:pPr>
              <w:spacing w:line="360" w:lineRule="auto"/>
              <w:jc w:val="center"/>
            </w:pPr>
          </w:p>
        </w:tc>
        <w:tc>
          <w:tcPr>
            <w:tcW w:w="839" w:type="dxa"/>
            <w:noWrap/>
            <w:vAlign w:val="center"/>
          </w:tcPr>
          <w:p>
            <w:pPr>
              <w:spacing w:line="360" w:lineRule="auto"/>
              <w:jc w:val="center"/>
            </w:pPr>
          </w:p>
        </w:tc>
        <w:tc>
          <w:tcPr>
            <w:tcW w:w="1092" w:type="dxa"/>
            <w:noWrap/>
            <w:vAlign w:val="center"/>
          </w:tcPr>
          <w:p>
            <w:pPr>
              <w:spacing w:line="360" w:lineRule="auto"/>
              <w:jc w:val="center"/>
            </w:pPr>
          </w:p>
        </w:tc>
        <w:tc>
          <w:tcPr>
            <w:tcW w:w="741" w:type="dxa"/>
            <w:noWrap/>
            <w:vAlign w:val="center"/>
          </w:tcPr>
          <w:p>
            <w:pPr>
              <w:spacing w:line="360" w:lineRule="auto"/>
              <w:jc w:val="center"/>
            </w:pPr>
          </w:p>
        </w:tc>
        <w:tc>
          <w:tcPr>
            <w:tcW w:w="814" w:type="dxa"/>
            <w:noWrap/>
            <w:vAlign w:val="center"/>
          </w:tcPr>
          <w:p>
            <w:pPr>
              <w:spacing w:line="360" w:lineRule="auto"/>
              <w:jc w:val="center"/>
            </w:pPr>
          </w:p>
        </w:tc>
        <w:tc>
          <w:tcPr>
            <w:tcW w:w="1337" w:type="dxa"/>
            <w:noWrap/>
            <w:vAlign w:val="center"/>
          </w:tcPr>
          <w:p>
            <w:pPr>
              <w:spacing w:line="360" w:lineRule="auto"/>
              <w:jc w:val="center"/>
            </w:pPr>
          </w:p>
        </w:tc>
        <w:tc>
          <w:tcPr>
            <w:tcW w:w="964" w:type="dxa"/>
            <w:noWrap/>
            <w:vAlign w:val="center"/>
          </w:tcPr>
          <w:p>
            <w:pPr>
              <w:spacing w:line="360" w:lineRule="auto"/>
              <w:jc w:val="center"/>
            </w:pPr>
          </w:p>
        </w:tc>
        <w:tc>
          <w:tcPr>
            <w:tcW w:w="1163" w:type="dxa"/>
            <w:noWrap/>
            <w:vAlign w:val="center"/>
          </w:tcPr>
          <w:p>
            <w:pPr>
              <w:spacing w:line="360" w:lineRule="auto"/>
              <w:jc w:val="center"/>
            </w:pPr>
          </w:p>
        </w:tc>
        <w:tc>
          <w:tcPr>
            <w:tcW w:w="762"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pPr>
              <w:spacing w:line="360" w:lineRule="auto"/>
              <w:jc w:val="center"/>
            </w:pPr>
          </w:p>
        </w:tc>
        <w:tc>
          <w:tcPr>
            <w:tcW w:w="1198" w:type="dxa"/>
            <w:noWrap/>
          </w:tcPr>
          <w:p>
            <w:pPr>
              <w:spacing w:line="360" w:lineRule="auto"/>
              <w:jc w:val="center"/>
            </w:pPr>
          </w:p>
        </w:tc>
        <w:tc>
          <w:tcPr>
            <w:tcW w:w="839" w:type="dxa"/>
            <w:noWrap/>
          </w:tcPr>
          <w:p>
            <w:pPr>
              <w:spacing w:line="360" w:lineRule="auto"/>
              <w:jc w:val="center"/>
            </w:pPr>
          </w:p>
        </w:tc>
        <w:tc>
          <w:tcPr>
            <w:tcW w:w="1092" w:type="dxa"/>
            <w:noWrap/>
          </w:tcPr>
          <w:p>
            <w:pPr>
              <w:spacing w:line="360" w:lineRule="auto"/>
              <w:jc w:val="center"/>
            </w:pPr>
          </w:p>
        </w:tc>
        <w:tc>
          <w:tcPr>
            <w:tcW w:w="741"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964" w:type="dxa"/>
            <w:noWrap/>
          </w:tcPr>
          <w:p>
            <w:pPr>
              <w:spacing w:line="360" w:lineRule="auto"/>
              <w:jc w:val="center"/>
            </w:pPr>
          </w:p>
        </w:tc>
        <w:tc>
          <w:tcPr>
            <w:tcW w:w="1163" w:type="dxa"/>
            <w:noWrap/>
          </w:tcPr>
          <w:p>
            <w:pPr>
              <w:spacing w:line="360" w:lineRule="auto"/>
              <w:jc w:val="center"/>
            </w:pPr>
          </w:p>
        </w:tc>
        <w:tc>
          <w:tcPr>
            <w:tcW w:w="762" w:type="dxa"/>
            <w:noWrap/>
          </w:tcPr>
          <w:p>
            <w:pPr>
              <w:spacing w:line="360" w:lineRule="auto"/>
              <w:jc w:val="center"/>
            </w:pPr>
          </w:p>
        </w:tc>
      </w:tr>
    </w:tbl>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r>
        <w:rPr>
          <w:rFonts w:hint="eastAsia" w:ascii="宋体" w:hAnsi="宋体" w:cs="宋体"/>
          <w:b/>
        </w:rPr>
        <w:br w:type="page"/>
      </w:r>
    </w:p>
    <w:p>
      <w:pPr>
        <w:spacing w:line="360" w:lineRule="auto"/>
      </w:pPr>
      <w:bookmarkStart w:id="681" w:name="_Toc251248803"/>
      <w:bookmarkStart w:id="682" w:name="_Toc152042587"/>
      <w:bookmarkStart w:id="683" w:name="_Toc314125026"/>
      <w:bookmarkStart w:id="684" w:name="_Toc152045798"/>
      <w:bookmarkStart w:id="685" w:name="_Toc144974866"/>
      <w:r>
        <w:rPr>
          <w:rFonts w:hint="eastAsia"/>
        </w:rPr>
        <w:t>附表二：拟配备本项目的试验和检测仪器设备表</w:t>
      </w:r>
      <w:bookmarkEnd w:id="681"/>
      <w:bookmarkEnd w:id="682"/>
      <w:bookmarkEnd w:id="683"/>
      <w:bookmarkEnd w:id="684"/>
      <w:bookmarkEnd w:id="685"/>
    </w:p>
    <w:tbl>
      <w:tblPr>
        <w:tblStyle w:val="23"/>
        <w:tblW w:w="93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99"/>
        <w:gridCol w:w="839"/>
        <w:gridCol w:w="1093"/>
        <w:gridCol w:w="742"/>
        <w:gridCol w:w="814"/>
        <w:gridCol w:w="1337"/>
        <w:gridCol w:w="1823"/>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ign w:val="center"/>
          </w:tcPr>
          <w:p>
            <w:pPr>
              <w:spacing w:line="360" w:lineRule="auto"/>
            </w:pPr>
            <w:r>
              <w:rPr>
                <w:rFonts w:hint="eastAsia"/>
              </w:rPr>
              <w:t>序号</w:t>
            </w:r>
          </w:p>
        </w:tc>
        <w:tc>
          <w:tcPr>
            <w:tcW w:w="1199" w:type="dxa"/>
            <w:noWrap/>
            <w:vAlign w:val="center"/>
          </w:tcPr>
          <w:p>
            <w:pPr>
              <w:spacing w:line="360" w:lineRule="auto"/>
              <w:jc w:val="center"/>
            </w:pPr>
            <w:r>
              <w:rPr>
                <w:rFonts w:hint="eastAsia"/>
              </w:rPr>
              <w:t>仪器设备名称</w:t>
            </w:r>
          </w:p>
        </w:tc>
        <w:tc>
          <w:tcPr>
            <w:tcW w:w="839" w:type="dxa"/>
            <w:noWrap/>
            <w:vAlign w:val="center"/>
          </w:tcPr>
          <w:p>
            <w:pPr>
              <w:spacing w:line="360" w:lineRule="auto"/>
              <w:jc w:val="center"/>
            </w:pPr>
            <w:r>
              <w:rPr>
                <w:rFonts w:hint="eastAsia"/>
              </w:rPr>
              <w:t>型号</w:t>
            </w:r>
          </w:p>
          <w:p>
            <w:pPr>
              <w:spacing w:line="360" w:lineRule="auto"/>
              <w:jc w:val="center"/>
            </w:pPr>
            <w:r>
              <w:rPr>
                <w:rFonts w:hint="eastAsia"/>
              </w:rPr>
              <w:t>规格</w:t>
            </w:r>
          </w:p>
        </w:tc>
        <w:tc>
          <w:tcPr>
            <w:tcW w:w="1093" w:type="dxa"/>
            <w:noWrap/>
            <w:vAlign w:val="center"/>
          </w:tcPr>
          <w:p>
            <w:pPr>
              <w:spacing w:line="360" w:lineRule="auto"/>
              <w:jc w:val="center"/>
            </w:pPr>
            <w:r>
              <w:rPr>
                <w:rFonts w:hint="eastAsia"/>
              </w:rPr>
              <w:t>数量</w:t>
            </w:r>
          </w:p>
        </w:tc>
        <w:tc>
          <w:tcPr>
            <w:tcW w:w="742" w:type="dxa"/>
            <w:noWrap/>
            <w:vAlign w:val="center"/>
          </w:tcPr>
          <w:p>
            <w:pPr>
              <w:spacing w:line="360" w:lineRule="auto"/>
              <w:jc w:val="center"/>
            </w:pPr>
            <w:r>
              <w:rPr>
                <w:rFonts w:hint="eastAsia"/>
              </w:rPr>
              <w:t>国别</w:t>
            </w:r>
          </w:p>
          <w:p>
            <w:pPr>
              <w:spacing w:line="360" w:lineRule="auto"/>
              <w:jc w:val="center"/>
            </w:pPr>
            <w:r>
              <w:rPr>
                <w:rFonts w:hint="eastAsia"/>
              </w:rPr>
              <w:t>产地</w:t>
            </w:r>
          </w:p>
        </w:tc>
        <w:tc>
          <w:tcPr>
            <w:tcW w:w="814" w:type="dxa"/>
            <w:noWrap/>
            <w:vAlign w:val="center"/>
          </w:tcPr>
          <w:p>
            <w:pPr>
              <w:spacing w:line="360" w:lineRule="auto"/>
              <w:jc w:val="center"/>
            </w:pPr>
            <w:r>
              <w:rPr>
                <w:rFonts w:hint="eastAsia"/>
              </w:rPr>
              <w:t>制造</w:t>
            </w:r>
          </w:p>
          <w:p>
            <w:pPr>
              <w:spacing w:line="360" w:lineRule="auto"/>
              <w:jc w:val="center"/>
            </w:pPr>
            <w:r>
              <w:rPr>
                <w:rFonts w:hint="eastAsia"/>
              </w:rPr>
              <w:t>年份</w:t>
            </w:r>
          </w:p>
        </w:tc>
        <w:tc>
          <w:tcPr>
            <w:tcW w:w="1337" w:type="dxa"/>
            <w:noWrap/>
            <w:vAlign w:val="center"/>
          </w:tcPr>
          <w:p>
            <w:pPr>
              <w:spacing w:line="360" w:lineRule="auto"/>
              <w:jc w:val="center"/>
            </w:pPr>
            <w:r>
              <w:rPr>
                <w:rFonts w:hint="eastAsia"/>
              </w:rPr>
              <w:t>已使用台</w:t>
            </w:r>
          </w:p>
          <w:p>
            <w:pPr>
              <w:spacing w:line="360" w:lineRule="auto"/>
              <w:jc w:val="center"/>
            </w:pPr>
            <w:r>
              <w:rPr>
                <w:rFonts w:hint="eastAsia"/>
              </w:rPr>
              <w:t>时数</w:t>
            </w:r>
          </w:p>
        </w:tc>
        <w:tc>
          <w:tcPr>
            <w:tcW w:w="1823" w:type="dxa"/>
            <w:noWrap/>
            <w:vAlign w:val="center"/>
          </w:tcPr>
          <w:p>
            <w:pPr>
              <w:spacing w:line="360" w:lineRule="auto"/>
              <w:jc w:val="center"/>
            </w:pPr>
            <w:r>
              <w:rPr>
                <w:rFonts w:hint="eastAsia"/>
              </w:rPr>
              <w:t>用途</w:t>
            </w:r>
          </w:p>
        </w:tc>
        <w:tc>
          <w:tcPr>
            <w:tcW w:w="758" w:type="dxa"/>
            <w:noWrap/>
            <w:vAlign w:val="center"/>
          </w:tcPr>
          <w:p>
            <w:pPr>
              <w:spacing w:line="360" w:lineRule="auto"/>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ign w:val="center"/>
          </w:tcPr>
          <w:p>
            <w:pPr>
              <w:spacing w:line="360" w:lineRule="auto"/>
              <w:jc w:val="center"/>
            </w:pPr>
          </w:p>
        </w:tc>
        <w:tc>
          <w:tcPr>
            <w:tcW w:w="1199" w:type="dxa"/>
            <w:noWrap/>
            <w:vAlign w:val="center"/>
          </w:tcPr>
          <w:p>
            <w:pPr>
              <w:spacing w:line="360" w:lineRule="auto"/>
              <w:jc w:val="center"/>
            </w:pPr>
          </w:p>
        </w:tc>
        <w:tc>
          <w:tcPr>
            <w:tcW w:w="839" w:type="dxa"/>
            <w:noWrap/>
            <w:vAlign w:val="center"/>
          </w:tcPr>
          <w:p>
            <w:pPr>
              <w:spacing w:line="360" w:lineRule="auto"/>
              <w:jc w:val="center"/>
            </w:pPr>
          </w:p>
        </w:tc>
        <w:tc>
          <w:tcPr>
            <w:tcW w:w="1093" w:type="dxa"/>
            <w:noWrap/>
            <w:vAlign w:val="center"/>
          </w:tcPr>
          <w:p>
            <w:pPr>
              <w:spacing w:line="360" w:lineRule="auto"/>
              <w:jc w:val="center"/>
            </w:pPr>
          </w:p>
        </w:tc>
        <w:tc>
          <w:tcPr>
            <w:tcW w:w="742" w:type="dxa"/>
            <w:noWrap/>
            <w:vAlign w:val="center"/>
          </w:tcPr>
          <w:p>
            <w:pPr>
              <w:spacing w:line="360" w:lineRule="auto"/>
              <w:jc w:val="center"/>
            </w:pPr>
          </w:p>
        </w:tc>
        <w:tc>
          <w:tcPr>
            <w:tcW w:w="814" w:type="dxa"/>
            <w:noWrap/>
            <w:vAlign w:val="center"/>
          </w:tcPr>
          <w:p>
            <w:pPr>
              <w:spacing w:line="360" w:lineRule="auto"/>
              <w:jc w:val="center"/>
            </w:pPr>
          </w:p>
        </w:tc>
        <w:tc>
          <w:tcPr>
            <w:tcW w:w="1337" w:type="dxa"/>
            <w:noWrap/>
            <w:vAlign w:val="center"/>
          </w:tcPr>
          <w:p>
            <w:pPr>
              <w:spacing w:line="360" w:lineRule="auto"/>
              <w:jc w:val="center"/>
            </w:pPr>
          </w:p>
        </w:tc>
        <w:tc>
          <w:tcPr>
            <w:tcW w:w="1823" w:type="dxa"/>
            <w:noWrap/>
            <w:vAlign w:val="center"/>
          </w:tcPr>
          <w:p>
            <w:pPr>
              <w:spacing w:line="360" w:lineRule="auto"/>
              <w:jc w:val="center"/>
            </w:pPr>
          </w:p>
        </w:tc>
        <w:tc>
          <w:tcPr>
            <w:tcW w:w="75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ign w:val="center"/>
          </w:tcPr>
          <w:p>
            <w:pPr>
              <w:spacing w:line="360" w:lineRule="auto"/>
              <w:jc w:val="center"/>
            </w:pPr>
          </w:p>
        </w:tc>
        <w:tc>
          <w:tcPr>
            <w:tcW w:w="1199" w:type="dxa"/>
            <w:noWrap/>
            <w:vAlign w:val="center"/>
          </w:tcPr>
          <w:p>
            <w:pPr>
              <w:spacing w:line="360" w:lineRule="auto"/>
              <w:jc w:val="center"/>
            </w:pPr>
          </w:p>
        </w:tc>
        <w:tc>
          <w:tcPr>
            <w:tcW w:w="839" w:type="dxa"/>
            <w:noWrap/>
            <w:vAlign w:val="center"/>
          </w:tcPr>
          <w:p>
            <w:pPr>
              <w:spacing w:line="360" w:lineRule="auto"/>
              <w:jc w:val="center"/>
            </w:pPr>
          </w:p>
        </w:tc>
        <w:tc>
          <w:tcPr>
            <w:tcW w:w="1093" w:type="dxa"/>
            <w:noWrap/>
            <w:vAlign w:val="center"/>
          </w:tcPr>
          <w:p>
            <w:pPr>
              <w:spacing w:line="360" w:lineRule="auto"/>
              <w:jc w:val="center"/>
            </w:pPr>
          </w:p>
        </w:tc>
        <w:tc>
          <w:tcPr>
            <w:tcW w:w="742" w:type="dxa"/>
            <w:noWrap/>
            <w:vAlign w:val="center"/>
          </w:tcPr>
          <w:p>
            <w:pPr>
              <w:spacing w:line="360" w:lineRule="auto"/>
              <w:jc w:val="center"/>
            </w:pPr>
          </w:p>
        </w:tc>
        <w:tc>
          <w:tcPr>
            <w:tcW w:w="814" w:type="dxa"/>
            <w:noWrap/>
            <w:vAlign w:val="center"/>
          </w:tcPr>
          <w:p>
            <w:pPr>
              <w:spacing w:line="360" w:lineRule="auto"/>
              <w:jc w:val="center"/>
            </w:pPr>
          </w:p>
        </w:tc>
        <w:tc>
          <w:tcPr>
            <w:tcW w:w="1337" w:type="dxa"/>
            <w:noWrap/>
            <w:vAlign w:val="center"/>
          </w:tcPr>
          <w:p>
            <w:pPr>
              <w:spacing w:line="360" w:lineRule="auto"/>
              <w:jc w:val="center"/>
            </w:pPr>
          </w:p>
        </w:tc>
        <w:tc>
          <w:tcPr>
            <w:tcW w:w="1823" w:type="dxa"/>
            <w:noWrap/>
            <w:vAlign w:val="center"/>
          </w:tcPr>
          <w:p>
            <w:pPr>
              <w:spacing w:line="360" w:lineRule="auto"/>
              <w:jc w:val="center"/>
            </w:pPr>
          </w:p>
        </w:tc>
        <w:tc>
          <w:tcPr>
            <w:tcW w:w="75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pPr>
              <w:spacing w:line="360" w:lineRule="auto"/>
              <w:jc w:val="center"/>
            </w:pPr>
          </w:p>
        </w:tc>
        <w:tc>
          <w:tcPr>
            <w:tcW w:w="1199" w:type="dxa"/>
            <w:noWrap/>
          </w:tcPr>
          <w:p>
            <w:pPr>
              <w:spacing w:line="360" w:lineRule="auto"/>
              <w:jc w:val="center"/>
            </w:pPr>
          </w:p>
        </w:tc>
        <w:tc>
          <w:tcPr>
            <w:tcW w:w="839" w:type="dxa"/>
            <w:noWrap/>
          </w:tcPr>
          <w:p>
            <w:pPr>
              <w:spacing w:line="360" w:lineRule="auto"/>
              <w:jc w:val="center"/>
            </w:pPr>
          </w:p>
        </w:tc>
        <w:tc>
          <w:tcPr>
            <w:tcW w:w="1093" w:type="dxa"/>
            <w:noWrap/>
          </w:tcPr>
          <w:p>
            <w:pPr>
              <w:spacing w:line="360" w:lineRule="auto"/>
              <w:jc w:val="center"/>
            </w:pPr>
          </w:p>
        </w:tc>
        <w:tc>
          <w:tcPr>
            <w:tcW w:w="742" w:type="dxa"/>
            <w:noWrap/>
          </w:tcPr>
          <w:p>
            <w:pPr>
              <w:spacing w:line="360" w:lineRule="auto"/>
              <w:jc w:val="center"/>
            </w:pPr>
          </w:p>
        </w:tc>
        <w:tc>
          <w:tcPr>
            <w:tcW w:w="814" w:type="dxa"/>
            <w:noWrap/>
          </w:tcPr>
          <w:p>
            <w:pPr>
              <w:spacing w:line="360" w:lineRule="auto"/>
              <w:jc w:val="center"/>
            </w:pPr>
          </w:p>
        </w:tc>
        <w:tc>
          <w:tcPr>
            <w:tcW w:w="1337" w:type="dxa"/>
            <w:noWrap/>
          </w:tcPr>
          <w:p>
            <w:pPr>
              <w:spacing w:line="360" w:lineRule="auto"/>
              <w:jc w:val="center"/>
            </w:pPr>
          </w:p>
        </w:tc>
        <w:tc>
          <w:tcPr>
            <w:tcW w:w="1823" w:type="dxa"/>
            <w:noWrap/>
          </w:tcPr>
          <w:p>
            <w:pPr>
              <w:spacing w:line="360" w:lineRule="auto"/>
              <w:jc w:val="center"/>
            </w:pPr>
          </w:p>
        </w:tc>
        <w:tc>
          <w:tcPr>
            <w:tcW w:w="758" w:type="dxa"/>
            <w:noWrap/>
          </w:tcPr>
          <w:p>
            <w:pPr>
              <w:spacing w:line="360" w:lineRule="auto"/>
              <w:jc w:val="center"/>
            </w:pPr>
          </w:p>
        </w:tc>
      </w:tr>
    </w:tbl>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rPr>
          <w:rFonts w:ascii="宋体" w:hAnsi="宋体" w:cs="宋体"/>
          <w:b/>
        </w:rPr>
      </w:pPr>
    </w:p>
    <w:p>
      <w:pPr>
        <w:spacing w:line="360" w:lineRule="auto"/>
      </w:pPr>
    </w:p>
    <w:p>
      <w:pPr>
        <w:spacing w:line="360" w:lineRule="auto"/>
      </w:pPr>
      <w:bookmarkStart w:id="686" w:name="_Toc152042588"/>
      <w:bookmarkStart w:id="687" w:name="_Toc152045799"/>
      <w:bookmarkStart w:id="688" w:name="_Toc144974867"/>
      <w:bookmarkStart w:id="689" w:name="_Toc314125027"/>
      <w:bookmarkStart w:id="690" w:name="_Toc251248804"/>
      <w:r>
        <w:rPr>
          <w:rFonts w:hint="eastAsia"/>
        </w:rPr>
        <w:t>附表三：劳动力计划表</w:t>
      </w:r>
      <w:bookmarkEnd w:id="686"/>
      <w:bookmarkEnd w:id="687"/>
      <w:bookmarkEnd w:id="688"/>
      <w:bookmarkEnd w:id="689"/>
      <w:bookmarkEnd w:id="690"/>
    </w:p>
    <w:p>
      <w:pPr>
        <w:spacing w:line="360" w:lineRule="auto"/>
        <w:ind w:right="200"/>
        <w:jc w:val="right"/>
      </w:pPr>
      <w:r>
        <w:rPr>
          <w:rFonts w:hint="eastAsia"/>
        </w:rPr>
        <w:t>单位：人</w:t>
      </w:r>
    </w:p>
    <w:tbl>
      <w:tblPr>
        <w:tblStyle w:val="23"/>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438"/>
        <w:gridCol w:w="1175"/>
        <w:gridCol w:w="1175"/>
        <w:gridCol w:w="1175"/>
        <w:gridCol w:w="1175"/>
        <w:gridCol w:w="1175"/>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ign w:val="center"/>
          </w:tcPr>
          <w:p>
            <w:pPr>
              <w:spacing w:line="360" w:lineRule="auto"/>
              <w:jc w:val="center"/>
            </w:pPr>
            <w:r>
              <w:rPr>
                <w:rFonts w:hint="eastAsia"/>
              </w:rPr>
              <w:t>工种</w:t>
            </w:r>
          </w:p>
        </w:tc>
        <w:tc>
          <w:tcPr>
            <w:tcW w:w="8486" w:type="dxa"/>
            <w:gridSpan w:val="7"/>
            <w:noWrap/>
            <w:vAlign w:val="center"/>
          </w:tcPr>
          <w:p>
            <w:pPr>
              <w:spacing w:line="360" w:lineRule="auto"/>
              <w:jc w:val="center"/>
            </w:pPr>
            <w:r>
              <w:rPr>
                <w:rFonts w:hint="eastAsia"/>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ign w:val="center"/>
          </w:tcPr>
          <w:p>
            <w:pPr>
              <w:spacing w:line="360" w:lineRule="auto"/>
              <w:jc w:val="center"/>
            </w:pPr>
          </w:p>
        </w:tc>
        <w:tc>
          <w:tcPr>
            <w:tcW w:w="1438" w:type="dxa"/>
            <w:noWrap/>
            <w:vAlign w:val="center"/>
          </w:tcPr>
          <w:p>
            <w:pPr>
              <w:spacing w:line="360" w:lineRule="auto"/>
              <w:jc w:val="center"/>
            </w:pPr>
          </w:p>
        </w:tc>
        <w:tc>
          <w:tcPr>
            <w:tcW w:w="1175" w:type="dxa"/>
            <w:noWrap/>
            <w:vAlign w:val="center"/>
          </w:tcPr>
          <w:p>
            <w:pPr>
              <w:spacing w:line="360" w:lineRule="auto"/>
              <w:jc w:val="center"/>
            </w:pPr>
          </w:p>
        </w:tc>
        <w:tc>
          <w:tcPr>
            <w:tcW w:w="1175" w:type="dxa"/>
            <w:noWrap/>
            <w:vAlign w:val="center"/>
          </w:tcPr>
          <w:p>
            <w:pPr>
              <w:spacing w:line="360" w:lineRule="auto"/>
              <w:jc w:val="center"/>
            </w:pPr>
          </w:p>
        </w:tc>
        <w:tc>
          <w:tcPr>
            <w:tcW w:w="1175" w:type="dxa"/>
            <w:noWrap/>
            <w:vAlign w:val="center"/>
          </w:tcPr>
          <w:p>
            <w:pPr>
              <w:spacing w:line="360" w:lineRule="auto"/>
              <w:jc w:val="center"/>
            </w:pPr>
          </w:p>
        </w:tc>
        <w:tc>
          <w:tcPr>
            <w:tcW w:w="1175" w:type="dxa"/>
            <w:noWrap/>
            <w:vAlign w:val="center"/>
          </w:tcPr>
          <w:p>
            <w:pPr>
              <w:spacing w:line="360" w:lineRule="auto"/>
              <w:jc w:val="center"/>
            </w:pPr>
          </w:p>
        </w:tc>
        <w:tc>
          <w:tcPr>
            <w:tcW w:w="1175" w:type="dxa"/>
            <w:noWrap/>
            <w:vAlign w:val="center"/>
          </w:tcPr>
          <w:p>
            <w:pPr>
              <w:spacing w:line="360" w:lineRule="auto"/>
              <w:jc w:val="center"/>
            </w:pPr>
          </w:p>
        </w:tc>
        <w:tc>
          <w:tcPr>
            <w:tcW w:w="1173"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ign w:val="center"/>
          </w:tcPr>
          <w:p>
            <w:pPr>
              <w:spacing w:line="360" w:lineRule="auto"/>
              <w:jc w:val="center"/>
            </w:pPr>
          </w:p>
        </w:tc>
        <w:tc>
          <w:tcPr>
            <w:tcW w:w="1438" w:type="dxa"/>
            <w:noWrap/>
            <w:vAlign w:val="center"/>
          </w:tcPr>
          <w:p>
            <w:pPr>
              <w:spacing w:line="360" w:lineRule="auto"/>
              <w:jc w:val="center"/>
            </w:pPr>
          </w:p>
        </w:tc>
        <w:tc>
          <w:tcPr>
            <w:tcW w:w="1175" w:type="dxa"/>
            <w:noWrap/>
            <w:vAlign w:val="center"/>
          </w:tcPr>
          <w:p>
            <w:pPr>
              <w:spacing w:line="360" w:lineRule="auto"/>
              <w:jc w:val="center"/>
            </w:pPr>
          </w:p>
        </w:tc>
        <w:tc>
          <w:tcPr>
            <w:tcW w:w="1175" w:type="dxa"/>
            <w:noWrap/>
            <w:vAlign w:val="center"/>
          </w:tcPr>
          <w:p>
            <w:pPr>
              <w:spacing w:line="360" w:lineRule="auto"/>
              <w:jc w:val="center"/>
            </w:pPr>
          </w:p>
        </w:tc>
        <w:tc>
          <w:tcPr>
            <w:tcW w:w="1175" w:type="dxa"/>
            <w:noWrap/>
            <w:vAlign w:val="center"/>
          </w:tcPr>
          <w:p>
            <w:pPr>
              <w:spacing w:line="360" w:lineRule="auto"/>
              <w:jc w:val="center"/>
            </w:pPr>
          </w:p>
        </w:tc>
        <w:tc>
          <w:tcPr>
            <w:tcW w:w="1175" w:type="dxa"/>
            <w:noWrap/>
            <w:vAlign w:val="center"/>
          </w:tcPr>
          <w:p>
            <w:pPr>
              <w:spacing w:line="360" w:lineRule="auto"/>
              <w:jc w:val="center"/>
            </w:pPr>
          </w:p>
        </w:tc>
        <w:tc>
          <w:tcPr>
            <w:tcW w:w="1175" w:type="dxa"/>
            <w:noWrap/>
            <w:vAlign w:val="center"/>
          </w:tcPr>
          <w:p>
            <w:pPr>
              <w:spacing w:line="360" w:lineRule="auto"/>
              <w:jc w:val="center"/>
            </w:pPr>
          </w:p>
        </w:tc>
        <w:tc>
          <w:tcPr>
            <w:tcW w:w="1173"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pPr>
              <w:spacing w:line="360" w:lineRule="auto"/>
              <w:jc w:val="center"/>
            </w:pPr>
          </w:p>
        </w:tc>
        <w:tc>
          <w:tcPr>
            <w:tcW w:w="1438"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5" w:type="dxa"/>
            <w:noWrap/>
          </w:tcPr>
          <w:p>
            <w:pPr>
              <w:spacing w:line="360" w:lineRule="auto"/>
              <w:jc w:val="center"/>
            </w:pPr>
          </w:p>
        </w:tc>
        <w:tc>
          <w:tcPr>
            <w:tcW w:w="1173" w:type="dxa"/>
            <w:noWrap/>
          </w:tcPr>
          <w:p>
            <w:pPr>
              <w:spacing w:line="360" w:lineRule="auto"/>
              <w:jc w:val="center"/>
            </w:pPr>
          </w:p>
        </w:tc>
      </w:tr>
    </w:tbl>
    <w:p>
      <w:pPr>
        <w:pStyle w:val="11"/>
        <w:spacing w:line="360" w:lineRule="auto"/>
        <w:ind w:left="0" w:leftChars="0" w:firstLine="0" w:firstLineChars="0"/>
        <w:jc w:val="center"/>
        <w:rPr>
          <w:rFonts w:ascii="宋体" w:hAnsi="宋体" w:cs="宋体"/>
          <w:b/>
        </w:rPr>
      </w:pPr>
    </w:p>
    <w:p>
      <w:pPr>
        <w:spacing w:line="360" w:lineRule="auto"/>
      </w:pPr>
      <w:bookmarkStart w:id="691" w:name="_Toc144974868"/>
      <w:bookmarkStart w:id="692" w:name="_Toc251248805"/>
      <w:bookmarkStart w:id="693" w:name="_Toc152045800"/>
      <w:bookmarkStart w:id="694" w:name="_Toc314125028"/>
      <w:bookmarkStart w:id="695" w:name="_Toc152042589"/>
      <w:r>
        <w:rPr>
          <w:rFonts w:hint="eastAsia"/>
        </w:rPr>
        <w:br w:type="page"/>
      </w:r>
      <w:r>
        <w:rPr>
          <w:rFonts w:hint="eastAsia"/>
        </w:rPr>
        <w:t>附表四：计划开、竣工日期和施工进度网络图</w:t>
      </w:r>
      <w:bookmarkEnd w:id="691"/>
      <w:bookmarkEnd w:id="692"/>
      <w:bookmarkEnd w:id="693"/>
      <w:bookmarkEnd w:id="694"/>
      <w:bookmarkEnd w:id="695"/>
    </w:p>
    <w:p>
      <w:pPr>
        <w:spacing w:line="360" w:lineRule="auto"/>
        <w:rPr>
          <w:sz w:val="20"/>
          <w:szCs w:val="20"/>
        </w:rPr>
      </w:pPr>
    </w:p>
    <w:p>
      <w:pPr>
        <w:spacing w:line="360" w:lineRule="auto"/>
        <w:ind w:firstLine="420" w:firstLineChars="200"/>
      </w:pPr>
      <w:r>
        <w:rPr>
          <w:rFonts w:hint="eastAsia"/>
        </w:rPr>
        <w:t>1. 响应人应递交施工进度网络图或施工进度表，说明按招标文件要求的计划工期进行施工的各个关键日期。</w:t>
      </w:r>
    </w:p>
    <w:p>
      <w:pPr>
        <w:spacing w:line="360" w:lineRule="auto"/>
        <w:ind w:firstLine="420" w:firstLineChars="200"/>
      </w:pPr>
      <w:r>
        <w:rPr>
          <w:rFonts w:hint="eastAsia"/>
        </w:rPr>
        <w:t>2. 施工进度表可采用网络图（或横道图）表示。</w:t>
      </w:r>
    </w:p>
    <w:p>
      <w:pPr>
        <w:pStyle w:val="11"/>
        <w:spacing w:line="360" w:lineRule="auto"/>
        <w:ind w:left="0" w:leftChars="0" w:firstLine="0" w:firstLineChars="0"/>
        <w:jc w:val="center"/>
        <w:rPr>
          <w:rFonts w:ascii="宋体" w:hAnsi="宋体" w:cs="宋体"/>
          <w:b/>
        </w:rPr>
      </w:pPr>
    </w:p>
    <w:p>
      <w:pPr>
        <w:pStyle w:val="11"/>
        <w:spacing w:line="360" w:lineRule="auto"/>
        <w:ind w:left="0" w:leftChars="0" w:firstLine="0" w:firstLineChars="0"/>
        <w:jc w:val="center"/>
        <w:rPr>
          <w:rFonts w:ascii="宋体" w:hAnsi="宋体" w:cs="宋体"/>
          <w:b/>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pStyle w:val="37"/>
        <w:rPr>
          <w:lang w:val="en-US"/>
        </w:rPr>
      </w:pPr>
    </w:p>
    <w:p>
      <w:pPr>
        <w:pStyle w:val="37"/>
        <w:rPr>
          <w:lang w:val="en-US"/>
        </w:rPr>
      </w:pPr>
    </w:p>
    <w:p>
      <w:pPr>
        <w:spacing w:line="360" w:lineRule="auto"/>
        <w:rPr>
          <w:sz w:val="24"/>
        </w:rPr>
      </w:pPr>
    </w:p>
    <w:p>
      <w:pPr>
        <w:spacing w:line="360" w:lineRule="auto"/>
      </w:pPr>
      <w:bookmarkStart w:id="696" w:name="_Toc152045801"/>
      <w:bookmarkStart w:id="697" w:name="_Toc152042590"/>
      <w:bookmarkStart w:id="698" w:name="_Toc144974869"/>
      <w:bookmarkStart w:id="699" w:name="_Toc314125029"/>
      <w:bookmarkStart w:id="700" w:name="_Toc251248806"/>
      <w:r>
        <w:rPr>
          <w:rFonts w:hint="eastAsia"/>
        </w:rPr>
        <w:t>附表五：施工总平面图</w:t>
      </w:r>
      <w:bookmarkEnd w:id="696"/>
      <w:bookmarkEnd w:id="697"/>
      <w:bookmarkEnd w:id="698"/>
      <w:bookmarkEnd w:id="699"/>
      <w:bookmarkEnd w:id="700"/>
    </w:p>
    <w:p>
      <w:pPr>
        <w:spacing w:line="360" w:lineRule="auto"/>
        <w:rPr>
          <w:sz w:val="20"/>
          <w:szCs w:val="20"/>
        </w:rPr>
      </w:pPr>
      <w:r>
        <w:rPr>
          <w:rFonts w:hint="eastAsia"/>
          <w:sz w:val="20"/>
          <w:szCs w:val="20"/>
        </w:rPr>
        <w:tab/>
      </w:r>
    </w:p>
    <w:p>
      <w:pPr>
        <w:spacing w:line="360" w:lineRule="auto"/>
        <w:ind w:firstLine="420" w:firstLineChars="200"/>
      </w:pPr>
      <w:r>
        <w:rPr>
          <w:rFonts w:hint="eastAsia"/>
        </w:rPr>
        <w:t>响应人应递交一份施工总平面图，绘出现场临时设施布置图表并附文字说明，说明临时设施、加工车间、现场办公、设备及仓储、供电、供水、卫生、生活、道路、消防等设施的情况和布置。</w:t>
      </w:r>
    </w:p>
    <w:p>
      <w:pPr>
        <w:spacing w:line="360" w:lineRule="auto"/>
        <w:rPr>
          <w:sz w:val="24"/>
        </w:rPr>
      </w:pPr>
    </w:p>
    <w:p>
      <w:pPr>
        <w:spacing w:line="360" w:lineRule="auto"/>
        <w:rPr>
          <w:sz w:val="24"/>
        </w:rPr>
      </w:pPr>
    </w:p>
    <w:p>
      <w:pPr>
        <w:spacing w:line="360" w:lineRule="auto"/>
        <w:rPr>
          <w:sz w:val="24"/>
        </w:rPr>
      </w:pPr>
    </w:p>
    <w:p>
      <w:pPr>
        <w:spacing w:line="360" w:lineRule="auto"/>
      </w:pPr>
      <w:bookmarkStart w:id="701" w:name="_Toc314125030"/>
      <w:bookmarkStart w:id="702" w:name="_Toc144974870"/>
      <w:bookmarkStart w:id="703" w:name="_Toc152045802"/>
      <w:bookmarkStart w:id="704" w:name="_Toc152042591"/>
      <w:bookmarkStart w:id="705" w:name="_Toc251248807"/>
      <w:r>
        <w:rPr>
          <w:rFonts w:hint="eastAsia"/>
        </w:rPr>
        <w:br w:type="page"/>
      </w:r>
      <w:r>
        <w:rPr>
          <w:rFonts w:hint="eastAsia"/>
        </w:rPr>
        <w:t>附表六：临时用地表</w:t>
      </w:r>
      <w:bookmarkEnd w:id="701"/>
      <w:bookmarkEnd w:id="702"/>
      <w:bookmarkEnd w:id="703"/>
      <w:bookmarkEnd w:id="704"/>
      <w:bookmarkEnd w:id="705"/>
    </w:p>
    <w:tbl>
      <w:tblPr>
        <w:tblStyle w:val="23"/>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2350"/>
        <w:gridCol w:w="2350"/>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jc w:val="center"/>
            </w:pPr>
            <w:r>
              <w:rPr>
                <w:rFonts w:hint="eastAsia"/>
              </w:rPr>
              <w:t>用 途</w:t>
            </w:r>
          </w:p>
        </w:tc>
        <w:tc>
          <w:tcPr>
            <w:tcW w:w="2350" w:type="dxa"/>
            <w:noWrap/>
          </w:tcPr>
          <w:p>
            <w:pPr>
              <w:spacing w:line="360" w:lineRule="auto"/>
              <w:jc w:val="center"/>
            </w:pPr>
            <w:r>
              <w:rPr>
                <w:rFonts w:hint="eastAsia"/>
              </w:rPr>
              <w:t>面 积（平方米）</w:t>
            </w:r>
          </w:p>
        </w:tc>
        <w:tc>
          <w:tcPr>
            <w:tcW w:w="2350" w:type="dxa"/>
            <w:noWrap/>
          </w:tcPr>
          <w:p>
            <w:pPr>
              <w:spacing w:line="360" w:lineRule="auto"/>
              <w:jc w:val="center"/>
            </w:pPr>
            <w:r>
              <w:rPr>
                <w:rFonts w:hint="eastAsia"/>
              </w:rPr>
              <w:t>位 置</w:t>
            </w:r>
          </w:p>
        </w:tc>
        <w:tc>
          <w:tcPr>
            <w:tcW w:w="2350" w:type="dxa"/>
            <w:noWrap/>
          </w:tcPr>
          <w:p>
            <w:pPr>
              <w:spacing w:line="360" w:lineRule="auto"/>
              <w:jc w:val="center"/>
            </w:pPr>
            <w:r>
              <w:rPr>
                <w:rFonts w:hint="eastAsia"/>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c>
          <w:tcPr>
            <w:tcW w:w="2350" w:type="dxa"/>
            <w:noWrap/>
          </w:tcPr>
          <w:p>
            <w:pPr>
              <w:spacing w:line="360" w:lineRule="auto"/>
            </w:pPr>
          </w:p>
        </w:tc>
      </w:tr>
    </w:tbl>
    <w:p>
      <w:pPr>
        <w:pStyle w:val="22"/>
        <w:spacing w:line="360" w:lineRule="auto"/>
        <w:ind w:left="0" w:leftChars="0" w:firstLine="0" w:firstLineChars="0"/>
        <w:rPr>
          <w:rFonts w:ascii="宋体" w:hAnsi="宋体"/>
        </w:rPr>
      </w:pPr>
    </w:p>
    <w:p>
      <w:pPr>
        <w:pStyle w:val="5"/>
        <w:tabs>
          <w:tab w:val="left" w:pos="425"/>
        </w:tabs>
        <w:ind w:left="0"/>
        <w:rPr>
          <w:szCs w:val="24"/>
          <w:lang w:val="zh-CN"/>
        </w:rPr>
      </w:pPr>
      <w:bookmarkStart w:id="706" w:name="_Toc28787_WPSOffice_Level1"/>
      <w:bookmarkStart w:id="707" w:name="_Toc6830_WPSOffice_Level1"/>
      <w:bookmarkStart w:id="708" w:name="_Toc26359_WPSOffice_Level1"/>
      <w:bookmarkStart w:id="709" w:name="_Toc14509"/>
      <w:r>
        <w:rPr>
          <w:rFonts w:hint="eastAsia"/>
          <w:szCs w:val="24"/>
          <w:highlight w:val="none"/>
          <w:lang w:val="zh-CN"/>
        </w:rPr>
        <w:t>六、</w:t>
      </w:r>
      <w:r>
        <w:rPr>
          <w:rFonts w:hint="eastAsia"/>
          <w:szCs w:val="24"/>
          <w:lang w:val="zh-CN"/>
        </w:rPr>
        <w:t>项目管理机构</w:t>
      </w:r>
      <w:bookmarkEnd w:id="706"/>
      <w:bookmarkEnd w:id="707"/>
      <w:bookmarkEnd w:id="708"/>
      <w:bookmarkEnd w:id="709"/>
    </w:p>
    <w:p>
      <w:pPr>
        <w:numPr>
          <w:ilvl w:val="0"/>
          <w:numId w:val="27"/>
        </w:numPr>
        <w:spacing w:line="360" w:lineRule="auto"/>
        <w:jc w:val="center"/>
        <w:rPr>
          <w:b/>
          <w:bCs/>
          <w:sz w:val="24"/>
          <w:szCs w:val="24"/>
        </w:rPr>
      </w:pPr>
      <w:r>
        <w:rPr>
          <w:rFonts w:hint="eastAsia"/>
          <w:b/>
          <w:bCs/>
          <w:sz w:val="24"/>
          <w:szCs w:val="24"/>
        </w:rPr>
        <w:t>项目管理机构组成表</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restart"/>
            <w:noWrap/>
            <w:vAlign w:val="center"/>
          </w:tcPr>
          <w:p>
            <w:pPr>
              <w:spacing w:line="360" w:lineRule="auto"/>
              <w:jc w:val="center"/>
            </w:pPr>
            <w:r>
              <w:rPr>
                <w:rFonts w:hint="eastAsia"/>
              </w:rPr>
              <w:t>职务</w:t>
            </w:r>
          </w:p>
        </w:tc>
        <w:tc>
          <w:tcPr>
            <w:tcW w:w="709" w:type="dxa"/>
            <w:vMerge w:val="restart"/>
            <w:noWrap/>
            <w:vAlign w:val="center"/>
          </w:tcPr>
          <w:p>
            <w:pPr>
              <w:spacing w:line="360" w:lineRule="auto"/>
              <w:jc w:val="center"/>
            </w:pPr>
            <w:r>
              <w:rPr>
                <w:rFonts w:hint="eastAsia"/>
              </w:rPr>
              <w:t>姓名</w:t>
            </w:r>
          </w:p>
        </w:tc>
        <w:tc>
          <w:tcPr>
            <w:tcW w:w="709" w:type="dxa"/>
            <w:vMerge w:val="restart"/>
            <w:noWrap/>
            <w:vAlign w:val="center"/>
          </w:tcPr>
          <w:p>
            <w:pPr>
              <w:spacing w:line="360" w:lineRule="auto"/>
              <w:jc w:val="center"/>
            </w:pPr>
            <w:r>
              <w:rPr>
                <w:rFonts w:hint="eastAsia"/>
              </w:rPr>
              <w:t>职称</w:t>
            </w:r>
          </w:p>
        </w:tc>
        <w:tc>
          <w:tcPr>
            <w:tcW w:w="5670" w:type="dxa"/>
            <w:gridSpan w:val="5"/>
            <w:noWrap/>
            <w:vAlign w:val="center"/>
          </w:tcPr>
          <w:p>
            <w:pPr>
              <w:spacing w:line="360" w:lineRule="auto"/>
              <w:jc w:val="center"/>
            </w:pPr>
            <w:r>
              <w:rPr>
                <w:rFonts w:hint="eastAsia"/>
              </w:rPr>
              <w:t>执业或职业资格证明</w:t>
            </w:r>
          </w:p>
        </w:tc>
        <w:tc>
          <w:tcPr>
            <w:tcW w:w="708" w:type="dxa"/>
            <w:vMerge w:val="restart"/>
            <w:noWrap/>
            <w:vAlign w:val="center"/>
          </w:tcPr>
          <w:p>
            <w:pPr>
              <w:spacing w:line="360" w:lineRule="auto"/>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continue"/>
            <w:noWrap/>
            <w:vAlign w:val="center"/>
          </w:tcPr>
          <w:p>
            <w:pPr>
              <w:spacing w:line="360" w:lineRule="auto"/>
              <w:jc w:val="center"/>
            </w:pPr>
          </w:p>
        </w:tc>
        <w:tc>
          <w:tcPr>
            <w:tcW w:w="709" w:type="dxa"/>
            <w:vMerge w:val="continue"/>
            <w:noWrap/>
            <w:vAlign w:val="center"/>
          </w:tcPr>
          <w:p>
            <w:pPr>
              <w:spacing w:line="360" w:lineRule="auto"/>
              <w:jc w:val="center"/>
            </w:pPr>
          </w:p>
        </w:tc>
        <w:tc>
          <w:tcPr>
            <w:tcW w:w="709" w:type="dxa"/>
            <w:vMerge w:val="continue"/>
            <w:noWrap/>
            <w:vAlign w:val="center"/>
          </w:tcPr>
          <w:p>
            <w:pPr>
              <w:spacing w:line="360" w:lineRule="auto"/>
              <w:jc w:val="center"/>
            </w:pPr>
          </w:p>
        </w:tc>
        <w:tc>
          <w:tcPr>
            <w:tcW w:w="1134" w:type="dxa"/>
            <w:noWrap/>
            <w:vAlign w:val="center"/>
          </w:tcPr>
          <w:p>
            <w:pPr>
              <w:spacing w:line="360" w:lineRule="auto"/>
              <w:jc w:val="center"/>
            </w:pPr>
            <w:r>
              <w:rPr>
                <w:rFonts w:hint="eastAsia"/>
              </w:rPr>
              <w:t>证书名称</w:t>
            </w:r>
          </w:p>
        </w:tc>
        <w:tc>
          <w:tcPr>
            <w:tcW w:w="771" w:type="dxa"/>
            <w:noWrap/>
            <w:vAlign w:val="center"/>
          </w:tcPr>
          <w:p>
            <w:pPr>
              <w:spacing w:line="360" w:lineRule="auto"/>
              <w:jc w:val="center"/>
            </w:pPr>
            <w:r>
              <w:rPr>
                <w:rFonts w:hint="eastAsia"/>
              </w:rPr>
              <w:t>级别</w:t>
            </w:r>
          </w:p>
        </w:tc>
        <w:tc>
          <w:tcPr>
            <w:tcW w:w="788" w:type="dxa"/>
            <w:noWrap/>
            <w:vAlign w:val="center"/>
          </w:tcPr>
          <w:p>
            <w:pPr>
              <w:spacing w:line="360" w:lineRule="auto"/>
              <w:jc w:val="center"/>
            </w:pPr>
            <w:r>
              <w:rPr>
                <w:rFonts w:hint="eastAsia"/>
              </w:rPr>
              <w:t>证号</w:t>
            </w:r>
          </w:p>
        </w:tc>
        <w:tc>
          <w:tcPr>
            <w:tcW w:w="850" w:type="dxa"/>
            <w:noWrap/>
            <w:vAlign w:val="center"/>
          </w:tcPr>
          <w:p>
            <w:pPr>
              <w:spacing w:line="360" w:lineRule="auto"/>
              <w:jc w:val="center"/>
            </w:pPr>
            <w:r>
              <w:rPr>
                <w:rFonts w:hint="eastAsia"/>
              </w:rPr>
              <w:t>专业</w:t>
            </w:r>
          </w:p>
        </w:tc>
        <w:tc>
          <w:tcPr>
            <w:tcW w:w="2127" w:type="dxa"/>
            <w:noWrap/>
            <w:vAlign w:val="center"/>
          </w:tcPr>
          <w:p>
            <w:pPr>
              <w:spacing w:line="360" w:lineRule="auto"/>
              <w:jc w:val="center"/>
            </w:pPr>
            <w:r>
              <w:rPr>
                <w:rFonts w:hint="eastAsia"/>
              </w:rPr>
              <w:t>养老保险</w:t>
            </w:r>
          </w:p>
        </w:tc>
        <w:tc>
          <w:tcPr>
            <w:tcW w:w="708" w:type="dxa"/>
            <w:vMerge w:val="continue"/>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pPr>
              <w:spacing w:line="360" w:lineRule="auto"/>
              <w:jc w:val="center"/>
            </w:pPr>
          </w:p>
        </w:tc>
        <w:tc>
          <w:tcPr>
            <w:tcW w:w="709" w:type="dxa"/>
            <w:noWrap/>
            <w:vAlign w:val="center"/>
          </w:tcPr>
          <w:p>
            <w:pPr>
              <w:spacing w:line="360" w:lineRule="auto"/>
              <w:jc w:val="center"/>
            </w:pPr>
          </w:p>
        </w:tc>
        <w:tc>
          <w:tcPr>
            <w:tcW w:w="709" w:type="dxa"/>
            <w:noWrap/>
            <w:vAlign w:val="center"/>
          </w:tcPr>
          <w:p>
            <w:pPr>
              <w:spacing w:line="360" w:lineRule="auto"/>
              <w:jc w:val="center"/>
            </w:pPr>
          </w:p>
        </w:tc>
        <w:tc>
          <w:tcPr>
            <w:tcW w:w="1134" w:type="dxa"/>
            <w:noWrap/>
            <w:vAlign w:val="center"/>
          </w:tcPr>
          <w:p>
            <w:pPr>
              <w:spacing w:line="360" w:lineRule="auto"/>
              <w:jc w:val="center"/>
            </w:pPr>
          </w:p>
        </w:tc>
        <w:tc>
          <w:tcPr>
            <w:tcW w:w="771" w:type="dxa"/>
            <w:noWrap/>
            <w:vAlign w:val="center"/>
          </w:tcPr>
          <w:p>
            <w:pPr>
              <w:spacing w:line="360" w:lineRule="auto"/>
              <w:jc w:val="center"/>
            </w:pPr>
          </w:p>
        </w:tc>
        <w:tc>
          <w:tcPr>
            <w:tcW w:w="788" w:type="dxa"/>
            <w:noWrap/>
            <w:vAlign w:val="center"/>
          </w:tcPr>
          <w:p>
            <w:pPr>
              <w:spacing w:line="360" w:lineRule="auto"/>
              <w:jc w:val="center"/>
            </w:pPr>
          </w:p>
        </w:tc>
        <w:tc>
          <w:tcPr>
            <w:tcW w:w="850" w:type="dxa"/>
            <w:noWrap/>
            <w:vAlign w:val="center"/>
          </w:tcPr>
          <w:p>
            <w:pPr>
              <w:spacing w:line="360" w:lineRule="auto"/>
              <w:jc w:val="center"/>
            </w:pPr>
          </w:p>
        </w:tc>
        <w:tc>
          <w:tcPr>
            <w:tcW w:w="2127" w:type="dxa"/>
            <w:noWrap/>
            <w:vAlign w:val="center"/>
          </w:tcPr>
          <w:p>
            <w:pPr>
              <w:spacing w:line="360" w:lineRule="auto"/>
              <w:jc w:val="center"/>
            </w:pPr>
          </w:p>
        </w:tc>
        <w:tc>
          <w:tcPr>
            <w:tcW w:w="708" w:type="dxa"/>
            <w:noWrap/>
            <w:vAlign w:val="center"/>
          </w:tcPr>
          <w:p>
            <w:pPr>
              <w:spacing w:line="360" w:lineRule="auto"/>
              <w:jc w:val="center"/>
            </w:pPr>
          </w:p>
        </w:tc>
      </w:tr>
    </w:tbl>
    <w:p>
      <w:pPr>
        <w:spacing w:line="360" w:lineRule="auto"/>
      </w:pPr>
    </w:p>
    <w:p>
      <w:pPr>
        <w:numPr>
          <w:ilvl w:val="0"/>
          <w:numId w:val="27"/>
        </w:numPr>
        <w:spacing w:line="360" w:lineRule="auto"/>
        <w:jc w:val="center"/>
        <w:rPr>
          <w:sz w:val="24"/>
        </w:rPr>
      </w:pPr>
      <w:r>
        <w:br w:type="page"/>
      </w:r>
      <w:r>
        <w:rPr>
          <w:rFonts w:hint="eastAsia"/>
          <w:b/>
          <w:bCs/>
          <w:sz w:val="24"/>
          <w:szCs w:val="24"/>
        </w:rPr>
        <w:t>主要人员简历表</w:t>
      </w:r>
    </w:p>
    <w:p>
      <w:pPr>
        <w:spacing w:beforeLines="50" w:afterLines="100" w:line="360" w:lineRule="auto"/>
        <w:rPr>
          <w:b/>
          <w:bCs/>
        </w:rPr>
      </w:pPr>
      <w:r>
        <w:rPr>
          <w:rFonts w:hint="eastAsia"/>
          <w:b/>
          <w:bCs/>
        </w:rPr>
        <w:t>附1：项目经理简历表</w:t>
      </w:r>
    </w:p>
    <w:p>
      <w:pPr>
        <w:wordWrap/>
        <w:topLinePunct w:val="0"/>
        <w:adjustRightInd w:val="0"/>
        <w:snapToGrid w:val="0"/>
        <w:spacing w:line="360" w:lineRule="auto"/>
        <w:ind w:firstLine="420" w:firstLineChars="200"/>
      </w:pPr>
      <w:r>
        <w:rPr>
          <w:rFonts w:hint="eastAsia"/>
        </w:rPr>
        <w:t>项目经理应附建造师执业资格证书、注册证书、安全生产考核合格证书、身份证、养老保险复印件及未担任其他在施建设工程项目项目经理的承诺书，管理过的项目业绩须附合同协议书和竣工验收备案登记表复印件。类似项目限于以项目经理身份参与的项目。</w:t>
      </w:r>
    </w:p>
    <w:tbl>
      <w:tblPr>
        <w:tblStyle w:val="23"/>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035"/>
        <w:gridCol w:w="1134"/>
        <w:gridCol w:w="1275"/>
        <w:gridCol w:w="1843"/>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noWrap/>
            <w:vAlign w:val="center"/>
          </w:tcPr>
          <w:p>
            <w:pPr>
              <w:spacing w:line="360" w:lineRule="auto"/>
              <w:jc w:val="center"/>
            </w:pPr>
            <w:r>
              <w:rPr>
                <w:rFonts w:hint="eastAsia"/>
              </w:rPr>
              <w:t>姓  名</w:t>
            </w:r>
          </w:p>
        </w:tc>
        <w:tc>
          <w:tcPr>
            <w:tcW w:w="1035" w:type="dxa"/>
            <w:noWrap/>
            <w:vAlign w:val="center"/>
          </w:tcPr>
          <w:p>
            <w:pPr>
              <w:spacing w:line="360" w:lineRule="auto"/>
              <w:jc w:val="center"/>
            </w:pPr>
          </w:p>
        </w:tc>
        <w:tc>
          <w:tcPr>
            <w:tcW w:w="1134" w:type="dxa"/>
            <w:noWrap/>
            <w:vAlign w:val="center"/>
          </w:tcPr>
          <w:p>
            <w:pPr>
              <w:spacing w:line="360" w:lineRule="auto"/>
              <w:jc w:val="center"/>
            </w:pPr>
            <w:r>
              <w:rPr>
                <w:rFonts w:hint="eastAsia"/>
              </w:rPr>
              <w:t>年  龄</w:t>
            </w:r>
          </w:p>
        </w:tc>
        <w:tc>
          <w:tcPr>
            <w:tcW w:w="1275" w:type="dxa"/>
            <w:noWrap/>
            <w:vAlign w:val="center"/>
          </w:tcPr>
          <w:p>
            <w:pPr>
              <w:spacing w:line="360" w:lineRule="auto"/>
              <w:jc w:val="center"/>
            </w:pPr>
          </w:p>
        </w:tc>
        <w:tc>
          <w:tcPr>
            <w:tcW w:w="1843" w:type="dxa"/>
            <w:noWrap/>
            <w:vAlign w:val="center"/>
          </w:tcPr>
          <w:p>
            <w:pPr>
              <w:spacing w:line="360" w:lineRule="auto"/>
              <w:jc w:val="center"/>
            </w:pPr>
            <w:r>
              <w:rPr>
                <w:rFonts w:hint="eastAsia"/>
              </w:rPr>
              <w:t>学历</w:t>
            </w: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noWrap/>
            <w:vAlign w:val="center"/>
          </w:tcPr>
          <w:p>
            <w:pPr>
              <w:spacing w:line="360" w:lineRule="auto"/>
              <w:jc w:val="center"/>
            </w:pPr>
            <w:r>
              <w:rPr>
                <w:rFonts w:hint="eastAsia"/>
              </w:rPr>
              <w:t>职  称</w:t>
            </w:r>
          </w:p>
        </w:tc>
        <w:tc>
          <w:tcPr>
            <w:tcW w:w="1035" w:type="dxa"/>
            <w:noWrap/>
            <w:vAlign w:val="center"/>
          </w:tcPr>
          <w:p>
            <w:pPr>
              <w:spacing w:line="360" w:lineRule="auto"/>
              <w:jc w:val="center"/>
            </w:pPr>
          </w:p>
        </w:tc>
        <w:tc>
          <w:tcPr>
            <w:tcW w:w="1134" w:type="dxa"/>
            <w:noWrap/>
            <w:vAlign w:val="center"/>
          </w:tcPr>
          <w:p>
            <w:pPr>
              <w:spacing w:line="360" w:lineRule="auto"/>
              <w:jc w:val="center"/>
            </w:pPr>
            <w:r>
              <w:rPr>
                <w:rFonts w:hint="eastAsia"/>
              </w:rPr>
              <w:t>职  务</w:t>
            </w:r>
          </w:p>
        </w:tc>
        <w:tc>
          <w:tcPr>
            <w:tcW w:w="1275" w:type="dxa"/>
            <w:noWrap/>
            <w:vAlign w:val="center"/>
          </w:tcPr>
          <w:p>
            <w:pPr>
              <w:spacing w:line="360" w:lineRule="auto"/>
              <w:jc w:val="center"/>
            </w:pPr>
          </w:p>
        </w:tc>
        <w:tc>
          <w:tcPr>
            <w:tcW w:w="1843" w:type="dxa"/>
            <w:noWrap/>
            <w:vAlign w:val="center"/>
          </w:tcPr>
          <w:p>
            <w:pPr>
              <w:spacing w:line="360" w:lineRule="auto"/>
              <w:jc w:val="center"/>
            </w:pPr>
            <w:r>
              <w:rPr>
                <w:rFonts w:hint="eastAsia"/>
              </w:rPr>
              <w:t>拟在本工程任职</w:t>
            </w:r>
          </w:p>
        </w:tc>
        <w:tc>
          <w:tcPr>
            <w:tcW w:w="2198" w:type="dxa"/>
            <w:noWrap/>
            <w:vAlign w:val="center"/>
          </w:tcPr>
          <w:p>
            <w:pPr>
              <w:spacing w:line="360" w:lineRule="auto"/>
              <w:jc w:val="center"/>
            </w:pPr>
            <w:r>
              <w:rPr>
                <w:rFonts w:hint="eastAsia"/>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2" w:type="dxa"/>
            <w:gridSpan w:val="3"/>
            <w:noWrap/>
            <w:vAlign w:val="center"/>
          </w:tcPr>
          <w:p>
            <w:pPr>
              <w:spacing w:line="360" w:lineRule="auto"/>
              <w:jc w:val="center"/>
            </w:pPr>
            <w:r>
              <w:rPr>
                <w:rFonts w:hint="eastAsia"/>
              </w:rPr>
              <w:t>注册建造师执业资格等级</w:t>
            </w:r>
          </w:p>
        </w:tc>
        <w:tc>
          <w:tcPr>
            <w:tcW w:w="1275" w:type="dxa"/>
            <w:noWrap/>
            <w:vAlign w:val="center"/>
          </w:tcPr>
          <w:p>
            <w:pPr>
              <w:spacing w:line="360" w:lineRule="auto"/>
              <w:jc w:val="center"/>
            </w:pPr>
            <w:r>
              <w:rPr>
                <w:rFonts w:hint="eastAsia"/>
              </w:rPr>
              <w:t xml:space="preserve">      级</w:t>
            </w:r>
          </w:p>
        </w:tc>
        <w:tc>
          <w:tcPr>
            <w:tcW w:w="1843" w:type="dxa"/>
            <w:noWrap/>
            <w:vAlign w:val="center"/>
          </w:tcPr>
          <w:p>
            <w:pPr>
              <w:spacing w:line="360" w:lineRule="auto"/>
              <w:jc w:val="center"/>
            </w:pPr>
            <w:r>
              <w:rPr>
                <w:rFonts w:hint="eastAsia"/>
              </w:rPr>
              <w:t>建造师专业</w:t>
            </w: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2" w:type="dxa"/>
            <w:gridSpan w:val="3"/>
            <w:noWrap/>
            <w:vAlign w:val="center"/>
          </w:tcPr>
          <w:p>
            <w:pPr>
              <w:spacing w:line="360" w:lineRule="auto"/>
              <w:jc w:val="center"/>
            </w:pPr>
            <w:r>
              <w:rPr>
                <w:rFonts w:hint="eastAsia"/>
              </w:rPr>
              <w:t>安全生产考核合格证书</w:t>
            </w:r>
          </w:p>
        </w:tc>
        <w:tc>
          <w:tcPr>
            <w:tcW w:w="5316" w:type="dxa"/>
            <w:gridSpan w:val="3"/>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noWrap/>
            <w:vAlign w:val="center"/>
          </w:tcPr>
          <w:p>
            <w:pPr>
              <w:spacing w:line="360" w:lineRule="auto"/>
              <w:jc w:val="center"/>
            </w:pPr>
            <w:r>
              <w:rPr>
                <w:rFonts w:hint="eastAsia"/>
              </w:rPr>
              <w:t>毕业学校</w:t>
            </w:r>
          </w:p>
        </w:tc>
        <w:tc>
          <w:tcPr>
            <w:tcW w:w="7485" w:type="dxa"/>
            <w:gridSpan w:val="5"/>
            <w:noWrap/>
            <w:vAlign w:val="center"/>
          </w:tcPr>
          <w:p>
            <w:pPr>
              <w:spacing w:line="360" w:lineRule="auto"/>
              <w:ind w:firstLine="840" w:firstLineChars="400"/>
            </w:pPr>
            <w:r>
              <w:rPr>
                <w:rFonts w:hint="eastAsia"/>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8" w:type="dxa"/>
            <w:gridSpan w:val="6"/>
            <w:noWrap/>
            <w:vAlign w:val="center"/>
          </w:tcPr>
          <w:p>
            <w:pPr>
              <w:spacing w:line="360" w:lineRule="auto"/>
              <w:jc w:val="center"/>
            </w:pPr>
            <w:r>
              <w:rPr>
                <w:rFonts w:hint="eastAsia"/>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noWrap/>
            <w:vAlign w:val="center"/>
          </w:tcPr>
          <w:p>
            <w:pPr>
              <w:spacing w:line="360" w:lineRule="auto"/>
              <w:jc w:val="center"/>
            </w:pPr>
            <w:r>
              <w:rPr>
                <w:rFonts w:hint="eastAsia"/>
              </w:rPr>
              <w:t>时  间</w:t>
            </w:r>
          </w:p>
        </w:tc>
        <w:tc>
          <w:tcPr>
            <w:tcW w:w="3444" w:type="dxa"/>
            <w:gridSpan w:val="3"/>
            <w:noWrap/>
            <w:vAlign w:val="center"/>
          </w:tcPr>
          <w:p>
            <w:pPr>
              <w:spacing w:line="360" w:lineRule="auto"/>
              <w:jc w:val="center"/>
            </w:pPr>
            <w:r>
              <w:rPr>
                <w:rFonts w:hint="eastAsia"/>
              </w:rPr>
              <w:t>参加过的类似项目名称</w:t>
            </w:r>
          </w:p>
        </w:tc>
        <w:tc>
          <w:tcPr>
            <w:tcW w:w="1843" w:type="dxa"/>
            <w:noWrap/>
            <w:vAlign w:val="center"/>
          </w:tcPr>
          <w:p>
            <w:pPr>
              <w:spacing w:line="360" w:lineRule="auto"/>
              <w:jc w:val="center"/>
            </w:pPr>
            <w:r>
              <w:rPr>
                <w:rFonts w:hint="eastAsia"/>
              </w:rPr>
              <w:t>工程概况说明</w:t>
            </w:r>
          </w:p>
        </w:tc>
        <w:tc>
          <w:tcPr>
            <w:tcW w:w="2198" w:type="dxa"/>
            <w:noWrap/>
            <w:vAlign w:val="center"/>
          </w:tcPr>
          <w:p>
            <w:pPr>
              <w:spacing w:line="360" w:lineRule="auto"/>
              <w:jc w:val="center"/>
            </w:pPr>
            <w:r>
              <w:rPr>
                <w:rFonts w:hint="eastAsia"/>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pPr>
              <w:spacing w:line="360" w:lineRule="auto"/>
              <w:jc w:val="center"/>
            </w:pPr>
          </w:p>
        </w:tc>
        <w:tc>
          <w:tcPr>
            <w:tcW w:w="1035" w:type="dxa"/>
            <w:noWrap/>
            <w:vAlign w:val="center"/>
          </w:tcPr>
          <w:p>
            <w:pPr>
              <w:spacing w:line="360" w:lineRule="auto"/>
              <w:jc w:val="center"/>
            </w:pPr>
          </w:p>
        </w:tc>
        <w:tc>
          <w:tcPr>
            <w:tcW w:w="1134" w:type="dxa"/>
            <w:noWrap/>
            <w:vAlign w:val="center"/>
          </w:tcPr>
          <w:p>
            <w:pPr>
              <w:spacing w:line="360" w:lineRule="auto"/>
              <w:jc w:val="center"/>
            </w:pPr>
          </w:p>
        </w:tc>
        <w:tc>
          <w:tcPr>
            <w:tcW w:w="1275" w:type="dxa"/>
            <w:noWrap/>
            <w:vAlign w:val="center"/>
          </w:tcPr>
          <w:p>
            <w:pPr>
              <w:spacing w:line="360" w:lineRule="auto"/>
              <w:jc w:val="center"/>
            </w:pPr>
          </w:p>
        </w:tc>
        <w:tc>
          <w:tcPr>
            <w:tcW w:w="1843" w:type="dxa"/>
            <w:noWrap/>
            <w:vAlign w:val="center"/>
          </w:tcPr>
          <w:p>
            <w:pPr>
              <w:spacing w:line="360" w:lineRule="auto"/>
              <w:jc w:val="center"/>
            </w:pP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pPr>
              <w:spacing w:line="360" w:lineRule="auto"/>
              <w:jc w:val="center"/>
            </w:pPr>
          </w:p>
        </w:tc>
        <w:tc>
          <w:tcPr>
            <w:tcW w:w="1035" w:type="dxa"/>
            <w:noWrap/>
            <w:vAlign w:val="center"/>
          </w:tcPr>
          <w:p>
            <w:pPr>
              <w:spacing w:line="360" w:lineRule="auto"/>
              <w:jc w:val="center"/>
            </w:pPr>
          </w:p>
        </w:tc>
        <w:tc>
          <w:tcPr>
            <w:tcW w:w="1134" w:type="dxa"/>
            <w:noWrap/>
            <w:vAlign w:val="center"/>
          </w:tcPr>
          <w:p>
            <w:pPr>
              <w:spacing w:line="360" w:lineRule="auto"/>
              <w:jc w:val="center"/>
            </w:pPr>
          </w:p>
        </w:tc>
        <w:tc>
          <w:tcPr>
            <w:tcW w:w="1275" w:type="dxa"/>
            <w:noWrap/>
            <w:vAlign w:val="center"/>
          </w:tcPr>
          <w:p>
            <w:pPr>
              <w:spacing w:line="360" w:lineRule="auto"/>
              <w:jc w:val="center"/>
            </w:pPr>
          </w:p>
        </w:tc>
        <w:tc>
          <w:tcPr>
            <w:tcW w:w="1843" w:type="dxa"/>
            <w:noWrap/>
            <w:vAlign w:val="center"/>
          </w:tcPr>
          <w:p>
            <w:pPr>
              <w:spacing w:line="360" w:lineRule="auto"/>
              <w:jc w:val="center"/>
            </w:pP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pPr>
              <w:spacing w:line="360" w:lineRule="auto"/>
              <w:jc w:val="center"/>
            </w:pPr>
          </w:p>
        </w:tc>
        <w:tc>
          <w:tcPr>
            <w:tcW w:w="1035" w:type="dxa"/>
            <w:noWrap/>
            <w:vAlign w:val="center"/>
          </w:tcPr>
          <w:p>
            <w:pPr>
              <w:spacing w:line="360" w:lineRule="auto"/>
              <w:jc w:val="center"/>
            </w:pPr>
          </w:p>
        </w:tc>
        <w:tc>
          <w:tcPr>
            <w:tcW w:w="1134" w:type="dxa"/>
            <w:noWrap/>
            <w:vAlign w:val="center"/>
          </w:tcPr>
          <w:p>
            <w:pPr>
              <w:spacing w:line="360" w:lineRule="auto"/>
              <w:jc w:val="center"/>
            </w:pPr>
          </w:p>
        </w:tc>
        <w:tc>
          <w:tcPr>
            <w:tcW w:w="1275" w:type="dxa"/>
            <w:noWrap/>
            <w:vAlign w:val="center"/>
          </w:tcPr>
          <w:p>
            <w:pPr>
              <w:spacing w:line="360" w:lineRule="auto"/>
              <w:jc w:val="center"/>
            </w:pPr>
          </w:p>
        </w:tc>
        <w:tc>
          <w:tcPr>
            <w:tcW w:w="1843" w:type="dxa"/>
            <w:noWrap/>
            <w:vAlign w:val="center"/>
          </w:tcPr>
          <w:p>
            <w:pPr>
              <w:spacing w:line="360" w:lineRule="auto"/>
              <w:jc w:val="center"/>
            </w:pP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pPr>
              <w:spacing w:line="360" w:lineRule="auto"/>
              <w:jc w:val="center"/>
            </w:pPr>
          </w:p>
        </w:tc>
        <w:tc>
          <w:tcPr>
            <w:tcW w:w="1035" w:type="dxa"/>
            <w:noWrap/>
            <w:vAlign w:val="center"/>
          </w:tcPr>
          <w:p>
            <w:pPr>
              <w:spacing w:line="360" w:lineRule="auto"/>
              <w:jc w:val="center"/>
            </w:pPr>
          </w:p>
        </w:tc>
        <w:tc>
          <w:tcPr>
            <w:tcW w:w="1134" w:type="dxa"/>
            <w:noWrap/>
            <w:vAlign w:val="center"/>
          </w:tcPr>
          <w:p>
            <w:pPr>
              <w:spacing w:line="360" w:lineRule="auto"/>
              <w:jc w:val="center"/>
            </w:pPr>
          </w:p>
        </w:tc>
        <w:tc>
          <w:tcPr>
            <w:tcW w:w="1275" w:type="dxa"/>
            <w:noWrap/>
            <w:vAlign w:val="center"/>
          </w:tcPr>
          <w:p>
            <w:pPr>
              <w:spacing w:line="360" w:lineRule="auto"/>
              <w:jc w:val="center"/>
            </w:pPr>
          </w:p>
        </w:tc>
        <w:tc>
          <w:tcPr>
            <w:tcW w:w="1843" w:type="dxa"/>
            <w:noWrap/>
            <w:vAlign w:val="center"/>
          </w:tcPr>
          <w:p>
            <w:pPr>
              <w:spacing w:line="360" w:lineRule="auto"/>
              <w:jc w:val="center"/>
            </w:pP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pPr>
              <w:spacing w:line="360" w:lineRule="auto"/>
              <w:jc w:val="center"/>
            </w:pPr>
          </w:p>
        </w:tc>
        <w:tc>
          <w:tcPr>
            <w:tcW w:w="1035" w:type="dxa"/>
            <w:noWrap/>
            <w:vAlign w:val="center"/>
          </w:tcPr>
          <w:p>
            <w:pPr>
              <w:spacing w:line="360" w:lineRule="auto"/>
              <w:jc w:val="center"/>
            </w:pPr>
          </w:p>
        </w:tc>
        <w:tc>
          <w:tcPr>
            <w:tcW w:w="1134" w:type="dxa"/>
            <w:noWrap/>
            <w:vAlign w:val="center"/>
          </w:tcPr>
          <w:p>
            <w:pPr>
              <w:spacing w:line="360" w:lineRule="auto"/>
              <w:jc w:val="center"/>
            </w:pPr>
          </w:p>
        </w:tc>
        <w:tc>
          <w:tcPr>
            <w:tcW w:w="1275" w:type="dxa"/>
            <w:noWrap/>
            <w:vAlign w:val="center"/>
          </w:tcPr>
          <w:p>
            <w:pPr>
              <w:spacing w:line="360" w:lineRule="auto"/>
              <w:jc w:val="center"/>
            </w:pPr>
          </w:p>
        </w:tc>
        <w:tc>
          <w:tcPr>
            <w:tcW w:w="1843" w:type="dxa"/>
            <w:noWrap/>
            <w:vAlign w:val="center"/>
          </w:tcPr>
          <w:p>
            <w:pPr>
              <w:spacing w:line="360" w:lineRule="auto"/>
              <w:jc w:val="center"/>
            </w:pP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pPr>
              <w:spacing w:line="360" w:lineRule="auto"/>
              <w:jc w:val="center"/>
            </w:pPr>
          </w:p>
        </w:tc>
        <w:tc>
          <w:tcPr>
            <w:tcW w:w="1035" w:type="dxa"/>
            <w:noWrap/>
            <w:vAlign w:val="center"/>
          </w:tcPr>
          <w:p>
            <w:pPr>
              <w:spacing w:line="360" w:lineRule="auto"/>
              <w:jc w:val="center"/>
            </w:pPr>
          </w:p>
        </w:tc>
        <w:tc>
          <w:tcPr>
            <w:tcW w:w="1134" w:type="dxa"/>
            <w:noWrap/>
            <w:vAlign w:val="center"/>
          </w:tcPr>
          <w:p>
            <w:pPr>
              <w:spacing w:line="360" w:lineRule="auto"/>
              <w:jc w:val="center"/>
            </w:pPr>
          </w:p>
        </w:tc>
        <w:tc>
          <w:tcPr>
            <w:tcW w:w="1275" w:type="dxa"/>
            <w:noWrap/>
            <w:vAlign w:val="center"/>
          </w:tcPr>
          <w:p>
            <w:pPr>
              <w:spacing w:line="360" w:lineRule="auto"/>
              <w:jc w:val="center"/>
            </w:pPr>
          </w:p>
        </w:tc>
        <w:tc>
          <w:tcPr>
            <w:tcW w:w="1843" w:type="dxa"/>
            <w:noWrap/>
            <w:vAlign w:val="center"/>
          </w:tcPr>
          <w:p>
            <w:pPr>
              <w:spacing w:line="360" w:lineRule="auto"/>
              <w:jc w:val="center"/>
            </w:pP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pPr>
              <w:spacing w:line="360" w:lineRule="auto"/>
              <w:jc w:val="center"/>
            </w:pPr>
          </w:p>
        </w:tc>
        <w:tc>
          <w:tcPr>
            <w:tcW w:w="1035" w:type="dxa"/>
            <w:noWrap/>
            <w:vAlign w:val="center"/>
          </w:tcPr>
          <w:p>
            <w:pPr>
              <w:spacing w:line="360" w:lineRule="auto"/>
              <w:jc w:val="center"/>
            </w:pPr>
          </w:p>
        </w:tc>
        <w:tc>
          <w:tcPr>
            <w:tcW w:w="1134" w:type="dxa"/>
            <w:noWrap/>
            <w:vAlign w:val="center"/>
          </w:tcPr>
          <w:p>
            <w:pPr>
              <w:spacing w:line="360" w:lineRule="auto"/>
              <w:jc w:val="center"/>
            </w:pPr>
          </w:p>
        </w:tc>
        <w:tc>
          <w:tcPr>
            <w:tcW w:w="1275" w:type="dxa"/>
            <w:noWrap/>
            <w:vAlign w:val="center"/>
          </w:tcPr>
          <w:p>
            <w:pPr>
              <w:spacing w:line="360" w:lineRule="auto"/>
              <w:jc w:val="center"/>
            </w:pPr>
          </w:p>
        </w:tc>
        <w:tc>
          <w:tcPr>
            <w:tcW w:w="1843" w:type="dxa"/>
            <w:noWrap/>
            <w:vAlign w:val="center"/>
          </w:tcPr>
          <w:p>
            <w:pPr>
              <w:spacing w:line="360" w:lineRule="auto"/>
              <w:jc w:val="center"/>
            </w:pP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pPr>
              <w:spacing w:line="360" w:lineRule="auto"/>
              <w:jc w:val="center"/>
            </w:pPr>
          </w:p>
        </w:tc>
        <w:tc>
          <w:tcPr>
            <w:tcW w:w="1035" w:type="dxa"/>
            <w:noWrap/>
            <w:vAlign w:val="center"/>
          </w:tcPr>
          <w:p>
            <w:pPr>
              <w:spacing w:line="360" w:lineRule="auto"/>
              <w:jc w:val="center"/>
            </w:pPr>
          </w:p>
        </w:tc>
        <w:tc>
          <w:tcPr>
            <w:tcW w:w="1134" w:type="dxa"/>
            <w:noWrap/>
            <w:vAlign w:val="center"/>
          </w:tcPr>
          <w:p>
            <w:pPr>
              <w:spacing w:line="360" w:lineRule="auto"/>
              <w:jc w:val="center"/>
            </w:pPr>
          </w:p>
        </w:tc>
        <w:tc>
          <w:tcPr>
            <w:tcW w:w="1275" w:type="dxa"/>
            <w:noWrap/>
            <w:vAlign w:val="center"/>
          </w:tcPr>
          <w:p>
            <w:pPr>
              <w:spacing w:line="360" w:lineRule="auto"/>
              <w:jc w:val="center"/>
            </w:pPr>
          </w:p>
        </w:tc>
        <w:tc>
          <w:tcPr>
            <w:tcW w:w="1843" w:type="dxa"/>
            <w:noWrap/>
            <w:vAlign w:val="center"/>
          </w:tcPr>
          <w:p>
            <w:pPr>
              <w:spacing w:line="360" w:lineRule="auto"/>
              <w:jc w:val="center"/>
            </w:pP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pPr>
              <w:spacing w:line="360" w:lineRule="auto"/>
              <w:jc w:val="center"/>
            </w:pPr>
          </w:p>
        </w:tc>
        <w:tc>
          <w:tcPr>
            <w:tcW w:w="1035" w:type="dxa"/>
            <w:noWrap/>
            <w:vAlign w:val="center"/>
          </w:tcPr>
          <w:p>
            <w:pPr>
              <w:spacing w:line="360" w:lineRule="auto"/>
              <w:jc w:val="center"/>
            </w:pPr>
          </w:p>
        </w:tc>
        <w:tc>
          <w:tcPr>
            <w:tcW w:w="1134" w:type="dxa"/>
            <w:noWrap/>
            <w:vAlign w:val="center"/>
          </w:tcPr>
          <w:p>
            <w:pPr>
              <w:spacing w:line="360" w:lineRule="auto"/>
              <w:jc w:val="center"/>
            </w:pPr>
          </w:p>
        </w:tc>
        <w:tc>
          <w:tcPr>
            <w:tcW w:w="1275" w:type="dxa"/>
            <w:noWrap/>
            <w:vAlign w:val="center"/>
          </w:tcPr>
          <w:p>
            <w:pPr>
              <w:spacing w:line="360" w:lineRule="auto"/>
              <w:jc w:val="center"/>
            </w:pPr>
          </w:p>
        </w:tc>
        <w:tc>
          <w:tcPr>
            <w:tcW w:w="1843" w:type="dxa"/>
            <w:noWrap/>
            <w:vAlign w:val="center"/>
          </w:tcPr>
          <w:p>
            <w:pPr>
              <w:spacing w:line="360" w:lineRule="auto"/>
              <w:jc w:val="center"/>
            </w:pPr>
          </w:p>
        </w:tc>
        <w:tc>
          <w:tcPr>
            <w:tcW w:w="2198"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pPr>
              <w:spacing w:line="360" w:lineRule="auto"/>
              <w:jc w:val="center"/>
            </w:pPr>
          </w:p>
        </w:tc>
        <w:tc>
          <w:tcPr>
            <w:tcW w:w="1035" w:type="dxa"/>
            <w:noWrap/>
            <w:vAlign w:val="center"/>
          </w:tcPr>
          <w:p>
            <w:pPr>
              <w:spacing w:line="360" w:lineRule="auto"/>
              <w:jc w:val="center"/>
            </w:pPr>
          </w:p>
        </w:tc>
        <w:tc>
          <w:tcPr>
            <w:tcW w:w="1134" w:type="dxa"/>
            <w:noWrap/>
            <w:vAlign w:val="center"/>
          </w:tcPr>
          <w:p>
            <w:pPr>
              <w:spacing w:line="360" w:lineRule="auto"/>
              <w:jc w:val="center"/>
            </w:pPr>
          </w:p>
        </w:tc>
        <w:tc>
          <w:tcPr>
            <w:tcW w:w="1275" w:type="dxa"/>
            <w:noWrap/>
            <w:vAlign w:val="center"/>
          </w:tcPr>
          <w:p>
            <w:pPr>
              <w:spacing w:line="360" w:lineRule="auto"/>
              <w:jc w:val="center"/>
            </w:pPr>
          </w:p>
        </w:tc>
        <w:tc>
          <w:tcPr>
            <w:tcW w:w="1843" w:type="dxa"/>
            <w:noWrap/>
            <w:vAlign w:val="center"/>
          </w:tcPr>
          <w:p>
            <w:pPr>
              <w:spacing w:line="360" w:lineRule="auto"/>
              <w:jc w:val="center"/>
            </w:pPr>
          </w:p>
        </w:tc>
        <w:tc>
          <w:tcPr>
            <w:tcW w:w="2198" w:type="dxa"/>
            <w:noWrap/>
            <w:vAlign w:val="center"/>
          </w:tcPr>
          <w:p>
            <w:pPr>
              <w:spacing w:line="360" w:lineRule="auto"/>
              <w:jc w:val="center"/>
            </w:pPr>
          </w:p>
        </w:tc>
      </w:tr>
    </w:tbl>
    <w:p>
      <w:pPr>
        <w:spacing w:line="360" w:lineRule="auto"/>
      </w:pPr>
    </w:p>
    <w:p>
      <w:pPr>
        <w:spacing w:line="360" w:lineRule="auto"/>
      </w:pPr>
      <w:r>
        <w:br w:type="page"/>
      </w:r>
      <w:r>
        <w:rPr>
          <w:rFonts w:hint="eastAsia"/>
          <w:b/>
          <w:bCs/>
        </w:rPr>
        <w:t>附1-1：承诺书</w:t>
      </w:r>
    </w:p>
    <w:p>
      <w:pPr>
        <w:spacing w:beforeLines="100" w:afterLines="100" w:line="360" w:lineRule="auto"/>
        <w:jc w:val="center"/>
        <w:rPr>
          <w:b/>
          <w:bCs/>
          <w:sz w:val="28"/>
          <w:szCs w:val="28"/>
        </w:rPr>
      </w:pPr>
      <w:bookmarkStart w:id="710" w:name="_Toc7463_WPSOffice_Level1"/>
      <w:bookmarkStart w:id="711" w:name="_Toc3519_WPSOffice_Level1"/>
      <w:bookmarkStart w:id="712" w:name="_Toc25779_WPSOffice_Level1"/>
      <w:r>
        <w:rPr>
          <w:rFonts w:hint="eastAsia"/>
          <w:b/>
          <w:bCs/>
          <w:sz w:val="28"/>
          <w:szCs w:val="28"/>
        </w:rPr>
        <w:t>承诺书</w:t>
      </w:r>
      <w:bookmarkEnd w:id="710"/>
      <w:bookmarkEnd w:id="711"/>
      <w:bookmarkEnd w:id="712"/>
    </w:p>
    <w:p>
      <w:pPr>
        <w:spacing w:afterLines="100" w:line="360" w:lineRule="auto"/>
        <w:ind w:firstLine="210" w:firstLineChars="100"/>
      </w:pPr>
      <w:r>
        <w:rPr>
          <w:rFonts w:hint="eastAsia"/>
          <w:u w:val="single"/>
        </w:rPr>
        <w:t>（采购人名称）</w:t>
      </w:r>
      <w:r>
        <w:rPr>
          <w:rFonts w:hint="eastAsia"/>
        </w:rPr>
        <w:t>:</w:t>
      </w:r>
    </w:p>
    <w:p>
      <w:pPr>
        <w:spacing w:line="360" w:lineRule="auto"/>
        <w:ind w:firstLine="420" w:firstLineChars="200"/>
      </w:pPr>
      <w:r>
        <w:rPr>
          <w:rFonts w:hint="eastAsia"/>
        </w:rPr>
        <w:t>我方在此声明，我方拟派往（项目名称）标段（以下简称“本工程”）的项目经理（项目经理姓名）现阶段没有担任任何在施建设工程项目的项目经理。</w:t>
      </w:r>
    </w:p>
    <w:p>
      <w:pPr>
        <w:spacing w:line="360" w:lineRule="auto"/>
        <w:ind w:firstLine="420" w:firstLineChars="200"/>
      </w:pPr>
      <w:r>
        <w:rPr>
          <w:rFonts w:hint="eastAsia"/>
        </w:rPr>
        <w:t>我方保证上述信息的真实和准确，并愿意承担因我方就此弄虚作假所引起的一切法律后果。</w:t>
      </w:r>
    </w:p>
    <w:p>
      <w:pPr>
        <w:spacing w:line="360" w:lineRule="auto"/>
        <w:ind w:firstLine="420" w:firstLineChars="200"/>
      </w:pPr>
    </w:p>
    <w:p>
      <w:pPr>
        <w:spacing w:line="360" w:lineRule="auto"/>
        <w:ind w:firstLine="420" w:firstLineChars="200"/>
      </w:pPr>
    </w:p>
    <w:p>
      <w:pPr>
        <w:spacing w:line="360" w:lineRule="auto"/>
        <w:ind w:firstLine="420" w:firstLineChars="200"/>
      </w:pPr>
      <w:r>
        <w:rPr>
          <w:rFonts w:hint="eastAsia"/>
        </w:rPr>
        <w:t>特此承诺</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right="420"/>
        <w:jc w:val="right"/>
      </w:pPr>
      <w:r>
        <w:rPr>
          <w:rFonts w:hint="eastAsia"/>
        </w:rPr>
        <w:t>响应人：（电子签章）</w:t>
      </w:r>
    </w:p>
    <w:p>
      <w:pPr>
        <w:spacing w:line="360" w:lineRule="auto"/>
        <w:jc w:val="right"/>
      </w:pPr>
      <w:r>
        <w:rPr>
          <w:rFonts w:hint="eastAsia"/>
        </w:rPr>
        <w:t>法定代表人或其委托代理人：（电子签名）</w:t>
      </w:r>
    </w:p>
    <w:p>
      <w:pPr>
        <w:spacing w:line="360" w:lineRule="auto"/>
        <w:jc w:val="right"/>
      </w:pPr>
    </w:p>
    <w:p>
      <w:pPr>
        <w:spacing w:line="360" w:lineRule="auto"/>
        <w:jc w:val="right"/>
        <w:rPr>
          <w:rFonts w:cs="Times New Roman"/>
          <w:sz w:val="24"/>
          <w:szCs w:val="24"/>
          <w:lang w:val="zh-CN"/>
        </w:rPr>
      </w:pPr>
      <w:r>
        <w:rPr>
          <w:rFonts w:hint="eastAsia"/>
        </w:rPr>
        <w:t>日期：  年 月 日</w:t>
      </w: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before="84"/>
        <w:ind w:left="3892" w:right="0" w:firstLine="0"/>
        <w:jc w:val="left"/>
        <w:rPr>
          <w:b/>
          <w:sz w:val="24"/>
        </w:rPr>
      </w:pPr>
      <w:r>
        <w:rPr>
          <w:b/>
          <w:sz w:val="24"/>
        </w:rPr>
        <w:t>信用承诺书</w:t>
      </w:r>
    </w:p>
    <w:p>
      <w:pPr>
        <w:pStyle w:val="2"/>
        <w:spacing w:before="7"/>
        <w:ind w:left="0"/>
        <w:rPr>
          <w:b/>
          <w:sz w:val="10"/>
        </w:rPr>
      </w:pPr>
    </w:p>
    <w:p>
      <w:pPr>
        <w:spacing w:before="66"/>
        <w:ind w:left="3618" w:right="0" w:firstLine="0"/>
        <w:jc w:val="left"/>
        <w:rPr>
          <w:b/>
          <w:sz w:val="24"/>
        </w:rPr>
      </w:pPr>
      <w:r>
        <w:rPr>
          <w:b/>
          <w:sz w:val="24"/>
        </w:rPr>
        <w:t>（投标单位范本）</w:t>
      </w:r>
    </w:p>
    <w:p>
      <w:pPr>
        <w:pStyle w:val="2"/>
        <w:spacing w:before="161" w:line="312" w:lineRule="auto"/>
        <w:ind w:right="237" w:firstLine="566"/>
      </w:pPr>
      <w:r>
        <w:t>为营造公开、公平、公正、诚实守信的公共资源交易环境，树立诚信守法的供应商形象，本人代表本单位作出以下承诺：</w:t>
      </w:r>
    </w:p>
    <w:p>
      <w:pPr>
        <w:pStyle w:val="2"/>
        <w:spacing w:before="2" w:line="312" w:lineRule="auto"/>
        <w:ind w:right="117" w:firstLine="566"/>
      </w:pPr>
      <w:r>
        <w:t>（一）本单位对所提交的企（事）业单位基本信息、企（事）业负责人、项目</w:t>
      </w:r>
      <w:r>
        <w:rPr>
          <w:spacing w:val="-15"/>
        </w:rPr>
        <w:t>负责人、技术负责人、从业资质和资格、业绩、财务状况、信誉等所有资料，均合法、</w:t>
      </w:r>
      <w:r>
        <w:t>真实、准确、有效，无任何伪造、修改、虚假成份，并对所提供资料的真实性负责。</w:t>
      </w:r>
    </w:p>
    <w:p>
      <w:pPr>
        <w:pStyle w:val="2"/>
        <w:spacing w:before="2" w:line="312" w:lineRule="auto"/>
        <w:ind w:right="117" w:firstLine="566"/>
      </w:pPr>
      <w:r>
        <w:t>（二）严格依照国家和河南省关于招标投标的法律、法规、规章、规范性文件， 参加公共资源招标投标活动，不挂靠、借用、出租、出借、转让资质，积极履行社会责任，促进廉政建设。</w:t>
      </w:r>
    </w:p>
    <w:p>
      <w:pPr>
        <w:pStyle w:val="2"/>
        <w:spacing w:before="2" w:line="312" w:lineRule="auto"/>
        <w:ind w:right="117" w:firstLine="566"/>
      </w:pPr>
      <w:r>
        <w:t>（三）自我约束、自我管理，守合同、重信用，不参与围标串标、弄虚作假、骗取中标、干扰评标、胁迫他人投标（放弃中标）、恶意投诉、违约毁约等行为，自觉维护公共资源招标投标的良好秩序。</w:t>
      </w:r>
    </w:p>
    <w:p>
      <w:pPr>
        <w:pStyle w:val="2"/>
        <w:spacing w:before="2" w:line="312" w:lineRule="auto"/>
        <w:ind w:right="117" w:firstLine="566"/>
      </w:pPr>
      <w:r>
        <w:t>（四）本单位及项目经办人员信用状况良好，未被列为失信惩戒对象或“老赖”，符合参与公共资源交易活动的相关要求。</w:t>
      </w:r>
    </w:p>
    <w:p>
      <w:pPr>
        <w:pStyle w:val="2"/>
        <w:spacing w:before="2" w:line="312" w:lineRule="auto"/>
        <w:ind w:right="117" w:firstLine="566"/>
      </w:pPr>
      <w:r>
        <w:t>（五）本单位不存在被人力资源和社会保障部门列入拖欠农民工工资“黑名单” 或因拖欠农民工工资被县级及以上有关行政主管部门限制投标资格之情形，若中标， 本单位将自觉落实农民工工资保障的有关措施，及时缴纳缴纳农民工工资保证金，切实维护农民工权益。</w:t>
      </w:r>
    </w:p>
    <w:p>
      <w:pPr>
        <w:pStyle w:val="2"/>
        <w:spacing w:before="2" w:line="312" w:lineRule="auto"/>
        <w:ind w:right="117" w:firstLine="566"/>
      </w:pPr>
      <w:r>
        <w:t>（六）若中标，本单位将在规定的时间内与招标人签订合同并自觉履行合同义务，不转包或违法分包中标项目。</w:t>
      </w:r>
    </w:p>
    <w:p>
      <w:pPr>
        <w:pStyle w:val="2"/>
        <w:spacing w:before="2" w:line="312" w:lineRule="auto"/>
        <w:ind w:right="117" w:firstLine="566"/>
      </w:pPr>
      <w:r>
        <w:t>（七）自觉接受政府、行业组织、社会公众、新闻舆论的监督。</w:t>
      </w:r>
    </w:p>
    <w:p>
      <w:pPr>
        <w:pStyle w:val="2"/>
        <w:spacing w:before="2" w:line="312" w:lineRule="auto"/>
        <w:ind w:right="117" w:firstLine="566"/>
      </w:pPr>
      <w:r>
        <w:t>（八）本单位自愿接受招标投标综合监督管理机构和有关行政监督部门依法开展的监督检查，积极配合行政监督部门的投诉处理；本单位及项目经办人员如发生违法违规或不良行为，自愿接受招标投标综合监督管理机构和有关行政监督部门依法给予的行政处罚（处理），依法承担赔偿责任和刑事责任，并同意按照相关规定记入本单位及项目经办人员诚信档案或不良行为（信用）记录。</w:t>
      </w:r>
    </w:p>
    <w:p>
      <w:pPr>
        <w:pStyle w:val="2"/>
        <w:spacing w:before="2" w:line="312" w:lineRule="auto"/>
        <w:ind w:right="117" w:firstLine="566"/>
      </w:pPr>
      <w:r>
        <w:t>（九）本人已认真阅读了上述承诺，并向本单位员工作了宣传教育。</w:t>
      </w:r>
    </w:p>
    <w:p>
      <w:pPr>
        <w:pStyle w:val="2"/>
        <w:spacing w:before="2" w:line="312" w:lineRule="auto"/>
        <w:ind w:right="117" w:firstLine="566"/>
      </w:pPr>
    </w:p>
    <w:p>
      <w:pPr>
        <w:pStyle w:val="2"/>
        <w:spacing w:before="11"/>
        <w:ind w:left="0"/>
        <w:rPr>
          <w:sz w:val="19"/>
        </w:rPr>
      </w:pPr>
    </w:p>
    <w:p>
      <w:pPr>
        <w:pStyle w:val="2"/>
        <w:spacing w:before="93" w:line="312" w:lineRule="auto"/>
        <w:ind w:right="237" w:firstLine="566"/>
        <w:jc w:val="both"/>
        <w:rPr>
          <w:spacing w:val="-10"/>
        </w:rPr>
      </w:pPr>
      <w:r>
        <w:rPr>
          <w:spacing w:val="-10"/>
        </w:rPr>
        <w:t>供应商（全称）：（电子签章）</w:t>
      </w:r>
    </w:p>
    <w:p>
      <w:pPr>
        <w:pStyle w:val="2"/>
        <w:spacing w:before="93" w:line="312" w:lineRule="auto"/>
        <w:ind w:right="237" w:firstLine="566"/>
        <w:jc w:val="both"/>
        <w:rPr>
          <w:spacing w:val="-10"/>
        </w:rPr>
      </w:pPr>
      <w:r>
        <w:rPr>
          <w:spacing w:val="-10"/>
        </w:rPr>
        <w:t>法定代表人（负责人）或其授权代表（电子签章/签名）：</w:t>
      </w:r>
    </w:p>
    <w:p>
      <w:pPr>
        <w:pStyle w:val="2"/>
        <w:spacing w:before="93" w:line="312" w:lineRule="auto"/>
        <w:ind w:right="237" w:firstLine="566"/>
        <w:jc w:val="both"/>
        <w:rPr>
          <w:spacing w:val="-10"/>
        </w:rPr>
      </w:pPr>
      <w:r>
        <w:rPr>
          <w:spacing w:val="-10"/>
        </w:rPr>
        <w:t>日期：</w:t>
      </w:r>
    </w:p>
    <w:p>
      <w:pPr>
        <w:spacing w:line="360" w:lineRule="auto"/>
        <w:rPr>
          <w:rFonts w:hint="eastAsia"/>
          <w:b/>
          <w:bCs/>
        </w:rPr>
      </w:pPr>
    </w:p>
    <w:p>
      <w:pPr>
        <w:spacing w:line="360" w:lineRule="auto"/>
        <w:rPr>
          <w:rFonts w:hint="eastAsia"/>
          <w:b/>
          <w:bCs/>
        </w:rPr>
      </w:pPr>
    </w:p>
    <w:p>
      <w:pPr>
        <w:spacing w:line="360" w:lineRule="auto"/>
      </w:pPr>
      <w:r>
        <w:rPr>
          <w:rFonts w:hint="eastAsia"/>
          <w:b/>
          <w:bCs/>
        </w:rPr>
        <w:t>附2：主要项目管理人员简历表</w:t>
      </w:r>
      <w:bookmarkStart w:id="713" w:name="_Toc26247"/>
    </w:p>
    <w:p>
      <w:pPr>
        <w:pStyle w:val="37"/>
        <w:rPr>
          <w:lang w:val="en-US"/>
        </w:rPr>
      </w:pPr>
    </w:p>
    <w:p>
      <w:pPr>
        <w:spacing w:line="360" w:lineRule="auto"/>
        <w:ind w:firstLine="420" w:firstLineChars="200"/>
      </w:pPr>
      <w:r>
        <w:rPr>
          <w:rFonts w:hint="eastAsia"/>
        </w:rPr>
        <w:t>项目负责人应附身份证、劳动合同、</w:t>
      </w:r>
      <w:r>
        <w:rPr>
          <w:rFonts w:hint="eastAsia"/>
          <w:kern w:val="0"/>
        </w:rPr>
        <w:t>养老保险</w:t>
      </w:r>
      <w:r>
        <w:rPr>
          <w:rFonts w:hint="eastAsia"/>
        </w:rPr>
        <w:t>、管理过的项目业绩须附证明其所任技术职务的企业文件或用户证明；专职安全员，应附身份证、安全生产考核合格证、劳动合同、</w:t>
      </w:r>
      <w:r>
        <w:rPr>
          <w:rFonts w:hint="eastAsia"/>
          <w:kern w:val="0"/>
        </w:rPr>
        <w:t>养老保险</w:t>
      </w:r>
      <w:r>
        <w:rPr>
          <w:rFonts w:hint="eastAsia"/>
        </w:rPr>
        <w:t>交纳证明等相关证明；其他主要人员应附身份证、职称证（执业证或上岗证书）。</w:t>
      </w:r>
    </w:p>
    <w:p>
      <w:pPr>
        <w:spacing w:line="360" w:lineRule="auto"/>
      </w:pPr>
    </w:p>
    <w:tbl>
      <w:tblPr>
        <w:tblStyle w:val="23"/>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035"/>
        <w:gridCol w:w="1133"/>
        <w:gridCol w:w="1274"/>
        <w:gridCol w:w="1842"/>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91" w:type="dxa"/>
            <w:noWrap/>
            <w:vAlign w:val="center"/>
          </w:tcPr>
          <w:p>
            <w:pPr>
              <w:spacing w:line="360" w:lineRule="auto"/>
              <w:jc w:val="center"/>
            </w:pPr>
            <w:r>
              <w:rPr>
                <w:rFonts w:hint="eastAsia"/>
              </w:rPr>
              <w:t>姓  名</w:t>
            </w:r>
          </w:p>
        </w:tc>
        <w:tc>
          <w:tcPr>
            <w:tcW w:w="1035" w:type="dxa"/>
            <w:noWrap/>
            <w:vAlign w:val="center"/>
          </w:tcPr>
          <w:p>
            <w:pPr>
              <w:spacing w:line="360" w:lineRule="auto"/>
              <w:jc w:val="center"/>
            </w:pPr>
          </w:p>
        </w:tc>
        <w:tc>
          <w:tcPr>
            <w:tcW w:w="1133" w:type="dxa"/>
            <w:noWrap/>
            <w:vAlign w:val="center"/>
          </w:tcPr>
          <w:p>
            <w:pPr>
              <w:spacing w:line="360" w:lineRule="auto"/>
              <w:jc w:val="center"/>
            </w:pPr>
            <w:r>
              <w:rPr>
                <w:rFonts w:hint="eastAsia"/>
              </w:rPr>
              <w:t>年  龄</w:t>
            </w:r>
          </w:p>
        </w:tc>
        <w:tc>
          <w:tcPr>
            <w:tcW w:w="1274" w:type="dxa"/>
            <w:noWrap/>
            <w:vAlign w:val="center"/>
          </w:tcPr>
          <w:p>
            <w:pPr>
              <w:spacing w:line="360" w:lineRule="auto"/>
              <w:jc w:val="center"/>
            </w:pPr>
          </w:p>
        </w:tc>
        <w:tc>
          <w:tcPr>
            <w:tcW w:w="1842" w:type="dxa"/>
            <w:noWrap/>
            <w:vAlign w:val="center"/>
          </w:tcPr>
          <w:p>
            <w:pPr>
              <w:spacing w:line="360" w:lineRule="auto"/>
              <w:jc w:val="center"/>
            </w:pPr>
            <w:r>
              <w:rPr>
                <w:rFonts w:hint="eastAsia"/>
              </w:rPr>
              <w:t>学历</w:t>
            </w:r>
          </w:p>
        </w:tc>
        <w:tc>
          <w:tcPr>
            <w:tcW w:w="2125"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91" w:type="dxa"/>
            <w:noWrap/>
            <w:vAlign w:val="center"/>
          </w:tcPr>
          <w:p>
            <w:pPr>
              <w:spacing w:line="360" w:lineRule="auto"/>
              <w:jc w:val="center"/>
            </w:pPr>
            <w:r>
              <w:rPr>
                <w:rFonts w:hint="eastAsia"/>
              </w:rPr>
              <w:t>职  称</w:t>
            </w:r>
          </w:p>
        </w:tc>
        <w:tc>
          <w:tcPr>
            <w:tcW w:w="1035" w:type="dxa"/>
            <w:noWrap/>
            <w:vAlign w:val="center"/>
          </w:tcPr>
          <w:p>
            <w:pPr>
              <w:spacing w:line="360" w:lineRule="auto"/>
              <w:jc w:val="center"/>
            </w:pPr>
          </w:p>
        </w:tc>
        <w:tc>
          <w:tcPr>
            <w:tcW w:w="1133" w:type="dxa"/>
            <w:noWrap/>
            <w:vAlign w:val="center"/>
          </w:tcPr>
          <w:p>
            <w:pPr>
              <w:spacing w:line="360" w:lineRule="auto"/>
              <w:jc w:val="center"/>
            </w:pPr>
            <w:r>
              <w:rPr>
                <w:rFonts w:hint="eastAsia"/>
              </w:rPr>
              <w:t>职  务</w:t>
            </w:r>
          </w:p>
        </w:tc>
        <w:tc>
          <w:tcPr>
            <w:tcW w:w="1274" w:type="dxa"/>
            <w:noWrap/>
            <w:vAlign w:val="center"/>
          </w:tcPr>
          <w:p>
            <w:pPr>
              <w:spacing w:line="360" w:lineRule="auto"/>
              <w:jc w:val="center"/>
            </w:pPr>
          </w:p>
        </w:tc>
        <w:tc>
          <w:tcPr>
            <w:tcW w:w="1842" w:type="dxa"/>
            <w:noWrap/>
            <w:vAlign w:val="center"/>
          </w:tcPr>
          <w:p>
            <w:pPr>
              <w:spacing w:line="360" w:lineRule="auto"/>
              <w:jc w:val="center"/>
            </w:pPr>
            <w:r>
              <w:rPr>
                <w:rFonts w:hint="eastAsia"/>
              </w:rPr>
              <w:t>拟在本工程任职</w:t>
            </w:r>
          </w:p>
        </w:tc>
        <w:tc>
          <w:tcPr>
            <w:tcW w:w="2125"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91" w:type="dxa"/>
            <w:noWrap/>
            <w:vAlign w:val="center"/>
          </w:tcPr>
          <w:p>
            <w:pPr>
              <w:spacing w:line="360" w:lineRule="auto"/>
              <w:jc w:val="center"/>
            </w:pPr>
            <w:r>
              <w:rPr>
                <w:rFonts w:hint="eastAsia"/>
              </w:rPr>
              <w:t>毕业学校</w:t>
            </w:r>
          </w:p>
        </w:tc>
        <w:tc>
          <w:tcPr>
            <w:tcW w:w="7409" w:type="dxa"/>
            <w:gridSpan w:val="5"/>
            <w:noWrap/>
            <w:vAlign w:val="center"/>
          </w:tcPr>
          <w:p>
            <w:pPr>
              <w:spacing w:line="360" w:lineRule="auto"/>
              <w:ind w:firstLine="840" w:firstLineChars="400"/>
            </w:pPr>
            <w:r>
              <w:rPr>
                <w:rFonts w:hint="eastAsia"/>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500" w:type="dxa"/>
            <w:gridSpan w:val="6"/>
            <w:noWrap/>
            <w:vAlign w:val="center"/>
          </w:tcPr>
          <w:p>
            <w:pPr>
              <w:spacing w:line="360" w:lineRule="auto"/>
              <w:jc w:val="center"/>
            </w:pPr>
            <w:r>
              <w:rPr>
                <w:rFonts w:hint="eastAsia"/>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91" w:type="dxa"/>
            <w:noWrap/>
            <w:vAlign w:val="center"/>
          </w:tcPr>
          <w:p>
            <w:pPr>
              <w:spacing w:line="360" w:lineRule="auto"/>
              <w:jc w:val="center"/>
            </w:pPr>
            <w:r>
              <w:rPr>
                <w:rFonts w:hint="eastAsia"/>
              </w:rPr>
              <w:t>时  间</w:t>
            </w:r>
          </w:p>
        </w:tc>
        <w:tc>
          <w:tcPr>
            <w:tcW w:w="3442" w:type="dxa"/>
            <w:gridSpan w:val="3"/>
            <w:noWrap/>
            <w:vAlign w:val="center"/>
          </w:tcPr>
          <w:p>
            <w:pPr>
              <w:spacing w:line="360" w:lineRule="auto"/>
              <w:jc w:val="center"/>
            </w:pPr>
            <w:r>
              <w:rPr>
                <w:rFonts w:hint="eastAsia"/>
              </w:rPr>
              <w:t>参加过的类似项目名称</w:t>
            </w:r>
          </w:p>
        </w:tc>
        <w:tc>
          <w:tcPr>
            <w:tcW w:w="1842" w:type="dxa"/>
            <w:noWrap/>
            <w:vAlign w:val="center"/>
          </w:tcPr>
          <w:p>
            <w:pPr>
              <w:spacing w:line="360" w:lineRule="auto"/>
              <w:jc w:val="center"/>
            </w:pPr>
            <w:r>
              <w:rPr>
                <w:rFonts w:hint="eastAsia"/>
              </w:rPr>
              <w:t>担任职务</w:t>
            </w:r>
          </w:p>
        </w:tc>
        <w:tc>
          <w:tcPr>
            <w:tcW w:w="2125" w:type="dxa"/>
            <w:noWrap/>
            <w:vAlign w:val="center"/>
          </w:tcPr>
          <w:p>
            <w:pPr>
              <w:spacing w:line="360" w:lineRule="auto"/>
              <w:jc w:val="center"/>
            </w:pPr>
            <w:r>
              <w:rPr>
                <w:rFonts w:hint="eastAsia"/>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pPr>
              <w:spacing w:line="360" w:lineRule="auto"/>
              <w:jc w:val="center"/>
            </w:pPr>
          </w:p>
        </w:tc>
        <w:tc>
          <w:tcPr>
            <w:tcW w:w="3442" w:type="dxa"/>
            <w:gridSpan w:val="3"/>
            <w:noWrap/>
            <w:vAlign w:val="center"/>
          </w:tcPr>
          <w:p>
            <w:pPr>
              <w:spacing w:line="360" w:lineRule="auto"/>
              <w:jc w:val="center"/>
            </w:pPr>
          </w:p>
        </w:tc>
        <w:tc>
          <w:tcPr>
            <w:tcW w:w="1842" w:type="dxa"/>
            <w:noWrap/>
            <w:vAlign w:val="center"/>
          </w:tcPr>
          <w:p>
            <w:pPr>
              <w:spacing w:line="360" w:lineRule="auto"/>
              <w:jc w:val="center"/>
            </w:pPr>
          </w:p>
        </w:tc>
        <w:tc>
          <w:tcPr>
            <w:tcW w:w="2125"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pPr>
              <w:spacing w:line="360" w:lineRule="auto"/>
              <w:jc w:val="center"/>
            </w:pPr>
          </w:p>
        </w:tc>
        <w:tc>
          <w:tcPr>
            <w:tcW w:w="3442" w:type="dxa"/>
            <w:gridSpan w:val="3"/>
            <w:noWrap/>
            <w:vAlign w:val="center"/>
          </w:tcPr>
          <w:p>
            <w:pPr>
              <w:spacing w:line="360" w:lineRule="auto"/>
              <w:jc w:val="center"/>
            </w:pPr>
          </w:p>
        </w:tc>
        <w:tc>
          <w:tcPr>
            <w:tcW w:w="1842" w:type="dxa"/>
            <w:noWrap/>
            <w:vAlign w:val="center"/>
          </w:tcPr>
          <w:p>
            <w:pPr>
              <w:spacing w:line="360" w:lineRule="auto"/>
              <w:jc w:val="center"/>
            </w:pPr>
          </w:p>
        </w:tc>
        <w:tc>
          <w:tcPr>
            <w:tcW w:w="2125"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pPr>
              <w:spacing w:line="360" w:lineRule="auto"/>
              <w:jc w:val="center"/>
            </w:pPr>
          </w:p>
        </w:tc>
        <w:tc>
          <w:tcPr>
            <w:tcW w:w="3442" w:type="dxa"/>
            <w:gridSpan w:val="3"/>
            <w:noWrap/>
            <w:vAlign w:val="center"/>
          </w:tcPr>
          <w:p>
            <w:pPr>
              <w:spacing w:line="360" w:lineRule="auto"/>
              <w:jc w:val="center"/>
            </w:pPr>
          </w:p>
        </w:tc>
        <w:tc>
          <w:tcPr>
            <w:tcW w:w="1842" w:type="dxa"/>
            <w:noWrap/>
            <w:vAlign w:val="center"/>
          </w:tcPr>
          <w:p>
            <w:pPr>
              <w:spacing w:line="360" w:lineRule="auto"/>
              <w:jc w:val="center"/>
            </w:pPr>
          </w:p>
        </w:tc>
        <w:tc>
          <w:tcPr>
            <w:tcW w:w="2125"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pPr>
              <w:spacing w:line="360" w:lineRule="auto"/>
              <w:jc w:val="center"/>
            </w:pPr>
          </w:p>
        </w:tc>
        <w:tc>
          <w:tcPr>
            <w:tcW w:w="3442" w:type="dxa"/>
            <w:gridSpan w:val="3"/>
            <w:noWrap/>
            <w:vAlign w:val="center"/>
          </w:tcPr>
          <w:p>
            <w:pPr>
              <w:spacing w:line="360" w:lineRule="auto"/>
              <w:jc w:val="center"/>
            </w:pPr>
          </w:p>
        </w:tc>
        <w:tc>
          <w:tcPr>
            <w:tcW w:w="1842" w:type="dxa"/>
            <w:noWrap/>
            <w:vAlign w:val="center"/>
          </w:tcPr>
          <w:p>
            <w:pPr>
              <w:spacing w:line="360" w:lineRule="auto"/>
              <w:jc w:val="center"/>
            </w:pPr>
          </w:p>
        </w:tc>
        <w:tc>
          <w:tcPr>
            <w:tcW w:w="2125"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pPr>
              <w:spacing w:line="360" w:lineRule="auto"/>
              <w:jc w:val="center"/>
            </w:pPr>
          </w:p>
        </w:tc>
        <w:tc>
          <w:tcPr>
            <w:tcW w:w="3442" w:type="dxa"/>
            <w:gridSpan w:val="3"/>
            <w:noWrap/>
            <w:vAlign w:val="center"/>
          </w:tcPr>
          <w:p>
            <w:pPr>
              <w:spacing w:line="360" w:lineRule="auto"/>
              <w:jc w:val="center"/>
            </w:pPr>
          </w:p>
        </w:tc>
        <w:tc>
          <w:tcPr>
            <w:tcW w:w="1842" w:type="dxa"/>
            <w:noWrap/>
            <w:vAlign w:val="center"/>
          </w:tcPr>
          <w:p>
            <w:pPr>
              <w:spacing w:line="360" w:lineRule="auto"/>
              <w:jc w:val="center"/>
            </w:pPr>
          </w:p>
        </w:tc>
        <w:tc>
          <w:tcPr>
            <w:tcW w:w="2125"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pPr>
              <w:spacing w:line="360" w:lineRule="auto"/>
              <w:jc w:val="center"/>
            </w:pPr>
          </w:p>
        </w:tc>
        <w:tc>
          <w:tcPr>
            <w:tcW w:w="3442" w:type="dxa"/>
            <w:gridSpan w:val="3"/>
            <w:noWrap/>
            <w:vAlign w:val="center"/>
          </w:tcPr>
          <w:p>
            <w:pPr>
              <w:spacing w:line="360" w:lineRule="auto"/>
              <w:jc w:val="center"/>
            </w:pPr>
          </w:p>
        </w:tc>
        <w:tc>
          <w:tcPr>
            <w:tcW w:w="1842" w:type="dxa"/>
            <w:noWrap/>
            <w:vAlign w:val="center"/>
          </w:tcPr>
          <w:p>
            <w:pPr>
              <w:spacing w:line="360" w:lineRule="auto"/>
              <w:jc w:val="center"/>
            </w:pPr>
          </w:p>
        </w:tc>
        <w:tc>
          <w:tcPr>
            <w:tcW w:w="2125"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pPr>
              <w:spacing w:line="360" w:lineRule="auto"/>
              <w:jc w:val="center"/>
            </w:pPr>
          </w:p>
        </w:tc>
        <w:tc>
          <w:tcPr>
            <w:tcW w:w="3442" w:type="dxa"/>
            <w:gridSpan w:val="3"/>
            <w:noWrap/>
            <w:vAlign w:val="center"/>
          </w:tcPr>
          <w:p>
            <w:pPr>
              <w:spacing w:line="360" w:lineRule="auto"/>
              <w:jc w:val="center"/>
            </w:pPr>
          </w:p>
        </w:tc>
        <w:tc>
          <w:tcPr>
            <w:tcW w:w="1842" w:type="dxa"/>
            <w:noWrap/>
            <w:vAlign w:val="center"/>
          </w:tcPr>
          <w:p>
            <w:pPr>
              <w:spacing w:line="360" w:lineRule="auto"/>
              <w:jc w:val="center"/>
            </w:pPr>
          </w:p>
        </w:tc>
        <w:tc>
          <w:tcPr>
            <w:tcW w:w="2125"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pPr>
              <w:spacing w:line="360" w:lineRule="auto"/>
              <w:jc w:val="center"/>
            </w:pPr>
          </w:p>
        </w:tc>
        <w:tc>
          <w:tcPr>
            <w:tcW w:w="3442" w:type="dxa"/>
            <w:gridSpan w:val="3"/>
            <w:noWrap/>
            <w:vAlign w:val="center"/>
          </w:tcPr>
          <w:p>
            <w:pPr>
              <w:spacing w:line="360" w:lineRule="auto"/>
              <w:jc w:val="center"/>
            </w:pPr>
          </w:p>
        </w:tc>
        <w:tc>
          <w:tcPr>
            <w:tcW w:w="1842" w:type="dxa"/>
            <w:noWrap/>
            <w:vAlign w:val="center"/>
          </w:tcPr>
          <w:p>
            <w:pPr>
              <w:spacing w:line="360" w:lineRule="auto"/>
              <w:jc w:val="center"/>
            </w:pPr>
          </w:p>
        </w:tc>
        <w:tc>
          <w:tcPr>
            <w:tcW w:w="2125" w:type="dxa"/>
            <w:noWrap/>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91" w:type="dxa"/>
            <w:noWrap/>
            <w:vAlign w:val="center"/>
          </w:tcPr>
          <w:p>
            <w:pPr>
              <w:spacing w:line="360" w:lineRule="auto"/>
              <w:jc w:val="center"/>
            </w:pPr>
          </w:p>
        </w:tc>
        <w:tc>
          <w:tcPr>
            <w:tcW w:w="3442" w:type="dxa"/>
            <w:gridSpan w:val="3"/>
            <w:noWrap/>
            <w:vAlign w:val="center"/>
          </w:tcPr>
          <w:p>
            <w:pPr>
              <w:spacing w:line="360" w:lineRule="auto"/>
              <w:jc w:val="center"/>
            </w:pPr>
          </w:p>
        </w:tc>
        <w:tc>
          <w:tcPr>
            <w:tcW w:w="1842" w:type="dxa"/>
            <w:noWrap/>
            <w:vAlign w:val="center"/>
          </w:tcPr>
          <w:p>
            <w:pPr>
              <w:spacing w:line="360" w:lineRule="auto"/>
              <w:jc w:val="center"/>
            </w:pPr>
          </w:p>
        </w:tc>
        <w:tc>
          <w:tcPr>
            <w:tcW w:w="2125" w:type="dxa"/>
            <w:noWrap/>
            <w:vAlign w:val="center"/>
          </w:tcPr>
          <w:p>
            <w:pPr>
              <w:spacing w:line="360" w:lineRule="auto"/>
              <w:jc w:val="center"/>
            </w:pPr>
          </w:p>
        </w:tc>
      </w:tr>
    </w:tbl>
    <w:p>
      <w:pPr>
        <w:spacing w:line="360" w:lineRule="auto"/>
        <w:rPr>
          <w:rFonts w:cs="Times New Roman"/>
          <w:sz w:val="24"/>
          <w:szCs w:val="24"/>
          <w:lang w:val="zh-CN"/>
        </w:rPr>
      </w:pPr>
    </w:p>
    <w:bookmarkEnd w:id="713"/>
    <w:p>
      <w:pPr>
        <w:pStyle w:val="7"/>
        <w:spacing w:line="360" w:lineRule="auto"/>
        <w:ind w:left="0" w:leftChars="0" w:firstLine="0" w:firstLineChars="0"/>
        <w:rPr>
          <w:rFonts w:ascii="宋体" w:hAnsi="宋体"/>
        </w:rPr>
      </w:pPr>
    </w:p>
    <w:p>
      <w:pPr>
        <w:pStyle w:val="7"/>
        <w:spacing w:line="360" w:lineRule="auto"/>
        <w:rPr>
          <w:rFonts w:ascii="宋体" w:hAnsi="宋体"/>
        </w:rPr>
      </w:pPr>
    </w:p>
    <w:p>
      <w:pPr>
        <w:pStyle w:val="5"/>
        <w:numPr>
          <w:ilvl w:val="0"/>
          <w:numId w:val="0"/>
        </w:numPr>
        <w:tabs>
          <w:tab w:val="left" w:pos="425"/>
        </w:tabs>
        <w:ind w:leftChars="0"/>
        <w:jc w:val="center"/>
        <w:rPr>
          <w:szCs w:val="24"/>
          <w:lang w:val="zh-CN"/>
        </w:rPr>
      </w:pPr>
      <w:bookmarkStart w:id="714" w:name="_Toc13447_WPSOffice_Level1"/>
      <w:bookmarkStart w:id="715" w:name="_Toc19513_WPSOffice_Level1"/>
      <w:bookmarkStart w:id="716" w:name="_Toc16999"/>
      <w:bookmarkStart w:id="717" w:name="_Toc7818_WPSOffice_Level1"/>
      <w:bookmarkStart w:id="718" w:name="_Toc355809725"/>
      <w:bookmarkStart w:id="719" w:name="_Toc20487"/>
      <w:bookmarkStart w:id="720" w:name="_Toc339972632"/>
      <w:bookmarkStart w:id="721" w:name="_Toc275795959"/>
      <w:bookmarkStart w:id="722" w:name="_Toc28100"/>
      <w:r>
        <w:rPr>
          <w:rFonts w:hint="eastAsia"/>
          <w:szCs w:val="24"/>
          <w:lang w:val="en-US" w:eastAsia="zh-CN"/>
        </w:rPr>
        <w:t>七、</w:t>
      </w:r>
      <w:r>
        <w:rPr>
          <w:rFonts w:hint="eastAsia"/>
          <w:szCs w:val="24"/>
          <w:lang w:val="zh-CN"/>
        </w:rPr>
        <w:t>服务承诺</w:t>
      </w:r>
      <w:bookmarkEnd w:id="714"/>
      <w:bookmarkEnd w:id="715"/>
      <w:bookmarkEnd w:id="716"/>
      <w:bookmarkEnd w:id="717"/>
    </w:p>
    <w:p>
      <w:pPr>
        <w:pStyle w:val="5"/>
        <w:numPr>
          <w:ilvl w:val="0"/>
          <w:numId w:val="28"/>
        </w:numPr>
        <w:tabs>
          <w:tab w:val="left" w:pos="840"/>
        </w:tabs>
        <w:rPr>
          <w:szCs w:val="24"/>
        </w:rPr>
      </w:pPr>
      <w:r>
        <w:rPr>
          <w:rFonts w:hint="eastAsia"/>
          <w:bCs w:val="0"/>
          <w:szCs w:val="24"/>
          <w:lang w:val="zh-CN"/>
        </w:rPr>
        <w:br w:type="page"/>
      </w:r>
      <w:bookmarkStart w:id="723" w:name="_Toc31795_WPSOffice_Level1"/>
      <w:bookmarkStart w:id="724" w:name="_Toc11065_WPSOffice_Level1"/>
      <w:bookmarkStart w:id="725" w:name="_Toc17966"/>
      <w:bookmarkStart w:id="726" w:name="_Toc12975_WPSOffice_Level1"/>
      <w:r>
        <w:rPr>
          <w:rFonts w:hint="eastAsia"/>
          <w:szCs w:val="24"/>
          <w:lang w:val="zh-CN"/>
        </w:rPr>
        <w:t>反商业贿赂承诺书</w:t>
      </w:r>
      <w:bookmarkEnd w:id="718"/>
      <w:bookmarkEnd w:id="719"/>
      <w:bookmarkEnd w:id="720"/>
      <w:bookmarkEnd w:id="721"/>
      <w:bookmarkEnd w:id="722"/>
      <w:bookmarkEnd w:id="723"/>
      <w:bookmarkEnd w:id="724"/>
      <w:bookmarkEnd w:id="725"/>
      <w:bookmarkEnd w:id="726"/>
    </w:p>
    <w:p>
      <w:pPr>
        <w:spacing w:line="360" w:lineRule="auto"/>
      </w:pPr>
      <w:r>
        <w:rPr>
          <w:rFonts w:hint="eastAsia"/>
        </w:rPr>
        <w:t>我公司承诺：</w:t>
      </w:r>
    </w:p>
    <w:p>
      <w:pPr>
        <w:spacing w:line="360" w:lineRule="auto"/>
        <w:ind w:firstLine="555"/>
      </w:pPr>
      <w:r>
        <w:rPr>
          <w:rFonts w:hint="eastAsia"/>
        </w:rPr>
        <w:t>在</w:t>
      </w:r>
      <w:r>
        <w:rPr>
          <w:rFonts w:hint="eastAsia"/>
          <w:u w:val="single"/>
        </w:rPr>
        <w:t xml:space="preserve">       （采购项目名称）</w:t>
      </w:r>
      <w:r>
        <w:rPr>
          <w:rFonts w:hint="eastAsia"/>
        </w:rPr>
        <w:t>采购活动中，我公司保证做到：</w:t>
      </w:r>
    </w:p>
    <w:p>
      <w:pPr>
        <w:spacing w:line="360" w:lineRule="auto"/>
        <w:ind w:firstLine="555"/>
      </w:pPr>
      <w:r>
        <w:rPr>
          <w:rFonts w:hint="eastAsia"/>
        </w:rPr>
        <w:t>1. 公平竞争参加本次采购活动。</w:t>
      </w:r>
    </w:p>
    <w:p>
      <w:pPr>
        <w:spacing w:line="360" w:lineRule="auto"/>
        <w:ind w:firstLine="556"/>
      </w:pPr>
      <w:r>
        <w:rPr>
          <w:rFonts w:hint="eastAsia"/>
        </w:rPr>
        <w:t>2. 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pacing w:line="360" w:lineRule="auto"/>
        <w:ind w:firstLine="556"/>
      </w:pPr>
      <w:r>
        <w:rPr>
          <w:rFonts w:hint="eastAsia"/>
        </w:rPr>
        <w:t>3. 若出现上述行为，我公司及参与磋商的工作人员愿意接受按照国家法律法规等有关规定给予的处罚。</w:t>
      </w:r>
    </w:p>
    <w:p>
      <w:pPr>
        <w:spacing w:line="360" w:lineRule="auto"/>
        <w:ind w:firstLine="555"/>
      </w:pPr>
    </w:p>
    <w:p>
      <w:pPr>
        <w:spacing w:line="360" w:lineRule="auto"/>
        <w:ind w:firstLine="2880"/>
        <w:jc w:val="right"/>
        <w:rPr>
          <w:u w:val="single"/>
        </w:rPr>
      </w:pPr>
      <w:r>
        <w:rPr>
          <w:rFonts w:hint="eastAsia"/>
        </w:rPr>
        <w:t>公司法人代表（电子签名）：</w:t>
      </w:r>
    </w:p>
    <w:p>
      <w:pPr>
        <w:spacing w:line="360" w:lineRule="auto"/>
        <w:ind w:firstLine="2880"/>
        <w:jc w:val="right"/>
        <w:rPr>
          <w:u w:val="single"/>
        </w:rPr>
      </w:pPr>
      <w:r>
        <w:rPr>
          <w:rFonts w:hint="eastAsia"/>
        </w:rPr>
        <w:t>法人授权代表（电子签名）：</w:t>
      </w:r>
    </w:p>
    <w:p>
      <w:pPr>
        <w:spacing w:line="360" w:lineRule="auto"/>
        <w:ind w:firstLine="555"/>
        <w:jc w:val="right"/>
      </w:pPr>
      <w:r>
        <w:rPr>
          <w:rFonts w:hint="eastAsia"/>
        </w:rPr>
        <w:t>响应人：（电子签章）</w:t>
      </w:r>
    </w:p>
    <w:p>
      <w:pPr>
        <w:spacing w:line="360" w:lineRule="auto"/>
        <w:ind w:firstLine="555"/>
        <w:jc w:val="right"/>
      </w:pPr>
      <w:r>
        <w:rPr>
          <w:rFonts w:hint="eastAsia"/>
        </w:rPr>
        <w:t>日期： 年  月  日</w:t>
      </w:r>
    </w:p>
    <w:p>
      <w:pPr>
        <w:spacing w:line="360" w:lineRule="auto"/>
        <w:jc w:val="right"/>
      </w:pPr>
    </w:p>
    <w:p>
      <w:pPr>
        <w:pStyle w:val="5"/>
        <w:numPr>
          <w:ilvl w:val="0"/>
          <w:numId w:val="28"/>
        </w:numPr>
        <w:tabs>
          <w:tab w:val="left" w:pos="840"/>
        </w:tabs>
        <w:rPr>
          <w:bCs w:val="0"/>
          <w:szCs w:val="24"/>
          <w:lang w:val="zh-CN"/>
        </w:rPr>
      </w:pPr>
      <w:bookmarkStart w:id="727" w:name="_Toc13712"/>
      <w:r>
        <w:rPr>
          <w:rFonts w:hint="eastAsia"/>
          <w:szCs w:val="24"/>
          <w:lang w:eastAsia="zh-CN"/>
        </w:rPr>
        <w:br w:type="page"/>
      </w:r>
      <w:bookmarkEnd w:id="727"/>
      <w:bookmarkStart w:id="728" w:name="_Toc15983"/>
      <w:bookmarkStart w:id="729" w:name="_Toc13391"/>
      <w:bookmarkStart w:id="730" w:name="_Toc18051_WPSOffice_Level1"/>
      <w:bookmarkStart w:id="731" w:name="_Toc8534_WPSOffice_Level1"/>
      <w:bookmarkStart w:id="732" w:name="_Toc27715_WPSOffice_Level1"/>
      <w:r>
        <w:rPr>
          <w:rFonts w:hint="eastAsia"/>
          <w:szCs w:val="24"/>
          <w:lang w:val="zh-CN"/>
        </w:rPr>
        <w:t>中小企业声明函</w:t>
      </w:r>
      <w:bookmarkEnd w:id="728"/>
      <w:bookmarkEnd w:id="729"/>
      <w:bookmarkEnd w:id="730"/>
      <w:bookmarkEnd w:id="731"/>
      <w:bookmarkEnd w:id="732"/>
    </w:p>
    <w:p>
      <w:pPr>
        <w:spacing w:line="360" w:lineRule="auto"/>
        <w:ind w:left="59" w:leftChars="28"/>
        <w:jc w:val="center"/>
      </w:pPr>
      <w:r>
        <w:rPr>
          <w:rFonts w:hint="eastAsia"/>
        </w:rPr>
        <w:t>（属于中小微企业的填写，不属于的无需填写此项内容）</w:t>
      </w:r>
    </w:p>
    <w:p>
      <w:pPr>
        <w:spacing w:line="360" w:lineRule="auto"/>
        <w:ind w:firstLine="472" w:firstLineChars="225"/>
      </w:pPr>
    </w:p>
    <w:p>
      <w:pPr>
        <w:spacing w:line="360" w:lineRule="auto"/>
        <w:ind w:firstLine="472" w:firstLineChars="225"/>
      </w:pPr>
      <w:r>
        <w:t>本公司郑重声明，根据</w:t>
      </w:r>
      <w:r>
        <w:rPr>
          <w:rFonts w:hint="eastAsia"/>
          <w:lang w:eastAsia="zh-CN"/>
        </w:rPr>
        <w:t>《政府采购促进中小企业发展管理办法》（财库（2020）46号）</w:t>
      </w:r>
      <w:r>
        <w:t>的规定，本公司为（请填写：中型、小型、微型）企业。即，本公司同时满足以下条件：</w:t>
      </w:r>
    </w:p>
    <w:p>
      <w:pPr>
        <w:spacing w:line="360" w:lineRule="auto"/>
        <w:ind w:firstLine="472" w:firstLineChars="225"/>
      </w:pPr>
      <w:r>
        <w:t>1.根据《工业和信息化部、国家统计局、国家发展和改革委员会、财政部关于印发中小企业划型标准规定的通知》（工信部联企业〔2011〕300号）规定的划分标准，本公司为______（请填写：中型、小型、微型）企业。</w:t>
      </w:r>
    </w:p>
    <w:p>
      <w:pPr>
        <w:spacing w:line="360" w:lineRule="auto"/>
        <w:ind w:firstLine="472" w:firstLineChars="225"/>
      </w:pPr>
      <w:r>
        <w:t>2.本公司参加单位的项目采购活动提供本企业制造的货物，由本企业承担项目、提供服务，或者提供其他______（请填写：中型、小型、微型）企业制造的货物。本条所称货物不包括使用大型企业注册商标的货物。</w:t>
      </w:r>
    </w:p>
    <w:p>
      <w:pPr>
        <w:spacing w:line="360" w:lineRule="auto"/>
        <w:ind w:firstLine="472" w:firstLineChars="225"/>
      </w:pPr>
      <w:r>
        <w:t>本公司对上述声明的真实性负责。如有虚假，将依法承担相应责任。</w:t>
      </w:r>
    </w:p>
    <w:p>
      <w:pPr>
        <w:spacing w:line="360" w:lineRule="auto"/>
        <w:ind w:firstLine="472" w:firstLineChars="225"/>
      </w:pPr>
    </w:p>
    <w:p>
      <w:pPr>
        <w:spacing w:line="360" w:lineRule="auto"/>
        <w:ind w:firstLine="472" w:firstLineChars="225"/>
      </w:pPr>
    </w:p>
    <w:p>
      <w:pPr>
        <w:spacing w:line="360" w:lineRule="auto"/>
        <w:ind w:firstLine="472" w:firstLineChars="225"/>
        <w:jc w:val="right"/>
      </w:pPr>
      <w:r>
        <w:t>企业名称：（</w:t>
      </w:r>
      <w:r>
        <w:rPr>
          <w:rFonts w:hint="eastAsia"/>
        </w:rPr>
        <w:t>电子签章</w:t>
      </w:r>
      <w:r>
        <w:t>）</w:t>
      </w:r>
    </w:p>
    <w:p>
      <w:pPr>
        <w:spacing w:line="360" w:lineRule="auto"/>
        <w:ind w:firstLine="472" w:firstLineChars="225"/>
        <w:jc w:val="right"/>
        <w:rPr>
          <w:spacing w:val="6"/>
        </w:rPr>
      </w:pPr>
      <w:r>
        <w:t>日 期：年月日</w:t>
      </w:r>
    </w:p>
    <w:p>
      <w:pPr>
        <w:wordWrap/>
        <w:topLinePunct w:val="0"/>
        <w:spacing w:line="360" w:lineRule="auto"/>
        <w:ind w:firstLine="420" w:firstLineChars="200"/>
      </w:pPr>
      <w:r>
        <w:rPr>
          <w:rFonts w:hint="eastAsia"/>
        </w:rPr>
        <w:t>财政部、工信部关于印发《政府采购促进中小企业发展</w:t>
      </w:r>
      <w:r>
        <w:rPr>
          <w:rFonts w:hint="eastAsia"/>
          <w:lang w:eastAsia="zh-CN"/>
        </w:rPr>
        <w:t>管理</w:t>
      </w:r>
      <w:r>
        <w:rPr>
          <w:rFonts w:hint="eastAsia"/>
        </w:rPr>
        <w:t>办法》的通知（财库（2020）46号）第二条规定：中小企业（含中型、小型、微型企业）应当同时符合以下条件：</w:t>
      </w:r>
    </w:p>
    <w:p>
      <w:pPr>
        <w:wordWrap/>
        <w:topLinePunct w:val="0"/>
        <w:spacing w:line="360" w:lineRule="auto"/>
        <w:ind w:firstLine="420" w:firstLineChars="200"/>
      </w:pPr>
      <w:r>
        <w:rPr>
          <w:rFonts w:hint="eastAsia"/>
          <w:bCs/>
        </w:rPr>
        <w:t xml:space="preserve">1. </w:t>
      </w:r>
      <w:r>
        <w:rPr>
          <w:rFonts w:hint="eastAsia"/>
        </w:rPr>
        <w:t>符合中小企业划分标准（见工业和信息化部国家统计局国家发展和改革委员会财政部《关于印发中小企业划型标准规定的通知》（工信部联企业〔2011〕300号)）；</w:t>
      </w:r>
    </w:p>
    <w:p>
      <w:pPr>
        <w:wordWrap/>
        <w:topLinePunct w:val="0"/>
        <w:spacing w:line="360" w:lineRule="auto"/>
        <w:ind w:firstLine="420" w:firstLineChars="200"/>
      </w:pPr>
      <w:r>
        <w:rPr>
          <w:rFonts w:hint="eastAsia"/>
        </w:rPr>
        <w:t>2. 提供本企业制造的货物、承担的工程或者服务，或者提供其他小微企业制造的货物。本项所称货物不包括使用大型企业注册商标的货物。</w:t>
      </w:r>
    </w:p>
    <w:p>
      <w:pPr>
        <w:wordWrap/>
        <w:topLinePunct w:val="0"/>
        <w:spacing w:line="360" w:lineRule="auto"/>
        <w:ind w:firstLine="420" w:firstLineChars="200"/>
      </w:pPr>
      <w:r>
        <w:rPr>
          <w:rFonts w:hint="eastAsia"/>
        </w:rPr>
        <w:t>3. 本办法所称中小企业划分标准，是指国务院有关部门根据企业从业人员、营业收入、资产总额等指标制定的中小企业划型标准。</w:t>
      </w:r>
    </w:p>
    <w:p>
      <w:pPr>
        <w:wordWrap/>
        <w:topLinePunct w:val="0"/>
        <w:spacing w:line="360" w:lineRule="auto"/>
        <w:ind w:firstLine="420" w:firstLineChars="200"/>
      </w:pPr>
      <w:r>
        <w:rPr>
          <w:rFonts w:hint="eastAsia"/>
        </w:rPr>
        <w:t>4. 小型、微型企业提供中型企业制造的货物的，视同为中型企业。</w:t>
      </w:r>
    </w:p>
    <w:p>
      <w:pPr>
        <w:wordWrap/>
        <w:topLinePunct w:val="0"/>
        <w:spacing w:line="360" w:lineRule="auto"/>
      </w:pPr>
    </w:p>
    <w:p>
      <w:pPr>
        <w:widowControl/>
        <w:wordWrap/>
        <w:topLinePunct w:val="0"/>
        <w:spacing w:line="360" w:lineRule="auto"/>
      </w:pPr>
      <w:r>
        <w:rPr>
          <w:rFonts w:hint="eastAsia"/>
          <w:b/>
        </w:rPr>
        <w:t>（提醒：如果响应人不满足小型、微型企业的认定标准，或所投产品的制造商不符合小型、微型企业认定标准的，则不需要提供《中小企业声明函》。否则，因此导致虚假投标的后果由响应人自行承担。）</w:t>
      </w:r>
    </w:p>
    <w:p>
      <w:pPr>
        <w:pStyle w:val="5"/>
        <w:numPr>
          <w:ilvl w:val="0"/>
          <w:numId w:val="28"/>
        </w:numPr>
        <w:tabs>
          <w:tab w:val="left" w:pos="840"/>
        </w:tabs>
        <w:rPr>
          <w:bCs w:val="0"/>
          <w:szCs w:val="24"/>
          <w:lang w:eastAsia="zh-CN"/>
        </w:rPr>
      </w:pPr>
      <w:bookmarkStart w:id="733" w:name="_Toc9983"/>
      <w:bookmarkStart w:id="734" w:name="_Toc28975"/>
      <w:r>
        <w:rPr>
          <w:rFonts w:hint="eastAsia"/>
          <w:bCs w:val="0"/>
          <w:szCs w:val="24"/>
          <w:lang w:eastAsia="zh-CN"/>
        </w:rPr>
        <w:br w:type="page"/>
      </w:r>
      <w:bookmarkStart w:id="735" w:name="_Toc5859_WPSOffice_Level1"/>
      <w:bookmarkStart w:id="736" w:name="_Toc21261"/>
      <w:bookmarkStart w:id="737" w:name="_Toc23233"/>
      <w:bookmarkStart w:id="738" w:name="_Toc30034_WPSOffice_Level1"/>
      <w:bookmarkStart w:id="739" w:name="_Toc14029"/>
      <w:bookmarkStart w:id="740" w:name="_Toc2499"/>
      <w:bookmarkStart w:id="741" w:name="_Toc25619_WPSOffice_Level1"/>
      <w:bookmarkStart w:id="742" w:name="OLE_LINK13"/>
      <w:bookmarkStart w:id="743" w:name="OLE_LINK14"/>
      <w:r>
        <w:rPr>
          <w:rFonts w:hint="eastAsia"/>
          <w:szCs w:val="24"/>
          <w:lang w:eastAsia="zh-CN"/>
        </w:rPr>
        <w:t>残疾人福利性单位声明函</w:t>
      </w:r>
      <w:bookmarkEnd w:id="735"/>
      <w:bookmarkEnd w:id="736"/>
      <w:bookmarkEnd w:id="737"/>
      <w:bookmarkEnd w:id="738"/>
      <w:bookmarkEnd w:id="739"/>
      <w:bookmarkEnd w:id="740"/>
      <w:bookmarkEnd w:id="741"/>
    </w:p>
    <w:bookmarkEnd w:id="742"/>
    <w:bookmarkEnd w:id="743"/>
    <w:p>
      <w:pPr>
        <w:spacing w:line="360" w:lineRule="auto"/>
        <w:rPr>
          <w:b/>
          <w:spacing w:val="6"/>
        </w:rPr>
      </w:pPr>
    </w:p>
    <w:p>
      <w:pPr>
        <w:spacing w:line="360" w:lineRule="auto"/>
        <w:ind w:firstLine="444" w:firstLineChars="200"/>
        <w:rPr>
          <w:spacing w:val="6"/>
        </w:rPr>
      </w:pPr>
      <w:r>
        <w:rPr>
          <w:rFonts w:hint="eastAsia"/>
          <w:spacing w:val="6"/>
        </w:rPr>
        <w:t>本单位郑重声明，根据《财政部 民政部 中国残疾人联合会关于促进残疾人就业政府采购政策的通知》（财库</w:t>
      </w:r>
      <w:r>
        <w:rPr>
          <w:rFonts w:hint="eastAsia"/>
        </w:rPr>
        <w:t>〔2017〕 141</w:t>
      </w:r>
      <w:r>
        <w:rPr>
          <w:rFonts w:hint="eastAsia"/>
          <w:spacing w:val="6"/>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spacing w:val="6"/>
        </w:rPr>
      </w:pPr>
      <w:r>
        <w:rPr>
          <w:rFonts w:hint="eastAsia"/>
          <w:spacing w:val="6"/>
        </w:rPr>
        <w:t>本单位对上述声明的真实性负责。如有虚假，将依法承担相应责任。</w:t>
      </w:r>
    </w:p>
    <w:p>
      <w:pPr>
        <w:spacing w:line="360" w:lineRule="auto"/>
        <w:ind w:firstLine="444" w:firstLineChars="200"/>
        <w:rPr>
          <w:spacing w:val="6"/>
        </w:rPr>
      </w:pPr>
    </w:p>
    <w:p>
      <w:pPr>
        <w:spacing w:line="360" w:lineRule="auto"/>
        <w:ind w:firstLine="444" w:firstLineChars="200"/>
        <w:rPr>
          <w:spacing w:val="6"/>
        </w:rPr>
      </w:pPr>
    </w:p>
    <w:p>
      <w:pPr>
        <w:tabs>
          <w:tab w:val="left" w:pos="4860"/>
        </w:tabs>
        <w:spacing w:line="360" w:lineRule="auto"/>
        <w:ind w:right="1560" w:firstLine="444" w:firstLineChars="200"/>
        <w:jc w:val="right"/>
        <w:rPr>
          <w:spacing w:val="6"/>
          <w:u w:val="single"/>
        </w:rPr>
      </w:pPr>
      <w:r>
        <w:rPr>
          <w:rFonts w:hint="eastAsia"/>
          <w:spacing w:val="6"/>
        </w:rPr>
        <w:t xml:space="preserve">                 单位名称：（电子签章）</w:t>
      </w:r>
    </w:p>
    <w:p>
      <w:pPr>
        <w:tabs>
          <w:tab w:val="left" w:pos="4860"/>
        </w:tabs>
        <w:spacing w:line="360" w:lineRule="auto"/>
        <w:ind w:right="1560" w:firstLine="444" w:firstLineChars="200"/>
        <w:jc w:val="right"/>
        <w:rPr>
          <w:spacing w:val="6"/>
        </w:rPr>
      </w:pPr>
      <w:r>
        <w:rPr>
          <w:rFonts w:hint="eastAsia"/>
          <w:spacing w:val="6"/>
        </w:rPr>
        <w:t xml:space="preserve">       日  期：  年 月 日</w:t>
      </w:r>
    </w:p>
    <w:p>
      <w:pPr>
        <w:widowControl/>
        <w:spacing w:line="360" w:lineRule="auto"/>
        <w:rPr>
          <w:b/>
        </w:rPr>
      </w:pPr>
      <w:r>
        <w:rPr>
          <w:rFonts w:hint="eastAsia"/>
          <w:b/>
        </w:rPr>
        <w:t>（提醒：如果响应人</w:t>
      </w:r>
      <w:r>
        <w:rPr>
          <w:rFonts w:hint="eastAsia"/>
          <w:b/>
          <w:spacing w:val="10"/>
          <w:kern w:val="0"/>
        </w:rPr>
        <w:t>不是残疾人福利性单位</w:t>
      </w:r>
      <w:r>
        <w:rPr>
          <w:rFonts w:hint="eastAsia"/>
          <w:b/>
        </w:rPr>
        <w:t>，则不需要提供《残疾人福利性单位声明函</w:t>
      </w:r>
    </w:p>
    <w:p>
      <w:pPr>
        <w:widowControl/>
        <w:spacing w:line="360" w:lineRule="auto"/>
        <w:rPr>
          <w:b/>
        </w:rPr>
      </w:pPr>
      <w:r>
        <w:rPr>
          <w:rFonts w:hint="eastAsia"/>
          <w:b/>
        </w:rPr>
        <w:t>》。否则，因此导致虚假投标的后果由响应人自行承担。）</w:t>
      </w:r>
    </w:p>
    <w:p>
      <w:pPr>
        <w:tabs>
          <w:tab w:val="left" w:pos="840"/>
        </w:tabs>
        <w:autoSpaceDE w:val="0"/>
        <w:autoSpaceDN w:val="0"/>
        <w:adjustRightInd w:val="0"/>
        <w:spacing w:line="360" w:lineRule="auto"/>
        <w:rPr>
          <w:b/>
          <w:sz w:val="24"/>
        </w:rPr>
      </w:pPr>
    </w:p>
    <w:p>
      <w:pPr>
        <w:spacing w:line="360" w:lineRule="auto"/>
      </w:pPr>
      <w:r>
        <w:rPr>
          <w:rFonts w:hint="eastAsia"/>
        </w:rPr>
        <w:t>《财政部民政部中国残疾人联合会关于促进残疾人就业政府采购政策的通知》（财库（2017〔141〕号）的规定：</w:t>
      </w:r>
    </w:p>
    <w:p>
      <w:pPr>
        <w:spacing w:line="360" w:lineRule="auto"/>
        <w:ind w:firstLine="420" w:firstLineChars="200"/>
      </w:pPr>
      <w:r>
        <w:rPr>
          <w:rFonts w:hint="eastAsia"/>
        </w:rPr>
        <w:t>1. 享受政府采购支持政策的残疾人福利性单位应当同时满足以下条件：</w:t>
      </w:r>
    </w:p>
    <w:p>
      <w:pPr>
        <w:spacing w:line="360" w:lineRule="auto"/>
      </w:pPr>
      <w:r>
        <w:rPr>
          <w:rFonts w:hint="eastAsia"/>
        </w:rPr>
        <w:t>（1）安置的残疾人占本单位在职职工人数的比例不低于25%（含25%），并且安置的残疾人人数不少于10人（含10人）；</w:t>
      </w:r>
    </w:p>
    <w:p>
      <w:pPr>
        <w:spacing w:line="360" w:lineRule="auto"/>
      </w:pPr>
      <w:r>
        <w:rPr>
          <w:rFonts w:hint="eastAsia"/>
        </w:rPr>
        <w:t>（2）依法与安置的每位残疾人签订了一年以上（含一年）的劳动合同或服务协议；</w:t>
      </w:r>
    </w:p>
    <w:p>
      <w:pPr>
        <w:spacing w:line="360" w:lineRule="auto"/>
      </w:pPr>
      <w:r>
        <w:rPr>
          <w:rFonts w:hint="eastAsia"/>
        </w:rPr>
        <w:t>（3）为安置的每位残疾人按月足额缴纳了基本养老保险、基本医疗保险、失业保险、工伤保险和生育保险等社会保险费；</w:t>
      </w:r>
    </w:p>
    <w:p>
      <w:pPr>
        <w:spacing w:line="360" w:lineRule="auto"/>
      </w:pPr>
      <w:r>
        <w:rPr>
          <w:rFonts w:hint="eastAsia"/>
        </w:rPr>
        <w:t>（4）通过银行等金融机构向安置的每位残疾人，按月支付了不低于单位所在区县适用的经省级人民政府批准的月最低工资标准的工资；</w:t>
      </w:r>
    </w:p>
    <w:p>
      <w:pPr>
        <w:spacing w:line="360" w:lineRule="auto"/>
      </w:pPr>
      <w:r>
        <w:rPr>
          <w:rFonts w:hint="eastAsia"/>
        </w:rPr>
        <w:t>（5）提供本单位制造的货物、承担的工程或者服务（以下简称产品），或者提供其他残疾人福利性单位制造的货物（不包括使用非残疾人福利性单位注册商标的货物）。</w:t>
      </w:r>
    </w:p>
    <w:p>
      <w:pPr>
        <w:spacing w:line="360" w:lineRule="auto"/>
        <w:ind w:firstLine="420" w:firstLineChars="200"/>
      </w:pPr>
      <w:r>
        <w:rPr>
          <w:rFonts w:hint="eastAsia"/>
        </w:rPr>
        <w:t>2. 成交人为残疾人福利性单位的，采购人或者其委托的采购代理机构应当随成交结果同时公告其《残疾人福利性单位声明函》，接受社会监督。</w:t>
      </w:r>
    </w:p>
    <w:p>
      <w:pPr>
        <w:pStyle w:val="5"/>
        <w:numPr>
          <w:ilvl w:val="0"/>
          <w:numId w:val="0"/>
        </w:numPr>
        <w:tabs>
          <w:tab w:val="left" w:pos="425"/>
        </w:tabs>
        <w:ind w:leftChars="0"/>
        <w:jc w:val="both"/>
        <w:rPr>
          <w:szCs w:val="24"/>
        </w:rPr>
      </w:pPr>
      <w:bookmarkStart w:id="744" w:name="_Toc11075"/>
      <w:bookmarkStart w:id="745" w:name="_Toc25289_WPSOffice_Level1"/>
      <w:bookmarkStart w:id="746" w:name="_Toc751_WPSOffice_Level1"/>
      <w:bookmarkStart w:id="747" w:name="_Toc15051_WPSOffice_Level1"/>
    </w:p>
    <w:p>
      <w:pPr>
        <w:pStyle w:val="5"/>
        <w:numPr>
          <w:ilvl w:val="0"/>
          <w:numId w:val="28"/>
        </w:numPr>
        <w:tabs>
          <w:tab w:val="left" w:pos="425"/>
        </w:tabs>
        <w:rPr>
          <w:szCs w:val="24"/>
        </w:rPr>
      </w:pPr>
      <w:r>
        <w:rPr>
          <w:rFonts w:hint="eastAsia"/>
          <w:szCs w:val="24"/>
        </w:rPr>
        <w:t>其他</w:t>
      </w:r>
      <w:bookmarkEnd w:id="733"/>
      <w:r>
        <w:rPr>
          <w:rFonts w:hint="eastAsia"/>
          <w:szCs w:val="24"/>
        </w:rPr>
        <w:t>资料</w:t>
      </w:r>
      <w:bookmarkEnd w:id="734"/>
      <w:bookmarkEnd w:id="744"/>
      <w:bookmarkEnd w:id="745"/>
      <w:bookmarkEnd w:id="746"/>
      <w:bookmarkEnd w:id="747"/>
    </w:p>
    <w:p>
      <w:pPr>
        <w:spacing w:line="360" w:lineRule="auto"/>
        <w:rPr>
          <w:b/>
        </w:rPr>
      </w:pPr>
    </w:p>
    <w:p>
      <w:pPr>
        <w:spacing w:line="360" w:lineRule="auto"/>
      </w:pPr>
    </w:p>
    <w:p>
      <w:pPr>
        <w:pStyle w:val="11"/>
        <w:spacing w:line="360" w:lineRule="auto"/>
        <w:ind w:left="0" w:leftChars="0" w:firstLine="0" w:firstLineChars="0"/>
        <w:rPr>
          <w:rFonts w:ascii="宋体" w:hAnsi="宋体"/>
          <w:b/>
        </w:rPr>
      </w:pPr>
    </w:p>
    <w:p>
      <w:pPr>
        <w:spacing w:line="360" w:lineRule="auto"/>
        <w:rPr>
          <w:sz w:val="24"/>
        </w:rPr>
      </w:pPr>
      <w:r>
        <w:rPr>
          <w:sz w:val="24"/>
        </w:rPr>
        <w:br w:type="page"/>
      </w:r>
    </w:p>
    <w:p>
      <w:pPr>
        <w:spacing w:line="360" w:lineRule="auto"/>
        <w:jc w:val="center"/>
        <w:rPr>
          <w:sz w:val="28"/>
          <w:szCs w:val="28"/>
        </w:rPr>
      </w:pPr>
      <w:r>
        <w:rPr>
          <w:rFonts w:hint="eastAsia"/>
          <w:sz w:val="28"/>
          <w:szCs w:val="28"/>
        </w:rPr>
        <w:t>磋商文件确认书</w:t>
      </w:r>
    </w:p>
    <w:p>
      <w:pPr>
        <w:pStyle w:val="22"/>
        <w:spacing w:line="360" w:lineRule="auto"/>
        <w:rPr>
          <w:rFonts w:ascii="宋体" w:hAnsi="宋体"/>
        </w:rPr>
      </w:pPr>
    </w:p>
    <w:p>
      <w:pPr>
        <w:spacing w:line="360" w:lineRule="auto"/>
      </w:pPr>
      <w:r>
        <w:rPr>
          <w:rFonts w:hint="eastAsia"/>
        </w:rPr>
        <w:t>致：（</w:t>
      </w:r>
      <w:r>
        <w:rPr>
          <w:rFonts w:hint="eastAsia"/>
          <w:u w:val="single"/>
        </w:rPr>
        <w:t>采购人或采购代理机构名称</w:t>
      </w:r>
      <w:r>
        <w:rPr>
          <w:rFonts w:hint="eastAsia"/>
        </w:rPr>
        <w:t>）</w:t>
      </w:r>
    </w:p>
    <w:p>
      <w:pPr>
        <w:spacing w:line="360" w:lineRule="auto"/>
        <w:ind w:firstLine="420" w:firstLineChars="200"/>
      </w:pPr>
      <w:r>
        <w:rPr>
          <w:rFonts w:hint="eastAsia"/>
        </w:rPr>
        <w:t>我方已经详细阅读整个磋商文件及有关组成文件的内容，对磋商文件及有关组成文件的内容已充分理解并全部同意没有任何异议，我方承认、理解和遵照执行本次磋商文件及有关组成文件的每一款要求，并放弃提出一切存有含糊不清或误解的权利，且我方保证在递交响应文件后不对本磋商文件的任何内容提出异议。</w:t>
      </w:r>
    </w:p>
    <w:p>
      <w:pPr>
        <w:pStyle w:val="3"/>
        <w:numPr>
          <w:ilvl w:val="1"/>
          <w:numId w:val="0"/>
        </w:numPr>
        <w:spacing w:line="360" w:lineRule="auto"/>
        <w:rPr>
          <w:rFonts w:hAnsi="宋体"/>
          <w:color w:val="auto"/>
        </w:rPr>
      </w:pPr>
    </w:p>
    <w:p>
      <w:pPr>
        <w:spacing w:line="360" w:lineRule="auto"/>
        <w:ind w:firstLine="2880"/>
      </w:pPr>
    </w:p>
    <w:p>
      <w:pPr>
        <w:spacing w:line="360" w:lineRule="auto"/>
        <w:ind w:firstLine="2880"/>
      </w:pPr>
    </w:p>
    <w:p>
      <w:pPr>
        <w:spacing w:line="360" w:lineRule="auto"/>
        <w:ind w:firstLine="420" w:firstLineChars="200"/>
        <w:jc w:val="right"/>
        <w:rPr>
          <w:u w:val="single"/>
        </w:rPr>
      </w:pPr>
      <w:r>
        <w:rPr>
          <w:rFonts w:hint="eastAsia"/>
        </w:rPr>
        <w:t>公司法人代表（电子签名）：</w:t>
      </w:r>
    </w:p>
    <w:p>
      <w:pPr>
        <w:spacing w:line="360" w:lineRule="auto"/>
        <w:ind w:firstLine="420" w:firstLineChars="200"/>
        <w:jc w:val="right"/>
        <w:rPr>
          <w:u w:val="single"/>
        </w:rPr>
      </w:pPr>
      <w:r>
        <w:rPr>
          <w:rFonts w:hint="eastAsia"/>
        </w:rPr>
        <w:t>法人授权代表（电子签名）：</w:t>
      </w:r>
    </w:p>
    <w:p>
      <w:pPr>
        <w:spacing w:line="360" w:lineRule="auto"/>
        <w:ind w:firstLine="420" w:firstLineChars="200"/>
        <w:jc w:val="right"/>
        <w:rPr>
          <w:u w:val="single"/>
        </w:rPr>
      </w:pPr>
      <w:r>
        <w:rPr>
          <w:rFonts w:hint="eastAsia"/>
        </w:rPr>
        <w:t>响应人：（电子签章）</w:t>
      </w:r>
    </w:p>
    <w:p>
      <w:pPr>
        <w:spacing w:line="360" w:lineRule="auto"/>
        <w:ind w:firstLine="420" w:firstLineChars="200"/>
        <w:jc w:val="right"/>
      </w:pPr>
      <w:r>
        <w:rPr>
          <w:rFonts w:hint="eastAsia"/>
        </w:rPr>
        <w:t>日期：   年  月  日</w:t>
      </w:r>
    </w:p>
    <w:p>
      <w:pPr>
        <w:spacing w:line="360" w:lineRule="auto"/>
        <w:rPr>
          <w:rFonts w:cs="黑体"/>
          <w:kern w:val="0"/>
        </w:rPr>
      </w:pPr>
    </w:p>
    <w:p>
      <w:pPr>
        <w:spacing w:line="360" w:lineRule="auto"/>
        <w:rPr>
          <w:rFonts w:cs="黑体"/>
          <w:kern w:val="0"/>
        </w:rPr>
      </w:pPr>
    </w:p>
    <w:p>
      <w:pPr>
        <w:spacing w:line="360" w:lineRule="auto"/>
        <w:rPr>
          <w:rFonts w:cs="黑体"/>
          <w:kern w:val="0"/>
        </w:rPr>
      </w:pPr>
      <w:bookmarkStart w:id="748" w:name="_GoBack"/>
      <w:bookmarkEnd w:id="748"/>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p>
      <w:pPr>
        <w:spacing w:line="360" w:lineRule="auto"/>
        <w:rPr>
          <w:rFonts w:cs="黑体"/>
          <w:kern w:val="0"/>
        </w:rPr>
      </w:pPr>
    </w:p>
    <w:sectPr>
      <w:footerReference r:id="rId3" w:type="default"/>
      <w:pgSz w:w="11906" w:h="16838"/>
      <w:pgMar w:top="1440" w:right="1279" w:bottom="1440" w:left="1387" w:header="850"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1" w:csb1="00000000"/>
  </w:font>
  <w:font w:name="FangSong_GB2312">
    <w:altName w:val="仿宋_GB2312"/>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6434"/>
    </w:sdtPr>
    <w:sdtContent>
      <w:p>
        <w:pPr>
          <w:pStyle w:val="15"/>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15"/>
      <w:rPr>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83962"/>
    <w:multiLevelType w:val="multilevel"/>
    <w:tmpl w:val="8B283962"/>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6"/>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127AF3A"/>
    <w:multiLevelType w:val="multilevel"/>
    <w:tmpl w:val="9127AF3A"/>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920C8B71"/>
    <w:multiLevelType w:val="singleLevel"/>
    <w:tmpl w:val="920C8B71"/>
    <w:lvl w:ilvl="0" w:tentative="0">
      <w:start w:val="1"/>
      <w:numFmt w:val="decimal"/>
      <w:lvlText w:val="(%1)"/>
      <w:lvlJc w:val="left"/>
      <w:pPr>
        <w:ind w:left="425" w:hanging="425"/>
      </w:pPr>
      <w:rPr>
        <w:rFonts w:hint="default"/>
      </w:rPr>
    </w:lvl>
  </w:abstractNum>
  <w:abstractNum w:abstractNumId="3">
    <w:nsid w:val="92FEED52"/>
    <w:multiLevelType w:val="singleLevel"/>
    <w:tmpl w:val="92FEED52"/>
    <w:lvl w:ilvl="0" w:tentative="0">
      <w:start w:val="1"/>
      <w:numFmt w:val="decimal"/>
      <w:lvlText w:val="(%1)"/>
      <w:lvlJc w:val="left"/>
      <w:pPr>
        <w:ind w:left="425" w:hanging="425"/>
      </w:pPr>
      <w:rPr>
        <w:rFonts w:hint="default"/>
      </w:rPr>
    </w:lvl>
  </w:abstractNum>
  <w:abstractNum w:abstractNumId="4">
    <w:nsid w:val="A3DBE0BA"/>
    <w:multiLevelType w:val="multilevel"/>
    <w:tmpl w:val="A3DBE0BA"/>
    <w:lvl w:ilvl="0" w:tentative="0">
      <w:start w:val="3"/>
      <w:numFmt w:val="decimal"/>
      <w:lvlText w:val="%1."/>
      <w:lvlJc w:val="left"/>
      <w:pPr>
        <w:ind w:left="425" w:hanging="425"/>
      </w:pPr>
      <w:rPr>
        <w:rFonts w:hint="default"/>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
    <w:nsid w:val="C5CB727D"/>
    <w:multiLevelType w:val="multilevel"/>
    <w:tmpl w:val="C5CB727D"/>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sz w:val="21"/>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6">
    <w:nsid w:val="CD806B66"/>
    <w:multiLevelType w:val="singleLevel"/>
    <w:tmpl w:val="CD806B66"/>
    <w:lvl w:ilvl="0" w:tentative="0">
      <w:start w:val="1"/>
      <w:numFmt w:val="decimal"/>
      <w:lvlText w:val="(%1)"/>
      <w:lvlJc w:val="left"/>
      <w:pPr>
        <w:ind w:left="425" w:hanging="425"/>
      </w:pPr>
      <w:rPr>
        <w:rFonts w:hint="default"/>
      </w:rPr>
    </w:lvl>
  </w:abstractNum>
  <w:abstractNum w:abstractNumId="7">
    <w:nsid w:val="E1C3E6A9"/>
    <w:multiLevelType w:val="multilevel"/>
    <w:tmpl w:val="E1C3E6A9"/>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425" w:hanging="425"/>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8">
    <w:nsid w:val="F3F79CC7"/>
    <w:multiLevelType w:val="singleLevel"/>
    <w:tmpl w:val="F3F79CC7"/>
    <w:lvl w:ilvl="0" w:tentative="0">
      <w:start w:val="1"/>
      <w:numFmt w:val="decimal"/>
      <w:lvlText w:val="(%1)"/>
      <w:lvlJc w:val="left"/>
      <w:pPr>
        <w:ind w:left="425" w:hanging="425"/>
      </w:pPr>
      <w:rPr>
        <w:rFonts w:hint="default"/>
      </w:rPr>
    </w:lvl>
  </w:abstractNum>
  <w:abstractNum w:abstractNumId="9">
    <w:nsid w:val="FCC59B67"/>
    <w:multiLevelType w:val="singleLevel"/>
    <w:tmpl w:val="FCC59B67"/>
    <w:lvl w:ilvl="0" w:tentative="0">
      <w:start w:val="1"/>
      <w:numFmt w:val="decimal"/>
      <w:lvlText w:val="(%1)"/>
      <w:lvlJc w:val="left"/>
      <w:pPr>
        <w:ind w:left="425" w:hanging="425"/>
      </w:pPr>
      <w:rPr>
        <w:rFonts w:hint="default"/>
      </w:rPr>
    </w:lvl>
  </w:abstractNum>
  <w:abstractNum w:abstractNumId="10">
    <w:nsid w:val="0000000F"/>
    <w:multiLevelType w:val="singleLevel"/>
    <w:tmpl w:val="0000000F"/>
    <w:lvl w:ilvl="0" w:tentative="0">
      <w:start w:val="1"/>
      <w:numFmt w:val="decimal"/>
      <w:lvlText w:val="(%1)"/>
      <w:lvlJc w:val="left"/>
      <w:pPr>
        <w:ind w:left="425" w:hanging="425"/>
      </w:pPr>
      <w:rPr>
        <w:rFonts w:hint="default"/>
      </w:rPr>
    </w:lvl>
  </w:abstractNum>
  <w:abstractNum w:abstractNumId="11">
    <w:nsid w:val="039EA102"/>
    <w:multiLevelType w:val="singleLevel"/>
    <w:tmpl w:val="039EA102"/>
    <w:lvl w:ilvl="0" w:tentative="0">
      <w:start w:val="8"/>
      <w:numFmt w:val="chineseCounting"/>
      <w:suff w:val="nothing"/>
      <w:lvlText w:val="%1、"/>
      <w:lvlJc w:val="left"/>
      <w:pPr>
        <w:ind w:left="397" w:hanging="397"/>
      </w:pPr>
      <w:rPr>
        <w:rFonts w:hint="eastAsia"/>
        <w:sz w:val="32"/>
      </w:rPr>
    </w:lvl>
  </w:abstractNum>
  <w:abstractNum w:abstractNumId="12">
    <w:nsid w:val="123CDA28"/>
    <w:multiLevelType w:val="multilevel"/>
    <w:tmpl w:val="123CDA28"/>
    <w:lvl w:ilvl="0" w:tentative="0">
      <w:start w:val="3"/>
      <w:numFmt w:val="decimal"/>
      <w:lvlText w:val="%1."/>
      <w:lvlJc w:val="left"/>
      <w:pPr>
        <w:ind w:left="425" w:hanging="425"/>
      </w:pPr>
      <w:rPr>
        <w:rFonts w:hint="default"/>
      </w:rPr>
    </w:lvl>
    <w:lvl w:ilvl="1" w:tentative="0">
      <w:start w:val="3"/>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3">
    <w:nsid w:val="149490AF"/>
    <w:multiLevelType w:val="singleLevel"/>
    <w:tmpl w:val="149490AF"/>
    <w:lvl w:ilvl="0" w:tentative="0">
      <w:start w:val="1"/>
      <w:numFmt w:val="decimal"/>
      <w:lvlText w:val="(%1)"/>
      <w:lvlJc w:val="left"/>
      <w:pPr>
        <w:ind w:left="425" w:hanging="425"/>
      </w:pPr>
      <w:rPr>
        <w:rFonts w:hint="default"/>
      </w:rPr>
    </w:lvl>
  </w:abstractNum>
  <w:abstractNum w:abstractNumId="14">
    <w:nsid w:val="21B7FB90"/>
    <w:multiLevelType w:val="singleLevel"/>
    <w:tmpl w:val="21B7FB90"/>
    <w:lvl w:ilvl="0" w:tentative="0">
      <w:start w:val="1"/>
      <w:numFmt w:val="chineseCounting"/>
      <w:suff w:val="nothing"/>
      <w:lvlText w:val="（%1）"/>
      <w:lvlJc w:val="left"/>
      <w:pPr>
        <w:ind w:left="0" w:firstLine="420"/>
      </w:pPr>
      <w:rPr>
        <w:rFonts w:hint="eastAsia"/>
      </w:rPr>
    </w:lvl>
  </w:abstractNum>
  <w:abstractNum w:abstractNumId="15">
    <w:nsid w:val="243A03DD"/>
    <w:multiLevelType w:val="multilevel"/>
    <w:tmpl w:val="243A03DD"/>
    <w:lvl w:ilvl="0" w:tentative="0">
      <w:start w:val="1"/>
      <w:numFmt w:val="chineseCountingThousand"/>
      <w:suff w:val="space"/>
      <w:lvlText w:val="(%1)、"/>
      <w:lvlJc w:val="left"/>
      <w:pPr>
        <w:ind w:left="720" w:hanging="720"/>
      </w:pPr>
      <w:rPr>
        <w:rFonts w:hint="eastAsia"/>
        <w:b/>
        <w:color w:val="000000"/>
      </w:rPr>
    </w:lvl>
    <w:lvl w:ilvl="1" w:tentative="0">
      <w:start w:val="1"/>
      <w:numFmt w:val="decimal"/>
      <w:suff w:val="nothing"/>
      <w:lvlText w:val="%2、"/>
      <w:lvlJc w:val="left"/>
      <w:pPr>
        <w:ind w:left="780" w:hanging="360"/>
      </w:pPr>
      <w:rPr>
        <w:rFonts w:hint="default" w:cs="Times New Roman"/>
        <w:b w:val="0"/>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D6A2507"/>
    <w:multiLevelType w:val="singleLevel"/>
    <w:tmpl w:val="2D6A2507"/>
    <w:lvl w:ilvl="0" w:tentative="0">
      <w:start w:val="1"/>
      <w:numFmt w:val="decimal"/>
      <w:lvlText w:val="(%1)"/>
      <w:lvlJc w:val="left"/>
      <w:pPr>
        <w:ind w:left="425" w:hanging="425"/>
      </w:pPr>
      <w:rPr>
        <w:rFonts w:hint="default"/>
      </w:rPr>
    </w:lvl>
  </w:abstractNum>
  <w:abstractNum w:abstractNumId="17">
    <w:nsid w:val="3B3E2404"/>
    <w:multiLevelType w:val="singleLevel"/>
    <w:tmpl w:val="3B3E2404"/>
    <w:lvl w:ilvl="0" w:tentative="0">
      <w:start w:val="1"/>
      <w:numFmt w:val="chineseCounting"/>
      <w:suff w:val="nothing"/>
      <w:lvlText w:val="%1、"/>
      <w:lvlJc w:val="left"/>
      <w:pPr>
        <w:ind w:left="397" w:hanging="397"/>
      </w:pPr>
      <w:rPr>
        <w:rFonts w:hint="eastAsia"/>
      </w:rPr>
    </w:lvl>
  </w:abstractNum>
  <w:abstractNum w:abstractNumId="18">
    <w:nsid w:val="3D727B26"/>
    <w:multiLevelType w:val="multilevel"/>
    <w:tmpl w:val="3D727B26"/>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rPr>
        <w:b w:val="0"/>
        <w:sz w:val="21"/>
        <w:szCs w:val="21"/>
      </w:rPr>
    </w:lvl>
    <w:lvl w:ilvl="2" w:tentative="0">
      <w:start w:val="1"/>
      <w:numFmt w:val="decimal"/>
      <w:lvlText w:val="%1.%2.%3"/>
      <w:lvlJc w:val="left"/>
      <w:pPr>
        <w:tabs>
          <w:tab w:val="left" w:pos="1418"/>
        </w:tabs>
        <w:ind w:left="1418" w:hanging="567"/>
      </w:pPr>
      <w:rPr>
        <w:color w:val="auto"/>
      </w:r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202"/>
        </w:tabs>
        <w:ind w:left="5102" w:hanging="1700"/>
      </w:pPr>
    </w:lvl>
  </w:abstractNum>
  <w:abstractNum w:abstractNumId="19">
    <w:nsid w:val="570C9FE6"/>
    <w:multiLevelType w:val="singleLevel"/>
    <w:tmpl w:val="570C9FE6"/>
    <w:lvl w:ilvl="0" w:tentative="0">
      <w:start w:val="1"/>
      <w:numFmt w:val="decimal"/>
      <w:lvlText w:val="(%1)"/>
      <w:lvlJc w:val="left"/>
      <w:pPr>
        <w:ind w:left="425" w:hanging="425"/>
      </w:pPr>
      <w:rPr>
        <w:rFonts w:hint="default"/>
      </w:rPr>
    </w:lvl>
  </w:abstractNum>
  <w:abstractNum w:abstractNumId="20">
    <w:nsid w:val="5824077B"/>
    <w:multiLevelType w:val="singleLevel"/>
    <w:tmpl w:val="5824077B"/>
    <w:lvl w:ilvl="0" w:tentative="0">
      <w:start w:val="1"/>
      <w:numFmt w:val="decimal"/>
      <w:suff w:val="nothing"/>
      <w:lvlText w:val="%1、"/>
      <w:lvlJc w:val="left"/>
      <w:rPr>
        <w:rFonts w:ascii="宋体" w:hAnsi="宋体" w:eastAsia="宋体" w:cs="宋体"/>
        <w:b w:val="0"/>
      </w:rPr>
    </w:lvl>
  </w:abstractNum>
  <w:abstractNum w:abstractNumId="21">
    <w:nsid w:val="6030F75F"/>
    <w:multiLevelType w:val="multilevel"/>
    <w:tmpl w:val="6030F75F"/>
    <w:lvl w:ilvl="0" w:tentative="0">
      <w:start w:val="3"/>
      <w:numFmt w:val="decimal"/>
      <w:lvlText w:val="%1."/>
      <w:lvlJc w:val="left"/>
      <w:pPr>
        <w:ind w:left="425" w:hanging="425"/>
      </w:pPr>
      <w:rPr>
        <w:rFonts w:hint="default"/>
      </w:rPr>
    </w:lvl>
    <w:lvl w:ilvl="1" w:tentative="0">
      <w:start w:val="2"/>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2">
    <w:nsid w:val="636E47B0"/>
    <w:multiLevelType w:val="multilevel"/>
    <w:tmpl w:val="636E47B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29B7CC"/>
    <w:multiLevelType w:val="multilevel"/>
    <w:tmpl w:val="6429B7CC"/>
    <w:lvl w:ilvl="0" w:tentative="0">
      <w:start w:val="2"/>
      <w:numFmt w:val="decimal"/>
      <w:lvlText w:val="%1."/>
      <w:lvlJc w:val="left"/>
      <w:pPr>
        <w:ind w:left="425" w:hanging="425"/>
      </w:pPr>
      <w:rPr>
        <w:rFonts w:hint="default"/>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4">
    <w:nsid w:val="6BDA4796"/>
    <w:multiLevelType w:val="singleLevel"/>
    <w:tmpl w:val="6BDA4796"/>
    <w:lvl w:ilvl="0" w:tentative="0">
      <w:start w:val="1"/>
      <w:numFmt w:val="decimal"/>
      <w:lvlText w:val="(%1)"/>
      <w:lvlJc w:val="left"/>
      <w:pPr>
        <w:ind w:left="425" w:hanging="425"/>
      </w:pPr>
      <w:rPr>
        <w:rFonts w:hint="default"/>
      </w:rPr>
    </w:lvl>
  </w:abstractNum>
  <w:abstractNum w:abstractNumId="25">
    <w:nsid w:val="726BCA4F"/>
    <w:multiLevelType w:val="multilevel"/>
    <w:tmpl w:val="726BCA4F"/>
    <w:lvl w:ilvl="0" w:tentative="0">
      <w:start w:val="2"/>
      <w:numFmt w:val="decimal"/>
      <w:lvlText w:val="%1."/>
      <w:lvlJc w:val="left"/>
      <w:pPr>
        <w:ind w:left="425" w:hanging="425"/>
      </w:pPr>
      <w:rPr>
        <w:rFonts w:hint="default"/>
      </w:rPr>
    </w:lvl>
    <w:lvl w:ilvl="1" w:tentative="0">
      <w:start w:val="2"/>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6">
    <w:nsid w:val="77A6C9D0"/>
    <w:multiLevelType w:val="multilevel"/>
    <w:tmpl w:val="77A6C9D0"/>
    <w:lvl w:ilvl="0" w:tentative="0">
      <w:start w:val="1"/>
      <w:numFmt w:val="decimal"/>
      <w:lvlText w:val="%1."/>
      <w:lvlJc w:val="left"/>
      <w:pPr>
        <w:ind w:left="1134" w:hanging="1134"/>
      </w:pPr>
      <w:rPr>
        <w:rFonts w:hint="default" w:ascii="宋体" w:hAnsi="宋体" w:eastAsia="宋体" w:cs="宋体"/>
      </w:rPr>
    </w:lvl>
    <w:lvl w:ilvl="1" w:tentative="0">
      <w:start w:val="2"/>
      <w:numFmt w:val="decimal"/>
      <w:pStyle w:val="3"/>
      <w:lvlText w:val="%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7">
    <w:nsid w:val="78DF682D"/>
    <w:multiLevelType w:val="singleLevel"/>
    <w:tmpl w:val="78DF682D"/>
    <w:lvl w:ilvl="0" w:tentative="0">
      <w:start w:val="1"/>
      <w:numFmt w:val="chineseCounting"/>
      <w:suff w:val="nothing"/>
      <w:lvlText w:val="（%1）"/>
      <w:lvlJc w:val="left"/>
      <w:pPr>
        <w:ind w:left="0" w:firstLine="420"/>
      </w:pPr>
      <w:rPr>
        <w:rFonts w:hint="eastAsia"/>
      </w:rPr>
    </w:lvl>
  </w:abstractNum>
  <w:num w:numId="1">
    <w:abstractNumId w:val="0"/>
  </w:num>
  <w:num w:numId="2">
    <w:abstractNumId w:val="26"/>
  </w:num>
  <w:num w:numId="3">
    <w:abstractNumId w:val="20"/>
  </w:num>
  <w:num w:numId="4">
    <w:abstractNumId w:val="15"/>
  </w:num>
  <w:num w:numId="5">
    <w:abstractNumId w:val="18"/>
  </w:num>
  <w:num w:numId="6">
    <w:abstractNumId w:val="10"/>
  </w:num>
  <w:num w:numId="7">
    <w:abstractNumId w:val="24"/>
  </w:num>
  <w:num w:numId="8">
    <w:abstractNumId w:val="8"/>
  </w:num>
  <w:num w:numId="9">
    <w:abstractNumId w:val="9"/>
  </w:num>
  <w:num w:numId="10">
    <w:abstractNumId w:val="13"/>
  </w:num>
  <w:num w:numId="11">
    <w:abstractNumId w:val="2"/>
  </w:num>
  <w:num w:numId="12">
    <w:abstractNumId w:val="1"/>
  </w:num>
  <w:num w:numId="13">
    <w:abstractNumId w:val="5"/>
  </w:num>
  <w:num w:numId="14">
    <w:abstractNumId w:val="23"/>
  </w:num>
  <w:num w:numId="15">
    <w:abstractNumId w:val="25"/>
  </w:num>
  <w:num w:numId="16">
    <w:abstractNumId w:val="16"/>
  </w:num>
  <w:num w:numId="17">
    <w:abstractNumId w:val="6"/>
  </w:num>
  <w:num w:numId="18">
    <w:abstractNumId w:val="7"/>
  </w:num>
  <w:num w:numId="19">
    <w:abstractNumId w:val="4"/>
  </w:num>
  <w:num w:numId="20">
    <w:abstractNumId w:val="19"/>
  </w:num>
  <w:num w:numId="21">
    <w:abstractNumId w:val="21"/>
  </w:num>
  <w:num w:numId="22">
    <w:abstractNumId w:val="12"/>
  </w:num>
  <w:num w:numId="23">
    <w:abstractNumId w:val="3"/>
  </w:num>
  <w:num w:numId="24">
    <w:abstractNumId w:val="17"/>
  </w:num>
  <w:num w:numId="25">
    <w:abstractNumId w:val="27"/>
  </w:num>
  <w:num w:numId="26">
    <w:abstractNumId w:val="22"/>
  </w:num>
  <w:num w:numId="27">
    <w:abstractNumId w:val="1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Y0ZTIxZTg0Y2JjOTJhOWJmYjNkN2U5ODZlNjIzMGMifQ=="/>
  </w:docVars>
  <w:rsids>
    <w:rsidRoot w:val="1F611352"/>
    <w:rsid w:val="00051F7D"/>
    <w:rsid w:val="000A0F2E"/>
    <w:rsid w:val="000B4526"/>
    <w:rsid w:val="000C7014"/>
    <w:rsid w:val="000E52E7"/>
    <w:rsid w:val="00133BA9"/>
    <w:rsid w:val="00176732"/>
    <w:rsid w:val="001D0E16"/>
    <w:rsid w:val="00214969"/>
    <w:rsid w:val="00224FCD"/>
    <w:rsid w:val="00245E5D"/>
    <w:rsid w:val="002E508B"/>
    <w:rsid w:val="00310DBD"/>
    <w:rsid w:val="003301B9"/>
    <w:rsid w:val="00343187"/>
    <w:rsid w:val="00373329"/>
    <w:rsid w:val="003949A6"/>
    <w:rsid w:val="0048022D"/>
    <w:rsid w:val="004C0F00"/>
    <w:rsid w:val="0065481B"/>
    <w:rsid w:val="006715E6"/>
    <w:rsid w:val="0067582C"/>
    <w:rsid w:val="00677754"/>
    <w:rsid w:val="006E7F0B"/>
    <w:rsid w:val="00753AFC"/>
    <w:rsid w:val="00756BEF"/>
    <w:rsid w:val="007B4412"/>
    <w:rsid w:val="008953F8"/>
    <w:rsid w:val="008B3598"/>
    <w:rsid w:val="0097753F"/>
    <w:rsid w:val="009B150E"/>
    <w:rsid w:val="00A13B7F"/>
    <w:rsid w:val="00A20D8C"/>
    <w:rsid w:val="00A815E9"/>
    <w:rsid w:val="00A843BC"/>
    <w:rsid w:val="00AA163D"/>
    <w:rsid w:val="00B3135C"/>
    <w:rsid w:val="00B5211D"/>
    <w:rsid w:val="00B739E1"/>
    <w:rsid w:val="00B84955"/>
    <w:rsid w:val="00B92382"/>
    <w:rsid w:val="00B93FA5"/>
    <w:rsid w:val="00C34E4D"/>
    <w:rsid w:val="00C65E2C"/>
    <w:rsid w:val="00CB0EC6"/>
    <w:rsid w:val="00D066E8"/>
    <w:rsid w:val="00D5003D"/>
    <w:rsid w:val="00DD76BC"/>
    <w:rsid w:val="00EF4F56"/>
    <w:rsid w:val="00F73983"/>
    <w:rsid w:val="00FA3089"/>
    <w:rsid w:val="00FC279E"/>
    <w:rsid w:val="00FE358C"/>
    <w:rsid w:val="0177566F"/>
    <w:rsid w:val="0194617D"/>
    <w:rsid w:val="01B566AA"/>
    <w:rsid w:val="01C6424A"/>
    <w:rsid w:val="01F746CC"/>
    <w:rsid w:val="027E105B"/>
    <w:rsid w:val="02A52CFD"/>
    <w:rsid w:val="031F075B"/>
    <w:rsid w:val="03966A71"/>
    <w:rsid w:val="03A367D0"/>
    <w:rsid w:val="042B5009"/>
    <w:rsid w:val="04376A28"/>
    <w:rsid w:val="04420C1A"/>
    <w:rsid w:val="04443B8E"/>
    <w:rsid w:val="04CE5ACF"/>
    <w:rsid w:val="0510665E"/>
    <w:rsid w:val="051F008D"/>
    <w:rsid w:val="0537264C"/>
    <w:rsid w:val="055528F0"/>
    <w:rsid w:val="0602580F"/>
    <w:rsid w:val="0642133E"/>
    <w:rsid w:val="0673692E"/>
    <w:rsid w:val="06940F6E"/>
    <w:rsid w:val="06AF1042"/>
    <w:rsid w:val="06BF4050"/>
    <w:rsid w:val="06C17DA2"/>
    <w:rsid w:val="070D7F1A"/>
    <w:rsid w:val="07147808"/>
    <w:rsid w:val="07416A2C"/>
    <w:rsid w:val="07605B88"/>
    <w:rsid w:val="079109FF"/>
    <w:rsid w:val="07CB6D50"/>
    <w:rsid w:val="081B1407"/>
    <w:rsid w:val="08B30470"/>
    <w:rsid w:val="08C11C46"/>
    <w:rsid w:val="09216B15"/>
    <w:rsid w:val="0958241C"/>
    <w:rsid w:val="09972033"/>
    <w:rsid w:val="09D41DD9"/>
    <w:rsid w:val="0A583F07"/>
    <w:rsid w:val="0A9F7CC7"/>
    <w:rsid w:val="0AE4737E"/>
    <w:rsid w:val="0B786294"/>
    <w:rsid w:val="0B8948E1"/>
    <w:rsid w:val="0BAE737B"/>
    <w:rsid w:val="0BB21CA6"/>
    <w:rsid w:val="0BDA0450"/>
    <w:rsid w:val="0C1747A7"/>
    <w:rsid w:val="0C3876E1"/>
    <w:rsid w:val="0C583C7C"/>
    <w:rsid w:val="0C743400"/>
    <w:rsid w:val="0D725B91"/>
    <w:rsid w:val="0DF06AB6"/>
    <w:rsid w:val="0E0316E5"/>
    <w:rsid w:val="0E1F1149"/>
    <w:rsid w:val="0E41532F"/>
    <w:rsid w:val="0E5057A7"/>
    <w:rsid w:val="0EC23754"/>
    <w:rsid w:val="0F1C3CDD"/>
    <w:rsid w:val="0F4B7CDC"/>
    <w:rsid w:val="0F7811B7"/>
    <w:rsid w:val="106520CA"/>
    <w:rsid w:val="10750231"/>
    <w:rsid w:val="113E164A"/>
    <w:rsid w:val="118E4BD2"/>
    <w:rsid w:val="11EF20A7"/>
    <w:rsid w:val="11FB48CB"/>
    <w:rsid w:val="1202500A"/>
    <w:rsid w:val="121D0DB5"/>
    <w:rsid w:val="12B5594B"/>
    <w:rsid w:val="12C879E9"/>
    <w:rsid w:val="13290CC0"/>
    <w:rsid w:val="13B84571"/>
    <w:rsid w:val="13BA0375"/>
    <w:rsid w:val="140275A9"/>
    <w:rsid w:val="140A700E"/>
    <w:rsid w:val="147703D7"/>
    <w:rsid w:val="14F6689B"/>
    <w:rsid w:val="15003C2A"/>
    <w:rsid w:val="15B0523B"/>
    <w:rsid w:val="15DA3E6C"/>
    <w:rsid w:val="15E016E9"/>
    <w:rsid w:val="15FB31A6"/>
    <w:rsid w:val="164C3046"/>
    <w:rsid w:val="16605D72"/>
    <w:rsid w:val="168B7CC4"/>
    <w:rsid w:val="16CD3D3A"/>
    <w:rsid w:val="172A0B43"/>
    <w:rsid w:val="17493E21"/>
    <w:rsid w:val="17716EF2"/>
    <w:rsid w:val="17A96B94"/>
    <w:rsid w:val="17C50D61"/>
    <w:rsid w:val="1815331E"/>
    <w:rsid w:val="183835B9"/>
    <w:rsid w:val="184E4CDF"/>
    <w:rsid w:val="188934B1"/>
    <w:rsid w:val="18D06E6E"/>
    <w:rsid w:val="18F764CF"/>
    <w:rsid w:val="1A2116FE"/>
    <w:rsid w:val="1A3B4995"/>
    <w:rsid w:val="1A917A9D"/>
    <w:rsid w:val="1AE35E18"/>
    <w:rsid w:val="1B444924"/>
    <w:rsid w:val="1B7274D8"/>
    <w:rsid w:val="1B855063"/>
    <w:rsid w:val="1BFB31F6"/>
    <w:rsid w:val="1C2F56B8"/>
    <w:rsid w:val="1C5B503C"/>
    <w:rsid w:val="1C71346E"/>
    <w:rsid w:val="1C751CC0"/>
    <w:rsid w:val="1C8A7A20"/>
    <w:rsid w:val="1CA91C01"/>
    <w:rsid w:val="1CF61417"/>
    <w:rsid w:val="1DD01F5E"/>
    <w:rsid w:val="1E013AE5"/>
    <w:rsid w:val="1EF36406"/>
    <w:rsid w:val="1F1B20C0"/>
    <w:rsid w:val="1F38258B"/>
    <w:rsid w:val="1F611352"/>
    <w:rsid w:val="1F87425B"/>
    <w:rsid w:val="1F9A5ADC"/>
    <w:rsid w:val="1FE16132"/>
    <w:rsid w:val="1FF029B3"/>
    <w:rsid w:val="202473D5"/>
    <w:rsid w:val="20500524"/>
    <w:rsid w:val="20D87ACD"/>
    <w:rsid w:val="20E41338"/>
    <w:rsid w:val="21260264"/>
    <w:rsid w:val="21D50045"/>
    <w:rsid w:val="223D1008"/>
    <w:rsid w:val="228E2F63"/>
    <w:rsid w:val="22920C51"/>
    <w:rsid w:val="22D67A89"/>
    <w:rsid w:val="23244DE0"/>
    <w:rsid w:val="23430E21"/>
    <w:rsid w:val="23584B09"/>
    <w:rsid w:val="2392181F"/>
    <w:rsid w:val="24912949"/>
    <w:rsid w:val="255565CE"/>
    <w:rsid w:val="255803A2"/>
    <w:rsid w:val="25827827"/>
    <w:rsid w:val="25BA705F"/>
    <w:rsid w:val="2620130C"/>
    <w:rsid w:val="26D95710"/>
    <w:rsid w:val="26F21F09"/>
    <w:rsid w:val="26F77352"/>
    <w:rsid w:val="26FD2AD2"/>
    <w:rsid w:val="272111CC"/>
    <w:rsid w:val="27885D6E"/>
    <w:rsid w:val="27D663B3"/>
    <w:rsid w:val="27DB2214"/>
    <w:rsid w:val="27DD64FE"/>
    <w:rsid w:val="284B765E"/>
    <w:rsid w:val="285B6F44"/>
    <w:rsid w:val="286F620C"/>
    <w:rsid w:val="28AB1AFF"/>
    <w:rsid w:val="28D356FA"/>
    <w:rsid w:val="290F389D"/>
    <w:rsid w:val="29210AA9"/>
    <w:rsid w:val="29411A95"/>
    <w:rsid w:val="29633B6B"/>
    <w:rsid w:val="29CE14C5"/>
    <w:rsid w:val="29E50164"/>
    <w:rsid w:val="2A1851C7"/>
    <w:rsid w:val="2A54165B"/>
    <w:rsid w:val="2A653A8E"/>
    <w:rsid w:val="2A82637D"/>
    <w:rsid w:val="2AC82E3D"/>
    <w:rsid w:val="2AD510B6"/>
    <w:rsid w:val="2AE123EE"/>
    <w:rsid w:val="2B7E692D"/>
    <w:rsid w:val="2BD80AE5"/>
    <w:rsid w:val="2D631ACE"/>
    <w:rsid w:val="2D765006"/>
    <w:rsid w:val="2D9C3DD5"/>
    <w:rsid w:val="2E3558C9"/>
    <w:rsid w:val="2E3A341E"/>
    <w:rsid w:val="2E907846"/>
    <w:rsid w:val="2E9927AB"/>
    <w:rsid w:val="2EDA2C9E"/>
    <w:rsid w:val="2F4915DD"/>
    <w:rsid w:val="2F64421D"/>
    <w:rsid w:val="2F7637C4"/>
    <w:rsid w:val="2FCF2953"/>
    <w:rsid w:val="2FF10757"/>
    <w:rsid w:val="2FF7387C"/>
    <w:rsid w:val="30202DD3"/>
    <w:rsid w:val="305321F7"/>
    <w:rsid w:val="307F3F9D"/>
    <w:rsid w:val="30D37E45"/>
    <w:rsid w:val="313D7C21"/>
    <w:rsid w:val="314C1FBC"/>
    <w:rsid w:val="31C76D4C"/>
    <w:rsid w:val="32052BC0"/>
    <w:rsid w:val="32234FE7"/>
    <w:rsid w:val="32256487"/>
    <w:rsid w:val="32791125"/>
    <w:rsid w:val="3280604C"/>
    <w:rsid w:val="32995BE9"/>
    <w:rsid w:val="32DF1DEE"/>
    <w:rsid w:val="32F3689A"/>
    <w:rsid w:val="331A5131"/>
    <w:rsid w:val="3339709F"/>
    <w:rsid w:val="33B20A89"/>
    <w:rsid w:val="33E86E49"/>
    <w:rsid w:val="34DB2353"/>
    <w:rsid w:val="34EA179C"/>
    <w:rsid w:val="34FF745B"/>
    <w:rsid w:val="35DD207D"/>
    <w:rsid w:val="361137EB"/>
    <w:rsid w:val="36140CE4"/>
    <w:rsid w:val="361B3C50"/>
    <w:rsid w:val="3648705E"/>
    <w:rsid w:val="364E7C0B"/>
    <w:rsid w:val="36D51686"/>
    <w:rsid w:val="37483D30"/>
    <w:rsid w:val="37A10CCC"/>
    <w:rsid w:val="37C13D8B"/>
    <w:rsid w:val="38DF5D4B"/>
    <w:rsid w:val="392D1BDF"/>
    <w:rsid w:val="3A9718D8"/>
    <w:rsid w:val="3AFC72C1"/>
    <w:rsid w:val="3B0A1551"/>
    <w:rsid w:val="3B0F7120"/>
    <w:rsid w:val="3B190F9D"/>
    <w:rsid w:val="3B6D132B"/>
    <w:rsid w:val="3BB7755B"/>
    <w:rsid w:val="3BC33845"/>
    <w:rsid w:val="3C5C6A7D"/>
    <w:rsid w:val="3C7375C6"/>
    <w:rsid w:val="3CA76B12"/>
    <w:rsid w:val="3D954E00"/>
    <w:rsid w:val="3D9B2C50"/>
    <w:rsid w:val="3DB10256"/>
    <w:rsid w:val="3DB17760"/>
    <w:rsid w:val="3E243C51"/>
    <w:rsid w:val="3E44668D"/>
    <w:rsid w:val="3EA50AAD"/>
    <w:rsid w:val="3EA96539"/>
    <w:rsid w:val="3EBB1BB4"/>
    <w:rsid w:val="3F1B42A4"/>
    <w:rsid w:val="3F3235E9"/>
    <w:rsid w:val="3F50551A"/>
    <w:rsid w:val="3F7F7B16"/>
    <w:rsid w:val="3FEE4136"/>
    <w:rsid w:val="3FF43FBE"/>
    <w:rsid w:val="40376A71"/>
    <w:rsid w:val="40604362"/>
    <w:rsid w:val="40A631FF"/>
    <w:rsid w:val="40D6427E"/>
    <w:rsid w:val="41546164"/>
    <w:rsid w:val="41DF7B97"/>
    <w:rsid w:val="41F1446F"/>
    <w:rsid w:val="422D2AE1"/>
    <w:rsid w:val="42327B3D"/>
    <w:rsid w:val="42A42757"/>
    <w:rsid w:val="42E338F9"/>
    <w:rsid w:val="43261B3E"/>
    <w:rsid w:val="43647715"/>
    <w:rsid w:val="436E7D5C"/>
    <w:rsid w:val="437E115F"/>
    <w:rsid w:val="43840FF8"/>
    <w:rsid w:val="43A54463"/>
    <w:rsid w:val="43AC2EA4"/>
    <w:rsid w:val="43B867C7"/>
    <w:rsid w:val="44242A3A"/>
    <w:rsid w:val="44635CDA"/>
    <w:rsid w:val="44676118"/>
    <w:rsid w:val="45263081"/>
    <w:rsid w:val="452E61C6"/>
    <w:rsid w:val="457356E1"/>
    <w:rsid w:val="459573D0"/>
    <w:rsid w:val="45E56BC5"/>
    <w:rsid w:val="46072613"/>
    <w:rsid w:val="46227866"/>
    <w:rsid w:val="46D97A34"/>
    <w:rsid w:val="47226FD9"/>
    <w:rsid w:val="47957D41"/>
    <w:rsid w:val="47A57393"/>
    <w:rsid w:val="482C1B4D"/>
    <w:rsid w:val="483407B7"/>
    <w:rsid w:val="48F81ADF"/>
    <w:rsid w:val="490D6193"/>
    <w:rsid w:val="493558F1"/>
    <w:rsid w:val="49382222"/>
    <w:rsid w:val="49F40EDA"/>
    <w:rsid w:val="4AD40230"/>
    <w:rsid w:val="4B1732F9"/>
    <w:rsid w:val="4BBD5522"/>
    <w:rsid w:val="4C0C7A09"/>
    <w:rsid w:val="4CF83380"/>
    <w:rsid w:val="4D4407EF"/>
    <w:rsid w:val="4D5011F0"/>
    <w:rsid w:val="4DC05378"/>
    <w:rsid w:val="4DDF75B7"/>
    <w:rsid w:val="4E6425F3"/>
    <w:rsid w:val="4F1A629F"/>
    <w:rsid w:val="4F340266"/>
    <w:rsid w:val="4F984E5D"/>
    <w:rsid w:val="4FAC33AD"/>
    <w:rsid w:val="4FB908A7"/>
    <w:rsid w:val="4FE57280"/>
    <w:rsid w:val="502E4D6F"/>
    <w:rsid w:val="510415F0"/>
    <w:rsid w:val="518C7D55"/>
    <w:rsid w:val="51F5571B"/>
    <w:rsid w:val="53894F6C"/>
    <w:rsid w:val="53933819"/>
    <w:rsid w:val="54336CC9"/>
    <w:rsid w:val="543738E7"/>
    <w:rsid w:val="543A3BB4"/>
    <w:rsid w:val="544058F5"/>
    <w:rsid w:val="54445B5D"/>
    <w:rsid w:val="544E068E"/>
    <w:rsid w:val="54617CCA"/>
    <w:rsid w:val="558B23DC"/>
    <w:rsid w:val="55BB4C08"/>
    <w:rsid w:val="56345B1B"/>
    <w:rsid w:val="56895AEA"/>
    <w:rsid w:val="569500E2"/>
    <w:rsid w:val="56C368E4"/>
    <w:rsid w:val="56E83DA1"/>
    <w:rsid w:val="56F02C50"/>
    <w:rsid w:val="57034803"/>
    <w:rsid w:val="57304314"/>
    <w:rsid w:val="5792065C"/>
    <w:rsid w:val="57BC047B"/>
    <w:rsid w:val="57F86E32"/>
    <w:rsid w:val="580F5CC1"/>
    <w:rsid w:val="586F71B3"/>
    <w:rsid w:val="58A834B3"/>
    <w:rsid w:val="58A85546"/>
    <w:rsid w:val="58C03462"/>
    <w:rsid w:val="596F1AB8"/>
    <w:rsid w:val="598167C2"/>
    <w:rsid w:val="59BD6D86"/>
    <w:rsid w:val="5A9811BD"/>
    <w:rsid w:val="5B210CCD"/>
    <w:rsid w:val="5B411CCC"/>
    <w:rsid w:val="5B612747"/>
    <w:rsid w:val="5BFD6385"/>
    <w:rsid w:val="5C5D4DAA"/>
    <w:rsid w:val="5D34025D"/>
    <w:rsid w:val="5D6E44BA"/>
    <w:rsid w:val="5E080DA7"/>
    <w:rsid w:val="5E251431"/>
    <w:rsid w:val="5E936A02"/>
    <w:rsid w:val="5EAC401C"/>
    <w:rsid w:val="5F2D76BD"/>
    <w:rsid w:val="5F3D56E4"/>
    <w:rsid w:val="5F636457"/>
    <w:rsid w:val="60060999"/>
    <w:rsid w:val="60093E56"/>
    <w:rsid w:val="600A7F6A"/>
    <w:rsid w:val="601561E9"/>
    <w:rsid w:val="602815A6"/>
    <w:rsid w:val="604C6429"/>
    <w:rsid w:val="607F68BD"/>
    <w:rsid w:val="6183303E"/>
    <w:rsid w:val="619856F0"/>
    <w:rsid w:val="61CC6EEE"/>
    <w:rsid w:val="61F977D4"/>
    <w:rsid w:val="62145A44"/>
    <w:rsid w:val="62AD12DF"/>
    <w:rsid w:val="62CF3C9A"/>
    <w:rsid w:val="62CF7BBD"/>
    <w:rsid w:val="636206F0"/>
    <w:rsid w:val="63830944"/>
    <w:rsid w:val="63AF7BD5"/>
    <w:rsid w:val="63D23E09"/>
    <w:rsid w:val="64922E50"/>
    <w:rsid w:val="6508537E"/>
    <w:rsid w:val="6530528B"/>
    <w:rsid w:val="65654809"/>
    <w:rsid w:val="658512D8"/>
    <w:rsid w:val="65901886"/>
    <w:rsid w:val="66306C44"/>
    <w:rsid w:val="668A5624"/>
    <w:rsid w:val="66D05AEB"/>
    <w:rsid w:val="67CF567A"/>
    <w:rsid w:val="684B3B48"/>
    <w:rsid w:val="68AE0CE2"/>
    <w:rsid w:val="68BB3926"/>
    <w:rsid w:val="68EA5751"/>
    <w:rsid w:val="695232F6"/>
    <w:rsid w:val="698E432E"/>
    <w:rsid w:val="69DA3201"/>
    <w:rsid w:val="6A257076"/>
    <w:rsid w:val="6B012F47"/>
    <w:rsid w:val="6B8D6867"/>
    <w:rsid w:val="6B9E3939"/>
    <w:rsid w:val="6C036338"/>
    <w:rsid w:val="6C0E1577"/>
    <w:rsid w:val="6C6A77E5"/>
    <w:rsid w:val="6C774839"/>
    <w:rsid w:val="6C802A04"/>
    <w:rsid w:val="6C8A26FB"/>
    <w:rsid w:val="6CAE5914"/>
    <w:rsid w:val="6CDA5BDB"/>
    <w:rsid w:val="6D9F1A35"/>
    <w:rsid w:val="6DBB590E"/>
    <w:rsid w:val="6DD07685"/>
    <w:rsid w:val="6E0E64EC"/>
    <w:rsid w:val="6E5701FC"/>
    <w:rsid w:val="6E69248F"/>
    <w:rsid w:val="6E707D8C"/>
    <w:rsid w:val="6E9C5CA8"/>
    <w:rsid w:val="6F076040"/>
    <w:rsid w:val="6F4B3B49"/>
    <w:rsid w:val="6F860A4C"/>
    <w:rsid w:val="6F9D6336"/>
    <w:rsid w:val="70445C8E"/>
    <w:rsid w:val="705D2CAC"/>
    <w:rsid w:val="70E76812"/>
    <w:rsid w:val="71647F7A"/>
    <w:rsid w:val="71AF12E6"/>
    <w:rsid w:val="71E73B2D"/>
    <w:rsid w:val="71F87270"/>
    <w:rsid w:val="71F954EC"/>
    <w:rsid w:val="72640322"/>
    <w:rsid w:val="732605E1"/>
    <w:rsid w:val="733D0B73"/>
    <w:rsid w:val="73534EB3"/>
    <w:rsid w:val="738A14AC"/>
    <w:rsid w:val="73B40E35"/>
    <w:rsid w:val="73B76B77"/>
    <w:rsid w:val="7542786F"/>
    <w:rsid w:val="756012FF"/>
    <w:rsid w:val="75BA46FD"/>
    <w:rsid w:val="76736AD0"/>
    <w:rsid w:val="767A2C9B"/>
    <w:rsid w:val="768C025F"/>
    <w:rsid w:val="77A230AB"/>
    <w:rsid w:val="77A86F03"/>
    <w:rsid w:val="77EC0E63"/>
    <w:rsid w:val="78305AC3"/>
    <w:rsid w:val="78323E46"/>
    <w:rsid w:val="78774B27"/>
    <w:rsid w:val="7892370F"/>
    <w:rsid w:val="78B05F90"/>
    <w:rsid w:val="78F656C4"/>
    <w:rsid w:val="794E46D0"/>
    <w:rsid w:val="79C2027D"/>
    <w:rsid w:val="7A3507F6"/>
    <w:rsid w:val="7AA95598"/>
    <w:rsid w:val="7B00296F"/>
    <w:rsid w:val="7B56696B"/>
    <w:rsid w:val="7BB81D6B"/>
    <w:rsid w:val="7C1A3ECD"/>
    <w:rsid w:val="7C61444B"/>
    <w:rsid w:val="7CB73983"/>
    <w:rsid w:val="7CBD4472"/>
    <w:rsid w:val="7D017254"/>
    <w:rsid w:val="7D551FAD"/>
    <w:rsid w:val="7DA912DF"/>
    <w:rsid w:val="7E7315B9"/>
    <w:rsid w:val="7EA924BC"/>
    <w:rsid w:val="7EBA1B60"/>
    <w:rsid w:val="7F657B77"/>
    <w:rsid w:val="7FB64187"/>
    <w:rsid w:val="7FCA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wordWrap w:val="0"/>
      <w:topLinePunct/>
      <w:jc w:val="both"/>
    </w:pPr>
    <w:rPr>
      <w:rFonts w:ascii="宋体" w:hAnsi="宋体" w:eastAsia="宋体" w:cs="宋体"/>
      <w:kern w:val="2"/>
      <w:sz w:val="21"/>
      <w:szCs w:val="21"/>
      <w:lang w:val="en-US" w:eastAsia="zh-CN" w:bidi="ar-SA"/>
    </w:rPr>
  </w:style>
  <w:style w:type="paragraph" w:styleId="4">
    <w:name w:val="heading 1"/>
    <w:basedOn w:val="1"/>
    <w:next w:val="1"/>
    <w:autoRedefine/>
    <w:qFormat/>
    <w:uiPriority w:val="0"/>
    <w:pPr>
      <w:spacing w:line="360" w:lineRule="auto"/>
      <w:jc w:val="center"/>
      <w:outlineLvl w:val="0"/>
    </w:pPr>
    <w:rPr>
      <w:rFonts w:cs="Times New Roman"/>
      <w:b/>
      <w:bCs/>
      <w:sz w:val="44"/>
      <w:szCs w:val="32"/>
      <w:lang w:eastAsia="en-US"/>
    </w:rPr>
  </w:style>
  <w:style w:type="paragraph" w:styleId="5">
    <w:name w:val="heading 2"/>
    <w:basedOn w:val="1"/>
    <w:next w:val="1"/>
    <w:semiHidden/>
    <w:unhideWhenUsed/>
    <w:qFormat/>
    <w:uiPriority w:val="0"/>
    <w:pPr>
      <w:spacing w:line="360" w:lineRule="auto"/>
      <w:ind w:left="119"/>
      <w:jc w:val="center"/>
      <w:outlineLvl w:val="1"/>
    </w:pPr>
    <w:rPr>
      <w:rFonts w:cs="Times New Roman"/>
      <w:b/>
      <w:bCs/>
      <w:sz w:val="32"/>
      <w:lang w:eastAsia="en-US"/>
    </w:rPr>
  </w:style>
  <w:style w:type="paragraph" w:styleId="6">
    <w:name w:val="heading 3"/>
    <w:basedOn w:val="1"/>
    <w:next w:val="1"/>
    <w:qFormat/>
    <w:uiPriority w:val="0"/>
    <w:pPr>
      <w:keepNext/>
      <w:keepLines/>
      <w:numPr>
        <w:ilvl w:val="2"/>
        <w:numId w:val="1"/>
      </w:numPr>
      <w:spacing w:line="360" w:lineRule="auto"/>
      <w:outlineLvl w:val="2"/>
    </w:pPr>
    <w:rPr>
      <w:rFonts w:cs="Times New Roman"/>
      <w:b/>
      <w:bCs/>
    </w:rPr>
  </w:style>
  <w:style w:type="character" w:default="1" w:styleId="24">
    <w:name w:val="Default Paragraph Font"/>
    <w:autoRedefine/>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customStyle="1" w:styleId="3">
    <w:name w:val="Default"/>
    <w:next w:val="1"/>
    <w:autoRedefine/>
    <w:qFormat/>
    <w:uiPriority w:val="0"/>
    <w:pPr>
      <w:widowControl w:val="0"/>
      <w:numPr>
        <w:ilvl w:val="1"/>
        <w:numId w:val="2"/>
      </w:numPr>
      <w:autoSpaceDE w:val="0"/>
      <w:autoSpaceDN w:val="0"/>
      <w:adjustRightInd w:val="0"/>
    </w:pPr>
    <w:rPr>
      <w:rFonts w:ascii="宋体" w:hAnsi="Times New Roman" w:eastAsia="宋体" w:cs="宋体"/>
      <w:color w:val="000000"/>
      <w:sz w:val="24"/>
      <w:szCs w:val="24"/>
      <w:lang w:val="en-US" w:eastAsia="zh-CN" w:bidi="ar-SA"/>
    </w:rPr>
  </w:style>
  <w:style w:type="paragraph" w:styleId="7">
    <w:name w:val="Normal Indent"/>
    <w:basedOn w:val="1"/>
    <w:qFormat/>
    <w:uiPriority w:val="0"/>
    <w:pPr>
      <w:ind w:firstLine="420" w:firstLineChars="200"/>
    </w:pPr>
    <w:rPr>
      <w:rFonts w:ascii="Times New Roman" w:hAnsi="Times New Roman" w:cs="Times New Roman"/>
      <w:szCs w:val="20"/>
    </w:rPr>
  </w:style>
  <w:style w:type="paragraph" w:styleId="8">
    <w:name w:val="index 5"/>
    <w:basedOn w:val="1"/>
    <w:next w:val="1"/>
    <w:autoRedefine/>
    <w:qFormat/>
    <w:uiPriority w:val="0"/>
    <w:pPr>
      <w:ind w:left="798" w:leftChars="380"/>
      <w:jc w:val="left"/>
    </w:pPr>
    <w:rPr>
      <w:rFonts w:ascii="Calibri" w:hAnsi="Calibri" w:eastAsia="宋体" w:cs="Times New Roman"/>
      <w:sz w:val="21"/>
      <w:szCs w:val="24"/>
    </w:rPr>
  </w:style>
  <w:style w:type="paragraph" w:styleId="9">
    <w:name w:val="Body Text Indent"/>
    <w:basedOn w:val="1"/>
    <w:next w:val="10"/>
    <w:autoRedefine/>
    <w:qFormat/>
    <w:uiPriority w:val="0"/>
    <w:pPr>
      <w:spacing w:after="120"/>
      <w:ind w:left="420" w:leftChars="200"/>
    </w:pPr>
    <w:rPr>
      <w:rFonts w:ascii="Times New Roman" w:hAnsi="Times New Roman" w:cs="Times New Roman"/>
    </w:rPr>
  </w:style>
  <w:style w:type="paragraph" w:styleId="10">
    <w:name w:val="envelope return"/>
    <w:basedOn w:val="1"/>
    <w:autoRedefine/>
    <w:qFormat/>
    <w:uiPriority w:val="0"/>
    <w:pPr>
      <w:snapToGrid w:val="0"/>
    </w:pPr>
    <w:rPr>
      <w:rFonts w:ascii="Arial" w:hAnsi="Arial"/>
    </w:rPr>
  </w:style>
  <w:style w:type="paragraph" w:styleId="11">
    <w:name w:val="List 2"/>
    <w:basedOn w:val="1"/>
    <w:autoRedefine/>
    <w:qFormat/>
    <w:uiPriority w:val="0"/>
    <w:pPr>
      <w:ind w:left="100" w:leftChars="200" w:hanging="200" w:hangingChars="200"/>
    </w:pPr>
    <w:rPr>
      <w:rFonts w:ascii="Times New Roman" w:hAnsi="Times New Roman" w:cs="Times New Roman"/>
    </w:rPr>
  </w:style>
  <w:style w:type="paragraph" w:styleId="12">
    <w:name w:val="List Continue"/>
    <w:basedOn w:val="1"/>
    <w:autoRedefine/>
    <w:qFormat/>
    <w:uiPriority w:val="0"/>
    <w:pPr>
      <w:widowControl/>
      <w:spacing w:before="100" w:beforeAutospacing="1" w:after="100" w:afterAutospacing="1"/>
      <w:jc w:val="left"/>
    </w:pPr>
    <w:rPr>
      <w:rFonts w:cs="Times New Roman"/>
      <w:kern w:val="0"/>
      <w:sz w:val="24"/>
    </w:rPr>
  </w:style>
  <w:style w:type="paragraph" w:styleId="13">
    <w:name w:val="Plain Text"/>
    <w:basedOn w:val="1"/>
    <w:autoRedefine/>
    <w:qFormat/>
    <w:uiPriority w:val="0"/>
    <w:rPr>
      <w:rFonts w:hAnsi="Courier New" w:cs="Courier New"/>
    </w:rPr>
  </w:style>
  <w:style w:type="paragraph" w:styleId="14">
    <w:name w:val="Balloon Text"/>
    <w:basedOn w:val="1"/>
    <w:link w:val="40"/>
    <w:qFormat/>
    <w:uiPriority w:val="0"/>
    <w:rPr>
      <w:sz w:val="18"/>
      <w:szCs w:val="18"/>
    </w:rPr>
  </w:style>
  <w:style w:type="paragraph" w:styleId="15">
    <w:name w:val="footer"/>
    <w:basedOn w:val="1"/>
    <w:qFormat/>
    <w:uiPriority w:val="99"/>
    <w:pPr>
      <w:tabs>
        <w:tab w:val="center" w:pos="4153"/>
        <w:tab w:val="right" w:pos="8306"/>
      </w:tabs>
      <w:snapToGrid w:val="0"/>
      <w:jc w:val="left"/>
    </w:pPr>
    <w:rPr>
      <w:rFonts w:ascii="Times New Roman" w:hAnsi="Times New Roman" w:cs="Times New Roman"/>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17">
    <w:name w:val="toc 1"/>
    <w:basedOn w:val="1"/>
    <w:next w:val="1"/>
    <w:qFormat/>
    <w:uiPriority w:val="39"/>
    <w:rPr>
      <w:rFonts w:ascii="Times New Roman" w:hAnsi="Times New Roman" w:cs="Times New Roman"/>
    </w:rPr>
  </w:style>
  <w:style w:type="paragraph" w:styleId="18">
    <w:name w:val="footnote text"/>
    <w:basedOn w:val="1"/>
    <w:next w:val="8"/>
    <w:autoRedefine/>
    <w:qFormat/>
    <w:uiPriority w:val="0"/>
    <w:pPr>
      <w:adjustRightInd w:val="0"/>
      <w:spacing w:line="312" w:lineRule="atLeast"/>
      <w:jc w:val="left"/>
      <w:textAlignment w:val="baseline"/>
    </w:pPr>
    <w:rPr>
      <w:kern w:val="0"/>
      <w:sz w:val="18"/>
      <w:szCs w:val="20"/>
    </w:rPr>
  </w:style>
  <w:style w:type="paragraph" w:styleId="19">
    <w:name w:val="Body Text 2"/>
    <w:basedOn w:val="1"/>
    <w:next w:val="2"/>
    <w:autoRedefine/>
    <w:qFormat/>
    <w:uiPriority w:val="0"/>
    <w:pPr>
      <w:suppressAutoHyphens/>
      <w:jc w:val="left"/>
    </w:pPr>
    <w:rPr>
      <w:color w:val="000000"/>
      <w:kern w:val="1"/>
      <w:sz w:val="28"/>
      <w:szCs w:val="20"/>
    </w:rPr>
  </w:style>
  <w:style w:type="paragraph" w:styleId="20">
    <w:name w:val="Normal (Web)"/>
    <w:basedOn w:val="1"/>
    <w:next w:val="1"/>
    <w:autoRedefine/>
    <w:qFormat/>
    <w:uiPriority w:val="0"/>
    <w:pPr>
      <w:widowControl/>
      <w:spacing w:before="100" w:beforeAutospacing="1" w:after="100" w:afterAutospacing="1" w:line="320" w:lineRule="atLeast"/>
      <w:jc w:val="left"/>
    </w:pPr>
    <w:rPr>
      <w:rFonts w:cs="Times New Roman"/>
      <w:kern w:val="0"/>
      <w:sz w:val="18"/>
      <w:szCs w:val="18"/>
    </w:rPr>
  </w:style>
  <w:style w:type="paragraph" w:styleId="21">
    <w:name w:val="Body Text First Indent"/>
    <w:basedOn w:val="2"/>
    <w:next w:val="22"/>
    <w:qFormat/>
    <w:uiPriority w:val="0"/>
    <w:pPr>
      <w:ind w:firstLine="420" w:firstLineChars="100"/>
    </w:pPr>
  </w:style>
  <w:style w:type="paragraph" w:styleId="22">
    <w:name w:val="Body Text First Indent 2"/>
    <w:basedOn w:val="9"/>
    <w:next w:val="21"/>
    <w:autoRedefine/>
    <w:qFormat/>
    <w:uiPriority w:val="0"/>
    <w:pPr>
      <w:ind w:firstLine="420" w:firstLineChars="200"/>
    </w:pPr>
  </w:style>
  <w:style w:type="character" w:styleId="25">
    <w:name w:val="FollowedHyperlink"/>
    <w:basedOn w:val="24"/>
    <w:autoRedefine/>
    <w:qFormat/>
    <w:uiPriority w:val="0"/>
    <w:rPr>
      <w:color w:val="800080"/>
      <w:u w:val="none"/>
    </w:rPr>
  </w:style>
  <w:style w:type="character" w:styleId="26">
    <w:name w:val="Emphasis"/>
    <w:basedOn w:val="24"/>
    <w:autoRedefine/>
    <w:qFormat/>
    <w:uiPriority w:val="0"/>
    <w:rPr>
      <w:i/>
    </w:rPr>
  </w:style>
  <w:style w:type="character" w:styleId="27">
    <w:name w:val="HTML Definition"/>
    <w:basedOn w:val="24"/>
    <w:autoRedefine/>
    <w:qFormat/>
    <w:uiPriority w:val="0"/>
  </w:style>
  <w:style w:type="character" w:styleId="28">
    <w:name w:val="HTML Typewriter"/>
    <w:basedOn w:val="24"/>
    <w:autoRedefine/>
    <w:qFormat/>
    <w:uiPriority w:val="0"/>
    <w:rPr>
      <w:rFonts w:hint="default" w:ascii="monospace" w:hAnsi="monospace" w:eastAsia="monospace" w:cs="monospace"/>
      <w:sz w:val="20"/>
    </w:rPr>
  </w:style>
  <w:style w:type="character" w:styleId="29">
    <w:name w:val="HTML Acronym"/>
    <w:basedOn w:val="24"/>
    <w:autoRedefine/>
    <w:qFormat/>
    <w:uiPriority w:val="0"/>
  </w:style>
  <w:style w:type="character" w:styleId="30">
    <w:name w:val="HTML Variable"/>
    <w:basedOn w:val="24"/>
    <w:autoRedefine/>
    <w:qFormat/>
    <w:uiPriority w:val="0"/>
  </w:style>
  <w:style w:type="character" w:styleId="31">
    <w:name w:val="Hyperlink"/>
    <w:basedOn w:val="24"/>
    <w:autoRedefine/>
    <w:qFormat/>
    <w:uiPriority w:val="99"/>
    <w:rPr>
      <w:color w:val="333333"/>
      <w:sz w:val="18"/>
      <w:szCs w:val="18"/>
      <w:u w:val="none"/>
    </w:rPr>
  </w:style>
  <w:style w:type="character" w:styleId="32">
    <w:name w:val="HTML Code"/>
    <w:basedOn w:val="24"/>
    <w:autoRedefine/>
    <w:qFormat/>
    <w:uiPriority w:val="0"/>
    <w:rPr>
      <w:rFonts w:hint="default" w:ascii="monospace" w:hAnsi="monospace" w:eastAsia="monospace" w:cs="monospace"/>
      <w:sz w:val="20"/>
    </w:rPr>
  </w:style>
  <w:style w:type="character" w:styleId="33">
    <w:name w:val="HTML Cite"/>
    <w:basedOn w:val="24"/>
    <w:autoRedefine/>
    <w:qFormat/>
    <w:uiPriority w:val="0"/>
  </w:style>
  <w:style w:type="character" w:styleId="34">
    <w:name w:val="HTML Keyboard"/>
    <w:basedOn w:val="24"/>
    <w:autoRedefine/>
    <w:qFormat/>
    <w:uiPriority w:val="0"/>
    <w:rPr>
      <w:rFonts w:ascii="monospace" w:hAnsi="monospace" w:eastAsia="monospace" w:cs="monospace"/>
      <w:sz w:val="20"/>
    </w:rPr>
  </w:style>
  <w:style w:type="character" w:styleId="35">
    <w:name w:val="HTML Sample"/>
    <w:basedOn w:val="24"/>
    <w:autoRedefine/>
    <w:qFormat/>
    <w:uiPriority w:val="0"/>
    <w:rPr>
      <w:rFonts w:hint="default" w:ascii="monospace" w:hAnsi="monospace" w:eastAsia="monospace" w:cs="monospace"/>
    </w:rPr>
  </w:style>
  <w:style w:type="paragraph" w:customStyle="1" w:styleId="36">
    <w:name w:val="Blockquote"/>
    <w:basedOn w:val="1"/>
    <w:next w:val="1"/>
    <w:autoRedefine/>
    <w:qFormat/>
    <w:uiPriority w:val="99"/>
    <w:pPr>
      <w:autoSpaceDE w:val="0"/>
      <w:autoSpaceDN w:val="0"/>
      <w:adjustRightInd w:val="0"/>
      <w:spacing w:before="100" w:after="100"/>
      <w:ind w:left="360" w:right="360"/>
    </w:pPr>
    <w:rPr>
      <w:sz w:val="24"/>
    </w:rPr>
  </w:style>
  <w:style w:type="paragraph" w:customStyle="1" w:styleId="37">
    <w:name w:val="首行缩进"/>
    <w:basedOn w:val="1"/>
    <w:autoRedefine/>
    <w:qFormat/>
    <w:uiPriority w:val="99"/>
    <w:pPr>
      <w:ind w:firstLine="480"/>
    </w:pPr>
    <w:rPr>
      <w:kern w:val="0"/>
      <w:szCs w:val="20"/>
      <w:lang w:val="zh-CN"/>
    </w:rPr>
  </w:style>
  <w:style w:type="paragraph" w:customStyle="1" w:styleId="38">
    <w:name w:val="WPSOffice手动目录 1"/>
    <w:autoRedefine/>
    <w:qFormat/>
    <w:uiPriority w:val="0"/>
    <w:rPr>
      <w:rFonts w:ascii="Times New Roman" w:hAnsi="Times New Roman" w:eastAsia="宋体" w:cs="Times New Roman"/>
      <w:lang w:val="en-US" w:eastAsia="zh-CN" w:bidi="ar-SA"/>
    </w:rPr>
  </w:style>
  <w:style w:type="paragraph" w:customStyle="1" w:styleId="39">
    <w:name w:val="Table Paragraph"/>
    <w:basedOn w:val="1"/>
    <w:autoRedefine/>
    <w:qFormat/>
    <w:uiPriority w:val="1"/>
    <w:rPr>
      <w:lang w:val="zh-CN" w:bidi="zh-CN"/>
    </w:rPr>
  </w:style>
  <w:style w:type="character" w:customStyle="1" w:styleId="40">
    <w:name w:val="批注框文本 Char"/>
    <w:basedOn w:val="24"/>
    <w:link w:val="14"/>
    <w:autoRedefine/>
    <w:qFormat/>
    <w:uiPriority w:val="0"/>
    <w:rPr>
      <w:rFonts w:ascii="宋体" w:hAnsi="宋体" w:cs="宋体"/>
      <w:kern w:val="2"/>
      <w:sz w:val="18"/>
      <w:szCs w:val="18"/>
    </w:rPr>
  </w:style>
  <w:style w:type="paragraph" w:customStyle="1" w:styleId="41">
    <w:name w:val="Heading #3|1"/>
    <w:basedOn w:val="1"/>
    <w:autoRedefine/>
    <w:qFormat/>
    <w:uiPriority w:val="99"/>
    <w:pPr>
      <w:spacing w:line="619" w:lineRule="exact"/>
      <w:ind w:firstLine="660"/>
      <w:outlineLvl w:val="2"/>
    </w:pPr>
    <w:rPr>
      <w:rFonts w:ascii="宋体" w:hAnsi="宋体" w:cs="宋体"/>
      <w:b/>
      <w:bCs/>
      <w:sz w:val="32"/>
      <w:szCs w:val="32"/>
      <w:lang w:val="zh-TW" w:eastAsia="zh-TW"/>
    </w:rPr>
  </w:style>
  <w:style w:type="paragraph" w:customStyle="1" w:styleId="42">
    <w:name w:val="Body text|1"/>
    <w:basedOn w:val="1"/>
    <w:autoRedefine/>
    <w:qFormat/>
    <w:uiPriority w:val="0"/>
    <w:pPr>
      <w:widowControl w:val="0"/>
      <w:spacing w:line="466" w:lineRule="exact"/>
      <w:ind w:firstLine="480"/>
    </w:pPr>
    <w:rPr>
      <w:rFonts w:ascii="宋体" w:hAnsi="宋体" w:eastAsia="宋体" w:cs="Times New Roman"/>
      <w:kern w:val="0"/>
      <w:sz w:val="26"/>
      <w:szCs w:val="26"/>
      <w:lang w:val="zh-TW" w:eastAsia="zh-TW"/>
    </w:rPr>
  </w:style>
  <w:style w:type="paragraph" w:styleId="43">
    <w:name w:val="No Spacing"/>
    <w:autoRedefine/>
    <w:qFormat/>
    <w:uiPriority w:val="1"/>
    <w:pPr>
      <w:adjustRightInd w:val="0"/>
      <w:snapToGrid w:val="0"/>
    </w:pPr>
    <w:rPr>
      <w:rFonts w:ascii="Tahoma" w:hAnsi="Tahoma" w:eastAsia="微软雅黑" w:cs="Times New Roman"/>
      <w:sz w:val="22"/>
      <w:szCs w:val="22"/>
      <w:lang w:val="en-US" w:eastAsia="zh-CN" w:bidi="ar-SA"/>
    </w:rPr>
  </w:style>
  <w:style w:type="character" w:customStyle="1" w:styleId="44">
    <w:name w:val="NormalCharacter"/>
    <w:autoRedefine/>
    <w:qFormat/>
    <w:uiPriority w:val="0"/>
    <w:rPr>
      <w:rFonts w:ascii="等线" w:hAnsi="等线" w:eastAsia="等线"/>
    </w:rPr>
  </w:style>
  <w:style w:type="paragraph" w:customStyle="1" w:styleId="45">
    <w:name w:val="样式 标题 3 + (中文) 黑体 小四 非加粗 段前: 7.8 磅 段后: 0 磅 行距: 固定值 20 磅"/>
    <w:basedOn w:val="6"/>
    <w:autoRedefine/>
    <w:qFormat/>
    <w:uiPriority w:val="0"/>
    <w:pPr>
      <w:spacing w:before="0" w:beforeLines="0" w:after="0" w:afterLines="0" w:line="400" w:lineRule="exact"/>
    </w:pPr>
    <w:rPr>
      <w:rFonts w:eastAsia="黑体" w:cs="宋体"/>
      <w:b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69</Pages>
  <Words>26020</Words>
  <Characters>27338</Characters>
  <Lines>212</Lines>
  <Paragraphs>59</Paragraphs>
  <TotalTime>4</TotalTime>
  <ScaleCrop>false</ScaleCrop>
  <LinksUpToDate>false</LinksUpToDate>
  <CharactersWithSpaces>28358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2021-06-30T07:31:00Z</dcterms:created>
  <dc:creator>NTKO</dc:creator>
  <cp:lastModifiedBy>吴禹</cp:lastModifiedBy>
  <cp:lastPrinted>2023-12-13T08:01:00Z</cp:lastPrinted>
  <dcterms:modified xsi:type="dcterms:W3CDTF">2023-12-27T03:07:41Z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C6F652B471D84FE08E9BDB3803350EA9</vt:lpwstr>
  </property>
</Properties>
</file>