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9"/>
        <w:jc w:val="center"/>
        <w:rPr>
          <w:rFonts w:hint="eastAsia" w:ascii="宋体" w:hAnsi="宋体" w:eastAsia="宋体" w:cs="宋体"/>
          <w:b/>
          <w:sz w:val="56"/>
          <w:szCs w:val="24"/>
        </w:rPr>
      </w:pPr>
      <w:r>
        <w:rPr>
          <w:rFonts w:hint="eastAsia" w:cs="宋体"/>
          <w:b/>
          <w:sz w:val="56"/>
          <w:szCs w:val="24"/>
          <w:lang w:val="en-US" w:eastAsia="zh-CN"/>
        </w:rPr>
        <w:t>唐河县2023年度产油大县奖励资金扶持(种植类)项目</w:t>
      </w:r>
    </w:p>
    <w:p>
      <w:pPr>
        <w:pStyle w:val="41"/>
      </w:pPr>
    </w:p>
    <w:p>
      <w:pPr>
        <w:pStyle w:val="41"/>
      </w:pPr>
    </w:p>
    <w:p>
      <w:pPr>
        <w:pStyle w:val="10"/>
        <w:spacing w:before="9"/>
        <w:jc w:val="center"/>
        <w:rPr>
          <w:b/>
          <w:sz w:val="96"/>
          <w:szCs w:val="32"/>
        </w:rPr>
      </w:pPr>
      <w:r>
        <w:rPr>
          <w:rFonts w:hint="eastAsia"/>
          <w:b/>
          <w:sz w:val="96"/>
          <w:szCs w:val="32"/>
        </w:rPr>
        <w:t>招标文件</w:t>
      </w:r>
    </w:p>
    <w:p>
      <w:pPr>
        <w:pStyle w:val="10"/>
        <w:spacing w:before="9"/>
        <w:jc w:val="center"/>
        <w:rPr>
          <w:rFonts w:ascii="Arial" w:hAnsi="Arial" w:eastAsia="Arial" w:cs="Arial"/>
          <w:snapToGrid w:val="0"/>
          <w:color w:val="auto"/>
          <w:spacing w:val="-1"/>
          <w:sz w:val="32"/>
          <w:szCs w:val="21"/>
          <w:lang w:val="en-US" w:eastAsia="zh-CN" w:bidi="ar-SA"/>
        </w:rPr>
      </w:pPr>
    </w:p>
    <w:p>
      <w:pPr>
        <w:pStyle w:val="11"/>
        <w:rPr>
          <w:lang w:val="en-US" w:eastAsia="zh-CN"/>
        </w:rPr>
      </w:pPr>
    </w:p>
    <w:p>
      <w:pPr>
        <w:jc w:val="center"/>
        <w:rPr>
          <w:rFonts w:hint="default" w:ascii="Arial" w:hAnsi="Arial" w:eastAsia="Arial" w:cs="Arial"/>
          <w:snapToGrid w:val="0"/>
          <w:color w:val="auto"/>
          <w:spacing w:val="-1"/>
          <w:sz w:val="32"/>
          <w:szCs w:val="21"/>
          <w:lang w:val="en-US" w:eastAsia="zh-CN" w:bidi="ar-SA"/>
        </w:rPr>
      </w:pPr>
      <w:r>
        <w:rPr>
          <w:rFonts w:ascii="Arial" w:hAnsi="Arial" w:eastAsia="Arial" w:cs="Arial"/>
          <w:snapToGrid w:val="0"/>
          <w:color w:val="auto"/>
          <w:spacing w:val="-1"/>
          <w:sz w:val="32"/>
          <w:szCs w:val="21"/>
          <w:lang w:val="en-US" w:eastAsia="zh-CN" w:bidi="ar-SA"/>
        </w:rPr>
        <w:t>采购项目编号：唐财采购公开-2024-15</w:t>
      </w:r>
    </w:p>
    <w:p>
      <w:pPr>
        <w:pStyle w:val="10"/>
        <w:rPr>
          <w:sz w:val="20"/>
        </w:rPr>
      </w:pPr>
    </w:p>
    <w:p>
      <w:pPr>
        <w:pStyle w:val="10"/>
        <w:rPr>
          <w:sz w:val="20"/>
        </w:rPr>
      </w:pPr>
    </w:p>
    <w:p>
      <w:pPr>
        <w:pStyle w:val="10"/>
        <w:rPr>
          <w:sz w:val="20"/>
        </w:rPr>
      </w:pPr>
    </w:p>
    <w:p>
      <w:pPr>
        <w:pStyle w:val="10"/>
        <w:rPr>
          <w:sz w:val="20"/>
        </w:rPr>
      </w:pPr>
    </w:p>
    <w:p>
      <w:pPr>
        <w:pStyle w:val="10"/>
        <w:spacing w:before="11"/>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tabs>
          <w:tab w:val="left" w:pos="3655"/>
          <w:tab w:val="left" w:pos="5462"/>
          <w:tab w:val="left" w:pos="9881"/>
        </w:tabs>
        <w:spacing w:before="207" w:line="235" w:lineRule="auto"/>
        <w:ind w:right="322"/>
        <w:jc w:val="center"/>
        <w:rPr>
          <w:rFonts w:eastAsiaTheme="minorEastAsia"/>
          <w:b/>
          <w:spacing w:val="-2"/>
          <w:sz w:val="32"/>
          <w:szCs w:val="32"/>
          <w:u w:val="single"/>
        </w:rPr>
      </w:pPr>
      <w:r>
        <w:rPr>
          <w:b/>
          <w:sz w:val="32"/>
          <w:szCs w:val="32"/>
        </w:rPr>
        <w:t>采</w:t>
      </w:r>
      <w:r>
        <w:rPr>
          <w:rFonts w:hint="eastAsia" w:eastAsiaTheme="minorEastAsia"/>
          <w:b/>
          <w:sz w:val="32"/>
          <w:szCs w:val="32"/>
        </w:rPr>
        <w:t xml:space="preserve">      </w:t>
      </w:r>
      <w:r>
        <w:rPr>
          <w:b/>
          <w:sz w:val="32"/>
          <w:szCs w:val="32"/>
        </w:rPr>
        <w:t>购</w:t>
      </w:r>
      <w:r>
        <w:rPr>
          <w:rFonts w:hint="eastAsia" w:eastAsiaTheme="minorEastAsia"/>
          <w:b/>
          <w:sz w:val="32"/>
          <w:szCs w:val="32"/>
        </w:rPr>
        <w:t xml:space="preserve">     </w:t>
      </w:r>
      <w:r>
        <w:rPr>
          <w:b/>
          <w:sz w:val="32"/>
          <w:szCs w:val="32"/>
        </w:rPr>
        <w:t>人：</w:t>
      </w:r>
      <w:r>
        <w:rPr>
          <w:rFonts w:hint="eastAsia"/>
          <w:b/>
          <w:sz w:val="32"/>
          <w:szCs w:val="32"/>
          <w:u w:val="single"/>
          <w:lang w:val="en-US" w:eastAsia="zh-CN"/>
        </w:rPr>
        <w:t>唐河县农业技术推广中心</w:t>
      </w:r>
    </w:p>
    <w:p>
      <w:pPr>
        <w:tabs>
          <w:tab w:val="left" w:pos="3655"/>
          <w:tab w:val="left" w:pos="5462"/>
          <w:tab w:val="left" w:pos="9881"/>
        </w:tabs>
        <w:spacing w:before="207" w:line="235" w:lineRule="auto"/>
        <w:ind w:right="322"/>
        <w:jc w:val="center"/>
        <w:rPr>
          <w:b/>
          <w:spacing w:val="-2"/>
          <w:sz w:val="32"/>
          <w:szCs w:val="32"/>
          <w:u w:val="single"/>
        </w:rPr>
      </w:pPr>
      <w:r>
        <w:rPr>
          <w:b/>
          <w:sz w:val="32"/>
          <w:szCs w:val="32"/>
        </w:rPr>
        <w:t>采购代理机构：</w:t>
      </w:r>
      <w:r>
        <w:rPr>
          <w:rFonts w:hint="eastAsia"/>
          <w:b/>
          <w:sz w:val="32"/>
          <w:szCs w:val="32"/>
          <w:u w:val="single"/>
          <w:lang w:val="en-US" w:eastAsia="zh-CN"/>
        </w:rPr>
        <w:t>唐河县唐兴工程造价咨询有限公司</w:t>
      </w:r>
    </w:p>
    <w:p>
      <w:pPr>
        <w:spacing w:before="227" w:line="220" w:lineRule="auto"/>
        <w:jc w:val="center"/>
        <w:rPr>
          <w:rFonts w:hint="default" w:ascii="宋体" w:hAnsi="宋体" w:eastAsia="宋体" w:cs="宋体"/>
          <w:sz w:val="32"/>
          <w:szCs w:val="32"/>
          <w:lang w:val="en-US"/>
        </w:rPr>
      </w:pPr>
      <w:r>
        <w:rPr>
          <w:b/>
          <w:sz w:val="32"/>
          <w:szCs w:val="32"/>
        </w:rPr>
        <w:t>日</w:t>
      </w:r>
      <w:r>
        <w:rPr>
          <w:rFonts w:hint="eastAsia" w:eastAsiaTheme="minorEastAsia"/>
          <w:b/>
          <w:sz w:val="32"/>
          <w:szCs w:val="32"/>
        </w:rPr>
        <w:t xml:space="preserve">             </w:t>
      </w:r>
      <w:r>
        <w:rPr>
          <w:b/>
          <w:sz w:val="32"/>
          <w:szCs w:val="32"/>
        </w:rPr>
        <w:t>期：</w:t>
      </w:r>
      <w:r>
        <w:rPr>
          <w:b/>
          <w:w w:val="95"/>
          <w:sz w:val="32"/>
          <w:szCs w:val="32"/>
          <w:u w:val="single"/>
        </w:rPr>
        <w:t>二零二</w:t>
      </w:r>
      <w:r>
        <w:rPr>
          <w:rFonts w:hint="eastAsia" w:eastAsia="宋体"/>
          <w:b/>
          <w:w w:val="95"/>
          <w:sz w:val="32"/>
          <w:szCs w:val="32"/>
          <w:u w:val="single"/>
          <w:lang w:val="en-US" w:eastAsia="zh-CN"/>
        </w:rPr>
        <w:t>四</w:t>
      </w:r>
      <w:r>
        <w:rPr>
          <w:b/>
          <w:w w:val="95"/>
          <w:sz w:val="32"/>
          <w:szCs w:val="32"/>
          <w:u w:val="single"/>
        </w:rPr>
        <w:t>年</w:t>
      </w:r>
      <w:r>
        <w:rPr>
          <w:rFonts w:hint="eastAsia" w:eastAsia="宋体"/>
          <w:b/>
          <w:w w:val="95"/>
          <w:sz w:val="32"/>
          <w:szCs w:val="32"/>
          <w:u w:val="single"/>
          <w:lang w:val="en-US" w:eastAsia="zh-CN"/>
        </w:rPr>
        <w:t>四月</w:t>
      </w:r>
    </w:p>
    <w:p>
      <w:pPr>
        <w:sectPr>
          <w:footerReference r:id="rId3" w:type="default"/>
          <w:pgSz w:w="11907" w:h="16839"/>
          <w:pgMar w:top="1431" w:right="1323" w:bottom="1175" w:left="1334" w:header="0" w:footer="1015" w:gutter="0"/>
          <w:cols w:space="720" w:num="1"/>
        </w:sectPr>
      </w:pPr>
    </w:p>
    <w:p>
      <w:pPr>
        <w:jc w:val="center"/>
        <w:rPr>
          <w:rFonts w:eastAsia="宋体"/>
          <w:b/>
          <w:bCs/>
          <w:sz w:val="32"/>
          <w:szCs w:val="32"/>
        </w:rPr>
      </w:pPr>
      <w:r>
        <w:rPr>
          <w:rFonts w:hint="eastAsia" w:eastAsia="宋体"/>
          <w:b/>
          <w:bCs/>
          <w:sz w:val="32"/>
          <w:szCs w:val="32"/>
        </w:rPr>
        <w:t>目  录</w:t>
      </w:r>
    </w:p>
    <w:p>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TOC \o "1-3" \h \u </w:instrText>
      </w:r>
      <w:r>
        <w:rPr>
          <w:rFonts w:hint="eastAsia" w:ascii="华文宋体" w:hAnsi="华文宋体" w:eastAsia="宋体" w:cs="华文宋体"/>
          <w:sz w:val="28"/>
          <w:szCs w:val="28"/>
        </w:rPr>
        <w:fldChar w:fldCharType="separate"/>
      </w: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_Toc10667 </w:instrText>
      </w:r>
      <w:r>
        <w:rPr>
          <w:rFonts w:hint="eastAsia" w:ascii="华文宋体" w:hAnsi="华文宋体" w:eastAsia="宋体" w:cs="华文宋体"/>
          <w:sz w:val="28"/>
          <w:szCs w:val="28"/>
        </w:rPr>
        <w:fldChar w:fldCharType="separate"/>
      </w:r>
      <w:r>
        <w:rPr>
          <w:rFonts w:ascii="宋体" w:hAnsi="宋体" w:eastAsia="宋体" w:cs="宋体"/>
          <w:bCs/>
          <w:spacing w:val="9"/>
          <w:sz w:val="28"/>
          <w:szCs w:val="31"/>
        </w:rPr>
        <w:t>第一部分 招标公告</w:t>
      </w:r>
      <w:r>
        <w:rPr>
          <w:rFonts w:eastAsia="宋体"/>
          <w:sz w:val="28"/>
        </w:rPr>
        <w:tab/>
      </w:r>
      <w:r>
        <w:rPr>
          <w:rFonts w:eastAsia="宋体"/>
          <w:sz w:val="28"/>
        </w:rPr>
        <w:fldChar w:fldCharType="begin"/>
      </w:r>
      <w:r>
        <w:rPr>
          <w:rFonts w:eastAsia="宋体"/>
          <w:sz w:val="28"/>
        </w:rPr>
        <w:instrText xml:space="preserve"> PAGEREF _Toc10667 \h </w:instrText>
      </w:r>
      <w:r>
        <w:rPr>
          <w:rFonts w:eastAsia="宋体"/>
          <w:sz w:val="28"/>
        </w:rPr>
        <w:fldChar w:fldCharType="separate"/>
      </w:r>
      <w:r>
        <w:rPr>
          <w:rFonts w:eastAsia="宋体"/>
          <w:sz w:val="28"/>
        </w:rPr>
        <w:t>1</w:t>
      </w:r>
      <w:r>
        <w:rPr>
          <w:rFonts w:eastAsia="宋体"/>
          <w:sz w:val="28"/>
        </w:rPr>
        <w:fldChar w:fldCharType="end"/>
      </w:r>
      <w:r>
        <w:rPr>
          <w:rFonts w:hint="eastAsia" w:ascii="华文宋体" w:hAnsi="华文宋体" w:eastAsia="宋体" w:cs="华文宋体"/>
          <w:sz w:val="28"/>
          <w:szCs w:val="28"/>
        </w:rPr>
        <w:fldChar w:fldCharType="end"/>
      </w:r>
    </w:p>
    <w:p>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_Toc5634 </w:instrText>
      </w:r>
      <w:r>
        <w:rPr>
          <w:rFonts w:hint="eastAsia" w:ascii="华文宋体" w:hAnsi="华文宋体" w:eastAsia="宋体" w:cs="华文宋体"/>
          <w:sz w:val="28"/>
          <w:szCs w:val="28"/>
        </w:rPr>
        <w:fldChar w:fldCharType="separate"/>
      </w:r>
      <w:r>
        <w:rPr>
          <w:rFonts w:ascii="宋体" w:hAnsi="宋体" w:eastAsia="宋体" w:cs="宋体"/>
          <w:bCs/>
          <w:spacing w:val="9"/>
          <w:sz w:val="28"/>
          <w:szCs w:val="31"/>
        </w:rPr>
        <w:t>第二部分</w:t>
      </w:r>
      <w:r>
        <w:rPr>
          <w:rFonts w:hint="eastAsia" w:ascii="宋体" w:hAnsi="宋体" w:eastAsia="宋体" w:cs="宋体"/>
          <w:bCs/>
          <w:spacing w:val="9"/>
          <w:sz w:val="28"/>
          <w:szCs w:val="31"/>
          <w:lang w:val="en-US" w:eastAsia="zh-CN"/>
        </w:rPr>
        <w:t xml:space="preserve"> </w:t>
      </w:r>
      <w:r>
        <w:rPr>
          <w:rFonts w:ascii="宋体" w:hAnsi="宋体" w:eastAsia="宋体" w:cs="宋体"/>
          <w:bCs/>
          <w:spacing w:val="9"/>
          <w:sz w:val="28"/>
          <w:szCs w:val="31"/>
        </w:rPr>
        <w:t>投标人须</w:t>
      </w:r>
      <w:r>
        <w:rPr>
          <w:rFonts w:ascii="宋体" w:hAnsi="宋体" w:eastAsia="宋体" w:cs="宋体"/>
          <w:bCs/>
          <w:spacing w:val="8"/>
          <w:sz w:val="28"/>
          <w:szCs w:val="31"/>
        </w:rPr>
        <w:t>知</w:t>
      </w:r>
      <w:r>
        <w:rPr>
          <w:rFonts w:eastAsia="宋体"/>
          <w:sz w:val="28"/>
        </w:rPr>
        <w:tab/>
      </w:r>
      <w:r>
        <w:rPr>
          <w:rFonts w:eastAsia="宋体"/>
          <w:sz w:val="28"/>
        </w:rPr>
        <w:fldChar w:fldCharType="begin"/>
      </w:r>
      <w:r>
        <w:rPr>
          <w:rFonts w:eastAsia="宋体"/>
          <w:sz w:val="28"/>
        </w:rPr>
        <w:instrText xml:space="preserve"> PAGEREF _Toc5634 \h </w:instrText>
      </w:r>
      <w:r>
        <w:rPr>
          <w:rFonts w:eastAsia="宋体"/>
          <w:sz w:val="28"/>
        </w:rPr>
        <w:fldChar w:fldCharType="separate"/>
      </w:r>
      <w:r>
        <w:rPr>
          <w:rFonts w:eastAsia="宋体"/>
          <w:sz w:val="28"/>
        </w:rPr>
        <w:t>5</w:t>
      </w:r>
      <w:r>
        <w:rPr>
          <w:rFonts w:eastAsia="宋体"/>
          <w:sz w:val="28"/>
        </w:rPr>
        <w:fldChar w:fldCharType="end"/>
      </w:r>
      <w:r>
        <w:rPr>
          <w:rFonts w:hint="eastAsia" w:ascii="华文宋体" w:hAnsi="华文宋体" w:eastAsia="宋体" w:cs="华文宋体"/>
          <w:sz w:val="28"/>
          <w:szCs w:val="28"/>
        </w:rPr>
        <w:fldChar w:fldCharType="end"/>
      </w:r>
    </w:p>
    <w:p>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_Toc3831 </w:instrText>
      </w:r>
      <w:r>
        <w:rPr>
          <w:rFonts w:hint="eastAsia" w:ascii="华文宋体" w:hAnsi="华文宋体" w:eastAsia="宋体" w:cs="华文宋体"/>
          <w:sz w:val="28"/>
          <w:szCs w:val="28"/>
        </w:rPr>
        <w:fldChar w:fldCharType="separate"/>
      </w:r>
      <w:r>
        <w:rPr>
          <w:rFonts w:hint="eastAsia" w:eastAsia="宋体" w:asciiTheme="minorEastAsia" w:hAnsiTheme="minorEastAsia" w:cstheme="minorEastAsia"/>
          <w:bCs/>
          <w:spacing w:val="18"/>
          <w:sz w:val="28"/>
          <w:szCs w:val="31"/>
          <w:highlight w:val="none"/>
          <w:lang w:val="en-US" w:eastAsia="zh-CN"/>
        </w:rPr>
        <w:t xml:space="preserve">第三部分 </w:t>
      </w:r>
      <w:r>
        <w:rPr>
          <w:rFonts w:hint="eastAsia" w:eastAsia="宋体" w:asciiTheme="minorEastAsia" w:hAnsiTheme="minorEastAsia" w:cstheme="minorEastAsia"/>
          <w:bCs/>
          <w:spacing w:val="18"/>
          <w:sz w:val="28"/>
          <w:szCs w:val="31"/>
          <w:highlight w:val="none"/>
        </w:rPr>
        <w:t>项目采购内容</w:t>
      </w:r>
      <w:r>
        <w:rPr>
          <w:rFonts w:eastAsia="宋体"/>
          <w:sz w:val="28"/>
        </w:rPr>
        <w:tab/>
      </w:r>
      <w:r>
        <w:rPr>
          <w:rFonts w:hint="eastAsia" w:eastAsia="宋体"/>
          <w:sz w:val="28"/>
          <w:lang w:val="en-US" w:eastAsia="zh-CN"/>
        </w:rPr>
        <w:t>8</w:t>
      </w:r>
      <w:r>
        <w:rPr>
          <w:rFonts w:hint="eastAsia" w:ascii="华文宋体" w:hAnsi="华文宋体" w:eastAsia="宋体" w:cs="华文宋体"/>
          <w:sz w:val="28"/>
          <w:szCs w:val="28"/>
        </w:rPr>
        <w:fldChar w:fldCharType="end"/>
      </w:r>
    </w:p>
    <w:p>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_Toc10329 </w:instrText>
      </w:r>
      <w:r>
        <w:rPr>
          <w:rFonts w:hint="eastAsia" w:ascii="华文宋体" w:hAnsi="华文宋体" w:eastAsia="宋体" w:cs="华文宋体"/>
          <w:sz w:val="28"/>
          <w:szCs w:val="28"/>
        </w:rPr>
        <w:fldChar w:fldCharType="separate"/>
      </w:r>
      <w:r>
        <w:rPr>
          <w:rFonts w:hint="eastAsia" w:eastAsia="宋体" w:asciiTheme="minorEastAsia" w:hAnsiTheme="minorEastAsia" w:cstheme="minorEastAsia"/>
          <w:bCs/>
          <w:spacing w:val="18"/>
          <w:sz w:val="28"/>
          <w:szCs w:val="31"/>
        </w:rPr>
        <w:t>第</w:t>
      </w:r>
      <w:r>
        <w:rPr>
          <w:rFonts w:hint="eastAsia" w:eastAsia="宋体" w:asciiTheme="minorEastAsia" w:hAnsiTheme="minorEastAsia" w:cstheme="minorEastAsia"/>
          <w:bCs/>
          <w:spacing w:val="9"/>
          <w:sz w:val="28"/>
          <w:szCs w:val="31"/>
          <w:lang w:val="en-US" w:eastAsia="zh-CN"/>
        </w:rPr>
        <w:t>四</w:t>
      </w:r>
      <w:r>
        <w:rPr>
          <w:rFonts w:hint="eastAsia" w:eastAsia="宋体" w:asciiTheme="minorEastAsia" w:hAnsiTheme="minorEastAsia" w:cstheme="minorEastAsia"/>
          <w:bCs/>
          <w:spacing w:val="9"/>
          <w:sz w:val="28"/>
          <w:szCs w:val="31"/>
        </w:rPr>
        <w:t>部分</w:t>
      </w:r>
      <w:r>
        <w:rPr>
          <w:rFonts w:hint="eastAsia" w:eastAsia="宋体" w:asciiTheme="minorEastAsia" w:hAnsiTheme="minorEastAsia" w:cstheme="minorEastAsia"/>
          <w:bCs/>
          <w:spacing w:val="9"/>
          <w:sz w:val="28"/>
          <w:szCs w:val="31"/>
          <w:lang w:val="en-US" w:eastAsia="zh-CN"/>
        </w:rPr>
        <w:t xml:space="preserve"> </w:t>
      </w:r>
      <w:r>
        <w:rPr>
          <w:rFonts w:hint="eastAsia" w:eastAsia="宋体" w:asciiTheme="minorEastAsia" w:hAnsiTheme="minorEastAsia" w:cstheme="minorEastAsia"/>
          <w:bCs/>
          <w:spacing w:val="9"/>
          <w:sz w:val="28"/>
          <w:szCs w:val="31"/>
        </w:rPr>
        <w:t>投标人须知正文部分</w:t>
      </w:r>
      <w:r>
        <w:rPr>
          <w:rFonts w:eastAsia="宋体"/>
          <w:sz w:val="28"/>
        </w:rPr>
        <w:tab/>
      </w:r>
      <w:r>
        <w:rPr>
          <w:rFonts w:eastAsia="宋体"/>
          <w:sz w:val="28"/>
        </w:rPr>
        <w:fldChar w:fldCharType="begin"/>
      </w:r>
      <w:r>
        <w:rPr>
          <w:rFonts w:eastAsia="宋体"/>
          <w:sz w:val="28"/>
        </w:rPr>
        <w:instrText xml:space="preserve"> PAGEREF _Toc10329 \h </w:instrText>
      </w:r>
      <w:r>
        <w:rPr>
          <w:rFonts w:eastAsia="宋体"/>
          <w:sz w:val="28"/>
        </w:rPr>
        <w:fldChar w:fldCharType="separate"/>
      </w:r>
      <w:r>
        <w:rPr>
          <w:rFonts w:eastAsia="宋体"/>
          <w:sz w:val="28"/>
        </w:rPr>
        <w:t>10</w:t>
      </w:r>
      <w:r>
        <w:rPr>
          <w:rFonts w:eastAsia="宋体"/>
          <w:sz w:val="28"/>
        </w:rPr>
        <w:fldChar w:fldCharType="end"/>
      </w:r>
      <w:r>
        <w:rPr>
          <w:rFonts w:hint="eastAsia" w:ascii="华文宋体" w:hAnsi="华文宋体" w:eastAsia="宋体" w:cs="华文宋体"/>
          <w:sz w:val="28"/>
          <w:szCs w:val="28"/>
        </w:rPr>
        <w:fldChar w:fldCharType="end"/>
      </w:r>
    </w:p>
    <w:p>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_Toc21724 </w:instrText>
      </w:r>
      <w:r>
        <w:rPr>
          <w:rFonts w:hint="eastAsia" w:ascii="华文宋体" w:hAnsi="华文宋体" w:eastAsia="宋体" w:cs="华文宋体"/>
          <w:sz w:val="28"/>
          <w:szCs w:val="28"/>
        </w:rPr>
        <w:fldChar w:fldCharType="separate"/>
      </w:r>
      <w:r>
        <w:rPr>
          <w:rFonts w:ascii="宋体" w:hAnsi="宋体" w:eastAsia="宋体" w:cs="宋体"/>
          <w:bCs/>
          <w:spacing w:val="15"/>
          <w:sz w:val="28"/>
          <w:szCs w:val="31"/>
        </w:rPr>
        <w:t>第</w:t>
      </w:r>
      <w:r>
        <w:rPr>
          <w:rFonts w:hint="eastAsia" w:ascii="宋体" w:hAnsi="宋体" w:eastAsia="宋体" w:cs="宋体"/>
          <w:bCs/>
          <w:spacing w:val="8"/>
          <w:sz w:val="28"/>
          <w:szCs w:val="31"/>
        </w:rPr>
        <w:t>五</w:t>
      </w:r>
      <w:r>
        <w:rPr>
          <w:rFonts w:ascii="宋体" w:hAnsi="宋体" w:eastAsia="宋体" w:cs="宋体"/>
          <w:bCs/>
          <w:spacing w:val="8"/>
          <w:sz w:val="28"/>
          <w:szCs w:val="31"/>
        </w:rPr>
        <w:t>部分</w:t>
      </w:r>
      <w:r>
        <w:rPr>
          <w:rFonts w:hint="eastAsia" w:ascii="宋体" w:hAnsi="宋体" w:eastAsia="宋体" w:cs="宋体"/>
          <w:bCs/>
          <w:spacing w:val="8"/>
          <w:sz w:val="28"/>
          <w:szCs w:val="31"/>
          <w:lang w:val="en-US" w:eastAsia="zh-CN"/>
        </w:rPr>
        <w:t xml:space="preserve"> </w:t>
      </w:r>
      <w:r>
        <w:rPr>
          <w:rFonts w:ascii="宋体" w:hAnsi="宋体" w:eastAsia="宋体" w:cs="宋体"/>
          <w:bCs/>
          <w:spacing w:val="8"/>
          <w:sz w:val="28"/>
          <w:szCs w:val="31"/>
        </w:rPr>
        <w:t>合同格式</w:t>
      </w:r>
      <w:r>
        <w:rPr>
          <w:rFonts w:eastAsia="宋体"/>
          <w:sz w:val="28"/>
        </w:rPr>
        <w:tab/>
      </w:r>
      <w:r>
        <w:rPr>
          <w:rFonts w:eastAsia="宋体"/>
          <w:sz w:val="28"/>
        </w:rPr>
        <w:fldChar w:fldCharType="begin"/>
      </w:r>
      <w:r>
        <w:rPr>
          <w:rFonts w:eastAsia="宋体"/>
          <w:sz w:val="28"/>
        </w:rPr>
        <w:instrText xml:space="preserve"> PAGEREF _Toc21724 \h </w:instrText>
      </w:r>
      <w:r>
        <w:rPr>
          <w:rFonts w:eastAsia="宋体"/>
          <w:sz w:val="28"/>
        </w:rPr>
        <w:fldChar w:fldCharType="separate"/>
      </w:r>
      <w:r>
        <w:rPr>
          <w:rFonts w:eastAsia="宋体"/>
          <w:sz w:val="28"/>
        </w:rPr>
        <w:t>27</w:t>
      </w:r>
      <w:r>
        <w:rPr>
          <w:rFonts w:eastAsia="宋体"/>
          <w:sz w:val="28"/>
        </w:rPr>
        <w:fldChar w:fldCharType="end"/>
      </w:r>
      <w:r>
        <w:rPr>
          <w:rFonts w:hint="eastAsia" w:ascii="华文宋体" w:hAnsi="华文宋体" w:eastAsia="宋体" w:cs="华文宋体"/>
          <w:sz w:val="28"/>
          <w:szCs w:val="28"/>
        </w:rPr>
        <w:fldChar w:fldCharType="end"/>
      </w:r>
    </w:p>
    <w:p>
      <w:pPr>
        <w:pStyle w:val="19"/>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360" w:lineRule="auto"/>
        <w:textAlignment w:val="baseline"/>
        <w:rPr>
          <w:rFonts w:eastAsia="宋体"/>
          <w:sz w:val="28"/>
        </w:rPr>
      </w:pPr>
      <w:r>
        <w:rPr>
          <w:rFonts w:hint="eastAsia" w:ascii="华文宋体" w:hAnsi="华文宋体" w:eastAsia="宋体" w:cs="华文宋体"/>
          <w:sz w:val="28"/>
          <w:szCs w:val="28"/>
        </w:rPr>
        <w:fldChar w:fldCharType="begin"/>
      </w:r>
      <w:r>
        <w:rPr>
          <w:rFonts w:hint="eastAsia" w:ascii="华文宋体" w:hAnsi="华文宋体" w:eastAsia="宋体" w:cs="华文宋体"/>
          <w:sz w:val="28"/>
          <w:szCs w:val="28"/>
        </w:rPr>
        <w:instrText xml:space="preserve"> HYPERLINK \l _Toc5387 </w:instrText>
      </w:r>
      <w:r>
        <w:rPr>
          <w:rFonts w:hint="eastAsia" w:ascii="华文宋体" w:hAnsi="华文宋体" w:eastAsia="宋体" w:cs="华文宋体"/>
          <w:sz w:val="28"/>
          <w:szCs w:val="28"/>
        </w:rPr>
        <w:fldChar w:fldCharType="separate"/>
      </w:r>
      <w:r>
        <w:rPr>
          <w:rFonts w:ascii="宋体" w:hAnsi="宋体" w:eastAsia="宋体" w:cs="宋体"/>
          <w:bCs/>
          <w:spacing w:val="10"/>
          <w:sz w:val="28"/>
          <w:szCs w:val="31"/>
        </w:rPr>
        <w:t>第</w:t>
      </w:r>
      <w:r>
        <w:rPr>
          <w:rFonts w:hint="eastAsia" w:ascii="宋体" w:hAnsi="宋体" w:eastAsia="宋体" w:cs="宋体"/>
          <w:bCs/>
          <w:spacing w:val="9"/>
          <w:sz w:val="28"/>
          <w:szCs w:val="31"/>
        </w:rPr>
        <w:t>六</w:t>
      </w:r>
      <w:r>
        <w:rPr>
          <w:rFonts w:ascii="宋体" w:hAnsi="宋体" w:eastAsia="宋体" w:cs="宋体"/>
          <w:bCs/>
          <w:spacing w:val="9"/>
          <w:sz w:val="28"/>
          <w:szCs w:val="31"/>
        </w:rPr>
        <w:t>部分</w:t>
      </w:r>
      <w:r>
        <w:rPr>
          <w:rFonts w:hint="eastAsia" w:ascii="宋体" w:hAnsi="宋体" w:eastAsia="宋体" w:cs="宋体"/>
          <w:bCs/>
          <w:spacing w:val="9"/>
          <w:sz w:val="28"/>
          <w:szCs w:val="31"/>
          <w:lang w:val="en-US" w:eastAsia="zh-CN"/>
        </w:rPr>
        <w:t xml:space="preserve"> </w:t>
      </w:r>
      <w:r>
        <w:rPr>
          <w:rFonts w:ascii="宋体" w:hAnsi="宋体" w:eastAsia="宋体" w:cs="宋体"/>
          <w:bCs/>
          <w:spacing w:val="9"/>
          <w:sz w:val="28"/>
          <w:szCs w:val="31"/>
        </w:rPr>
        <w:t>投标文件格式</w:t>
      </w:r>
      <w:r>
        <w:rPr>
          <w:rFonts w:eastAsia="宋体"/>
          <w:sz w:val="28"/>
        </w:rPr>
        <w:tab/>
      </w:r>
      <w:r>
        <w:rPr>
          <w:rFonts w:eastAsia="宋体"/>
          <w:sz w:val="28"/>
        </w:rPr>
        <w:fldChar w:fldCharType="begin"/>
      </w:r>
      <w:r>
        <w:rPr>
          <w:rFonts w:eastAsia="宋体"/>
          <w:sz w:val="28"/>
        </w:rPr>
        <w:instrText xml:space="preserve"> PAGEREF _Toc5387 \h </w:instrText>
      </w:r>
      <w:r>
        <w:rPr>
          <w:rFonts w:eastAsia="宋体"/>
          <w:sz w:val="28"/>
        </w:rPr>
        <w:fldChar w:fldCharType="separate"/>
      </w:r>
      <w:r>
        <w:rPr>
          <w:rFonts w:eastAsia="宋体"/>
          <w:sz w:val="28"/>
        </w:rPr>
        <w:t>29</w:t>
      </w:r>
      <w:r>
        <w:rPr>
          <w:rFonts w:eastAsia="宋体"/>
          <w:sz w:val="28"/>
        </w:rPr>
        <w:fldChar w:fldCharType="end"/>
      </w:r>
      <w:r>
        <w:rPr>
          <w:rFonts w:hint="eastAsia" w:ascii="华文宋体" w:hAnsi="华文宋体" w:eastAsia="宋体" w:cs="华文宋体"/>
          <w:sz w:val="28"/>
          <w:szCs w:val="28"/>
        </w:rPr>
        <w:fldChar w:fldCharType="end"/>
      </w:r>
    </w:p>
    <w:p>
      <w:pPr>
        <w:pStyle w:val="41"/>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eastAsia="宋体"/>
          <w:b/>
          <w:bCs/>
          <w:sz w:val="32"/>
          <w:szCs w:val="32"/>
        </w:rPr>
        <w:sectPr>
          <w:headerReference r:id="rId4" w:type="default"/>
          <w:footerReference r:id="rId5" w:type="default"/>
          <w:pgSz w:w="11907" w:h="16839"/>
          <w:pgMar w:top="1476" w:right="1049" w:bottom="1226" w:left="1051" w:header="1155" w:footer="958" w:gutter="0"/>
          <w:cols w:space="720" w:num="1"/>
        </w:sectPr>
      </w:pPr>
      <w:r>
        <w:rPr>
          <w:rFonts w:hint="eastAsia" w:ascii="华文宋体" w:hAnsi="华文宋体" w:eastAsia="宋体" w:cs="华文宋体"/>
          <w:sz w:val="28"/>
          <w:szCs w:val="28"/>
        </w:rPr>
        <w:fldChar w:fldCharType="end"/>
      </w:r>
      <w:bookmarkStart w:id="0" w:name="_Toc10667"/>
    </w:p>
    <w:p>
      <w:pPr>
        <w:pStyle w:val="41"/>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b/>
          <w:bCs/>
          <w:spacing w:val="9"/>
          <w:sz w:val="31"/>
          <w:szCs w:val="31"/>
        </w:rPr>
      </w:pPr>
      <w:r>
        <w:rPr>
          <w:rFonts w:ascii="宋体" w:hAnsi="宋体" w:eastAsia="宋体" w:cs="宋体"/>
          <w:b/>
          <w:bCs/>
          <w:spacing w:val="9"/>
          <w:sz w:val="31"/>
          <w:szCs w:val="31"/>
        </w:rPr>
        <w:t>第一部分 招标公告</w:t>
      </w:r>
      <w:bookmarkEnd w:id="0"/>
    </w:p>
    <w:p>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snapToGrid w:val="0"/>
          <w:color w:val="000000"/>
          <w:spacing w:val="0"/>
          <w:kern w:val="0"/>
          <w:sz w:val="28"/>
          <w:szCs w:val="28"/>
          <w:shd w:val="clear" w:fill="FFFFFF"/>
          <w:lang w:val="en-US" w:eastAsia="zh-CN" w:bidi="ar"/>
        </w:rPr>
        <w:t>唐河县2023年度产油大县奖励资金扶持(种植类)项目-公开招标公告</w:t>
      </w:r>
    </w:p>
    <w:tbl>
      <w:tblPr>
        <w:tblStyle w:val="26"/>
        <w:tblW w:w="488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aps w:val="0"/>
                <w:color w:val="000000"/>
                <w:spacing w:val="0"/>
                <w:sz w:val="21"/>
                <w:szCs w:val="21"/>
              </w:rPr>
              <w:t>项目概况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aps w:val="0"/>
                <w:color w:val="000000"/>
                <w:spacing w:val="0"/>
                <w:sz w:val="21"/>
                <w:szCs w:val="21"/>
                <w:u w:val="single"/>
              </w:rPr>
              <w:t>唐河县农业技术推广中心唐河县2023年度产油大县奖励资金扶持(种植类)项目</w:t>
            </w:r>
            <w:r>
              <w:rPr>
                <w:rFonts w:hint="eastAsia" w:ascii="微软雅黑" w:hAnsi="微软雅黑" w:eastAsia="微软雅黑" w:cs="微软雅黑"/>
                <w:b w:val="0"/>
                <w:bCs w:val="0"/>
                <w:i w:val="0"/>
                <w:iCs w:val="0"/>
                <w:caps w:val="0"/>
                <w:color w:val="000000"/>
                <w:spacing w:val="0"/>
                <w:sz w:val="21"/>
                <w:szCs w:val="21"/>
              </w:rPr>
              <w:t>招标项目的潜在投标人应在</w:t>
            </w:r>
            <w:r>
              <w:rPr>
                <w:rFonts w:hint="eastAsia" w:ascii="微软雅黑" w:hAnsi="微软雅黑" w:eastAsia="微软雅黑" w:cs="微软雅黑"/>
                <w:b/>
                <w:bCs/>
                <w:i w:val="0"/>
                <w:iCs w:val="0"/>
                <w:caps w:val="0"/>
                <w:color w:val="000000"/>
                <w:spacing w:val="0"/>
                <w:sz w:val="21"/>
                <w:szCs w:val="21"/>
                <w:u w:val="single"/>
              </w:rPr>
              <w:t>唐河县公共资源交易中心网站（http://www.thggzy.cn）</w:t>
            </w:r>
            <w:r>
              <w:rPr>
                <w:rFonts w:hint="eastAsia" w:ascii="微软雅黑" w:hAnsi="微软雅黑" w:eastAsia="微软雅黑" w:cs="微软雅黑"/>
                <w:b w:val="0"/>
                <w:bCs w:val="0"/>
                <w:i w:val="0"/>
                <w:iCs w:val="0"/>
                <w:caps w:val="0"/>
                <w:color w:val="000000"/>
                <w:spacing w:val="0"/>
                <w:sz w:val="21"/>
                <w:szCs w:val="21"/>
              </w:rPr>
              <w:t>获取招标文件，并于</w:t>
            </w:r>
            <w:r>
              <w:rPr>
                <w:rFonts w:hint="eastAsia" w:ascii="微软雅黑" w:hAnsi="微软雅黑" w:eastAsia="微软雅黑" w:cs="微软雅黑"/>
                <w:b/>
                <w:bCs/>
                <w:i w:val="0"/>
                <w:iCs w:val="0"/>
                <w:caps w:val="0"/>
                <w:color w:val="000000"/>
                <w:spacing w:val="0"/>
                <w:sz w:val="21"/>
                <w:szCs w:val="21"/>
                <w:u w:val="single"/>
              </w:rPr>
              <w:t>2024年05月23日09时30分</w:t>
            </w:r>
            <w:r>
              <w:rPr>
                <w:rFonts w:hint="eastAsia" w:ascii="微软雅黑" w:hAnsi="微软雅黑" w:eastAsia="微软雅黑" w:cs="微软雅黑"/>
                <w:b w:val="0"/>
                <w:bCs w:val="0"/>
                <w:i w:val="0"/>
                <w:iCs w:val="0"/>
                <w:caps w:val="0"/>
                <w:color w:val="000000"/>
                <w:spacing w:val="0"/>
                <w:sz w:val="21"/>
                <w:szCs w:val="21"/>
              </w:rPr>
              <w:t>（北京时间）前递交投标文件。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1、项目编号：唐财采购公开-2024-15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2、项目名称：唐河县农业技术推广中心唐河县2023年度产油大县奖励资金扶持(种植类)项目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3、采购方式：公开招标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4、预算金额：18,233,600.00元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最高限价：18233600元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420" w:type="dxa"/>
            </w:tcMar>
            <w:vAlign w:val="center"/>
          </w:tcPr>
          <w:tbl>
            <w:tblPr>
              <w:tblStyle w:val="26"/>
              <w:tblW w:w="9592" w:type="dxa"/>
              <w:tblCellSpacing w:w="0" w:type="dxa"/>
              <w:tblInd w:w="-3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8"/>
              <w:gridCol w:w="1177"/>
              <w:gridCol w:w="1814"/>
              <w:gridCol w:w="1179"/>
              <w:gridCol w:w="1121"/>
              <w:gridCol w:w="1315"/>
              <w:gridCol w:w="25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39"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序号</w:t>
                  </w:r>
                </w:p>
              </w:tc>
              <w:tc>
                <w:tcPr>
                  <w:tcW w:w="613"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包号</w:t>
                  </w:r>
                </w:p>
              </w:tc>
              <w:tc>
                <w:tcPr>
                  <w:tcW w:w="945"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包名称</w:t>
                  </w:r>
                </w:p>
              </w:tc>
              <w:tc>
                <w:tcPr>
                  <w:tcW w:w="614"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包预算（元）</w:t>
                  </w:r>
                </w:p>
              </w:tc>
              <w:tc>
                <w:tcPr>
                  <w:tcW w:w="584"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包最高限价（元）</w:t>
                  </w:r>
                </w:p>
              </w:tc>
              <w:tc>
                <w:tcPr>
                  <w:tcW w:w="685"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是否专门面向中小企业</w:t>
                  </w:r>
                </w:p>
              </w:tc>
              <w:tc>
                <w:tcPr>
                  <w:tcW w:w="1317"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39"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w:t>
                  </w:r>
                </w:p>
              </w:tc>
              <w:tc>
                <w:tcPr>
                  <w:tcW w:w="613"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唐财采购公开-2024-15-1</w:t>
                  </w:r>
                </w:p>
              </w:tc>
              <w:tc>
                <w:tcPr>
                  <w:tcW w:w="945"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唐河县2023年度产油大县奖励资金扶持(种植类)项目</w:t>
                  </w:r>
                </w:p>
              </w:tc>
              <w:tc>
                <w:tcPr>
                  <w:tcW w:w="614"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18233600</w:t>
                  </w:r>
                </w:p>
              </w:tc>
              <w:tc>
                <w:tcPr>
                  <w:tcW w:w="584"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18233600</w:t>
                  </w:r>
                </w:p>
              </w:tc>
              <w:tc>
                <w:tcPr>
                  <w:tcW w:w="685"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1317" w:type="pct"/>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18233600 ，其中小微企业采购金额：18233600</w:t>
                  </w:r>
                </w:p>
              </w:tc>
            </w:tr>
          </w:tbl>
          <w:p>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leftChars="0" w:right="0" w:firstLine="22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5、采购需求（包括但不限于标的的名称、数量、简要技术需求或服务要求等）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（1）项目实施地点：唐河县境内；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（2）资金来源：财政资金，已落实；</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（3）采购内容：采购花生种子一批（详见采购清单）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（4）标段划分：本项目划分1个标段</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（5）供货期：合同签订后 15 日内交货完毕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（6）质保期：六个月之内发芽率≥80%；</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（7）质量要求：合格，符合国家相关质量标准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6、合同履行期限：合同签订后15日内交货完毕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7、本项目是否接受联合体投标：否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8、是否接受进口产品：否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9、是否专门面向中小企业：是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二、申请人资格要求：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1、满足《中华人民共和国政府采购法》第二十二条规定；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2、落实政府采购政策满足的资格要求：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420" w:leftChars="-200"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本项目执行扶持中小企业、监狱企业和残疾人福利性单位发展的政策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3、本项目的特定资格要求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（1）供应商为生产商的提供农作物种子生产经营许可证；非生产商的提供生产商农作物种子生产经营许可证复印件并加盖生产商公章，具有有效的统一社会信用代码的营业执照；</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（2）投标人为经销商的须具有有效的《种子经营许可证》；</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（3）投标人所投产品须具有有效的《农作物种子生产许可证》、《植物产地检疫合格证明》、种子质量《检验报告单》（投标人如为经销商的提供复印件并加盖种子生产企业公章）；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（4）所投标产品如果是保护品种，针对保护品种（专营、专控）品种，必须有专营权（或专控权）所有单位出具的授权委托证明；</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供应商依法缴纳税收（提供2023年以来任意三个月完税证明或缴税凭证）和社会保障资金（提供2023年以来任意三个月的社保缴纳凭证或社保缴费记录)。依法免税或不需要缴纳社会保障资金的供应商，应提供相应证明文件；</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（6）供应商须具有良好的商业信誉和健全的财务会计制度：供应商需提供近一年年度财务报表或财务审计报告（若成立不足一年的公司，则提供成立月份以来的企业财务报表）；</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（7）具有履行合同所必需的设备和专业技术能力，提供供应商书面声明；</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（8）参加本次政府采购活动前三年内，在经营活动中没有重大违法犯罪记录；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9）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（10）本项目不接受联合体投标，不允许转包和分包；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注：本项目实行资格后审，审查内容以投标截止时间前上传企业诚信库信息（南阳市诚信库网站https://ggzyjy.nanyang.gov.cn）为准。开标现场不接受诚信库（南阳市）信息原件。诚信库（南阳市）上传信息必须内容齐全，真实有效，原件扫描清晰可辨。否则，由此造成应得分而未得分或审查不合格情况的，由投标企业承担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三、获取招标文件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1.时间：2024年04月24日 至 2024年04月30日，每天上午00:00至12:00，下午12:00至23:59（北京时间，法定节假日除外。）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2.地点：唐河县公共资源交易中心网站（http://www.thggzy.cn）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4.售价：0元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四、投标截止时间及地点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1.时间：2024年05月23日09时30分（北京时间）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2.地点：唐河县公共资源交易中心网站（www.thggzy.cn）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五、开标时间及地点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1.时间：2024年05月23日09时30分（北京时间）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2.地点：唐河县公共资源交易中心第一开标室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六、发布公告的媒介及招标公告期限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本次招标公告在《河南省政府采购网》、《中国政府采购网》、《中国招标投标公共服务平台》、《唐河县公共资源交易中心》上发布， 招标公告期限为五个工作日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七、其他补充事宜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（1）该项目自行上传投标文件，无需寄送和递交非加密投标文件光盘等。</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（2）因投标人无需现场参与开标，所有准备工作需自行准备到位。开标过程中如遇到紧急事项，可在不见面开标大厅中进行提出异议或文字交流。</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（3）不见面开标过程中，如投标人准备不到位，造成无法及时解密、网络问题等情况造成开标无法继续的，视为该投标人自动放弃投标（30分钟内），将被退回投标文件。</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（4）电子投标文件应在招标文件规定的投标截止时间前到达交易系统。逾期到达交易系统的电子投标文件视为放弃本次投标。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八、凡对本次招标提出询问，请按照以下方式联系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 采购人信息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名称：唐河县农业技术推广中心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地址：唐河县凤山路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联系人：杨先生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联系方式：15838469217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2.采购代理机构信息（如有）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名称：唐河县唐兴工程造价咨询有限公司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地址：河南省南阳市唐河县滨河街道凤山路财政局院内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联系人：牛先生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联系方式：15838196200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3.项目联系方式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项目联系人：牛先生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联系方式：15838196200</w:t>
            </w:r>
          </w:p>
        </w:tc>
      </w:tr>
    </w:tbl>
    <w:p>
      <w:pPr>
        <w:rPr>
          <w:rFonts w:hint="eastAsia" w:ascii="微软雅黑" w:hAnsi="微软雅黑" w:eastAsia="宋体" w:cs="微软雅黑"/>
          <w:snapToGrid w:val="0"/>
          <w:color w:val="000000"/>
          <w:kern w:val="0"/>
          <w:sz w:val="24"/>
          <w:szCs w:val="21"/>
          <w:lang w:val="en-US" w:eastAsia="zh-CN" w:bidi="ar"/>
        </w:rPr>
      </w:pPr>
      <w:r>
        <w:rPr>
          <w:rFonts w:hint="eastAsia" w:ascii="微软雅黑" w:hAnsi="微软雅黑" w:eastAsia="宋体" w:cs="微软雅黑"/>
          <w:snapToGrid w:val="0"/>
          <w:color w:val="000000"/>
          <w:kern w:val="0"/>
          <w:sz w:val="24"/>
          <w:szCs w:val="21"/>
          <w:lang w:val="en-US" w:eastAsia="zh-CN" w:bidi="ar"/>
        </w:rPr>
        <w:br w:type="page"/>
      </w:r>
    </w:p>
    <w:p>
      <w:pPr>
        <w:spacing w:before="218" w:line="225" w:lineRule="auto"/>
        <w:jc w:val="center"/>
        <w:outlineLvl w:val="0"/>
        <w:rPr>
          <w:rFonts w:ascii="宋体" w:hAnsi="宋体" w:eastAsia="宋体" w:cs="宋体"/>
          <w:b/>
          <w:bCs/>
          <w:sz w:val="31"/>
          <w:szCs w:val="31"/>
        </w:rPr>
      </w:pPr>
      <w:bookmarkStart w:id="1" w:name="_Toc5634"/>
      <w:r>
        <w:rPr>
          <w:rFonts w:ascii="宋体" w:hAnsi="宋体" w:eastAsia="宋体" w:cs="宋体"/>
          <w:b/>
          <w:bCs/>
          <w:spacing w:val="9"/>
          <w:sz w:val="31"/>
          <w:szCs w:val="31"/>
        </w:rPr>
        <w:t>第二部分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投标人须</w:t>
      </w:r>
      <w:r>
        <w:rPr>
          <w:rFonts w:ascii="宋体" w:hAnsi="宋体" w:eastAsia="宋体" w:cs="宋体"/>
          <w:b/>
          <w:bCs/>
          <w:spacing w:val="8"/>
          <w:sz w:val="31"/>
          <w:szCs w:val="31"/>
        </w:rPr>
        <w:t>知</w:t>
      </w:r>
      <w:bookmarkEnd w:id="1"/>
    </w:p>
    <w:p>
      <w:pPr>
        <w:spacing w:line="256" w:lineRule="auto"/>
      </w:pPr>
    </w:p>
    <w:p>
      <w:pPr>
        <w:spacing w:before="69" w:line="220" w:lineRule="auto"/>
        <w:ind w:left="157"/>
        <w:jc w:val="center"/>
        <w:outlineLvl w:val="9"/>
        <w:rPr>
          <w:rFonts w:ascii="宋体" w:hAnsi="宋体" w:eastAsia="宋体" w:cs="宋体"/>
          <w:b/>
          <w:bCs/>
        </w:rPr>
      </w:pPr>
      <w:r>
        <w:rPr>
          <w:rFonts w:ascii="宋体" w:hAnsi="宋体" w:eastAsia="宋体" w:cs="宋体"/>
          <w:b/>
          <w:bCs/>
          <w:spacing w:val="-1"/>
        </w:rPr>
        <w:t>投标</w:t>
      </w:r>
      <w:r>
        <w:rPr>
          <w:rFonts w:ascii="宋体" w:hAnsi="宋体" w:eastAsia="宋体" w:cs="宋体"/>
          <w:b/>
          <w:bCs/>
        </w:rPr>
        <w:t>人须知前附表</w:t>
      </w:r>
    </w:p>
    <w:p>
      <w:pPr>
        <w:spacing w:line="128" w:lineRule="exact"/>
      </w:pPr>
    </w:p>
    <w:tbl>
      <w:tblPr>
        <w:tblStyle w:val="45"/>
        <w:tblW w:w="10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270"/>
        <w:gridCol w:w="69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序</w:t>
            </w:r>
            <w:r>
              <w:rPr>
                <w:rFonts w:ascii="宋体" w:hAnsi="宋体" w:eastAsia="宋体" w:cs="宋体"/>
                <w:b/>
                <w:bCs/>
                <w:i w:val="0"/>
                <w:iCs w:val="0"/>
                <w:spacing w:val="-1"/>
                <w:sz w:val="21"/>
                <w:szCs w:val="21"/>
              </w:rPr>
              <w:t>号</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条款名</w:t>
            </w:r>
            <w:r>
              <w:rPr>
                <w:rFonts w:ascii="宋体" w:hAnsi="宋体" w:eastAsia="宋体" w:cs="宋体"/>
                <w:b/>
                <w:bCs/>
                <w:i w:val="0"/>
                <w:iCs w:val="0"/>
                <w:spacing w:val="-1"/>
                <w:sz w:val="21"/>
                <w:szCs w:val="21"/>
              </w:rPr>
              <w:t>称</w:t>
            </w:r>
          </w:p>
        </w:tc>
        <w:tc>
          <w:tcPr>
            <w:tcW w:w="694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b/>
                <w:bCs/>
                <w:i w:val="0"/>
                <w:iCs w:val="0"/>
                <w:sz w:val="21"/>
                <w:szCs w:val="21"/>
              </w:rPr>
            </w:pPr>
            <w:r>
              <w:rPr>
                <w:rFonts w:ascii="宋体" w:hAnsi="宋体" w:eastAsia="宋体" w:cs="宋体"/>
                <w:b/>
                <w:bCs/>
                <w:i w:val="0"/>
                <w:iCs w:val="0"/>
                <w:spacing w:val="-2"/>
                <w:sz w:val="21"/>
                <w:szCs w:val="21"/>
              </w:rPr>
              <w:t>编列内</w:t>
            </w:r>
            <w:r>
              <w:rPr>
                <w:rFonts w:ascii="宋体" w:hAnsi="宋体" w:eastAsia="宋体" w:cs="宋体"/>
                <w:b/>
                <w:bCs/>
                <w:i w:val="0"/>
                <w:iCs w:val="0"/>
                <w:spacing w:val="-1"/>
                <w:sz w:val="21"/>
                <w:szCs w:val="21"/>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1</w:t>
            </w:r>
          </w:p>
        </w:tc>
        <w:tc>
          <w:tcPr>
            <w:tcW w:w="2270"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lang w:eastAsia="zh-CN"/>
              </w:rPr>
            </w:pPr>
            <w:r>
              <w:rPr>
                <w:rFonts w:hint="eastAsia" w:cs="宋体"/>
                <w:sz w:val="21"/>
                <w:szCs w:val="21"/>
                <w:lang w:val="en-US" w:eastAsia="zh-CN"/>
              </w:rPr>
              <w:t>唐河县2023年度产油大县奖励资金扶持(种植类)项目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2</w:t>
            </w:r>
          </w:p>
        </w:tc>
        <w:tc>
          <w:tcPr>
            <w:tcW w:w="2270"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rPr>
              <w:t>采购人(招标人)</w:t>
            </w:r>
          </w:p>
        </w:tc>
        <w:tc>
          <w:tcPr>
            <w:tcW w:w="6943" w:type="dxa"/>
            <w:vAlign w:val="top"/>
          </w:tcPr>
          <w:p>
            <w:pPr>
              <w:pStyle w:val="46"/>
              <w:widowControl w:val="0"/>
              <w:kinsoku/>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r>
              <w:rPr>
                <w:rFonts w:hint="eastAsia" w:cs="宋体"/>
                <w:sz w:val="21"/>
                <w:szCs w:val="21"/>
                <w:lang w:val="en-US" w:eastAsia="zh-CN"/>
              </w:rPr>
              <w:t>唐河县农业技术推广中心</w:t>
            </w:r>
          </w:p>
          <w:p>
            <w:pPr>
              <w:pStyle w:val="46"/>
              <w:widowControl w:val="0"/>
              <w:kinsoku/>
              <w:adjustRightInd/>
              <w:snapToGrid/>
              <w:spacing w:line="360" w:lineRule="exact"/>
              <w:textAlignment w:val="auto"/>
              <w:rPr>
                <w:rFonts w:hint="eastAsia" w:cs="宋体"/>
                <w:sz w:val="21"/>
                <w:szCs w:val="21"/>
                <w:lang w:val="en-US" w:eastAsia="zh-CN"/>
              </w:rPr>
            </w:pPr>
            <w:r>
              <w:rPr>
                <w:rFonts w:hint="eastAsia" w:ascii="宋体" w:hAnsi="宋体" w:eastAsia="宋体" w:cs="宋体"/>
                <w:sz w:val="21"/>
                <w:szCs w:val="21"/>
                <w:lang w:val="en-US" w:eastAsia="zh-CN"/>
              </w:rPr>
              <w:t>地址：</w:t>
            </w:r>
            <w:r>
              <w:rPr>
                <w:rFonts w:hint="eastAsia" w:ascii="宋体" w:hAnsi="宋体" w:cs="宋体"/>
                <w:color w:val="auto"/>
                <w:szCs w:val="21"/>
              </w:rPr>
              <w:t>唐河</w:t>
            </w:r>
            <w:r>
              <w:rPr>
                <w:rFonts w:hint="eastAsia" w:cs="宋体"/>
                <w:sz w:val="21"/>
                <w:szCs w:val="21"/>
                <w:lang w:val="en-US" w:eastAsia="zh-CN"/>
              </w:rPr>
              <w:t>县凤山路</w:t>
            </w:r>
          </w:p>
          <w:p>
            <w:pPr>
              <w:pStyle w:val="46"/>
              <w:widowControl w:val="0"/>
              <w:kinsoku/>
              <w:adjustRightInd/>
              <w:snapToGrid/>
              <w:spacing w:line="360" w:lineRule="exact"/>
              <w:textAlignment w:val="auto"/>
              <w:rPr>
                <w:rFonts w:hint="eastAsia" w:cs="宋体"/>
                <w:sz w:val="21"/>
                <w:szCs w:val="21"/>
                <w:lang w:val="en-US" w:eastAsia="zh-CN"/>
              </w:rPr>
            </w:pPr>
            <w:r>
              <w:rPr>
                <w:rFonts w:hint="eastAsia" w:cs="宋体"/>
                <w:sz w:val="21"/>
                <w:szCs w:val="21"/>
                <w:lang w:val="en-US" w:eastAsia="zh-CN"/>
              </w:rPr>
              <w:t>联系人：杨先生</w:t>
            </w:r>
          </w:p>
          <w:p>
            <w:pPr>
              <w:pStyle w:val="46"/>
              <w:widowControl w:val="0"/>
              <w:kinsoku/>
              <w:adjustRightInd/>
              <w:snapToGrid/>
              <w:spacing w:line="360" w:lineRule="exact"/>
              <w:textAlignment w:val="auto"/>
              <w:rPr>
                <w:rFonts w:hint="eastAsia" w:ascii="宋体" w:hAnsi="宋体" w:eastAsia="宋体" w:cs="宋体"/>
                <w:sz w:val="21"/>
                <w:szCs w:val="21"/>
              </w:rPr>
            </w:pPr>
            <w:r>
              <w:rPr>
                <w:rFonts w:hint="eastAsia" w:cs="宋体"/>
                <w:sz w:val="21"/>
                <w:szCs w:val="21"/>
                <w:lang w:val="en-US" w:eastAsia="zh-CN"/>
              </w:rPr>
              <w:t>联系方式：15838469217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3</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采购代理机构</w:t>
            </w:r>
          </w:p>
        </w:tc>
        <w:tc>
          <w:tcPr>
            <w:tcW w:w="6943" w:type="dxa"/>
            <w:vAlign w:val="top"/>
          </w:tcPr>
          <w:p>
            <w:pPr>
              <w:pStyle w:val="46"/>
              <w:widowControl w:val="0"/>
              <w:kinsoku/>
              <w:adjustRightInd/>
              <w:snapToGrid/>
              <w:spacing w:line="360" w:lineRule="exact"/>
              <w:textAlignment w:val="auto"/>
              <w:rPr>
                <w:rFonts w:hint="eastAsia"/>
              </w:rPr>
            </w:pPr>
            <w:r>
              <w:rPr>
                <w:rFonts w:hint="eastAsia"/>
              </w:rPr>
              <w:t>名称：</w:t>
            </w:r>
            <w:r>
              <w:rPr>
                <w:rFonts w:hint="eastAsia"/>
                <w:lang w:val="en-US" w:eastAsia="zh-CN"/>
              </w:rPr>
              <w:t>唐河县唐兴工程造价咨询有限公司</w:t>
            </w:r>
          </w:p>
          <w:p>
            <w:pPr>
              <w:pStyle w:val="46"/>
              <w:widowControl w:val="0"/>
              <w:kinsoku/>
              <w:adjustRightInd/>
              <w:snapToGrid/>
              <w:spacing w:line="360" w:lineRule="exact"/>
              <w:textAlignment w:val="auto"/>
              <w:rPr>
                <w:rFonts w:hint="eastAsia"/>
              </w:rPr>
            </w:pPr>
            <w:r>
              <w:rPr>
                <w:rFonts w:hint="eastAsia"/>
              </w:rPr>
              <w:t>地址：</w:t>
            </w:r>
            <w:r>
              <w:rPr>
                <w:rFonts w:hint="eastAsia"/>
                <w:lang w:val="en-US" w:eastAsia="zh-CN"/>
              </w:rPr>
              <w:t>河南省南阳市唐河县滨河街道凤山路</w:t>
            </w:r>
            <w:r>
              <w:rPr>
                <w:rFonts w:hint="eastAsia" w:ascii="宋体" w:hAnsi="宋体" w:eastAsia="宋体" w:cs="宋体"/>
                <w:sz w:val="21"/>
                <w:szCs w:val="21"/>
                <w:lang w:val="en-US" w:eastAsia="zh-CN"/>
              </w:rPr>
              <w:t>财政局</w:t>
            </w:r>
            <w:r>
              <w:rPr>
                <w:rFonts w:hint="eastAsia"/>
                <w:lang w:val="en-US" w:eastAsia="zh-CN"/>
              </w:rPr>
              <w:t>院内</w:t>
            </w:r>
          </w:p>
          <w:p>
            <w:pPr>
              <w:pStyle w:val="46"/>
              <w:widowControl w:val="0"/>
              <w:kinsoku/>
              <w:adjustRightInd/>
              <w:snapToGrid/>
              <w:spacing w:line="360" w:lineRule="exact"/>
              <w:textAlignment w:val="auto"/>
              <w:rPr>
                <w:rFonts w:hint="eastAsia"/>
                <w:lang w:val="en-US" w:eastAsia="zh-CN"/>
              </w:rPr>
            </w:pPr>
            <w:r>
              <w:rPr>
                <w:rFonts w:hint="eastAsia"/>
              </w:rPr>
              <w:t>联系人：</w:t>
            </w:r>
            <w:r>
              <w:rPr>
                <w:rFonts w:hint="eastAsia"/>
                <w:lang w:val="en-US" w:eastAsia="zh-CN"/>
              </w:rPr>
              <w:t>牛先生</w:t>
            </w:r>
          </w:p>
          <w:p>
            <w:pPr>
              <w:pStyle w:val="46"/>
              <w:widowControl w:val="0"/>
              <w:kinsoku/>
              <w:adjustRightInd/>
              <w:snapToGrid/>
              <w:spacing w:line="360" w:lineRule="exact"/>
              <w:textAlignment w:val="auto"/>
              <w:rPr>
                <w:rFonts w:hint="default"/>
                <w:sz w:val="21"/>
                <w:szCs w:val="21"/>
                <w:lang w:val="en-US"/>
              </w:rPr>
            </w:pPr>
            <w:r>
              <w:rPr>
                <w:rFonts w:hint="eastAsia"/>
                <w:lang w:val="en-US" w:eastAsia="zh-CN"/>
              </w:rPr>
              <w:t>联系方式：15838196200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4</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供货地点</w:t>
            </w:r>
          </w:p>
        </w:tc>
        <w:tc>
          <w:tcPr>
            <w:tcW w:w="6943"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5</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pacing w:val="-1"/>
                <w:sz w:val="21"/>
                <w:szCs w:val="21"/>
              </w:rPr>
            </w:pPr>
            <w:r>
              <w:rPr>
                <w:rFonts w:hint="eastAsia" w:ascii="宋体" w:hAnsi="宋体" w:eastAsia="宋体" w:cs="宋体"/>
                <w:spacing w:val="-1"/>
                <w:sz w:val="21"/>
                <w:szCs w:val="21"/>
              </w:rPr>
              <w:t>投标人的资格条件</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6</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采购内容</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7</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供货期</w:t>
            </w:r>
          </w:p>
        </w:tc>
        <w:tc>
          <w:tcPr>
            <w:tcW w:w="6943" w:type="dxa"/>
          </w:tcPr>
          <w:p>
            <w:pPr>
              <w:keepNext w:val="0"/>
              <w:keepLines w:val="0"/>
              <w:pageBreakBefore w:val="0"/>
              <w:wordWrap w:val="0"/>
              <w:overflowPunct/>
              <w:topLinePunct w:val="0"/>
              <w:autoSpaceDE w:val="0"/>
              <w:autoSpaceDN w:val="0"/>
              <w:bidi w:val="0"/>
              <w:snapToGrid/>
              <w:spacing w:line="360" w:lineRule="exact"/>
              <w:ind w:right="0" w:rightChars="0"/>
              <w:jc w:val="left"/>
              <w:rPr>
                <w:rFonts w:hint="default" w:ascii="宋体" w:hAnsi="宋体" w:eastAsia="宋体" w:cs="宋体"/>
                <w:snapToGrid w:val="0"/>
                <w:color w:val="000000"/>
                <w:sz w:val="21"/>
                <w:szCs w:val="21"/>
                <w:lang w:val="en-US" w:eastAsia="zh-CN" w:bidi="ar-SA"/>
              </w:rPr>
            </w:pPr>
            <w:r>
              <w:rPr>
                <w:rFonts w:hint="default" w:ascii="宋体" w:hAnsi="宋体" w:eastAsia="宋体" w:cs="宋体"/>
                <w:snapToGrid w:val="0"/>
                <w:color w:val="000000"/>
                <w:sz w:val="21"/>
                <w:szCs w:val="21"/>
                <w:lang w:val="en-US" w:eastAsia="zh-CN" w:bidi="ar-SA"/>
              </w:rPr>
              <w:t>合同签订后 15 日内交货完毕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8</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质量要求</w:t>
            </w:r>
          </w:p>
        </w:tc>
        <w:tc>
          <w:tcPr>
            <w:tcW w:w="6943" w:type="dxa"/>
          </w:tcPr>
          <w:p>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cs="宋体"/>
                <w:color w:val="auto"/>
                <w:szCs w:val="21"/>
              </w:rPr>
              <w:t>合格，符合国家相关质量标准</w:t>
            </w:r>
            <w:r>
              <w:rPr>
                <w:rFonts w:hint="eastAsia" w:ascii="宋体" w:hAnsi="宋体" w:cs="宋体"/>
                <w:color w:val="auto"/>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9</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napToGrid w:val="0"/>
                <w:color w:val="000000"/>
                <w:sz w:val="21"/>
                <w:szCs w:val="21"/>
                <w:lang w:val="en-US" w:eastAsia="zh-CN" w:bidi="ar-SA"/>
              </w:rPr>
              <w:t>资金来源</w:t>
            </w:r>
          </w:p>
        </w:tc>
        <w:tc>
          <w:tcPr>
            <w:tcW w:w="6943" w:type="dxa"/>
          </w:tcPr>
          <w:p>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财政资金，已落实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10</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是否接受联合体标</w:t>
            </w:r>
          </w:p>
        </w:tc>
        <w:tc>
          <w:tcPr>
            <w:tcW w:w="6943" w:type="dxa"/>
            <w:vAlign w:val="center"/>
          </w:tcPr>
          <w:p>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z w:val="21"/>
                <w:szCs w:val="21"/>
              </w:rPr>
              <w:t>11</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踏勘现场</w:t>
            </w:r>
          </w:p>
        </w:tc>
        <w:tc>
          <w:tcPr>
            <w:tcW w:w="6943" w:type="dxa"/>
          </w:tcPr>
          <w:p>
            <w:pPr>
              <w:keepNext w:val="0"/>
              <w:keepLines w:val="0"/>
              <w:pageBreakBefore w:val="0"/>
              <w:wordWrap w:val="0"/>
              <w:overflowPunct/>
              <w:topLinePunct w:val="0"/>
              <w:autoSpaceDE w:val="0"/>
              <w:autoSpaceDN w:val="0"/>
              <w:bidi w:val="0"/>
              <w:snapToGrid/>
              <w:spacing w:line="360" w:lineRule="exact"/>
              <w:ind w:right="0" w:rightChars="0"/>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12</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投标预备会</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napToGrid w:val="0"/>
                <w:color w:val="000000"/>
                <w:sz w:val="21"/>
                <w:szCs w:val="21"/>
                <w:lang w:val="en-US" w:eastAsia="zh-CN" w:bidi="ar-SA"/>
              </w:rPr>
            </w:pPr>
            <w:r>
              <w:rPr>
                <w:rFonts w:ascii="宋体" w:hAnsi="宋体" w:eastAsia="宋体" w:cs="宋体"/>
                <w:snapToGrid w:val="0"/>
                <w:color w:val="000000"/>
                <w:sz w:val="21"/>
                <w:szCs w:val="21"/>
                <w:lang w:val="en-US" w:eastAsia="zh-CN" w:bidi="ar-SA"/>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13</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分包</w:t>
            </w:r>
          </w:p>
        </w:tc>
        <w:tc>
          <w:tcPr>
            <w:tcW w:w="6943" w:type="dxa"/>
            <w:vAlign w:val="center"/>
          </w:tcPr>
          <w:p>
            <w:pPr>
              <w:keepNext w:val="0"/>
              <w:keepLines w:val="0"/>
              <w:pageBreakBefore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中标人必须承担总包责任，必须独立完成项目，不得以任何形式转包，否则采购人有权终止合同并追究中标人的责任。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14</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投标承诺函</w:t>
            </w:r>
          </w:p>
        </w:tc>
        <w:tc>
          <w:tcPr>
            <w:tcW w:w="6943" w:type="dxa"/>
            <w:vAlign w:val="center"/>
          </w:tcPr>
          <w:p>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本项目不收取投标保证金，供应商自行提供投标承诺函，供应商应对本次项目进行承诺，主要内容包括投标时不会提供虚假材料、中标后应及时与采购人签订合同、在投标有效期内不会随意撤回、撤销投标，中标通知书发出后在规定时间内与采购人签订政府采购合同等，以及如果违背此承诺，应由供应商自行承担相关后果，给采购人造成损失的，由供应商赔偿采购人相关的损失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15</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hint="eastAsia" w:ascii="宋体" w:hAnsi="宋体" w:eastAsia="宋体" w:cs="宋体"/>
                <w:spacing w:val="-2"/>
                <w:sz w:val="21"/>
                <w:szCs w:val="21"/>
              </w:rPr>
              <w:t>是否允许递交备选投标方案</w:t>
            </w:r>
          </w:p>
        </w:tc>
        <w:tc>
          <w:tcPr>
            <w:tcW w:w="6943" w:type="dxa"/>
            <w:vAlign w:val="center"/>
          </w:tcPr>
          <w:p>
            <w:pPr>
              <w:keepNext w:val="0"/>
              <w:keepLines w:val="0"/>
              <w:pageBreakBefore w:val="0"/>
              <w:wordWrap w:val="0"/>
              <w:overflowPunct/>
              <w:topLinePunct w:val="0"/>
              <w:autoSpaceDE w:val="0"/>
              <w:autoSpaceDN w:val="0"/>
              <w:bidi w:val="0"/>
              <w:snapToGrid/>
              <w:spacing w:line="360" w:lineRule="exact"/>
              <w:ind w:right="0" w:rightChars="0"/>
              <w:jc w:val="left"/>
              <w:rPr>
                <w:rFonts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16</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构成招标文件的其他材料</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除招标文件内容外，招标人在招标期间发出的有编号的补遗书和其它有效正式函件，均是招标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17</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招标控制价</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小写：18233600.00元</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大写：</w:t>
            </w:r>
            <w:r>
              <w:rPr>
                <w:rFonts w:hint="eastAsia" w:ascii="宋体" w:hAnsi="宋体" w:eastAsia="宋体" w:cs="宋体"/>
                <w:b/>
                <w:bCs/>
                <w:lang w:val="en-US" w:eastAsia="zh-CN"/>
              </w:rPr>
              <w:fldChar w:fldCharType="begin"/>
            </w:r>
            <w:r>
              <w:rPr>
                <w:rFonts w:hint="eastAsia" w:ascii="宋体" w:hAnsi="宋体" w:eastAsia="宋体" w:cs="宋体"/>
                <w:b/>
                <w:bCs/>
                <w:lang w:val="en-US" w:eastAsia="zh-CN"/>
              </w:rPr>
              <w:instrText xml:space="preserve"> = 18233600 \* CHINESENUM2 \* MERGEFORMAT </w:instrText>
            </w:r>
            <w:r>
              <w:rPr>
                <w:rFonts w:hint="eastAsia" w:ascii="宋体" w:hAnsi="宋体" w:eastAsia="宋体" w:cs="宋体"/>
                <w:b/>
                <w:bCs/>
                <w:lang w:val="en-US" w:eastAsia="zh-CN"/>
              </w:rPr>
              <w:fldChar w:fldCharType="separate"/>
            </w:r>
            <w:r>
              <w:rPr>
                <w:rFonts w:hint="eastAsia" w:ascii="宋体" w:hAnsi="宋体" w:eastAsia="宋体" w:cs="宋体"/>
                <w:b/>
                <w:bCs/>
                <w:lang w:val="en-US" w:eastAsia="zh-CN"/>
              </w:rPr>
              <w:t>壹仟捌佰贰拾叁万叁仟陆佰</w:t>
            </w:r>
            <w:r>
              <w:rPr>
                <w:rFonts w:hint="eastAsia" w:ascii="宋体" w:hAnsi="宋体" w:eastAsia="宋体" w:cs="宋体"/>
                <w:b/>
                <w:bCs/>
                <w:lang w:val="en-US" w:eastAsia="zh-CN"/>
              </w:rPr>
              <w:fldChar w:fldCharType="end"/>
            </w:r>
            <w:r>
              <w:rPr>
                <w:rFonts w:hint="eastAsia" w:ascii="宋体" w:hAnsi="宋体" w:eastAsia="宋体" w:cs="宋体"/>
                <w:b/>
                <w:bCs/>
                <w:lang w:val="en-US" w:eastAsia="zh-CN"/>
              </w:rPr>
              <w:t>元整</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注：投标报价不得超过招标控制价，否则按废标处理。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hint="eastAsia" w:ascii="宋体" w:hAnsi="宋体" w:eastAsia="宋体" w:cs="宋体"/>
                <w:spacing w:val="-7"/>
                <w:sz w:val="21"/>
                <w:szCs w:val="21"/>
              </w:rPr>
              <w:t>18</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2"/>
                <w:sz w:val="21"/>
                <w:szCs w:val="21"/>
              </w:rPr>
            </w:pPr>
            <w:r>
              <w:rPr>
                <w:rFonts w:ascii="宋体" w:hAnsi="宋体" w:eastAsia="宋体" w:cs="宋体"/>
                <w:spacing w:val="-2"/>
                <w:sz w:val="21"/>
                <w:szCs w:val="21"/>
              </w:rPr>
              <w:t>招标文件的发售方式及领取时间、地点</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19</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电子标投标文件递交</w:t>
            </w:r>
          </w:p>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截止时间(同开标时间)</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20</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开标时间和地点</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hint="eastAsia" w:ascii="宋体" w:hAnsi="宋体" w:eastAsia="宋体" w:cs="宋体"/>
                <w:spacing w:val="-7"/>
                <w:sz w:val="21"/>
                <w:szCs w:val="21"/>
              </w:rPr>
              <w:t>21</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投标保证金</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pacing w:val="-7"/>
                <w:sz w:val="21"/>
                <w:szCs w:val="21"/>
              </w:rPr>
            </w:pPr>
            <w:r>
              <w:rPr>
                <w:spacing w:val="-7"/>
                <w:sz w:val="21"/>
                <w:szCs w:val="21"/>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22</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投标有效期</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自投标截止之日起 60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23</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是否允许递交备选投标文件</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24</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pacing w:val="-7"/>
                <w:sz w:val="21"/>
                <w:szCs w:val="21"/>
              </w:rPr>
            </w:pPr>
            <w:r>
              <w:rPr>
                <w:rFonts w:ascii="宋体" w:hAnsi="宋体" w:eastAsia="宋体" w:cs="宋体"/>
                <w:spacing w:val="-7"/>
                <w:sz w:val="21"/>
                <w:szCs w:val="21"/>
              </w:rPr>
              <w:t>签字和盖章要求</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投标人需按招标文件的格式，在规定的地方进行法定代表人电子签名、加盖投标人电子公章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25</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color w:val="0C0C0C"/>
                <w:spacing w:val="-4"/>
                <w:sz w:val="21"/>
                <w:szCs w:val="21"/>
              </w:rPr>
              <w:t>电子投标文件递</w:t>
            </w:r>
            <w:r>
              <w:rPr>
                <w:rFonts w:ascii="宋体" w:hAnsi="宋体" w:eastAsia="宋体" w:cs="宋体"/>
                <w:color w:val="0C0C0C"/>
                <w:spacing w:val="-3"/>
                <w:sz w:val="21"/>
                <w:szCs w:val="21"/>
              </w:rPr>
              <w:t>交</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1、投标人应在唐河县公共资源交易系统下载“电子投标文件制作工具”，并按照招标文件要求编制和上传递交加密的电子投标文件</w:t>
            </w:r>
            <w:r>
              <w:rPr>
                <w:rFonts w:hint="eastAsia"/>
                <w:sz w:val="21"/>
                <w:szCs w:val="21"/>
              </w:rPr>
              <w:t>(.nytf格式)</w:t>
            </w:r>
            <w:r>
              <w:rPr>
                <w:sz w:val="21"/>
                <w:szCs w:val="21"/>
              </w:rPr>
              <w:t>。投标人上传时必须得到系统“上传成功”的确认回复，并认真检查电子投标文件是否完整、正确。递交网址：http://www.thggzy.cn/</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2、投标人的电子投标文件应在招标文件规定的投标截止时间前到达交易系统。逾期到达交易系统的电子投标文件视为放弃本次投标。</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3、投标人所递交的电子投标文件在投标截止时间之后不予退回。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26</w:t>
            </w:r>
          </w:p>
        </w:tc>
        <w:tc>
          <w:tcPr>
            <w:tcW w:w="2270" w:type="dxa"/>
            <w:vAlign w:val="center"/>
          </w:tcPr>
          <w:p>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z w:val="21"/>
                <w:szCs w:val="21"/>
              </w:rPr>
            </w:pPr>
            <w:r>
              <w:rPr>
                <w:rFonts w:hint="eastAsia"/>
                <w:spacing w:val="0"/>
                <w:sz w:val="21"/>
                <w:lang w:val="en-US" w:eastAsia="zh-CN"/>
              </w:rPr>
              <w:t>响应文件的份数和签署</w:t>
            </w:r>
          </w:p>
        </w:tc>
        <w:tc>
          <w:tcPr>
            <w:tcW w:w="6943" w:type="dxa"/>
            <w:vAlign w:val="top"/>
          </w:tcPr>
          <w:p>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b w:val="0"/>
                <w:bCs w:val="0"/>
                <w:spacing w:val="0"/>
                <w:sz w:val="21"/>
                <w:lang w:val="en-US" w:eastAsia="zh-CN"/>
              </w:rPr>
            </w:pPr>
            <w:r>
              <w:rPr>
                <w:rFonts w:hint="eastAsia"/>
                <w:b w:val="0"/>
                <w:bCs w:val="0"/>
                <w:spacing w:val="0"/>
                <w:sz w:val="21"/>
                <w:lang w:val="en-US" w:eastAsia="zh-CN"/>
              </w:rPr>
              <w:t>1、本项目实行电子招投标，供应商需编制电子响应文件，并按电子响应文件递交要求上传电子响应文件；</w:t>
            </w:r>
          </w:p>
          <w:p>
            <w:pPr>
              <w:pStyle w:val="46"/>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z w:val="21"/>
                <w:szCs w:val="21"/>
              </w:rPr>
            </w:pPr>
            <w:r>
              <w:rPr>
                <w:rFonts w:hint="eastAsia"/>
                <w:b w:val="0"/>
                <w:bCs w:val="0"/>
                <w:spacing w:val="0"/>
                <w:sz w:val="21"/>
                <w:lang w:val="en-US" w:eastAsia="zh-CN"/>
              </w:rPr>
              <w:t>2、本项目采用网上不见面方式开标，投标供应商无需到达开标现场参与投标。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27</w:t>
            </w:r>
          </w:p>
        </w:tc>
        <w:tc>
          <w:tcPr>
            <w:tcW w:w="2270" w:type="dxa"/>
            <w:vAlign w:val="center"/>
          </w:tcPr>
          <w:p>
            <w:pPr>
              <w:keepNext w:val="0"/>
              <w:keepLines w:val="0"/>
              <w:pageBreakBefore w:val="0"/>
              <w:tabs>
                <w:tab w:val="left" w:pos="744"/>
              </w:tabs>
              <w:overflowPunct/>
              <w:topLinePunct w:val="0"/>
              <w:autoSpaceDE w:val="0"/>
              <w:autoSpaceDN w:val="0"/>
              <w:bidi w:val="0"/>
              <w:spacing w:line="360" w:lineRule="exact"/>
              <w:ind w:right="0" w:rightChars="0"/>
              <w:jc w:val="center"/>
              <w:rPr>
                <w:rFonts w:ascii="宋体" w:hAnsi="宋体" w:cs="宋体"/>
                <w:sz w:val="21"/>
                <w:szCs w:val="21"/>
              </w:rPr>
            </w:pPr>
            <w:r>
              <w:rPr>
                <w:rFonts w:ascii="宋体" w:hAnsi="宋体"/>
                <w:color w:val="0C0C0C"/>
                <w:sz w:val="21"/>
                <w:szCs w:val="21"/>
              </w:rPr>
              <w:t>备份</w:t>
            </w:r>
            <w:r>
              <w:rPr>
                <w:rFonts w:hint="eastAsia" w:ascii="宋体" w:hAnsi="宋体"/>
                <w:color w:val="0C0C0C"/>
                <w:sz w:val="21"/>
                <w:szCs w:val="21"/>
              </w:rPr>
              <w:t>电子光盘（U盘）要求及</w:t>
            </w:r>
            <w:r>
              <w:rPr>
                <w:rFonts w:hint="eastAsia" w:ascii="宋体" w:hAnsi="宋体" w:cs="宋体"/>
                <w:sz w:val="21"/>
                <w:szCs w:val="21"/>
              </w:rPr>
              <w:t>封套上写明</w:t>
            </w:r>
          </w:p>
        </w:tc>
        <w:tc>
          <w:tcPr>
            <w:tcW w:w="6943"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28</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sz w:val="21"/>
                <w:szCs w:val="21"/>
              </w:rPr>
            </w:pPr>
            <w:r>
              <w:rPr>
                <w:rFonts w:ascii="宋体" w:hAnsi="宋体" w:eastAsia="宋体" w:cs="宋体"/>
                <w:sz w:val="21"/>
                <w:szCs w:val="21"/>
              </w:rPr>
              <w:t>评标委员会的组建</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hint="eastAsia" w:ascii="宋体" w:hAnsi="宋体" w:eastAsia="宋体" w:cs="宋体"/>
                <w:sz w:val="21"/>
                <w:szCs w:val="21"/>
              </w:rPr>
              <w:t>评标委员会人数构成：</w:t>
            </w:r>
            <w:r>
              <w:rPr>
                <w:rFonts w:hint="eastAsia" w:cs="宋体"/>
                <w:sz w:val="21"/>
                <w:szCs w:val="21"/>
                <w:lang w:val="en-US" w:eastAsia="zh-CN"/>
              </w:rPr>
              <w:t>7</w:t>
            </w:r>
            <w:r>
              <w:rPr>
                <w:rFonts w:hint="eastAsia" w:ascii="宋体" w:hAnsi="宋体" w:eastAsia="宋体" w:cs="宋体"/>
                <w:sz w:val="21"/>
                <w:szCs w:val="21"/>
              </w:rPr>
              <w:t>人；其中采购人代表</w:t>
            </w:r>
            <w:r>
              <w:rPr>
                <w:rFonts w:hint="eastAsia" w:cs="宋体"/>
                <w:sz w:val="21"/>
                <w:szCs w:val="21"/>
                <w:lang w:val="en-US" w:eastAsia="zh-CN"/>
              </w:rPr>
              <w:t>2</w:t>
            </w:r>
            <w:r>
              <w:rPr>
                <w:rFonts w:hint="eastAsia" w:ascii="宋体" w:hAnsi="宋体" w:eastAsia="宋体" w:cs="宋体"/>
                <w:sz w:val="21"/>
                <w:szCs w:val="21"/>
              </w:rPr>
              <w:t>人、评审专家</w:t>
            </w:r>
            <w:r>
              <w:rPr>
                <w:rFonts w:hint="eastAsia" w:cs="宋体"/>
                <w:sz w:val="21"/>
                <w:szCs w:val="21"/>
                <w:lang w:val="en-US" w:eastAsia="zh-CN"/>
              </w:rPr>
              <w:t>5</w:t>
            </w:r>
            <w:r>
              <w:rPr>
                <w:rFonts w:hint="eastAsia" w:ascii="宋体" w:hAnsi="宋体" w:eastAsia="宋体" w:cs="宋体"/>
                <w:sz w:val="21"/>
                <w:szCs w:val="21"/>
              </w:rPr>
              <w:t>人；</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ascii="宋体" w:hAnsi="宋体" w:eastAsia="宋体" w:cs="宋体"/>
                <w:sz w:val="21"/>
                <w:szCs w:val="21"/>
              </w:rPr>
            </w:pPr>
            <w:r>
              <w:rPr>
                <w:rFonts w:ascii="宋体" w:hAnsi="宋体" w:eastAsia="宋体" w:cs="宋体"/>
                <w:sz w:val="21"/>
                <w:szCs w:val="21"/>
              </w:rPr>
              <w:t>评标专家确定方式：开标前由招标人在监督单位监督下，按相关规定从政府采购专家库中随机抽取。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29</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中标候选人评定</w:t>
            </w:r>
          </w:p>
        </w:tc>
        <w:tc>
          <w:tcPr>
            <w:tcW w:w="6943"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投标人提供相同品牌产品且通过资格审查、符合性审查的不同投标人参加本项目，按一家投标人计算。评审后得分最高的同品牌投标人获得中标人推荐资格；评审得分相同的，按投标报价最低者获得中标人推荐资格；投标报价也相等的，按技术得分高者获得中标人推荐资格；技术得分也相等的，按技术指标优者获得中标人推荐资格；其他同品牌投标人不作为中标候选人。若不同品牌的投标人得分相同的，按投标报价由低到高顺序排列；投标报价也相等的，按技术得分高者优先，技术得分也相等的，按技术指标优劣顺序排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30</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z w:val="21"/>
                <w:szCs w:val="21"/>
              </w:rPr>
            </w:pPr>
            <w:r>
              <w:rPr>
                <w:rFonts w:hint="eastAsia" w:ascii="宋体" w:hAnsi="宋体" w:eastAsia="宋体" w:cs="宋体"/>
                <w:sz w:val="21"/>
                <w:szCs w:val="21"/>
              </w:rPr>
              <w:t>是否授权评标委员会确定中标人</w:t>
            </w:r>
          </w:p>
        </w:tc>
        <w:tc>
          <w:tcPr>
            <w:tcW w:w="6943"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否；评标委员会推荐的中标候选人数：3人；</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采购人应当确定排名第一的中标候选人为中标人。排名第一的中标候选人放弃中标、因不可抗力提出不能履行合同等，有如上情况之一的，采购人可以依次确定排名第二、第三的中标候选人为中标人。若排名第三的中标候选人出现上述情况之一的，则该标段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31</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评标方法</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详见招标文件的评标办法。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32</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中标公示</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sz w:val="21"/>
                <w:szCs w:val="21"/>
              </w:rPr>
            </w:pPr>
            <w:r>
              <w:rPr>
                <w:rFonts w:hint="eastAsia"/>
                <w:sz w:val="21"/>
                <w:szCs w:val="21"/>
              </w:rPr>
              <w:t>代理机构接到采购人通知后，将在公告信息发布同一媒体上发布中标结果公告。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33</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履约保证金</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eastAsia="zh-CN"/>
              </w:rPr>
            </w:pPr>
            <w:r>
              <w:rPr>
                <w:rFonts w:hint="eastAsia" w:cs="宋体"/>
                <w:spacing w:val="0"/>
                <w:sz w:val="21"/>
                <w:szCs w:val="21"/>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34</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验收方式</w:t>
            </w:r>
          </w:p>
        </w:tc>
        <w:tc>
          <w:tcPr>
            <w:tcW w:w="6943"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eastAsia="zh-CN"/>
              </w:rPr>
            </w:pPr>
            <w:r>
              <w:rPr>
                <w:rFonts w:hint="eastAsia" w:eastAsia="宋体"/>
                <w:sz w:val="21"/>
                <w:szCs w:val="21"/>
                <w:highlight w:val="none"/>
                <w:lang w:eastAsia="zh-CN"/>
              </w:rPr>
              <w:t>1、中标供应商所供货物全部安装调试完成后，向采购人提出验收申请，采购人组织相关人员成立县级验收小组，严格按照投标文件对设备数量进行验收，验收合格出具验收报告。</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eastAsia="zh-CN"/>
              </w:rPr>
            </w:pPr>
            <w:r>
              <w:rPr>
                <w:rFonts w:hint="eastAsia" w:eastAsia="宋体"/>
                <w:sz w:val="21"/>
                <w:szCs w:val="21"/>
                <w:highlight w:val="none"/>
                <w:lang w:eastAsia="zh-CN"/>
              </w:rPr>
              <w:t>2、县级验收合格后，委托第三方机构对所供货物进行质量验收，验收合格后，出具验收报告。</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eastAsia="zh-CN"/>
              </w:rPr>
            </w:pPr>
            <w:r>
              <w:rPr>
                <w:rFonts w:hint="eastAsia" w:eastAsia="宋体"/>
                <w:sz w:val="21"/>
                <w:szCs w:val="21"/>
                <w:highlight w:val="none"/>
                <w:lang w:eastAsia="zh-CN"/>
              </w:rPr>
              <w:t>3、验收不合格，由中标供应商进行整改，由此所产生的费用及损失由中标供货商自行承担。</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eastAsia" w:eastAsia="宋体"/>
                <w:sz w:val="21"/>
                <w:szCs w:val="21"/>
                <w:highlight w:val="none"/>
                <w:lang w:eastAsia="zh-CN"/>
              </w:rPr>
            </w:pPr>
            <w:r>
              <w:rPr>
                <w:rFonts w:hint="eastAsia" w:eastAsia="宋体"/>
                <w:sz w:val="21"/>
                <w:szCs w:val="21"/>
                <w:highlight w:val="none"/>
                <w:lang w:eastAsia="zh-CN"/>
              </w:rPr>
              <w:t>4、验收费用，由中标供应商承担</w:t>
            </w:r>
            <w:r>
              <w:rPr>
                <w:rFonts w:hint="eastAsia"/>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35</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付款方式及要求</w:t>
            </w:r>
          </w:p>
        </w:tc>
        <w:tc>
          <w:tcPr>
            <w:tcW w:w="6943" w:type="dxa"/>
            <w:vAlign w:val="center"/>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rFonts w:hint="default"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lang w:val="en-US" w:eastAsia="zh-CN" w:bidi="ar-SA"/>
              </w:rPr>
              <w:t>合同签订后支付50%，供货完毕后付清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36</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color w:val="0C0C0C"/>
                <w:spacing w:val="-1"/>
                <w:sz w:val="21"/>
                <w:szCs w:val="21"/>
              </w:rPr>
            </w:pPr>
            <w:r>
              <w:rPr>
                <w:rFonts w:hint="eastAsia" w:ascii="宋体" w:hAnsi="宋体" w:eastAsia="宋体" w:cs="宋体"/>
                <w:color w:val="0C0C0C"/>
                <w:spacing w:val="-1"/>
                <w:sz w:val="21"/>
                <w:szCs w:val="21"/>
              </w:rPr>
              <w:t>开标程序</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本项目采用“远程不见面”开标方式，不见面开标大厅地址</w:t>
            </w:r>
            <w:r>
              <w:rPr>
                <w:sz w:val="21"/>
                <w:szCs w:val="21"/>
              </w:rPr>
              <w:fldChar w:fldCharType="begin"/>
            </w:r>
            <w:r>
              <w:rPr>
                <w:sz w:val="21"/>
                <w:szCs w:val="21"/>
              </w:rPr>
              <w:instrText xml:space="preserve"> HYPERLINK "http://www.thggzy.cn/" </w:instrText>
            </w:r>
            <w:r>
              <w:rPr>
                <w:sz w:val="21"/>
                <w:szCs w:val="21"/>
              </w:rPr>
              <w:fldChar w:fldCharType="separate"/>
            </w:r>
            <w:r>
              <w:rPr>
                <w:sz w:val="21"/>
                <w:szCs w:val="21"/>
              </w:rPr>
              <w:t>http://www.thggzy.cn/</w:t>
            </w:r>
            <w:r>
              <w:rPr>
                <w:sz w:val="21"/>
                <w:szCs w:val="21"/>
              </w:rPr>
              <w:fldChar w:fldCharType="end"/>
            </w:r>
            <w:r>
              <w:rPr>
                <w:sz w:val="21"/>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37</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投标人代表出席开标会要求</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该项目需要使用不见面开标，告知投标人无需前往现场来参与投标。而是各投标人根据手册要求，提前做好相关准备工作。</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附件：操作手册地址(下载专区中自行下载)、不见面开标大厅地址唐河县公共资源交易中心网站首页“不见面开标大厅”模块</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因投标人无需现场参与开标，所有准备工作需要自行到位。开标过程中如遇到紧急事项，可在不见面开标大厅中进行提出异议或文字交流，严重问题可拨打技术支持电话</w:t>
            </w:r>
          </w:p>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不见面开标过程中，如投标人准备不到位，造成无法及时解密、网络问题等情况造成开标无法继续的，视为该投标人自动放弃投标(</w:t>
            </w:r>
            <w:r>
              <w:rPr>
                <w:rFonts w:hint="eastAsia"/>
                <w:sz w:val="21"/>
                <w:szCs w:val="21"/>
              </w:rPr>
              <w:t>3</w:t>
            </w:r>
            <w:r>
              <w:rPr>
                <w:sz w:val="21"/>
                <w:szCs w:val="21"/>
              </w:rPr>
              <w:t>0分钟内)，将被退回投标文件。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38</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监督</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本项目的招标投标活动及其相关当事人应当接受有管辖权的招标投标行政监督部门依法实施的监督。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39</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解释权</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r>
              <w:rPr>
                <w:rFonts w:hint="eastAsia"/>
                <w:sz w:val="21"/>
                <w:szCs w:val="21"/>
              </w:rPr>
              <w:t>在评标过程中，若招标文件中就同一内容，有表达不一致的情形，且潜在投标人在招标文件规定的提出异议和澄清的时间内未提出异议或其他澄清要求的，则由评标委员会按照有利于招标人的方向理解。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40</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投标人提出问题的截止时间</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递交投标文件的截止之日15日前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41</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其他说明</w:t>
            </w:r>
          </w:p>
        </w:tc>
        <w:tc>
          <w:tcPr>
            <w:tcW w:w="6943" w:type="dxa"/>
          </w:tcPr>
          <w:p>
            <w:pPr>
              <w:pStyle w:val="46"/>
              <w:keepNext w:val="0"/>
              <w:keepLines w:val="0"/>
              <w:pageBreakBefore w:val="0"/>
              <w:widowControl w:val="0"/>
              <w:kinsoku/>
              <w:overflowPunct/>
              <w:topLinePunct w:val="0"/>
              <w:autoSpaceDE w:val="0"/>
              <w:autoSpaceDN w:val="0"/>
              <w:bidi w:val="0"/>
              <w:adjustRightInd/>
              <w:snapToGrid/>
              <w:spacing w:line="360" w:lineRule="exact"/>
              <w:ind w:right="0" w:rightChars="0"/>
              <w:jc w:val="left"/>
              <w:textAlignment w:val="auto"/>
              <w:rPr>
                <w:sz w:val="21"/>
                <w:szCs w:val="21"/>
              </w:rPr>
            </w:pPr>
            <w:r>
              <w:rPr>
                <w:sz w:val="21"/>
                <w:szCs w:val="21"/>
              </w:rPr>
              <w:t>“招标人”与“采购人”，“投标人”与“供应商”按照同一意思理解。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42</w:t>
            </w:r>
          </w:p>
        </w:tc>
        <w:tc>
          <w:tcPr>
            <w:tcW w:w="2270" w:type="dxa"/>
            <w:vAlign w:val="center"/>
          </w:tcPr>
          <w:p>
            <w:pPr>
              <w:spacing w:line="360" w:lineRule="exact"/>
              <w:ind w:left="0" w:leftChars="0" w:right="0" w:rightChars="0"/>
              <w:jc w:val="center"/>
              <w:rPr>
                <w:rFonts w:ascii="宋体" w:hAnsi="宋体" w:eastAsia="宋体" w:cs="宋体"/>
                <w:color w:val="0C0C0C"/>
                <w:spacing w:val="-1"/>
                <w:sz w:val="21"/>
                <w:szCs w:val="21"/>
              </w:rPr>
            </w:pPr>
            <w:r>
              <w:rPr>
                <w:rFonts w:hint="eastAsia" w:cs="宋体"/>
                <w:szCs w:val="21"/>
                <w:lang w:val="en-US" w:eastAsia="zh-CN"/>
              </w:rPr>
              <w:t>代理</w:t>
            </w:r>
            <w:r>
              <w:rPr>
                <w:rFonts w:hint="eastAsia" w:ascii="宋体" w:hAnsi="宋体" w:cs="宋体"/>
                <w:szCs w:val="21"/>
                <w:lang w:val="zh-CN"/>
              </w:rPr>
              <w:t>服务费</w:t>
            </w:r>
          </w:p>
        </w:tc>
        <w:tc>
          <w:tcPr>
            <w:tcW w:w="6943" w:type="dxa"/>
            <w:vAlign w:val="center"/>
          </w:tcPr>
          <w:p>
            <w:pPr>
              <w:spacing w:line="360" w:lineRule="exact"/>
              <w:ind w:left="0" w:leftChars="0" w:right="0" w:rightChars="0"/>
              <w:jc w:val="left"/>
              <w:rPr>
                <w:rFonts w:ascii="宋体" w:hAnsi="宋体" w:eastAsia="宋体" w:cs="Times New Roman"/>
                <w:snapToGrid w:val="0"/>
                <w:color w:val="000000"/>
                <w:sz w:val="21"/>
                <w:szCs w:val="21"/>
                <w:lang w:val="en-US" w:eastAsia="zh-CN" w:bidi="ar-SA"/>
              </w:rPr>
            </w:pPr>
            <w:r>
              <w:rPr>
                <w:rFonts w:hint="eastAsia" w:ascii="宋体" w:hAnsi="宋体" w:eastAsia="宋体" w:cs="Times New Roman"/>
                <w:snapToGrid w:val="0"/>
                <w:color w:val="000000"/>
                <w:sz w:val="21"/>
                <w:szCs w:val="21"/>
                <w:lang w:val="en-US" w:eastAsia="zh-CN" w:bidi="ar-SA"/>
              </w:rPr>
              <w:t>代理机构与采购人商定,参照豫招协【2023】002号文规定的招标代理服务收费计算标准，中标、成交供应商在领取中标通知书时一次性向代理机构缴纳。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43</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ascii="宋体" w:hAnsi="宋体" w:eastAsia="宋体" w:cs="宋体"/>
                <w:color w:val="0C0C0C"/>
                <w:spacing w:val="-1"/>
                <w:sz w:val="21"/>
                <w:szCs w:val="21"/>
              </w:rPr>
            </w:pPr>
            <w:r>
              <w:rPr>
                <w:rFonts w:hint="eastAsia" w:ascii="宋体" w:hAnsi="宋体" w:eastAsia="宋体" w:cs="宋体"/>
                <w:color w:val="0C0C0C"/>
                <w:spacing w:val="-1"/>
                <w:sz w:val="21"/>
                <w:szCs w:val="21"/>
              </w:rPr>
              <w:t>小微企业政策</w:t>
            </w:r>
          </w:p>
        </w:tc>
        <w:tc>
          <w:tcPr>
            <w:tcW w:w="6943" w:type="dxa"/>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sz w:val="21"/>
                <w:szCs w:val="21"/>
              </w:rPr>
            </w:pPr>
            <w:r>
              <w:rPr>
                <w:rFonts w:hint="eastAsia"/>
                <w:sz w:val="21"/>
                <w:szCs w:val="21"/>
              </w:rPr>
              <w:t>鼓励各地区、各部门在采购活动中允许中小企业引入信用担保手段，为中小企业在投标(响应)保证、履约保证等方面提供专业化服务。鼓励中小企业依法合规通过政府采购合同融资。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23"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44</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default" w:ascii="宋体" w:hAnsi="宋体" w:eastAsia="宋体" w:cs="宋体"/>
                <w:color w:val="0C0C0C"/>
                <w:spacing w:val="-1"/>
                <w:sz w:val="21"/>
                <w:szCs w:val="21"/>
                <w:lang w:val="en-US" w:eastAsia="zh-CN"/>
              </w:rPr>
            </w:pPr>
            <w:r>
              <w:rPr>
                <w:rFonts w:hint="eastAsia" w:ascii="宋体" w:hAnsi="宋体" w:eastAsia="宋体" w:cs="宋体"/>
                <w:color w:val="0C0C0C"/>
                <w:spacing w:val="-1"/>
                <w:sz w:val="21"/>
                <w:szCs w:val="21"/>
                <w:lang w:val="en-US" w:eastAsia="zh-CN"/>
              </w:rPr>
              <w:t>核心产品</w:t>
            </w:r>
          </w:p>
        </w:tc>
        <w:tc>
          <w:tcPr>
            <w:tcW w:w="6943" w:type="dxa"/>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rFonts w:hint="eastAsia" w:eastAsia="宋体"/>
                <w:sz w:val="21"/>
                <w:szCs w:val="21"/>
                <w:lang w:val="en-US" w:eastAsia="zh-CN"/>
              </w:rPr>
            </w:pPr>
            <w:r>
              <w:rPr>
                <w:rFonts w:hint="eastAsia"/>
                <w:sz w:val="21"/>
                <w:szCs w:val="21"/>
                <w:lang w:val="en-US" w:eastAsia="zh-CN"/>
              </w:rPr>
              <w:t>种子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23" w:type="dxa"/>
            <w:vAlign w:val="center"/>
          </w:tcPr>
          <w:p>
            <w:pPr>
              <w:spacing w:before="69" w:line="185" w:lineRule="auto"/>
              <w:jc w:val="center"/>
              <w:rPr>
                <w:rFonts w:hint="eastAsia" w:ascii="宋体" w:hAnsi="宋体" w:eastAsia="宋体" w:cs="宋体"/>
                <w:spacing w:val="-3"/>
                <w:sz w:val="21"/>
                <w:szCs w:val="21"/>
                <w:lang w:val="en-US" w:eastAsia="zh-CN"/>
              </w:rPr>
            </w:pPr>
            <w:r>
              <w:rPr>
                <w:rFonts w:hint="eastAsia" w:ascii="宋体" w:hAnsi="宋体" w:eastAsia="宋体" w:cs="宋体"/>
                <w:spacing w:val="-3"/>
                <w:lang w:val="en-US" w:eastAsia="zh-CN"/>
              </w:rPr>
              <w:t>45</w:t>
            </w:r>
          </w:p>
        </w:tc>
        <w:tc>
          <w:tcPr>
            <w:tcW w:w="2270" w:type="dxa"/>
            <w:vAlign w:val="center"/>
          </w:tcPr>
          <w:p>
            <w:pPr>
              <w:spacing w:before="69" w:line="288" w:lineRule="auto"/>
              <w:ind w:right="186" w:rightChars="0"/>
              <w:jc w:val="center"/>
              <w:rPr>
                <w:rFonts w:hint="eastAsia" w:ascii="宋体" w:hAnsi="宋体" w:eastAsia="宋体" w:cs="宋体"/>
                <w:color w:val="0C0C0C"/>
                <w:spacing w:val="-1"/>
                <w:sz w:val="21"/>
                <w:szCs w:val="21"/>
                <w:lang w:val="en-US" w:eastAsia="zh-CN"/>
              </w:rPr>
            </w:pPr>
            <w:r>
              <w:rPr>
                <w:rFonts w:hint="eastAsia" w:ascii="宋体" w:hAnsi="宋体" w:eastAsia="宋体" w:cs="宋体"/>
                <w:snapToGrid w:val="0"/>
                <w:color w:val="000000"/>
                <w:sz w:val="21"/>
                <w:szCs w:val="21"/>
                <w:lang w:val="en-US" w:eastAsia="zh-CN" w:bidi="ar-SA"/>
              </w:rPr>
              <w:t>售后服务要求</w:t>
            </w:r>
          </w:p>
        </w:tc>
        <w:tc>
          <w:tcPr>
            <w:tcW w:w="6943" w:type="dxa"/>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sz w:val="21"/>
                <w:szCs w:val="21"/>
                <w:lang w:val="en-US" w:eastAsia="zh-CN"/>
              </w:rPr>
            </w:pPr>
            <w:r>
              <w:rPr>
                <w:rFonts w:hint="eastAsia" w:ascii="宋体" w:hAnsi="宋体" w:eastAsia="宋体" w:cs="宋体"/>
                <w:snapToGrid w:val="0"/>
                <w:color w:val="000000"/>
                <w:sz w:val="21"/>
                <w:szCs w:val="21"/>
                <w:lang w:val="en-US" w:eastAsia="zh-CN" w:bidi="ar-SA"/>
              </w:rPr>
              <w:t xml:space="preserve">质保期内因种子产品质量问题中标人与农民发生经济纠纷，按专家鉴定后的结果和国家有关规定，由中标人对受害农民做出赔偿。 </w:t>
            </w:r>
          </w:p>
        </w:tc>
      </w:tr>
    </w:tbl>
    <w:p>
      <w:pPr>
        <w:sectPr>
          <w:headerReference r:id="rId6" w:type="default"/>
          <w:footerReference r:id="rId7" w:type="default"/>
          <w:pgSz w:w="11907" w:h="16839"/>
          <w:pgMar w:top="1476" w:right="931" w:bottom="1226" w:left="933" w:header="1020" w:footer="1077" w:gutter="0"/>
          <w:pgNumType w:fmt="decimal" w:start="1"/>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b/>
          <w:bCs/>
          <w:spacing w:val="18"/>
          <w:sz w:val="31"/>
          <w:szCs w:val="31"/>
          <w:highlight w:val="none"/>
        </w:rPr>
      </w:pPr>
      <w:r>
        <w:rPr>
          <w:rFonts w:hint="eastAsia" w:asciiTheme="minorEastAsia" w:hAnsiTheme="minorEastAsia" w:eastAsiaTheme="minorEastAsia" w:cstheme="minorEastAsia"/>
          <w:b/>
          <w:bCs/>
          <w:spacing w:val="18"/>
          <w:sz w:val="31"/>
          <w:szCs w:val="31"/>
          <w:highlight w:val="none"/>
        </w:rPr>
        <w:t>项目采购内容及要求</w:t>
      </w:r>
    </w:p>
    <w:tbl>
      <w:tblPr>
        <w:tblStyle w:val="26"/>
        <w:tblW w:w="6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1373"/>
        <w:gridCol w:w="1343"/>
        <w:gridCol w:w="1710"/>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唐河县2023年度产油大县奖励资金扶持(种植类)项目采购清单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编号</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品种名称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数量（公斤）</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豫花40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243505</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符合GB/T 1532-2008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宛花2号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豫花25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信花9号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豫花65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粮丰花五号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55060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豫花155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豫花76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万花019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信育花168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商花4号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安花3号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开农64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地豪1号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商花5号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漯花4号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20公斤/袋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44000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41"/>
        <w:bidi w:val="0"/>
        <w:jc w:val="center"/>
        <w:outlineLvl w:val="9"/>
        <w:rPr>
          <w:rFonts w:hint="default"/>
          <w:b/>
          <w:bCs/>
          <w:sz w:val="28"/>
          <w:szCs w:val="28"/>
          <w:lang w:val="en-US" w:eastAsia="zh-CN"/>
        </w:rPr>
      </w:pPr>
    </w:p>
    <w:p>
      <w:pPr>
        <w:pStyle w:val="41"/>
        <w:rPr>
          <w:rFonts w:hint="default"/>
          <w:lang w:val="en-US" w:eastAsia="zh-CN"/>
        </w:rPr>
      </w:pPr>
      <w:bookmarkStart w:id="2" w:name="_Toc10329"/>
    </w:p>
    <w:p>
      <w:pPr>
        <w:rPr>
          <w:rFonts w:hint="eastAsia" w:asciiTheme="minorEastAsia" w:hAnsiTheme="minorEastAsia" w:eastAsiaTheme="minorEastAsia" w:cstheme="minorEastAsia"/>
          <w:b/>
          <w:bCs/>
          <w:spacing w:val="18"/>
          <w:sz w:val="31"/>
          <w:szCs w:val="31"/>
        </w:rPr>
      </w:pPr>
      <w:r>
        <w:rPr>
          <w:rFonts w:hint="eastAsia" w:asciiTheme="minorEastAsia" w:hAnsiTheme="minorEastAsia" w:eastAsiaTheme="minorEastAsia" w:cstheme="minorEastAsia"/>
          <w:b/>
          <w:bCs/>
          <w:spacing w:val="18"/>
          <w:sz w:val="31"/>
          <w:szCs w:val="31"/>
        </w:rPr>
        <w:br w:type="page"/>
      </w:r>
    </w:p>
    <w:p>
      <w:pPr>
        <w:spacing w:before="101" w:line="225" w:lineRule="auto"/>
        <w:jc w:val="center"/>
        <w:outlineLvl w:val="0"/>
        <w:rPr>
          <w:rFonts w:asciiTheme="minorEastAsia" w:hAnsiTheme="minorEastAsia" w:eastAsiaTheme="minorEastAsia" w:cstheme="minorEastAsia"/>
          <w:b/>
          <w:bCs/>
          <w:sz w:val="31"/>
          <w:szCs w:val="31"/>
        </w:rPr>
      </w:pPr>
      <w:r>
        <w:rPr>
          <w:rFonts w:hint="eastAsia" w:asciiTheme="minorEastAsia" w:hAnsiTheme="minorEastAsia" w:eastAsiaTheme="minorEastAsia" w:cstheme="minorEastAsia"/>
          <w:b/>
          <w:bCs/>
          <w:spacing w:val="18"/>
          <w:sz w:val="31"/>
          <w:szCs w:val="31"/>
        </w:rPr>
        <w:t>第</w:t>
      </w:r>
      <w:r>
        <w:rPr>
          <w:rFonts w:hint="eastAsia" w:asciiTheme="minorEastAsia" w:hAnsiTheme="minorEastAsia" w:eastAsiaTheme="minorEastAsia" w:cstheme="minorEastAsia"/>
          <w:b/>
          <w:bCs/>
          <w:spacing w:val="9"/>
          <w:sz w:val="31"/>
          <w:szCs w:val="31"/>
          <w:lang w:val="en-US" w:eastAsia="zh-CN"/>
        </w:rPr>
        <w:t>四</w:t>
      </w:r>
      <w:r>
        <w:rPr>
          <w:rFonts w:hint="eastAsia" w:asciiTheme="minorEastAsia" w:hAnsiTheme="minorEastAsia" w:eastAsiaTheme="minorEastAsia" w:cstheme="minorEastAsia"/>
          <w:b/>
          <w:bCs/>
          <w:spacing w:val="9"/>
          <w:sz w:val="31"/>
          <w:szCs w:val="31"/>
        </w:rPr>
        <w:t>部分</w:t>
      </w:r>
      <w:r>
        <w:rPr>
          <w:rFonts w:hint="eastAsia" w:asciiTheme="minorEastAsia" w:hAnsiTheme="minorEastAsia" w:eastAsiaTheme="minorEastAsia" w:cstheme="minorEastAsia"/>
          <w:b/>
          <w:bCs/>
          <w:spacing w:val="9"/>
          <w:sz w:val="31"/>
          <w:szCs w:val="31"/>
          <w:lang w:val="en-US" w:eastAsia="zh-CN"/>
        </w:rPr>
        <w:t xml:space="preserve"> </w:t>
      </w:r>
      <w:r>
        <w:rPr>
          <w:rFonts w:hint="eastAsia" w:asciiTheme="minorEastAsia" w:hAnsiTheme="minorEastAsia" w:eastAsiaTheme="minorEastAsia" w:cstheme="minorEastAsia"/>
          <w:b/>
          <w:bCs/>
          <w:spacing w:val="9"/>
          <w:sz w:val="31"/>
          <w:szCs w:val="31"/>
        </w:rPr>
        <w:t>投标人须知正文部分</w:t>
      </w:r>
      <w:bookmarkEnd w:id="2"/>
    </w:p>
    <w:p>
      <w:pPr>
        <w:spacing w:line="262" w:lineRule="auto"/>
        <w:rPr>
          <w:rFonts w:asciiTheme="minorEastAsia" w:hAnsiTheme="minorEastAsia" w:eastAsiaTheme="minorEastAsia" w:cstheme="minorEastAsia"/>
        </w:rPr>
      </w:pPr>
    </w:p>
    <w:p>
      <w:pPr>
        <w:spacing w:line="360" w:lineRule="auto"/>
        <w:ind w:firstLine="480" w:firstLineChars="200"/>
        <w:jc w:val="both"/>
        <w:outlineLvl w:val="9"/>
        <w:rPr>
          <w:rFonts w:ascii="宋体" w:hAnsi="宋体" w:eastAsia="宋体" w:cs="宋体"/>
          <w:sz w:val="24"/>
          <w:szCs w:val="24"/>
        </w:rPr>
      </w:pPr>
      <w:r>
        <w:rPr>
          <w:rFonts w:hint="eastAsia" w:ascii="宋体" w:hAnsi="宋体" w:eastAsia="宋体" w:cs="宋体"/>
          <w:sz w:val="24"/>
          <w:szCs w:val="24"/>
        </w:rPr>
        <w:t>一、总则</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适用法律</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本次招标采购适用的主要法律法规为《中华人民共和国政府采购法》、《中华人民共和国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》、《中华人民共和国政府采购法实施条例》等。</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定义</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.1“采购人(招标人)”：指本项目采购单位；</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.2“代理机构”：指受采购人委托的有代理资质的第三方机构；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.3“供应商(投标人)”系指向招标采购单位提交投标文件的供应商；</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.4“中标人(成交人)”系指被确定为承接本项目并负责其实施的投标人(供应商)；</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.5“货物”系指供应商按招标文件要求，须向采购人提供的货物内容及相应资料；包括手册及其它有关技术资料；</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.6“服务”指招标文件中规定的供应商须承担的服务内容。</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合格的货物和服务：</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供应商须提供符合国家质量标准，相关行业强制执行标准的全新货物及采购人要求的与采购货物相配套的技术服务。</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投标人应具</w:t>
      </w:r>
      <w:r>
        <w:rPr>
          <w:rFonts w:hint="eastAsia" w:ascii="宋体" w:hAnsi="宋体" w:eastAsia="宋体" w:cs="宋体"/>
          <w:sz w:val="24"/>
          <w:szCs w:val="24"/>
        </w:rPr>
        <w:t>备的条件：见投标人须知前附表</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投标人不</w:t>
      </w:r>
      <w:r>
        <w:rPr>
          <w:rFonts w:hint="eastAsia" w:ascii="宋体" w:hAnsi="宋体" w:eastAsia="宋体" w:cs="宋体"/>
          <w:sz w:val="24"/>
          <w:szCs w:val="24"/>
        </w:rPr>
        <w:t>得存在下列情形之一</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.1为招标人不具有独立法人资格的附属机构(单位) ；</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.2为本项目前期准备提供咨询服务的；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.3为本项目提供招标代理服务的；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.4被责令停业的；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.5被暂停或取消投标资格的；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.6财产被接管或冻结的；</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.7在最近三年内有骗取中标或严重违约或重大质量问题的。</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费</w:t>
      </w:r>
      <w:r>
        <w:rPr>
          <w:rFonts w:hint="eastAsia" w:ascii="宋体" w:hAnsi="宋体" w:eastAsia="宋体" w:cs="宋体"/>
          <w:spacing w:val="-1"/>
          <w:sz w:val="24"/>
          <w:szCs w:val="24"/>
        </w:rPr>
        <w:t>用承担</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投标人准备和参加投标活动发生的一切费用自理，不论投标结果如何，招标人概不负责。</w:t>
      </w:r>
    </w:p>
    <w:p>
      <w:pPr>
        <w:spacing w:line="360" w:lineRule="auto"/>
        <w:ind w:firstLine="464" w:firstLineChars="200"/>
        <w:jc w:val="both"/>
        <w:rPr>
          <w:rFonts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保密</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参与</w:t>
      </w:r>
      <w:r>
        <w:rPr>
          <w:rFonts w:hint="eastAsia" w:ascii="宋体" w:hAnsi="宋体" w:eastAsia="宋体" w:cs="宋体"/>
          <w:sz w:val="24"/>
          <w:szCs w:val="24"/>
        </w:rPr>
        <w:t>招标投标活动的各方应对招标文件和投标文件中的商业和技术等秘密保密，违者应对由此造成的</w:t>
      </w:r>
      <w:r>
        <w:rPr>
          <w:rFonts w:hint="eastAsia" w:ascii="宋体" w:hAnsi="宋体" w:eastAsia="宋体" w:cs="宋体"/>
          <w:spacing w:val="-4"/>
          <w:sz w:val="24"/>
          <w:szCs w:val="24"/>
        </w:rPr>
        <w:t>后果</w:t>
      </w:r>
      <w:r>
        <w:rPr>
          <w:rFonts w:hint="eastAsia" w:ascii="宋体" w:hAnsi="宋体" w:eastAsia="宋体" w:cs="宋体"/>
          <w:spacing w:val="-2"/>
          <w:sz w:val="24"/>
          <w:szCs w:val="24"/>
        </w:rPr>
        <w:t>承担法律责任。</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语言文字</w:t>
      </w:r>
    </w:p>
    <w:p>
      <w:pPr>
        <w:spacing w:line="360" w:lineRule="auto"/>
        <w:ind w:firstLine="456" w:firstLineChars="200"/>
        <w:jc w:val="both"/>
        <w:rPr>
          <w:rFonts w:ascii="宋体" w:hAnsi="宋体" w:eastAsia="宋体" w:cs="宋体"/>
          <w:sz w:val="24"/>
          <w:szCs w:val="24"/>
        </w:rPr>
      </w:pPr>
      <w:r>
        <w:rPr>
          <w:rFonts w:hint="eastAsia" w:ascii="宋体" w:hAnsi="宋体" w:eastAsia="宋体" w:cs="宋体"/>
          <w:spacing w:val="-6"/>
          <w:sz w:val="24"/>
          <w:szCs w:val="24"/>
        </w:rPr>
        <w:t>除专用术语</w:t>
      </w:r>
      <w:r>
        <w:rPr>
          <w:rFonts w:hint="eastAsia" w:ascii="宋体" w:hAnsi="宋体" w:eastAsia="宋体" w:cs="宋体"/>
          <w:spacing w:val="-4"/>
          <w:sz w:val="24"/>
          <w:szCs w:val="24"/>
        </w:rPr>
        <w:t>外</w:t>
      </w:r>
      <w:r>
        <w:rPr>
          <w:rFonts w:hint="eastAsia" w:ascii="宋体" w:hAnsi="宋体" w:eastAsia="宋体" w:cs="宋体"/>
          <w:spacing w:val="-3"/>
          <w:sz w:val="24"/>
          <w:szCs w:val="24"/>
        </w:rPr>
        <w:t>，与招标投标有关的语言均使用中文。必要时专用术语应附有中文注释。</w:t>
      </w:r>
    </w:p>
    <w:p>
      <w:pPr>
        <w:spacing w:line="360" w:lineRule="auto"/>
        <w:ind w:firstLine="468" w:firstLineChars="200"/>
        <w:jc w:val="both"/>
        <w:rPr>
          <w:rFonts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计量单位</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所有计</w:t>
      </w:r>
      <w:r>
        <w:rPr>
          <w:rFonts w:hint="eastAsia" w:ascii="宋体" w:hAnsi="宋体" w:eastAsia="宋体" w:cs="宋体"/>
          <w:sz w:val="24"/>
          <w:szCs w:val="24"/>
        </w:rPr>
        <w:t>量均采用中华人民共和国法定计量单位。</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踏勘现场</w:t>
      </w:r>
    </w:p>
    <w:p>
      <w:pPr>
        <w:spacing w:line="360" w:lineRule="auto"/>
        <w:ind w:firstLine="472" w:firstLineChars="200"/>
        <w:jc w:val="both"/>
        <w:rPr>
          <w:rFonts w:ascii="宋体" w:hAnsi="宋体" w:eastAsia="宋体" w:cs="宋体"/>
          <w:sz w:val="24"/>
          <w:szCs w:val="24"/>
        </w:rPr>
      </w:pPr>
      <w:r>
        <w:rPr>
          <w:rFonts w:hint="eastAsia" w:ascii="宋体" w:hAnsi="宋体" w:eastAsia="宋体" w:cs="宋体"/>
          <w:spacing w:val="-2"/>
          <w:sz w:val="24"/>
          <w:szCs w:val="24"/>
        </w:rPr>
        <w:t>本项目不组织现场踏勘</w:t>
      </w:r>
      <w:r>
        <w:rPr>
          <w:rFonts w:hint="eastAsia" w:ascii="宋体" w:hAnsi="宋体" w:eastAsia="宋体" w:cs="宋体"/>
          <w:spacing w:val="-1"/>
          <w:sz w:val="24"/>
          <w:szCs w:val="24"/>
        </w:rPr>
        <w:t>。</w:t>
      </w:r>
    </w:p>
    <w:p>
      <w:pPr>
        <w:spacing w:line="360" w:lineRule="auto"/>
        <w:ind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2"/>
          <w:sz w:val="24"/>
          <w:szCs w:val="24"/>
          <w:lang w:val="en-US" w:eastAsia="zh-CN"/>
        </w:rPr>
        <w:t>1、</w:t>
      </w:r>
      <w:r>
        <w:rPr>
          <w:rFonts w:hint="eastAsia" w:ascii="宋体" w:hAnsi="宋体" w:eastAsia="宋体" w:cs="宋体"/>
          <w:sz w:val="24"/>
          <w:szCs w:val="24"/>
        </w:rPr>
        <w:t>投标预备会</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本项目不召开预备会。</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2、</w:t>
      </w:r>
      <w:r>
        <w:rPr>
          <w:rFonts w:hint="eastAsia" w:ascii="宋体" w:hAnsi="宋体" w:eastAsia="宋体" w:cs="宋体"/>
          <w:sz w:val="24"/>
          <w:szCs w:val="24"/>
        </w:rPr>
        <w:t>分包</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本项目不接受任何分包。</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3、</w:t>
      </w:r>
      <w:r>
        <w:rPr>
          <w:rFonts w:hint="eastAsia" w:ascii="宋体" w:hAnsi="宋体" w:eastAsia="宋体" w:cs="宋体"/>
          <w:sz w:val="24"/>
          <w:szCs w:val="24"/>
        </w:rPr>
        <w:t>偏离</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投标文件对招标文件的全部偏差，均应在投标文件的商务和技术偏差表中列明。</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二、招标文件</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招标文件构成</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要求提供的货物和服务、招标过程、合同条件和技术要求在招标文件中均有说明。招标文件的内容如下：</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第一部分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招标公告</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第二部分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第三部分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投标人须知正文部分</w:t>
      </w:r>
    </w:p>
    <w:p>
      <w:pPr>
        <w:spacing w:line="360" w:lineRule="auto"/>
        <w:ind w:firstLine="476" w:firstLineChars="200"/>
        <w:jc w:val="both"/>
        <w:rPr>
          <w:rFonts w:eastAsia="宋体"/>
        </w:rPr>
      </w:pPr>
      <w:r>
        <w:rPr>
          <w:rFonts w:hint="eastAsia" w:ascii="宋体" w:hAnsi="宋体" w:eastAsia="宋体" w:cs="宋体"/>
          <w:spacing w:val="-1"/>
          <w:sz w:val="24"/>
          <w:szCs w:val="24"/>
        </w:rPr>
        <w:t>第四部分 项目采购内容及技术要求</w:t>
      </w:r>
    </w:p>
    <w:p>
      <w:pPr>
        <w:spacing w:line="360" w:lineRule="auto"/>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第五部分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合同</w:t>
      </w:r>
      <w:r>
        <w:rPr>
          <w:rFonts w:hint="eastAsia" w:ascii="宋体" w:hAnsi="宋体" w:eastAsia="宋体" w:cs="宋体"/>
          <w:spacing w:val="-1"/>
          <w:sz w:val="24"/>
          <w:szCs w:val="24"/>
          <w:lang w:eastAsia="zh-CN"/>
        </w:rPr>
        <w:t>格式</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第六部分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标投标文件格式</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eastAsia="zh-CN"/>
        </w:rPr>
        <w:t>、</w:t>
      </w:r>
      <w:r>
        <w:rPr>
          <w:rFonts w:hint="eastAsia" w:ascii="宋体" w:hAnsi="宋体" w:eastAsia="宋体" w:cs="宋体"/>
          <w:sz w:val="24"/>
          <w:szCs w:val="24"/>
        </w:rPr>
        <w:t>招标文件的澄清</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投标人应仔细阅读和检查招标文件的全部内容。如发现缺页或附件不全或者有其他疑问，应及时向招标人(或代理机构)提出，以便补齐。如有疑问，</w:t>
      </w:r>
      <w:r>
        <w:rPr>
          <w:rFonts w:ascii="宋体" w:hAnsi="宋体" w:eastAsia="宋体" w:cs="宋体"/>
          <w:sz w:val="24"/>
          <w:szCs w:val="24"/>
        </w:rPr>
        <w:t>应按</w:t>
      </w:r>
      <w:r>
        <w:rPr>
          <w:rFonts w:hint="eastAsia" w:ascii="宋体" w:hAnsi="宋体" w:eastAsia="宋体" w:cs="宋体"/>
          <w:sz w:val="24"/>
          <w:szCs w:val="24"/>
          <w:lang w:eastAsia="zh-CN"/>
        </w:rPr>
        <w:t>投标人</w:t>
      </w:r>
      <w:r>
        <w:rPr>
          <w:rFonts w:ascii="宋体" w:hAnsi="宋体" w:eastAsia="宋体" w:cs="宋体"/>
          <w:sz w:val="24"/>
          <w:szCs w:val="24"/>
        </w:rPr>
        <w:t>须知前附表规定的时间</w:t>
      </w:r>
      <w:r>
        <w:rPr>
          <w:rFonts w:hint="eastAsia" w:ascii="宋体" w:hAnsi="宋体" w:eastAsia="宋体" w:cs="宋体"/>
          <w:sz w:val="24"/>
          <w:szCs w:val="24"/>
        </w:rPr>
        <w:t>以书面形式(加盖单位公章且法人签字)由法定代表人或其原授权代表携带企业营业执照副本(原件)及本人身份证件(原件)向招标人和招标代理机构提出(邮件、传真件不予受理)，要求招标人(或代理机构)对招标文件予以澄清。投标人在规定时间内未对招标文件提出澄清要求，视为投标人全部认同招标文件。</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2.2.2 招标文件的澄清将在投标人须知前附表规定的投标截止时间15天前以公告形式通知投标人，但不指明澄清问题的来源。澄清发出的时间距投标截止时间不足 15 日的，并且澄清内容可能影响投标文件编制的，将相应延长投标截止时间。</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w:t>
      </w:r>
      <w:r>
        <w:rPr>
          <w:rFonts w:hint="eastAsia" w:ascii="宋体" w:hAnsi="宋体" w:eastAsia="宋体" w:cs="宋体"/>
          <w:sz w:val="24"/>
          <w:szCs w:val="24"/>
        </w:rPr>
        <w:t>招标文件的修改</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在投标截止时间15天前，招标人可以书面形式修改招标文件，并以公告形式通知投标人。</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w:t>
      </w:r>
      <w:r>
        <w:rPr>
          <w:rFonts w:hint="eastAsia" w:ascii="宋体" w:hAnsi="宋体" w:eastAsia="宋体" w:cs="宋体"/>
          <w:sz w:val="24"/>
          <w:szCs w:val="24"/>
        </w:rPr>
        <w:t>质疑</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潜在供应商已依法获取其可质疑的采购文件的，可以对该文件提出质疑。对采购文件提出质疑的，应当在获取采购文件或</w:t>
      </w:r>
      <w:r>
        <w:rPr>
          <w:rFonts w:hint="eastAsia" w:ascii="宋体" w:hAnsi="宋体" w:eastAsia="宋体" w:cs="宋体"/>
          <w:sz w:val="24"/>
          <w:szCs w:val="24"/>
          <w:lang w:eastAsia="zh-CN"/>
        </w:rPr>
        <w:t>者采购文件公告期限届满之日起7个工作日内提出，供应商在法定质疑期内一次性提出针对同一采购程序环节的质疑。质疑函须按照财政部发布的质疑函范本格式提交，不符合格式要求的将被拒绝接收。</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采购人、采购代理机构不得拒收质疑供应商在法定质疑期内发出的质疑函，应当在收到质疑函后7个工作日内作出答复，并以书面形式通知质疑供应商和其他有关供应商。具体参照中华人民共和国财政部令第94号--《政府采购质疑和投诉办法》。超出法定质疑期的、重复提出的、分次提出的或内容、形式不符合《政府采购质疑和投诉办法》的，质疑供应商将依法承担不利后果。</w:t>
      </w:r>
    </w:p>
    <w:p>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政府采购项目实行网上受理，开标前所有信息保密。因此，发布的一切公告信息（包括采购公告、变更公告、澄清公告等）均在“河南省政府采购网”、“唐河县公共资源交易中心网”等媒体发布，请潜在投标供应商随时查询有关公告信息。若因潜在投标供应商没有及时查看到公告信息而造成的投标失误，责任自负。</w:t>
      </w:r>
    </w:p>
    <w:p>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三</w:t>
      </w:r>
      <w:r>
        <w:rPr>
          <w:rFonts w:hint="eastAsia" w:ascii="宋体" w:hAnsi="宋体" w:eastAsia="宋体" w:cs="宋体"/>
          <w:sz w:val="24"/>
          <w:szCs w:val="24"/>
        </w:rPr>
        <w:t>、投标文件</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投标的语言</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投标人提交的投标文件以及投标人与招标人就有关投标的所有来往函电均应使用中文书写。</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投标文件构成</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投标人编写的投标文件应包括下列内容(不限于)：</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1）投标函</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2）法定代表人身份证明</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3）授权委托书</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4）项目清单报价表</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5）售后服务计划</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6）供货安装方案及培训方案</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7）其他资料</w:t>
      </w:r>
    </w:p>
    <w:p>
      <w:pPr>
        <w:spacing w:line="360" w:lineRule="auto"/>
        <w:ind w:firstLine="476" w:firstLineChars="200"/>
        <w:jc w:val="both"/>
        <w:rPr>
          <w:rFonts w:ascii="宋体" w:hAnsi="宋体" w:eastAsia="宋体" w:cs="宋体"/>
          <w:spacing w:val="-1"/>
          <w:sz w:val="24"/>
          <w:szCs w:val="24"/>
        </w:rPr>
      </w:pPr>
      <w:r>
        <w:rPr>
          <w:rFonts w:hint="eastAsia" w:ascii="宋体" w:hAnsi="宋体" w:eastAsia="宋体" w:cs="宋体"/>
          <w:spacing w:val="-1"/>
          <w:sz w:val="24"/>
          <w:szCs w:val="24"/>
        </w:rPr>
        <w:t>3.3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投标文件的编制</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3.3.2 投标文件应当对招标文件有关</w:t>
      </w:r>
      <w:r>
        <w:rPr>
          <w:rFonts w:hint="eastAsia" w:ascii="宋体" w:hAnsi="宋体" w:eastAsia="宋体" w:cs="宋体"/>
          <w:sz w:val="24"/>
          <w:szCs w:val="24"/>
          <w:lang w:val="en-US" w:eastAsia="zh-CN"/>
        </w:rPr>
        <w:t>供货期</w:t>
      </w:r>
      <w:r>
        <w:rPr>
          <w:rFonts w:hint="eastAsia" w:ascii="宋体" w:hAnsi="宋体" w:eastAsia="宋体" w:cs="宋体"/>
          <w:sz w:val="24"/>
          <w:szCs w:val="24"/>
        </w:rPr>
        <w:t>、投标有效期、质量要求、技术标准和要求、招标范围等实质性内容作出响应。</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3.3.3 投标文件电子签章的具体要求见投标人须知前附表。</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3.3.4 投标文件份数详见投标人须知前附表。</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3.3.5 不允许递交备选投标方案。</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z w:val="24"/>
          <w:szCs w:val="24"/>
          <w:lang w:eastAsia="zh-CN"/>
        </w:rPr>
        <w:t>、</w:t>
      </w:r>
      <w:r>
        <w:rPr>
          <w:rFonts w:hint="eastAsia" w:ascii="宋体" w:hAnsi="宋体" w:eastAsia="宋体" w:cs="宋体"/>
          <w:sz w:val="24"/>
          <w:szCs w:val="24"/>
        </w:rPr>
        <w:t>投标报价</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3.4.1 投标人根据招标人提供的有关资料、招标文件及招标文件补充答疑，结合本项目实际情况和市场行情自主合理报价,投标人在预算价的基础上确定投标报价，投标报价不得低于企业实际成本。</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3.4.2 本次投标报价为采购范围内固定总价方式。投标报价包括全部费用，应计算的项目若无计取，则视为包含在报价内。</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3.4.3 投标报价应包含全部货物及服务正式交付使用所发生的一切费用。</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3.4.4 如投标人报价表中的大写金额和小写金额不一致的，以大写金额为准；总金额与单价金额不一致的，以单价金额为准。全部报价均以人民币为计量币种，并以人民币进行结算。</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3.4.5 投标人应仔细审阅招标文件中的全部内容，如有不明确的，须在答疑时以书面形式提出，由招标人明确；否则视为投标人在投标报价中已完善计入。</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3.5</w:t>
      </w:r>
      <w:r>
        <w:rPr>
          <w:rFonts w:hint="eastAsia" w:ascii="宋体" w:hAnsi="宋体" w:eastAsia="宋体" w:cs="宋体"/>
          <w:spacing w:val="-1"/>
          <w:sz w:val="24"/>
          <w:szCs w:val="24"/>
          <w:lang w:eastAsia="zh-CN"/>
        </w:rPr>
        <w:t>、</w:t>
      </w:r>
      <w:r>
        <w:rPr>
          <w:rFonts w:hint="eastAsia" w:ascii="宋体" w:hAnsi="宋体" w:eastAsia="宋体" w:cs="宋体"/>
          <w:sz w:val="24"/>
          <w:szCs w:val="24"/>
        </w:rPr>
        <w:t>投标保证金</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本项</w:t>
      </w:r>
      <w:r>
        <w:rPr>
          <w:rFonts w:hint="eastAsia" w:ascii="宋体" w:hAnsi="宋体" w:eastAsia="宋体" w:cs="宋体"/>
          <w:sz w:val="24"/>
          <w:szCs w:val="24"/>
        </w:rPr>
        <w:t>目不收取投标保证金。</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3.6</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w:t>
      </w:r>
      <w:r>
        <w:rPr>
          <w:rFonts w:hint="eastAsia" w:ascii="宋体" w:hAnsi="宋体" w:eastAsia="宋体" w:cs="宋体"/>
          <w:sz w:val="24"/>
          <w:szCs w:val="24"/>
        </w:rPr>
        <w:t>有效期</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3.6.1 投标有效期为投标截止之日起60天。</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3.6.2 如遇特殊情况，招标方可在投标有效期期满前，要求供应商延长其投标有效期。供应商可以拒绝或同意上述要求，延长有效期的要求与答复均为书面形式。不同意上述要求的供应商将视为自动放弃投标。</w:t>
      </w:r>
    </w:p>
    <w:p>
      <w:pPr>
        <w:spacing w:line="360" w:lineRule="auto"/>
        <w:ind w:firstLine="456" w:firstLineChars="200"/>
        <w:jc w:val="both"/>
        <w:outlineLvl w:val="9"/>
        <w:rPr>
          <w:rFonts w:ascii="宋体" w:hAnsi="宋体" w:eastAsia="宋体" w:cs="宋体"/>
          <w:sz w:val="24"/>
          <w:szCs w:val="24"/>
        </w:rPr>
      </w:pPr>
      <w:r>
        <w:rPr>
          <w:rFonts w:hint="eastAsia" w:ascii="宋体" w:hAnsi="宋体" w:eastAsia="宋体" w:cs="宋体"/>
          <w:spacing w:val="-6"/>
          <w:sz w:val="24"/>
          <w:szCs w:val="24"/>
        </w:rPr>
        <w:t>四</w:t>
      </w:r>
      <w:r>
        <w:rPr>
          <w:rFonts w:hint="eastAsia" w:ascii="宋体" w:hAnsi="宋体" w:eastAsia="宋体" w:cs="宋体"/>
          <w:spacing w:val="-4"/>
          <w:sz w:val="24"/>
          <w:szCs w:val="24"/>
        </w:rPr>
        <w:t>、投标</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投标文件的递交</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4.1.1 电子投标文件备份 U 盘的要求:见投标人须知前附表。</w:t>
      </w:r>
    </w:p>
    <w:p>
      <w:pPr>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4.1.2 电子投标文件的递交：见投标人须知前附表。</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电子投</w:t>
      </w:r>
      <w:r>
        <w:rPr>
          <w:rFonts w:hint="eastAsia" w:ascii="宋体" w:hAnsi="宋体" w:eastAsia="宋体" w:cs="宋体"/>
          <w:color w:val="0C0C0C"/>
          <w:sz w:val="24"/>
          <w:szCs w:val="24"/>
        </w:rPr>
        <w:t>标文件的修改与撤回</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4.2.1 投标人可以在投标截止期之前修改电子</w:t>
      </w:r>
      <w:r>
        <w:rPr>
          <w:rFonts w:hint="eastAsia" w:ascii="宋体" w:hAnsi="宋体" w:eastAsia="宋体" w:cs="宋体"/>
          <w:color w:val="0C0C0C"/>
          <w:sz w:val="24"/>
          <w:szCs w:val="24"/>
        </w:rPr>
        <w:t>投标文件。</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4.2.2 在投标截止期后不能修改及撤回其电子</w:t>
      </w:r>
      <w:r>
        <w:rPr>
          <w:rFonts w:hint="eastAsia" w:ascii="宋体" w:hAnsi="宋体" w:eastAsia="宋体" w:cs="宋体"/>
          <w:color w:val="0C0C0C"/>
          <w:sz w:val="24"/>
          <w:szCs w:val="24"/>
        </w:rPr>
        <w:t>投标文件。</w:t>
      </w:r>
    </w:p>
    <w:p>
      <w:pPr>
        <w:spacing w:line="360" w:lineRule="auto"/>
        <w:ind w:firstLine="476" w:firstLineChars="200"/>
        <w:jc w:val="both"/>
        <w:outlineLvl w:val="9"/>
        <w:rPr>
          <w:rFonts w:ascii="宋体" w:hAnsi="宋体" w:eastAsia="宋体" w:cs="宋体"/>
          <w:sz w:val="24"/>
          <w:szCs w:val="24"/>
        </w:rPr>
      </w:pPr>
      <w:r>
        <w:rPr>
          <w:rFonts w:hint="eastAsia" w:ascii="宋体" w:hAnsi="宋体" w:eastAsia="宋体" w:cs="宋体"/>
          <w:spacing w:val="-1"/>
          <w:sz w:val="24"/>
          <w:szCs w:val="24"/>
        </w:rPr>
        <w:t>五、开</w:t>
      </w:r>
      <w:r>
        <w:rPr>
          <w:rFonts w:hint="eastAsia" w:ascii="宋体" w:hAnsi="宋体" w:eastAsia="宋体" w:cs="宋体"/>
          <w:sz w:val="24"/>
          <w:szCs w:val="24"/>
        </w:rPr>
        <w:t>标与评标</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spacing w:val="-1"/>
          <w:sz w:val="24"/>
          <w:szCs w:val="24"/>
        </w:rPr>
        <w:t>5.</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开标时间及地点</w:t>
      </w:r>
    </w:p>
    <w:p>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5.1.1 开标时间：详见投标人须知前附表</w:t>
      </w:r>
    </w:p>
    <w:p>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5.1.2 开标地点：详见投标人须知前附表</w:t>
      </w:r>
    </w:p>
    <w:p>
      <w:pPr>
        <w:spacing w:line="360" w:lineRule="auto"/>
        <w:ind w:firstLine="476"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5.1.3 供应商应派法定代表人或授权委托人持本公司 CA 数字证书可在不见面开标大厅中参加开标会议，与会的供应商法定代表人或授权委托人应在不见面开标大厅上签到证明出席。</w:t>
      </w:r>
    </w:p>
    <w:p>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5.2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开标程序</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5.2.1、投标人代表持本单位 CA 数字证书提前登录不见面开标系统并在线签到。</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5.2.2、开标时间到，在线公布投标人、招标人代表、监标人等有关名单。</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5.2.3、开标顺序：按电子投标文件到达交易系统的先后顺序，分标段进行开标。</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5.2.4、投标单位在线确认开标结果并提交电子签章，在规定时限内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30分钟内</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未作确认的视为默认开标结果。采购人代表、监督人、记录人等有关人员在开标记录上签字确认。</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5</w:t>
      </w:r>
      <w:r>
        <w:rPr>
          <w:rFonts w:hint="eastAsia" w:ascii="宋体" w:hAnsi="宋体" w:eastAsia="宋体" w:cs="宋体"/>
          <w:color w:val="0C0C0C"/>
          <w:sz w:val="24"/>
          <w:szCs w:val="24"/>
        </w:rPr>
        <w:t>、代理机构在开标结束后将招标文件和有效电子投标文件导入评标系统。</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6</w:t>
      </w:r>
      <w:r>
        <w:rPr>
          <w:rFonts w:hint="eastAsia" w:ascii="宋体" w:hAnsi="宋体" w:eastAsia="宋体" w:cs="宋体"/>
          <w:color w:val="0C0C0C"/>
          <w:sz w:val="24"/>
          <w:szCs w:val="24"/>
        </w:rPr>
        <w:t>、评标委员会将审查每一份投标文件是否对招标文件提出的所有实质性要求和条件作出响应。未能在实质上响应的投标，将作为无效标处理。实质上未响应是指：</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未按招标文件规定签章的；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未按招标文件规定的格式填写，内容不完整或无法辨认的；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投标人资格条件不符合国家规定和招标文件要求的；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 违反国家强制性标准的；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投标文件附有招标人不能接受的条件的；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 对同一标段递交内容不同的投标文件(一标多投)，或在一份投标文件中对同一标段报有两个(含两个)以上报价的；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 以他人名义投标、串通投标、弄虚作假的；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 投标人名称、组织机构等重要人员与报名时不一致的；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(9) 超出招标文件规定及违反国家有关规定的；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(10) 投标报价高出本标段最高投标限价的；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(11) 招标文件规定的其它情况。</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rPr>
        <w:t>、评标和决标过程的保密</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8</w:t>
      </w:r>
      <w:r>
        <w:rPr>
          <w:rFonts w:hint="eastAsia" w:ascii="宋体" w:hAnsi="宋体" w:eastAsia="宋体" w:cs="宋体"/>
          <w:color w:val="0C0C0C"/>
          <w:sz w:val="24"/>
          <w:szCs w:val="24"/>
        </w:rPr>
        <w:t>、投标文件的澄清</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9</w:t>
      </w:r>
      <w:r>
        <w:rPr>
          <w:rFonts w:hint="eastAsia" w:ascii="宋体" w:hAnsi="宋体" w:eastAsia="宋体" w:cs="宋体"/>
          <w:color w:val="0C0C0C"/>
          <w:sz w:val="24"/>
          <w:szCs w:val="24"/>
        </w:rPr>
        <w:t>、投标文件的检查和响应性评定</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在评审时，招标人将首先审定投标文件是否在实质上影响了招标文件的要求。招标人对投标响应性的鉴定将基于投标文件的本身内容。</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实质上响应招标文件要求的投标文件应该与招标文件所有条款、条件和规范相符，无重大偏关或保留。所谓重大偏差和保留是指：</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①、对投标范围和内容有实质性的偏离；</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②、对设备质量或使用性能产生不利影响；</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③、对合同中规定的双方的权利和义务作实质性的修改；</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④、纠正这种偏差或保留，将会对其他响应要求的投标人竞争产生不公正的影响。</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w:t>
      </w:r>
      <w:r>
        <w:rPr>
          <w:rFonts w:hint="eastAsia" w:ascii="宋体" w:hAnsi="宋体" w:eastAsia="宋体" w:cs="宋体"/>
          <w:color w:val="0C0C0C"/>
          <w:sz w:val="24"/>
          <w:szCs w:val="24"/>
          <w:lang w:val="en-US" w:eastAsia="zh-CN"/>
        </w:rPr>
        <w:t>10</w:t>
      </w:r>
      <w:r>
        <w:rPr>
          <w:rFonts w:hint="eastAsia" w:ascii="宋体" w:hAnsi="宋体" w:eastAsia="宋体" w:cs="宋体"/>
          <w:color w:val="0C0C0C"/>
          <w:sz w:val="24"/>
          <w:szCs w:val="24"/>
        </w:rPr>
        <w:t>、如果投标文件实质上没有响应招标文件的要求，招标人将予以拒绝。也不再允许投标人改正或撤回这些不符合要求的偏差与保留。</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1</w:t>
      </w:r>
      <w:r>
        <w:rPr>
          <w:rFonts w:hint="eastAsia" w:ascii="宋体" w:hAnsi="宋体" w:eastAsia="宋体" w:cs="宋体"/>
          <w:color w:val="0C0C0C"/>
          <w:sz w:val="24"/>
          <w:szCs w:val="24"/>
        </w:rPr>
        <w:t>、在评标过程中评标委员会发现投标人以他人的名义投标、串通投标、以行贿手段谋取中标或者以其他弄虚作假方式投标的，该投标人的投标文件作无效标处理。</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2</w:t>
      </w:r>
      <w:r>
        <w:rPr>
          <w:rFonts w:hint="eastAsia" w:ascii="宋体" w:hAnsi="宋体" w:eastAsia="宋体" w:cs="宋体"/>
          <w:color w:val="0C0C0C"/>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5.2.1</w:t>
      </w:r>
      <w:r>
        <w:rPr>
          <w:rFonts w:hint="eastAsia" w:ascii="宋体" w:hAnsi="宋体" w:eastAsia="宋体" w:cs="宋体"/>
          <w:color w:val="0C0C0C"/>
          <w:sz w:val="24"/>
          <w:szCs w:val="24"/>
          <w:lang w:val="en-US" w:eastAsia="zh-CN"/>
        </w:rPr>
        <w:t>3</w:t>
      </w:r>
      <w:r>
        <w:rPr>
          <w:rFonts w:hint="eastAsia" w:ascii="宋体" w:hAnsi="宋体" w:eastAsia="宋体" w:cs="宋体"/>
          <w:color w:val="0C0C0C"/>
          <w:sz w:val="24"/>
          <w:szCs w:val="24"/>
        </w:rPr>
        <w:t xml:space="preserve"> 投标人资格条件不符合国家有关规定和招标文件要求的，或者拒不按照要求对投标文件进行澄清、说明或者补正的，评标委员会将否决其投标。</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5.3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开标异议</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投标人对开标有异议的，应当在开标现场提出，招标人当场作出答复，并制作记录。</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评标</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评标委员会</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6.1.1 评标由招标人依法组建的评标委员会负责。评标委员会由招标人代表，以及有关技术、经济等方面的专家组成。评标委员会成员人数以及技术、经济等方面专家的确定方式见投标人须知前附表。</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6.1.2 评标委员会成员有下列情形之一的，应当回避：</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(1) 投标人或投标人主要负责人的近亲属；</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(2) 项目主管部门或者行政监督部门的人员；</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(3) 与投标人有经济利益关系；</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(4)曾因在招标、评标以及其他与招标投标有关活动中从事违法行为而受过行政处罚或刑事处罚的；</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(5) 与投标人有其他利害关系。</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6.</w:t>
      </w:r>
      <w:r>
        <w:rPr>
          <w:rFonts w:hint="eastAsia" w:ascii="宋体" w:hAnsi="宋体" w:eastAsia="宋体" w:cs="宋体"/>
          <w:color w:val="0C0C0C"/>
          <w:sz w:val="24"/>
          <w:szCs w:val="24"/>
        </w:rPr>
        <w:t>2评标原则</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评标活动遵循公平、公正、科学和择优的原则。</w:t>
      </w:r>
    </w:p>
    <w:p>
      <w:pPr>
        <w:spacing w:line="360" w:lineRule="auto"/>
        <w:ind w:firstLine="476" w:firstLineChars="200"/>
        <w:jc w:val="both"/>
        <w:rPr>
          <w:rFonts w:hint="eastAsia" w:ascii="宋体" w:hAnsi="宋体" w:eastAsia="宋体" w:cs="宋体"/>
          <w:color w:val="0C0C0C"/>
          <w:sz w:val="24"/>
          <w:szCs w:val="24"/>
        </w:rPr>
      </w:pPr>
      <w:r>
        <w:rPr>
          <w:rFonts w:hint="eastAsia" w:ascii="宋体" w:hAnsi="宋体" w:eastAsia="宋体" w:cs="宋体"/>
          <w:color w:val="0C0C0C"/>
          <w:spacing w:val="-1"/>
          <w:sz w:val="24"/>
          <w:szCs w:val="24"/>
        </w:rPr>
        <w:t>6.3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评标</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7.合同授予</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7.1</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定标原则 </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根据《中华人民共和国政府采购法》的规定，评标委员会应推荐得分最高的为第一中标候选人。若供应商评审得分相同的，推荐报价较低的投标人为第一中标候选人。若投标报价也相等的，按技术得分高者为第一中标候选人。 </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7.2</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定标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7.2.1 通过对各投标文件进行详细评审并完成评分后，向采购人提交书面评标报告。评标报告中按照投标文件最终得分由高到低进行排序，并向采购人推荐3名作为中标候选人。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7.2.2 采购人对评标小组推荐的</w:t>
      </w:r>
      <w:r>
        <w:rPr>
          <w:rFonts w:hint="eastAsia" w:ascii="宋体" w:hAnsi="宋体" w:eastAsia="宋体" w:cs="宋体"/>
          <w:sz w:val="24"/>
          <w:szCs w:val="24"/>
        </w:rPr>
        <w:t>中标</w:t>
      </w:r>
      <w:r>
        <w:rPr>
          <w:rFonts w:hint="eastAsia" w:ascii="宋体" w:hAnsi="宋体" w:eastAsia="宋体" w:cs="宋体"/>
          <w:color w:val="0C0C0C"/>
          <w:sz w:val="24"/>
          <w:szCs w:val="24"/>
        </w:rPr>
        <w:t>候选人进行选择，原则上第一名</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，如第一名提出不能履行合同或者放弃中标资格，向下顺延确定一名中标人。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7.2.3 当送达的投标文件不足3份或评标结果全为无效标时；及经过评审，若所有的供应商均未能通过符合性审查，招标方可在取得采购监督人同意后宣布本次招标失败，并通知各供应商。采购人根据相关规定重新组织招标。 </w:t>
      </w:r>
    </w:p>
    <w:p>
      <w:pPr>
        <w:spacing w:line="360" w:lineRule="auto"/>
        <w:ind w:firstLine="484" w:firstLineChars="200"/>
        <w:jc w:val="both"/>
        <w:rPr>
          <w:rFonts w:ascii="宋体" w:hAnsi="宋体" w:eastAsia="宋体" w:cs="宋体"/>
          <w:color w:val="0C0C0C"/>
          <w:spacing w:val="1"/>
          <w:sz w:val="24"/>
          <w:szCs w:val="24"/>
        </w:rPr>
      </w:pPr>
      <w:r>
        <w:rPr>
          <w:rFonts w:hint="eastAsia" w:ascii="宋体" w:hAnsi="宋体" w:eastAsia="宋体" w:cs="宋体"/>
          <w:color w:val="0C0C0C"/>
          <w:spacing w:val="1"/>
          <w:sz w:val="24"/>
          <w:szCs w:val="24"/>
        </w:rPr>
        <w:t>7.3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 xml:space="preserve">其他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7.3.1 除投标报价外的其他项内容的评审首先由评标小组的各成员自主打分，汇总时在自主打分的记分结果中，进行算术平均，以算术平均值作为该项的最终加、减分值。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7.3.2 计分按四舍五入取至小数点后二位。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7.3.3 在评标过程中，如发现本办法中条款与供应商须知中相关条款不一致，以本办法中的相关条款为准。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7.3.4 供应商必须对所提供资料的真实性负责，被推荐为</w:t>
      </w:r>
      <w:r>
        <w:rPr>
          <w:rFonts w:hint="eastAsia" w:ascii="宋体" w:hAnsi="宋体" w:eastAsia="宋体" w:cs="宋体"/>
          <w:sz w:val="24"/>
          <w:szCs w:val="24"/>
        </w:rPr>
        <w:t>中标</w:t>
      </w:r>
      <w:r>
        <w:rPr>
          <w:rFonts w:hint="eastAsia" w:ascii="宋体" w:hAnsi="宋体" w:eastAsia="宋体" w:cs="宋体"/>
          <w:color w:val="0C0C0C"/>
          <w:sz w:val="24"/>
          <w:szCs w:val="24"/>
        </w:rPr>
        <w:t xml:space="preserve">候选人后，经采购人证实为提供虚假证明材料骗取中标的，除取消其中标资格外，还应赔偿采购人及代理机构的相关损失。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7.3.5 无论供应商</w:t>
      </w:r>
      <w:r>
        <w:rPr>
          <w:rFonts w:hint="eastAsia" w:ascii="宋体" w:hAnsi="宋体" w:eastAsia="宋体" w:cs="宋体"/>
          <w:sz w:val="24"/>
          <w:szCs w:val="24"/>
        </w:rPr>
        <w:t>中标</w:t>
      </w:r>
      <w:r>
        <w:rPr>
          <w:rFonts w:hint="eastAsia" w:ascii="宋体" w:hAnsi="宋体" w:eastAsia="宋体" w:cs="宋体"/>
          <w:color w:val="0C0C0C"/>
          <w:sz w:val="24"/>
          <w:szCs w:val="24"/>
        </w:rPr>
        <w:t xml:space="preserve">与否，评标委员会、采购人、采购代理机构和有关监督部门就评标过程中涉及的有关内容和细节均不予以解释、澄清和透露，否则当事人应承担相应的后果。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7.3.6 本办法仅适用于</w:t>
      </w:r>
      <w:r>
        <w:rPr>
          <w:rFonts w:hint="eastAsia" w:ascii="宋体" w:hAnsi="宋体" w:eastAsia="宋体" w:cs="宋体"/>
          <w:color w:val="0C0C0C"/>
          <w:sz w:val="24"/>
          <w:szCs w:val="24"/>
          <w:lang w:eastAsia="zh-CN"/>
        </w:rPr>
        <w:t>唐河县2023年度产油大县奖励资金扶持(种植类)项目</w:t>
      </w:r>
      <w:r>
        <w:rPr>
          <w:rFonts w:hint="eastAsia" w:ascii="宋体" w:hAnsi="宋体" w:eastAsia="宋体" w:cs="宋体"/>
          <w:color w:val="0C0C0C"/>
          <w:sz w:val="24"/>
          <w:szCs w:val="24"/>
        </w:rPr>
        <w:t xml:space="preserve">的招标工作。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7.3.7 本招标文件未尽事宜按现行招标投标的有关法律法规和规定执行。如投标单位在本次投标活动中有违反相关法律法规的将根据相关法律法规和规定对其进行处罚。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7.3.8 本招标文件时根据国家有关规定和参照国际惯例编制，解释权属采购人。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7.4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 xml:space="preserve">中标通知 </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 xml:space="preserve">7.4.1 中标供应商确定后，由招标方向其签发《中标通知书》。 </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 xml:space="preserve">7.4.2 《中标通知书》将作为签订合同的重要依据，对采购人与中标供应商具有法律效力。 </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lang w:val="en-US" w:eastAsia="zh-CN"/>
        </w:rPr>
        <w:t>合同签订</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7.5.1中标(成交)通知书发出之日起1个工作日内供应商应与采购人签订政府采购合同。</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7.5.2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7.6合同备案</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lang w:val="en-US" w:eastAsia="zh-CN"/>
        </w:rPr>
        <w:t>7.6.1政府采购合同签订之日起1个工作日内，供应商应当配合采购人办理合同备案并公示，登录河南省电子化政府采购系统“合同管理”模块，填写合同基本信息，并上传政府采购合同、中标(成交)通知书。</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lang w:val="en-US" w:eastAsia="zh-CN"/>
        </w:rPr>
        <w:t>7.6.2政府采购合同公告备案是法定要求，供应商应当配合采购人及时履行备案手续。</w:t>
      </w:r>
    </w:p>
    <w:p>
      <w:pPr>
        <w:spacing w:line="360" w:lineRule="auto"/>
        <w:ind w:firstLine="480" w:firstLineChars="200"/>
        <w:jc w:val="both"/>
        <w:rPr>
          <w:rFonts w:hint="eastAsia" w:ascii="宋体" w:hAnsi="宋体" w:eastAsia="宋体" w:cs="宋体"/>
          <w:color w:val="0C0C0C"/>
          <w:sz w:val="24"/>
          <w:szCs w:val="24"/>
          <w:lang w:val="en-US" w:eastAsia="zh-CN"/>
        </w:rPr>
      </w:pPr>
      <w:r>
        <w:rPr>
          <w:rFonts w:hint="eastAsia" w:ascii="宋体" w:hAnsi="宋体" w:eastAsia="宋体" w:cs="宋体"/>
          <w:color w:val="0C0C0C"/>
          <w:sz w:val="24"/>
          <w:szCs w:val="24"/>
        </w:rPr>
        <w:t>7.</w:t>
      </w:r>
      <w:r>
        <w:rPr>
          <w:rFonts w:hint="eastAsia" w:ascii="宋体" w:hAnsi="宋体" w:eastAsia="宋体" w:cs="宋体"/>
          <w:color w:val="0C0C0C"/>
          <w:sz w:val="24"/>
          <w:szCs w:val="24"/>
          <w:lang w:val="en-US" w:eastAsia="zh-CN"/>
        </w:rPr>
        <w:t>7</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履约保证金：</w:t>
      </w:r>
      <w:r>
        <w:rPr>
          <w:rFonts w:hint="eastAsia" w:ascii="宋体" w:hAnsi="宋体" w:eastAsia="宋体" w:cs="宋体"/>
          <w:color w:val="0C0C0C"/>
          <w:sz w:val="24"/>
          <w:szCs w:val="24"/>
          <w:lang w:val="en-US" w:eastAsia="zh-CN"/>
        </w:rPr>
        <w:t>无</w:t>
      </w:r>
    </w:p>
    <w:p>
      <w:pPr>
        <w:spacing w:line="360" w:lineRule="auto"/>
        <w:ind w:firstLine="480" w:firstLineChars="200"/>
        <w:jc w:val="both"/>
        <w:rPr>
          <w:rFonts w:hint="eastAsia" w:ascii="宋体" w:hAnsi="宋体" w:eastAsia="宋体" w:cs="宋体"/>
          <w:color w:val="0C0C0C"/>
          <w:sz w:val="24"/>
          <w:szCs w:val="24"/>
        </w:rPr>
      </w:pPr>
      <w:r>
        <w:rPr>
          <w:rFonts w:hint="eastAsia" w:ascii="宋体" w:hAnsi="宋体" w:eastAsia="宋体" w:cs="宋体"/>
          <w:color w:val="0C0C0C"/>
          <w:sz w:val="24"/>
          <w:szCs w:val="24"/>
        </w:rPr>
        <w:t>8.纪律和监督</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8.1</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对招标人的纪律要求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招标人不得泄漏招标投标活动中应当保密的情况和资料，不得与投标人串通损害国家利益、社会公共利益或者他人合法权益。</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8.2</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z w:val="24"/>
          <w:szCs w:val="24"/>
        </w:rPr>
        <w:t>对投标人的纪律要求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4" w:firstLineChars="200"/>
        <w:jc w:val="both"/>
        <w:rPr>
          <w:rFonts w:ascii="宋体" w:hAnsi="宋体" w:eastAsia="宋体" w:cs="宋体"/>
          <w:sz w:val="24"/>
          <w:szCs w:val="24"/>
        </w:rPr>
      </w:pPr>
      <w:r>
        <w:rPr>
          <w:rFonts w:hint="eastAsia" w:ascii="宋体" w:hAnsi="宋体" w:eastAsia="宋体" w:cs="宋体"/>
          <w:color w:val="0C0C0C"/>
          <w:spacing w:val="1"/>
          <w:sz w:val="24"/>
          <w:szCs w:val="24"/>
        </w:rPr>
        <w:t>8.3</w:t>
      </w:r>
      <w:r>
        <w:rPr>
          <w:rFonts w:hint="eastAsia" w:ascii="宋体" w:hAnsi="宋体" w:eastAsia="宋体" w:cs="宋体"/>
          <w:color w:val="0C0C0C"/>
          <w:spacing w:val="1"/>
          <w:sz w:val="24"/>
          <w:szCs w:val="24"/>
          <w:lang w:eastAsia="zh-CN"/>
        </w:rPr>
        <w:t>、</w:t>
      </w:r>
      <w:r>
        <w:rPr>
          <w:rFonts w:hint="eastAsia" w:ascii="宋体" w:hAnsi="宋体" w:eastAsia="宋体" w:cs="宋体"/>
          <w:color w:val="0C0C0C"/>
          <w:spacing w:val="1"/>
          <w:sz w:val="24"/>
          <w:szCs w:val="24"/>
        </w:rPr>
        <w:t>对评标</w:t>
      </w:r>
      <w:r>
        <w:rPr>
          <w:rFonts w:hint="eastAsia" w:ascii="宋体" w:hAnsi="宋体" w:eastAsia="宋体" w:cs="宋体"/>
          <w:color w:val="0C0C0C"/>
          <w:sz w:val="24"/>
          <w:szCs w:val="24"/>
        </w:rPr>
        <w:t>委员会成员的纪律要求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spacing w:line="360" w:lineRule="auto"/>
        <w:ind w:firstLine="484" w:firstLineChars="200"/>
        <w:jc w:val="both"/>
        <w:rPr>
          <w:rFonts w:ascii="宋体" w:hAnsi="宋体" w:eastAsia="宋体" w:cs="宋体"/>
          <w:color w:val="0C0C0C"/>
          <w:sz w:val="24"/>
          <w:szCs w:val="24"/>
        </w:rPr>
      </w:pPr>
      <w:r>
        <w:rPr>
          <w:rFonts w:hint="eastAsia" w:ascii="宋体" w:hAnsi="宋体" w:eastAsia="宋体" w:cs="宋体"/>
          <w:color w:val="0C0C0C"/>
          <w:spacing w:val="1"/>
          <w:sz w:val="24"/>
          <w:szCs w:val="24"/>
        </w:rPr>
        <w:t>8.</w:t>
      </w:r>
      <w:r>
        <w:rPr>
          <w:rFonts w:hint="eastAsia" w:ascii="宋体" w:hAnsi="宋体" w:eastAsia="宋体" w:cs="宋体"/>
          <w:color w:val="0C0C0C"/>
          <w:sz w:val="24"/>
          <w:szCs w:val="24"/>
        </w:rPr>
        <w:t>4</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对与评标活动有关的工作人员的纪律要求</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8.5</w:t>
      </w:r>
      <w:r>
        <w:rPr>
          <w:rFonts w:hint="eastAsia" w:ascii="宋体" w:hAnsi="宋体" w:eastAsia="宋体" w:cs="宋体"/>
          <w:color w:val="0C0C0C"/>
          <w:sz w:val="24"/>
          <w:szCs w:val="24"/>
          <w:lang w:eastAsia="zh-CN"/>
        </w:rPr>
        <w:t>、</w:t>
      </w:r>
      <w:r>
        <w:rPr>
          <w:rFonts w:hint="eastAsia" w:ascii="宋体" w:hAnsi="宋体" w:eastAsia="宋体" w:cs="宋体"/>
          <w:color w:val="0C0C0C"/>
          <w:sz w:val="24"/>
          <w:szCs w:val="24"/>
        </w:rPr>
        <w:t>投诉</w:t>
      </w:r>
    </w:p>
    <w:p>
      <w:pPr>
        <w:spacing w:line="360" w:lineRule="auto"/>
        <w:ind w:firstLine="480" w:firstLineChars="200"/>
        <w:jc w:val="both"/>
        <w:rPr>
          <w:rFonts w:ascii="宋体" w:hAnsi="宋体" w:eastAsia="宋体" w:cs="宋体"/>
          <w:color w:val="0C0C0C"/>
          <w:sz w:val="24"/>
          <w:szCs w:val="24"/>
        </w:rPr>
      </w:pPr>
      <w:r>
        <w:rPr>
          <w:rFonts w:hint="eastAsia" w:ascii="宋体" w:hAnsi="宋体" w:eastAsia="宋体" w:cs="宋体"/>
          <w:color w:val="0C0C0C"/>
          <w:sz w:val="24"/>
          <w:szCs w:val="24"/>
        </w:rPr>
        <w:t>投标人和其他利害关系人认为本次招标活动违反法律、法规和规章规定的，有权向有关行政监督部门投诉。</w:t>
      </w:r>
    </w:p>
    <w:p>
      <w:pPr>
        <w:spacing w:line="360" w:lineRule="auto"/>
        <w:ind w:firstLine="468" w:firstLineChars="200"/>
        <w:jc w:val="both"/>
        <w:rPr>
          <w:rFonts w:ascii="宋体" w:hAnsi="宋体" w:eastAsia="宋体" w:cs="宋体"/>
          <w:sz w:val="24"/>
          <w:szCs w:val="24"/>
        </w:rPr>
      </w:pPr>
      <w:r>
        <w:rPr>
          <w:rFonts w:hint="eastAsia" w:ascii="宋体" w:hAnsi="宋体" w:eastAsia="宋体" w:cs="宋体"/>
          <w:color w:val="0C0C0C"/>
          <w:spacing w:val="-3"/>
          <w:sz w:val="24"/>
          <w:szCs w:val="24"/>
        </w:rPr>
        <w:t>9.需要补充的其他内容：</w:t>
      </w:r>
    </w:p>
    <w:p>
      <w:pPr>
        <w:spacing w:line="360" w:lineRule="auto"/>
        <w:ind w:firstLine="476" w:firstLineChars="200"/>
        <w:jc w:val="both"/>
        <w:rPr>
          <w:rFonts w:ascii="宋体" w:hAnsi="宋体" w:eastAsia="宋体" w:cs="宋体"/>
          <w:sz w:val="24"/>
          <w:szCs w:val="24"/>
        </w:rPr>
      </w:pPr>
      <w:r>
        <w:rPr>
          <w:rFonts w:hint="eastAsia" w:ascii="宋体" w:hAnsi="宋体" w:eastAsia="宋体" w:cs="宋体"/>
          <w:color w:val="0C0C0C"/>
          <w:spacing w:val="-1"/>
          <w:sz w:val="24"/>
          <w:szCs w:val="24"/>
        </w:rPr>
        <w:t>见投标人须知前附</w:t>
      </w:r>
      <w:r>
        <w:rPr>
          <w:rFonts w:hint="eastAsia" w:ascii="宋体" w:hAnsi="宋体" w:eastAsia="宋体" w:cs="宋体"/>
          <w:color w:val="0C0C0C"/>
          <w:sz w:val="24"/>
          <w:szCs w:val="24"/>
        </w:rPr>
        <w:t>表。</w:t>
      </w:r>
    </w:p>
    <w:p>
      <w:pPr>
        <w:spacing w:line="360" w:lineRule="auto"/>
        <w:ind w:firstLine="464" w:firstLineChars="200"/>
        <w:jc w:val="both"/>
        <w:rPr>
          <w:rFonts w:ascii="宋体" w:hAnsi="宋体" w:eastAsia="宋体" w:cs="宋体"/>
          <w:sz w:val="24"/>
          <w:szCs w:val="24"/>
        </w:rPr>
      </w:pPr>
      <w:r>
        <w:rPr>
          <w:rFonts w:hint="eastAsia" w:ascii="宋体" w:hAnsi="宋体" w:eastAsia="宋体" w:cs="宋体"/>
          <w:color w:val="0C0C0C"/>
          <w:spacing w:val="-4"/>
          <w:sz w:val="24"/>
          <w:szCs w:val="24"/>
        </w:rPr>
        <w:t>10</w:t>
      </w:r>
      <w:r>
        <w:rPr>
          <w:rFonts w:hint="eastAsia" w:ascii="宋体" w:hAnsi="宋体" w:eastAsia="宋体" w:cs="宋体"/>
          <w:color w:val="0C0C0C"/>
          <w:spacing w:val="-3"/>
          <w:sz w:val="24"/>
          <w:szCs w:val="24"/>
        </w:rPr>
        <w:t>．</w:t>
      </w:r>
      <w:r>
        <w:rPr>
          <w:rFonts w:hint="eastAsia" w:ascii="宋体" w:hAnsi="宋体" w:eastAsia="宋体" w:cs="宋体"/>
          <w:color w:val="0C0C0C"/>
          <w:spacing w:val="-2"/>
          <w:sz w:val="24"/>
          <w:szCs w:val="24"/>
        </w:rPr>
        <w:t>电子招标投标</w:t>
      </w:r>
    </w:p>
    <w:p>
      <w:pPr>
        <w:spacing w:line="360" w:lineRule="auto"/>
        <w:ind w:firstLine="488" w:firstLineChars="200"/>
        <w:jc w:val="both"/>
        <w:rPr>
          <w:rFonts w:ascii="宋体" w:hAnsi="宋体" w:eastAsia="宋体" w:cs="宋体"/>
          <w:color w:val="0C0C0C"/>
          <w:spacing w:val="-9"/>
          <w:sz w:val="24"/>
          <w:szCs w:val="24"/>
        </w:rPr>
      </w:pPr>
      <w:r>
        <w:rPr>
          <w:rFonts w:hint="eastAsia" w:ascii="宋体" w:hAnsi="宋体" w:eastAsia="宋体" w:cs="宋体"/>
          <w:color w:val="0C0C0C"/>
          <w:spacing w:val="2"/>
          <w:sz w:val="24"/>
          <w:szCs w:val="24"/>
        </w:rPr>
        <w:t>采用电子招标投标，对投标文件的编制、密封和标记、递交、开标等的具体要求，见投标</w:t>
      </w:r>
      <w:r>
        <w:rPr>
          <w:rFonts w:hint="eastAsia" w:ascii="宋体" w:hAnsi="宋体" w:eastAsia="宋体" w:cs="宋体"/>
          <w:color w:val="0C0C0C"/>
          <w:spacing w:val="1"/>
          <w:sz w:val="24"/>
          <w:szCs w:val="24"/>
        </w:rPr>
        <w:t>人</w:t>
      </w:r>
      <w:r>
        <w:rPr>
          <w:rFonts w:hint="eastAsia" w:ascii="宋体" w:hAnsi="宋体" w:eastAsia="宋体" w:cs="宋体"/>
          <w:color w:val="0C0C0C"/>
          <w:sz w:val="24"/>
          <w:szCs w:val="24"/>
        </w:rPr>
        <w:t>须知前附</w:t>
      </w:r>
      <w:r>
        <w:rPr>
          <w:rFonts w:hint="eastAsia" w:ascii="宋体" w:hAnsi="宋体" w:eastAsia="宋体" w:cs="宋体"/>
          <w:color w:val="0C0C0C"/>
          <w:spacing w:val="-10"/>
          <w:sz w:val="24"/>
          <w:szCs w:val="24"/>
        </w:rPr>
        <w:t>表</w:t>
      </w:r>
      <w:r>
        <w:rPr>
          <w:rFonts w:hint="eastAsia" w:ascii="宋体" w:hAnsi="宋体" w:eastAsia="宋体" w:cs="宋体"/>
          <w:color w:val="0C0C0C"/>
          <w:spacing w:val="-9"/>
          <w:sz w:val="24"/>
          <w:szCs w:val="24"/>
        </w:rPr>
        <w:t>。</w:t>
      </w:r>
    </w:p>
    <w:p>
      <w:pPr>
        <w:spacing w:line="360" w:lineRule="auto"/>
        <w:ind w:firstLine="466" w:firstLineChars="200"/>
        <w:jc w:val="both"/>
        <w:outlineLvl w:val="9"/>
        <w:rPr>
          <w:rFonts w:ascii="宋体" w:hAnsi="宋体" w:eastAsia="宋体" w:cs="宋体"/>
          <w:b/>
          <w:bCs/>
          <w:color w:val="0C0C0C"/>
          <w:spacing w:val="-4"/>
          <w:sz w:val="24"/>
          <w:szCs w:val="24"/>
          <w:highlight w:val="none"/>
        </w:rPr>
      </w:pPr>
      <w:r>
        <w:rPr>
          <w:rFonts w:hint="eastAsia" w:ascii="宋体" w:hAnsi="宋体" w:eastAsia="宋体" w:cs="宋体"/>
          <w:b/>
          <w:bCs/>
          <w:color w:val="0C0C0C"/>
          <w:spacing w:val="-4"/>
          <w:sz w:val="24"/>
          <w:szCs w:val="24"/>
          <w:highlight w:val="none"/>
        </w:rPr>
        <w:t>六、评标办法(综合评分法)</w:t>
      </w:r>
    </w:p>
    <w:p>
      <w:pPr>
        <w:spacing w:line="360" w:lineRule="auto"/>
        <w:ind w:firstLine="466" w:firstLineChars="200"/>
        <w:jc w:val="both"/>
        <w:rPr>
          <w:rFonts w:hint="eastAsia" w:ascii="宋体" w:hAnsi="宋体" w:eastAsia="宋体" w:cs="宋体"/>
          <w:b/>
          <w:bCs/>
          <w:color w:val="0C0C0C"/>
          <w:spacing w:val="-4"/>
          <w:sz w:val="24"/>
          <w:szCs w:val="24"/>
        </w:rPr>
      </w:pPr>
      <w:r>
        <w:rPr>
          <w:rFonts w:hint="eastAsia" w:ascii="宋体" w:hAnsi="宋体" w:eastAsia="宋体" w:cs="宋体"/>
          <w:b/>
          <w:bCs/>
          <w:color w:val="0C0C0C"/>
          <w:spacing w:val="-4"/>
          <w:sz w:val="24"/>
          <w:szCs w:val="24"/>
        </w:rPr>
        <w:t>评标办法前附表</w:t>
      </w:r>
    </w:p>
    <w:tbl>
      <w:tblPr>
        <w:tblStyle w:val="27"/>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26"/>
        <w:gridCol w:w="890"/>
        <w:gridCol w:w="156"/>
        <w:gridCol w:w="1150"/>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条款号</w:t>
            </w: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评审因素</w:t>
            </w:r>
          </w:p>
        </w:tc>
        <w:tc>
          <w:tcPr>
            <w:tcW w:w="7202"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b/>
                <w:bCs/>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2.1.1</w:t>
            </w:r>
          </w:p>
        </w:tc>
        <w:tc>
          <w:tcPr>
            <w:tcW w:w="426"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形式评审标准</w:t>
            </w: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供应商名称</w:t>
            </w:r>
          </w:p>
        </w:tc>
        <w:tc>
          <w:tcPr>
            <w:tcW w:w="7202" w:type="dxa"/>
            <w:gridSpan w:val="2"/>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与企业法人营业执照一致</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投标文件签字盖章</w:t>
            </w:r>
          </w:p>
        </w:tc>
        <w:tc>
          <w:tcPr>
            <w:tcW w:w="7202" w:type="dxa"/>
            <w:gridSpan w:val="2"/>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按照</w:t>
            </w:r>
            <w:r>
              <w:rPr>
                <w:rFonts w:hint="eastAsia" w:cs="宋体"/>
              </w:rPr>
              <w:t>招标</w:t>
            </w:r>
            <w:r>
              <w:rPr>
                <w:rFonts w:hint="eastAsia" w:ascii="宋体" w:hAnsi="宋体" w:eastAsia="宋体" w:cs="宋体"/>
              </w:rPr>
              <w:t>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报价唯一</w:t>
            </w:r>
          </w:p>
        </w:tc>
        <w:tc>
          <w:tcPr>
            <w:tcW w:w="7202" w:type="dxa"/>
            <w:gridSpan w:val="2"/>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投标文件格式</w:t>
            </w:r>
          </w:p>
        </w:tc>
        <w:tc>
          <w:tcPr>
            <w:tcW w:w="7202" w:type="dxa"/>
            <w:gridSpan w:val="2"/>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 xml:space="preserve">符合第六部分“投标文件格式”的要求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2.1.2</w:t>
            </w:r>
          </w:p>
        </w:tc>
        <w:tc>
          <w:tcPr>
            <w:tcW w:w="426"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资格评审标准</w:t>
            </w: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营业执照</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具备有效的营业执照</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信用查询</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未被列入失信被执行人、重大税收违法案件当事人名单、政府采购严重违法失信行为记录名单</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其他要求</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eastAsia="宋体" w:cs="宋体"/>
              </w:rPr>
              <w:t>详见</w:t>
            </w:r>
            <w:r>
              <w:rPr>
                <w:rFonts w:hint="eastAsia" w:cs="宋体"/>
              </w:rPr>
              <w:t>招标</w:t>
            </w:r>
            <w:r>
              <w:rPr>
                <w:rFonts w:hint="eastAsia" w:ascii="宋体" w:hAnsi="宋体" w:eastAsia="宋体" w:cs="宋体"/>
              </w:rPr>
              <w:t>公告中“二、</w:t>
            </w:r>
            <w:r>
              <w:rPr>
                <w:rFonts w:hint="eastAsia" w:ascii="宋体" w:hAnsi="宋体" w:eastAsia="宋体" w:cs="宋体"/>
                <w:b/>
                <w:bCs/>
              </w:rPr>
              <w:t>申请人资格要求</w:t>
            </w:r>
            <w:r>
              <w:rPr>
                <w:rFonts w:hint="eastAsia" w:ascii="宋体" w:hAnsi="宋体" w:eastAsia="宋体" w:cs="宋体"/>
              </w:rPr>
              <w:t>”</w:t>
            </w:r>
            <w:r>
              <w:rPr>
                <w:rFonts w:hint="eastAsia" w:ascii="宋体" w:hAnsi="宋体" w:eastAsia="宋体" w:cs="宋体"/>
                <w:b/>
                <w:bCs/>
              </w:rPr>
              <w:t>（以供应商</w:t>
            </w:r>
            <w:r>
              <w:rPr>
                <w:rFonts w:hint="eastAsia" w:cs="宋体"/>
                <w:b/>
                <w:bCs/>
              </w:rPr>
              <w:t>南阳市公共资源交易中心</w:t>
            </w:r>
            <w:r>
              <w:rPr>
                <w:rFonts w:hint="eastAsia" w:ascii="宋体" w:hAnsi="宋体" w:eastAsia="宋体" w:cs="宋体"/>
                <w:b/>
                <w:bCs/>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r>
              <w:rPr>
                <w:rFonts w:hint="eastAsia"/>
              </w:rPr>
              <w:t>2.1.3</w:t>
            </w:r>
          </w:p>
        </w:tc>
        <w:tc>
          <w:tcPr>
            <w:tcW w:w="426" w:type="dxa"/>
            <w:vMerge w:val="restart"/>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响应性评审标准</w:t>
            </w: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投标内容</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第</w:t>
            </w:r>
            <w:r>
              <w:rPr>
                <w:rFonts w:hint="eastAsia" w:ascii="宋体" w:hAnsi="宋体" w:eastAsia="宋体" w:cs="宋体"/>
                <w:lang w:val="en-US" w:eastAsia="zh-CN"/>
              </w:rPr>
              <w:t>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供货期</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第</w:t>
            </w:r>
            <w:r>
              <w:rPr>
                <w:rFonts w:hint="eastAsia" w:ascii="宋体" w:hAnsi="宋体" w:eastAsia="宋体" w:cs="宋体"/>
                <w:lang w:val="en-US" w:eastAsia="zh-CN"/>
              </w:rPr>
              <w:t>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质量要求</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第</w:t>
            </w:r>
            <w:r>
              <w:rPr>
                <w:rFonts w:hint="eastAsia" w:ascii="宋体" w:hAnsi="宋体" w:eastAsia="宋体" w:cs="宋体"/>
                <w:lang w:val="en-US" w:eastAsia="zh-CN"/>
              </w:rPr>
              <w:t>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投标有效期</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rPr>
              <w:t>符合第二部分“投标人须知前附表”</w:t>
            </w:r>
            <w:r>
              <w:rPr>
                <w:rFonts w:hint="eastAsia" w:ascii="宋体" w:hAnsi="宋体" w:eastAsia="宋体" w:cs="宋体"/>
                <w:lang w:eastAsia="zh-CN"/>
              </w:rPr>
              <w:t>第</w:t>
            </w:r>
            <w:r>
              <w:rPr>
                <w:rFonts w:hint="eastAsia" w:ascii="宋体" w:hAnsi="宋体" w:eastAsia="宋体" w:cs="宋体"/>
                <w:lang w:val="en-US" w:eastAsia="zh-CN"/>
              </w:rPr>
              <w:t>22项规定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426" w:type="dxa"/>
            <w:vMerge w:val="continue"/>
            <w:vAlign w:val="center"/>
          </w:tcPr>
          <w:p>
            <w:pPr>
              <w:pStyle w:val="23"/>
              <w:keepNext w:val="0"/>
              <w:keepLines w:val="0"/>
              <w:pageBreakBefore w:val="0"/>
              <w:widowControl w:val="0"/>
              <w:wordWrap/>
              <w:overflowPunct/>
              <w:topLinePunct w:val="0"/>
              <w:autoSpaceDE w:val="0"/>
              <w:autoSpaceDN w:val="0"/>
              <w:bidi w:val="0"/>
              <w:spacing w:line="360" w:lineRule="exact"/>
              <w:jc w:val="center"/>
              <w:rPr>
                <w:rFonts w:ascii="宋体" w:hAnsi="宋体" w:cs="宋体"/>
                <w:color w:val="FF0000"/>
                <w:sz w:val="18"/>
                <w:szCs w:val="18"/>
              </w:rPr>
            </w:pPr>
          </w:p>
        </w:tc>
        <w:tc>
          <w:tcPr>
            <w:tcW w:w="1046"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rPr>
            </w:pPr>
            <w:r>
              <w:rPr>
                <w:rFonts w:hint="eastAsia" w:ascii="宋体" w:hAnsi="宋体" w:eastAsia="宋体" w:cs="宋体"/>
              </w:rPr>
              <w:t>投标报价</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rPr>
            </w:pPr>
            <w:r>
              <w:rPr>
                <w:rFonts w:hint="eastAsia" w:ascii="宋体" w:hAnsi="宋体" w:eastAsia="宋体" w:cs="宋体"/>
                <w:lang w:eastAsia="zh-CN"/>
              </w:rPr>
              <w:t>不高于</w:t>
            </w:r>
            <w:r>
              <w:rPr>
                <w:rFonts w:hint="eastAsia" w:ascii="宋体" w:hAnsi="宋体" w:eastAsia="宋体" w:cs="宋体"/>
              </w:rPr>
              <w:t>第二部分“投标人须知前附表”</w:t>
            </w:r>
            <w:r>
              <w:rPr>
                <w:rFonts w:hint="eastAsia" w:ascii="宋体" w:hAnsi="宋体" w:eastAsia="宋体" w:cs="宋体"/>
                <w:lang w:eastAsia="zh-CN"/>
              </w:rPr>
              <w:t>第</w:t>
            </w:r>
            <w:r>
              <w:rPr>
                <w:rFonts w:hint="eastAsia" w:ascii="宋体" w:hAnsi="宋体" w:eastAsia="宋体" w:cs="宋体"/>
                <w:lang w:val="en-US" w:eastAsia="zh-CN"/>
              </w:rPr>
              <w:t>17项载明的</w:t>
            </w:r>
            <w:r>
              <w:rPr>
                <w:rFonts w:hint="eastAsia" w:ascii="宋体" w:hAnsi="宋体" w:eastAsia="宋体" w:cs="宋体"/>
              </w:rPr>
              <w:t>招标控制价</w:t>
            </w:r>
            <w:r>
              <w:rPr>
                <w:rFonts w:hint="eastAsia" w:ascii="宋体" w:hAnsi="宋体" w:eastAsia="宋体" w:cs="宋体"/>
                <w:lang w:eastAsia="zh-CN"/>
              </w:rPr>
              <w:t>并满足招标文件的相关要求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6"/>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ascii="宋体" w:hAnsi="宋体" w:eastAsia="宋体" w:cs="宋体"/>
              </w:rPr>
            </w:pPr>
            <w:r>
              <w:rPr>
                <w:rFonts w:hint="eastAsia" w:ascii="宋体" w:hAnsi="宋体" w:cs="黑体"/>
                <w:b/>
                <w:color w:val="auto"/>
                <w:sz w:val="21"/>
                <w:szCs w:val="21"/>
              </w:rPr>
              <w:t>以上所需证件审查由评标专家依据投标企业在南阳市公共资源交易中心网站诚信库填报的信息资料扫描件为准。所有资质、证书、业绩、荣誉等原件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条款号</w:t>
            </w:r>
          </w:p>
        </w:tc>
        <w:tc>
          <w:tcPr>
            <w:tcW w:w="1472" w:type="dxa"/>
            <w:gridSpan w:val="3"/>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条款内容</w:t>
            </w:r>
          </w:p>
        </w:tc>
        <w:tc>
          <w:tcPr>
            <w:tcW w:w="7202" w:type="dxa"/>
            <w:gridSpan w:val="2"/>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5" w:type="dxa"/>
            <w:gridSpan w:val="6"/>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default" w:ascii="宋体" w:hAnsi="宋体" w:eastAsia="宋体" w:cs="宋体"/>
                <w:lang w:val="en-US" w:eastAsia="zh-CN"/>
              </w:rPr>
            </w:pPr>
            <w:r>
              <w:rPr>
                <w:rFonts w:hint="eastAsia" w:ascii="宋体" w:hAnsi="宋体" w:eastAsia="宋体" w:cs="宋体"/>
                <w:b/>
                <w:bCs/>
              </w:rPr>
              <w:t>2.2 详细评审（综合计分法分值构成与评分标准）：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415" w:type="dxa"/>
            <w:gridSpan w:val="6"/>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2.2.1</w:t>
            </w:r>
          </w:p>
        </w:tc>
        <w:tc>
          <w:tcPr>
            <w:tcW w:w="1472" w:type="dxa"/>
            <w:gridSpan w:val="3"/>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分值构成</w:t>
            </w:r>
          </w:p>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(总分100分)</w:t>
            </w:r>
          </w:p>
        </w:tc>
        <w:tc>
          <w:tcPr>
            <w:tcW w:w="7202" w:type="dxa"/>
            <w:gridSpan w:val="2"/>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（1）投标报价：30 分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lang w:val="en-US" w:eastAsia="zh-CN"/>
              </w:rPr>
            </w:pPr>
            <w:r>
              <w:rPr>
                <w:rFonts w:hint="eastAsia"/>
                <w:lang w:val="en-US" w:eastAsia="zh-CN"/>
              </w:rPr>
              <w:t xml:space="preserve">（2）技术标部分：40分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lang w:val="en-US" w:eastAsia="zh-CN"/>
              </w:rPr>
              <w:t>（3）商务标部分：30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2.2.2</w:t>
            </w:r>
          </w:p>
        </w:tc>
        <w:tc>
          <w:tcPr>
            <w:tcW w:w="1472" w:type="dxa"/>
            <w:gridSpan w:val="3"/>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评标基准价</w:t>
            </w:r>
          </w:p>
        </w:tc>
        <w:tc>
          <w:tcPr>
            <w:tcW w:w="7202" w:type="dxa"/>
            <w:gridSpan w:val="2"/>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auto"/>
              <w:rPr>
                <w:rFonts w:ascii="宋体" w:hAnsi="宋体" w:eastAsia="宋体" w:cs="宋体"/>
              </w:rPr>
            </w:pPr>
            <w:r>
              <w:rPr>
                <w:rFonts w:hint="eastAsia" w:ascii="宋体" w:hAnsi="宋体" w:eastAsia="宋体" w:cs="宋体"/>
              </w:rPr>
              <w:t>2.2.3</w:t>
            </w:r>
          </w:p>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pPr>
          </w:p>
        </w:tc>
        <w:tc>
          <w:tcPr>
            <w:tcW w:w="1316" w:type="dxa"/>
            <w:gridSpan w:val="2"/>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投标报价</w:t>
            </w:r>
          </w:p>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rPr>
            </w:pPr>
            <w:r>
              <w:rPr>
                <w:rFonts w:hint="eastAsia"/>
              </w:rPr>
              <w:t>（30分）</w:t>
            </w:r>
          </w:p>
        </w:tc>
        <w:tc>
          <w:tcPr>
            <w:tcW w:w="7358" w:type="dxa"/>
            <w:gridSpan w:val="3"/>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采用低价优先法计算，即满足招标文件要求且投标价格最低的投标报价为评标基准价，其价格分为满分。其他供应商的价格分统一按照下列公式计算：</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投标报价得分=（评标基准价/投标报价）×30</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价格优惠说明：</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1、为贯彻落实《政府采购促进中小企业发展管理办法》财库〔2020〕46号，本项目鼓励中小企业参与，中小型企业须提交《中小企业声明函》原件（声明函格式详见附件）。</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2、中小企业划型标准以工信部联企业〔2011〕300 号《工业和信息化部国家统计局国家发展和改革委财政部关于印发中小企业划型标准规定的通知》及《政府采购促进中小企业发展管理办法》财库〔2020〕46号为依据。</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3、评审时给予小型和微型企业20%的价格扣除，用扣除后的价格参与评审。即小微型企业优惠后报价=投标报价*（1-20%）。</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4、监狱企业及残疾人福利性单位视同小微企业。</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没有提供有效材料的投标人将被视为不接受投标总价的扣除，用原投标总价参与评审。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4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spacing w:val="0"/>
                <w:w w:val="100"/>
                <w:sz w:val="21"/>
                <w:szCs w:val="21"/>
                <w:lang w:val="en-US" w:eastAsia="zh-CN"/>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4</w:t>
            </w:r>
          </w:p>
        </w:tc>
        <w:tc>
          <w:tcPr>
            <w:tcW w:w="1316" w:type="dxa"/>
            <w:gridSpan w:val="2"/>
            <w:vMerge w:val="restart"/>
            <w:vAlign w:val="center"/>
          </w:tcPr>
          <w:p>
            <w:pPr>
              <w:pStyle w:val="4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技术标</w:t>
            </w:r>
          </w:p>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40</w:t>
            </w:r>
            <w:r>
              <w:rPr>
                <w:rFonts w:hint="eastAsia" w:ascii="宋体" w:hAnsi="宋体" w:eastAsia="宋体" w:cs="宋体"/>
                <w:spacing w:val="0"/>
                <w:sz w:val="21"/>
                <w:szCs w:val="21"/>
              </w:rPr>
              <w:t>分）</w:t>
            </w:r>
          </w:p>
        </w:tc>
        <w:tc>
          <w:tcPr>
            <w:tcW w:w="1306" w:type="dxa"/>
            <w:gridSpan w:val="2"/>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项目实施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方案（25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pacing w:val="0"/>
                <w:sz w:val="21"/>
                <w:szCs w:val="21"/>
                <w:lang w:val="en-US" w:eastAsia="zh-CN" w:bidi="ar-SA"/>
              </w:rPr>
            </w:pPr>
          </w:p>
        </w:tc>
        <w:tc>
          <w:tcPr>
            <w:tcW w:w="6052" w:type="dxa"/>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（1）产品按期供货保障及配送方案。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（2）产品使用技术及培训措施。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（3）产品质量控制的主要技术措施。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（4）产品因质量问题造成不良影响，拟采取的措施。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（5）产品服务方案中的安全保障措施。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以上共 5 项，每项按照以下标准进行打分，共计 25 分。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① 投标人提供的上述内容在科学性、合理性、本项目针对性、完善程度非常全面准确的，得 25 分；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②投标人提供的上述内容在科学性、合理性、本项目针对性、完善程度比较全面 的，得 15 分；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③投标人提供的上述内容在科学性、合理性、本项目针对性、完善程度上一般，得 5 分。 </w:t>
            </w:r>
          </w:p>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napToGrid w:val="0"/>
                <w:color w:val="000000"/>
                <w:spacing w:val="0"/>
                <w:sz w:val="21"/>
                <w:szCs w:val="21"/>
                <w:lang w:val="en-US" w:eastAsia="zh-CN" w:bidi="ar-SA"/>
              </w:rPr>
            </w:pPr>
            <w:r>
              <w:rPr>
                <w:rFonts w:hint="eastAsia" w:ascii="宋体" w:hAnsi="宋体" w:eastAsia="宋体" w:cs="宋体"/>
                <w:snapToGrid w:val="0"/>
                <w:color w:val="000000"/>
                <w:sz w:val="21"/>
                <w:szCs w:val="21"/>
                <w:lang w:val="en-US" w:eastAsia="zh-CN" w:bidi="ar-SA"/>
              </w:rPr>
              <w:t xml:space="preserve">④投标人没有提供上述内容，或提供的不完整的，得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技术参数 </w:t>
            </w:r>
          </w:p>
          <w:p>
            <w:pPr>
              <w:keepNext w:val="0"/>
              <w:keepLines w:val="0"/>
              <w:widowControl/>
              <w:suppressLineNumbers w:val="0"/>
              <w:ind w:firstLine="210" w:firstLineChars="100"/>
              <w:jc w:val="left"/>
              <w:rPr>
                <w:rFonts w:hint="eastAsia" w:ascii="宋体" w:hAnsi="宋体" w:eastAsia="宋体" w:cs="宋体"/>
                <w:spacing w:val="0"/>
                <w:sz w:val="21"/>
                <w:szCs w:val="21"/>
                <w:lang w:eastAsia="zh-CN"/>
              </w:rPr>
            </w:pPr>
            <w:r>
              <w:rPr>
                <w:rFonts w:hint="eastAsia" w:ascii="宋体" w:hAnsi="宋体" w:eastAsia="宋体" w:cs="宋体"/>
                <w:color w:val="000000"/>
                <w:kern w:val="0"/>
                <w:sz w:val="21"/>
                <w:szCs w:val="21"/>
                <w:lang w:val="en-US" w:eastAsia="zh-CN" w:bidi="ar"/>
              </w:rPr>
              <w:t xml:space="preserve">（15分） </w:t>
            </w:r>
          </w:p>
        </w:tc>
        <w:tc>
          <w:tcPr>
            <w:tcW w:w="6052" w:type="dxa"/>
            <w:vAlign w:val="top"/>
          </w:tcPr>
          <w:p>
            <w:pPr>
              <w:keepNext w:val="0"/>
              <w:keepLines w:val="0"/>
              <w:pageBreakBefore w:val="0"/>
              <w:widowControl/>
              <w:kinsoku/>
              <w:wordWrap/>
              <w:overflowPunct/>
              <w:topLinePunct w:val="0"/>
              <w:autoSpaceDE w:val="0"/>
              <w:autoSpaceDN w:val="0"/>
              <w:bidi w:val="0"/>
              <w:adjustRightInd/>
              <w:snapToGrid/>
              <w:spacing w:line="360" w:lineRule="exact"/>
              <w:jc w:val="both"/>
              <w:textAlignment w:val="auto"/>
              <w:rPr>
                <w:rFonts w:hint="eastAsia" w:ascii="宋体" w:hAnsi="宋体" w:eastAsia="宋体" w:cs="宋体"/>
                <w:spacing w:val="0"/>
                <w:sz w:val="21"/>
                <w:szCs w:val="21"/>
                <w:lang w:val="en-US" w:eastAsia="zh-CN"/>
              </w:rPr>
            </w:pPr>
            <w:r>
              <w:rPr>
                <w:rFonts w:hint="eastAsia" w:ascii="宋体" w:hAnsi="宋体" w:eastAsia="宋体" w:cs="宋体"/>
                <w:snapToGrid w:val="0"/>
                <w:color w:val="000000"/>
                <w:sz w:val="21"/>
                <w:szCs w:val="21"/>
                <w:lang w:val="en-US" w:eastAsia="zh-CN" w:bidi="ar-SA"/>
              </w:rPr>
              <w:t>供应商提供的产品技术参数及要求符合招标文件技术参数要求，全部满足得基础分 15 分。技术参数及要求每有一项负偏离的在基础分上扣 1 分，扣完为止。正偏离不加分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spacing w:val="0"/>
                <w:w w:val="100"/>
                <w:sz w:val="21"/>
                <w:szCs w:val="21"/>
                <w:lang w:val="en-US"/>
              </w:rPr>
            </w:pPr>
            <w:r>
              <w:rPr>
                <w:rFonts w:hint="eastAsia" w:ascii="宋体" w:hAnsi="宋体" w:eastAsia="宋体" w:cs="宋体"/>
                <w:spacing w:val="0"/>
                <w:w w:val="100"/>
                <w:sz w:val="21"/>
                <w:szCs w:val="21"/>
                <w:lang w:val="en-US" w:eastAsia="zh-CN"/>
              </w:rPr>
              <w:t>2.2.</w:t>
            </w:r>
            <w:r>
              <w:rPr>
                <w:rFonts w:hint="eastAsia" w:cs="宋体"/>
                <w:spacing w:val="0"/>
                <w:w w:val="100"/>
                <w:sz w:val="21"/>
                <w:szCs w:val="21"/>
                <w:lang w:val="en-US" w:eastAsia="zh-CN"/>
              </w:rPr>
              <w:t>5</w:t>
            </w:r>
          </w:p>
        </w:tc>
        <w:tc>
          <w:tcPr>
            <w:tcW w:w="1316"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商务标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left"/>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（30分）</w:t>
            </w:r>
          </w:p>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spacing w:val="0"/>
                <w:sz w:val="21"/>
                <w:szCs w:val="21"/>
              </w:rPr>
            </w:pPr>
            <w:r>
              <w:rPr>
                <w:rFonts w:hint="eastAsia" w:ascii="宋体" w:hAnsi="宋体" w:eastAsia="宋体" w:cs="宋体"/>
                <w:b w:val="0"/>
                <w:bCs/>
                <w:color w:val="000000"/>
                <w:spacing w:val="0"/>
                <w:kern w:val="0"/>
                <w:sz w:val="21"/>
                <w:szCs w:val="21"/>
                <w:lang w:val="en-US" w:eastAsia="zh-CN" w:bidi="ar"/>
              </w:rPr>
              <w:t>企业业绩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default"/>
                <w:lang w:val="en-US" w:eastAsia="zh-CN"/>
              </w:rPr>
            </w:pPr>
            <w:r>
              <w:rPr>
                <w:rFonts w:hint="eastAsia" w:ascii="宋体" w:hAnsi="宋体" w:eastAsia="宋体" w:cs="宋体"/>
                <w:b w:val="0"/>
                <w:bCs/>
                <w:color w:val="000000"/>
                <w:spacing w:val="0"/>
                <w:kern w:val="0"/>
                <w:sz w:val="21"/>
                <w:szCs w:val="21"/>
                <w:lang w:val="en-US" w:eastAsia="zh-CN" w:bidi="ar"/>
              </w:rPr>
              <w:t>（</w:t>
            </w:r>
            <w:r>
              <w:rPr>
                <w:rFonts w:hint="eastAsia" w:ascii="宋体" w:hAnsi="宋体" w:cs="宋体"/>
                <w:b w:val="0"/>
                <w:bCs/>
                <w:color w:val="000000"/>
                <w:spacing w:val="0"/>
                <w:kern w:val="0"/>
                <w:sz w:val="21"/>
                <w:szCs w:val="21"/>
                <w:lang w:val="en-US" w:eastAsia="zh-CN" w:bidi="ar"/>
              </w:rPr>
              <w:t>4</w:t>
            </w:r>
            <w:r>
              <w:rPr>
                <w:rFonts w:hint="eastAsia" w:ascii="宋体" w:hAnsi="宋体" w:eastAsia="宋体" w:cs="宋体"/>
                <w:b w:val="0"/>
                <w:bCs/>
                <w:color w:val="000000"/>
                <w:spacing w:val="0"/>
                <w:kern w:val="0"/>
                <w:sz w:val="21"/>
                <w:szCs w:val="21"/>
                <w:lang w:val="en-US" w:eastAsia="zh-CN" w:bidi="ar"/>
              </w:rPr>
              <w:t xml:space="preserve"> 分）</w:t>
            </w:r>
          </w:p>
        </w:tc>
        <w:tc>
          <w:tcPr>
            <w:tcW w:w="6052"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b w:val="0"/>
                <w:bCs/>
                <w:color w:val="000000"/>
                <w:spacing w:val="0"/>
                <w:kern w:val="0"/>
                <w:sz w:val="21"/>
                <w:szCs w:val="21"/>
                <w:lang w:val="en-US" w:eastAsia="zh-CN" w:bidi="ar"/>
              </w:rPr>
              <w:t xml:space="preserve">为证明投标人具有独立承担此项目的经济能力，提供近年来独立承接的类似项目的业绩合同，提供一个得 </w:t>
            </w:r>
            <w:r>
              <w:rPr>
                <w:rFonts w:hint="eastAsia" w:ascii="宋体" w:hAnsi="宋体" w:cs="宋体"/>
                <w:b w:val="0"/>
                <w:bCs/>
                <w:color w:val="000000"/>
                <w:spacing w:val="0"/>
                <w:kern w:val="0"/>
                <w:sz w:val="21"/>
                <w:szCs w:val="21"/>
                <w:lang w:val="en-US" w:eastAsia="zh-CN" w:bidi="ar"/>
              </w:rPr>
              <w:t>2</w:t>
            </w:r>
            <w:r>
              <w:rPr>
                <w:rFonts w:hint="eastAsia" w:ascii="宋体" w:hAnsi="宋体" w:eastAsia="宋体" w:cs="宋体"/>
                <w:b w:val="0"/>
                <w:bCs/>
                <w:color w:val="000000"/>
                <w:spacing w:val="0"/>
                <w:kern w:val="0"/>
                <w:sz w:val="21"/>
                <w:szCs w:val="21"/>
                <w:lang w:val="en-US" w:eastAsia="zh-CN" w:bidi="ar"/>
              </w:rPr>
              <w:t xml:space="preserve">分，最多得 </w:t>
            </w:r>
            <w:r>
              <w:rPr>
                <w:rFonts w:hint="eastAsia" w:ascii="宋体" w:hAnsi="宋体" w:cs="宋体"/>
                <w:b w:val="0"/>
                <w:bCs/>
                <w:color w:val="000000"/>
                <w:spacing w:val="0"/>
                <w:kern w:val="0"/>
                <w:sz w:val="21"/>
                <w:szCs w:val="21"/>
                <w:lang w:val="en-US" w:eastAsia="zh-CN" w:bidi="ar"/>
              </w:rPr>
              <w:t>4</w:t>
            </w:r>
            <w:r>
              <w:rPr>
                <w:rFonts w:hint="eastAsia" w:ascii="宋体" w:hAnsi="宋体" w:eastAsia="宋体" w:cs="宋体"/>
                <w:b w:val="0"/>
                <w:bCs/>
                <w:color w:val="000000"/>
                <w:spacing w:val="0"/>
                <w:kern w:val="0"/>
                <w:sz w:val="21"/>
                <w:szCs w:val="21"/>
                <w:lang w:val="en-US" w:eastAsia="zh-CN" w:bidi="ar"/>
              </w:rPr>
              <w:t xml:space="preserve"> 分，（提供中标通知书和合同原件）,提供不完整或不提供的不得分。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w w:val="100"/>
                <w:sz w:val="21"/>
                <w:szCs w:val="21"/>
              </w:rPr>
            </w:pPr>
          </w:p>
        </w:tc>
        <w:tc>
          <w:tcPr>
            <w:tcW w:w="1316" w:type="dxa"/>
            <w:gridSpan w:val="2"/>
            <w:vMerge w:val="continue"/>
            <w:vAlign w:val="center"/>
          </w:tcPr>
          <w:p>
            <w:pPr>
              <w:pStyle w:val="46"/>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pacing w:val="0"/>
                <w:sz w:val="21"/>
                <w:szCs w:val="21"/>
              </w:rPr>
            </w:pPr>
          </w:p>
        </w:tc>
        <w:tc>
          <w:tcPr>
            <w:tcW w:w="130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0" w:firstLineChars="0"/>
              <w:jc w:val="center"/>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售后服务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rPr>
                <w:rFonts w:hint="eastAsia" w:ascii="宋体" w:hAnsi="宋体" w:eastAsia="宋体" w:cs="宋体"/>
                <w:snapToGrid w:val="0"/>
                <w:color w:val="000000"/>
                <w:sz w:val="21"/>
                <w:szCs w:val="21"/>
                <w:lang w:val="en-US" w:eastAsia="zh-CN" w:bidi="ar-SA"/>
              </w:rPr>
            </w:pPr>
            <w:r>
              <w:rPr>
                <w:rFonts w:hint="eastAsia" w:ascii="宋体" w:hAnsi="宋体" w:eastAsia="宋体" w:cs="宋体"/>
                <w:b w:val="0"/>
                <w:bCs/>
                <w:color w:val="000000"/>
                <w:spacing w:val="0"/>
                <w:kern w:val="0"/>
                <w:sz w:val="21"/>
                <w:szCs w:val="21"/>
                <w:lang w:val="en-US" w:eastAsia="zh-CN" w:bidi="ar"/>
              </w:rPr>
              <w:t>（</w:t>
            </w:r>
            <w:r>
              <w:rPr>
                <w:rFonts w:hint="eastAsia" w:ascii="宋体" w:hAnsi="宋体" w:cs="宋体"/>
                <w:b w:val="0"/>
                <w:bCs/>
                <w:color w:val="000000"/>
                <w:spacing w:val="0"/>
                <w:kern w:val="0"/>
                <w:sz w:val="21"/>
                <w:szCs w:val="21"/>
                <w:lang w:val="en-US" w:eastAsia="zh-CN" w:bidi="ar"/>
              </w:rPr>
              <w:t>26</w:t>
            </w:r>
            <w:r>
              <w:rPr>
                <w:rFonts w:hint="eastAsia" w:ascii="宋体" w:hAnsi="宋体" w:eastAsia="宋体" w:cs="宋体"/>
                <w:b w:val="0"/>
                <w:bCs/>
                <w:color w:val="000000"/>
                <w:spacing w:val="0"/>
                <w:kern w:val="0"/>
                <w:sz w:val="21"/>
                <w:szCs w:val="21"/>
                <w:lang w:val="en-US" w:eastAsia="zh-CN" w:bidi="ar"/>
              </w:rPr>
              <w:t>分）</w:t>
            </w:r>
          </w:p>
        </w:tc>
        <w:tc>
          <w:tcPr>
            <w:tcW w:w="6052"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有完善的售后服务队伍,售后服务方案详细，根据提供内容计划的详细程度打分，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 xml:space="preserve">（1）售后服务方案内容详细、完善，有针对性，可执行性较强，得26 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 xml:space="preserve">（2）售后服务方案内容基本详细、完善，针对性一般，基本满足招标文件及采购人的要求得16分；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 xml:space="preserve">（3）售后服务方案内容不详细、不完善，针对性差，得8分；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b w:val="0"/>
                <w:bCs/>
                <w:color w:val="000000"/>
                <w:spacing w:val="0"/>
                <w:kern w:val="0"/>
                <w:sz w:val="21"/>
                <w:szCs w:val="21"/>
                <w:lang w:val="en-US" w:eastAsia="zh-CN" w:bidi="ar"/>
              </w:rPr>
              <w:t>（4）不提供，不得分</w:t>
            </w:r>
          </w:p>
        </w:tc>
      </w:tr>
    </w:tbl>
    <w:p>
      <w:pPr>
        <w:spacing w:line="360" w:lineRule="auto"/>
        <w:ind w:firstLine="466" w:firstLineChars="200"/>
        <w:jc w:val="both"/>
        <w:rPr>
          <w:rFonts w:hint="eastAsia" w:ascii="宋体" w:hAnsi="宋体" w:eastAsia="宋体" w:cs="宋体"/>
          <w:b/>
          <w:bCs/>
          <w:color w:val="0C0C0C"/>
          <w:spacing w:val="-4"/>
          <w:sz w:val="24"/>
          <w:szCs w:val="24"/>
        </w:rPr>
      </w:pPr>
    </w:p>
    <w:p>
      <w:pPr>
        <w:spacing w:line="360" w:lineRule="auto"/>
        <w:ind w:firstLine="466" w:firstLineChars="200"/>
        <w:jc w:val="both"/>
        <w:rPr>
          <w:rFonts w:hint="eastAsia" w:ascii="宋体" w:hAnsi="宋体" w:eastAsia="宋体" w:cs="宋体"/>
          <w:b/>
          <w:bCs/>
          <w:color w:val="0C0C0C"/>
          <w:spacing w:val="-4"/>
          <w:sz w:val="24"/>
          <w:szCs w:val="24"/>
        </w:rPr>
      </w:pPr>
    </w:p>
    <w:p>
      <w:pPr>
        <w:spacing w:line="25" w:lineRule="exact"/>
      </w:pPr>
    </w:p>
    <w:tbl>
      <w:tblPr>
        <w:tblStyle w:val="27"/>
        <w:tblpPr w:leftFromText="180" w:rightFromText="180" w:vertAnchor="text" w:tblpX="10964" w:tblpY="-127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85" w:type="dxa"/>
          </w:tcPr>
          <w:p>
            <w:pPr>
              <w:widowControl w:val="0"/>
              <w:jc w:val="both"/>
              <w:rPr>
                <w:vertAlign w:val="baseline"/>
              </w:rPr>
            </w:pPr>
          </w:p>
        </w:tc>
      </w:tr>
    </w:tbl>
    <w:tbl>
      <w:tblPr>
        <w:tblStyle w:val="27"/>
        <w:tblpPr w:leftFromText="180" w:rightFromText="180" w:vertAnchor="text" w:tblpX="10964" w:tblpY="-127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30" w:hRule="atLeast"/>
        </w:trPr>
        <w:tc>
          <w:tcPr>
            <w:tcW w:w="1900"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945" w:type="dxa"/>
            <w:gridSpan w:val="2"/>
          </w:tcPr>
          <w:p>
            <w:pPr>
              <w:widowControl w:val="0"/>
              <w:jc w:val="both"/>
              <w:rPr>
                <w:vertAlign w:val="baseline"/>
              </w:rPr>
            </w:pPr>
          </w:p>
        </w:tc>
      </w:tr>
    </w:tbl>
    <w:tbl>
      <w:tblPr>
        <w:tblStyle w:val="27"/>
        <w:tblpPr w:leftFromText="180" w:rightFromText="180" w:vertAnchor="text" w:tblpX="10964" w:tblpY="-10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70" w:type="dxa"/>
          </w:tcPr>
          <w:p>
            <w:pPr>
              <w:widowControl w:val="0"/>
              <w:spacing w:line="25" w:lineRule="exact"/>
              <w:jc w:val="both"/>
              <w:rPr>
                <w:vertAlign w:val="baseline"/>
              </w:rPr>
            </w:pPr>
          </w:p>
        </w:tc>
      </w:tr>
    </w:tbl>
    <w:p>
      <w:pPr>
        <w:widowControl/>
        <w:spacing w:before="0" w:after="0" w:line="600" w:lineRule="exac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1.评标方法</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本次评标采用综合评分法。评标委员会对满足招标文件实质性要求的投标文件，按照本章规定的评分标准进行打分，并按得分由高到低顺序推荐中标候选人。综合评分相等时，以投标报价低的优先；投标报价也相等的，由招标人自行确定。</w:t>
      </w:r>
    </w:p>
    <w:p>
      <w:pPr>
        <w:widowControl/>
        <w:spacing w:before="0" w:after="0" w:line="600" w:lineRule="exact"/>
        <w:outlineLvl w:val="9"/>
        <w:rPr>
          <w:rFonts w:hint="eastAsia" w:ascii="宋体" w:hAnsi="宋体" w:eastAsia="宋体" w:cs="宋体"/>
          <w:b/>
          <w:bCs/>
          <w:color w:val="auto"/>
          <w:sz w:val="24"/>
          <w:szCs w:val="24"/>
        </w:rPr>
      </w:pPr>
      <w:bookmarkStart w:id="3" w:name="_Toc26936"/>
      <w:bookmarkStart w:id="4" w:name="_Toc18653_WPSOffice_Level2"/>
      <w:bookmarkStart w:id="5" w:name="_Toc12207_WPSOffice_Level2"/>
      <w:bookmarkStart w:id="6" w:name="_Toc32427_WPSOffice_Level2"/>
      <w:bookmarkStart w:id="7" w:name="_Toc477422816"/>
      <w:bookmarkStart w:id="8" w:name="_Toc12563"/>
      <w:bookmarkStart w:id="9" w:name="_Toc22835_WPSOffice_Level2"/>
      <w:bookmarkStart w:id="10" w:name="_Toc6943"/>
      <w:bookmarkStart w:id="11" w:name="_Toc577"/>
      <w:bookmarkStart w:id="12" w:name="_Toc12197_WPSOffice_Level2"/>
      <w:bookmarkStart w:id="13" w:name="_Toc4687_WPSOffice_Level2"/>
      <w:bookmarkStart w:id="14" w:name="_Toc477422629"/>
      <w:bookmarkStart w:id="15" w:name="_Toc30551"/>
      <w:r>
        <w:rPr>
          <w:rFonts w:hint="eastAsia" w:ascii="宋体" w:hAnsi="宋体" w:eastAsia="宋体" w:cs="宋体"/>
          <w:b/>
          <w:bCs/>
          <w:color w:val="auto"/>
          <w:sz w:val="24"/>
          <w:szCs w:val="24"/>
        </w:rPr>
        <w:t>2.评审标准</w:t>
      </w:r>
      <w:bookmarkEnd w:id="3"/>
      <w:bookmarkEnd w:id="4"/>
      <w:bookmarkEnd w:id="5"/>
      <w:bookmarkEnd w:id="6"/>
      <w:bookmarkEnd w:id="7"/>
      <w:bookmarkEnd w:id="8"/>
      <w:bookmarkEnd w:id="9"/>
      <w:bookmarkEnd w:id="10"/>
      <w:bookmarkEnd w:id="11"/>
      <w:bookmarkEnd w:id="12"/>
      <w:bookmarkEnd w:id="13"/>
      <w:bookmarkEnd w:id="14"/>
      <w:bookmarkEnd w:id="15"/>
    </w:p>
    <w:p>
      <w:pPr>
        <w:widowControl/>
        <w:spacing w:before="0" w:after="0" w:line="600" w:lineRule="exact"/>
        <w:outlineLvl w:val="9"/>
        <w:rPr>
          <w:rFonts w:hint="eastAsia" w:ascii="宋体" w:hAnsi="宋体" w:eastAsia="宋体" w:cs="宋体"/>
          <w:color w:val="auto"/>
          <w:sz w:val="24"/>
          <w:szCs w:val="24"/>
        </w:rPr>
      </w:pPr>
      <w:bookmarkStart w:id="16" w:name="_Toc3924"/>
      <w:bookmarkStart w:id="17" w:name="_Toc840"/>
      <w:r>
        <w:rPr>
          <w:rFonts w:hint="eastAsia" w:ascii="宋体" w:hAnsi="宋体" w:eastAsia="宋体" w:cs="宋体"/>
          <w:color w:val="auto"/>
          <w:sz w:val="24"/>
          <w:szCs w:val="24"/>
        </w:rPr>
        <w:t xml:space="preserve">    </w:t>
      </w:r>
      <w:bookmarkStart w:id="18" w:name="_Toc477422630"/>
      <w:bookmarkStart w:id="19" w:name="_Toc25207"/>
      <w:bookmarkStart w:id="20" w:name="_Toc477422817"/>
      <w:bookmarkStart w:id="21" w:name="_Toc5146"/>
      <w:bookmarkStart w:id="22" w:name="_Toc24404"/>
      <w:r>
        <w:rPr>
          <w:rFonts w:hint="eastAsia" w:ascii="宋体" w:hAnsi="宋体" w:eastAsia="宋体" w:cs="宋体"/>
          <w:color w:val="auto"/>
          <w:sz w:val="24"/>
          <w:szCs w:val="24"/>
        </w:rPr>
        <w:t>1）初步评审标准</w:t>
      </w:r>
      <w:bookmarkEnd w:id="16"/>
      <w:bookmarkEnd w:id="17"/>
      <w:bookmarkEnd w:id="18"/>
      <w:bookmarkEnd w:id="19"/>
      <w:bookmarkEnd w:id="20"/>
      <w:bookmarkEnd w:id="21"/>
      <w:bookmarkEnd w:id="22"/>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（1)形式评审标准：见评标办法前附表；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（2)资格评审标准：见评标办法前附表；</w:t>
      </w:r>
    </w:p>
    <w:p>
      <w:pPr>
        <w:spacing w:line="600" w:lineRule="exact"/>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（3)响应性评审标准：见评标办法前附表。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r>
        <w:rPr>
          <w:rFonts w:hint="eastAsia" w:ascii="宋体" w:hAnsi="宋体" w:eastAsia="宋体" w:cs="宋体"/>
          <w:color w:val="auto"/>
          <w:sz w:val="24"/>
          <w:szCs w:val="24"/>
        </w:rPr>
        <w:t>符合下列条件的投标文件，其投标将被否决，不再进入详细的评审阶段；</w:t>
      </w:r>
    </w:p>
    <w:p>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●投标文件未按规定编写，未按要求加盖单位电子签章或法定代表人或被授权委托人签字或盖章的；</w:t>
      </w:r>
    </w:p>
    <w:p>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●投标文件无报价，报价出现负数或投标报价高于招标控制价的；</w:t>
      </w:r>
    </w:p>
    <w:p>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●投标文件无</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或大于招标文件规定的</w:t>
      </w:r>
      <w:r>
        <w:rPr>
          <w:rFonts w:hint="eastAsia" w:ascii="宋体" w:hAnsi="宋体" w:eastAsia="宋体" w:cs="宋体"/>
          <w:color w:val="auto"/>
          <w:sz w:val="24"/>
          <w:szCs w:val="24"/>
          <w:lang w:eastAsia="zh-CN"/>
        </w:rPr>
        <w:t>合同履约期限</w:t>
      </w:r>
      <w:r>
        <w:rPr>
          <w:rFonts w:hint="eastAsia" w:ascii="宋体" w:hAnsi="宋体" w:eastAsia="宋体" w:cs="宋体"/>
          <w:color w:val="auto"/>
          <w:sz w:val="24"/>
          <w:szCs w:val="24"/>
        </w:rPr>
        <w:t>；</w:t>
      </w:r>
    </w:p>
    <w:p>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●投标文件附有采购人不能接受的条件的；</w:t>
      </w:r>
    </w:p>
    <w:p>
      <w:pPr>
        <w:spacing w:line="600" w:lineRule="exact"/>
        <w:ind w:left="178" w:leftChars="85"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●有关法律、法规规章规定的其他情况。</w:t>
      </w:r>
    </w:p>
    <w:p>
      <w:pPr>
        <w:widowControl/>
        <w:spacing w:before="0" w:after="0" w:line="600" w:lineRule="exact"/>
        <w:outlineLvl w:val="9"/>
        <w:rPr>
          <w:rFonts w:hint="eastAsia" w:ascii="宋体" w:hAnsi="宋体" w:eastAsia="宋体" w:cs="宋体"/>
          <w:color w:val="auto"/>
          <w:sz w:val="24"/>
          <w:szCs w:val="24"/>
        </w:rPr>
      </w:pPr>
      <w:bookmarkStart w:id="23" w:name="_Toc25490"/>
      <w:bookmarkStart w:id="24" w:name="_Toc27677"/>
      <w:r>
        <w:rPr>
          <w:rFonts w:hint="eastAsia" w:ascii="宋体" w:hAnsi="宋体" w:eastAsia="宋体" w:cs="宋体"/>
          <w:color w:val="auto"/>
          <w:sz w:val="24"/>
          <w:szCs w:val="24"/>
        </w:rPr>
        <w:t xml:space="preserve">    </w:t>
      </w:r>
      <w:bookmarkStart w:id="25" w:name="_Toc477422818"/>
      <w:bookmarkStart w:id="26" w:name="_Toc26256"/>
      <w:bookmarkStart w:id="27" w:name="_Toc564"/>
      <w:bookmarkStart w:id="28" w:name="_Toc477422631"/>
      <w:bookmarkStart w:id="29" w:name="_Toc11835"/>
      <w:r>
        <w:rPr>
          <w:rFonts w:hint="eastAsia" w:ascii="宋体" w:hAnsi="宋体" w:eastAsia="宋体" w:cs="宋体"/>
          <w:color w:val="auto"/>
          <w:sz w:val="24"/>
          <w:szCs w:val="24"/>
        </w:rPr>
        <w:t>2）分值构成与评分标准</w:t>
      </w:r>
      <w:bookmarkEnd w:id="23"/>
      <w:bookmarkEnd w:id="24"/>
      <w:bookmarkEnd w:id="25"/>
      <w:bookmarkEnd w:id="26"/>
      <w:bookmarkEnd w:id="27"/>
      <w:bookmarkEnd w:id="28"/>
      <w:bookmarkEnd w:id="29"/>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（1)分值构成</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（2)评标基准价计算</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a评标基准价计算方法：见评标办法前附表；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b投标报价评审方法：见评标办法前附表。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（3)评分标准</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a投标报价评分标准：见评标办法前附表；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b商务标评分标准：见评标办法前附表；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 c技术标评分标准：见评标办法前附表。</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（4）最终得分的确定</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a投标人最终得分=投标报价部分得分+商务标部分得分+技术标部分得分；</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b评标委员会完成对投标报价、商务标和技术标的汇总后，取平均值作为该投标人的最终得分；</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c最终得分计算分值保留两位小数。</w:t>
      </w:r>
    </w:p>
    <w:p>
      <w:pPr>
        <w:widowControl/>
        <w:spacing w:before="0" w:after="0" w:line="600" w:lineRule="exact"/>
        <w:outlineLvl w:val="9"/>
        <w:rPr>
          <w:rFonts w:hint="eastAsia" w:ascii="宋体" w:hAnsi="宋体" w:eastAsia="宋体" w:cs="宋体"/>
          <w:color w:val="auto"/>
          <w:sz w:val="24"/>
          <w:szCs w:val="24"/>
        </w:rPr>
      </w:pPr>
      <w:bookmarkStart w:id="30" w:name="_Toc477422819"/>
      <w:bookmarkStart w:id="31" w:name="_Toc24226_WPSOffice_Level2"/>
      <w:bookmarkStart w:id="32" w:name="_Toc477422632"/>
      <w:bookmarkStart w:id="33" w:name="_Toc20979_WPSOffice_Level2"/>
      <w:bookmarkStart w:id="34" w:name="_Toc22286_WPSOffice_Level2"/>
      <w:bookmarkStart w:id="35" w:name="_Toc21125"/>
      <w:bookmarkStart w:id="36" w:name="_Toc24745"/>
      <w:bookmarkStart w:id="37" w:name="_Toc22390"/>
      <w:bookmarkStart w:id="38" w:name="_Toc30927_WPSOffice_Level2"/>
      <w:bookmarkStart w:id="39" w:name="_Toc15252"/>
      <w:bookmarkStart w:id="40" w:name="_Toc29002"/>
      <w:bookmarkStart w:id="41" w:name="_Toc7042_WPSOffice_Level2"/>
      <w:bookmarkStart w:id="42" w:name="_Toc13498_WPSOffice_Level2"/>
      <w:r>
        <w:rPr>
          <w:rFonts w:hint="eastAsia" w:ascii="宋体" w:hAnsi="宋体" w:eastAsia="宋体" w:cs="宋体"/>
          <w:color w:val="auto"/>
          <w:sz w:val="24"/>
          <w:szCs w:val="24"/>
        </w:rPr>
        <w:t>3投标文件的澄清和补正</w:t>
      </w:r>
      <w:bookmarkEnd w:id="30"/>
      <w:bookmarkEnd w:id="31"/>
      <w:bookmarkEnd w:id="32"/>
      <w:bookmarkEnd w:id="33"/>
      <w:bookmarkEnd w:id="34"/>
      <w:bookmarkEnd w:id="35"/>
      <w:bookmarkEnd w:id="36"/>
      <w:bookmarkEnd w:id="37"/>
      <w:bookmarkEnd w:id="38"/>
      <w:bookmarkEnd w:id="39"/>
      <w:bookmarkEnd w:id="40"/>
      <w:bookmarkEnd w:id="41"/>
      <w:bookmarkEnd w:id="42"/>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 在评标过程中，评标委员会可以书面形式要求投标人对所提交投标文件中不明确的内容进行书面澄清或说明，或者对细微偏差进行补正。评标委员会不接受投标人主动提出的澄清、说明或补正；</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2）澄清、说明和补正不得改变投标文件的实质性内容（算术性错误修正的除外）。投标人的书面澄清、说明和补正属于投标文件的组成部分；</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 xml:space="preserve">3）评标委员会对投标人提交的澄清、说明或补正有疑问的，可以要求投标人进一步澄清、说明或补正，直至满足评标委员会的要求。 </w:t>
      </w:r>
    </w:p>
    <w:p>
      <w:pPr>
        <w:spacing w:line="600" w:lineRule="exact"/>
        <w:outlineLvl w:val="9"/>
        <w:rPr>
          <w:rFonts w:hint="eastAsia" w:ascii="宋体" w:hAnsi="宋体" w:eastAsia="宋体" w:cs="宋体"/>
          <w:b/>
          <w:bCs/>
          <w:color w:val="auto"/>
          <w:sz w:val="24"/>
          <w:szCs w:val="24"/>
          <w:lang w:bidi="ar"/>
        </w:rPr>
      </w:pPr>
      <w:bookmarkStart w:id="43" w:name="_Toc24590"/>
      <w:r>
        <w:rPr>
          <w:rFonts w:hint="eastAsia" w:ascii="宋体" w:hAnsi="宋体" w:eastAsia="宋体" w:cs="宋体"/>
          <w:b/>
          <w:bCs/>
          <w:color w:val="auto"/>
          <w:sz w:val="24"/>
          <w:szCs w:val="24"/>
          <w:lang w:bidi="ar"/>
        </w:rPr>
        <w:t>七、授予合同</w:t>
      </w:r>
      <w:bookmarkEnd w:id="43"/>
    </w:p>
    <w:p>
      <w:pPr>
        <w:spacing w:line="600" w:lineRule="exact"/>
        <w:ind w:firstLine="567"/>
        <w:outlineLvl w:val="9"/>
        <w:rPr>
          <w:rFonts w:hint="eastAsia" w:ascii="宋体" w:hAnsi="宋体" w:eastAsia="宋体" w:cs="宋体"/>
          <w:b/>
          <w:color w:val="auto"/>
          <w:sz w:val="24"/>
          <w:szCs w:val="24"/>
        </w:rPr>
      </w:pPr>
      <w:bookmarkStart w:id="44" w:name="_Toc30490"/>
      <w:r>
        <w:rPr>
          <w:rFonts w:hint="eastAsia" w:ascii="宋体" w:hAnsi="宋体" w:eastAsia="宋体" w:cs="宋体"/>
          <w:b/>
          <w:color w:val="auto"/>
          <w:sz w:val="24"/>
          <w:szCs w:val="24"/>
        </w:rPr>
        <w:t>7.1 定标</w:t>
      </w:r>
      <w:bookmarkEnd w:id="44"/>
    </w:p>
    <w:p>
      <w:pPr>
        <w:spacing w:line="600" w:lineRule="exact"/>
        <w:ind w:firstLine="633" w:firstLineChars="264"/>
        <w:outlineLvl w:val="9"/>
        <w:rPr>
          <w:rFonts w:hint="eastAsia" w:ascii="宋体" w:hAnsi="宋体" w:eastAsia="宋体" w:cs="宋体"/>
          <w:color w:val="auto"/>
          <w:sz w:val="24"/>
          <w:szCs w:val="24"/>
        </w:rPr>
      </w:pPr>
      <w:bookmarkStart w:id="45" w:name="_Toc413069769"/>
      <w:r>
        <w:rPr>
          <w:rFonts w:hint="eastAsia" w:ascii="宋体" w:hAnsi="宋体" w:eastAsia="宋体" w:cs="宋体"/>
          <w:color w:val="auto"/>
          <w:sz w:val="24"/>
          <w:szCs w:val="24"/>
        </w:rPr>
        <w:t>7.1.1评委委员会通过对各投标文件进行详细评审并完成评标后，向采购人提交书面评标报告。评标报告中按照投标文件最终得分由高到低进行排序，并向采购人推荐1-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名作为中标候选人。</w:t>
      </w:r>
    </w:p>
    <w:p>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7.1.2、采购人对评标委员会推荐的中标候选人进行选择，原则上第一名中标，如第一名提出不能履行合同或者放弃中标资格，向下顺延确定一名中标人。</w:t>
      </w:r>
    </w:p>
    <w:p>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7.1.3、当送达的投标文件不足3份或评标结果全为无效标时；及经过评审，若所有的供应商均未能通过符合性审查，招标方可在取得评标监督人同意后宣布招标失败，并通知各供应商。采购人根据相关规定重新组织招标。</w:t>
      </w:r>
    </w:p>
    <w:p>
      <w:pPr>
        <w:spacing w:line="6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bidi="ar"/>
        </w:rPr>
        <w:t>7.2其他</w:t>
      </w:r>
    </w:p>
    <w:p>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7.2.1、除投标报价外的其他项内容的评审首先由评标委员会的各成员自主打分，汇总时在自主打分的记分结果中，进行算术平均，以算术平均值作为该项的最终加、减分值。</w:t>
      </w:r>
    </w:p>
    <w:p>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7.2.2、计分按四舍五入取至小数点后二位。</w:t>
      </w:r>
    </w:p>
    <w:p>
      <w:pPr>
        <w:spacing w:line="600" w:lineRule="exact"/>
        <w:ind w:firstLine="576" w:firstLineChars="24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7.2.3、在评标过程中，如发现本办法中条款与投标须知中相关条款不一致，以本办法中的相关条款为准。</w:t>
      </w:r>
    </w:p>
    <w:p>
      <w:pPr>
        <w:spacing w:line="600" w:lineRule="exact"/>
        <w:ind w:firstLine="633" w:firstLineChars="264"/>
        <w:outlineLvl w:val="9"/>
        <w:rPr>
          <w:rFonts w:hint="eastAsia" w:ascii="宋体" w:hAnsi="宋体" w:eastAsia="宋体" w:cs="宋体"/>
          <w:color w:val="auto"/>
          <w:sz w:val="24"/>
          <w:szCs w:val="24"/>
        </w:rPr>
      </w:pPr>
      <w:r>
        <w:rPr>
          <w:rFonts w:hint="eastAsia" w:ascii="宋体" w:hAnsi="宋体" w:eastAsia="宋体" w:cs="宋体"/>
          <w:color w:val="auto"/>
          <w:sz w:val="24"/>
          <w:szCs w:val="24"/>
        </w:rPr>
        <w:t>7.2.4、供应商必须对所提供资料的真实性负责，被推荐为中标候选人后，经采购人证实为提供虚假证明材料骗取中标的，除取消其中标资格外，还应赔偿采购人及代理机构的相关损失。</w:t>
      </w:r>
    </w:p>
    <w:p>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rPr>
        <w:t>7.2.5、本办法仅适用于</w:t>
      </w:r>
      <w:r>
        <w:rPr>
          <w:rFonts w:hint="eastAsia" w:ascii="宋体" w:hAnsi="宋体" w:eastAsia="宋体" w:cs="宋体"/>
          <w:color w:val="auto"/>
          <w:sz w:val="24"/>
          <w:szCs w:val="24"/>
          <w:lang w:eastAsia="zh-CN"/>
        </w:rPr>
        <w:t>唐河县2023年度产油大县奖励资金扶持(种植类)项目</w:t>
      </w:r>
      <w:r>
        <w:rPr>
          <w:rFonts w:hint="eastAsia" w:ascii="宋体" w:hAnsi="宋体" w:eastAsia="宋体" w:cs="宋体"/>
          <w:color w:val="auto"/>
          <w:sz w:val="24"/>
          <w:szCs w:val="24"/>
        </w:rPr>
        <w:t>招标的评标工作。</w:t>
      </w:r>
    </w:p>
    <w:p>
      <w:pPr>
        <w:spacing w:line="600" w:lineRule="exact"/>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7.2.6本招标文件未尽事宜按现行招标投标的有关法律法规和规定执行。如投标单位在本次投标活动中有违反相关法律法</w:t>
      </w:r>
      <w:bookmarkStart w:id="118" w:name="_GoBack"/>
      <w:bookmarkEnd w:id="118"/>
      <w:r>
        <w:rPr>
          <w:rFonts w:hint="eastAsia" w:ascii="宋体" w:hAnsi="宋体" w:eastAsia="宋体" w:cs="宋体"/>
          <w:color w:val="auto"/>
          <w:sz w:val="24"/>
          <w:szCs w:val="24"/>
          <w:lang w:bidi="ar"/>
        </w:rPr>
        <w:t>规的将根据相关法律法规和规定对其进行处罚。</w:t>
      </w:r>
    </w:p>
    <w:p>
      <w:pPr>
        <w:spacing w:line="600" w:lineRule="exact"/>
        <w:ind w:firstLine="567"/>
        <w:outlineLvl w:val="9"/>
        <w:rPr>
          <w:rFonts w:hint="eastAsia" w:ascii="宋体" w:hAnsi="宋体" w:eastAsia="宋体" w:cs="宋体"/>
          <w:b/>
          <w:color w:val="auto"/>
          <w:sz w:val="24"/>
          <w:szCs w:val="24"/>
        </w:rPr>
      </w:pPr>
      <w:bookmarkStart w:id="46" w:name="_Toc29503"/>
      <w:bookmarkStart w:id="47" w:name="_Toc17752"/>
      <w:r>
        <w:rPr>
          <w:rFonts w:hint="eastAsia" w:ascii="宋体" w:hAnsi="宋体" w:eastAsia="宋体" w:cs="宋体"/>
          <w:b/>
          <w:color w:val="auto"/>
          <w:sz w:val="24"/>
          <w:szCs w:val="24"/>
        </w:rPr>
        <w:t>7.3、中标通知</w:t>
      </w:r>
      <w:bookmarkEnd w:id="45"/>
      <w:bookmarkEnd w:id="46"/>
      <w:bookmarkEnd w:id="47"/>
    </w:p>
    <w:p>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7.3.1、中标供应商确定后，由招标方向其签发中标通知书。</w:t>
      </w:r>
    </w:p>
    <w:p>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7.3.2、中标通知书将作为签订合同的重要依据，对采购人与中标供应商具有法律效力。</w:t>
      </w:r>
    </w:p>
    <w:p>
      <w:pPr>
        <w:spacing w:line="600" w:lineRule="exact"/>
        <w:ind w:firstLine="567"/>
        <w:outlineLvl w:val="9"/>
        <w:rPr>
          <w:rFonts w:hint="eastAsia" w:ascii="宋体" w:hAnsi="宋体" w:eastAsia="宋体" w:cs="宋体"/>
          <w:b/>
          <w:color w:val="auto"/>
          <w:sz w:val="24"/>
          <w:szCs w:val="24"/>
        </w:rPr>
      </w:pPr>
      <w:bookmarkStart w:id="48" w:name="_Toc22244"/>
      <w:bookmarkStart w:id="49" w:name="_Toc11501"/>
      <w:bookmarkStart w:id="50" w:name="_Toc413069771"/>
      <w:r>
        <w:rPr>
          <w:rFonts w:hint="eastAsia" w:ascii="宋体" w:hAnsi="宋体" w:eastAsia="宋体" w:cs="宋体"/>
          <w:b/>
          <w:color w:val="auto"/>
          <w:sz w:val="24"/>
          <w:szCs w:val="24"/>
        </w:rPr>
        <w:t>7.4、签订合同</w:t>
      </w:r>
      <w:bookmarkEnd w:id="48"/>
      <w:bookmarkEnd w:id="49"/>
      <w:bookmarkEnd w:id="50"/>
    </w:p>
    <w:p>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7.4.1、中标人必须在接到中标通知书时向招标代理公司交纳招标代理服务费，接到中标通知书后应在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日内与采购人签订合同。</w:t>
      </w:r>
    </w:p>
    <w:p>
      <w:pPr>
        <w:spacing w:line="600" w:lineRule="exact"/>
        <w:ind w:firstLine="567"/>
        <w:outlineLvl w:val="9"/>
        <w:rPr>
          <w:rFonts w:hint="eastAsia" w:ascii="宋体" w:hAnsi="宋体" w:eastAsia="宋体" w:cs="宋体"/>
          <w:color w:val="auto"/>
          <w:sz w:val="24"/>
          <w:szCs w:val="24"/>
        </w:rPr>
      </w:pPr>
      <w:r>
        <w:rPr>
          <w:rFonts w:hint="eastAsia" w:ascii="宋体" w:hAnsi="宋体" w:eastAsia="宋体" w:cs="宋体"/>
          <w:color w:val="auto"/>
          <w:sz w:val="24"/>
          <w:szCs w:val="24"/>
        </w:rPr>
        <w:t>7.4.2、招标文件、投标文件、供应商在开标过程中的补充确认材料以及中标通知书，均作为合同签订的依据。</w:t>
      </w:r>
    </w:p>
    <w:p>
      <w:pPr>
        <w:spacing w:line="6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7.4.3、如果中标人不按其投标文件承诺和招标文件要求签订合同，招标方将取消其中标资格另定中标供应商。</w:t>
      </w:r>
    </w:p>
    <w:p>
      <w:pPr>
        <w:pStyle w:val="41"/>
        <w:spacing w:line="600" w:lineRule="exact"/>
        <w:ind w:firstLine="482" w:firstLineChars="200"/>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7.4.4、采购人应在中标通知书发出之日起</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个工作日内与中标供应商尽快签订合同，在合同签订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个工作日内通过公共资源交易中心系统内合同备案进行上传后公告，在合同签订</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个工作日内报财政部门备案，同时采购人要按照合同约定及时向成交供应商支付合同资金，加快合同资金支付进度。对于无故未在规定时间内签订合同、未及时进行合同公告及备案的行为，要依法处理并进行通报</w:t>
      </w:r>
      <w:r>
        <w:rPr>
          <w:rFonts w:hint="eastAsia" w:ascii="宋体" w:hAnsi="宋体" w:eastAsia="宋体" w:cs="宋体"/>
          <w:b/>
          <w:bCs/>
          <w:color w:val="auto"/>
          <w:sz w:val="24"/>
          <w:szCs w:val="24"/>
          <w:lang w:eastAsia="zh-CN"/>
        </w:rPr>
        <w:t>。</w:t>
      </w:r>
    </w:p>
    <w:p>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pPr>
        <w:jc w:val="center"/>
        <w:outlineLvl w:val="9"/>
        <w:rPr>
          <w:color w:val="000000"/>
        </w:rPr>
      </w:pPr>
      <w:r>
        <w:rPr>
          <w:rFonts w:hint="eastAsia" w:eastAsia="宋体"/>
          <w:b/>
          <w:bCs/>
          <w:color w:val="000000"/>
          <w:sz w:val="28"/>
          <w:szCs w:val="28"/>
          <w:lang w:val="en-US" w:eastAsia="zh-CN"/>
        </w:rPr>
        <w:t>八、</w:t>
      </w:r>
      <w:r>
        <w:rPr>
          <w:rFonts w:hint="eastAsia"/>
          <w:b/>
          <w:bCs/>
          <w:color w:val="000000"/>
          <w:sz w:val="28"/>
          <w:szCs w:val="28"/>
        </w:rPr>
        <w:t>唐河县政府采购合同融资告知函</w:t>
      </w:r>
    </w:p>
    <w:p>
      <w:pPr>
        <w:ind w:firstLine="420" w:firstLineChars="200"/>
        <w:outlineLvl w:val="9"/>
        <w:rPr>
          <w:color w:val="000000"/>
          <w:sz w:val="21"/>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欢迎贵公司参与河南省政府采购活动！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贷款渠道和提供贷款的金融机构，可在河南省政府采购网“河南省政府采购合同融资平台”查询联系。</w:t>
      </w:r>
    </w:p>
    <w:p>
      <w:pPr>
        <w:jc w:val="center"/>
        <w:rPr>
          <w:rFonts w:hint="default" w:ascii="宋体" w:hAnsi="宋体" w:eastAsia="宋体" w:cs="宋体"/>
          <w:sz w:val="28"/>
          <w:szCs w:val="28"/>
          <w:lang w:val="en-US" w:eastAsia="zh-CN"/>
        </w:rPr>
      </w:pPr>
      <w:r>
        <w:rPr>
          <w:rFonts w:ascii="宋体" w:hAnsi="宋体" w:eastAsia="宋体" w:cs="宋体"/>
          <w:sz w:val="28"/>
          <w:szCs w:val="28"/>
        </w:rPr>
        <w:br w:type="page"/>
      </w:r>
      <w:r>
        <w:rPr>
          <w:rFonts w:hint="eastAsia"/>
          <w:b/>
          <w:bCs/>
          <w:color w:val="000000"/>
          <w:sz w:val="28"/>
          <w:szCs w:val="28"/>
          <w:lang w:val="en-US" w:eastAsia="zh-CN"/>
        </w:rPr>
        <w:t>九、告知函</w:t>
      </w:r>
    </w:p>
    <w:p>
      <w:pPr>
        <w:pStyle w:val="11"/>
        <w:rPr>
          <w:rFonts w:hint="eastAsia" w:eastAsia="宋体"/>
          <w:lang w:eastAsia="zh-CN"/>
        </w:rPr>
      </w:pPr>
      <w:r>
        <w:rPr>
          <w:rFonts w:hint="eastAsia" w:eastAsia="宋体"/>
          <w:lang w:eastAsia="zh-CN"/>
        </w:rPr>
        <w:drawing>
          <wp:inline distT="0" distB="0" distL="114300" distR="114300">
            <wp:extent cx="5400675" cy="7661910"/>
            <wp:effectExtent l="0" t="0" r="9525" b="15240"/>
            <wp:docPr id="3" name="图片 3" descr="告知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告知函"/>
                    <pic:cNvPicPr>
                      <a:picLocks noChangeAspect="1"/>
                    </pic:cNvPicPr>
                  </pic:nvPicPr>
                  <pic:blipFill>
                    <a:blip r:embed="rId13"/>
                    <a:stretch>
                      <a:fillRect/>
                    </a:stretch>
                  </pic:blipFill>
                  <pic:spPr>
                    <a:xfrm>
                      <a:off x="0" y="0"/>
                      <a:ext cx="5400675" cy="7661910"/>
                    </a:xfrm>
                    <a:prstGeom prst="rect">
                      <a:avLst/>
                    </a:prstGeom>
                  </pic:spPr>
                </pic:pic>
              </a:graphicData>
            </a:graphic>
          </wp:inline>
        </w:drawing>
      </w:r>
    </w:p>
    <w:p>
      <w:r>
        <w:br w:type="page"/>
      </w:r>
    </w:p>
    <w:p>
      <w:pPr>
        <w:keepNext w:val="0"/>
        <w:keepLines w:val="0"/>
        <w:pageBreakBefore w:val="0"/>
        <w:wordWrap/>
        <w:overflowPunct/>
        <w:topLinePunct w:val="0"/>
        <w:autoSpaceDE w:val="0"/>
        <w:autoSpaceDN w:val="0"/>
        <w:bidi w:val="0"/>
        <w:spacing w:before="101" w:line="360" w:lineRule="auto"/>
        <w:ind w:left="3469"/>
        <w:outlineLvl w:val="0"/>
        <w:rPr>
          <w:rFonts w:ascii="宋体" w:hAnsi="宋体" w:eastAsia="宋体" w:cs="宋体"/>
          <w:b/>
          <w:bCs/>
          <w:sz w:val="31"/>
          <w:szCs w:val="31"/>
        </w:rPr>
      </w:pPr>
      <w:bookmarkStart w:id="51" w:name="_Toc21724"/>
      <w:r>
        <w:rPr>
          <w:rFonts w:ascii="宋体" w:hAnsi="宋体" w:eastAsia="宋体" w:cs="宋体"/>
          <w:b/>
          <w:bCs/>
          <w:spacing w:val="15"/>
          <w:sz w:val="31"/>
          <w:szCs w:val="31"/>
        </w:rPr>
        <w:t>第</w:t>
      </w:r>
      <w:r>
        <w:rPr>
          <w:rFonts w:hint="eastAsia" w:ascii="宋体" w:hAnsi="宋体" w:eastAsia="宋体" w:cs="宋体"/>
          <w:b/>
          <w:bCs/>
          <w:spacing w:val="8"/>
          <w:sz w:val="31"/>
          <w:szCs w:val="31"/>
        </w:rPr>
        <w:t>五</w:t>
      </w:r>
      <w:r>
        <w:rPr>
          <w:rFonts w:ascii="宋体" w:hAnsi="宋体" w:eastAsia="宋体" w:cs="宋体"/>
          <w:b/>
          <w:bCs/>
          <w:spacing w:val="8"/>
          <w:sz w:val="31"/>
          <w:szCs w:val="31"/>
        </w:rPr>
        <w:t>部分</w:t>
      </w:r>
      <w:r>
        <w:rPr>
          <w:rFonts w:hint="eastAsia" w:ascii="宋体" w:hAnsi="宋体" w:eastAsia="宋体" w:cs="宋体"/>
          <w:b/>
          <w:bCs/>
          <w:spacing w:val="8"/>
          <w:sz w:val="31"/>
          <w:szCs w:val="31"/>
          <w:lang w:val="en-US" w:eastAsia="zh-CN"/>
        </w:rPr>
        <w:t xml:space="preserve"> </w:t>
      </w:r>
      <w:r>
        <w:rPr>
          <w:rFonts w:ascii="宋体" w:hAnsi="宋体" w:eastAsia="宋体" w:cs="宋体"/>
          <w:b/>
          <w:bCs/>
          <w:spacing w:val="8"/>
          <w:sz w:val="31"/>
          <w:szCs w:val="31"/>
        </w:rPr>
        <w:t>合同格式</w:t>
      </w:r>
      <w:bookmarkEnd w:id="51"/>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center"/>
        <w:textAlignment w:val="auto"/>
        <w:rPr>
          <w:rFonts w:hint="eastAsia"/>
          <w:b/>
          <w:sz w:val="32"/>
          <w:szCs w:val="32"/>
        </w:rPr>
      </w:pPr>
      <w:r>
        <w:rPr>
          <w:rFonts w:hint="eastAsia"/>
          <w:b/>
          <w:sz w:val="32"/>
          <w:szCs w:val="32"/>
        </w:rPr>
        <w:t>（仅供参考 以签订正式合同时为准）</w:t>
      </w:r>
    </w:p>
    <w:p>
      <w:pPr>
        <w:widowControl w:val="0"/>
        <w:kinsoku/>
        <w:adjustRightInd/>
        <w:snapToGrid/>
        <w:spacing w:line="360" w:lineRule="auto"/>
        <w:ind w:firstLine="480" w:firstLineChars="200"/>
        <w:jc w:val="both"/>
        <w:textAlignment w:val="auto"/>
        <w:rPr>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widowControl w:val="0"/>
        <w:kinsoku/>
        <w:adjustRightInd/>
        <w:snapToGrid/>
        <w:spacing w:line="360" w:lineRule="auto"/>
        <w:ind w:firstLine="480" w:firstLineChars="200"/>
        <w:jc w:val="both"/>
        <w:textAlignment w:val="auto"/>
        <w:rPr>
          <w:sz w:val="24"/>
        </w:rPr>
      </w:pPr>
      <w:bookmarkStart w:id="52" w:name="_Toc22466_WPSOffice_Level2"/>
      <w:r>
        <w:rPr>
          <w:rFonts w:hint="eastAsia"/>
          <w:sz w:val="24"/>
        </w:rPr>
        <w:t>合同文件</w:t>
      </w:r>
      <w:bookmarkEnd w:id="52"/>
    </w:p>
    <w:p>
      <w:pPr>
        <w:widowControl w:val="0"/>
        <w:kinsoku/>
        <w:adjustRightInd/>
        <w:snapToGrid/>
        <w:spacing w:line="360" w:lineRule="auto"/>
        <w:ind w:firstLine="480" w:firstLineChars="200"/>
        <w:jc w:val="both"/>
        <w:textAlignment w:val="auto"/>
        <w:rPr>
          <w:sz w:val="24"/>
        </w:rPr>
      </w:pPr>
      <w:bookmarkStart w:id="53" w:name="_Toc20611"/>
      <w:bookmarkStart w:id="54" w:name="_Toc25689"/>
      <w:r>
        <w:rPr>
          <w:rFonts w:hint="eastAsia"/>
          <w:sz w:val="24"/>
        </w:rPr>
        <w:t>本合同所附下列文件是构成本合同不可分割的部分：</w:t>
      </w:r>
      <w:bookmarkEnd w:id="53"/>
      <w:bookmarkEnd w:id="54"/>
    </w:p>
    <w:p>
      <w:pPr>
        <w:widowControl w:val="0"/>
        <w:kinsoku/>
        <w:adjustRightInd/>
        <w:snapToGrid/>
        <w:spacing w:line="360" w:lineRule="auto"/>
        <w:ind w:firstLine="480" w:firstLineChars="200"/>
        <w:jc w:val="both"/>
        <w:textAlignment w:val="auto"/>
        <w:rPr>
          <w:sz w:val="24"/>
        </w:rPr>
      </w:pPr>
      <w:bookmarkStart w:id="55" w:name="_Toc25255"/>
      <w:bookmarkStart w:id="56" w:name="_Toc12304"/>
      <w:r>
        <w:rPr>
          <w:rFonts w:hint="eastAsia"/>
          <w:sz w:val="24"/>
        </w:rPr>
        <w:t>（一）本项目招标文件</w:t>
      </w:r>
      <w:bookmarkEnd w:id="55"/>
      <w:bookmarkEnd w:id="56"/>
    </w:p>
    <w:p>
      <w:pPr>
        <w:widowControl w:val="0"/>
        <w:kinsoku/>
        <w:adjustRightInd/>
        <w:snapToGrid/>
        <w:spacing w:line="360" w:lineRule="auto"/>
        <w:ind w:firstLine="480" w:firstLineChars="200"/>
        <w:jc w:val="both"/>
        <w:textAlignment w:val="auto"/>
        <w:rPr>
          <w:sz w:val="24"/>
        </w:rPr>
      </w:pPr>
      <w:bookmarkStart w:id="57" w:name="_Toc3310"/>
      <w:bookmarkStart w:id="58" w:name="_Toc8524"/>
      <w:r>
        <w:rPr>
          <w:rFonts w:hint="eastAsia"/>
          <w:sz w:val="24"/>
        </w:rPr>
        <w:t>（二）供应商的投标文件</w:t>
      </w:r>
      <w:bookmarkEnd w:id="57"/>
      <w:bookmarkEnd w:id="58"/>
    </w:p>
    <w:p>
      <w:pPr>
        <w:widowControl w:val="0"/>
        <w:kinsoku/>
        <w:adjustRightInd/>
        <w:snapToGrid/>
        <w:spacing w:line="360" w:lineRule="auto"/>
        <w:ind w:firstLine="480" w:firstLineChars="200"/>
        <w:jc w:val="both"/>
        <w:textAlignment w:val="auto"/>
        <w:rPr>
          <w:sz w:val="24"/>
        </w:rPr>
      </w:pPr>
      <w:bookmarkStart w:id="59" w:name="_Toc11043"/>
      <w:bookmarkStart w:id="60" w:name="_Toc13552"/>
      <w:r>
        <w:rPr>
          <w:rFonts w:hint="eastAsia"/>
          <w:sz w:val="24"/>
        </w:rPr>
        <w:t>（三）合同格式、合同条款</w:t>
      </w:r>
      <w:bookmarkEnd w:id="59"/>
      <w:bookmarkEnd w:id="60"/>
    </w:p>
    <w:p>
      <w:pPr>
        <w:widowControl w:val="0"/>
        <w:kinsoku/>
        <w:adjustRightInd/>
        <w:snapToGrid/>
        <w:spacing w:line="360" w:lineRule="auto"/>
        <w:ind w:firstLine="480" w:firstLineChars="200"/>
        <w:jc w:val="both"/>
        <w:textAlignment w:val="auto"/>
        <w:rPr>
          <w:sz w:val="24"/>
        </w:rPr>
      </w:pPr>
      <w:bookmarkStart w:id="61" w:name="_Toc17684"/>
      <w:bookmarkStart w:id="62" w:name="_Toc3434"/>
      <w:r>
        <w:rPr>
          <w:rFonts w:hint="eastAsia"/>
          <w:sz w:val="24"/>
        </w:rPr>
        <w:t>（四）中标人在评标过程中做出的有关澄清、说明或者补正文件</w:t>
      </w:r>
      <w:bookmarkEnd w:id="61"/>
      <w:bookmarkEnd w:id="62"/>
    </w:p>
    <w:p>
      <w:pPr>
        <w:widowControl w:val="0"/>
        <w:kinsoku/>
        <w:adjustRightInd/>
        <w:snapToGrid/>
        <w:spacing w:line="360" w:lineRule="auto"/>
        <w:ind w:firstLine="480" w:firstLineChars="200"/>
        <w:jc w:val="both"/>
        <w:textAlignment w:val="auto"/>
        <w:rPr>
          <w:sz w:val="24"/>
        </w:rPr>
      </w:pPr>
      <w:bookmarkStart w:id="63" w:name="_Toc17949"/>
      <w:bookmarkStart w:id="64" w:name="_Toc24029"/>
      <w:r>
        <w:rPr>
          <w:rFonts w:hint="eastAsia"/>
          <w:sz w:val="24"/>
        </w:rPr>
        <w:t>（五）</w:t>
      </w:r>
      <w:r>
        <w:rPr>
          <w:rFonts w:hint="eastAsia" w:ascii="宋体" w:hAnsi="宋体" w:eastAsia="宋体" w:cs="宋体"/>
          <w:sz w:val="24"/>
          <w:szCs w:val="24"/>
        </w:rPr>
        <w:t>中标</w:t>
      </w:r>
      <w:r>
        <w:rPr>
          <w:rFonts w:hint="eastAsia"/>
          <w:sz w:val="24"/>
        </w:rPr>
        <w:t>通知书</w:t>
      </w:r>
      <w:bookmarkEnd w:id="63"/>
      <w:bookmarkEnd w:id="64"/>
    </w:p>
    <w:p>
      <w:pPr>
        <w:widowControl w:val="0"/>
        <w:kinsoku/>
        <w:adjustRightInd/>
        <w:snapToGrid/>
        <w:spacing w:line="360" w:lineRule="auto"/>
        <w:ind w:firstLine="480" w:firstLineChars="200"/>
        <w:jc w:val="both"/>
        <w:textAlignment w:val="auto"/>
        <w:rPr>
          <w:sz w:val="24"/>
        </w:rPr>
      </w:pPr>
      <w:bookmarkStart w:id="65" w:name="_Toc25248"/>
      <w:bookmarkStart w:id="66" w:name="_Toc4313"/>
      <w:r>
        <w:rPr>
          <w:rFonts w:hint="eastAsia"/>
          <w:sz w:val="24"/>
        </w:rPr>
        <w:t>（六）本合同附件</w:t>
      </w:r>
      <w:bookmarkEnd w:id="65"/>
      <w:bookmarkEnd w:id="66"/>
    </w:p>
    <w:p>
      <w:pPr>
        <w:widowControl w:val="0"/>
        <w:kinsoku/>
        <w:adjustRightInd/>
        <w:snapToGrid/>
        <w:spacing w:line="360" w:lineRule="auto"/>
        <w:ind w:firstLine="480" w:firstLineChars="200"/>
        <w:jc w:val="both"/>
        <w:textAlignment w:val="auto"/>
        <w:rPr>
          <w:sz w:val="24"/>
        </w:rPr>
      </w:pPr>
      <w:bookmarkStart w:id="67" w:name="_Toc24717"/>
      <w:bookmarkStart w:id="68" w:name="_Toc7727"/>
      <w:bookmarkStart w:id="69" w:name="_Toc13630_WPSOffice_Level2"/>
      <w:r>
        <w:rPr>
          <w:rFonts w:hint="eastAsia"/>
          <w:sz w:val="24"/>
        </w:rPr>
        <w:t>二、合同的范围和条件</w:t>
      </w:r>
      <w:bookmarkEnd w:id="67"/>
      <w:bookmarkEnd w:id="68"/>
      <w:bookmarkEnd w:id="69"/>
    </w:p>
    <w:p>
      <w:pPr>
        <w:widowControl w:val="0"/>
        <w:kinsoku/>
        <w:adjustRightInd/>
        <w:snapToGrid/>
        <w:spacing w:line="360" w:lineRule="auto"/>
        <w:ind w:firstLine="480" w:firstLineChars="200"/>
        <w:jc w:val="both"/>
        <w:textAlignment w:val="auto"/>
        <w:rPr>
          <w:sz w:val="24"/>
        </w:rPr>
      </w:pPr>
      <w:r>
        <w:rPr>
          <w:rFonts w:hint="eastAsia"/>
          <w:sz w:val="24"/>
        </w:rPr>
        <w:t>本合同的范围和条件应与上述合同文件的规定相一致。</w:t>
      </w:r>
    </w:p>
    <w:p>
      <w:pPr>
        <w:widowControl w:val="0"/>
        <w:kinsoku/>
        <w:adjustRightInd/>
        <w:snapToGrid/>
        <w:spacing w:line="360" w:lineRule="auto"/>
        <w:ind w:firstLine="480" w:firstLineChars="200"/>
        <w:jc w:val="both"/>
        <w:textAlignment w:val="auto"/>
        <w:rPr>
          <w:sz w:val="24"/>
        </w:rPr>
      </w:pPr>
      <w:bookmarkStart w:id="70" w:name="_Toc18794"/>
      <w:bookmarkStart w:id="71" w:name="_Toc15521_WPSOffice_Level2"/>
      <w:bookmarkStart w:id="72" w:name="_Toc21864"/>
      <w:r>
        <w:rPr>
          <w:rFonts w:hint="eastAsia"/>
          <w:sz w:val="24"/>
        </w:rPr>
        <w:t>三、合同金额</w:t>
      </w:r>
      <w:bookmarkEnd w:id="70"/>
      <w:bookmarkEnd w:id="71"/>
      <w:bookmarkEnd w:id="72"/>
    </w:p>
    <w:p>
      <w:pPr>
        <w:widowControl w:val="0"/>
        <w:kinsoku/>
        <w:adjustRightInd/>
        <w:snapToGrid/>
        <w:spacing w:line="360" w:lineRule="auto"/>
        <w:ind w:firstLine="480" w:firstLineChars="200"/>
        <w:jc w:val="both"/>
        <w:textAlignment w:val="auto"/>
        <w:rPr>
          <w:sz w:val="24"/>
        </w:rPr>
      </w:pPr>
      <w:bookmarkStart w:id="73" w:name="_Toc12265"/>
      <w:bookmarkStart w:id="74" w:name="_Toc15284"/>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73"/>
      <w:bookmarkEnd w:id="74"/>
    </w:p>
    <w:p>
      <w:pPr>
        <w:widowControl w:val="0"/>
        <w:kinsoku/>
        <w:adjustRightInd/>
        <w:snapToGrid/>
        <w:spacing w:line="360" w:lineRule="auto"/>
        <w:ind w:firstLine="480" w:firstLineChars="200"/>
        <w:jc w:val="both"/>
        <w:textAlignment w:val="auto"/>
        <w:rPr>
          <w:sz w:val="24"/>
        </w:rPr>
      </w:pPr>
      <w:bookmarkStart w:id="75" w:name="_Toc26017_WPSOffice_Level2"/>
      <w:r>
        <w:rPr>
          <w:rFonts w:hint="eastAsia"/>
          <w:sz w:val="24"/>
        </w:rPr>
        <w:t>质量要求：</w:t>
      </w:r>
      <w:bookmarkEnd w:id="75"/>
    </w:p>
    <w:p>
      <w:pPr>
        <w:widowControl w:val="0"/>
        <w:kinsoku/>
        <w:adjustRightInd/>
        <w:snapToGrid/>
        <w:spacing w:line="360" w:lineRule="auto"/>
        <w:ind w:firstLine="480" w:firstLineChars="200"/>
        <w:jc w:val="both"/>
        <w:textAlignment w:val="auto"/>
        <w:rPr>
          <w:sz w:val="24"/>
        </w:rPr>
      </w:pPr>
      <w:bookmarkStart w:id="76" w:name="_Toc4377_WPSOffice_Level2"/>
      <w:r>
        <w:rPr>
          <w:rFonts w:hint="eastAsia"/>
          <w:sz w:val="24"/>
        </w:rPr>
        <w:t>付款方式</w:t>
      </w:r>
      <w:bookmarkEnd w:id="76"/>
    </w:p>
    <w:p>
      <w:pPr>
        <w:widowControl w:val="0"/>
        <w:kinsoku/>
        <w:adjustRightInd/>
        <w:snapToGrid/>
        <w:spacing w:line="360" w:lineRule="auto"/>
        <w:ind w:firstLine="480" w:firstLineChars="200"/>
        <w:jc w:val="both"/>
        <w:textAlignment w:val="auto"/>
        <w:rPr>
          <w:sz w:val="24"/>
        </w:rPr>
      </w:pPr>
      <w:r>
        <w:rPr>
          <w:rFonts w:hint="eastAsia"/>
          <w:sz w:val="24"/>
        </w:rPr>
        <w:t>付款方式：</w:t>
      </w:r>
    </w:p>
    <w:p>
      <w:pPr>
        <w:widowControl w:val="0"/>
        <w:kinsoku/>
        <w:adjustRightInd/>
        <w:snapToGrid/>
        <w:spacing w:line="360" w:lineRule="auto"/>
        <w:ind w:firstLine="480" w:firstLineChars="200"/>
        <w:jc w:val="both"/>
        <w:textAlignment w:val="auto"/>
        <w:rPr>
          <w:sz w:val="24"/>
        </w:rPr>
      </w:pPr>
      <w:bookmarkStart w:id="77" w:name="_Toc12155_WPSOffice_Level2"/>
      <w:r>
        <w:rPr>
          <w:rFonts w:hint="eastAsia"/>
          <w:sz w:val="24"/>
        </w:rPr>
        <w:t>服务日期、地点</w:t>
      </w:r>
      <w:bookmarkEnd w:id="77"/>
    </w:p>
    <w:p>
      <w:pPr>
        <w:widowControl w:val="0"/>
        <w:kinsoku/>
        <w:adjustRightInd/>
        <w:snapToGrid/>
        <w:spacing w:line="360" w:lineRule="auto"/>
        <w:ind w:firstLine="480" w:firstLineChars="200"/>
        <w:jc w:val="both"/>
        <w:textAlignment w:val="auto"/>
        <w:rPr>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widowControl w:val="0"/>
        <w:kinsoku/>
        <w:adjustRightInd/>
        <w:snapToGrid/>
        <w:spacing w:line="360" w:lineRule="auto"/>
        <w:ind w:firstLine="480" w:firstLineChars="200"/>
        <w:jc w:val="both"/>
        <w:textAlignment w:val="auto"/>
        <w:rPr>
          <w:sz w:val="24"/>
        </w:rPr>
      </w:pPr>
      <w:r>
        <w:rPr>
          <w:rFonts w:hint="eastAsia"/>
          <w:sz w:val="24"/>
        </w:rPr>
        <w:t>地点：甲方指定地点。</w:t>
      </w:r>
    </w:p>
    <w:p>
      <w:pPr>
        <w:widowControl w:val="0"/>
        <w:kinsoku/>
        <w:adjustRightInd/>
        <w:snapToGrid/>
        <w:spacing w:line="360" w:lineRule="auto"/>
        <w:ind w:firstLine="480" w:firstLineChars="200"/>
        <w:jc w:val="both"/>
        <w:textAlignment w:val="auto"/>
        <w:rPr>
          <w:sz w:val="24"/>
        </w:rPr>
      </w:pPr>
      <w:bookmarkStart w:id="78" w:name="_Toc30055_WPSOffice_Level2"/>
      <w:r>
        <w:rPr>
          <w:rFonts w:hint="eastAsia"/>
          <w:sz w:val="24"/>
        </w:rPr>
        <w:t>合同保存</w:t>
      </w:r>
      <w:bookmarkEnd w:id="78"/>
    </w:p>
    <w:p>
      <w:pPr>
        <w:widowControl w:val="0"/>
        <w:kinsoku/>
        <w:adjustRightInd/>
        <w:snapToGrid/>
        <w:spacing w:line="360" w:lineRule="auto"/>
        <w:ind w:firstLine="480" w:firstLineChars="200"/>
        <w:jc w:val="both"/>
        <w:textAlignment w:val="auto"/>
        <w:rPr>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widowControl w:val="0"/>
        <w:kinsoku/>
        <w:adjustRightInd/>
        <w:snapToGrid/>
        <w:spacing w:line="360" w:lineRule="auto"/>
        <w:ind w:firstLine="480" w:firstLineChars="200"/>
        <w:jc w:val="both"/>
        <w:textAlignment w:val="auto"/>
        <w:rPr>
          <w:sz w:val="24"/>
        </w:rPr>
      </w:pPr>
      <w:bookmarkStart w:id="79" w:name="_Toc30238_WPSOffice_Level2"/>
      <w:r>
        <w:rPr>
          <w:rFonts w:hint="eastAsia"/>
          <w:sz w:val="24"/>
        </w:rPr>
        <w:t>违约条款</w:t>
      </w:r>
      <w:bookmarkEnd w:id="79"/>
    </w:p>
    <w:p>
      <w:pPr>
        <w:widowControl w:val="0"/>
        <w:kinsoku/>
        <w:adjustRightInd/>
        <w:snapToGrid/>
        <w:spacing w:line="360" w:lineRule="auto"/>
        <w:ind w:firstLine="480" w:firstLineChars="200"/>
        <w:jc w:val="both"/>
        <w:textAlignment w:val="auto"/>
        <w:rPr>
          <w:sz w:val="24"/>
        </w:rPr>
      </w:pPr>
      <w:r>
        <w:rPr>
          <w:rFonts w:hint="eastAsia"/>
          <w:sz w:val="24"/>
        </w:rPr>
        <w:t>（1）合同一方违约，违约方向对方支付违约金，违约金额为中标金额的 10%。乙方违约， 直接从进度款或履约保金中扣除；甲方违约，从合同款项中扣除。</w:t>
      </w:r>
    </w:p>
    <w:p>
      <w:pPr>
        <w:widowControl w:val="0"/>
        <w:kinsoku/>
        <w:adjustRightInd/>
        <w:snapToGrid/>
        <w:spacing w:line="360" w:lineRule="auto"/>
        <w:ind w:firstLine="480" w:firstLineChars="200"/>
        <w:jc w:val="both"/>
        <w:textAlignment w:val="auto"/>
        <w:rPr>
          <w:sz w:val="24"/>
        </w:rPr>
      </w:pPr>
      <w:bookmarkStart w:id="80" w:name="_Toc8155"/>
      <w:bookmarkStart w:id="81" w:name="_Toc1630"/>
      <w:r>
        <w:rPr>
          <w:rFonts w:hint="eastAsia"/>
          <w:sz w:val="24"/>
        </w:rPr>
        <w:t>（2）乙方给用户造成的实际损失高于违约金的，乙方应给用户对高出违约金的部分予以赔偿。</w:t>
      </w:r>
      <w:bookmarkEnd w:id="80"/>
      <w:bookmarkEnd w:id="81"/>
    </w:p>
    <w:p>
      <w:pPr>
        <w:widowControl w:val="0"/>
        <w:kinsoku/>
        <w:adjustRightInd/>
        <w:snapToGrid/>
        <w:spacing w:line="360" w:lineRule="auto"/>
        <w:ind w:firstLine="480" w:firstLineChars="200"/>
        <w:jc w:val="both"/>
        <w:textAlignment w:val="auto"/>
        <w:rPr>
          <w:sz w:val="24"/>
        </w:rPr>
      </w:pPr>
      <w:bookmarkStart w:id="82" w:name="_Toc23941"/>
      <w:bookmarkStart w:id="83" w:name="_Toc15751"/>
      <w:r>
        <w:rPr>
          <w:rFonts w:hint="eastAsia"/>
          <w:sz w:val="24"/>
        </w:rPr>
        <w:t>（3）乙方迟延履行合同、不完全履行合同或提供的服务不符合招标文件的要求，除支付违约金外，仍应实际履行合同或重新提供符合要求的服务。</w:t>
      </w:r>
      <w:bookmarkEnd w:id="82"/>
      <w:bookmarkEnd w:id="83"/>
    </w:p>
    <w:p>
      <w:pPr>
        <w:widowControl w:val="0"/>
        <w:kinsoku/>
        <w:adjustRightInd/>
        <w:snapToGrid/>
        <w:spacing w:line="360" w:lineRule="auto"/>
        <w:ind w:firstLine="480" w:firstLineChars="200"/>
        <w:jc w:val="both"/>
        <w:textAlignment w:val="auto"/>
        <w:rPr>
          <w:sz w:val="24"/>
        </w:rPr>
      </w:pPr>
      <w:bookmarkStart w:id="84" w:name="_Toc21648"/>
      <w:bookmarkStart w:id="85" w:name="_Toc25387"/>
      <w:r>
        <w:rPr>
          <w:rFonts w:hint="eastAsia"/>
          <w:sz w:val="24"/>
        </w:rPr>
        <w:t>（4）由于乙方原因造成的延期，每延期一天，需支付甲方损失为合同总价款的 1‰。</w:t>
      </w:r>
      <w:bookmarkEnd w:id="84"/>
      <w:bookmarkEnd w:id="85"/>
    </w:p>
    <w:p>
      <w:pPr>
        <w:widowControl w:val="0"/>
        <w:kinsoku/>
        <w:adjustRightInd/>
        <w:snapToGrid/>
        <w:spacing w:line="360" w:lineRule="auto"/>
        <w:ind w:firstLine="480" w:firstLineChars="200"/>
        <w:jc w:val="both"/>
        <w:textAlignment w:val="auto"/>
        <w:rPr>
          <w:sz w:val="24"/>
        </w:rPr>
      </w:pPr>
      <w:bookmarkStart w:id="86" w:name="_Toc5115"/>
      <w:bookmarkStart w:id="87" w:name="_Toc8408"/>
      <w:r>
        <w:rPr>
          <w:rFonts w:hint="eastAsia"/>
          <w:sz w:val="24"/>
        </w:rPr>
        <w:t>（5）甲方和乙方若需签订补充协议，补充协议与该合同具有同等法律效力。</w:t>
      </w:r>
      <w:bookmarkEnd w:id="86"/>
      <w:bookmarkEnd w:id="87"/>
    </w:p>
    <w:p>
      <w:pPr>
        <w:widowControl w:val="0"/>
        <w:kinsoku/>
        <w:adjustRightInd/>
        <w:snapToGrid/>
        <w:spacing w:line="360" w:lineRule="auto"/>
        <w:ind w:firstLine="480" w:firstLineChars="200"/>
        <w:jc w:val="both"/>
        <w:textAlignment w:val="auto"/>
        <w:rPr>
          <w:sz w:val="24"/>
        </w:rPr>
      </w:pPr>
      <w:bookmarkStart w:id="88" w:name="_Toc2579"/>
      <w:bookmarkStart w:id="89" w:name="_Toc27685"/>
      <w:r>
        <w:rPr>
          <w:rFonts w:hint="eastAsia"/>
          <w:sz w:val="24"/>
        </w:rPr>
        <w:t>（6）其它未尽事宜，以《中华人民共和国</w:t>
      </w:r>
      <w:r>
        <w:rPr>
          <w:rFonts w:hint="eastAsia" w:eastAsia="宋体"/>
          <w:sz w:val="24"/>
          <w:lang w:val="en-US" w:eastAsia="zh-CN"/>
        </w:rPr>
        <w:t>民法典</w:t>
      </w:r>
      <w:r>
        <w:rPr>
          <w:rFonts w:hint="eastAsia"/>
          <w:sz w:val="24"/>
        </w:rPr>
        <w:t>》规定为准。 九、合同生效及其它</w:t>
      </w:r>
      <w:bookmarkEnd w:id="88"/>
      <w:bookmarkEnd w:id="89"/>
    </w:p>
    <w:p>
      <w:pPr>
        <w:widowControl w:val="0"/>
        <w:kinsoku/>
        <w:adjustRightInd/>
        <w:snapToGrid/>
        <w:spacing w:line="360" w:lineRule="auto"/>
        <w:ind w:firstLine="480" w:firstLineChars="200"/>
        <w:jc w:val="both"/>
        <w:textAlignment w:val="auto"/>
        <w:rPr>
          <w:sz w:val="24"/>
        </w:rPr>
      </w:pPr>
      <w:bookmarkStart w:id="90" w:name="_Toc27824"/>
      <w:bookmarkStart w:id="91" w:name="_Toc126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90"/>
      <w:bookmarkEnd w:id="91"/>
    </w:p>
    <w:p>
      <w:pPr>
        <w:widowControl w:val="0"/>
        <w:kinsoku/>
        <w:adjustRightInd/>
        <w:snapToGrid/>
        <w:spacing w:line="360" w:lineRule="auto"/>
        <w:ind w:firstLine="480" w:firstLineChars="200"/>
        <w:jc w:val="both"/>
        <w:textAlignment w:val="auto"/>
        <w:rPr>
          <w:sz w:val="24"/>
        </w:rPr>
      </w:pPr>
      <w:bookmarkStart w:id="92" w:name="_Toc20058"/>
      <w:bookmarkStart w:id="93"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92"/>
      <w:bookmarkEnd w:id="93"/>
    </w:p>
    <w:p>
      <w:pPr>
        <w:spacing w:line="360" w:lineRule="auto"/>
        <w:jc w:val="both"/>
        <w:outlineLvl w:val="9"/>
        <w:rPr>
          <w:sz w:val="24"/>
        </w:rPr>
      </w:pPr>
    </w:p>
    <w:p>
      <w:pPr>
        <w:widowControl w:val="0"/>
        <w:kinsoku/>
        <w:adjustRightInd/>
        <w:snapToGrid/>
        <w:spacing w:line="360" w:lineRule="auto"/>
        <w:jc w:val="both"/>
        <w:textAlignment w:val="auto"/>
        <w:rPr>
          <w:sz w:val="24"/>
        </w:rPr>
      </w:pPr>
      <w:bookmarkStart w:id="94" w:name="_Toc7032_WPSOffice_Level1"/>
      <w:bookmarkStart w:id="95" w:name="_Toc26378"/>
      <w:bookmarkStart w:id="96" w:name="_Toc13056_WPSOffice_Level2"/>
      <w:bookmarkStart w:id="97" w:name="_Toc16421_WPSOffice_Level2"/>
      <w:bookmarkStart w:id="98" w:name="_Toc29610_WPSOffice_Level2"/>
      <w:bookmarkStart w:id="99" w:name="_Toc10619_WPSOffice_Level2"/>
      <w:bookmarkStart w:id="100" w:name="_Toc4045"/>
      <w:bookmarkStart w:id="101" w:name="_Toc3081_WPSOffice_Level2"/>
      <w:bookmarkStart w:id="102" w:name="_Toc20805_WPSOffice_Level2"/>
      <w:r>
        <w:rPr>
          <w:rFonts w:hint="eastAsia"/>
          <w:sz w:val="24"/>
        </w:rPr>
        <w:t>甲</w:t>
      </w:r>
      <w:r>
        <w:rPr>
          <w:rFonts w:hint="eastAsia"/>
          <w:sz w:val="24"/>
        </w:rPr>
        <w:tab/>
      </w:r>
      <w:r>
        <w:rPr>
          <w:rFonts w:hint="eastAsia"/>
          <w:sz w:val="24"/>
        </w:rPr>
        <w:t>方（公章）：</w:t>
      </w:r>
      <w:r>
        <w:rPr>
          <w:rFonts w:hint="eastAsia"/>
          <w:sz w:val="24"/>
        </w:rPr>
        <w:tab/>
      </w:r>
      <w:r>
        <w:rPr>
          <w:rFonts w:hint="eastAsia" w:eastAsia="宋体"/>
          <w:sz w:val="24"/>
          <w:lang w:val="en-US" w:eastAsia="zh-CN"/>
        </w:rPr>
        <w:t xml:space="preserve">                                   </w:t>
      </w:r>
      <w:r>
        <w:rPr>
          <w:rFonts w:hint="eastAsia"/>
          <w:sz w:val="24"/>
        </w:rPr>
        <w:t>乙</w:t>
      </w:r>
      <w:r>
        <w:rPr>
          <w:rFonts w:hint="eastAsia"/>
          <w:sz w:val="24"/>
        </w:rPr>
        <w:tab/>
      </w:r>
      <w:r>
        <w:rPr>
          <w:rFonts w:hint="eastAsia"/>
          <w:sz w:val="24"/>
        </w:rPr>
        <w:t>方（公章）：</w:t>
      </w:r>
      <w:bookmarkEnd w:id="94"/>
      <w:bookmarkEnd w:id="95"/>
      <w:bookmarkEnd w:id="96"/>
      <w:bookmarkEnd w:id="97"/>
      <w:bookmarkEnd w:id="98"/>
      <w:bookmarkEnd w:id="99"/>
      <w:bookmarkEnd w:id="100"/>
      <w:bookmarkEnd w:id="101"/>
      <w:bookmarkEnd w:id="102"/>
    </w:p>
    <w:p>
      <w:pPr>
        <w:widowControl w:val="0"/>
        <w:kinsoku/>
        <w:adjustRightInd/>
        <w:snapToGrid/>
        <w:spacing w:line="360" w:lineRule="auto"/>
        <w:jc w:val="both"/>
        <w:textAlignment w:val="auto"/>
        <w:rPr>
          <w:sz w:val="24"/>
        </w:rPr>
      </w:pPr>
      <w:bookmarkStart w:id="103" w:name="_Toc11748"/>
      <w:bookmarkStart w:id="104" w:name="_Toc20300"/>
      <w:r>
        <w:rPr>
          <w:rFonts w:hint="eastAsia"/>
          <w:sz w:val="24"/>
        </w:rPr>
        <w:t>法定代表人或授权代理人：（签字）</w:t>
      </w:r>
      <w:r>
        <w:rPr>
          <w:rFonts w:hint="eastAsia"/>
          <w:sz w:val="24"/>
        </w:rPr>
        <w:tab/>
      </w:r>
      <w:r>
        <w:rPr>
          <w:rFonts w:hint="eastAsia" w:eastAsia="宋体"/>
          <w:sz w:val="24"/>
          <w:lang w:val="en-US" w:eastAsia="zh-CN"/>
        </w:rPr>
        <w:t xml:space="preserve">    </w:t>
      </w:r>
      <w:r>
        <w:rPr>
          <w:rFonts w:hint="eastAsia"/>
          <w:sz w:val="24"/>
        </w:rPr>
        <w:t>法定代表人或授权代理人：（签字）</w:t>
      </w:r>
      <w:bookmarkEnd w:id="103"/>
      <w:bookmarkEnd w:id="104"/>
    </w:p>
    <w:p>
      <w:pPr>
        <w:widowControl w:val="0"/>
        <w:kinsoku/>
        <w:adjustRightInd/>
        <w:snapToGrid/>
        <w:spacing w:line="360" w:lineRule="auto"/>
        <w:jc w:val="both"/>
        <w:textAlignment w:val="auto"/>
        <w:rPr>
          <w:sz w:val="24"/>
        </w:rPr>
      </w:pPr>
      <w:bookmarkStart w:id="105" w:name="_Toc2236"/>
      <w:bookmarkStart w:id="106" w:name="_Toc11893"/>
      <w:r>
        <w:rPr>
          <w:rFonts w:hint="eastAsia"/>
          <w:sz w:val="24"/>
        </w:rPr>
        <w:t>开户单位：</w:t>
      </w:r>
      <w:r>
        <w:rPr>
          <w:rFonts w:hint="eastAsia" w:eastAsia="宋体"/>
          <w:sz w:val="24"/>
          <w:lang w:val="en-US" w:eastAsia="zh-CN"/>
        </w:rPr>
        <w:t xml:space="preserve">                                                 </w:t>
      </w:r>
      <w:r>
        <w:rPr>
          <w:rFonts w:hint="eastAsia"/>
          <w:sz w:val="24"/>
        </w:rPr>
        <w:t>开户单位：</w:t>
      </w:r>
      <w:bookmarkEnd w:id="105"/>
      <w:bookmarkEnd w:id="106"/>
    </w:p>
    <w:p>
      <w:pPr>
        <w:widowControl w:val="0"/>
        <w:kinsoku/>
        <w:adjustRightInd/>
        <w:snapToGrid/>
        <w:spacing w:line="360" w:lineRule="auto"/>
        <w:jc w:val="both"/>
        <w:textAlignment w:val="auto"/>
        <w:rPr>
          <w:sz w:val="24"/>
        </w:rPr>
      </w:pPr>
      <w:bookmarkStart w:id="107" w:name="_Toc25263"/>
      <w:bookmarkStart w:id="108" w:name="_Toc31863"/>
      <w:r>
        <w:rPr>
          <w:rFonts w:hint="eastAsia"/>
          <w:sz w:val="24"/>
        </w:rPr>
        <w:t>开户银行：</w:t>
      </w:r>
      <w:r>
        <w:rPr>
          <w:rFonts w:hint="eastAsia" w:eastAsia="宋体"/>
          <w:sz w:val="24"/>
          <w:lang w:val="en-US" w:eastAsia="zh-CN"/>
        </w:rPr>
        <w:t xml:space="preserve">                                                 </w:t>
      </w:r>
      <w:r>
        <w:rPr>
          <w:rFonts w:hint="eastAsia"/>
          <w:sz w:val="24"/>
        </w:rPr>
        <w:t>开户银行：</w:t>
      </w:r>
      <w:bookmarkEnd w:id="107"/>
      <w:bookmarkEnd w:id="108"/>
    </w:p>
    <w:p>
      <w:pPr>
        <w:widowControl w:val="0"/>
        <w:kinsoku/>
        <w:adjustRightInd/>
        <w:snapToGrid/>
        <w:spacing w:line="360" w:lineRule="auto"/>
        <w:jc w:val="both"/>
        <w:textAlignment w:val="auto"/>
        <w:rPr>
          <w:sz w:val="24"/>
        </w:rPr>
      </w:pPr>
      <w:bookmarkStart w:id="109" w:name="_Toc17067"/>
      <w:bookmarkStart w:id="110" w:name="_Toc27472"/>
      <w:r>
        <w:rPr>
          <w:rFonts w:hint="eastAsia"/>
          <w:sz w:val="24"/>
        </w:rPr>
        <w:t>帐</w:t>
      </w:r>
      <w:r>
        <w:rPr>
          <w:rFonts w:hint="eastAsia"/>
          <w:sz w:val="24"/>
        </w:rPr>
        <w:tab/>
      </w:r>
      <w:r>
        <w:rPr>
          <w:rFonts w:hint="eastAsia"/>
          <w:sz w:val="24"/>
        </w:rPr>
        <w:t>号：</w:t>
      </w:r>
      <w:r>
        <w:rPr>
          <w:rFonts w:hint="eastAsia"/>
          <w:sz w:val="24"/>
        </w:rPr>
        <w:tab/>
      </w:r>
      <w:r>
        <w:rPr>
          <w:rFonts w:hint="eastAsia" w:eastAsia="宋体"/>
          <w:sz w:val="24"/>
          <w:lang w:val="en-US" w:eastAsia="zh-CN"/>
        </w:rPr>
        <w:t xml:space="preserve">                                                </w:t>
      </w:r>
      <w:r>
        <w:rPr>
          <w:rFonts w:hint="eastAsia"/>
          <w:sz w:val="24"/>
        </w:rPr>
        <w:t>帐</w:t>
      </w:r>
      <w:r>
        <w:rPr>
          <w:rFonts w:hint="eastAsia"/>
          <w:sz w:val="24"/>
        </w:rPr>
        <w:tab/>
      </w:r>
      <w:r>
        <w:rPr>
          <w:rFonts w:hint="eastAsia"/>
          <w:sz w:val="24"/>
        </w:rPr>
        <w:t>号：</w:t>
      </w:r>
      <w:bookmarkEnd w:id="109"/>
      <w:bookmarkEnd w:id="110"/>
    </w:p>
    <w:p>
      <w:pPr>
        <w:widowControl w:val="0"/>
        <w:kinsoku/>
        <w:adjustRightInd/>
        <w:snapToGrid/>
        <w:spacing w:line="360" w:lineRule="auto"/>
        <w:jc w:val="both"/>
        <w:textAlignment w:val="auto"/>
        <w:rPr>
          <w:sz w:val="24"/>
        </w:rPr>
      </w:pPr>
      <w:bookmarkStart w:id="111" w:name="_Toc18260"/>
      <w:bookmarkStart w:id="112" w:name="_Toc19503"/>
      <w:r>
        <w:rPr>
          <w:rFonts w:hint="eastAsia"/>
          <w:sz w:val="24"/>
        </w:rPr>
        <w:t>地</w:t>
      </w:r>
      <w:r>
        <w:rPr>
          <w:rFonts w:hint="eastAsia"/>
          <w:sz w:val="24"/>
        </w:rPr>
        <w:tab/>
      </w:r>
      <w:r>
        <w:rPr>
          <w:rFonts w:hint="eastAsia"/>
          <w:sz w:val="24"/>
        </w:rPr>
        <w:t>址：</w:t>
      </w:r>
      <w:r>
        <w:rPr>
          <w:rFonts w:hint="eastAsia"/>
          <w:sz w:val="24"/>
        </w:rPr>
        <w:tab/>
      </w:r>
      <w:r>
        <w:rPr>
          <w:rFonts w:hint="eastAsia" w:eastAsia="宋体"/>
          <w:sz w:val="24"/>
          <w:lang w:val="en-US" w:eastAsia="zh-CN"/>
        </w:rPr>
        <w:t xml:space="preserve">                                                </w:t>
      </w:r>
      <w:r>
        <w:rPr>
          <w:rFonts w:hint="eastAsia"/>
          <w:sz w:val="24"/>
        </w:rPr>
        <w:t>地</w:t>
      </w:r>
      <w:r>
        <w:rPr>
          <w:rFonts w:hint="eastAsia"/>
          <w:sz w:val="24"/>
        </w:rPr>
        <w:tab/>
      </w:r>
      <w:r>
        <w:rPr>
          <w:rFonts w:hint="eastAsia"/>
          <w:sz w:val="24"/>
        </w:rPr>
        <w:t>址：</w:t>
      </w:r>
      <w:bookmarkEnd w:id="111"/>
      <w:bookmarkEnd w:id="112"/>
    </w:p>
    <w:p>
      <w:pPr>
        <w:widowControl w:val="0"/>
        <w:kinsoku/>
        <w:adjustRightInd/>
        <w:snapToGrid/>
        <w:spacing w:line="360" w:lineRule="auto"/>
        <w:jc w:val="both"/>
        <w:textAlignment w:val="auto"/>
        <w:rPr>
          <w:sz w:val="24"/>
        </w:rPr>
      </w:pPr>
      <w:bookmarkStart w:id="113" w:name="_Toc16058"/>
      <w:bookmarkStart w:id="114" w:name="_Toc15291"/>
      <w:r>
        <w:rPr>
          <w:rFonts w:hint="eastAsia"/>
          <w:sz w:val="24"/>
        </w:rPr>
        <w:t>电</w:t>
      </w:r>
      <w:r>
        <w:rPr>
          <w:rFonts w:hint="eastAsia"/>
          <w:sz w:val="24"/>
        </w:rPr>
        <w:tab/>
      </w:r>
      <w:r>
        <w:rPr>
          <w:rFonts w:hint="eastAsia"/>
          <w:sz w:val="24"/>
        </w:rPr>
        <w:t>话：</w:t>
      </w:r>
      <w:r>
        <w:rPr>
          <w:rFonts w:hint="eastAsia"/>
          <w:sz w:val="24"/>
        </w:rPr>
        <w:tab/>
      </w:r>
      <w:r>
        <w:rPr>
          <w:rFonts w:hint="eastAsia" w:eastAsia="宋体"/>
          <w:sz w:val="24"/>
          <w:lang w:val="en-US" w:eastAsia="zh-CN"/>
        </w:rPr>
        <w:t xml:space="preserve">                                               </w:t>
      </w:r>
      <w:r>
        <w:rPr>
          <w:rFonts w:hint="eastAsia"/>
          <w:sz w:val="24"/>
        </w:rPr>
        <w:t>电</w:t>
      </w:r>
      <w:r>
        <w:rPr>
          <w:rFonts w:hint="eastAsia"/>
          <w:sz w:val="24"/>
        </w:rPr>
        <w:tab/>
      </w:r>
      <w:r>
        <w:rPr>
          <w:rFonts w:hint="eastAsia"/>
          <w:sz w:val="24"/>
        </w:rPr>
        <w:t>话：</w:t>
      </w:r>
      <w:bookmarkEnd w:id="113"/>
      <w:bookmarkEnd w:id="114"/>
    </w:p>
    <w:p>
      <w:pPr>
        <w:widowControl w:val="0"/>
        <w:kinsoku/>
        <w:adjustRightInd/>
        <w:snapToGrid/>
        <w:spacing w:line="360" w:lineRule="auto"/>
        <w:jc w:val="both"/>
        <w:textAlignment w:val="auto"/>
        <w:rPr>
          <w:sz w:val="24"/>
        </w:rPr>
      </w:pPr>
      <w:bookmarkStart w:id="115" w:name="_Toc22352"/>
      <w:bookmarkStart w:id="116" w:name="_Toc32463"/>
      <w:r>
        <w:rPr>
          <w:rFonts w:hint="eastAsia"/>
          <w:sz w:val="24"/>
        </w:rPr>
        <w:t>签订时间：</w:t>
      </w:r>
      <w:r>
        <w:rPr>
          <w:rFonts w:hint="eastAsia" w:eastAsia="宋体"/>
          <w:sz w:val="24"/>
          <w:lang w:val="en-US" w:eastAsia="zh-CN"/>
        </w:rPr>
        <w:t xml:space="preserve">                                                </w:t>
      </w:r>
      <w:r>
        <w:rPr>
          <w:rFonts w:hint="eastAsia"/>
          <w:sz w:val="24"/>
        </w:rPr>
        <w:t>签订时间：</w:t>
      </w:r>
      <w:bookmarkEnd w:id="115"/>
      <w:bookmarkEnd w:id="116"/>
    </w:p>
    <w:p>
      <w:pPr>
        <w:rPr>
          <w:sz w:val="24"/>
        </w:rPr>
      </w:pPr>
      <w:r>
        <w:rPr>
          <w:sz w:val="24"/>
        </w:rPr>
        <w:br w:type="page"/>
      </w:r>
    </w:p>
    <w:p>
      <w:pPr>
        <w:spacing w:before="101" w:line="225" w:lineRule="auto"/>
        <w:jc w:val="center"/>
        <w:outlineLvl w:val="0"/>
        <w:rPr>
          <w:rFonts w:ascii="宋体" w:hAnsi="宋体" w:eastAsia="宋体" w:cs="宋体"/>
          <w:b/>
          <w:bCs/>
          <w:sz w:val="31"/>
          <w:szCs w:val="31"/>
        </w:rPr>
      </w:pPr>
      <w:bookmarkStart w:id="117" w:name="_Toc5387"/>
      <w:r>
        <w:rPr>
          <w:rFonts w:ascii="宋体" w:hAnsi="宋体" w:eastAsia="宋体" w:cs="宋体"/>
          <w:b/>
          <w:bCs/>
          <w:spacing w:val="10"/>
          <w:sz w:val="31"/>
          <w:szCs w:val="31"/>
        </w:rPr>
        <w:t>第</w:t>
      </w:r>
      <w:r>
        <w:rPr>
          <w:rFonts w:hint="eastAsia" w:ascii="宋体" w:hAnsi="宋体" w:eastAsia="宋体" w:cs="宋体"/>
          <w:b/>
          <w:bCs/>
          <w:spacing w:val="9"/>
          <w:sz w:val="31"/>
          <w:szCs w:val="31"/>
        </w:rPr>
        <w:t>六</w:t>
      </w:r>
      <w:r>
        <w:rPr>
          <w:rFonts w:ascii="宋体" w:hAnsi="宋体" w:eastAsia="宋体" w:cs="宋体"/>
          <w:b/>
          <w:bCs/>
          <w:spacing w:val="9"/>
          <w:sz w:val="31"/>
          <w:szCs w:val="31"/>
        </w:rPr>
        <w:t>部分</w:t>
      </w:r>
      <w:r>
        <w:rPr>
          <w:rFonts w:hint="eastAsia" w:ascii="宋体" w:hAnsi="宋体" w:eastAsia="宋体" w:cs="宋体"/>
          <w:b/>
          <w:bCs/>
          <w:spacing w:val="9"/>
          <w:sz w:val="31"/>
          <w:szCs w:val="31"/>
          <w:lang w:val="en-US" w:eastAsia="zh-CN"/>
        </w:rPr>
        <w:t xml:space="preserve"> </w:t>
      </w:r>
      <w:r>
        <w:rPr>
          <w:rFonts w:ascii="宋体" w:hAnsi="宋体" w:eastAsia="宋体" w:cs="宋体"/>
          <w:b/>
          <w:bCs/>
          <w:spacing w:val="9"/>
          <w:sz w:val="31"/>
          <w:szCs w:val="31"/>
        </w:rPr>
        <w:t>投标文件格式</w:t>
      </w:r>
      <w:bookmarkEnd w:id="117"/>
    </w:p>
    <w:p>
      <w:pPr>
        <w:spacing w:line="274" w:lineRule="auto"/>
      </w:pPr>
    </w:p>
    <w:p>
      <w:pPr>
        <w:spacing w:before="78" w:line="220" w:lineRule="auto"/>
        <w:ind w:left="41"/>
        <w:rPr>
          <w:rFonts w:ascii="宋体" w:hAnsi="宋体" w:eastAsia="宋体" w:cs="宋体"/>
          <w:sz w:val="24"/>
          <w:szCs w:val="24"/>
        </w:rPr>
      </w:pPr>
      <w:r>
        <w:rPr>
          <w:rFonts w:ascii="宋体" w:hAnsi="宋体" w:eastAsia="宋体" w:cs="宋体"/>
          <w:spacing w:val="-2"/>
          <w:sz w:val="24"/>
          <w:szCs w:val="24"/>
        </w:rPr>
        <w:t>投标文</w:t>
      </w:r>
      <w:r>
        <w:rPr>
          <w:rFonts w:ascii="宋体" w:hAnsi="宋体" w:eastAsia="宋体" w:cs="宋体"/>
          <w:spacing w:val="-1"/>
          <w:sz w:val="24"/>
          <w:szCs w:val="24"/>
        </w:rPr>
        <w:t>件封面格式</w:t>
      </w:r>
    </w:p>
    <w:p>
      <w:pPr>
        <w:spacing w:line="248" w:lineRule="auto"/>
      </w:pPr>
    </w:p>
    <w:p>
      <w:pPr>
        <w:spacing w:line="248" w:lineRule="auto"/>
      </w:pPr>
    </w:p>
    <w:p>
      <w:pPr>
        <w:spacing w:line="249" w:lineRule="auto"/>
      </w:pPr>
    </w:p>
    <w:p>
      <w:pPr>
        <w:spacing w:line="249" w:lineRule="auto"/>
      </w:pPr>
    </w:p>
    <w:p>
      <w:pPr>
        <w:tabs>
          <w:tab w:val="left" w:pos="6732"/>
        </w:tabs>
        <w:spacing w:before="130" w:line="221" w:lineRule="auto"/>
        <w:ind w:left="2292"/>
        <w:rPr>
          <w:rFonts w:ascii="宋体" w:hAnsi="宋体" w:eastAsia="宋体" w:cs="宋体"/>
          <w:sz w:val="40"/>
          <w:szCs w:val="40"/>
        </w:rPr>
      </w:pPr>
      <w:r>
        <w:rPr>
          <w:rFonts w:ascii="宋体" w:hAnsi="宋体" w:eastAsia="宋体" w:cs="宋体"/>
          <w:sz w:val="40"/>
          <w:szCs w:val="40"/>
          <w:u w:val="single"/>
        </w:rPr>
        <w:tab/>
      </w:r>
      <w:r>
        <w:rPr>
          <w:rFonts w:ascii="宋体" w:hAnsi="宋体" w:eastAsia="宋体" w:cs="宋体"/>
          <w:spacing w:val="-5"/>
          <w:sz w:val="40"/>
          <w:szCs w:val="40"/>
        </w:rPr>
        <w:t>项目</w:t>
      </w:r>
    </w:p>
    <w:p>
      <w:pPr>
        <w:spacing w:line="265" w:lineRule="auto"/>
      </w:pPr>
    </w:p>
    <w:p>
      <w:pPr>
        <w:spacing w:line="265" w:lineRule="auto"/>
      </w:pPr>
    </w:p>
    <w:p>
      <w:pPr>
        <w:spacing w:line="265" w:lineRule="auto"/>
      </w:pPr>
    </w:p>
    <w:p>
      <w:pPr>
        <w:spacing w:line="265" w:lineRule="auto"/>
      </w:pPr>
    </w:p>
    <w:p>
      <w:pPr>
        <w:spacing w:line="265" w:lineRule="auto"/>
      </w:pPr>
    </w:p>
    <w:p>
      <w:pPr>
        <w:spacing w:line="265" w:lineRule="auto"/>
      </w:pPr>
    </w:p>
    <w:p>
      <w:pPr>
        <w:spacing w:line="265" w:lineRule="auto"/>
      </w:pPr>
    </w:p>
    <w:p>
      <w:pPr>
        <w:spacing w:line="265" w:lineRule="auto"/>
      </w:pPr>
    </w:p>
    <w:p>
      <w:pPr>
        <w:spacing w:line="266" w:lineRule="auto"/>
      </w:pPr>
    </w:p>
    <w:p>
      <w:pPr>
        <w:spacing w:before="234" w:line="220" w:lineRule="auto"/>
        <w:ind w:left="3498"/>
        <w:rPr>
          <w:rFonts w:ascii="宋体" w:hAnsi="宋体" w:eastAsia="宋体" w:cs="宋体"/>
          <w:sz w:val="72"/>
          <w:szCs w:val="72"/>
        </w:rPr>
      </w:pPr>
      <w:r>
        <w:rPr>
          <w:rFonts w:ascii="宋体" w:hAnsi="宋体" w:eastAsia="宋体" w:cs="宋体"/>
          <w:spacing w:val="-7"/>
          <w:sz w:val="72"/>
          <w:szCs w:val="72"/>
        </w:rPr>
        <w:t>投标文件</w:t>
      </w:r>
    </w:p>
    <w:p>
      <w:pPr>
        <w:spacing w:before="168" w:line="219" w:lineRule="auto"/>
        <w:ind w:left="4310"/>
        <w:rPr>
          <w:rFonts w:ascii="宋体" w:hAnsi="宋体" w:eastAsia="宋体" w:cs="宋体"/>
          <w:spacing w:val="-10"/>
          <w:sz w:val="24"/>
          <w:szCs w:val="24"/>
        </w:rPr>
      </w:pPr>
    </w:p>
    <w:p>
      <w:pPr>
        <w:spacing w:before="168" w:line="219" w:lineRule="auto"/>
        <w:ind w:firstLine="2970" w:firstLineChars="1350"/>
        <w:rPr>
          <w:rFonts w:ascii="宋体" w:hAnsi="宋体" w:eastAsia="宋体" w:cs="宋体"/>
          <w:sz w:val="24"/>
          <w:szCs w:val="24"/>
        </w:rPr>
      </w:pPr>
      <w:r>
        <w:rPr>
          <w:rFonts w:hint="eastAsia" w:ascii="宋体" w:hAnsi="宋体" w:eastAsia="宋体" w:cs="宋体"/>
          <w:spacing w:val="-10"/>
          <w:sz w:val="24"/>
          <w:szCs w:val="24"/>
        </w:rPr>
        <w:t>项目</w:t>
      </w:r>
      <w:r>
        <w:rPr>
          <w:rFonts w:ascii="宋体" w:hAnsi="宋体" w:eastAsia="宋体" w:cs="宋体"/>
          <w:spacing w:val="-9"/>
          <w:sz w:val="24"/>
          <w:szCs w:val="24"/>
        </w:rPr>
        <w:t>编号：</w:t>
      </w:r>
    </w:p>
    <w:p>
      <w:pPr>
        <w:spacing w:line="249" w:lineRule="auto"/>
      </w:pPr>
    </w:p>
    <w:p>
      <w:pPr>
        <w:spacing w:line="249" w:lineRule="auto"/>
        <w:rPr>
          <w:rFonts w:eastAsiaTheme="minorEastAsia"/>
        </w:rPr>
      </w:pPr>
      <w:r>
        <w:rPr>
          <w:rFonts w:hint="eastAsia" w:eastAsiaTheme="minorEastAsia"/>
        </w:rPr>
        <w:t xml:space="preserve">                                                                      </w:t>
      </w:r>
    </w:p>
    <w:p>
      <w:pPr>
        <w:spacing w:line="249" w:lineRule="auto"/>
      </w:pPr>
    </w:p>
    <w:p>
      <w:pPr>
        <w:spacing w:line="249" w:lineRule="auto"/>
      </w:pPr>
    </w:p>
    <w:p>
      <w:pPr>
        <w:spacing w:line="249" w:lineRule="auto"/>
      </w:pPr>
    </w:p>
    <w:p>
      <w:pPr>
        <w:spacing w:line="249" w:lineRule="auto"/>
      </w:pPr>
    </w:p>
    <w:p>
      <w:pPr>
        <w:spacing w:line="250" w:lineRule="auto"/>
      </w:pPr>
    </w:p>
    <w:p>
      <w:pPr>
        <w:spacing w:line="250" w:lineRule="auto"/>
      </w:pPr>
    </w:p>
    <w:p>
      <w:pPr>
        <w:spacing w:line="250" w:lineRule="auto"/>
      </w:pPr>
    </w:p>
    <w:p>
      <w:pPr>
        <w:spacing w:before="91" w:line="219" w:lineRule="auto"/>
        <w:ind w:left="3236"/>
        <w:rPr>
          <w:rFonts w:ascii="宋体" w:hAnsi="宋体" w:eastAsia="宋体" w:cs="宋体"/>
          <w:sz w:val="28"/>
          <w:szCs w:val="28"/>
        </w:rPr>
      </w:pPr>
      <w:r>
        <w:rPr>
          <w:rFonts w:ascii="宋体" w:hAnsi="宋体" w:eastAsia="宋体" w:cs="宋体"/>
          <w:spacing w:val="17"/>
          <w:sz w:val="28"/>
          <w:szCs w:val="28"/>
        </w:rPr>
        <w:t>投</w:t>
      </w:r>
      <w:r>
        <w:rPr>
          <w:rFonts w:ascii="宋体" w:hAnsi="宋体" w:eastAsia="宋体" w:cs="宋体"/>
          <w:spacing w:val="10"/>
          <w:sz w:val="28"/>
          <w:szCs w:val="28"/>
        </w:rPr>
        <w:t>标人名称：(电子签章)</w:t>
      </w:r>
    </w:p>
    <w:p>
      <w:pPr>
        <w:spacing w:line="373" w:lineRule="auto"/>
      </w:pPr>
    </w:p>
    <w:p>
      <w:pPr>
        <w:spacing w:before="92" w:line="219" w:lineRule="auto"/>
        <w:ind w:left="2002"/>
        <w:rPr>
          <w:rFonts w:ascii="宋体" w:hAnsi="宋体" w:eastAsia="宋体" w:cs="宋体"/>
          <w:sz w:val="28"/>
          <w:szCs w:val="28"/>
        </w:rPr>
      </w:pPr>
      <w:r>
        <w:rPr>
          <w:rFonts w:ascii="宋体" w:hAnsi="宋体" w:eastAsia="宋体" w:cs="宋体"/>
          <w:spacing w:val="12"/>
          <w:sz w:val="28"/>
          <w:szCs w:val="28"/>
        </w:rPr>
        <w:t>法定</w:t>
      </w:r>
      <w:r>
        <w:rPr>
          <w:rFonts w:ascii="宋体" w:hAnsi="宋体" w:eastAsia="宋体" w:cs="宋体"/>
          <w:spacing w:val="8"/>
          <w:sz w:val="28"/>
          <w:szCs w:val="28"/>
        </w:rPr>
        <w:t>代</w:t>
      </w:r>
      <w:r>
        <w:rPr>
          <w:rFonts w:ascii="宋体" w:hAnsi="宋体" w:eastAsia="宋体" w:cs="宋体"/>
          <w:spacing w:val="6"/>
          <w:sz w:val="28"/>
          <w:szCs w:val="28"/>
        </w:rPr>
        <w:t>表人或其委托代理人：(电子签章)</w:t>
      </w:r>
    </w:p>
    <w:p>
      <w:pPr>
        <w:spacing w:line="373" w:lineRule="auto"/>
      </w:pPr>
    </w:p>
    <w:p>
      <w:pPr>
        <w:spacing w:before="91" w:line="220" w:lineRule="auto"/>
        <w:ind w:left="3934"/>
        <w:rPr>
          <w:rFonts w:ascii="宋体" w:hAnsi="宋体" w:eastAsia="宋体" w:cs="宋体"/>
          <w:sz w:val="28"/>
          <w:szCs w:val="28"/>
        </w:rPr>
      </w:pPr>
      <w:r>
        <w:rPr>
          <w:rFonts w:ascii="宋体" w:hAnsi="宋体" w:eastAsia="宋体" w:cs="宋体"/>
          <w:spacing w:val="8"/>
          <w:sz w:val="28"/>
          <w:szCs w:val="28"/>
        </w:rPr>
        <w:t>年</w:t>
      </w:r>
      <w:r>
        <w:rPr>
          <w:rFonts w:ascii="宋体" w:hAnsi="宋体" w:eastAsia="宋体" w:cs="宋体"/>
          <w:spacing w:val="4"/>
          <w:sz w:val="28"/>
          <w:szCs w:val="28"/>
        </w:rPr>
        <w:t xml:space="preserve">   月    日</w:t>
      </w:r>
    </w:p>
    <w:p>
      <w:pPr>
        <w:sectPr>
          <w:headerReference r:id="rId8" w:type="default"/>
          <w:footerReference r:id="rId9" w:type="default"/>
          <w:pgSz w:w="11907" w:h="16839"/>
          <w:pgMar w:top="1476" w:right="1049" w:bottom="1226" w:left="1051" w:header="1155" w:footer="958" w:gutter="0"/>
          <w:pgNumType w:fmt="decimal"/>
          <w:cols w:space="720" w:num="1"/>
        </w:sectPr>
      </w:pPr>
    </w:p>
    <w:p>
      <w:pPr>
        <w:spacing w:line="275" w:lineRule="auto"/>
      </w:pP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一、投 标 函</w:t>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（一）投标函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（采购人名称）</w:t>
      </w:r>
      <w:r>
        <w:rPr>
          <w:rFonts w:hint="eastAsia" w:ascii="宋体" w:hAnsi="宋体" w:eastAsia="宋体"/>
          <w:color w:val="000000"/>
          <w:sz w:val="24"/>
          <w:szCs w:val="24"/>
          <w:u w:val="single"/>
        </w:rPr>
        <w:t xml:space="preserve">            </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1.我方已仔细研究了</w:t>
      </w:r>
      <w:r>
        <w:rPr>
          <w:rFonts w:hint="eastAsia" w:ascii="宋体" w:hAnsi="宋体" w:eastAsia="宋体"/>
          <w:color w:val="000000"/>
          <w:sz w:val="24"/>
          <w:szCs w:val="24"/>
          <w:u w:val="single"/>
        </w:rPr>
        <w:t xml:space="preserve">                </w:t>
      </w:r>
      <w:r>
        <w:rPr>
          <w:rFonts w:ascii="宋体" w:hAnsi="宋体" w:eastAsia="宋体"/>
          <w:color w:val="000000"/>
          <w:sz w:val="24"/>
          <w:szCs w:val="24"/>
        </w:rPr>
        <w:t>（项目名称）招标文件的全部内容，愿意以</w:t>
      </w:r>
      <w:r>
        <w:rPr>
          <w:rFonts w:hint="eastAsia" w:ascii="宋体" w:hAnsi="宋体" w:eastAsia="宋体"/>
          <w:color w:val="000000"/>
          <w:sz w:val="24"/>
          <w:szCs w:val="24"/>
        </w:rPr>
        <w:t>供货期</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，质量标准</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，按合同约定完成工作。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hint="eastAsia" w:ascii="宋体" w:hAnsi="宋体" w:eastAsia="宋体"/>
          <w:color w:val="000000"/>
          <w:sz w:val="24"/>
          <w:szCs w:val="24"/>
          <w:lang w:val="en-US" w:eastAsia="zh-CN"/>
        </w:rPr>
        <w:t>2</w:t>
      </w:r>
      <w:r>
        <w:rPr>
          <w:rFonts w:ascii="宋体" w:hAnsi="宋体" w:eastAsia="宋体"/>
          <w:color w:val="000000"/>
          <w:sz w:val="24"/>
          <w:szCs w:val="24"/>
        </w:rPr>
        <w:t>．我方承诺在招标文件规定的投标有效期内不撤销投标文件。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hint="eastAsia" w:ascii="宋体" w:hAnsi="宋体" w:eastAsia="宋体"/>
          <w:color w:val="000000"/>
          <w:sz w:val="24"/>
          <w:szCs w:val="24"/>
          <w:lang w:val="en-US" w:eastAsia="zh-CN"/>
        </w:rPr>
        <w:t>3</w:t>
      </w:r>
      <w:r>
        <w:rPr>
          <w:rFonts w:ascii="宋体" w:hAnsi="宋体" w:eastAsia="宋体"/>
          <w:color w:val="000000"/>
          <w:sz w:val="24"/>
          <w:szCs w:val="24"/>
        </w:rPr>
        <w:t>．如我方中标，我方承诺：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（1）在收到中标通知书后，在中标通知书规定的期限内与你方签订合同；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（2）在签订合同时不向你方提出附加条件；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（3）在合同约定的期限内完成合同规定的全部义务。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hint="eastAsia" w:ascii="宋体" w:hAnsi="宋体" w:eastAsia="宋体"/>
          <w:color w:val="000000"/>
          <w:sz w:val="24"/>
          <w:szCs w:val="24"/>
          <w:lang w:val="en-US" w:eastAsia="zh-CN"/>
        </w:rPr>
        <w:t>4</w:t>
      </w:r>
      <w:r>
        <w:rPr>
          <w:rFonts w:ascii="宋体" w:hAnsi="宋体" w:eastAsia="宋体"/>
          <w:color w:val="000000"/>
          <w:sz w:val="24"/>
          <w:szCs w:val="24"/>
        </w:rPr>
        <w:t>．我方在此声明，所递交的投标文件及有关资料内容完整、真实和准确，完全响应招标文件要求，且不存在第二章“供应商须知”规定的任何一种情形。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供应商：</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法定代表人或其委托代理人：</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 xml:space="preserve">年 </w:t>
      </w:r>
      <w:r>
        <w:rPr>
          <w:rFonts w:hint="eastAsia" w:ascii="宋体" w:hAnsi="宋体" w:eastAsia="宋体"/>
          <w:color w:val="000000"/>
          <w:sz w:val="24"/>
          <w:szCs w:val="24"/>
        </w:rPr>
        <w:t xml:space="preserve">   </w:t>
      </w:r>
      <w:r>
        <w:rPr>
          <w:rFonts w:ascii="宋体" w:hAnsi="宋体" w:eastAsia="宋体"/>
          <w:color w:val="000000"/>
          <w:sz w:val="24"/>
          <w:szCs w:val="24"/>
        </w:rPr>
        <w:t xml:space="preserve">月 </w:t>
      </w:r>
      <w:r>
        <w:rPr>
          <w:rFonts w:hint="eastAsia" w:ascii="宋体" w:hAnsi="宋体" w:eastAsia="宋体"/>
          <w:color w:val="000000"/>
          <w:sz w:val="24"/>
          <w:szCs w:val="24"/>
        </w:rPr>
        <w:t xml:space="preserve">   </w:t>
      </w:r>
      <w:r>
        <w:rPr>
          <w:rFonts w:ascii="宋体" w:hAnsi="宋体" w:eastAsia="宋体"/>
          <w:color w:val="000000"/>
          <w:sz w:val="24"/>
          <w:szCs w:val="24"/>
        </w:rPr>
        <w:t>日</w:t>
      </w:r>
    </w:p>
    <w:p>
      <w:pPr>
        <w:widowControl/>
        <w:spacing w:line="240" w:lineRule="auto"/>
        <w:jc w:val="left"/>
        <w:outlineLvl w:val="9"/>
        <w:rPr>
          <w:rFonts w:ascii="宋体" w:hAnsi="宋体" w:eastAsia="宋体"/>
          <w:color w:val="000000"/>
        </w:rPr>
      </w:pPr>
      <w:r>
        <w:rPr>
          <w:rFonts w:ascii="宋体" w:hAnsi="宋体" w:eastAsia="宋体"/>
          <w:color w:val="000000"/>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（二）投标函附录</w:t>
      </w:r>
    </w:p>
    <w:tbl>
      <w:tblPr>
        <w:tblStyle w:val="26"/>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7"/>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287" w:type="dxa"/>
            <w:vAlign w:val="center"/>
          </w:tcPr>
          <w:p>
            <w:pPr>
              <w:wordWrap w:val="0"/>
              <w:jc w:val="center"/>
              <w:rPr>
                <w:rFonts w:ascii="宋体" w:hAnsi="宋体" w:eastAsia="宋体"/>
                <w:sz w:val="24"/>
                <w:szCs w:val="24"/>
              </w:rPr>
            </w:pPr>
            <w:r>
              <w:rPr>
                <w:rFonts w:hint="eastAsia" w:ascii="宋体" w:hAnsi="宋体" w:eastAsia="宋体"/>
                <w:sz w:val="24"/>
                <w:szCs w:val="24"/>
              </w:rPr>
              <w:t>项目名称</w:t>
            </w:r>
          </w:p>
        </w:tc>
        <w:tc>
          <w:tcPr>
            <w:tcW w:w="6302" w:type="dxa"/>
            <w:vAlign w:val="center"/>
          </w:tcPr>
          <w:p>
            <w:pPr>
              <w:wordWrap w:val="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287" w:type="dxa"/>
            <w:vAlign w:val="center"/>
          </w:tcPr>
          <w:p>
            <w:pPr>
              <w:wordWrap w:val="0"/>
              <w:jc w:val="center"/>
              <w:rPr>
                <w:rFonts w:ascii="宋体" w:hAnsi="宋体" w:eastAsia="宋体"/>
                <w:sz w:val="24"/>
                <w:szCs w:val="24"/>
              </w:rPr>
            </w:pPr>
            <w:r>
              <w:rPr>
                <w:rFonts w:hint="eastAsia" w:ascii="宋体" w:hAnsi="宋体" w:eastAsia="宋体"/>
                <w:sz w:val="24"/>
                <w:szCs w:val="24"/>
              </w:rPr>
              <w:t>供应商</w:t>
            </w:r>
          </w:p>
        </w:tc>
        <w:tc>
          <w:tcPr>
            <w:tcW w:w="6302" w:type="dxa"/>
            <w:vAlign w:val="center"/>
          </w:tcPr>
          <w:p>
            <w:pPr>
              <w:wordWrap w:val="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2287" w:type="dxa"/>
            <w:vAlign w:val="center"/>
          </w:tcPr>
          <w:p>
            <w:pPr>
              <w:wordWrap w:val="0"/>
              <w:jc w:val="center"/>
              <w:rPr>
                <w:rFonts w:ascii="宋体" w:hAnsi="宋体" w:eastAsia="宋体"/>
                <w:sz w:val="24"/>
                <w:szCs w:val="24"/>
              </w:rPr>
            </w:pPr>
            <w:r>
              <w:rPr>
                <w:rFonts w:hint="eastAsia" w:ascii="宋体" w:hAnsi="宋体" w:eastAsia="宋体"/>
                <w:sz w:val="24"/>
                <w:szCs w:val="24"/>
              </w:rPr>
              <w:t>投标总价</w:t>
            </w:r>
          </w:p>
        </w:tc>
        <w:tc>
          <w:tcPr>
            <w:tcW w:w="6302" w:type="dxa"/>
            <w:vAlign w:val="center"/>
          </w:tcPr>
          <w:p>
            <w:pPr>
              <w:wordWrap w:val="0"/>
              <w:rPr>
                <w:rFonts w:ascii="宋体" w:hAnsi="宋体" w:eastAsia="宋体"/>
                <w:sz w:val="24"/>
                <w:szCs w:val="24"/>
              </w:rPr>
            </w:pPr>
            <w:r>
              <w:rPr>
                <w:rFonts w:hint="eastAsia" w:ascii="宋体" w:hAnsi="宋体" w:eastAsia="宋体"/>
                <w:sz w:val="24"/>
                <w:szCs w:val="24"/>
              </w:rPr>
              <w:t>大写：</w:t>
            </w:r>
          </w:p>
          <w:p>
            <w:pPr>
              <w:wordWrap w:val="0"/>
              <w:rPr>
                <w:rFonts w:ascii="宋体" w:hAnsi="宋体" w:eastAsia="宋体"/>
                <w:sz w:val="24"/>
                <w:szCs w:val="24"/>
              </w:rPr>
            </w:pPr>
            <w:r>
              <w:rPr>
                <w:rFonts w:hint="eastAsia" w:ascii="宋体" w:hAnsi="宋体" w:eastAsia="宋体"/>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287" w:type="dxa"/>
            <w:vAlign w:val="center"/>
          </w:tcPr>
          <w:p>
            <w:pPr>
              <w:jc w:val="center"/>
              <w:rPr>
                <w:rFonts w:ascii="宋体" w:hAnsi="宋体" w:eastAsia="宋体"/>
                <w:sz w:val="24"/>
                <w:szCs w:val="24"/>
              </w:rPr>
            </w:pPr>
            <w:r>
              <w:rPr>
                <w:rFonts w:hint="eastAsia" w:ascii="宋体" w:hAnsi="宋体" w:eastAsia="宋体"/>
                <w:sz w:val="24"/>
                <w:szCs w:val="24"/>
              </w:rPr>
              <w:t>投标范围</w:t>
            </w:r>
          </w:p>
        </w:tc>
        <w:tc>
          <w:tcPr>
            <w:tcW w:w="6302" w:type="dxa"/>
            <w:vAlign w:val="center"/>
          </w:tcPr>
          <w:p>
            <w:pPr>
              <w:wordWrap w:val="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287" w:type="dxa"/>
            <w:vAlign w:val="center"/>
          </w:tcPr>
          <w:p>
            <w:pPr>
              <w:wordWrap w:val="0"/>
              <w:jc w:val="center"/>
              <w:rPr>
                <w:rFonts w:ascii="宋体" w:hAnsi="宋体" w:eastAsia="宋体"/>
                <w:sz w:val="24"/>
                <w:szCs w:val="24"/>
              </w:rPr>
            </w:pPr>
            <w:r>
              <w:rPr>
                <w:rFonts w:hint="eastAsia" w:ascii="宋体" w:hAnsi="宋体" w:eastAsia="宋体"/>
                <w:sz w:val="24"/>
                <w:szCs w:val="24"/>
              </w:rPr>
              <w:t>合同履行期限</w:t>
            </w:r>
          </w:p>
        </w:tc>
        <w:tc>
          <w:tcPr>
            <w:tcW w:w="6302" w:type="dxa"/>
            <w:vAlign w:val="center"/>
          </w:tcPr>
          <w:p>
            <w:pPr>
              <w:wordWrap w:val="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87" w:type="dxa"/>
            <w:vAlign w:val="center"/>
          </w:tcPr>
          <w:p>
            <w:pPr>
              <w:wordWrap w:val="0"/>
              <w:jc w:val="center"/>
              <w:rPr>
                <w:rFonts w:ascii="宋体" w:hAnsi="宋体" w:eastAsia="宋体"/>
                <w:sz w:val="24"/>
                <w:szCs w:val="24"/>
              </w:rPr>
            </w:pPr>
            <w:r>
              <w:rPr>
                <w:rFonts w:hint="eastAsia" w:ascii="宋体" w:hAnsi="宋体" w:eastAsia="宋体"/>
                <w:sz w:val="24"/>
                <w:szCs w:val="24"/>
              </w:rPr>
              <w:t>投标质量</w:t>
            </w:r>
          </w:p>
        </w:tc>
        <w:tc>
          <w:tcPr>
            <w:tcW w:w="6302" w:type="dxa"/>
            <w:vAlign w:val="center"/>
          </w:tcPr>
          <w:p>
            <w:pPr>
              <w:wordWrap w:val="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87" w:type="dxa"/>
            <w:vAlign w:val="center"/>
          </w:tcPr>
          <w:p>
            <w:pPr>
              <w:wordWrap w:val="0"/>
              <w:jc w:val="center"/>
              <w:rPr>
                <w:rFonts w:ascii="宋体" w:hAnsi="宋体" w:eastAsia="宋体"/>
                <w:sz w:val="24"/>
                <w:szCs w:val="24"/>
              </w:rPr>
            </w:pPr>
            <w:r>
              <w:rPr>
                <w:rFonts w:hint="eastAsia" w:ascii="宋体" w:hAnsi="宋体" w:eastAsia="宋体"/>
                <w:sz w:val="24"/>
                <w:szCs w:val="24"/>
              </w:rPr>
              <w:t>质保期</w:t>
            </w:r>
          </w:p>
        </w:tc>
        <w:tc>
          <w:tcPr>
            <w:tcW w:w="6302" w:type="dxa"/>
            <w:vAlign w:val="center"/>
          </w:tcPr>
          <w:p>
            <w:pPr>
              <w:wordWrap w:val="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87" w:type="dxa"/>
            <w:vAlign w:val="center"/>
          </w:tcPr>
          <w:p>
            <w:pPr>
              <w:wordWrap w:val="0"/>
              <w:jc w:val="center"/>
              <w:rPr>
                <w:rFonts w:ascii="宋体" w:hAnsi="宋体" w:eastAsia="宋体"/>
                <w:sz w:val="24"/>
                <w:szCs w:val="24"/>
              </w:rPr>
            </w:pPr>
            <w:r>
              <w:rPr>
                <w:rFonts w:hint="eastAsia" w:ascii="宋体" w:hAnsi="宋体" w:eastAsia="宋体"/>
                <w:sz w:val="24"/>
                <w:szCs w:val="24"/>
              </w:rPr>
              <w:t>其他</w:t>
            </w:r>
          </w:p>
        </w:tc>
        <w:tc>
          <w:tcPr>
            <w:tcW w:w="6302" w:type="dxa"/>
            <w:vAlign w:val="center"/>
          </w:tcPr>
          <w:p>
            <w:pPr>
              <w:wordWrap w:val="0"/>
              <w:rPr>
                <w:rFonts w:ascii="宋体" w:hAnsi="宋体" w:eastAsia="宋体"/>
                <w:sz w:val="24"/>
                <w:szCs w:val="24"/>
              </w:rPr>
            </w:pPr>
          </w:p>
        </w:tc>
      </w:tr>
    </w:tbl>
    <w:p>
      <w:pPr>
        <w:outlineLvl w:val="9"/>
        <w:rPr>
          <w:rFonts w:ascii="宋体" w:hAnsi="宋体" w:eastAsia="宋体"/>
          <w:color w:val="000000"/>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供应商（</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法定代表人或授权代表人（</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 xml:space="preserve">年 </w:t>
      </w:r>
      <w:r>
        <w:rPr>
          <w:rFonts w:hint="eastAsia" w:ascii="宋体" w:hAnsi="宋体" w:eastAsia="宋体"/>
          <w:color w:val="000000"/>
          <w:sz w:val="24"/>
          <w:szCs w:val="24"/>
        </w:rPr>
        <w:t xml:space="preserve">   </w:t>
      </w:r>
      <w:r>
        <w:rPr>
          <w:rFonts w:ascii="宋体" w:hAnsi="宋体" w:eastAsia="宋体"/>
          <w:color w:val="000000"/>
          <w:sz w:val="24"/>
          <w:szCs w:val="24"/>
        </w:rPr>
        <w:t xml:space="preserve">月 </w:t>
      </w:r>
      <w:r>
        <w:rPr>
          <w:rFonts w:hint="eastAsia" w:ascii="宋体" w:hAnsi="宋体" w:eastAsia="宋体"/>
          <w:color w:val="000000"/>
          <w:sz w:val="24"/>
          <w:szCs w:val="24"/>
        </w:rPr>
        <w:t xml:space="preserve">   </w:t>
      </w:r>
      <w:r>
        <w:rPr>
          <w:rFonts w:ascii="宋体" w:hAnsi="宋体" w:eastAsia="宋体"/>
          <w:color w:val="000000"/>
          <w:sz w:val="24"/>
          <w:szCs w:val="24"/>
        </w:rPr>
        <w:t>日</w:t>
      </w:r>
    </w:p>
    <w:p>
      <w:pPr>
        <w:outlineLvl w:val="9"/>
        <w:rPr>
          <w:rFonts w:ascii="宋体" w:hAnsi="宋体" w:eastAsia="宋体"/>
          <w:color w:val="000000"/>
          <w:sz w:val="21"/>
          <w:szCs w:val="21"/>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二、法定代表人身份证明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供应商名称：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单位性质：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 xml:space="preserve">地 </w:t>
      </w:r>
      <w:r>
        <w:rPr>
          <w:rFonts w:hint="eastAsia" w:ascii="宋体" w:hAnsi="宋体" w:eastAsia="宋体"/>
          <w:color w:val="000000"/>
          <w:sz w:val="24"/>
          <w:szCs w:val="24"/>
        </w:rPr>
        <w:t xml:space="preserve"> </w:t>
      </w:r>
      <w:r>
        <w:rPr>
          <w:rFonts w:ascii="宋体" w:hAnsi="宋体" w:eastAsia="宋体"/>
          <w:color w:val="000000"/>
          <w:sz w:val="24"/>
          <w:szCs w:val="24"/>
        </w:rPr>
        <w:t>址：</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成立时间：</w:t>
      </w:r>
      <w:r>
        <w:rPr>
          <w:rFonts w:hint="eastAsia" w:ascii="宋体" w:hAnsi="宋体" w:eastAsia="宋体"/>
          <w:color w:val="000000"/>
          <w:sz w:val="24"/>
          <w:szCs w:val="24"/>
        </w:rPr>
        <w:t xml:space="preserve">   </w:t>
      </w:r>
      <w:r>
        <w:rPr>
          <w:rFonts w:ascii="宋体" w:hAnsi="宋体" w:eastAsia="宋体"/>
          <w:color w:val="000000"/>
          <w:sz w:val="24"/>
          <w:szCs w:val="24"/>
        </w:rPr>
        <w:t xml:space="preserve"> 年 </w:t>
      </w:r>
      <w:r>
        <w:rPr>
          <w:rFonts w:hint="eastAsia" w:ascii="宋体" w:hAnsi="宋体" w:eastAsia="宋体"/>
          <w:color w:val="000000"/>
          <w:sz w:val="24"/>
          <w:szCs w:val="24"/>
        </w:rPr>
        <w:t xml:space="preserve">   </w:t>
      </w:r>
      <w:r>
        <w:rPr>
          <w:rFonts w:ascii="宋体" w:hAnsi="宋体" w:eastAsia="宋体"/>
          <w:color w:val="000000"/>
          <w:sz w:val="24"/>
          <w:szCs w:val="24"/>
        </w:rPr>
        <w:t xml:space="preserve">月 </w:t>
      </w:r>
      <w:r>
        <w:rPr>
          <w:rFonts w:hint="eastAsia" w:ascii="宋体" w:hAnsi="宋体" w:eastAsia="宋体"/>
          <w:color w:val="000000"/>
          <w:sz w:val="24"/>
          <w:szCs w:val="24"/>
        </w:rPr>
        <w:t xml:space="preserve">   </w:t>
      </w:r>
      <w:r>
        <w:rPr>
          <w:rFonts w:ascii="宋体" w:hAnsi="宋体" w:eastAsia="宋体"/>
          <w:color w:val="000000"/>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经营期限：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 xml:space="preserve">姓名： </w:t>
      </w:r>
      <w:r>
        <w:rPr>
          <w:rFonts w:hint="eastAsia" w:ascii="宋体" w:hAnsi="宋体" w:eastAsia="宋体"/>
          <w:color w:val="000000"/>
          <w:sz w:val="24"/>
          <w:szCs w:val="24"/>
        </w:rPr>
        <w:t xml:space="preserve">   </w:t>
      </w:r>
      <w:r>
        <w:rPr>
          <w:rFonts w:ascii="宋体" w:hAnsi="宋体" w:eastAsia="宋体"/>
          <w:color w:val="000000"/>
          <w:sz w:val="24"/>
          <w:szCs w:val="24"/>
        </w:rPr>
        <w:t>性别：</w:t>
      </w:r>
      <w:r>
        <w:rPr>
          <w:rFonts w:hint="eastAsia" w:ascii="宋体" w:hAnsi="宋体" w:eastAsia="宋体"/>
          <w:color w:val="000000"/>
          <w:sz w:val="24"/>
          <w:szCs w:val="24"/>
        </w:rPr>
        <w:t xml:space="preserve">   </w:t>
      </w:r>
      <w:r>
        <w:rPr>
          <w:rFonts w:ascii="宋体" w:hAnsi="宋体" w:eastAsia="宋体"/>
          <w:color w:val="000000"/>
          <w:sz w:val="24"/>
          <w:szCs w:val="24"/>
        </w:rPr>
        <w:t xml:space="preserve"> 年龄： </w:t>
      </w:r>
      <w:r>
        <w:rPr>
          <w:rFonts w:hint="eastAsia" w:ascii="宋体" w:hAnsi="宋体" w:eastAsia="宋体"/>
          <w:color w:val="000000"/>
          <w:sz w:val="24"/>
          <w:szCs w:val="24"/>
        </w:rPr>
        <w:t xml:space="preserve">   </w:t>
      </w:r>
      <w:r>
        <w:rPr>
          <w:rFonts w:ascii="宋体" w:hAnsi="宋体" w:eastAsia="宋体"/>
          <w:color w:val="000000"/>
          <w:sz w:val="24"/>
          <w:szCs w:val="24"/>
        </w:rPr>
        <w:t>职务：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系</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（供应商单位名称）的法定代表人。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特此证明。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附：法定代表人身份证复印件。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供应商：</w:t>
      </w: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 xml:space="preserve">年 </w:t>
      </w:r>
      <w:r>
        <w:rPr>
          <w:rFonts w:hint="eastAsia" w:ascii="宋体" w:hAnsi="宋体" w:eastAsia="宋体"/>
          <w:color w:val="000000"/>
          <w:sz w:val="24"/>
          <w:szCs w:val="24"/>
        </w:rPr>
        <w:t xml:space="preserve">   </w:t>
      </w:r>
      <w:r>
        <w:rPr>
          <w:rFonts w:ascii="宋体" w:hAnsi="宋体" w:eastAsia="宋体"/>
          <w:color w:val="000000"/>
          <w:sz w:val="24"/>
          <w:szCs w:val="24"/>
        </w:rPr>
        <w:t>月</w:t>
      </w:r>
      <w:r>
        <w:rPr>
          <w:rFonts w:hint="eastAsia" w:ascii="宋体" w:hAnsi="宋体" w:eastAsia="宋体"/>
          <w:color w:val="000000"/>
          <w:sz w:val="24"/>
          <w:szCs w:val="24"/>
        </w:rPr>
        <w:t xml:space="preserve">   </w:t>
      </w:r>
      <w:r>
        <w:rPr>
          <w:rFonts w:ascii="宋体" w:hAnsi="宋体" w:eastAsia="宋体"/>
          <w:color w:val="000000"/>
          <w:sz w:val="24"/>
          <w:szCs w:val="24"/>
        </w:rPr>
        <w:t xml:space="preserve"> 日</w:t>
      </w:r>
    </w:p>
    <w:p>
      <w:pPr>
        <w:keepNext w:val="0"/>
        <w:keepLines w:val="0"/>
        <w:pageBreakBefore w:val="0"/>
        <w:wordWrap/>
        <w:overflowPunct/>
        <w:topLinePunct w:val="0"/>
        <w:autoSpaceDE w:val="0"/>
        <w:autoSpaceDN w:val="0"/>
        <w:bidi w:val="0"/>
        <w:spacing w:line="360" w:lineRule="auto"/>
        <w:outlineLvl w:val="9"/>
        <w:rPr>
          <w:rFonts w:ascii="宋体" w:hAnsi="宋体" w:eastAsia="宋体"/>
          <w:color w:val="000000"/>
          <w:sz w:val="21"/>
          <w:szCs w:val="21"/>
        </w:rPr>
      </w:pPr>
    </w:p>
    <w:p>
      <w:pPr>
        <w:keepNext w:val="0"/>
        <w:keepLines w:val="0"/>
        <w:pageBreakBefore w:val="0"/>
        <w:wordWrap/>
        <w:overflowPunct/>
        <w:topLinePunct w:val="0"/>
        <w:autoSpaceDE w:val="0"/>
        <w:autoSpaceDN w:val="0"/>
        <w:bidi w:val="0"/>
        <w:spacing w:line="360" w:lineRule="auto"/>
        <w:outlineLvl w:val="9"/>
        <w:rPr>
          <w:rFonts w:ascii="宋体" w:hAnsi="宋体" w:eastAsia="宋体"/>
          <w:color w:val="000000"/>
          <w:sz w:val="21"/>
          <w:szCs w:val="21"/>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三、授权委托书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本人</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（姓名）系</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（供应商名称）的法定代表人，现委托</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（姓名）为我方代理人。代理人根据授权，以我方名义签署、澄清、说明、补正、递交、撤回、修改（项目名称）</w:t>
      </w:r>
      <w:r>
        <w:rPr>
          <w:rFonts w:hint="eastAsia" w:ascii="宋体" w:hAnsi="宋体" w:eastAsia="宋体"/>
          <w:color w:val="000000"/>
          <w:sz w:val="24"/>
          <w:szCs w:val="24"/>
          <w:u w:val="single"/>
        </w:rPr>
        <w:t xml:space="preserve">           </w:t>
      </w:r>
      <w:r>
        <w:rPr>
          <w:rFonts w:ascii="宋体" w:hAnsi="宋体" w:eastAsia="宋体"/>
          <w:color w:val="000000"/>
          <w:sz w:val="24"/>
          <w:szCs w:val="24"/>
        </w:rPr>
        <w:t>投标文件、签订合同和处理有关事宜，其法律后果由我方承担。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委托期限：</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代理人无转委托权。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附：法定代表人身份证和代理人身份证复印件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供应商：</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法定代表人：</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身份证号码：</w:t>
      </w:r>
      <w:r>
        <w:rPr>
          <w:rFonts w:hint="eastAsia" w:ascii="宋体" w:hAnsi="宋体" w:eastAsia="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委托代理人：</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签字或盖章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身份证号码：</w:t>
      </w:r>
      <w:r>
        <w:rPr>
          <w:rFonts w:hint="eastAsia" w:ascii="宋体" w:hAnsi="宋体" w:eastAsia="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outlineLvl w:val="9"/>
        <w:rPr>
          <w:rFonts w:ascii="宋体" w:hAnsi="宋体" w:eastAsia="宋体"/>
          <w:color w:val="000000"/>
          <w:sz w:val="24"/>
          <w:szCs w:val="24"/>
        </w:rPr>
      </w:pPr>
      <w:r>
        <w:rPr>
          <w:rFonts w:ascii="宋体" w:hAnsi="宋体" w:eastAsia="宋体"/>
          <w:color w:val="000000"/>
          <w:sz w:val="24"/>
          <w:szCs w:val="24"/>
        </w:rPr>
        <w:t>年</w:t>
      </w:r>
      <w:r>
        <w:rPr>
          <w:rFonts w:hint="eastAsia" w:ascii="宋体" w:hAnsi="宋体" w:eastAsia="宋体"/>
          <w:color w:val="000000"/>
          <w:sz w:val="24"/>
          <w:szCs w:val="24"/>
        </w:rPr>
        <w:t xml:space="preserve">   </w:t>
      </w:r>
      <w:r>
        <w:rPr>
          <w:rFonts w:ascii="宋体" w:hAnsi="宋体" w:eastAsia="宋体"/>
          <w:color w:val="000000"/>
          <w:sz w:val="24"/>
          <w:szCs w:val="24"/>
        </w:rPr>
        <w:t xml:space="preserve"> 月 </w:t>
      </w:r>
      <w:r>
        <w:rPr>
          <w:rFonts w:hint="eastAsia" w:ascii="宋体" w:hAnsi="宋体" w:eastAsia="宋体"/>
          <w:color w:val="000000"/>
          <w:sz w:val="24"/>
          <w:szCs w:val="24"/>
        </w:rPr>
        <w:t xml:space="preserve">   </w:t>
      </w:r>
      <w:r>
        <w:rPr>
          <w:rFonts w:ascii="宋体" w:hAnsi="宋体" w:eastAsia="宋体"/>
          <w:color w:val="000000"/>
          <w:sz w:val="24"/>
          <w:szCs w:val="24"/>
        </w:rPr>
        <w:t>日</w:t>
      </w:r>
    </w:p>
    <w:p>
      <w:pPr>
        <w:outlineLvl w:val="9"/>
        <w:rPr>
          <w:rFonts w:ascii="宋体" w:hAnsi="宋体" w:eastAsia="宋体"/>
          <w:color w:val="000000"/>
          <w:sz w:val="22"/>
        </w:rPr>
      </w:pPr>
    </w:p>
    <w:p>
      <w:pPr>
        <w:outlineLvl w:val="9"/>
        <w:rPr>
          <w:rFonts w:ascii="宋体" w:hAnsi="宋体" w:eastAsia="宋体"/>
          <w:color w:val="000000"/>
          <w:sz w:val="21"/>
          <w:szCs w:val="21"/>
        </w:rPr>
      </w:pPr>
    </w:p>
    <w:p>
      <w:pPr>
        <w:outlineLvl w:val="9"/>
        <w:rPr>
          <w:rFonts w:ascii="宋体" w:hAnsi="宋体" w:eastAsia="宋体"/>
          <w:color w:val="000000"/>
          <w:sz w:val="21"/>
          <w:szCs w:val="21"/>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spacing w:line="360" w:lineRule="auto"/>
        <w:jc w:val="center"/>
        <w:rPr>
          <w:rFonts w:ascii="宋体" w:hAnsi="宋体" w:eastAsia="宋体"/>
          <w:b/>
          <w:bCs/>
          <w:sz w:val="32"/>
          <w:szCs w:val="32"/>
        </w:rPr>
      </w:pPr>
      <w:r>
        <w:rPr>
          <w:rFonts w:ascii="宋体" w:hAnsi="宋体" w:eastAsia="宋体"/>
          <w:b/>
          <w:bCs/>
          <w:sz w:val="32"/>
          <w:szCs w:val="32"/>
        </w:rPr>
        <w:t>四、</w:t>
      </w:r>
      <w:r>
        <w:rPr>
          <w:rFonts w:hint="eastAsia" w:ascii="宋体" w:hAnsi="宋体" w:eastAsia="宋体"/>
          <w:b/>
          <w:bCs/>
          <w:sz w:val="32"/>
          <w:szCs w:val="32"/>
        </w:rPr>
        <w:t>项目清单报价表</w:t>
      </w:r>
    </w:p>
    <w:p>
      <w:pPr>
        <w:spacing w:line="360" w:lineRule="auto"/>
        <w:rPr>
          <w:rFonts w:ascii="宋体" w:hAnsi="宋体" w:eastAsia="宋体"/>
          <w:sz w:val="24"/>
          <w:szCs w:val="24"/>
        </w:rPr>
      </w:pPr>
      <w:r>
        <w:rPr>
          <w:rFonts w:ascii="宋体" w:hAnsi="宋体" w:eastAsia="宋体"/>
          <w:sz w:val="24"/>
          <w:szCs w:val="24"/>
        </w:rPr>
        <w:t>项目名称：___________</w:t>
      </w:r>
    </w:p>
    <w:p>
      <w:pPr>
        <w:spacing w:line="360" w:lineRule="auto"/>
        <w:rPr>
          <w:rFonts w:ascii="宋体" w:hAnsi="宋体" w:eastAsia="宋体"/>
          <w:sz w:val="24"/>
          <w:szCs w:val="24"/>
        </w:rPr>
      </w:pPr>
      <w:r>
        <w:rPr>
          <w:rFonts w:hint="eastAsia" w:ascii="宋体" w:hAnsi="宋体" w:eastAsia="宋体"/>
          <w:sz w:val="24"/>
          <w:szCs w:val="24"/>
        </w:rPr>
        <w:t>项目</w:t>
      </w:r>
      <w:r>
        <w:rPr>
          <w:rFonts w:ascii="宋体" w:hAnsi="宋体" w:eastAsia="宋体"/>
          <w:sz w:val="24"/>
          <w:szCs w:val="24"/>
        </w:rPr>
        <w:t>编号：___________</w:t>
      </w:r>
      <w:r>
        <w:rPr>
          <w:rFonts w:hint="eastAsia" w:ascii="宋体" w:hAnsi="宋体" w:eastAsia="宋体"/>
          <w:sz w:val="24"/>
          <w:szCs w:val="24"/>
        </w:rPr>
        <w:t xml:space="preserve">                                                </w:t>
      </w:r>
      <w:r>
        <w:rPr>
          <w:rFonts w:ascii="宋体" w:hAnsi="宋体" w:eastAsia="宋体"/>
          <w:sz w:val="24"/>
          <w:szCs w:val="24"/>
        </w:rPr>
        <w:t>单位</w:t>
      </w:r>
      <w:r>
        <w:rPr>
          <w:rFonts w:hint="eastAsia" w:ascii="宋体" w:hAnsi="宋体" w:eastAsia="宋体"/>
          <w:sz w:val="24"/>
          <w:szCs w:val="24"/>
        </w:rPr>
        <w:t>：</w:t>
      </w:r>
      <w:r>
        <w:rPr>
          <w:rFonts w:ascii="宋体" w:hAnsi="宋体" w:eastAsia="宋体"/>
          <w:sz w:val="24"/>
          <w:szCs w:val="24"/>
        </w:rPr>
        <w:t>元</w:t>
      </w:r>
    </w:p>
    <w:tbl>
      <w:tblPr>
        <w:tblStyle w:val="26"/>
        <w:tblW w:w="9640" w:type="dxa"/>
        <w:jc w:val="center"/>
        <w:tblLayout w:type="fixed"/>
        <w:tblCellMar>
          <w:top w:w="0" w:type="dxa"/>
          <w:left w:w="0" w:type="dxa"/>
          <w:bottom w:w="0" w:type="dxa"/>
          <w:right w:w="0" w:type="dxa"/>
        </w:tblCellMar>
      </w:tblPr>
      <w:tblGrid>
        <w:gridCol w:w="540"/>
        <w:gridCol w:w="1185"/>
        <w:gridCol w:w="1276"/>
        <w:gridCol w:w="1559"/>
        <w:gridCol w:w="1134"/>
        <w:gridCol w:w="709"/>
        <w:gridCol w:w="709"/>
        <w:gridCol w:w="708"/>
        <w:gridCol w:w="993"/>
        <w:gridCol w:w="827"/>
      </w:tblGrid>
      <w:tr>
        <w:tblPrEx>
          <w:tblCellMar>
            <w:top w:w="0" w:type="dxa"/>
            <w:left w:w="0" w:type="dxa"/>
            <w:bottom w:w="0" w:type="dxa"/>
            <w:right w:w="0" w:type="dxa"/>
          </w:tblCellMar>
        </w:tblPrEx>
        <w:trPr>
          <w:trHeight w:val="66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货物名称</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品牌</w:t>
            </w:r>
          </w:p>
          <w:p>
            <w:pPr>
              <w:spacing w:line="360" w:lineRule="auto"/>
              <w:jc w:val="center"/>
              <w:rPr>
                <w:rFonts w:ascii="宋体" w:hAnsi="宋体" w:eastAsia="宋体"/>
                <w:sz w:val="24"/>
                <w:szCs w:val="24"/>
              </w:rPr>
            </w:pPr>
            <w:r>
              <w:rPr>
                <w:rFonts w:hint="eastAsia" w:ascii="宋体" w:hAnsi="宋体" w:eastAsia="宋体"/>
                <w:sz w:val="24"/>
                <w:szCs w:val="24"/>
              </w:rPr>
              <w:t>规格型号</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生产（制造）</w:t>
            </w:r>
          </w:p>
          <w:p>
            <w:pPr>
              <w:spacing w:line="360" w:lineRule="auto"/>
              <w:jc w:val="center"/>
              <w:rPr>
                <w:rFonts w:ascii="宋体" w:hAnsi="宋体" w:eastAsia="宋体"/>
                <w:sz w:val="24"/>
                <w:szCs w:val="24"/>
              </w:rPr>
            </w:pPr>
            <w:r>
              <w:rPr>
                <w:rFonts w:hint="eastAsia" w:ascii="宋体" w:hAnsi="宋体" w:eastAsia="宋体"/>
                <w:sz w:val="24"/>
                <w:szCs w:val="24"/>
              </w:rPr>
              <w:t>厂商名称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技术参数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单价</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小计</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货物交付使用时间</w:t>
            </w:r>
          </w:p>
        </w:tc>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质保期</w:t>
            </w:r>
          </w:p>
        </w:tc>
      </w:tr>
      <w:tr>
        <w:tblPrEx>
          <w:tblCellMar>
            <w:top w:w="0" w:type="dxa"/>
            <w:left w:w="0" w:type="dxa"/>
            <w:bottom w:w="0" w:type="dxa"/>
            <w:right w:w="0" w:type="dxa"/>
          </w:tblCellMar>
        </w:tblPrEx>
        <w:trPr>
          <w:trHeight w:val="30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rFonts w:ascii="宋体" w:hAnsi="宋体" w:eastAsia="宋体"/>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82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30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rFonts w:ascii="宋体" w:hAnsi="宋体" w:eastAsia="宋体"/>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82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30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rFonts w:ascii="宋体" w:hAnsi="宋体" w:eastAsia="宋体"/>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82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30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rFonts w:ascii="宋体" w:hAnsi="宋体" w:eastAsia="宋体"/>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82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30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rFonts w:ascii="宋体" w:hAnsi="宋体" w:eastAsia="宋体"/>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82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30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rFonts w:ascii="宋体" w:hAnsi="宋体" w:eastAsia="宋体"/>
                <w:sz w:val="24"/>
                <w:szCs w:val="24"/>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eastAsia="宋体"/>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tc>
        <w:tc>
          <w:tcPr>
            <w:tcW w:w="82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300" w:hRule="atLeast"/>
          <w:jc w:val="center"/>
        </w:trPr>
        <w:tc>
          <w:tcPr>
            <w:tcW w:w="1725"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投标报价总计：</w:t>
            </w:r>
          </w:p>
        </w:tc>
        <w:tc>
          <w:tcPr>
            <w:tcW w:w="7915"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大写：                           小写：（￥：）</w:t>
            </w:r>
          </w:p>
        </w:tc>
      </w:tr>
    </w:tbl>
    <w:p>
      <w:pPr>
        <w:pStyle w:val="8"/>
        <w:spacing w:line="360" w:lineRule="auto"/>
        <w:ind w:firstLine="480"/>
        <w:rPr>
          <w:rFonts w:ascii="宋体" w:hAnsi="宋体"/>
          <w:b/>
          <w:sz w:val="24"/>
          <w:szCs w:val="24"/>
        </w:rPr>
      </w:pPr>
      <w:r>
        <w:rPr>
          <w:rFonts w:hint="eastAsia" w:ascii="宋体" w:hAnsi="宋体"/>
          <w:sz w:val="24"/>
          <w:szCs w:val="24"/>
        </w:rPr>
        <w:t>说明：</w:t>
      </w:r>
    </w:p>
    <w:p>
      <w:pPr>
        <w:pStyle w:val="8"/>
        <w:keepNext w:val="0"/>
        <w:keepLines w:val="0"/>
        <w:pageBreakBefore w:val="0"/>
        <w:widowControl/>
        <w:kinsoku w:val="0"/>
        <w:wordWrap/>
        <w:overflowPunct/>
        <w:topLinePunct w:val="0"/>
        <w:autoSpaceDE w:val="0"/>
        <w:autoSpaceDN w:val="0"/>
        <w:bidi w:val="0"/>
        <w:adjustRightInd w:val="0"/>
        <w:snapToGrid w:val="0"/>
        <w:spacing w:line="360" w:lineRule="exact"/>
        <w:ind w:firstLine="482"/>
        <w:textAlignment w:val="baseline"/>
        <w:outlineLvl w:val="9"/>
        <w:rPr>
          <w:rFonts w:ascii="宋体" w:hAnsi="宋体"/>
          <w:sz w:val="24"/>
          <w:szCs w:val="24"/>
        </w:rPr>
      </w:pPr>
      <w:r>
        <w:rPr>
          <w:rFonts w:ascii="宋体" w:hAnsi="宋体"/>
          <w:b/>
          <w:sz w:val="24"/>
          <w:szCs w:val="24"/>
        </w:rPr>
        <w:t xml:space="preserve"> 1.如果按单价计算的结果与总价不一致,以单价为准修正总价。</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outlineLvl w:val="9"/>
        <w:rPr>
          <w:rFonts w:ascii="宋体" w:hAnsi="宋体" w:eastAsia="宋体"/>
          <w:b/>
          <w:sz w:val="24"/>
          <w:szCs w:val="24"/>
        </w:rPr>
      </w:pPr>
      <w:r>
        <w:rPr>
          <w:rFonts w:hint="eastAsia" w:ascii="宋体" w:hAnsi="宋体" w:eastAsia="宋体"/>
          <w:b/>
          <w:sz w:val="24"/>
          <w:szCs w:val="24"/>
        </w:rPr>
        <w:t xml:space="preserve">  </w:t>
      </w:r>
      <w:r>
        <w:rPr>
          <w:rFonts w:hint="eastAsia" w:ascii="宋体" w:hAnsi="宋体" w:eastAsia="宋体" w:cs="Times New Roman"/>
          <w:b/>
          <w:sz w:val="24"/>
          <w:szCs w:val="24"/>
          <w:u w:color="000000"/>
        </w:rPr>
        <w:t xml:space="preserve"> </w:t>
      </w:r>
      <w:r>
        <w:rPr>
          <w:rFonts w:hint="eastAsia" w:ascii="宋体" w:hAnsi="宋体" w:eastAsia="宋体" w:cs="Times New Roman"/>
          <w:b/>
          <w:snapToGrid w:val="0"/>
          <w:color w:val="000000"/>
          <w:sz w:val="24"/>
          <w:szCs w:val="24"/>
          <w:u w:color="000000"/>
          <w:lang w:val="en-US" w:eastAsia="zh-CN" w:bidi="ar-SA"/>
        </w:rPr>
        <w:t xml:space="preserve">  2.投标报价包含货物正式交付使用所发生的（人工费、服务费、运输费、保险费、安装调试费、税费、备品备件费等）一切费用。</w:t>
      </w:r>
    </w:p>
    <w:p>
      <w:pPr>
        <w:outlineLvl w:val="9"/>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供应商：（</w:t>
      </w:r>
      <w:r>
        <w:rPr>
          <w:rFonts w:hint="eastAsia" w:ascii="宋体" w:hAnsi="宋体" w:eastAsia="宋体"/>
          <w:sz w:val="24"/>
          <w:szCs w:val="24"/>
        </w:rPr>
        <w:t>电子签章</w:t>
      </w:r>
      <w:r>
        <w:rPr>
          <w:rFonts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电子签章</w:t>
      </w:r>
      <w:r>
        <w:rPr>
          <w:rFonts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年 月 日</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五、售后服务计划</w:t>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p>
    <w:p>
      <w:pPr>
        <w:outlineLvl w:val="9"/>
        <w:rPr>
          <w:rFonts w:ascii="宋体" w:hAnsi="宋体" w:eastAsia="宋体"/>
          <w:color w:val="000000"/>
          <w:sz w:val="21"/>
          <w:szCs w:val="21"/>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六、</w:t>
      </w:r>
      <w:r>
        <w:rPr>
          <w:rFonts w:hint="eastAsia" w:ascii="宋体" w:hAnsi="宋体" w:eastAsia="宋体"/>
          <w:b/>
          <w:bCs/>
          <w:sz w:val="32"/>
          <w:szCs w:val="32"/>
        </w:rPr>
        <w:t>供货安装</w:t>
      </w:r>
      <w:r>
        <w:rPr>
          <w:rFonts w:ascii="宋体" w:hAnsi="宋体" w:eastAsia="宋体"/>
          <w:b/>
          <w:bCs/>
          <w:sz w:val="32"/>
          <w:szCs w:val="32"/>
        </w:rPr>
        <w:t>方案</w:t>
      </w:r>
      <w:r>
        <w:rPr>
          <w:rFonts w:hint="eastAsia" w:ascii="宋体" w:hAnsi="宋体" w:eastAsia="宋体"/>
          <w:b/>
          <w:bCs/>
          <w:sz w:val="32"/>
          <w:szCs w:val="32"/>
        </w:rPr>
        <w:t>及培训方案</w:t>
      </w:r>
    </w:p>
    <w:p>
      <w:pPr>
        <w:outlineLvl w:val="9"/>
        <w:rPr>
          <w:rFonts w:ascii="宋体" w:hAnsi="宋体" w:eastAsia="宋体"/>
          <w:color w:val="000000"/>
        </w:rPr>
      </w:pPr>
    </w:p>
    <w:p>
      <w:pPr>
        <w:ind w:firstLine="420" w:firstLineChars="200"/>
        <w:outlineLvl w:val="9"/>
        <w:rPr>
          <w:rFonts w:ascii="宋体" w:hAnsi="宋体"/>
          <w:color w:val="000000"/>
          <w:szCs w:val="24"/>
        </w:rPr>
      </w:pPr>
    </w:p>
    <w:p>
      <w:pPr>
        <w:widowControl/>
        <w:spacing w:line="240" w:lineRule="auto"/>
        <w:jc w:val="left"/>
        <w:outlineLvl w:val="9"/>
        <w:rPr>
          <w:rFonts w:ascii="宋体" w:hAnsi="宋体" w:eastAsia="宋体"/>
          <w:color w:val="000000"/>
          <w:sz w:val="21"/>
          <w:szCs w:val="21"/>
        </w:rPr>
      </w:pPr>
    </w:p>
    <w:p>
      <w:pPr>
        <w:widowControl/>
        <w:spacing w:line="240" w:lineRule="auto"/>
        <w:jc w:val="left"/>
        <w:outlineLvl w:val="9"/>
        <w:rPr>
          <w:rFonts w:ascii="宋体" w:hAnsi="宋体" w:eastAsia="宋体"/>
          <w:color w:val="000000"/>
          <w:sz w:val="21"/>
          <w:szCs w:val="21"/>
        </w:rPr>
      </w:pPr>
    </w:p>
    <w:p>
      <w:pPr>
        <w:widowControl/>
        <w:spacing w:line="240" w:lineRule="auto"/>
        <w:jc w:val="left"/>
        <w:outlineLvl w:val="9"/>
        <w:rPr>
          <w:rFonts w:ascii="宋体" w:hAnsi="宋体" w:eastAsia="宋体"/>
          <w:color w:val="000000"/>
        </w:rPr>
      </w:pPr>
    </w:p>
    <w:p>
      <w:pPr>
        <w:pStyle w:val="41"/>
      </w:pP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七、其他资料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（招标文件要求的或供应商认为有必要的其它说明文件及合理化建议，包括但不限于以下资料）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1.中小企业声明函及中小企业证明材料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2.监狱企业及社会福利企业证明材料等</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3.投标承诺函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4.政府采购节能、环保产品汇总表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.其他资料</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1、中小企业声明函（如是）</w:t>
      </w:r>
    </w:p>
    <w:p>
      <w:pPr>
        <w:keepNext w:val="0"/>
        <w:keepLines w:val="0"/>
        <w:pageBreakBefore w:val="0"/>
        <w:widowControl/>
        <w:kinsoku w:val="0"/>
        <w:overflowPunct/>
        <w:autoSpaceDE w:val="0"/>
        <w:autoSpaceDN w:val="0"/>
        <w:bidi w:val="0"/>
        <w:adjustRightInd w:val="0"/>
        <w:snapToGrid w:val="0"/>
        <w:spacing w:line="360" w:lineRule="auto"/>
        <w:textAlignment w:val="baseline"/>
        <w:outlineLvl w:val="9"/>
        <w:rPr>
          <w:rFonts w:ascii="宋体" w:hAnsi="宋体" w:eastAsia="宋体"/>
          <w:b/>
          <w:color w:val="000000"/>
          <w:sz w:val="21"/>
          <w:szCs w:val="21"/>
        </w:rPr>
      </w:pPr>
    </w:p>
    <w:p>
      <w:pPr>
        <w:keepNext w:val="0"/>
        <w:keepLines w:val="0"/>
        <w:pageBreakBefore w:val="0"/>
        <w:widowControl/>
        <w:kinsoku w:val="0"/>
        <w:overflowPunct/>
        <w:autoSpaceDE w:val="0"/>
        <w:autoSpaceDN w:val="0"/>
        <w:bidi w:val="0"/>
        <w:adjustRightInd w:val="0"/>
        <w:snapToGrid w:val="0"/>
        <w:spacing w:line="360" w:lineRule="auto"/>
        <w:jc w:val="center"/>
        <w:textAlignment w:val="baseline"/>
        <w:outlineLvl w:val="9"/>
        <w:rPr>
          <w:rFonts w:ascii="宋体" w:hAnsi="宋体" w:eastAsia="宋体"/>
          <w:b/>
          <w:color w:val="000000"/>
          <w:sz w:val="21"/>
          <w:szCs w:val="21"/>
        </w:rPr>
      </w:pPr>
      <w:r>
        <w:rPr>
          <w:rFonts w:hint="eastAsia" w:ascii="宋体" w:hAnsi="宋体" w:eastAsia="宋体"/>
          <w:b/>
          <w:color w:val="000000"/>
          <w:sz w:val="21"/>
          <w:szCs w:val="21"/>
        </w:rPr>
        <w:t>如果不是，此项可以删除</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本公司（联合体）郑重声明，根据</w:t>
      </w:r>
      <w:r>
        <w:rPr>
          <w:rFonts w:hint="eastAsia" w:ascii="宋体" w:hAnsi="宋体" w:cs="宋体"/>
          <w:color w:val="auto"/>
          <w:sz w:val="24"/>
          <w:szCs w:val="24"/>
          <w:lang w:val="en-US" w:eastAsia="zh-CN"/>
        </w:rPr>
        <w:t>财政部《关于进一步加大政府采购支持中小企业力度的通知》（财库〔2022〕19号）</w:t>
      </w:r>
      <w:r>
        <w:rPr>
          <w:rFonts w:hint="eastAsia" w:ascii="宋体" w:hAnsi="宋体" w:cs="宋体"/>
          <w:color w:val="auto"/>
          <w:sz w:val="24"/>
          <w:szCs w:val="24"/>
        </w:rPr>
        <w:t>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numPr>
          <w:ilvl w:val="0"/>
          <w:numId w:val="2"/>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keepNext w:val="0"/>
        <w:keepLines w:val="0"/>
        <w:pageBreakBefore w:val="0"/>
        <w:widowControl/>
        <w:numPr>
          <w:ilvl w:val="0"/>
          <w:numId w:val="2"/>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pStyle w:val="41"/>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color w:val="auto"/>
          <w:sz w:val="24"/>
          <w:szCs w:val="24"/>
        </w:rPr>
      </w:pPr>
      <w:r>
        <w:rPr>
          <w:rFonts w:ascii="宋体" w:hAnsi="宋体" w:cs="宋体"/>
          <w:color w:val="auto"/>
          <w:sz w:val="24"/>
          <w:szCs w:val="24"/>
        </w:rPr>
        <w:t>……</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rPr>
        <w:t>（盖章）</w:t>
      </w:r>
    </w:p>
    <w:p>
      <w:pPr>
        <w:pStyle w:val="42"/>
        <w:keepNext w:val="0"/>
        <w:keepLines w:val="0"/>
        <w:pageBreakBefore w:val="0"/>
        <w:widowControl/>
        <w:kinsoku w:val="0"/>
        <w:overflowPunct/>
        <w:autoSpaceDE w:val="0"/>
        <w:autoSpaceDN w:val="0"/>
        <w:bidi w:val="0"/>
        <w:adjustRightInd w:val="0"/>
        <w:snapToGrid w:val="0"/>
        <w:spacing w:before="0" w:beforeAutospacing="0" w:after="0" w:afterAutospacing="0" w:line="360" w:lineRule="auto"/>
        <w:ind w:firstLine="480" w:firstLineChars="200"/>
        <w:jc w:val="both"/>
        <w:textAlignment w:val="baseline"/>
        <w:rPr>
          <w:color w:val="auto"/>
          <w:sz w:val="24"/>
          <w:szCs w:val="24"/>
        </w:rPr>
      </w:pPr>
      <w:r>
        <w:rPr>
          <w:rFonts w:hint="eastAsia" w:ascii="宋体" w:hAnsi="宋体" w:cs="宋体"/>
          <w:color w:val="auto"/>
          <w:sz w:val="24"/>
          <w:szCs w:val="24"/>
        </w:rPr>
        <w:t xml:space="preserve">                  </w:t>
      </w:r>
      <w:r>
        <w:rPr>
          <w:rFonts w:hint="eastAsia" w:cs="宋体"/>
          <w:color w:val="auto"/>
          <w:sz w:val="24"/>
          <w:szCs w:val="24"/>
          <w:lang w:val="en-US" w:eastAsia="zh-CN"/>
        </w:rPr>
        <w:t xml:space="preserve">                           </w:t>
      </w:r>
      <w:r>
        <w:rPr>
          <w:rFonts w:hint="eastAsia" w:ascii="宋体" w:hAnsi="宋体" w:cs="宋体"/>
          <w:color w:val="auto"/>
          <w:sz w:val="24"/>
          <w:szCs w:val="24"/>
        </w:rPr>
        <w:t>日期：</w:t>
      </w:r>
    </w:p>
    <w:p>
      <w:pPr>
        <w:widowControl/>
        <w:spacing w:line="240" w:lineRule="auto"/>
        <w:jc w:val="left"/>
        <w:outlineLvl w:val="9"/>
        <w:rPr>
          <w:rFonts w:ascii="宋体" w:hAnsi="宋体" w:eastAsia="宋体"/>
          <w:color w:val="000000"/>
          <w:szCs w:val="24"/>
        </w:rPr>
      </w:pPr>
      <w:r>
        <w:rPr>
          <w:rFonts w:ascii="宋体" w:hAnsi="宋体" w:eastAsia="宋体"/>
          <w:color w:val="000000"/>
          <w:szCs w:val="24"/>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2、监狱企业的认定标准</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省级及以上监狱管理局、戒毒管理局（含新疆生产建设兵团）出具的属于监狱企业的证明文件。监狱企业视同小型、微型企业。</w:t>
      </w:r>
    </w:p>
    <w:p>
      <w:pPr>
        <w:jc w:val="left"/>
        <w:outlineLvl w:val="9"/>
        <w:rPr>
          <w:rFonts w:ascii="宋体" w:hAnsi="宋体" w:eastAsia="宋体"/>
          <w:color w:val="000000"/>
          <w:sz w:val="21"/>
          <w:szCs w:val="21"/>
        </w:rPr>
      </w:pPr>
    </w:p>
    <w:p>
      <w:pPr>
        <w:jc w:val="left"/>
        <w:outlineLvl w:val="9"/>
        <w:rPr>
          <w:rFonts w:ascii="宋体" w:hAnsi="宋体" w:eastAsia="宋体"/>
          <w:color w:val="000000"/>
          <w:sz w:val="22"/>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3、残疾人福利性单位声明函</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hint="eastAsia" w:ascii="宋体" w:hAnsi="宋体" w:eastAsia="宋体"/>
          <w:color w:val="00000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单位名称（电子签章）：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日    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1、中标、成交供应商为残疾人福利性单位的，采购人或者集采机构将随中标、成交结果同时公告其《残疾人福利性单位声明函》，接受社会监督。</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2、供应商提供的《残疾人福利性单位声明函》与事实不符的，依照《政府采购法》第七十七条第一款的规定追究法律责任。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widowControl/>
        <w:spacing w:line="240" w:lineRule="auto"/>
        <w:jc w:val="left"/>
        <w:outlineLvl w:val="9"/>
        <w:rPr>
          <w:rFonts w:ascii="宋体" w:hAnsi="宋体" w:eastAsia="宋体"/>
          <w:color w:val="000000"/>
        </w:rPr>
      </w:pPr>
      <w:r>
        <w:rPr>
          <w:rFonts w:ascii="宋体" w:hAnsi="宋体" w:eastAsia="宋体"/>
          <w:color w:val="000000"/>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4、投标承诺函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致（采购人及采购代理机构）：</w:t>
      </w:r>
      <w:r>
        <w:rPr>
          <w:rFonts w:hint="eastAsia" w:ascii="宋体" w:hAnsi="宋体" w:eastAsia="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我公司作为本次采购项目的供应商，根据招标文件要求，现郑重承诺如下：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一、具备《中华人民共和国政府采购法》第二十二条第一款和本项目规定的条件：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（一）具有独立承担民事责任的能力；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（七）根据采购项目提出的特殊条件。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三、参加本次招标采购活动，不存在与单位负责人为同一人或者存在直接控股、管理关系的其他供应商参与同一合同项下的政府采购活动的行为。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四、参加本次招标采购活动，不存在为采购项目提供整体设计、规范编制或者项目管理、监理、检测等服务的行为。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五、参加本次招标采购活动，不存在和其他供应商在同一合同项下的采购项目中，同时委托同一个自然人、同一家庭的人员、同一单位的人员作为代理人的行为。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六、供应商参加本次政府采购活动要求在近三年内供应商和其法定代表人没有行贿犯罪行为。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七、参加本次招标采购活动，不存在联合体投标。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八、投标文件中提供的能够给予我公司带来优惠、好处的任何材料资料和技术、服务、商务等响应承诺情况都是真实的、有效的、合法的。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十、存在以下行为之一的愿意接受相关部门的处理：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（一）投标有效期内撤销投标文件的；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（二）在采购人确定中标人以前放弃中标候选资格的；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（三）由于中标人的原因未能按照招标文件的规定与采购人签订合同；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（四）由于中标人的原因未能按照招标文件的规定交纳履约保证金；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（五）在投标文件中提供虚假材料谋取中标；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（六）与采购人、其他供应商或者采购代理机构恶意串通的；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（七）投标有效期内，供应商在政府采购活动中有违法、违规、违纪行为。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由此产生的一切法律后果和责任由我公司承担。我公司声明放弃对此提出任何异议和追索的权利。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本公司对上述承诺的内容事项真实性负责。如经查实上述承诺的内容事项存在虚假，我公司愿意接受以提供虚假材料谋取中标追究法律责任。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供应商名称：</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法定代表人或授权代表：</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日</w:t>
      </w:r>
      <w:r>
        <w:rPr>
          <w:rFonts w:hint="eastAsia" w:ascii="宋体" w:hAnsi="宋体" w:eastAsia="宋体"/>
          <w:color w:val="000000"/>
          <w:sz w:val="24"/>
          <w:szCs w:val="24"/>
        </w:rPr>
        <w:t xml:space="preserve">    </w:t>
      </w:r>
      <w:r>
        <w:rPr>
          <w:rFonts w:ascii="宋体" w:hAnsi="宋体" w:eastAsia="宋体"/>
          <w:color w:val="000000"/>
          <w:sz w:val="24"/>
          <w:szCs w:val="24"/>
        </w:rPr>
        <w:t>期：</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outlineLvl w:val="9"/>
        <w:rPr>
          <w:rFonts w:hint="eastAsia" w:ascii="宋体" w:hAnsi="宋体" w:eastAsia="宋体"/>
          <w:b/>
          <w:bCs/>
          <w:color w:val="000000"/>
          <w:sz w:val="28"/>
          <w:szCs w:val="28"/>
        </w:rPr>
      </w:pPr>
      <w:r>
        <w:rPr>
          <w:rFonts w:hint="eastAsia" w:ascii="宋体" w:hAnsi="宋体" w:eastAsia="宋体"/>
          <w:b/>
          <w:bCs/>
          <w:color w:val="000000"/>
          <w:sz w:val="28"/>
          <w:szCs w:val="28"/>
        </w:rPr>
        <w:t>5、政府采购节能、环保产品汇总表</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kinsoku/>
        <w:wordWrap w:val="0"/>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项目名称：</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992"/>
        <w:gridCol w:w="993"/>
        <w:gridCol w:w="1559"/>
        <w:gridCol w:w="160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7"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序号</w:t>
            </w:r>
          </w:p>
        </w:tc>
        <w:tc>
          <w:tcPr>
            <w:tcW w:w="1134"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投报产品名称</w:t>
            </w:r>
          </w:p>
        </w:tc>
        <w:tc>
          <w:tcPr>
            <w:tcW w:w="992"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制造商</w:t>
            </w:r>
          </w:p>
        </w:tc>
        <w:tc>
          <w:tcPr>
            <w:tcW w:w="993"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产品品牌及型号</w:t>
            </w: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节能产品</w:t>
            </w:r>
          </w:p>
        </w:tc>
        <w:tc>
          <w:tcPr>
            <w:tcW w:w="1421"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17"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559"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是否属于强制采购产品</w:t>
            </w:r>
          </w:p>
        </w:tc>
        <w:tc>
          <w:tcPr>
            <w:tcW w:w="1606"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节能标志认证证书号</w:t>
            </w:r>
          </w:p>
        </w:tc>
        <w:tc>
          <w:tcPr>
            <w:tcW w:w="1421"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bl>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 xml:space="preserve"> </w:t>
      </w:r>
    </w:p>
    <w:p>
      <w:pPr>
        <w:keepNext w:val="0"/>
        <w:keepLines w:val="0"/>
        <w:pageBreakBefore w:val="0"/>
        <w:kinsoku/>
        <w:wordWrap w:val="0"/>
        <w:overflowPunct/>
        <w:topLinePunct w:val="0"/>
        <w:autoSpaceDE w:val="0"/>
        <w:autoSpaceDN w:val="0"/>
        <w:bidi w:val="0"/>
        <w:adjustRightInd/>
        <w:snapToGrid/>
        <w:spacing w:line="360" w:lineRule="auto"/>
        <w:jc w:val="right"/>
        <w:textAlignment w:val="auto"/>
        <w:outlineLvl w:val="9"/>
        <w:rPr>
          <w:rFonts w:ascii="宋体" w:hAnsi="宋体" w:eastAsia="宋体"/>
          <w:color w:val="000000"/>
          <w:sz w:val="24"/>
          <w:szCs w:val="24"/>
          <w:u w:val="single"/>
        </w:rPr>
      </w:pPr>
      <w:r>
        <w:rPr>
          <w:rFonts w:ascii="宋体" w:hAnsi="宋体" w:eastAsia="宋体"/>
          <w:color w:val="000000"/>
          <w:sz w:val="24"/>
          <w:szCs w:val="24"/>
        </w:rPr>
        <w:t>投标人（</w:t>
      </w:r>
      <w:r>
        <w:rPr>
          <w:rFonts w:hint="eastAsia" w:ascii="宋体" w:hAnsi="宋体" w:eastAsia="宋体"/>
          <w:color w:val="000000"/>
          <w:sz w:val="24"/>
          <w:szCs w:val="24"/>
        </w:rPr>
        <w:t>电子签章</w:t>
      </w:r>
      <w:r>
        <w:rPr>
          <w:rFonts w:ascii="宋体" w:hAnsi="宋体" w:eastAsia="宋体"/>
          <w:color w:val="000000"/>
          <w:sz w:val="24"/>
          <w:szCs w:val="24"/>
        </w:rPr>
        <w:t>）：</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p>
    <w:p>
      <w:pPr>
        <w:keepNext w:val="0"/>
        <w:keepLines w:val="0"/>
        <w:pageBreakBefore w:val="0"/>
        <w:kinsoku/>
        <w:wordWrap w:val="0"/>
        <w:overflowPunct/>
        <w:topLinePunct w:val="0"/>
        <w:autoSpaceDE w:val="0"/>
        <w:autoSpaceDN w:val="0"/>
        <w:bidi w:val="0"/>
        <w:adjustRightInd/>
        <w:snapToGrid/>
        <w:spacing w:line="360" w:lineRule="auto"/>
        <w:jc w:val="right"/>
        <w:textAlignment w:val="auto"/>
        <w:outlineLvl w:val="9"/>
        <w:rPr>
          <w:rFonts w:ascii="宋体" w:hAnsi="宋体" w:eastAsia="宋体"/>
          <w:color w:val="000000"/>
          <w:sz w:val="24"/>
          <w:szCs w:val="24"/>
          <w:u w:val="single"/>
        </w:rPr>
      </w:pPr>
      <w:r>
        <w:rPr>
          <w:rFonts w:ascii="宋体" w:hAnsi="宋体" w:eastAsia="宋体"/>
          <w:color w:val="000000"/>
          <w:sz w:val="24"/>
          <w:szCs w:val="24"/>
        </w:rPr>
        <w:t>法定代表人（</w:t>
      </w:r>
      <w:r>
        <w:rPr>
          <w:rFonts w:hint="eastAsia" w:ascii="宋体" w:hAnsi="宋体" w:eastAsia="宋体"/>
          <w:color w:val="000000"/>
          <w:sz w:val="24"/>
          <w:szCs w:val="24"/>
        </w:rPr>
        <w:t>电子签章</w:t>
      </w:r>
      <w:r>
        <w:rPr>
          <w:rFonts w:ascii="宋体" w:hAnsi="宋体" w:eastAsia="宋体"/>
          <w:color w:val="000000"/>
          <w:sz w:val="24"/>
          <w:szCs w:val="24"/>
        </w:rPr>
        <w:t>）：</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p>
    <w:p>
      <w:pPr>
        <w:keepNext w:val="0"/>
        <w:keepLines w:val="0"/>
        <w:pageBreakBefore w:val="0"/>
        <w:kinsoku/>
        <w:wordWrap w:val="0"/>
        <w:overflowPunct/>
        <w:topLinePunct w:val="0"/>
        <w:autoSpaceDE w:val="0"/>
        <w:autoSpaceDN w:val="0"/>
        <w:bidi w:val="0"/>
        <w:adjustRightInd/>
        <w:snapToGrid/>
        <w:spacing w:line="360" w:lineRule="auto"/>
        <w:jc w:val="right"/>
        <w:textAlignment w:val="auto"/>
        <w:outlineLvl w:val="9"/>
        <w:rPr>
          <w:rFonts w:ascii="宋体" w:hAnsi="宋体" w:eastAsia="宋体"/>
          <w:color w:val="000000"/>
          <w:sz w:val="24"/>
          <w:szCs w:val="24"/>
        </w:rPr>
      </w:pPr>
      <w:r>
        <w:rPr>
          <w:rFonts w:ascii="宋体" w:hAnsi="宋体" w:eastAsia="宋体"/>
          <w:color w:val="000000"/>
          <w:sz w:val="24"/>
          <w:szCs w:val="24"/>
        </w:rPr>
        <w:t>日期：</w:t>
      </w:r>
      <w:r>
        <w:rPr>
          <w:rFonts w:hint="eastAsia" w:ascii="宋体" w:hAnsi="宋体" w:eastAsia="宋体"/>
          <w:color w:val="000000"/>
          <w:sz w:val="24"/>
          <w:szCs w:val="24"/>
          <w:u w:val="single"/>
        </w:rPr>
        <w:t xml:space="preserve">      </w:t>
      </w:r>
      <w:r>
        <w:rPr>
          <w:rFonts w:ascii="宋体" w:hAnsi="宋体" w:eastAsia="宋体"/>
          <w:color w:val="000000"/>
          <w:sz w:val="24"/>
          <w:szCs w:val="24"/>
        </w:rPr>
        <w:t>年</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月</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日</w:t>
      </w: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黑体" w:hAnsi="黑体" w:eastAsia="黑体"/>
          <w:color w:val="000000"/>
          <w:sz w:val="24"/>
          <w:szCs w:val="24"/>
        </w:rPr>
      </w:pP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黑体" w:hAnsi="黑体" w:eastAsia="黑体"/>
          <w:color w:val="000000"/>
          <w:sz w:val="24"/>
          <w:szCs w:val="24"/>
        </w:rPr>
      </w:pP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注：1、本表只填写属于政府采购节能或环保产品的投标产品，无相应产品的本表可以</w:t>
      </w:r>
      <w:r>
        <w:rPr>
          <w:rFonts w:hint="eastAsia" w:ascii="宋体" w:hAnsi="宋体" w:eastAsia="宋体"/>
          <w:color w:val="000000"/>
          <w:sz w:val="24"/>
          <w:szCs w:val="24"/>
        </w:rPr>
        <w:t>删除</w:t>
      </w:r>
      <w:r>
        <w:rPr>
          <w:rFonts w:ascii="宋体" w:hAnsi="宋体" w:eastAsia="宋体"/>
          <w:color w:val="000000"/>
          <w:sz w:val="24"/>
          <w:szCs w:val="24"/>
        </w:rPr>
        <w:t>。</w:t>
      </w:r>
    </w:p>
    <w:p>
      <w:pPr>
        <w:keepNext w:val="0"/>
        <w:keepLines w:val="0"/>
        <w:pageBreakBefore w:val="0"/>
        <w:kinsoku/>
        <w:overflowPunct/>
        <w:topLinePunct w:val="0"/>
        <w:autoSpaceDE w:val="0"/>
        <w:autoSpaceDN w:val="0"/>
        <w:bidi w:val="0"/>
        <w:adjustRightInd/>
        <w:snapToGrid/>
        <w:spacing w:line="360" w:lineRule="auto"/>
        <w:ind w:firstLine="405"/>
        <w:textAlignment w:val="auto"/>
        <w:outlineLvl w:val="9"/>
        <w:rPr>
          <w:rFonts w:ascii="宋体" w:hAnsi="宋体" w:eastAsia="宋体"/>
          <w:color w:val="000000"/>
          <w:sz w:val="24"/>
          <w:szCs w:val="24"/>
        </w:rPr>
      </w:pPr>
      <w:r>
        <w:rPr>
          <w:rFonts w:ascii="宋体" w:hAnsi="宋体" w:eastAsia="宋体"/>
          <w:color w:val="000000"/>
          <w:sz w:val="24"/>
          <w:szCs w:val="24"/>
        </w:rPr>
        <w:t xml:space="preserve">2、认证证书编号必须填写《节能产品政府采购清单》中的节字标志认证证书号、或《环境标志产品政府采购清单》中的认证证书编号，否则评委会不予认可。 </w:t>
      </w:r>
    </w:p>
    <w:p>
      <w:pPr>
        <w:keepNext w:val="0"/>
        <w:keepLines w:val="0"/>
        <w:pageBreakBefore w:val="0"/>
        <w:widowControl/>
        <w:kinsoku/>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3、《节能产品政府采购清单》、《环境标志产品政府采购清单》均以国家有关部门公布的最新一期公布的内容为准</w:t>
      </w:r>
      <w:r>
        <w:rPr>
          <w:rFonts w:hint="eastAsia" w:ascii="宋体" w:hAnsi="宋体" w:eastAsia="宋体"/>
          <w:color w:val="000000"/>
          <w:sz w:val="24"/>
          <w:szCs w:val="24"/>
        </w:rPr>
        <w:t>且必须在有效期内</w:t>
      </w:r>
      <w:r>
        <w:rPr>
          <w:rFonts w:ascii="宋体" w:hAnsi="宋体" w:eastAsia="宋体"/>
          <w:color w:val="000000"/>
          <w:sz w:val="24"/>
          <w:szCs w:val="24"/>
        </w:rPr>
        <w:t>，否则评委会不予认可。</w:t>
      </w:r>
    </w:p>
    <w:p>
      <w:pPr>
        <w:keepNext w:val="0"/>
        <w:keepLines w:val="0"/>
        <w:pageBreakBefore w:val="0"/>
        <w:widowControl/>
        <w:kinsoku/>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hint="eastAsia" w:ascii="宋体" w:hAnsi="宋体" w:eastAsia="宋体"/>
          <w:color w:val="000000"/>
          <w:sz w:val="24"/>
          <w:szCs w:val="24"/>
        </w:rPr>
        <w:t>4、如采购人所采购产品为政府强制采购的节能产品，投标人所投产品的品牌及型号必须为清单中有效期内产品并提供证明文件，否则其投标将被认定为投标无效。</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outlineLvl w:val="9"/>
        <w:rPr>
          <w:rFonts w:ascii="宋体" w:hAnsi="宋体" w:eastAsia="宋体"/>
          <w:b/>
          <w:bCs/>
          <w:color w:val="000000"/>
          <w:sz w:val="28"/>
          <w:szCs w:val="28"/>
        </w:rPr>
      </w:pPr>
      <w:r>
        <w:rPr>
          <w:rFonts w:hint="eastAsia" w:ascii="宋体" w:hAnsi="宋体" w:eastAsia="宋体"/>
          <w:b/>
          <w:bCs/>
          <w:color w:val="000000"/>
          <w:sz w:val="28"/>
          <w:szCs w:val="28"/>
        </w:rPr>
        <w:t>6、其他资料</w:t>
      </w:r>
    </w:p>
    <w:p>
      <w:pPr>
        <w:outlineLvl w:val="9"/>
        <w:rPr>
          <w:color w:val="000000"/>
        </w:rPr>
      </w:pPr>
    </w:p>
    <w:p>
      <w:pPr>
        <w:outlineLvl w:val="9"/>
        <w:rPr>
          <w:rFonts w:hint="eastAsia"/>
          <w:color w:val="000000"/>
          <w:lang w:eastAsia="zh-CN"/>
        </w:rPr>
      </w:pPr>
    </w:p>
    <w:sectPr>
      <w:headerReference r:id="rId10" w:type="default"/>
      <w:footerReference r:id="rId11" w:type="default"/>
      <w:pgSz w:w="11907" w:h="16839"/>
      <w:pgMar w:top="1476" w:right="980" w:bottom="1114" w:left="1051" w:header="1155" w:footer="84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96"/>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lang w:val="en-US" w:eastAsia="zh-CN"/>
      </w:rPr>
      <w:t>唐河县唐兴工程造价咨询有限公司</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Theme="minorEastAsia" w:hAnsiTheme="minorEastAsia" w:eastAsiaTheme="minorEastAsia"/>
        <w:sz w:val="24"/>
        <w:szCs w:val="24"/>
        <w:lang w:val="en-US" w:eastAsia="zh-CN"/>
      </w:rPr>
      <w:t>唐河县2023年度产油大县奖励资金扶持(种植类)项目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0AF93"/>
    <w:multiLevelType w:val="singleLevel"/>
    <w:tmpl w:val="D020AF93"/>
    <w:lvl w:ilvl="0" w:tentative="0">
      <w:start w:val="3"/>
      <w:numFmt w:val="chineseCounting"/>
      <w:suff w:val="space"/>
      <w:lvlText w:val="第%1部分"/>
      <w:lvlJc w:val="left"/>
      <w:rPr>
        <w:rFonts w:hint="eastAsia"/>
      </w:rPr>
    </w:lvl>
  </w:abstractNum>
  <w:abstractNum w:abstractNumId="1">
    <w:nsid w:val="60E696DE"/>
    <w:multiLevelType w:val="singleLevel"/>
    <w:tmpl w:val="60E696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7"/>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MTA0YjkyNjU3NzQxZWM1ZTM4MzUzMjE4ZDUwMTgifQ=="/>
  </w:docVars>
  <w:rsids>
    <w:rsidRoot w:val="00D338C7"/>
    <w:rsid w:val="00022BA0"/>
    <w:rsid w:val="0004448B"/>
    <w:rsid w:val="00050194"/>
    <w:rsid w:val="00053090"/>
    <w:rsid w:val="000730AF"/>
    <w:rsid w:val="00092E79"/>
    <w:rsid w:val="000A0550"/>
    <w:rsid w:val="000C1D84"/>
    <w:rsid w:val="00106B90"/>
    <w:rsid w:val="0014157B"/>
    <w:rsid w:val="001B5BD7"/>
    <w:rsid w:val="001D7F67"/>
    <w:rsid w:val="00224DCC"/>
    <w:rsid w:val="002869C7"/>
    <w:rsid w:val="00297E43"/>
    <w:rsid w:val="002E3803"/>
    <w:rsid w:val="00301DA3"/>
    <w:rsid w:val="00303F39"/>
    <w:rsid w:val="0035574D"/>
    <w:rsid w:val="003659BE"/>
    <w:rsid w:val="003D7E65"/>
    <w:rsid w:val="003F33A1"/>
    <w:rsid w:val="004026DC"/>
    <w:rsid w:val="00415731"/>
    <w:rsid w:val="004431E4"/>
    <w:rsid w:val="00452340"/>
    <w:rsid w:val="004B69A7"/>
    <w:rsid w:val="00515C5E"/>
    <w:rsid w:val="005655DE"/>
    <w:rsid w:val="005B4887"/>
    <w:rsid w:val="005C0441"/>
    <w:rsid w:val="005E4DA5"/>
    <w:rsid w:val="006232FE"/>
    <w:rsid w:val="006240E1"/>
    <w:rsid w:val="00656955"/>
    <w:rsid w:val="00663039"/>
    <w:rsid w:val="006A09F1"/>
    <w:rsid w:val="006F2546"/>
    <w:rsid w:val="007078DD"/>
    <w:rsid w:val="00733264"/>
    <w:rsid w:val="00804B7B"/>
    <w:rsid w:val="00852BA5"/>
    <w:rsid w:val="00862167"/>
    <w:rsid w:val="0086394B"/>
    <w:rsid w:val="00872711"/>
    <w:rsid w:val="00887C76"/>
    <w:rsid w:val="008D0156"/>
    <w:rsid w:val="0094465D"/>
    <w:rsid w:val="00952A4D"/>
    <w:rsid w:val="00963A15"/>
    <w:rsid w:val="00970099"/>
    <w:rsid w:val="0097673D"/>
    <w:rsid w:val="00A07604"/>
    <w:rsid w:val="00A42031"/>
    <w:rsid w:val="00AB05F6"/>
    <w:rsid w:val="00AB589F"/>
    <w:rsid w:val="00B35DE0"/>
    <w:rsid w:val="00B81B4E"/>
    <w:rsid w:val="00C656BD"/>
    <w:rsid w:val="00CC3828"/>
    <w:rsid w:val="00CC5788"/>
    <w:rsid w:val="00CE4BC2"/>
    <w:rsid w:val="00D10B55"/>
    <w:rsid w:val="00D12FA9"/>
    <w:rsid w:val="00D338C7"/>
    <w:rsid w:val="00D670F7"/>
    <w:rsid w:val="00D96AD7"/>
    <w:rsid w:val="00DA246D"/>
    <w:rsid w:val="00E476FC"/>
    <w:rsid w:val="00E64236"/>
    <w:rsid w:val="00E64B6E"/>
    <w:rsid w:val="00E72182"/>
    <w:rsid w:val="00F35AAE"/>
    <w:rsid w:val="00F878FF"/>
    <w:rsid w:val="00FF6ED5"/>
    <w:rsid w:val="013E60BA"/>
    <w:rsid w:val="01E74ACC"/>
    <w:rsid w:val="01EC24EE"/>
    <w:rsid w:val="02217FDE"/>
    <w:rsid w:val="02753E85"/>
    <w:rsid w:val="02BC1AB4"/>
    <w:rsid w:val="02D0730E"/>
    <w:rsid w:val="02EE3C38"/>
    <w:rsid w:val="03391357"/>
    <w:rsid w:val="03C447E8"/>
    <w:rsid w:val="03D90444"/>
    <w:rsid w:val="049B2465"/>
    <w:rsid w:val="04E9617C"/>
    <w:rsid w:val="051A08DE"/>
    <w:rsid w:val="054F4D36"/>
    <w:rsid w:val="057F6DC9"/>
    <w:rsid w:val="05926AFC"/>
    <w:rsid w:val="05B66197"/>
    <w:rsid w:val="05B94CC6"/>
    <w:rsid w:val="05CA273A"/>
    <w:rsid w:val="060E6ACB"/>
    <w:rsid w:val="064E6EC7"/>
    <w:rsid w:val="065F7A31"/>
    <w:rsid w:val="06ED0690"/>
    <w:rsid w:val="071F62A0"/>
    <w:rsid w:val="07B264E2"/>
    <w:rsid w:val="07B62F76"/>
    <w:rsid w:val="081E4FBF"/>
    <w:rsid w:val="08411306"/>
    <w:rsid w:val="08536A17"/>
    <w:rsid w:val="085B3B1D"/>
    <w:rsid w:val="08A13C26"/>
    <w:rsid w:val="08B24B37"/>
    <w:rsid w:val="08FD2989"/>
    <w:rsid w:val="09931095"/>
    <w:rsid w:val="099611F2"/>
    <w:rsid w:val="09C95A46"/>
    <w:rsid w:val="09DA45B5"/>
    <w:rsid w:val="09FF7D5E"/>
    <w:rsid w:val="0A177DA3"/>
    <w:rsid w:val="0A7D6C81"/>
    <w:rsid w:val="0A9308AA"/>
    <w:rsid w:val="0A9F63AB"/>
    <w:rsid w:val="0AAB25E3"/>
    <w:rsid w:val="0AE2753F"/>
    <w:rsid w:val="0BA25F56"/>
    <w:rsid w:val="0BA80E28"/>
    <w:rsid w:val="0BE81B6C"/>
    <w:rsid w:val="0BEE4152"/>
    <w:rsid w:val="0C1C35C4"/>
    <w:rsid w:val="0C3D1245"/>
    <w:rsid w:val="0C403756"/>
    <w:rsid w:val="0C6F5DE9"/>
    <w:rsid w:val="0C8D626F"/>
    <w:rsid w:val="0CD12600"/>
    <w:rsid w:val="0D101EA1"/>
    <w:rsid w:val="0D416904"/>
    <w:rsid w:val="0E09014F"/>
    <w:rsid w:val="0E465D89"/>
    <w:rsid w:val="0E534525"/>
    <w:rsid w:val="0E851528"/>
    <w:rsid w:val="0EB55CAD"/>
    <w:rsid w:val="0ED91C40"/>
    <w:rsid w:val="0F046CBD"/>
    <w:rsid w:val="0F5341AC"/>
    <w:rsid w:val="0F81030D"/>
    <w:rsid w:val="0F820EF8"/>
    <w:rsid w:val="0F9847C0"/>
    <w:rsid w:val="1053332C"/>
    <w:rsid w:val="105570A4"/>
    <w:rsid w:val="105B2B57"/>
    <w:rsid w:val="1082402E"/>
    <w:rsid w:val="10A65B52"/>
    <w:rsid w:val="10BD35C7"/>
    <w:rsid w:val="10DB00FA"/>
    <w:rsid w:val="10DE5F2D"/>
    <w:rsid w:val="11226326"/>
    <w:rsid w:val="11401CD0"/>
    <w:rsid w:val="11934328"/>
    <w:rsid w:val="11943BFC"/>
    <w:rsid w:val="11AA26F8"/>
    <w:rsid w:val="11EB4A57"/>
    <w:rsid w:val="129C6B7B"/>
    <w:rsid w:val="12B27DE5"/>
    <w:rsid w:val="12D15108"/>
    <w:rsid w:val="12EA4EB3"/>
    <w:rsid w:val="12FA3BCB"/>
    <w:rsid w:val="12FB6B0F"/>
    <w:rsid w:val="139454AD"/>
    <w:rsid w:val="13B77BD4"/>
    <w:rsid w:val="13C9209F"/>
    <w:rsid w:val="13D11138"/>
    <w:rsid w:val="13D419F1"/>
    <w:rsid w:val="13D555E0"/>
    <w:rsid w:val="13D749A0"/>
    <w:rsid w:val="13F15AF0"/>
    <w:rsid w:val="143D057B"/>
    <w:rsid w:val="14597A10"/>
    <w:rsid w:val="147974B3"/>
    <w:rsid w:val="148D56A6"/>
    <w:rsid w:val="14B7032D"/>
    <w:rsid w:val="15035D08"/>
    <w:rsid w:val="15527DE0"/>
    <w:rsid w:val="156906A4"/>
    <w:rsid w:val="157136E6"/>
    <w:rsid w:val="15D078F9"/>
    <w:rsid w:val="16166C9E"/>
    <w:rsid w:val="16333219"/>
    <w:rsid w:val="164F240A"/>
    <w:rsid w:val="169721C5"/>
    <w:rsid w:val="175C2FFC"/>
    <w:rsid w:val="17777A03"/>
    <w:rsid w:val="181A30AD"/>
    <w:rsid w:val="18391B2C"/>
    <w:rsid w:val="183E32DD"/>
    <w:rsid w:val="18422604"/>
    <w:rsid w:val="185D2F9A"/>
    <w:rsid w:val="18603BAC"/>
    <w:rsid w:val="18610CDC"/>
    <w:rsid w:val="1880365D"/>
    <w:rsid w:val="189015C1"/>
    <w:rsid w:val="18A51579"/>
    <w:rsid w:val="18AC4C18"/>
    <w:rsid w:val="18BF3C55"/>
    <w:rsid w:val="18C80D5B"/>
    <w:rsid w:val="19241D0A"/>
    <w:rsid w:val="19422A47"/>
    <w:rsid w:val="194303E2"/>
    <w:rsid w:val="19606E0E"/>
    <w:rsid w:val="19AE2A71"/>
    <w:rsid w:val="1A5F57B3"/>
    <w:rsid w:val="1A9058A9"/>
    <w:rsid w:val="1B0244A0"/>
    <w:rsid w:val="1B51192B"/>
    <w:rsid w:val="1B740D26"/>
    <w:rsid w:val="1BC74CD4"/>
    <w:rsid w:val="1BF400B9"/>
    <w:rsid w:val="1C161DDD"/>
    <w:rsid w:val="1CC21F65"/>
    <w:rsid w:val="1D9220A3"/>
    <w:rsid w:val="1DAC0C4B"/>
    <w:rsid w:val="1E2C58E8"/>
    <w:rsid w:val="1E343E2C"/>
    <w:rsid w:val="1E3F47A1"/>
    <w:rsid w:val="1E551145"/>
    <w:rsid w:val="1E5E03A2"/>
    <w:rsid w:val="1E935967"/>
    <w:rsid w:val="1EB853CE"/>
    <w:rsid w:val="1EC00414"/>
    <w:rsid w:val="1ED57D2E"/>
    <w:rsid w:val="1F844BF7"/>
    <w:rsid w:val="1F852C37"/>
    <w:rsid w:val="1F903C55"/>
    <w:rsid w:val="1FB931AC"/>
    <w:rsid w:val="1FBB131D"/>
    <w:rsid w:val="20102AB4"/>
    <w:rsid w:val="202A0302"/>
    <w:rsid w:val="205E6558"/>
    <w:rsid w:val="20E92118"/>
    <w:rsid w:val="211D59BC"/>
    <w:rsid w:val="218B53BC"/>
    <w:rsid w:val="21D01390"/>
    <w:rsid w:val="2224589A"/>
    <w:rsid w:val="22A06F82"/>
    <w:rsid w:val="22BD1205"/>
    <w:rsid w:val="23722594"/>
    <w:rsid w:val="238166D6"/>
    <w:rsid w:val="23E40A13"/>
    <w:rsid w:val="23E6338E"/>
    <w:rsid w:val="23EE6948"/>
    <w:rsid w:val="23FE3883"/>
    <w:rsid w:val="244871F4"/>
    <w:rsid w:val="25034EC9"/>
    <w:rsid w:val="250E58CE"/>
    <w:rsid w:val="2572620D"/>
    <w:rsid w:val="25BF16E7"/>
    <w:rsid w:val="25E62821"/>
    <w:rsid w:val="25FF16E3"/>
    <w:rsid w:val="262B46D7"/>
    <w:rsid w:val="262C2F2D"/>
    <w:rsid w:val="262D66A1"/>
    <w:rsid w:val="264F6618"/>
    <w:rsid w:val="268C3628"/>
    <w:rsid w:val="26B7449F"/>
    <w:rsid w:val="271138CD"/>
    <w:rsid w:val="277C4CD3"/>
    <w:rsid w:val="278C6174"/>
    <w:rsid w:val="281E2746"/>
    <w:rsid w:val="284657F9"/>
    <w:rsid w:val="28596E8D"/>
    <w:rsid w:val="287A7C91"/>
    <w:rsid w:val="289C7B0E"/>
    <w:rsid w:val="292F2E7A"/>
    <w:rsid w:val="297D16EE"/>
    <w:rsid w:val="298E38FB"/>
    <w:rsid w:val="29994F05"/>
    <w:rsid w:val="29A55926"/>
    <w:rsid w:val="29CC61D1"/>
    <w:rsid w:val="29ED3679"/>
    <w:rsid w:val="29F210CD"/>
    <w:rsid w:val="29FC6AB7"/>
    <w:rsid w:val="2A864AC8"/>
    <w:rsid w:val="2AF13FF8"/>
    <w:rsid w:val="2AFC7D87"/>
    <w:rsid w:val="2B541D59"/>
    <w:rsid w:val="2B640F19"/>
    <w:rsid w:val="2BB26D03"/>
    <w:rsid w:val="2BC301B3"/>
    <w:rsid w:val="2BE27F2E"/>
    <w:rsid w:val="2BF47AC9"/>
    <w:rsid w:val="2C5A3F68"/>
    <w:rsid w:val="2C6B3A80"/>
    <w:rsid w:val="2C6F76C7"/>
    <w:rsid w:val="2DD83397"/>
    <w:rsid w:val="2DEA4E78"/>
    <w:rsid w:val="2E277E7A"/>
    <w:rsid w:val="2E3F3416"/>
    <w:rsid w:val="2E5D1D7F"/>
    <w:rsid w:val="2E625356"/>
    <w:rsid w:val="2ED81174"/>
    <w:rsid w:val="2F5A7DDB"/>
    <w:rsid w:val="2F857B57"/>
    <w:rsid w:val="2FBC45F2"/>
    <w:rsid w:val="2FC647F3"/>
    <w:rsid w:val="2FCE6659"/>
    <w:rsid w:val="2FEC443F"/>
    <w:rsid w:val="302F442C"/>
    <w:rsid w:val="304C5976"/>
    <w:rsid w:val="30627EB2"/>
    <w:rsid w:val="306727B0"/>
    <w:rsid w:val="30D77936"/>
    <w:rsid w:val="312F769E"/>
    <w:rsid w:val="313E0EC8"/>
    <w:rsid w:val="31B71515"/>
    <w:rsid w:val="32B06690"/>
    <w:rsid w:val="32BC7515"/>
    <w:rsid w:val="32D6600F"/>
    <w:rsid w:val="33092244"/>
    <w:rsid w:val="33EF4F96"/>
    <w:rsid w:val="33F97BC3"/>
    <w:rsid w:val="341B2AA7"/>
    <w:rsid w:val="341D4E49"/>
    <w:rsid w:val="34401C96"/>
    <w:rsid w:val="346D235F"/>
    <w:rsid w:val="34C04B85"/>
    <w:rsid w:val="34C12802"/>
    <w:rsid w:val="34EC597A"/>
    <w:rsid w:val="351153E0"/>
    <w:rsid w:val="352D68EF"/>
    <w:rsid w:val="353D711A"/>
    <w:rsid w:val="353F1F4D"/>
    <w:rsid w:val="358B0CEF"/>
    <w:rsid w:val="35A66F4F"/>
    <w:rsid w:val="35F165B8"/>
    <w:rsid w:val="361726E3"/>
    <w:rsid w:val="364332E7"/>
    <w:rsid w:val="36C070BE"/>
    <w:rsid w:val="36D44054"/>
    <w:rsid w:val="371B2546"/>
    <w:rsid w:val="3728631E"/>
    <w:rsid w:val="374B4BD9"/>
    <w:rsid w:val="38543F62"/>
    <w:rsid w:val="38983E4E"/>
    <w:rsid w:val="38C8225A"/>
    <w:rsid w:val="398512D2"/>
    <w:rsid w:val="399B7293"/>
    <w:rsid w:val="39B21C33"/>
    <w:rsid w:val="39E6508D"/>
    <w:rsid w:val="39E92488"/>
    <w:rsid w:val="3A1A4D37"/>
    <w:rsid w:val="3AAD56C8"/>
    <w:rsid w:val="3B082DE1"/>
    <w:rsid w:val="3B0D711A"/>
    <w:rsid w:val="3B8A37F6"/>
    <w:rsid w:val="3BDF1D94"/>
    <w:rsid w:val="3C8D52F9"/>
    <w:rsid w:val="3C8E1FD4"/>
    <w:rsid w:val="3D09675B"/>
    <w:rsid w:val="3D877FA8"/>
    <w:rsid w:val="3DB52E38"/>
    <w:rsid w:val="3DE12581"/>
    <w:rsid w:val="3E004607"/>
    <w:rsid w:val="3E7D3A24"/>
    <w:rsid w:val="3E8F7AA2"/>
    <w:rsid w:val="3EBE0387"/>
    <w:rsid w:val="3EDB4A95"/>
    <w:rsid w:val="3FD724E6"/>
    <w:rsid w:val="3FDF7BBB"/>
    <w:rsid w:val="40583DB1"/>
    <w:rsid w:val="40953369"/>
    <w:rsid w:val="40BE641C"/>
    <w:rsid w:val="40D043A1"/>
    <w:rsid w:val="41072EE9"/>
    <w:rsid w:val="4134048C"/>
    <w:rsid w:val="41686388"/>
    <w:rsid w:val="41EE0F83"/>
    <w:rsid w:val="41F071EA"/>
    <w:rsid w:val="41FE3669"/>
    <w:rsid w:val="42100A2E"/>
    <w:rsid w:val="424D048E"/>
    <w:rsid w:val="425132C0"/>
    <w:rsid w:val="42764AD5"/>
    <w:rsid w:val="42C40215"/>
    <w:rsid w:val="42DD01B9"/>
    <w:rsid w:val="432151A6"/>
    <w:rsid w:val="43244531"/>
    <w:rsid w:val="43331C01"/>
    <w:rsid w:val="43486471"/>
    <w:rsid w:val="436A4639"/>
    <w:rsid w:val="43D917BF"/>
    <w:rsid w:val="44087827"/>
    <w:rsid w:val="44165EB2"/>
    <w:rsid w:val="44A1408B"/>
    <w:rsid w:val="44A27E03"/>
    <w:rsid w:val="44B31C25"/>
    <w:rsid w:val="45146224"/>
    <w:rsid w:val="45356EC9"/>
    <w:rsid w:val="45835E86"/>
    <w:rsid w:val="459040FF"/>
    <w:rsid w:val="45E713DD"/>
    <w:rsid w:val="465A6BE7"/>
    <w:rsid w:val="46607AB3"/>
    <w:rsid w:val="46D46C6F"/>
    <w:rsid w:val="473A7753"/>
    <w:rsid w:val="473C009B"/>
    <w:rsid w:val="478210C3"/>
    <w:rsid w:val="480449EC"/>
    <w:rsid w:val="482E5B2A"/>
    <w:rsid w:val="488717E9"/>
    <w:rsid w:val="491C4628"/>
    <w:rsid w:val="49CB6F36"/>
    <w:rsid w:val="4A0A4F6C"/>
    <w:rsid w:val="4A3B4613"/>
    <w:rsid w:val="4A5E47CC"/>
    <w:rsid w:val="4A9662D5"/>
    <w:rsid w:val="4AE56CE5"/>
    <w:rsid w:val="4B430C4B"/>
    <w:rsid w:val="4B7818BD"/>
    <w:rsid w:val="4BCB5B62"/>
    <w:rsid w:val="4C212D79"/>
    <w:rsid w:val="4C502C78"/>
    <w:rsid w:val="4C971E6C"/>
    <w:rsid w:val="4CA961D2"/>
    <w:rsid w:val="4E1753BE"/>
    <w:rsid w:val="4E6F4101"/>
    <w:rsid w:val="4EB513C3"/>
    <w:rsid w:val="4ECF2AAF"/>
    <w:rsid w:val="50373AF5"/>
    <w:rsid w:val="50904805"/>
    <w:rsid w:val="51025EB1"/>
    <w:rsid w:val="51620BA4"/>
    <w:rsid w:val="51790966"/>
    <w:rsid w:val="527B23BF"/>
    <w:rsid w:val="527C6137"/>
    <w:rsid w:val="52A55715"/>
    <w:rsid w:val="52BB5860"/>
    <w:rsid w:val="52D71D07"/>
    <w:rsid w:val="52F15371"/>
    <w:rsid w:val="530C74BB"/>
    <w:rsid w:val="530E3233"/>
    <w:rsid w:val="53135EC7"/>
    <w:rsid w:val="53312A7E"/>
    <w:rsid w:val="53473D49"/>
    <w:rsid w:val="53DF072C"/>
    <w:rsid w:val="53E65947"/>
    <w:rsid w:val="542A128E"/>
    <w:rsid w:val="54713E0E"/>
    <w:rsid w:val="54954EE5"/>
    <w:rsid w:val="54D04518"/>
    <w:rsid w:val="552C79A0"/>
    <w:rsid w:val="55317208"/>
    <w:rsid w:val="55376425"/>
    <w:rsid w:val="558D768C"/>
    <w:rsid w:val="562260D0"/>
    <w:rsid w:val="56463E1B"/>
    <w:rsid w:val="566E5D97"/>
    <w:rsid w:val="567477CB"/>
    <w:rsid w:val="568D3B12"/>
    <w:rsid w:val="56921A85"/>
    <w:rsid w:val="574D67C4"/>
    <w:rsid w:val="575024A4"/>
    <w:rsid w:val="57786E78"/>
    <w:rsid w:val="57A4443B"/>
    <w:rsid w:val="57DD31D4"/>
    <w:rsid w:val="57F32908"/>
    <w:rsid w:val="580544D9"/>
    <w:rsid w:val="58201313"/>
    <w:rsid w:val="58AC2BA6"/>
    <w:rsid w:val="58C03626"/>
    <w:rsid w:val="591470C9"/>
    <w:rsid w:val="593E5EF4"/>
    <w:rsid w:val="594D7513"/>
    <w:rsid w:val="5972081E"/>
    <w:rsid w:val="59C3464B"/>
    <w:rsid w:val="5A6307F6"/>
    <w:rsid w:val="5A6F1F67"/>
    <w:rsid w:val="5AD1124F"/>
    <w:rsid w:val="5B0920E0"/>
    <w:rsid w:val="5B501F0F"/>
    <w:rsid w:val="5B8A71CF"/>
    <w:rsid w:val="5CA97F1F"/>
    <w:rsid w:val="5CB169DD"/>
    <w:rsid w:val="5D083198"/>
    <w:rsid w:val="5D1D22C5"/>
    <w:rsid w:val="5D38322E"/>
    <w:rsid w:val="5D3B014C"/>
    <w:rsid w:val="5D5E6B65"/>
    <w:rsid w:val="5D635E8F"/>
    <w:rsid w:val="5D817997"/>
    <w:rsid w:val="5DC67F05"/>
    <w:rsid w:val="5E3D1179"/>
    <w:rsid w:val="5E877A95"/>
    <w:rsid w:val="5E8819C0"/>
    <w:rsid w:val="5EE510C5"/>
    <w:rsid w:val="5F0F007C"/>
    <w:rsid w:val="5F1C0A86"/>
    <w:rsid w:val="5F221E14"/>
    <w:rsid w:val="5F750196"/>
    <w:rsid w:val="5FB54A36"/>
    <w:rsid w:val="5FC64D0E"/>
    <w:rsid w:val="5FD56505"/>
    <w:rsid w:val="5FD62FDB"/>
    <w:rsid w:val="5FE87890"/>
    <w:rsid w:val="603262EF"/>
    <w:rsid w:val="605C4EB2"/>
    <w:rsid w:val="606D5311"/>
    <w:rsid w:val="60820DBC"/>
    <w:rsid w:val="611E4D98"/>
    <w:rsid w:val="611E5260"/>
    <w:rsid w:val="615009B4"/>
    <w:rsid w:val="61E76E94"/>
    <w:rsid w:val="622D4D58"/>
    <w:rsid w:val="624F1172"/>
    <w:rsid w:val="628D3A49"/>
    <w:rsid w:val="62E9687D"/>
    <w:rsid w:val="63497970"/>
    <w:rsid w:val="63A1155A"/>
    <w:rsid w:val="63D77671"/>
    <w:rsid w:val="64041AE8"/>
    <w:rsid w:val="64850E7B"/>
    <w:rsid w:val="648F5856"/>
    <w:rsid w:val="654A5C21"/>
    <w:rsid w:val="65705687"/>
    <w:rsid w:val="657F58CB"/>
    <w:rsid w:val="65911904"/>
    <w:rsid w:val="659A5C5A"/>
    <w:rsid w:val="65AC6993"/>
    <w:rsid w:val="65B776B8"/>
    <w:rsid w:val="65F77B57"/>
    <w:rsid w:val="66652D12"/>
    <w:rsid w:val="66742345"/>
    <w:rsid w:val="66CA0BF5"/>
    <w:rsid w:val="672B53C1"/>
    <w:rsid w:val="67E11B40"/>
    <w:rsid w:val="68647EF3"/>
    <w:rsid w:val="68E5638C"/>
    <w:rsid w:val="68EA39A3"/>
    <w:rsid w:val="69085BD7"/>
    <w:rsid w:val="69801C11"/>
    <w:rsid w:val="69B442F1"/>
    <w:rsid w:val="69ED127A"/>
    <w:rsid w:val="6A01794D"/>
    <w:rsid w:val="6A1F1065"/>
    <w:rsid w:val="6A330664"/>
    <w:rsid w:val="6A492CA3"/>
    <w:rsid w:val="6A6600BF"/>
    <w:rsid w:val="6AF04B38"/>
    <w:rsid w:val="6AFF7221"/>
    <w:rsid w:val="6B3E625B"/>
    <w:rsid w:val="6B403D4E"/>
    <w:rsid w:val="6B480E55"/>
    <w:rsid w:val="6B7E4876"/>
    <w:rsid w:val="6B9320D0"/>
    <w:rsid w:val="6BD247D5"/>
    <w:rsid w:val="6C051B17"/>
    <w:rsid w:val="6C101972"/>
    <w:rsid w:val="6C950E61"/>
    <w:rsid w:val="6C9C6D62"/>
    <w:rsid w:val="6D7970A3"/>
    <w:rsid w:val="6D915A4F"/>
    <w:rsid w:val="6E8159A5"/>
    <w:rsid w:val="6E8E3022"/>
    <w:rsid w:val="6EAC565D"/>
    <w:rsid w:val="6EB0168B"/>
    <w:rsid w:val="6EFE1F56"/>
    <w:rsid w:val="6F0B2A24"/>
    <w:rsid w:val="6F250E1D"/>
    <w:rsid w:val="6F2E3EBD"/>
    <w:rsid w:val="6F524050"/>
    <w:rsid w:val="701027E0"/>
    <w:rsid w:val="701557A9"/>
    <w:rsid w:val="701B3393"/>
    <w:rsid w:val="70912956"/>
    <w:rsid w:val="70FF1FB5"/>
    <w:rsid w:val="71225C0C"/>
    <w:rsid w:val="7128150C"/>
    <w:rsid w:val="71297D55"/>
    <w:rsid w:val="71BC3A02"/>
    <w:rsid w:val="71F03DA9"/>
    <w:rsid w:val="72FC7376"/>
    <w:rsid w:val="73246F4A"/>
    <w:rsid w:val="733046A8"/>
    <w:rsid w:val="73396F22"/>
    <w:rsid w:val="739E2F69"/>
    <w:rsid w:val="73B221D9"/>
    <w:rsid w:val="73B25680"/>
    <w:rsid w:val="74365CEE"/>
    <w:rsid w:val="74772D35"/>
    <w:rsid w:val="749A44CF"/>
    <w:rsid w:val="74C94DB4"/>
    <w:rsid w:val="74D760B1"/>
    <w:rsid w:val="74EF031B"/>
    <w:rsid w:val="74EF57AE"/>
    <w:rsid w:val="752D5343"/>
    <w:rsid w:val="7561323F"/>
    <w:rsid w:val="7581743D"/>
    <w:rsid w:val="75C85EFF"/>
    <w:rsid w:val="75DA6B4D"/>
    <w:rsid w:val="76380237"/>
    <w:rsid w:val="766449C3"/>
    <w:rsid w:val="76B33F67"/>
    <w:rsid w:val="76B84D6D"/>
    <w:rsid w:val="771244D7"/>
    <w:rsid w:val="771E3F3F"/>
    <w:rsid w:val="77274014"/>
    <w:rsid w:val="776203DB"/>
    <w:rsid w:val="77980A6E"/>
    <w:rsid w:val="77B00E21"/>
    <w:rsid w:val="78120744"/>
    <w:rsid w:val="787B63C5"/>
    <w:rsid w:val="78955EC2"/>
    <w:rsid w:val="78972AD3"/>
    <w:rsid w:val="78E308D4"/>
    <w:rsid w:val="79134850"/>
    <w:rsid w:val="792A094A"/>
    <w:rsid w:val="79415437"/>
    <w:rsid w:val="797942B0"/>
    <w:rsid w:val="797A1E18"/>
    <w:rsid w:val="799B77D5"/>
    <w:rsid w:val="79A951B4"/>
    <w:rsid w:val="79BC0A44"/>
    <w:rsid w:val="79D264B9"/>
    <w:rsid w:val="79EF706B"/>
    <w:rsid w:val="7A163D77"/>
    <w:rsid w:val="7A330376"/>
    <w:rsid w:val="7A635363"/>
    <w:rsid w:val="7A974B72"/>
    <w:rsid w:val="7A9F42A7"/>
    <w:rsid w:val="7AA91CB5"/>
    <w:rsid w:val="7ABC4A73"/>
    <w:rsid w:val="7B6B0973"/>
    <w:rsid w:val="7BB5015A"/>
    <w:rsid w:val="7BCD746B"/>
    <w:rsid w:val="7BCE5364"/>
    <w:rsid w:val="7BD04C7A"/>
    <w:rsid w:val="7C2154D6"/>
    <w:rsid w:val="7C6A0C2B"/>
    <w:rsid w:val="7CA61109"/>
    <w:rsid w:val="7CC86220"/>
    <w:rsid w:val="7CFE1010"/>
    <w:rsid w:val="7D5A0C9F"/>
    <w:rsid w:val="7D602734"/>
    <w:rsid w:val="7D65637E"/>
    <w:rsid w:val="7D933BA1"/>
    <w:rsid w:val="7DBB0938"/>
    <w:rsid w:val="7DF51F7E"/>
    <w:rsid w:val="7E051A7C"/>
    <w:rsid w:val="7E173C3D"/>
    <w:rsid w:val="7EC468CC"/>
    <w:rsid w:val="7EDC55FB"/>
    <w:rsid w:val="7EE66E5D"/>
    <w:rsid w:val="7F0C421B"/>
    <w:rsid w:val="7F4D7BB8"/>
    <w:rsid w:val="7F511C2E"/>
    <w:rsid w:val="7F6556D9"/>
    <w:rsid w:val="7F857B2A"/>
    <w:rsid w:val="B7FA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spacing w:before="55"/>
      <w:jc w:val="center"/>
      <w:outlineLvl w:val="1"/>
    </w:pPr>
    <w:rPr>
      <w:rFonts w:ascii="宋体" w:hAnsi="宋体" w:eastAsia="宋体" w:cs="宋体"/>
      <w:b/>
      <w:bCs/>
      <w:sz w:val="32"/>
      <w:szCs w:val="32"/>
    </w:rPr>
  </w:style>
  <w:style w:type="paragraph" w:styleId="4">
    <w:name w:val="heading 3"/>
    <w:basedOn w:val="1"/>
    <w:next w:val="1"/>
    <w:autoRedefine/>
    <w:unhideWhenUsed/>
    <w:qFormat/>
    <w:uiPriority w:val="9"/>
    <w:pPr>
      <w:keepNext/>
      <w:keepLines/>
      <w:jc w:val="center"/>
      <w:outlineLvl w:val="2"/>
    </w:pPr>
    <w:rPr>
      <w:b/>
      <w:bCs/>
      <w:szCs w:val="32"/>
    </w:rPr>
  </w:style>
  <w:style w:type="paragraph" w:styleId="5">
    <w:name w:val="heading 4"/>
    <w:basedOn w:val="1"/>
    <w:next w:val="1"/>
    <w:autoRedefine/>
    <w:qFormat/>
    <w:uiPriority w:val="0"/>
    <w:pPr>
      <w:keepNext/>
      <w:keepLines/>
      <w:outlineLvl w:val="3"/>
    </w:pPr>
    <w:rPr>
      <w:rFonts w:ascii="Arial" w:hAnsi="Arial" w:eastAsia="黑体"/>
      <w:bCs/>
      <w:kern w:val="0"/>
      <w:sz w:val="24"/>
      <w:szCs w:val="28"/>
    </w:rPr>
  </w:style>
  <w:style w:type="paragraph" w:styleId="6">
    <w:name w:val="heading 5"/>
    <w:basedOn w:val="1"/>
    <w:next w:val="1"/>
    <w:autoRedefine/>
    <w:qFormat/>
    <w:uiPriority w:val="0"/>
    <w:pPr>
      <w:keepNext/>
      <w:keepLines/>
      <w:spacing w:before="280" w:beforeLines="0" w:after="290" w:afterLines="0" w:line="376" w:lineRule="auto"/>
      <w:outlineLvl w:val="4"/>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qFormat/>
    <w:uiPriority w:val="99"/>
    <w:pPr>
      <w:ind w:left="420" w:leftChars="200"/>
    </w:pPr>
  </w:style>
  <w:style w:type="paragraph" w:styleId="8">
    <w:name w:val="Normal Indent"/>
    <w:basedOn w:val="1"/>
    <w:autoRedefine/>
    <w:qFormat/>
    <w:uiPriority w:val="0"/>
    <w:pPr>
      <w:spacing w:line="425" w:lineRule="atLeast"/>
      <w:ind w:firstLine="420" w:firstLineChars="200"/>
    </w:pPr>
    <w:rPr>
      <w:rFonts w:ascii="Times New Roman" w:hAnsi="Times New Roman" w:eastAsia="宋体" w:cs="Times New Roman"/>
      <w:szCs w:val="20"/>
      <w:u w:color="000000"/>
    </w:rPr>
  </w:style>
  <w:style w:type="paragraph" w:styleId="9">
    <w:name w:val="annotation text"/>
    <w:basedOn w:val="1"/>
    <w:autoRedefine/>
    <w:qFormat/>
    <w:uiPriority w:val="0"/>
    <w:pPr>
      <w:jc w:val="left"/>
    </w:pPr>
  </w:style>
  <w:style w:type="paragraph" w:styleId="10">
    <w:name w:val="Body Text"/>
    <w:basedOn w:val="1"/>
    <w:next w:val="11"/>
    <w:autoRedefine/>
    <w:qFormat/>
    <w:uiPriority w:val="1"/>
    <w:rPr>
      <w:rFonts w:ascii="宋体" w:hAnsi="宋体" w:eastAsia="宋体" w:cs="宋体"/>
    </w:rPr>
  </w:style>
  <w:style w:type="paragraph" w:styleId="11">
    <w:name w:val="Body Text 2"/>
    <w:basedOn w:val="1"/>
    <w:autoRedefine/>
    <w:qFormat/>
    <w:uiPriority w:val="0"/>
    <w:pPr>
      <w:suppressAutoHyphens/>
    </w:pPr>
    <w:rPr>
      <w:rFonts w:ascii="Calibri" w:hAnsi="Calibri" w:eastAsia="宋体" w:cs="Times New Roman"/>
      <w:sz w:val="28"/>
      <w:szCs w:val="28"/>
    </w:rPr>
  </w:style>
  <w:style w:type="paragraph" w:styleId="12">
    <w:name w:val="Body Text Indent"/>
    <w:basedOn w:val="1"/>
    <w:link w:val="61"/>
    <w:autoRedefine/>
    <w:qFormat/>
    <w:uiPriority w:val="0"/>
    <w:pPr>
      <w:spacing w:after="120"/>
      <w:ind w:left="420" w:leftChars="200"/>
    </w:pPr>
  </w:style>
  <w:style w:type="paragraph" w:styleId="13">
    <w:name w:val="index 4"/>
    <w:basedOn w:val="1"/>
    <w:next w:val="1"/>
    <w:autoRedefine/>
    <w:qFormat/>
    <w:uiPriority w:val="0"/>
    <w:pPr>
      <w:spacing w:beforeLines="40" w:afterLines="40" w:line="300" w:lineRule="auto"/>
      <w:ind w:left="600" w:leftChars="600"/>
    </w:pPr>
    <w:rPr>
      <w:rFonts w:ascii="Times New Roman" w:hAnsi="Times New Roman"/>
      <w:sz w:val="24"/>
      <w:szCs w:val="24"/>
    </w:rPr>
  </w:style>
  <w:style w:type="paragraph" w:styleId="14">
    <w:name w:val="toc 3"/>
    <w:basedOn w:val="1"/>
    <w:next w:val="1"/>
    <w:autoRedefine/>
    <w:qFormat/>
    <w:uiPriority w:val="0"/>
    <w:pPr>
      <w:ind w:left="840" w:leftChars="400"/>
    </w:pPr>
  </w:style>
  <w:style w:type="paragraph" w:styleId="15">
    <w:name w:val="Plain Text"/>
    <w:basedOn w:val="1"/>
    <w:next w:val="1"/>
    <w:autoRedefine/>
    <w:qFormat/>
    <w:uiPriority w:val="99"/>
    <w:pPr>
      <w:autoSpaceDE w:val="0"/>
      <w:autoSpaceDN w:val="0"/>
      <w:adjustRightInd w:val="0"/>
    </w:pPr>
    <w:rPr>
      <w:rFonts w:ascii="宋体" w:hAnsi="Tms Rmn"/>
      <w:kern w:val="0"/>
      <w:szCs w:val="20"/>
    </w:rPr>
  </w:style>
  <w:style w:type="paragraph" w:styleId="16">
    <w:name w:val="footer"/>
    <w:basedOn w:val="1"/>
    <w:autoRedefine/>
    <w:qFormat/>
    <w:uiPriority w:val="0"/>
    <w:pPr>
      <w:tabs>
        <w:tab w:val="center" w:pos="4153"/>
        <w:tab w:val="right" w:pos="8306"/>
      </w:tabs>
    </w:pPr>
    <w:rPr>
      <w:sz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autoRedefine/>
    <w:qFormat/>
    <w:uiPriority w:val="0"/>
  </w:style>
  <w:style w:type="paragraph" w:styleId="20">
    <w:name w:val="Subtitle"/>
    <w:basedOn w:val="1"/>
    <w:next w:val="1"/>
    <w:link w:val="63"/>
    <w:autoRedefine/>
    <w:qFormat/>
    <w:uiPriority w:val="0"/>
    <w:pPr>
      <w:widowControl w:val="0"/>
      <w:kinsoku/>
      <w:autoSpaceDE/>
      <w:autoSpaceDN/>
      <w:adjustRightInd/>
      <w:snapToGrid/>
      <w:spacing w:before="240" w:after="60" w:line="312" w:lineRule="auto"/>
      <w:jc w:val="center"/>
      <w:textAlignment w:val="auto"/>
      <w:outlineLvl w:val="1"/>
    </w:pPr>
    <w:rPr>
      <w:rFonts w:ascii="Cambria" w:hAnsi="Cambria" w:eastAsia="宋体" w:cs="Times New Roman"/>
      <w:b/>
      <w:bCs/>
      <w:snapToGrid/>
      <w:color w:val="auto"/>
      <w:kern w:val="28"/>
      <w:sz w:val="32"/>
      <w:szCs w:val="32"/>
    </w:rPr>
  </w:style>
  <w:style w:type="paragraph" w:styleId="21">
    <w:name w:val="footnote text"/>
    <w:basedOn w:val="1"/>
    <w:autoRedefine/>
    <w:unhideWhenUsed/>
    <w:qFormat/>
    <w:uiPriority w:val="99"/>
    <w:pPr>
      <w:tabs>
        <w:tab w:val="left" w:pos="420"/>
      </w:tabs>
      <w:snapToGrid w:val="0"/>
    </w:pPr>
    <w:rPr>
      <w:sz w:val="18"/>
      <w:szCs w:val="18"/>
    </w:rPr>
  </w:style>
  <w:style w:type="paragraph" w:styleId="22">
    <w:name w:val="toc 2"/>
    <w:basedOn w:val="1"/>
    <w:next w:val="1"/>
    <w:autoRedefine/>
    <w:qFormat/>
    <w:uiPriority w:val="0"/>
    <w:pPr>
      <w:ind w:left="420" w:leftChars="200"/>
    </w:pPr>
  </w:style>
  <w:style w:type="paragraph" w:styleId="23">
    <w:name w:val="Normal (Web)"/>
    <w:basedOn w:val="1"/>
    <w:autoRedefine/>
    <w:qFormat/>
    <w:uiPriority w:val="0"/>
    <w:pPr>
      <w:spacing w:before="100" w:beforeAutospacing="1" w:after="100" w:afterAutospacing="1"/>
    </w:pPr>
    <w:rPr>
      <w:rFonts w:cs="Times New Roman"/>
      <w:sz w:val="24"/>
    </w:rPr>
  </w:style>
  <w:style w:type="paragraph" w:styleId="24">
    <w:name w:val="Body Text First Indent"/>
    <w:basedOn w:val="10"/>
    <w:next w:val="1"/>
    <w:autoRedefine/>
    <w:qFormat/>
    <w:uiPriority w:val="0"/>
    <w:pPr>
      <w:ind w:firstLine="420" w:firstLineChars="100"/>
    </w:p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style>
  <w:style w:type="character" w:styleId="30">
    <w:name w:val="FollowedHyperlink"/>
    <w:basedOn w:val="28"/>
    <w:autoRedefine/>
    <w:qFormat/>
    <w:uiPriority w:val="0"/>
    <w:rPr>
      <w:color w:val="333333"/>
      <w:u w:val="none"/>
    </w:rPr>
  </w:style>
  <w:style w:type="character" w:styleId="31">
    <w:name w:val="Emphasis"/>
    <w:basedOn w:val="28"/>
    <w:autoRedefine/>
    <w:qFormat/>
    <w:uiPriority w:val="0"/>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0"/>
    <w:rPr>
      <w:color w:val="333333"/>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hint="default" w:ascii="monospace" w:hAnsi="monospace" w:eastAsia="monospace" w:cs="monospace"/>
      <w:sz w:val="20"/>
    </w:rPr>
  </w:style>
  <w:style w:type="character" w:styleId="40">
    <w:name w:val="HTML Sample"/>
    <w:basedOn w:val="28"/>
    <w:autoRedefine/>
    <w:qFormat/>
    <w:uiPriority w:val="0"/>
    <w:rPr>
      <w:rFonts w:ascii="monospace" w:hAnsi="monospace" w:eastAsia="monospace" w:cs="monospace"/>
    </w:rPr>
  </w:style>
  <w:style w:type="paragraph" w:customStyle="1" w:styleId="41">
    <w:name w:val="无间隔1"/>
    <w:basedOn w:val="1"/>
    <w:autoRedefine/>
    <w:qFormat/>
    <w:uiPriority w:val="99"/>
    <w:pPr>
      <w:spacing w:line="400" w:lineRule="exact"/>
    </w:pPr>
  </w:style>
  <w:style w:type="paragraph" w:customStyle="1" w:styleId="42">
    <w:name w:val="style4"/>
    <w:basedOn w:val="1"/>
    <w:next w:val="4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4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4">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Table Paragraph"/>
    <w:basedOn w:val="1"/>
    <w:autoRedefine/>
    <w:qFormat/>
    <w:uiPriority w:val="1"/>
    <w:rPr>
      <w:rFonts w:ascii="宋体" w:hAnsi="宋体" w:eastAsia="宋体" w:cs="宋体"/>
    </w:rPr>
  </w:style>
  <w:style w:type="character" w:customStyle="1" w:styleId="47">
    <w:name w:val="fontstyle01"/>
    <w:basedOn w:val="28"/>
    <w:autoRedefine/>
    <w:qFormat/>
    <w:uiPriority w:val="0"/>
    <w:rPr>
      <w:rFonts w:hint="eastAsia" w:ascii="宋体" w:hAnsi="宋体" w:eastAsia="宋体"/>
      <w:color w:val="000000"/>
      <w:sz w:val="30"/>
      <w:szCs w:val="30"/>
    </w:rPr>
  </w:style>
  <w:style w:type="paragraph" w:customStyle="1" w:styleId="48">
    <w:name w:val="Pa0"/>
    <w:basedOn w:val="1"/>
    <w:next w:val="1"/>
    <w:autoRedefine/>
    <w:qFormat/>
    <w:uiPriority w:val="99"/>
    <w:pPr>
      <w:spacing w:line="241" w:lineRule="atLeast"/>
    </w:pPr>
    <w:rPr>
      <w:rFonts w:ascii="Yu Gothic UI Light" w:hAnsi="Calibri" w:eastAsia="Yu Gothic UI Light" w:cs="Times New Roman"/>
      <w:szCs w:val="24"/>
    </w:rPr>
  </w:style>
  <w:style w:type="paragraph" w:customStyle="1" w:styleId="49">
    <w:name w:val="列出段落1"/>
    <w:basedOn w:val="1"/>
    <w:autoRedefine/>
    <w:qFormat/>
    <w:uiPriority w:val="34"/>
    <w:pPr>
      <w:ind w:firstLine="420" w:firstLineChars="200"/>
    </w:pPr>
  </w:style>
  <w:style w:type="paragraph" w:customStyle="1" w:styleId="50">
    <w:name w:val="列出段落11"/>
    <w:basedOn w:val="1"/>
    <w:autoRedefine/>
    <w:qFormat/>
    <w:uiPriority w:val="0"/>
    <w:pPr>
      <w:ind w:firstLine="420" w:firstLineChars="200"/>
    </w:pPr>
    <w:rPr>
      <w:rFonts w:ascii="Calibri" w:hAnsi="Calibri" w:eastAsia="宋体" w:cs="Times New Roman"/>
    </w:rPr>
  </w:style>
  <w:style w:type="character" w:customStyle="1" w:styleId="51">
    <w:name w:val="font31"/>
    <w:basedOn w:val="28"/>
    <w:autoRedefine/>
    <w:qFormat/>
    <w:uiPriority w:val="0"/>
    <w:rPr>
      <w:rFonts w:hint="eastAsia" w:ascii="微软雅黑" w:hAnsi="微软雅黑" w:eastAsia="微软雅黑" w:cs="微软雅黑"/>
      <w:color w:val="000000"/>
      <w:sz w:val="16"/>
      <w:szCs w:val="16"/>
      <w:u w:val="none"/>
    </w:rPr>
  </w:style>
  <w:style w:type="character" w:customStyle="1" w:styleId="52">
    <w:name w:val="font41"/>
    <w:basedOn w:val="28"/>
    <w:autoRedefine/>
    <w:qFormat/>
    <w:uiPriority w:val="0"/>
    <w:rPr>
      <w:rFonts w:ascii="Arial" w:hAnsi="Arial" w:cs="Arial"/>
      <w:color w:val="000000"/>
      <w:sz w:val="16"/>
      <w:szCs w:val="16"/>
      <w:u w:val="none"/>
    </w:rPr>
  </w:style>
  <w:style w:type="character" w:customStyle="1" w:styleId="53">
    <w:name w:val="font21"/>
    <w:basedOn w:val="28"/>
    <w:autoRedefine/>
    <w:qFormat/>
    <w:uiPriority w:val="0"/>
    <w:rPr>
      <w:rFonts w:hint="eastAsia" w:ascii="宋体" w:hAnsi="宋体" w:eastAsia="宋体" w:cs="宋体"/>
      <w:color w:val="000000"/>
      <w:sz w:val="21"/>
      <w:szCs w:val="21"/>
      <w:u w:val="none"/>
    </w:rPr>
  </w:style>
  <w:style w:type="character" w:customStyle="1" w:styleId="54">
    <w:name w:val="font11"/>
    <w:basedOn w:val="28"/>
    <w:autoRedefine/>
    <w:qFormat/>
    <w:uiPriority w:val="0"/>
    <w:rPr>
      <w:rFonts w:hint="eastAsia" w:ascii="宋体" w:hAnsi="宋体" w:eastAsia="宋体" w:cs="宋体"/>
      <w:color w:val="000000"/>
      <w:sz w:val="24"/>
      <w:szCs w:val="24"/>
      <w:u w:val="none"/>
    </w:rPr>
  </w:style>
  <w:style w:type="character" w:customStyle="1" w:styleId="55">
    <w:name w:val="font61"/>
    <w:basedOn w:val="28"/>
    <w:autoRedefine/>
    <w:qFormat/>
    <w:uiPriority w:val="0"/>
    <w:rPr>
      <w:rFonts w:hint="eastAsia" w:ascii="宋体" w:hAnsi="宋体" w:eastAsia="宋体" w:cs="宋体"/>
      <w:color w:val="000000"/>
      <w:sz w:val="22"/>
      <w:szCs w:val="22"/>
      <w:u w:val="none"/>
    </w:rPr>
  </w:style>
  <w:style w:type="character" w:customStyle="1" w:styleId="56">
    <w:name w:val="font81"/>
    <w:basedOn w:val="28"/>
    <w:autoRedefine/>
    <w:qFormat/>
    <w:uiPriority w:val="0"/>
    <w:rPr>
      <w:rFonts w:ascii="Arial" w:hAnsi="Arial" w:cs="Arial"/>
      <w:color w:val="000000"/>
      <w:sz w:val="22"/>
      <w:szCs w:val="22"/>
      <w:u w:val="none"/>
    </w:rPr>
  </w:style>
  <w:style w:type="character" w:customStyle="1" w:styleId="57">
    <w:name w:val="font91"/>
    <w:basedOn w:val="28"/>
    <w:autoRedefine/>
    <w:qFormat/>
    <w:uiPriority w:val="0"/>
    <w:rPr>
      <w:rFonts w:ascii="宋体" w:hAnsi="宋体" w:eastAsia="宋体" w:cs="宋体"/>
      <w:color w:val="000000"/>
      <w:sz w:val="22"/>
      <w:szCs w:val="22"/>
      <w:u w:val="none"/>
    </w:rPr>
  </w:style>
  <w:style w:type="character" w:customStyle="1" w:styleId="58">
    <w:name w:val="font101"/>
    <w:basedOn w:val="28"/>
    <w:autoRedefine/>
    <w:qFormat/>
    <w:uiPriority w:val="0"/>
    <w:rPr>
      <w:rFonts w:hint="default" w:ascii="Times New Roman" w:hAnsi="Times New Roman" w:cs="Times New Roman"/>
      <w:color w:val="000000"/>
      <w:sz w:val="22"/>
      <w:szCs w:val="22"/>
      <w:u w:val="none"/>
    </w:rPr>
  </w:style>
  <w:style w:type="character" w:customStyle="1" w:styleId="59">
    <w:name w:val="font51"/>
    <w:basedOn w:val="28"/>
    <w:autoRedefine/>
    <w:qFormat/>
    <w:uiPriority w:val="0"/>
    <w:rPr>
      <w:rFonts w:hint="default" w:ascii="Times New Roman" w:hAnsi="Times New Roman" w:cs="Times New Roman"/>
      <w:color w:val="000000"/>
      <w:sz w:val="22"/>
      <w:szCs w:val="22"/>
      <w:u w:val="none"/>
    </w:rPr>
  </w:style>
  <w:style w:type="paragraph" w:customStyle="1" w:styleId="60">
    <w:name w:val="样式"/>
    <w:basedOn w:val="1"/>
    <w:autoRedefine/>
    <w:qFormat/>
    <w:uiPriority w:val="0"/>
    <w:pPr>
      <w:widowControl w:val="0"/>
      <w:kinsoku/>
      <w:snapToGrid/>
      <w:textAlignment w:val="auto"/>
    </w:pPr>
    <w:rPr>
      <w:rFonts w:ascii="宋体" w:hAnsi="宋体" w:eastAsia="宋体" w:cs="宋体"/>
      <w:snapToGrid/>
      <w:color w:val="auto"/>
      <w:sz w:val="24"/>
      <w:szCs w:val="24"/>
    </w:rPr>
  </w:style>
  <w:style w:type="character" w:customStyle="1" w:styleId="61">
    <w:name w:val="正文文本缩进 Char"/>
    <w:basedOn w:val="28"/>
    <w:link w:val="12"/>
    <w:autoRedefine/>
    <w:qFormat/>
    <w:uiPriority w:val="0"/>
    <w:rPr>
      <w:rFonts w:ascii="Arial" w:hAnsi="Arial" w:eastAsia="Arial" w:cs="Arial"/>
      <w:snapToGrid w:val="0"/>
      <w:color w:val="000000"/>
      <w:sz w:val="21"/>
      <w:szCs w:val="21"/>
    </w:rPr>
  </w:style>
  <w:style w:type="paragraph" w:customStyle="1" w:styleId="62">
    <w:name w:val="Body text|2"/>
    <w:basedOn w:val="1"/>
    <w:autoRedefine/>
    <w:qFormat/>
    <w:uiPriority w:val="0"/>
    <w:pPr>
      <w:widowControl w:val="0"/>
      <w:kinsoku/>
      <w:autoSpaceDE/>
      <w:autoSpaceDN/>
      <w:adjustRightInd/>
      <w:snapToGrid/>
      <w:spacing w:after="420" w:line="393" w:lineRule="exact"/>
      <w:jc w:val="center"/>
      <w:textAlignment w:val="auto"/>
    </w:pPr>
    <w:rPr>
      <w:rFonts w:ascii="MingLiU-ExtB" w:hAnsi="MingLiU-ExtB" w:eastAsia="MingLiU-ExtB" w:cs="MingLiU-ExtB"/>
      <w:snapToGrid/>
      <w:color w:val="auto"/>
      <w:kern w:val="2"/>
      <w:lang w:val="zh-TW" w:eastAsia="zh-TW" w:bidi="zh-TW"/>
    </w:rPr>
  </w:style>
  <w:style w:type="character" w:customStyle="1" w:styleId="63">
    <w:name w:val="副标题 Char"/>
    <w:basedOn w:val="28"/>
    <w:link w:val="20"/>
    <w:autoRedefine/>
    <w:qFormat/>
    <w:uiPriority w:val="0"/>
    <w:rPr>
      <w:rFonts w:ascii="Cambria" w:hAnsi="Cambria"/>
      <w:b/>
      <w:bCs/>
      <w:kern w:val="28"/>
      <w:sz w:val="32"/>
      <w:szCs w:val="32"/>
    </w:rPr>
  </w:style>
  <w:style w:type="paragraph" w:customStyle="1" w:styleId="64">
    <w:name w:val="BodyText"/>
    <w:basedOn w:val="1"/>
    <w:autoRedefine/>
    <w:qFormat/>
    <w:uiPriority w:val="0"/>
    <w:pPr>
      <w:widowControl w:val="0"/>
      <w:kinsoku/>
      <w:autoSpaceDE/>
      <w:autoSpaceDN/>
      <w:adjustRightInd/>
      <w:snapToGrid/>
      <w:spacing w:after="120" w:line="360" w:lineRule="auto"/>
      <w:jc w:val="both"/>
    </w:pPr>
    <w:rPr>
      <w:rFonts w:ascii="Times New Roman" w:hAnsi="Times New Roman" w:eastAsia="宋体" w:cs="Times New Roman"/>
      <w:snapToGrid/>
      <w:color w:val="auto"/>
      <w:kern w:val="2"/>
      <w:szCs w:val="22"/>
    </w:rPr>
  </w:style>
  <w:style w:type="paragraph" w:customStyle="1" w:styleId="65">
    <w:name w:val="Body text|1"/>
    <w:basedOn w:val="1"/>
    <w:autoRedefine/>
    <w:qFormat/>
    <w:uiPriority w:val="99"/>
    <w:pPr>
      <w:spacing w:line="466" w:lineRule="exact"/>
      <w:ind w:firstLine="480"/>
      <w:jc w:val="left"/>
    </w:pPr>
    <w:rPr>
      <w:rFonts w:ascii="宋体" w:hAnsi="宋体" w:eastAsia="宋体" w:cs="宋体"/>
      <w:kern w:val="0"/>
      <w:sz w:val="26"/>
      <w:szCs w:val="26"/>
      <w:lang w:val="zh-TW" w:eastAsia="zh-TW"/>
    </w:rPr>
  </w:style>
  <w:style w:type="character" w:customStyle="1" w:styleId="66">
    <w:name w:val="font71"/>
    <w:basedOn w:val="28"/>
    <w:autoRedefine/>
    <w:qFormat/>
    <w:uiPriority w:val="0"/>
    <w:rPr>
      <w:rFonts w:hint="default" w:ascii="Times New Roman" w:hAnsi="Times New Roman" w:cs="Times New Roman"/>
      <w:b/>
      <w:bCs/>
      <w:color w:val="000000"/>
      <w:sz w:val="20"/>
      <w:szCs w:val="20"/>
      <w:u w:val="none"/>
    </w:rPr>
  </w:style>
  <w:style w:type="paragraph" w:customStyle="1" w:styleId="67">
    <w:name w:val="_Style 45"/>
    <w:basedOn w:val="1"/>
    <w:next w:val="1"/>
    <w:autoRedefine/>
    <w:qFormat/>
    <w:uiPriority w:val="0"/>
    <w:pPr>
      <w:pBdr>
        <w:bottom w:val="single" w:color="auto" w:sz="6" w:space="1"/>
      </w:pBdr>
      <w:jc w:val="center"/>
    </w:pPr>
    <w:rPr>
      <w:rFonts w:ascii="Arial" w:eastAsia="宋体"/>
      <w:vanish/>
      <w:sz w:val="16"/>
    </w:rPr>
  </w:style>
  <w:style w:type="paragraph" w:customStyle="1" w:styleId="68">
    <w:name w:val="_Style 46"/>
    <w:basedOn w:val="1"/>
    <w:next w:val="1"/>
    <w:autoRedefine/>
    <w:qFormat/>
    <w:uiPriority w:val="0"/>
    <w:pPr>
      <w:pBdr>
        <w:top w:val="single" w:color="auto" w:sz="6" w:space="1"/>
      </w:pBdr>
      <w:jc w:val="center"/>
    </w:pPr>
    <w:rPr>
      <w:rFonts w:ascii="Arial" w:eastAsia="宋体"/>
      <w:vanish/>
      <w:sz w:val="16"/>
    </w:rPr>
  </w:style>
  <w:style w:type="character" w:customStyle="1" w:styleId="69">
    <w:name w:val="font01"/>
    <w:basedOn w:val="28"/>
    <w:autoRedefine/>
    <w:qFormat/>
    <w:uiPriority w:val="0"/>
    <w:rPr>
      <w:rFonts w:hint="eastAsia" w:ascii="宋体" w:hAnsi="宋体" w:eastAsia="宋体" w:cs="宋体"/>
      <w:color w:val="000000"/>
      <w:sz w:val="24"/>
      <w:szCs w:val="24"/>
      <w:u w:val="none"/>
    </w:rPr>
  </w:style>
  <w:style w:type="character" w:customStyle="1" w:styleId="70">
    <w:name w:val="font111"/>
    <w:basedOn w:val="28"/>
    <w:autoRedefine/>
    <w:qFormat/>
    <w:uiPriority w:val="0"/>
    <w:rPr>
      <w:rFonts w:hint="eastAsia" w:ascii="等线" w:hAnsi="等线" w:eastAsia="等线" w:cs="等线"/>
      <w:b/>
      <w:bCs/>
      <w:color w:val="000000"/>
      <w:sz w:val="21"/>
      <w:szCs w:val="21"/>
      <w:u w:val="none"/>
    </w:rPr>
  </w:style>
  <w:style w:type="character" w:customStyle="1" w:styleId="71">
    <w:name w:val="font171"/>
    <w:basedOn w:val="28"/>
    <w:autoRedefine/>
    <w:qFormat/>
    <w:uiPriority w:val="0"/>
    <w:rPr>
      <w:rFonts w:hint="eastAsia" w:ascii="宋体" w:hAnsi="宋体" w:eastAsia="宋体" w:cs="宋体"/>
      <w:b/>
      <w:bCs/>
      <w:color w:val="000000"/>
      <w:sz w:val="18"/>
      <w:szCs w:val="18"/>
      <w:u w:val="none"/>
    </w:rPr>
  </w:style>
  <w:style w:type="character" w:customStyle="1" w:styleId="72">
    <w:name w:val="font181"/>
    <w:basedOn w:val="28"/>
    <w:autoRedefine/>
    <w:qFormat/>
    <w:uiPriority w:val="0"/>
    <w:rPr>
      <w:rFonts w:hint="eastAsia" w:ascii="宋体" w:hAnsi="宋体" w:eastAsia="宋体" w:cs="宋体"/>
      <w:b/>
      <w:bCs/>
      <w:color w:val="000000"/>
      <w:sz w:val="20"/>
      <w:szCs w:val="20"/>
      <w:u w:val="none"/>
    </w:rPr>
  </w:style>
  <w:style w:type="paragraph" w:customStyle="1" w:styleId="7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74">
    <w:name w:val="首行缩进"/>
    <w:basedOn w:val="1"/>
    <w:autoRedefine/>
    <w:qFormat/>
    <w:uiPriority w:val="0"/>
    <w:pPr>
      <w:ind w:firstLine="480" w:firstLineChars="200"/>
    </w:pPr>
    <w:rPr>
      <w:szCs w:val="20"/>
      <w:lang w:val="zh-CN"/>
    </w:rPr>
  </w:style>
  <w:style w:type="paragraph" w:styleId="75">
    <w:name w:val="List Paragraph"/>
    <w:basedOn w:val="1"/>
    <w:autoRedefine/>
    <w:qFormat/>
    <w:uiPriority w:val="34"/>
    <w:pPr>
      <w:ind w:firstLine="420" w:firstLineChars="200"/>
    </w:pPr>
  </w:style>
  <w:style w:type="character" w:customStyle="1" w:styleId="76">
    <w:name w:val="font122"/>
    <w:basedOn w:val="28"/>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22015</Words>
  <Characters>23391</Characters>
  <Lines>1711</Lines>
  <Paragraphs>481</Paragraphs>
  <TotalTime>0</TotalTime>
  <ScaleCrop>false</ScaleCrop>
  <LinksUpToDate>false</LinksUpToDate>
  <CharactersWithSpaces>24682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2022-02-15T02:48:00Z</dcterms:created>
  <dc:creator>User</dc:creator>
  <cp:lastModifiedBy>NTKO</cp:lastModifiedBy>
  <cp:lastPrinted>2022-09-13T09:34:00Z</cp:lastPrinted>
  <dcterms:modified xsi:type="dcterms:W3CDTF">2024-04-23T02:27:04Z</dcterms:modified>
  <dc:title>第二章  投标人须知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2022-05-09T10:11:19Z</vt:filetime>
  </property>
  <property fmtid="{D5CDD505-2E9C-101B-9397-08002B2CF9AE}" pid="4" name="KSOProductBuildVer">
    <vt:lpwstr>2052-12.1.0.16729</vt:lpwstr>
  </property>
  <property fmtid="{D5CDD505-2E9C-101B-9397-08002B2CF9AE}" pid="5" name="ICV">
    <vt:lpwstr>D813AD36C8614E8EB67230D340748DC7_13</vt:lpwstr>
  </property>
</Properties>
</file>