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b/>
          <w:bCs/>
          <w:sz w:val="52"/>
          <w:szCs w:val="52"/>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唐河县盛居路新华路道路提升工程</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b/>
          <w:bCs/>
          <w:sz w:val="44"/>
          <w:szCs w:val="44"/>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14:textOutline w14:w="3844" w14:cap="flat" w14:cmpd="sng">
            <w14:solidFill>
              <w14:srgbClr w14:val="000000"/>
            </w14:solidFill>
            <w14:prstDash w14:val="solid"/>
            <w14:miter w14:val="0"/>
          </w14:textOutline>
        </w:rPr>
      </w:pPr>
      <w:bookmarkStart w:id="0" w:name="_Toc22582"/>
      <w:r>
        <w:rPr>
          <w:rFonts w:hint="eastAsia" w:ascii="宋体" w:hAnsi="宋体" w:eastAsia="宋体" w:cs="宋体"/>
          <w:spacing w:val="-1"/>
          <w:sz w:val="56"/>
          <w:szCs w:val="56"/>
          <w14:textOutline w14:w="3844" w14:cap="flat" w14:cmpd="sng">
            <w14:solidFill>
              <w14:srgbClr w14:val="000000"/>
            </w14:solidFill>
            <w14:prstDash w14:val="solid"/>
            <w14:miter w14:val="0"/>
          </w14:textOutline>
        </w:rPr>
        <w:t>竞争性磋商文件</w:t>
      </w:r>
      <w:bookmarkEnd w:id="0"/>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z w:val="56"/>
          <w:szCs w:val="56"/>
          <w:lang w:eastAsia="zh-CN"/>
        </w:rPr>
      </w:pPr>
      <w:r>
        <w:rPr>
          <w:rFonts w:hint="eastAsia" w:ascii="宋体" w:hAnsi="宋体" w:eastAsia="宋体" w:cs="宋体"/>
          <w:spacing w:val="-1"/>
          <w:sz w:val="56"/>
          <w:szCs w:val="56"/>
          <w:lang w:eastAsia="zh-CN"/>
          <w14:textOutline w14:w="3844" w14:cap="flat" w14:cmpd="sng">
            <w14:solidFill>
              <w14:srgbClr w14:val="000000"/>
            </w14:solidFill>
            <w14:prstDash w14:val="solid"/>
            <w14:miter w14:val="0"/>
          </w14:textOutline>
        </w:rPr>
        <w:t>（</w:t>
      </w:r>
      <w:r>
        <w:rPr>
          <w:rFonts w:hint="eastAsia" w:ascii="宋体" w:hAnsi="宋体" w:eastAsia="宋体" w:cs="宋体"/>
          <w:spacing w:val="-1"/>
          <w:sz w:val="56"/>
          <w:szCs w:val="56"/>
          <w:lang w:val="en-US" w:eastAsia="zh-CN"/>
          <w14:textOutline w14:w="3844" w14:cap="flat" w14:cmpd="sng">
            <w14:solidFill>
              <w14:srgbClr w14:val="000000"/>
            </w14:solidFill>
            <w14:prstDash w14:val="solid"/>
            <w14:miter w14:val="0"/>
          </w14:textOutline>
        </w:rPr>
        <w:t>非最终版</w:t>
      </w:r>
      <w:r>
        <w:rPr>
          <w:rFonts w:hint="eastAsia" w:ascii="宋体" w:hAnsi="宋体" w:eastAsia="宋体" w:cs="宋体"/>
          <w:spacing w:val="-1"/>
          <w:sz w:val="56"/>
          <w:szCs w:val="56"/>
          <w:lang w:eastAsia="zh-CN"/>
          <w14:textOutline w14:w="3844" w14:cap="flat" w14:cmpd="sng">
            <w14:solidFill>
              <w14:srgbClr w14:val="000000"/>
            </w14:solidFill>
            <w14:prstDash w14:val="solid"/>
            <w14:miter w14:val="0"/>
          </w14:textOutline>
        </w:rPr>
        <w:t>）</w:t>
      </w:r>
    </w:p>
    <w:p>
      <w:pPr>
        <w:keepNext w:val="0"/>
        <w:keepLines w:val="0"/>
        <w:pageBreakBefore w:val="0"/>
        <w:kinsoku/>
        <w:wordWrap w:val="0"/>
        <w:overflowPunct/>
        <w:topLinePunct w:val="0"/>
        <w:bidi w:val="0"/>
        <w:spacing w:line="248"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bookmarkStart w:id="133" w:name="_GoBack"/>
      <w:bookmarkEnd w:id="133"/>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2100" w:leftChars="10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唐河县盛居路新华路道路提升工程</w:t>
      </w:r>
    </w:p>
    <w:p>
      <w:pPr>
        <w:keepNext w:val="0"/>
        <w:keepLines w:val="0"/>
        <w:pageBreakBefore w:val="0"/>
        <w:widowControl/>
        <w:kinsoku/>
        <w:wordWrap w:val="0"/>
        <w:overflowPunct/>
        <w:topLinePunct w:val="0"/>
        <w:autoSpaceDE w:val="0"/>
        <w:autoSpaceDN w:val="0"/>
        <w:bidi w:val="0"/>
        <w:adjustRightInd w:val="0"/>
        <w:snapToGrid w:val="0"/>
        <w:spacing w:line="360" w:lineRule="auto"/>
        <w:ind w:left="2100" w:leftChars="10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唐财采购竞争性磋商-2024-65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2100" w:leftChars="1000"/>
        <w:jc w:val="both"/>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1标段</w:t>
      </w:r>
    </w:p>
    <w:p>
      <w:pPr>
        <w:keepNext w:val="0"/>
        <w:keepLines w:val="0"/>
        <w:pageBreakBefore w:val="0"/>
        <w:widowControl/>
        <w:kinsoku/>
        <w:wordWrap w:val="0"/>
        <w:overflowPunct/>
        <w:topLinePunct w:val="0"/>
        <w:autoSpaceDE w:val="0"/>
        <w:autoSpaceDN w:val="0"/>
        <w:bidi w:val="0"/>
        <w:adjustRightInd w:val="0"/>
        <w:snapToGrid w:val="0"/>
        <w:spacing w:line="360" w:lineRule="auto"/>
        <w:ind w:left="2100" w:leftChars="1000"/>
        <w:jc w:val="both"/>
        <w:textAlignment w:val="baseline"/>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唐河县市政服务中心</w:t>
      </w:r>
    </w:p>
    <w:p>
      <w:pPr>
        <w:keepNext w:val="0"/>
        <w:keepLines w:val="0"/>
        <w:pageBreakBefore w:val="0"/>
        <w:widowControl/>
        <w:kinsoku/>
        <w:wordWrap w:val="0"/>
        <w:overflowPunct/>
        <w:topLinePunct w:val="0"/>
        <w:autoSpaceDE w:val="0"/>
        <w:autoSpaceDN w:val="0"/>
        <w:bidi w:val="0"/>
        <w:adjustRightInd w:val="0"/>
        <w:snapToGrid w:val="0"/>
        <w:spacing w:line="360" w:lineRule="auto"/>
        <w:ind w:left="2100" w:leftChars="1000"/>
        <w:jc w:val="both"/>
        <w:textAlignment w:val="baseline"/>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唐河县龙建工程管理有限公司</w:t>
      </w:r>
    </w:p>
    <w:p>
      <w:pPr>
        <w:keepNext w:val="0"/>
        <w:keepLines w:val="0"/>
        <w:pageBreakBefore w:val="0"/>
        <w:widowControl/>
        <w:kinsoku/>
        <w:wordWrap w:val="0"/>
        <w:overflowPunct/>
        <w:topLinePunct w:val="0"/>
        <w:autoSpaceDE w:val="0"/>
        <w:autoSpaceDN w:val="0"/>
        <w:bidi w:val="0"/>
        <w:adjustRightInd w:val="0"/>
        <w:snapToGrid w:val="0"/>
        <w:spacing w:line="360" w:lineRule="auto"/>
        <w:ind w:left="2100" w:leftChars="10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u w:val="none"/>
          <w:lang w:val="en-US" w:eastAsia="zh-CN"/>
        </w:rPr>
        <w:t>日期：</w:t>
      </w:r>
      <w:r>
        <w:rPr>
          <w:rFonts w:hint="eastAsia" w:asciiTheme="minorEastAsia" w:hAnsiTheme="minorEastAsia" w:eastAsiaTheme="minorEastAsia" w:cstheme="minorEastAsia"/>
          <w:b/>
          <w:bCs/>
          <w:spacing w:val="-17"/>
          <w:sz w:val="32"/>
          <w:szCs w:val="32"/>
          <w:u w:val="single"/>
          <w:lang w:val="en-US" w:eastAsia="zh-CN"/>
        </w:rPr>
        <w:t>二零二四年五月</w:t>
      </w:r>
    </w:p>
    <w:p>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lang w:val="en-US" w:eastAsia="en-US" w:bidi="ar-SA"/>
        </w:rPr>
        <w:sectPr>
          <w:footerReference r:id="rId5"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lang w:val="en-US" w:eastAsia="en-US" w:bidi="ar-SA"/>
          <w14:textOutline w14:w="2306" w14:cap="flat" w14:cmpd="sng">
            <w14:solidFill>
              <w14:srgbClr w14:val="000000"/>
            </w14:solidFill>
            <w14:prstDash w14:val="solid"/>
            <w14:miter w14:val="0"/>
          </w14:textOutline>
        </w:rPr>
      </w:sdtEndPr>
      <w:sdtContent>
        <w:p>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p>
          <w:pPr>
            <w:spacing w:before="0" w:beforeLines="0" w:after="0" w:afterLines="0" w:line="240" w:lineRule="auto"/>
            <w:ind w:left="0" w:leftChars="0" w:right="0" w:rightChars="0" w:firstLine="0" w:firstLineChars="0"/>
            <w:jc w:val="center"/>
            <w:rPr>
              <w:b/>
              <w:bCs/>
              <w:sz w:val="40"/>
              <w:szCs w:val="40"/>
            </w:rPr>
          </w:pPr>
          <w:r>
            <w:rPr>
              <w:rFonts w:ascii="宋体" w:hAnsi="宋体" w:eastAsia="宋体"/>
              <w:b/>
              <w:bCs/>
              <w:sz w:val="40"/>
              <w:szCs w:val="40"/>
            </w:rPr>
            <w:t>目</w:t>
          </w:r>
          <w:r>
            <w:rPr>
              <w:rFonts w:hint="eastAsia" w:ascii="宋体" w:hAnsi="宋体" w:eastAsia="宋体"/>
              <w:b/>
              <w:bCs/>
              <w:sz w:val="40"/>
              <w:szCs w:val="40"/>
              <w:lang w:val="en-US" w:eastAsia="zh-CN"/>
            </w:rPr>
            <w:t xml:space="preserve">   </w:t>
          </w:r>
          <w:r>
            <w:rPr>
              <w:rFonts w:ascii="宋体" w:hAnsi="宋体" w:eastAsia="宋体"/>
              <w:b/>
              <w:bCs/>
              <w:sz w:val="40"/>
              <w:szCs w:val="40"/>
            </w:rPr>
            <w:t>录</w:t>
          </w:r>
        </w:p>
        <w:p>
          <w:pPr>
            <w:pStyle w:val="32"/>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3</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2"/>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7</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7</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二、项目商务要求</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7</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2"/>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8</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一、说明</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9</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13</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14</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16</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2"/>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17</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17</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17</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三、组建磋商小组</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17</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17</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五、评审</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17</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六、</w:t>
          </w:r>
          <w:r>
            <w:rPr>
              <w:rFonts w:hint="eastAsia" w:asciiTheme="minorEastAsia" w:hAnsiTheme="minorEastAsia" w:eastAsiaTheme="minorEastAsia" w:cstheme="minorEastAsia"/>
              <w:bCs/>
              <w:snapToGrid w:val="0"/>
              <w:spacing w:val="3"/>
              <w:kern w:val="0"/>
              <w:sz w:val="20"/>
              <w:szCs w:val="24"/>
              <w:lang w:val="en-US" w:eastAsia="en-US" w:bidi="ar-SA"/>
            </w:rPr>
            <w:t>成交</w:t>
          </w:r>
          <w:r>
            <w:rPr>
              <w:rFonts w:hint="eastAsia" w:asciiTheme="minorEastAsia" w:hAnsiTheme="minorEastAsia" w:eastAsiaTheme="minorEastAsia" w:cstheme="minorEastAsia"/>
              <w:bCs/>
              <w:snapToGrid w:val="0"/>
              <w:spacing w:val="3"/>
              <w:kern w:val="0"/>
              <w:sz w:val="20"/>
              <w:szCs w:val="24"/>
              <w:lang w:val="en-US" w:eastAsia="zh-CN" w:bidi="ar-SA"/>
            </w:rPr>
            <w:t>通知及</w:t>
          </w:r>
          <w:r>
            <w:rPr>
              <w:rFonts w:hint="eastAsia" w:asciiTheme="minorEastAsia" w:hAnsiTheme="minorEastAsia" w:eastAsiaTheme="minorEastAsia" w:cstheme="minorEastAsia"/>
              <w:bCs/>
              <w:snapToGrid w:val="0"/>
              <w:spacing w:val="3"/>
              <w:kern w:val="0"/>
              <w:sz w:val="20"/>
              <w:szCs w:val="24"/>
              <w:lang w:val="en-US" w:eastAsia="en-US" w:bidi="ar-SA"/>
            </w:rPr>
            <w:t>签订合同</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25</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七、</w:t>
          </w:r>
          <w:r>
            <w:rPr>
              <w:rFonts w:hint="eastAsia" w:asciiTheme="minorEastAsia" w:hAnsiTheme="minorEastAsia" w:eastAsiaTheme="minorEastAsia" w:cstheme="minorEastAsia"/>
              <w:bCs/>
              <w:snapToGrid w:val="0"/>
              <w:spacing w:val="3"/>
              <w:kern w:val="0"/>
              <w:sz w:val="20"/>
              <w:szCs w:val="24"/>
              <w:lang w:val="en-US" w:eastAsia="en-US" w:bidi="ar-SA"/>
            </w:rPr>
            <w:t>质疑与答复</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25</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八、</w:t>
          </w:r>
          <w:r>
            <w:rPr>
              <w:rFonts w:hint="eastAsia" w:asciiTheme="minorEastAsia" w:hAnsiTheme="minorEastAsia" w:eastAsiaTheme="minorEastAsia" w:cstheme="minorEastAsia"/>
              <w:bCs/>
              <w:snapToGrid w:val="0"/>
              <w:spacing w:val="3"/>
              <w:kern w:val="0"/>
              <w:sz w:val="20"/>
              <w:szCs w:val="24"/>
              <w:lang w:val="en-US" w:eastAsia="en-US" w:bidi="ar-SA"/>
            </w:rPr>
            <w:t>注意事项</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26</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2"/>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28</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2"/>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30</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t>3</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t>2</w:t>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35</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三、授权委托书</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t>3</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t>5</w:t>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四、技术标部分</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36</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t>3</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t>6</w:t>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t>4</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t>0</w:t>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45</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p>
          <w:pPr>
            <w:pStyle w:val="33"/>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lang w:val="en-US" w:eastAsia="zh-CN" w:bidi="ar-SA"/>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t>4</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t>6</w:t>
          </w:r>
        </w:p>
        <w:p>
          <w:pPr>
            <w:pStyle w:val="32"/>
            <w:keepNext w:val="0"/>
            <w:keepLines w:val="0"/>
            <w:pageBreakBefore w:val="0"/>
            <w:widowControl/>
            <w:tabs>
              <w:tab w:val="right" w:leader="dot" w:pos="9750"/>
            </w:tabs>
            <w:kinsoku/>
            <w:overflowPunct/>
            <w:topLinePunct w:val="0"/>
            <w:bidi w:val="0"/>
            <w:spacing w:after="0" w:afterLines="1" w:line="440" w:lineRule="exact"/>
            <w:rPr>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告知函</w:t>
          </w:r>
          <w:r>
            <w:rPr>
              <w:rFonts w:hint="eastAsia" w:asciiTheme="minorEastAsia" w:hAnsiTheme="minorEastAsia" w:eastAsiaTheme="minorEastAsia" w:cstheme="minorEastAsia"/>
              <w:bCs/>
              <w:snapToGrid w:val="0"/>
              <w:spacing w:val="3"/>
              <w:kern w:val="0"/>
              <w:sz w:val="20"/>
              <w:szCs w:val="24"/>
              <w:lang w:val="en-US" w:eastAsia="zh-CN" w:bidi="ar-SA"/>
            </w:rPr>
            <w:tab/>
          </w:r>
          <w:r>
            <w:rPr>
              <w:rFonts w:hint="eastAsia" w:asciiTheme="minorEastAsia" w:hAnsiTheme="minorEastAsia" w:eastAsiaTheme="minorEastAsia" w:cstheme="minorEastAsia"/>
              <w:bCs/>
              <w:snapToGrid w:val="0"/>
              <w:spacing w:val="3"/>
              <w:kern w:val="0"/>
              <w:sz w:val="20"/>
              <w:szCs w:val="24"/>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lang w:val="en-US" w:eastAsia="zh-CN" w:bidi="ar-SA"/>
            </w:rPr>
            <w:t>48</w:t>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r>
            <w:rPr>
              <w:rFonts w:hint="eastAsia" w:asciiTheme="minorEastAsia" w:hAnsiTheme="minorEastAsia" w:eastAsiaTheme="minorEastAsia" w:cstheme="minorEastAsia"/>
              <w:bCs/>
              <w:snapToGrid w:val="0"/>
              <w:spacing w:val="3"/>
              <w:kern w:val="0"/>
              <w:sz w:val="20"/>
              <w:szCs w:val="24"/>
              <w:lang w:val="en-US" w:eastAsia="zh-CN" w:bidi="ar-SA"/>
            </w:rPr>
            <w:fldChar w:fldCharType="end"/>
          </w:r>
        </w:p>
      </w:sdtContent>
    </w:sdt>
    <w:p>
      <w:pPr>
        <w:pStyle w:val="3"/>
        <w:keepNext w:val="0"/>
        <w:keepLines w:val="0"/>
        <w:pageBreakBefore w:val="0"/>
        <w:kinsoku/>
        <w:wordWrap w:val="0"/>
        <w:overflowPunct/>
        <w:topLinePunct w:val="0"/>
        <w:bidi w:val="0"/>
        <w:spacing w:before="358" w:line="360" w:lineRule="auto"/>
        <w:jc w:val="center"/>
        <w:outlineLvl w:val="0"/>
        <w:rPr>
          <w:rFonts w:ascii="Arial"/>
          <w:sz w:val="21"/>
        </w:rPr>
      </w:pPr>
      <w:bookmarkStart w:id="1" w:name="_Toc1508"/>
      <w:r>
        <w:rPr>
          <w:spacing w:val="-1"/>
          <w:sz w:val="36"/>
          <w:szCs w:val="36"/>
          <w14:textOutline w14:w="2306" w14:cap="flat" w14:cmpd="sng">
            <w14:solidFill>
              <w14:srgbClr w14:val="000000"/>
            </w14:solidFill>
            <w14:prstDash w14:val="solid"/>
            <w14:miter w14:val="0"/>
          </w14:textOutline>
        </w:rPr>
        <w:t>第一章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竞争性磋商公告</w:t>
      </w:r>
      <w:bookmarkEnd w:id="1"/>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lang w:val="en-US" w:eastAsia="zh-CN" w:bidi="ar-SA"/>
        </w:rPr>
      </w:pPr>
      <w:r>
        <w:rPr>
          <w:rFonts w:hint="eastAsia" w:ascii="宋体" w:hAnsi="宋体" w:eastAsia="宋体" w:cs="宋体"/>
          <w:b/>
          <w:bCs/>
          <w:spacing w:val="-1"/>
          <w:kern w:val="0"/>
          <w:sz w:val="24"/>
          <w:szCs w:val="24"/>
          <w:lang w:val="en-US" w:eastAsia="zh-CN" w:bidi="ar-SA"/>
        </w:rPr>
        <w:t>项目概况</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cs="宋体"/>
          <w:spacing w:val="-1"/>
          <w:kern w:val="0"/>
          <w:sz w:val="24"/>
          <w:szCs w:val="24"/>
          <w:lang w:val="en-US" w:eastAsia="zh-CN" w:bidi="ar-SA"/>
        </w:rPr>
        <w:t>唐河县盛居路新华路道路提升工程</w:t>
      </w:r>
      <w:r>
        <w:rPr>
          <w:rFonts w:hint="eastAsia" w:ascii="宋体" w:hAnsi="宋体" w:eastAsia="宋体" w:cs="宋体"/>
          <w:spacing w:val="-1"/>
          <w:kern w:val="0"/>
          <w:sz w:val="24"/>
          <w:szCs w:val="24"/>
          <w:lang w:val="en-US" w:eastAsia="zh-CN" w:bidi="ar-SA"/>
        </w:rPr>
        <w:t>的潜在投标人应在唐河县公共资源交易中心网站（http://www.thggzy.cn）获取招标文件，并于2024年6月21日09时30分（北京时间）前递交响应文件。</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lang w:val="en-US" w:eastAsia="zh-CN" w:bidi="ar-SA"/>
        </w:rPr>
      </w:pPr>
      <w:bookmarkStart w:id="2" w:name="_Toc6345"/>
      <w:r>
        <w:rPr>
          <w:rFonts w:hint="eastAsia" w:ascii="宋体" w:hAnsi="宋体" w:eastAsia="宋体" w:cs="宋体"/>
          <w:b/>
          <w:bCs/>
          <w:spacing w:val="-1"/>
          <w:kern w:val="0"/>
          <w:sz w:val="24"/>
          <w:szCs w:val="24"/>
          <w:lang w:val="en-US" w:eastAsia="zh-CN" w:bidi="ar-SA"/>
        </w:rPr>
        <w:t>一、项目基本情况</w:t>
      </w:r>
      <w:bookmarkEnd w:id="2"/>
    </w:p>
    <w:p>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lang w:val="en-US" w:eastAsia="zh-CN" w:bidi="ar-SA"/>
        </w:rPr>
      </w:pPr>
      <w:r>
        <w:rPr>
          <w:rFonts w:hint="eastAsia" w:ascii="Arial" w:hAnsi="Arial" w:eastAsia="Arial" w:cs="宋体"/>
          <w:snapToGrid w:val="0"/>
          <w:color w:val="000000"/>
          <w:spacing w:val="-1"/>
          <w:kern w:val="0"/>
          <w:sz w:val="24"/>
          <w:szCs w:val="24"/>
          <w:lang w:val="en-US" w:eastAsia="zh-CN" w:bidi="ar-SA"/>
        </w:rPr>
        <w:t>1.项目编号：唐财采购竞争性磋商-2024-65</w:t>
      </w:r>
    </w:p>
    <w:p>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lang w:val="en-US" w:eastAsia="zh-CN" w:bidi="ar-SA"/>
        </w:rPr>
      </w:pPr>
      <w:r>
        <w:rPr>
          <w:rFonts w:hint="eastAsia" w:ascii="Arial" w:hAnsi="Arial" w:eastAsia="Arial" w:cs="宋体"/>
          <w:snapToGrid w:val="0"/>
          <w:color w:val="000000"/>
          <w:spacing w:val="-1"/>
          <w:kern w:val="0"/>
          <w:sz w:val="24"/>
          <w:szCs w:val="24"/>
          <w:lang w:val="en-US" w:eastAsia="zh-CN" w:bidi="ar-SA"/>
        </w:rPr>
        <w:t>2.项目名称：唐河县盛居路新华路道路提升工程</w:t>
      </w:r>
    </w:p>
    <w:p>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lang w:val="en-US" w:eastAsia="zh-CN" w:bidi="ar-SA"/>
        </w:rPr>
      </w:pPr>
      <w:r>
        <w:rPr>
          <w:rFonts w:hint="eastAsia" w:ascii="Arial" w:hAnsi="Arial" w:eastAsia="Arial" w:cs="宋体"/>
          <w:snapToGrid w:val="0"/>
          <w:color w:val="000000"/>
          <w:spacing w:val="-1"/>
          <w:kern w:val="0"/>
          <w:sz w:val="24"/>
          <w:szCs w:val="24"/>
          <w:lang w:val="en-US" w:eastAsia="zh-CN" w:bidi="ar-SA"/>
        </w:rPr>
        <w:t>3.采购方式：竞争性磋商</w:t>
      </w:r>
    </w:p>
    <w:p>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lang w:val="en-US" w:eastAsia="zh-CN" w:bidi="ar-SA"/>
        </w:rPr>
      </w:pPr>
      <w:r>
        <w:rPr>
          <w:rFonts w:hint="eastAsia" w:ascii="Arial" w:hAnsi="Arial" w:eastAsia="Arial" w:cs="宋体"/>
          <w:snapToGrid w:val="0"/>
          <w:color w:val="000000"/>
          <w:spacing w:val="-1"/>
          <w:kern w:val="0"/>
          <w:sz w:val="24"/>
          <w:szCs w:val="24"/>
          <w:lang w:val="en-US" w:eastAsia="zh-CN" w:bidi="ar-SA"/>
        </w:rPr>
        <w:t>4.项目预算金额：2244884.67元         项目最高限价： 2244884.67元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293"/>
        <w:gridCol w:w="1786"/>
        <w:gridCol w:w="1484"/>
        <w:gridCol w:w="1616"/>
        <w:gridCol w:w="1494"/>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序号</w:t>
            </w:r>
          </w:p>
        </w:tc>
        <w:tc>
          <w:tcPr>
            <w:tcW w:w="129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包号</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包名称</w:t>
            </w: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包预算（元）</w:t>
            </w: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最高限价（元）</w:t>
            </w: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是否专门面向中小企业</w:t>
            </w:r>
          </w:p>
        </w:tc>
        <w:tc>
          <w:tcPr>
            <w:tcW w:w="164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shd w:val="clear" w:color="auto" w:fill="FFFFFF"/>
              </w:rPr>
            </w:pPr>
            <w:r>
              <w:rPr>
                <w:rFonts w:hint="eastAsia" w:ascii="宋体" w:hAnsi="宋体" w:cs="宋体"/>
                <w:bCs/>
                <w:sz w:val="24"/>
                <w:szCs w:val="24"/>
                <w:shd w:val="clear" w:color="auto" w:fill="FFFFFF"/>
              </w:rPr>
              <w:t>1</w:t>
            </w:r>
          </w:p>
        </w:tc>
        <w:tc>
          <w:tcPr>
            <w:tcW w:w="129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Cs/>
                <w:sz w:val="24"/>
                <w:szCs w:val="24"/>
                <w:shd w:val="clear" w:color="auto" w:fill="FFFFFF"/>
                <w:lang w:val="en-US" w:eastAsia="zh-CN"/>
              </w:rPr>
            </w:pPr>
            <w:r>
              <w:rPr>
                <w:rFonts w:hint="default" w:ascii="宋体" w:hAnsi="宋体" w:eastAsia="宋体" w:cs="宋体"/>
                <w:bCs/>
                <w:sz w:val="24"/>
                <w:szCs w:val="24"/>
                <w:shd w:val="clear" w:color="auto" w:fill="FFFFFF"/>
                <w:lang w:val="en-US" w:eastAsia="zh-CN"/>
              </w:rPr>
              <w:t>唐财采购竞争性磋商-2024-</w:t>
            </w:r>
            <w:r>
              <w:rPr>
                <w:rFonts w:hint="eastAsia" w:ascii="宋体" w:hAnsi="宋体" w:eastAsia="宋体" w:cs="宋体"/>
                <w:bCs/>
                <w:sz w:val="24"/>
                <w:szCs w:val="24"/>
                <w:shd w:val="clear" w:color="auto" w:fill="FFFFFF"/>
                <w:lang w:val="en-US" w:eastAsia="zh-CN"/>
              </w:rPr>
              <w:t xml:space="preserve">65-1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 xml:space="preserve"> </w:t>
            </w:r>
          </w:p>
        </w:tc>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Cs/>
                <w:sz w:val="24"/>
                <w:szCs w:val="24"/>
                <w:shd w:val="clear" w:color="auto" w:fill="FFFFFF"/>
                <w:lang w:val="en-US" w:eastAsia="zh-CN"/>
              </w:rPr>
            </w:pPr>
            <w:r>
              <w:rPr>
                <w:rFonts w:hint="eastAsia" w:ascii="Arial" w:hAnsi="Arial" w:eastAsia="Arial" w:cs="宋体"/>
                <w:snapToGrid w:val="0"/>
                <w:color w:val="000000"/>
                <w:spacing w:val="-1"/>
                <w:kern w:val="0"/>
                <w:sz w:val="24"/>
                <w:szCs w:val="24"/>
                <w:lang w:val="en-US" w:eastAsia="zh-CN" w:bidi="ar-SA"/>
              </w:rPr>
              <w:t>唐河县盛居路新华路道路提升工程</w:t>
            </w:r>
          </w:p>
        </w:tc>
        <w:tc>
          <w:tcPr>
            <w:tcW w:w="148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bCs/>
                <w:sz w:val="24"/>
                <w:szCs w:val="24"/>
                <w:shd w:val="clear" w:color="auto" w:fill="FFFFFF"/>
                <w:lang w:val="en-US" w:eastAsia="zh-CN"/>
              </w:rPr>
            </w:pPr>
            <w:r>
              <w:rPr>
                <w:rFonts w:hint="eastAsia" w:ascii="Arial" w:hAnsi="Arial" w:eastAsia="Arial" w:cs="宋体"/>
                <w:snapToGrid w:val="0"/>
                <w:color w:val="000000"/>
                <w:spacing w:val="-1"/>
                <w:kern w:val="0"/>
                <w:sz w:val="24"/>
                <w:szCs w:val="24"/>
                <w:lang w:val="en-US" w:eastAsia="zh-CN" w:bidi="ar-SA"/>
              </w:rPr>
              <w:t>2244884.67</w:t>
            </w: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bCs/>
                <w:sz w:val="24"/>
                <w:szCs w:val="24"/>
                <w:shd w:val="clear" w:color="auto" w:fill="FFFFFF"/>
                <w:lang w:val="en-US" w:eastAsia="zh-CN"/>
              </w:rPr>
            </w:pPr>
            <w:r>
              <w:rPr>
                <w:rFonts w:hint="eastAsia" w:ascii="Arial" w:hAnsi="Arial" w:eastAsia="Arial" w:cs="宋体"/>
                <w:snapToGrid w:val="0"/>
                <w:color w:val="000000"/>
                <w:spacing w:val="-1"/>
                <w:kern w:val="0"/>
                <w:sz w:val="24"/>
                <w:szCs w:val="24"/>
                <w:lang w:val="en-US" w:eastAsia="zh-CN" w:bidi="ar-SA"/>
              </w:rPr>
              <w:t>2244884.67</w:t>
            </w:r>
          </w:p>
        </w:tc>
        <w:tc>
          <w:tcPr>
            <w:tcW w:w="149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bCs/>
                <w:sz w:val="24"/>
                <w:szCs w:val="24"/>
                <w:shd w:val="clear" w:color="auto" w:fill="FFFFFF"/>
                <w:lang w:val="en-US" w:eastAsia="zh-CN"/>
              </w:rPr>
            </w:pPr>
            <w:r>
              <w:rPr>
                <w:rFonts w:hint="eastAsia" w:ascii="宋体" w:hAnsi="宋体" w:eastAsia="宋体" w:cs="宋体"/>
                <w:bCs/>
                <w:sz w:val="24"/>
                <w:szCs w:val="24"/>
                <w:shd w:val="clear" w:color="auto" w:fill="FFFFFF"/>
                <w:lang w:val="en-US" w:eastAsia="zh-CN"/>
              </w:rPr>
              <w:t>是</w:t>
            </w:r>
          </w:p>
        </w:tc>
        <w:tc>
          <w:tcPr>
            <w:tcW w:w="164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bCs/>
                <w:sz w:val="24"/>
                <w:szCs w:val="24"/>
                <w:shd w:val="clear" w:color="auto" w:fill="FFFFFF"/>
                <w:lang w:val="en-US" w:eastAsia="zh-CN"/>
              </w:rPr>
            </w:pPr>
            <w:r>
              <w:rPr>
                <w:rFonts w:hint="eastAsia" w:ascii="Arial" w:hAnsi="Arial" w:eastAsia="Arial" w:cs="宋体"/>
                <w:snapToGrid w:val="0"/>
                <w:color w:val="000000"/>
                <w:spacing w:val="-1"/>
                <w:kern w:val="0"/>
                <w:sz w:val="24"/>
                <w:szCs w:val="24"/>
                <w:lang w:val="en-US" w:eastAsia="zh-CN" w:bidi="ar-SA"/>
              </w:rPr>
              <w:t>2244884.67</w:t>
            </w:r>
          </w:p>
        </w:tc>
      </w:tr>
    </w:tbl>
    <w:p>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ascii="Arial" w:hAnsi="Arial" w:eastAsia="Arial" w:cs="宋体"/>
          <w:snapToGrid w:val="0"/>
          <w:color w:val="000000"/>
          <w:spacing w:val="-1"/>
          <w:kern w:val="0"/>
          <w:sz w:val="24"/>
          <w:szCs w:val="24"/>
          <w:lang w:val="en-US" w:eastAsia="zh-CN" w:bidi="ar-SA"/>
        </w:rPr>
      </w:pPr>
      <w:r>
        <w:rPr>
          <w:rFonts w:hint="eastAsia" w:ascii="Arial" w:hAnsi="Arial" w:eastAsia="Arial" w:cs="宋体"/>
          <w:snapToGrid w:val="0"/>
          <w:color w:val="000000"/>
          <w:spacing w:val="-1"/>
          <w:kern w:val="0"/>
          <w:sz w:val="24"/>
          <w:szCs w:val="24"/>
          <w:lang w:val="en-US" w:eastAsia="zh-CN" w:bidi="ar-SA"/>
        </w:rPr>
        <w:t>5.采购需求：</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（1）项目实施地点：</w:t>
      </w:r>
      <w:r>
        <w:rPr>
          <w:rFonts w:hint="eastAsia" w:cs="宋体"/>
          <w:spacing w:val="-1"/>
          <w:kern w:val="0"/>
          <w:sz w:val="24"/>
          <w:szCs w:val="24"/>
          <w:lang w:val="en-US" w:eastAsia="zh-CN" w:bidi="ar-SA"/>
        </w:rPr>
        <w:t>唐河县盛居路（上马路-新华路）和新华路（盛居路-伏牛路）</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2）采购内容：唐河县盛居路新华路道路提升工程主要包括唐河县盛居路（上马路-新华路）和新华路（盛居路-伏牛路）铣刨路面、从新铺设沥青混凝土路面等工程。详见本项目采购文件、工程量清单及施工图纸范围内的所有工程施工（以清单为准）。</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（3）质量要求：合格；</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（4）标段划分：共一个标段。</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6.合同履行期限：45日历天</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7、本项目是否接受联合体投标：否</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8、是否接受进口产品：否</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9、是否专门面向中小企业：是</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b/>
          <w:bCs/>
          <w:spacing w:val="-1"/>
          <w:kern w:val="0"/>
          <w:sz w:val="24"/>
          <w:szCs w:val="24"/>
          <w:lang w:val="en-US" w:eastAsia="zh-CN" w:bidi="ar-SA"/>
        </w:rPr>
      </w:pPr>
      <w:bookmarkStart w:id="3" w:name="_Toc6785"/>
      <w:r>
        <w:rPr>
          <w:rFonts w:hint="eastAsia" w:ascii="宋体" w:hAnsi="宋体" w:eastAsia="宋体" w:cs="宋体"/>
          <w:b/>
          <w:bCs/>
          <w:spacing w:val="-1"/>
          <w:kern w:val="0"/>
          <w:sz w:val="24"/>
          <w:szCs w:val="24"/>
          <w:lang w:val="en-US" w:eastAsia="zh-CN" w:bidi="ar-SA"/>
        </w:rPr>
        <w:t>二、申请人的资格要求（须同时满足）</w:t>
      </w:r>
      <w:bookmarkEnd w:id="3"/>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1、满足《中华人民共和国政府采购法》第二十二条规定；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2、落实政府采购政策满足的资格要求：</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本项目执行扶持中小企业、监狱企业和残疾人福利性单位发展的政策。</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3、本项目的特定资格要求：</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3.1供应商具有独立法人资格，具有有效的营业执照、税务登记证、组织机构代码证（或三证合一）；</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3.2供应商须具有市政公用工程施工总承包叁级及以上资质等级，且具有有效的安全生产许可证，并在人员、设备、资金等方面具有相应的施工能力；</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3.3拟派项目经理须具备相关专业贰级及以上注册建造师资格证书及有效的安全生产考核合格证，且未担任其他在建工程的项目经理并作出承诺；技术负责人具有相关专业中级及以上工程技术职称；</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3.4参加本次政府采购活动前三年内，在经营活动中没有重大违法犯罪记录；</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3.5财务状况良好，没有处于被责令停业、破产状态，各投标人须提供具有近三年（2020年度、2021年度、2022年度）经审计的财务报告，信誉良好（成立不足三年的企业，从成立之日算起）。</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3.6供应商依法缴纳税收（提供2023年1月1日以来任意三个月完税证明或缴税凭证）和社会保障资金（提供2023年1月1日以来任意三个月的社保缴纳凭证或社保缴费记录)。依法免税或不需要缴纳社会保障资金的供应商，应提供相应证明文件。</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3.7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3.8本次招标不接受联合体投标，不允许分包和转包。</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3.9满足法律、行政法规及本项目磋商文件规定的其他条件。</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注：本项目实行资格后审，审查内容以投标截止时间前上传企业诚信库信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lang w:val="en-US" w:eastAsia="zh-CN" w:bidi="ar-SA"/>
        </w:rPr>
      </w:pPr>
      <w:bookmarkStart w:id="4" w:name="_Toc27065"/>
      <w:bookmarkStart w:id="5" w:name="_Toc31637"/>
      <w:r>
        <w:rPr>
          <w:rFonts w:hint="eastAsia" w:ascii="宋体" w:hAnsi="宋体" w:eastAsia="宋体" w:cs="宋体"/>
          <w:b/>
          <w:bCs/>
          <w:spacing w:val="-1"/>
          <w:kern w:val="0"/>
          <w:sz w:val="24"/>
          <w:szCs w:val="24"/>
          <w:lang w:val="en-US" w:eastAsia="zh-CN" w:bidi="ar-SA"/>
        </w:rPr>
        <w:t>三、获取采购文件</w:t>
      </w:r>
      <w:bookmarkEnd w:id="4"/>
      <w:bookmarkEnd w:id="5"/>
      <w:r>
        <w:rPr>
          <w:rFonts w:hint="eastAsia" w:ascii="宋体" w:hAnsi="宋体" w:eastAsia="宋体" w:cs="宋体"/>
          <w:spacing w:val="-1"/>
          <w:kern w:val="0"/>
          <w:sz w:val="24"/>
          <w:szCs w:val="24"/>
          <w:lang w:val="en-US" w:eastAsia="zh-CN" w:bidi="ar-SA"/>
        </w:rPr>
        <w:tab/>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lang w:val="en-US" w:eastAsia="zh-CN" w:bidi="ar-SA"/>
        </w:rPr>
      </w:pPr>
      <w:r>
        <w:rPr>
          <w:rFonts w:hint="eastAsia" w:ascii="宋体" w:hAnsi="宋体" w:eastAsia="宋体" w:cs="宋体"/>
          <w:color w:val="auto"/>
          <w:spacing w:val="-1"/>
          <w:kern w:val="0"/>
          <w:sz w:val="24"/>
          <w:szCs w:val="24"/>
          <w:lang w:val="en-US" w:eastAsia="zh-CN" w:bidi="ar-SA"/>
        </w:rPr>
        <w:t>1.时间：2024年6月6日至2024年6月14日，每天上午08:00至12:00，下午12:00至18:00（北京时间，法定节假日除外。）</w:t>
      </w:r>
      <w:r>
        <w:rPr>
          <w:rFonts w:hint="eastAsia" w:ascii="宋体" w:hAnsi="宋体" w:eastAsia="宋体" w:cs="宋体"/>
          <w:color w:val="auto"/>
          <w:spacing w:val="-1"/>
          <w:kern w:val="0"/>
          <w:sz w:val="24"/>
          <w:szCs w:val="24"/>
          <w:lang w:val="en-US" w:eastAsia="zh-CN" w:bidi="ar-SA"/>
        </w:rPr>
        <w:tab/>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2.地点：唐河县公共资源交易中心网站（http://www.thggzy.cn）</w:t>
      </w:r>
      <w:r>
        <w:rPr>
          <w:rFonts w:hint="eastAsia" w:ascii="宋体" w:hAnsi="宋体" w:eastAsia="宋体" w:cs="宋体"/>
          <w:spacing w:val="-1"/>
          <w:kern w:val="0"/>
          <w:sz w:val="24"/>
          <w:szCs w:val="24"/>
          <w:lang w:val="en-US" w:eastAsia="zh-CN" w:bidi="ar-SA"/>
        </w:rPr>
        <w:tab/>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3.方式：网上下载。潜在供应商在南阳市公共资源交易中心办理CA数字证书，在南阳市交易平台诚信库进行登记注册，验证通过后可直接运用CA证书登录唐河县公共资源交易中心网站（www.thggzy.cn）诚信库会员系统进行网上下载采购文件。唐河县公共资源交易平台与南阳市公共资源交易平台诚信库系统互认共享、CA数字证书互认共享。</w:t>
      </w:r>
      <w:r>
        <w:rPr>
          <w:rFonts w:hint="eastAsia" w:ascii="宋体" w:hAnsi="宋体" w:eastAsia="宋体" w:cs="宋体"/>
          <w:spacing w:val="-1"/>
          <w:kern w:val="0"/>
          <w:sz w:val="24"/>
          <w:szCs w:val="24"/>
          <w:lang w:val="en-US" w:eastAsia="zh-CN" w:bidi="ar-SA"/>
        </w:rPr>
        <w:tab/>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4.售价：0元</w:t>
      </w:r>
      <w:r>
        <w:rPr>
          <w:rFonts w:hint="eastAsia" w:ascii="宋体" w:hAnsi="宋体" w:eastAsia="宋体" w:cs="宋体"/>
          <w:spacing w:val="-1"/>
          <w:kern w:val="0"/>
          <w:sz w:val="24"/>
          <w:szCs w:val="24"/>
          <w:lang w:val="en-US" w:eastAsia="zh-CN" w:bidi="ar-SA"/>
        </w:rPr>
        <w:tab/>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lang w:val="en-US" w:eastAsia="zh-CN" w:bidi="ar-SA"/>
        </w:rPr>
      </w:pPr>
      <w:bookmarkStart w:id="6" w:name="_Toc29217"/>
      <w:bookmarkStart w:id="7" w:name="_Toc9557"/>
      <w:r>
        <w:rPr>
          <w:rFonts w:hint="eastAsia" w:ascii="宋体" w:hAnsi="宋体" w:eastAsia="宋体" w:cs="宋体"/>
          <w:b/>
          <w:bCs/>
          <w:spacing w:val="-1"/>
          <w:kern w:val="0"/>
          <w:sz w:val="24"/>
          <w:szCs w:val="24"/>
          <w:lang w:val="en-US" w:eastAsia="zh-CN" w:bidi="ar-SA"/>
        </w:rPr>
        <w:t>四、响应文件提交</w:t>
      </w:r>
      <w:bookmarkEnd w:id="6"/>
      <w:bookmarkEnd w:id="7"/>
      <w:r>
        <w:rPr>
          <w:rFonts w:hint="eastAsia" w:ascii="宋体" w:hAnsi="宋体" w:eastAsia="宋体" w:cs="宋体"/>
          <w:spacing w:val="-1"/>
          <w:kern w:val="0"/>
          <w:sz w:val="24"/>
          <w:szCs w:val="24"/>
          <w:lang w:val="en-US" w:eastAsia="zh-CN" w:bidi="ar-SA"/>
        </w:rPr>
        <w:tab/>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1.截止时间：2024年6月21日09时30分（北京时间）</w:t>
      </w:r>
      <w:r>
        <w:rPr>
          <w:rFonts w:hint="eastAsia" w:ascii="宋体" w:hAnsi="宋体" w:eastAsia="宋体" w:cs="宋体"/>
          <w:spacing w:val="-1"/>
          <w:kern w:val="0"/>
          <w:sz w:val="24"/>
          <w:szCs w:val="24"/>
          <w:lang w:val="en-US" w:eastAsia="zh-CN" w:bidi="ar-SA"/>
        </w:rPr>
        <w:tab/>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lang w:val="en-US" w:eastAsia="zh-CN" w:bidi="ar-SA"/>
        </w:rPr>
      </w:pPr>
      <w:bookmarkStart w:id="8" w:name="_Toc529"/>
      <w:bookmarkStart w:id="9" w:name="_Toc5182"/>
      <w:r>
        <w:rPr>
          <w:rFonts w:hint="eastAsia" w:ascii="宋体" w:hAnsi="宋体" w:eastAsia="宋体" w:cs="宋体"/>
          <w:b/>
          <w:bCs/>
          <w:spacing w:val="-1"/>
          <w:kern w:val="0"/>
          <w:sz w:val="24"/>
          <w:szCs w:val="24"/>
          <w:lang w:val="en-US" w:eastAsia="zh-CN" w:bidi="ar-SA"/>
        </w:rPr>
        <w:t>五、响应文件开启</w:t>
      </w:r>
      <w:bookmarkEnd w:id="8"/>
      <w:bookmarkEnd w:id="9"/>
      <w:r>
        <w:rPr>
          <w:rFonts w:hint="eastAsia" w:ascii="宋体" w:hAnsi="宋体" w:eastAsia="宋体" w:cs="宋体"/>
          <w:spacing w:val="-1"/>
          <w:kern w:val="0"/>
          <w:sz w:val="24"/>
          <w:szCs w:val="24"/>
          <w:lang w:val="en-US" w:eastAsia="zh-CN" w:bidi="ar-SA"/>
        </w:rPr>
        <w:tab/>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1.时间：2024年6月21日09时30分（北京时间）</w:t>
      </w:r>
      <w:r>
        <w:rPr>
          <w:rFonts w:hint="eastAsia" w:ascii="宋体" w:hAnsi="宋体" w:eastAsia="宋体" w:cs="宋体"/>
          <w:spacing w:val="-1"/>
          <w:kern w:val="0"/>
          <w:sz w:val="24"/>
          <w:szCs w:val="24"/>
          <w:lang w:val="en-US" w:eastAsia="zh-CN" w:bidi="ar-SA"/>
        </w:rPr>
        <w:tab/>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lang w:val="en-US" w:eastAsia="zh-CN" w:bidi="ar-SA"/>
        </w:rPr>
      </w:pPr>
      <w:bookmarkStart w:id="10" w:name="_Toc23316"/>
      <w:bookmarkStart w:id="11" w:name="_Toc28"/>
      <w:r>
        <w:rPr>
          <w:rFonts w:hint="eastAsia" w:ascii="宋体" w:hAnsi="宋体" w:eastAsia="宋体" w:cs="宋体"/>
          <w:b/>
          <w:bCs/>
          <w:spacing w:val="-1"/>
          <w:kern w:val="0"/>
          <w:sz w:val="24"/>
          <w:szCs w:val="24"/>
          <w:lang w:val="en-US" w:eastAsia="zh-CN" w:bidi="ar-SA"/>
        </w:rPr>
        <w:t>六、发布公告的媒介及招标公告期限</w:t>
      </w:r>
      <w:bookmarkEnd w:id="10"/>
      <w:bookmarkEnd w:id="11"/>
      <w:r>
        <w:rPr>
          <w:rFonts w:hint="eastAsia" w:ascii="宋体" w:hAnsi="宋体" w:eastAsia="宋体" w:cs="宋体"/>
          <w:spacing w:val="-1"/>
          <w:kern w:val="0"/>
          <w:sz w:val="24"/>
          <w:szCs w:val="24"/>
          <w:lang w:val="en-US" w:eastAsia="zh-CN" w:bidi="ar-SA"/>
        </w:rPr>
        <w:tab/>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本次招标公告在《河南省政府采购网》、《南阳市政府采购网》、《中国招标投标公共服务平台》、《唐河县公共资源交易中心》上发布， 招标公告期限为三个工作日。</w:t>
      </w:r>
      <w:r>
        <w:rPr>
          <w:rFonts w:hint="eastAsia" w:ascii="宋体" w:hAnsi="宋体" w:eastAsia="宋体" w:cs="宋体"/>
          <w:spacing w:val="-1"/>
          <w:kern w:val="0"/>
          <w:sz w:val="24"/>
          <w:szCs w:val="24"/>
          <w:lang w:val="en-US" w:eastAsia="zh-CN" w:bidi="ar-SA"/>
        </w:rPr>
        <w:tab/>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lang w:val="en-US" w:eastAsia="zh-CN" w:bidi="ar-SA"/>
        </w:rPr>
      </w:pPr>
      <w:bookmarkStart w:id="12" w:name="_Toc31057"/>
      <w:bookmarkStart w:id="13" w:name="_Toc19158"/>
      <w:r>
        <w:rPr>
          <w:rFonts w:hint="eastAsia" w:ascii="宋体" w:hAnsi="宋体" w:eastAsia="宋体" w:cs="宋体"/>
          <w:b/>
          <w:bCs/>
          <w:spacing w:val="-1"/>
          <w:kern w:val="0"/>
          <w:sz w:val="24"/>
          <w:szCs w:val="24"/>
          <w:lang w:val="en-US" w:eastAsia="zh-CN" w:bidi="ar-SA"/>
        </w:rPr>
        <w:t>七、其他补充事宜</w:t>
      </w:r>
      <w:bookmarkEnd w:id="12"/>
      <w:bookmarkEnd w:id="13"/>
      <w:r>
        <w:rPr>
          <w:rFonts w:hint="eastAsia" w:ascii="宋体" w:hAnsi="宋体" w:eastAsia="宋体" w:cs="宋体"/>
          <w:spacing w:val="-1"/>
          <w:kern w:val="0"/>
          <w:sz w:val="24"/>
          <w:szCs w:val="24"/>
          <w:lang w:val="en-US" w:eastAsia="zh-CN" w:bidi="ar-SA"/>
        </w:rPr>
        <w:tab/>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无</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ab/>
      </w:r>
      <w:bookmarkStart w:id="14" w:name="_Toc31993"/>
      <w:r>
        <w:rPr>
          <w:rFonts w:hint="eastAsia" w:ascii="宋体" w:hAnsi="宋体" w:eastAsia="宋体" w:cs="宋体"/>
          <w:b/>
          <w:bCs/>
          <w:spacing w:val="-1"/>
          <w:kern w:val="0"/>
          <w:sz w:val="24"/>
          <w:szCs w:val="24"/>
          <w:lang w:val="en-US" w:eastAsia="zh-CN" w:bidi="ar-SA"/>
        </w:rPr>
        <w:t>八、凡对本次招标提出询问，请按照以下方式联系</w:t>
      </w:r>
      <w:bookmarkEnd w:id="14"/>
      <w:r>
        <w:rPr>
          <w:rFonts w:hint="eastAsia" w:ascii="宋体" w:hAnsi="宋体" w:eastAsia="宋体" w:cs="宋体"/>
          <w:spacing w:val="-1"/>
          <w:kern w:val="0"/>
          <w:sz w:val="24"/>
          <w:szCs w:val="24"/>
          <w:lang w:val="en-US" w:eastAsia="zh-CN" w:bidi="ar-SA"/>
        </w:rPr>
        <w:tab/>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 xml:space="preserve">1. 采购人信息 </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名称：唐河县市政服务中心</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地址：唐河县新华路</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联系人：余先生</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 xml:space="preserve">联系方式：13937791997 </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 xml:space="preserve">2.采购代理机构信息（如有） </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 xml:space="preserve">名称：唐河县龙建工程管理有限公司 </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地址：唐河县文峰街道飞凤路飞凤游园管理楼二楼</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联系人：白女士</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联系方式：13782062519</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 xml:space="preserve">3.项目联系方式 </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lang w:val="en-US" w:eastAsia="zh-CN" w:bidi="ar-SA"/>
        </w:rPr>
      </w:pPr>
      <w:r>
        <w:rPr>
          <w:rFonts w:hint="eastAsia" w:ascii="宋体" w:hAnsi="宋体" w:eastAsia="宋体" w:cs="宋体"/>
          <w:spacing w:val="-1"/>
          <w:kern w:val="0"/>
          <w:sz w:val="24"/>
          <w:szCs w:val="24"/>
          <w:lang w:val="en-US" w:eastAsia="zh-CN" w:bidi="ar-SA"/>
        </w:rPr>
        <w:t xml:space="preserve">项目联系人：白女士 </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lang w:val="en-US" w:eastAsia="zh-CN" w:bidi="ar-SA"/>
        </w:rPr>
        <w:t>联系方式：13782062519</w:t>
      </w:r>
    </w:p>
    <w:p>
      <w:pPr>
        <w:pStyle w:val="20"/>
        <w:rPr>
          <w:rFonts w:hint="eastAsia"/>
        </w:rPr>
      </w:pP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bookmarkStart w:id="15" w:name="_Toc29153"/>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2"/>
        <w:rPr>
          <w:rFonts w:hint="eastAsia"/>
        </w:rPr>
      </w:pP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bookmarkEnd w:id="15"/>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lang w:eastAsia="zh-CN"/>
        </w:rPr>
      </w:pPr>
      <w:bookmarkStart w:id="16" w:name="_Toc9659"/>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bookmarkEnd w:id="16"/>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工程量清单详见附件</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bookmarkStart w:id="17" w:name="_Toc11121"/>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bookmarkEnd w:id="17"/>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工期：45日历天      </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地点：唐河县盛居路（上马路-新华路）和新华路（盛居路-伏牛路）</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南阳市财政局关于印发《关于压缩各环节时间进一步优化政府采购营商环境的通知》（宛财购〔2022〕5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pPr>
        <w:pStyle w:val="3"/>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rPr>
          <w:spacing w:val="-1"/>
          <w:position w:val="24"/>
          <w:sz w:val="36"/>
          <w:szCs w:val="36"/>
          <w14:textOutline w14:w="2306" w14:cap="flat" w14:cmpd="sng">
            <w14:solidFill>
              <w14:srgbClr w14:val="000000"/>
            </w14:solidFill>
            <w14:prstDash w14:val="solid"/>
            <w14:miter w14:val="0"/>
          </w14:textOutline>
        </w:rPr>
      </w:pPr>
    </w:p>
    <w:p>
      <w:pPr>
        <w:rPr>
          <w:spacing w:val="-1"/>
          <w:position w:val="24"/>
          <w:sz w:val="36"/>
          <w:szCs w:val="36"/>
          <w14:textOutline w14:w="2306" w14:cap="flat" w14:cmpd="sng">
            <w14:solidFill>
              <w14:srgbClr w14:val="000000"/>
            </w14:solidFill>
            <w14:prstDash w14:val="solid"/>
            <w14:miter w14:val="0"/>
          </w14:textOutline>
        </w:rPr>
      </w:pPr>
    </w:p>
    <w:p>
      <w:pPr>
        <w:rPr>
          <w:spacing w:val="-1"/>
          <w:position w:val="24"/>
          <w:sz w:val="36"/>
          <w:szCs w:val="36"/>
          <w14:textOutline w14:w="2306" w14:cap="flat" w14:cmpd="sng">
            <w14:solidFill>
              <w14:srgbClr w14:val="000000"/>
            </w14:solidFill>
            <w14:prstDash w14:val="solid"/>
            <w14:miter w14:val="0"/>
          </w14:textOutline>
        </w:rPr>
      </w:pPr>
    </w:p>
    <w:p>
      <w:pPr>
        <w:rPr>
          <w:spacing w:val="-1"/>
          <w:position w:val="24"/>
          <w:sz w:val="36"/>
          <w:szCs w:val="36"/>
          <w14:textOutline w14:w="2306" w14:cap="flat" w14:cmpd="sng">
            <w14:solidFill>
              <w14:srgbClr w14:val="000000"/>
            </w14:solidFill>
            <w14:prstDash w14:val="solid"/>
            <w14:miter w14:val="0"/>
          </w14:textOutline>
        </w:rPr>
      </w:pPr>
    </w:p>
    <w:p>
      <w:pPr>
        <w:rPr>
          <w:spacing w:val="-1"/>
          <w:position w:val="24"/>
          <w:sz w:val="36"/>
          <w:szCs w:val="36"/>
          <w14:textOutline w14:w="2306" w14:cap="flat" w14:cmpd="sng">
            <w14:solidFill>
              <w14:srgbClr w14:val="000000"/>
            </w14:solidFill>
            <w14:prstDash w14:val="solid"/>
            <w14:miter w14:val="0"/>
          </w14:textOutline>
        </w:rPr>
      </w:pPr>
    </w:p>
    <w:p>
      <w:pPr>
        <w:rPr>
          <w:spacing w:val="-1"/>
          <w:position w:val="24"/>
          <w:sz w:val="36"/>
          <w:szCs w:val="36"/>
          <w14:textOutline w14:w="2306" w14:cap="flat" w14:cmpd="sng">
            <w14:solidFill>
              <w14:srgbClr w14:val="000000"/>
            </w14:solidFill>
            <w14:prstDash w14:val="solid"/>
            <w14:miter w14:val="0"/>
          </w14:textOutline>
        </w:rPr>
      </w:pPr>
    </w:p>
    <w:p>
      <w:pPr>
        <w:pStyle w:val="3"/>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pStyle w:val="3"/>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pStyle w:val="3"/>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pStyle w:val="2"/>
        <w:ind w:left="0" w:leftChars="0" w:firstLine="0" w:firstLineChars="0"/>
        <w:rPr>
          <w:rFonts w:hint="eastAsia"/>
        </w:rPr>
      </w:pP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供应商须知</w:t>
      </w:r>
      <w:bookmarkEnd w:id="18"/>
    </w:p>
    <w:p>
      <w:pPr>
        <w:pStyle w:val="3"/>
        <w:keepNext w:val="0"/>
        <w:keepLines w:val="0"/>
        <w:pageBreakBefore w:val="0"/>
        <w:kinsoku/>
        <w:wordWrap w:val="0"/>
        <w:overflowPunct/>
        <w:topLinePunct w:val="0"/>
        <w:bidi w:val="0"/>
        <w:spacing w:line="220" w:lineRule="auto"/>
        <w:ind w:left="3861"/>
        <w:jc w:val="both"/>
        <w:rPr>
          <w:spacing w:val="-1"/>
          <w:sz w:val="28"/>
          <w:szCs w:val="28"/>
          <w14:textOutline w14:w="1800" w14:cap="flat" w14:cmpd="sng">
            <w14:solidFill>
              <w14:srgbClr w14:val="000000"/>
            </w14:solidFill>
            <w14:prstDash w14:val="solid"/>
            <w14:miter w14:val="0"/>
          </w14:textOutline>
        </w:rPr>
      </w:pPr>
      <w:r>
        <w:rPr>
          <w:spacing w:val="-1"/>
          <w:sz w:val="28"/>
          <w:szCs w:val="28"/>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27"/>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pPr>
              <w:pStyle w:val="27"/>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pPr>
              <w:pStyle w:val="27"/>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lang w:val="en-US" w:eastAsia="zh-CN"/>
              </w:rPr>
              <w:t>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pPr>
              <w:pStyle w:val="27"/>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pPr>
              <w:pStyle w:val="27"/>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27"/>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27"/>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pPr>
              <w:pStyle w:val="27"/>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27"/>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pPr>
              <w:pStyle w:val="27"/>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27"/>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shd w:val="clear"/>
                <w:lang w:val="en-US" w:eastAsia="zh-CN" w:bidi="ar-SA"/>
              </w:rPr>
              <w:t xml:space="preserve"> 建筑业 </w:t>
            </w:r>
          </w:p>
          <w:p>
            <w:pPr>
              <w:pStyle w:val="27"/>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27"/>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rPr>
            </w:pPr>
          </w:p>
          <w:p>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7"/>
                <w:sz w:val="24"/>
                <w:szCs w:val="24"/>
              </w:rPr>
              <w:t>报价的特殊规定：</w:t>
            </w:r>
          </w:p>
          <w:p>
            <w:pPr>
              <w:pStyle w:val="27"/>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pPr>
              <w:pStyle w:val="27"/>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pPr>
              <w:pStyle w:val="27"/>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2"/>
                <w:sz w:val="24"/>
                <w:szCs w:val="24"/>
                <w:u w:val="none"/>
                <w:lang w:val="en-US" w:eastAsia="zh-CN"/>
              </w:rPr>
              <w:t>小写：2244884.67元    大写：贰佰贰拾肆万肆仟捌佰捌拾肆元陆角柒分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2024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6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21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09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30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2024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6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21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09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30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w:t>
            </w:r>
            <w:r>
              <w:rPr>
                <w:rFonts w:hint="eastAsia" w:asciiTheme="minorEastAsia" w:hAnsiTheme="minorEastAsia" w:eastAsiaTheme="minorEastAsia" w:cstheme="minorEastAsia"/>
                <w:sz w:val="24"/>
                <w:szCs w:val="24"/>
                <w:lang w:val="en-US" w:eastAsia="zh-CN"/>
              </w:rPr>
              <w:t>磋商小组</w:t>
            </w:r>
            <w:r>
              <w:rPr>
                <w:rFonts w:hint="eastAsia" w:asciiTheme="minorEastAsia" w:hAnsiTheme="minorEastAsia" w:eastAsiaTheme="minorEastAsia" w:cstheme="minorEastAsia"/>
                <w:sz w:val="24"/>
                <w:szCs w:val="24"/>
                <w:lang w:eastAsia="zh-CN"/>
              </w:rPr>
              <w:t>直接确定</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p>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lang w:val="en-US" w:eastAsia="zh-CN"/>
              </w:rPr>
            </w:pPr>
            <w:r>
              <w:rPr>
                <w:rFonts w:hint="eastAsia" w:asciiTheme="minorEastAsia" w:hAnsiTheme="minorEastAsia" w:eastAsiaTheme="minorEastAsia" w:cstheme="minorEastAsia"/>
                <w:spacing w:val="14"/>
                <w:sz w:val="24"/>
                <w:szCs w:val="24"/>
                <w:lang w:val="en-US" w:eastAsia="zh-CN"/>
              </w:rPr>
              <w:t>由磋商小组推荐成交供应商2名，采购人出具成交确认书确定成交供应商。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27"/>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z w:val="24"/>
                <w:szCs w:val="24"/>
                <w:lang w:val="en-US" w:eastAsia="zh-CN"/>
              </w:rPr>
              <w:t>集中采购机构不收费</w:t>
            </w:r>
          </w:p>
          <w:p>
            <w:pPr>
              <w:pStyle w:val="27"/>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pPr>
              <w:pStyle w:val="27"/>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pacing w:val="-13"/>
                <w:sz w:val="24"/>
                <w:szCs w:val="24"/>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pStyle w:val="28"/>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lang w:val="en-US" w:eastAsia="zh-CN"/>
              </w:rPr>
            </w:pPr>
            <w:r>
              <w:rPr>
                <w:color w:val="000000" w:themeColor="text1"/>
                <w:spacing w:val="0"/>
                <w:sz w:val="24"/>
                <w:szCs w:val="24"/>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lang w:val="en-US" w:eastAsia="zh-CN"/>
              </w:rPr>
            </w:pPr>
            <w:r>
              <w:rPr>
                <w:color w:val="000000" w:themeColor="text1"/>
                <w:spacing w:val="0"/>
                <w:sz w:val="24"/>
                <w:szCs w:val="24"/>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pStyle w:val="28"/>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lang w:val="en-US" w:eastAsia="zh-CN" w:bidi="ar-SA"/>
                <w14:textFill>
                  <w14:solidFill>
                    <w14:schemeClr w14:val="tx1"/>
                  </w14:solidFill>
                </w14:textFill>
              </w:rPr>
            </w:pPr>
            <w:r>
              <w:rPr>
                <w:color w:val="000000" w:themeColor="text1"/>
                <w:spacing w:val="0"/>
                <w:sz w:val="24"/>
                <w:szCs w:val="24"/>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28"/>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lang w:val="en-US" w:eastAsia="zh-CN" w:bidi="ar-SA"/>
                <w14:textFill>
                  <w14:solidFill>
                    <w14:schemeClr w14:val="tx1"/>
                  </w14:solidFill>
                </w14:textFill>
              </w:rPr>
            </w:pPr>
            <w:r>
              <w:rPr>
                <w:color w:val="000000" w:themeColor="text1"/>
                <w:spacing w:val="0"/>
                <w:sz w:val="24"/>
                <w:szCs w:val="24"/>
                <w14:textFill>
                  <w14:solidFill>
                    <w14:schemeClr w14:val="tx1"/>
                  </w14:solidFill>
                </w14:textFill>
              </w:rPr>
              <w:t>递交响应性文件的截止之日5日前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pPr>
              <w:pStyle w:val="28"/>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lang w:val="en-US" w:eastAsia="zh-CN" w:bidi="ar-SA"/>
                <w14:textFill>
                  <w14:solidFill>
                    <w14:schemeClr w14:val="tx1"/>
                  </w14:solidFill>
                </w14:textFill>
              </w:rPr>
            </w:pPr>
            <w:r>
              <w:rPr>
                <w:color w:val="000000" w:themeColor="text1"/>
                <w:spacing w:val="0"/>
                <w:sz w:val="24"/>
                <w:szCs w:val="24"/>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lang w:val="en-US" w:eastAsia="zh-CN" w:bidi="ar-SA"/>
                <w14:textFill>
                  <w14:solidFill>
                    <w14:schemeClr w14:val="tx1"/>
                  </w14:solidFill>
                </w14:textFill>
              </w:rPr>
            </w:pPr>
            <w:r>
              <w:rPr>
                <w:color w:val="000000" w:themeColor="text1"/>
                <w:spacing w:val="0"/>
                <w:sz w:val="24"/>
                <w:szCs w:val="24"/>
                <w14:textFill>
                  <w14:solidFill>
                    <w14:schemeClr w14:val="tx1"/>
                  </w14:solidFill>
                </w14:textFill>
              </w:rPr>
              <w:t>“招标人”与“采购人”，“投标人”与“供应商”按照同一意思理解。</w:t>
            </w:r>
          </w:p>
        </w:tc>
      </w:tr>
    </w:tbl>
    <w:p>
      <w:pPr>
        <w:pStyle w:val="3"/>
        <w:keepNext w:val="0"/>
        <w:keepLines w:val="0"/>
        <w:pageBreakBefore w:val="0"/>
        <w:kinsoku/>
        <w:wordWrap w:val="0"/>
        <w:overflowPunct/>
        <w:topLinePunct w:val="0"/>
        <w:bidi w:val="0"/>
        <w:spacing w:before="91" w:line="36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pPr>
        <w:pStyle w:val="3"/>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rPr>
      </w:pPr>
      <w:bookmarkStart w:id="19" w:name="_Toc9525"/>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bookmarkEnd w:id="19"/>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资金来源、项目属性、科研仪器设备采购</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资金来源为财政性资金</w:t>
      </w:r>
      <w:r>
        <w:rPr>
          <w:rFonts w:hint="eastAsia" w:asciiTheme="minorEastAsia" w:hAnsiTheme="minorEastAsia" w:eastAsiaTheme="minorEastAsia" w:cstheme="minorEastAsia"/>
          <w:spacing w:val="-9"/>
          <w:sz w:val="24"/>
          <w:szCs w:val="24"/>
          <w:highlight w:val="none"/>
        </w:rPr>
        <w:t>。</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val="en-US" w:eastAsia="zh-CN"/>
        </w:rPr>
        <w:t>供应商</w:t>
      </w:r>
      <w:r>
        <w:rPr>
          <w:rFonts w:hint="eastAsia" w:asciiTheme="minorEastAsia" w:hAnsiTheme="minorEastAsia" w:eastAsiaTheme="minorEastAsia" w:cstheme="minorEastAsia"/>
          <w:spacing w:val="3"/>
          <w:sz w:val="24"/>
          <w:szCs w:val="24"/>
          <w:lang w:eastAsia="zh-CN"/>
        </w:rPr>
        <w:t>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val="en-US"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rPr>
        <w:t>自行承担不利评审后果。</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以及唐河县财政局的具体规定</w:t>
      </w:r>
      <w:r>
        <w:rPr>
          <w:rFonts w:hint="eastAsia" w:asciiTheme="minorEastAsia" w:hAnsiTheme="minorEastAsia" w:eastAsiaTheme="minorEastAsia" w:cstheme="minorEastAsia"/>
          <w:spacing w:val="5"/>
          <w:sz w:val="24"/>
          <w:szCs w:val="24"/>
        </w:rPr>
        <w:t>。</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HYPERLINK"5.2.1.1"</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HYPERLINK"5.2.1.2"</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HYPERLINK"5.2.1.3"</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HYPERLINK"5.2.1.4"</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竞争性磋商公告</w:t>
      </w:r>
      <w:r>
        <w:rPr>
          <w:rFonts w:hint="eastAsia" w:asciiTheme="minorEastAsia" w:hAnsiTheme="minorEastAsia" w:eastAsiaTheme="minorEastAsia" w:cstheme="minorEastAsia"/>
          <w:spacing w:val="-8"/>
          <w:sz w:val="24"/>
          <w:szCs w:val="24"/>
        </w:rPr>
        <w:t>》。</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val="en-US" w:eastAsia="zh-CN"/>
        </w:rPr>
        <w:t>响应</w:t>
      </w:r>
      <w:r>
        <w:rPr>
          <w:rFonts w:hint="eastAsia" w:asciiTheme="minorEastAsia" w:hAnsiTheme="minorEastAsia" w:eastAsiaTheme="minorEastAsia" w:cstheme="minorEastAsia"/>
          <w:b/>
          <w:bCs/>
          <w:spacing w:val="-8"/>
          <w:sz w:val="24"/>
          <w:szCs w:val="24"/>
        </w:rPr>
        <w:t>无效；</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程序、评审方法和评审标准》。（如涉及）。</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val="en-US" w:eastAsia="zh-CN"/>
        </w:rPr>
        <w:t>5.采购</w:t>
      </w:r>
      <w:r>
        <w:rPr>
          <w:rFonts w:hint="eastAsia" w:asciiTheme="minorEastAsia" w:hAnsiTheme="minorEastAsia" w:eastAsiaTheme="minorEastAsia" w:cstheme="minorEastAsia"/>
          <w:b/>
          <w:bCs/>
          <w:spacing w:val="-2"/>
          <w:sz w:val="24"/>
          <w:szCs w:val="24"/>
        </w:rPr>
        <w:t>费用</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6.采购范围及适用法律</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lang w:val="en-US" w:eastAsia="zh-CN" w:bidi="ar-SA"/>
        </w:rPr>
        <w:t>。</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pPr>
        <w:pStyle w:val="3"/>
        <w:keepNext w:val="0"/>
        <w:keepLines w:val="0"/>
        <w:pageBreakBefore w:val="0"/>
        <w:kinsoku/>
        <w:wordWrap w:val="0"/>
        <w:overflowPunct/>
        <w:topLinePunct w:val="0"/>
        <w:bidi w:val="0"/>
        <w:spacing w:before="91" w:line="360" w:lineRule="auto"/>
        <w:jc w:val="both"/>
        <w:outlineLvl w:val="1"/>
        <w:rPr>
          <w:rFonts w:hint="eastAsia"/>
          <w:sz w:val="24"/>
          <w:szCs w:val="24"/>
          <w:lang w:val="en-US" w:eastAsia="zh-CN"/>
        </w:rPr>
      </w:pPr>
      <w:bookmarkStart w:id="20" w:name="_Toc11788"/>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spacing w:val="-1"/>
          <w:sz w:val="28"/>
          <w:szCs w:val="28"/>
          <w14:textOutline w14:w="1800" w14:cap="flat" w14:cmpd="sng">
            <w14:solidFill>
              <w14:srgbClr w14:val="000000"/>
            </w14:solidFill>
            <w14:prstDash w14:val="solid"/>
            <w14:miter w14:val="0"/>
          </w14:textOutline>
        </w:rPr>
        <w:t>竞争性磋商文件</w:t>
      </w:r>
      <w:bookmarkEnd w:id="20"/>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rPr>
      </w:pPr>
      <w:r>
        <w:rPr>
          <w:rFonts w:hint="eastAsia"/>
          <w:b/>
          <w:bCs/>
          <w:sz w:val="24"/>
          <w:szCs w:val="24"/>
          <w:lang w:val="en-US" w:eastAsia="zh-CN"/>
        </w:rPr>
        <w:t>7.</w:t>
      </w:r>
      <w:r>
        <w:rPr>
          <w:b/>
          <w:bCs/>
          <w:sz w:val="24"/>
          <w:szCs w:val="24"/>
        </w:rPr>
        <w:t>竞争性磋商文件构成</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7</w:t>
      </w:r>
      <w:r>
        <w:rPr>
          <w:spacing w:val="-1"/>
          <w:sz w:val="24"/>
          <w:szCs w:val="24"/>
        </w:rPr>
        <w:t>.1</w:t>
      </w:r>
      <w:r>
        <w:rPr>
          <w:rFonts w:hint="eastAsia"/>
          <w:spacing w:val="-1"/>
          <w:sz w:val="24"/>
          <w:szCs w:val="24"/>
          <w:lang w:val="en-US" w:eastAsia="zh-CN"/>
        </w:rPr>
        <w:t xml:space="preserve"> </w:t>
      </w:r>
      <w:r>
        <w:rPr>
          <w:spacing w:val="-1"/>
          <w:sz w:val="24"/>
          <w:szCs w:val="24"/>
        </w:rPr>
        <w:t>竞争性磋商文件包括以下部分：</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val="en-US" w:eastAsia="zh-CN"/>
        </w:rPr>
        <w:t xml:space="preserve"> </w:t>
      </w:r>
      <w:r>
        <w:rPr>
          <w:rFonts w:hint="eastAsia"/>
          <w:spacing w:val="-1"/>
          <w:sz w:val="24"/>
          <w:szCs w:val="24"/>
          <w:lang w:eastAsia="zh-CN"/>
        </w:rPr>
        <w:t>竞争性磋商公告</w:t>
      </w:r>
      <w:r>
        <w:rPr>
          <w:spacing w:val="-1"/>
          <w:sz w:val="24"/>
          <w:szCs w:val="24"/>
        </w:rPr>
        <w:fldChar w:fldCharType="end"/>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w:t>
      </w:r>
      <w:r>
        <w:rPr>
          <w:rFonts w:hint="eastAsia"/>
          <w:spacing w:val="-1"/>
          <w:sz w:val="24"/>
          <w:szCs w:val="24"/>
          <w:lang w:val="en-US" w:eastAsia="zh-CN"/>
        </w:rPr>
        <w:t xml:space="preserve"> </w:t>
      </w:r>
      <w:r>
        <w:rPr>
          <w:spacing w:val="-1"/>
          <w:sz w:val="24"/>
          <w:szCs w:val="24"/>
        </w:rPr>
        <w:t>采购需求</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第三章</w:t>
      </w:r>
      <w:r>
        <w:rPr>
          <w:rFonts w:hint="eastAsia"/>
          <w:spacing w:val="-1"/>
          <w:sz w:val="24"/>
          <w:szCs w:val="24"/>
          <w:lang w:val="en-US" w:eastAsia="zh-CN"/>
        </w:rPr>
        <w:t xml:space="preserve"> </w:t>
      </w:r>
      <w:r>
        <w:rPr>
          <w:spacing w:val="-1"/>
          <w:sz w:val="24"/>
          <w:szCs w:val="24"/>
        </w:rPr>
        <w:t>供应商须知</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第四章</w:t>
      </w:r>
      <w:r>
        <w:rPr>
          <w:rFonts w:hint="eastAsia"/>
          <w:spacing w:val="-1"/>
          <w:sz w:val="24"/>
          <w:szCs w:val="24"/>
          <w:lang w:val="en-US" w:eastAsia="zh-CN"/>
        </w:rPr>
        <w:t xml:space="preserve"> </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第五章</w:t>
      </w:r>
      <w:r>
        <w:rPr>
          <w:rFonts w:hint="eastAsia"/>
          <w:spacing w:val="-1"/>
          <w:sz w:val="24"/>
          <w:szCs w:val="24"/>
          <w:lang w:val="en-US" w:eastAsia="zh-CN"/>
        </w:rPr>
        <w:t xml:space="preserve"> </w:t>
      </w:r>
      <w:r>
        <w:rPr>
          <w:rFonts w:hint="eastAsia"/>
          <w:spacing w:val="-1"/>
          <w:sz w:val="24"/>
          <w:szCs w:val="24"/>
          <w:lang w:eastAsia="zh-CN"/>
        </w:rPr>
        <w:t>政府采购合同（草案）</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w:t>
      </w:r>
      <w:r>
        <w:rPr>
          <w:rFonts w:hint="eastAsia"/>
          <w:spacing w:val="-1"/>
          <w:sz w:val="24"/>
          <w:szCs w:val="24"/>
          <w:lang w:val="en-US" w:eastAsia="zh-CN"/>
        </w:rPr>
        <w:t xml:space="preserve"> </w:t>
      </w:r>
      <w:r>
        <w:rPr>
          <w:spacing w:val="-1"/>
          <w:sz w:val="24"/>
          <w:szCs w:val="24"/>
        </w:rPr>
        <w:t>响应文件格式</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8.对竞争性磋商文件的澄清或修改</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8.1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可用补充文件的方式修正竞争性磋商文件，补充文件内容以公告的形式告知所有竞争性磋商文件收受人，该补充文件将成为竞争性磋商文件的组成部分，并替代所修正的部分。</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可以酌情延长上传截止时间，并将此变更以公告形式通知所有竞争性磋商文件收受人。</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通知所有获取磋商文件的供应商；不足5日的，将顺延上传响应文件截止时间。</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val="en-US" w:eastAsia="zh-CN"/>
        </w:rPr>
        <w:t>采购人或采购代理机构</w:t>
      </w:r>
      <w:r>
        <w:rPr>
          <w:rFonts w:hint="eastAsia"/>
          <w:b/>
          <w:bCs/>
          <w:spacing w:val="-1"/>
          <w:sz w:val="24"/>
          <w:szCs w:val="24"/>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rPr>
      </w:pPr>
      <w:r>
        <w:rPr>
          <w:rFonts w:hint="eastAsia" w:asciiTheme="minorEastAsia" w:hAnsiTheme="minorEastAsia" w:eastAsiaTheme="minorEastAsia" w:cstheme="minorEastAsia"/>
          <w:b/>
          <w:bCs/>
          <w:spacing w:val="-8"/>
          <w:sz w:val="24"/>
          <w:szCs w:val="24"/>
          <w:lang w:val="en-US" w:eastAsia="zh-CN"/>
        </w:rPr>
        <w:t>8.5 供应商应关注是否有发布最新的澄清更正公告和更正的最新磋商文件（电子答疑文件），如有则需下载最新的磋商文件，并在此基础上制作最新的响应文件并上传。</w:t>
      </w:r>
    </w:p>
    <w:p>
      <w:pPr>
        <w:pStyle w:val="3"/>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lang w:val="en-US" w:eastAsia="zh-CN"/>
        </w:rPr>
      </w:pPr>
      <w:bookmarkStart w:id="21" w:name="_Toc18131"/>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bookmarkEnd w:id="21"/>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9.响应范围、竞争性磋商文件中计量单位的使用及磋商语言</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9.2 除竞争性磋商文件有特殊要求外，本项目磋商所使用的计量单位，应采用中华人民共和国法定计量单位。</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10.响应文件构成</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10.1 供应商应当按照竞争性磋商文件的要求编制响应文件，并对其提交的响应文件的真实性、合法性承担法律责任。响应文件的部分格式要求，见第六章《响应文件格式》。</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根据磋商文件中规定的下载平台要求，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文件，将被平台系统拒绝。</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val="en-US"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11.报价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报价</w:t>
      </w:r>
      <w:r>
        <w:rPr>
          <w:rFonts w:hint="eastAsia" w:asciiTheme="minorEastAsia" w:hAnsiTheme="minorEastAsia" w:eastAsiaTheme="minorEastAsia" w:cstheme="minorEastAsia"/>
          <w:sz w:val="24"/>
          <w:szCs w:val="24"/>
        </w:rPr>
        <w:t>均以人民币报价。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磋商文件</w:t>
      </w:r>
      <w:r>
        <w:rPr>
          <w:rFonts w:hint="eastAsia" w:asciiTheme="minorEastAsia" w:hAnsiTheme="minorEastAsia" w:eastAsiaTheme="minorEastAsia" w:cstheme="minorEastAsia"/>
          <w:sz w:val="24"/>
          <w:szCs w:val="24"/>
        </w:rPr>
        <w:t>中有特殊规定的，从其规定。</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11.5 本项目将按供应商所提交的单价和总价来支付本项目所需的费用。对供应商没有填写单价和总价的内容,将被认为这些项目费用已包括在报价中。</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11.6 磋商结束，供应商进行网上最终报价。</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11.7 本次采购设有预算，供应商最终报价超过预算的，磋商小组将不予评议。</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11.8 供应商的所有报价不得低于成本恶意竞争。</w:t>
      </w:r>
    </w:p>
    <w:p>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12.响应有效期</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13.响应</w:t>
      </w:r>
      <w:r>
        <w:rPr>
          <w:rFonts w:hint="eastAsia" w:asciiTheme="minorEastAsia" w:hAnsiTheme="minorEastAsia" w:eastAsiaTheme="minorEastAsia" w:cstheme="minorEastAsia"/>
          <w:b/>
          <w:bCs/>
          <w:sz w:val="24"/>
          <w:szCs w:val="24"/>
        </w:rPr>
        <w:t>文件的签署、盖章</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 电子响应文件必须在规定签章处电子签章或手写签字后扫描上传进响应文件。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 竞争性磋商文件要求盖章的内容，一般通过CA证书加盖电子签章。</w:t>
      </w:r>
    </w:p>
    <w:p>
      <w:pPr>
        <w:pStyle w:val="3"/>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lang w:val="en-US" w:eastAsia="zh-CN" w:bidi="ar-SA"/>
        </w:rPr>
      </w:pPr>
      <w:bookmarkStart w:id="22" w:name="_Toc24840"/>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bookmarkEnd w:id="22"/>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14.响应文件的提交</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15.响应文件上传截止时间</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供应商应在竞争性磋商文件要求响应文件上传截止时间前，将电子响应文件提交至电子交易平台。</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16.响应文件的修改与撤回</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pPr>
        <w:pStyle w:val="3"/>
        <w:keepNext w:val="0"/>
        <w:keepLines w:val="0"/>
        <w:pageBreakBefore w:val="0"/>
        <w:kinsoku/>
        <w:wordWrap w:val="0"/>
        <w:overflowPunct/>
        <w:topLinePunct w:val="0"/>
        <w:bidi w:val="0"/>
        <w:spacing w:before="358" w:line="360" w:lineRule="auto"/>
        <w:jc w:val="center"/>
        <w:outlineLvl w:val="0"/>
        <w:rPr>
          <w:spacing w:val="-1"/>
          <w:sz w:val="36"/>
          <w:szCs w:val="36"/>
          <w14:textOutline w14:w="2306" w14:cap="flat" w14:cmpd="sng">
            <w14:solidFill>
              <w14:srgbClr w14:val="000000"/>
            </w14:solidFill>
            <w14:prstDash w14:val="solid"/>
            <w14:miter w14:val="0"/>
          </w14:textOutline>
        </w:rPr>
      </w:pPr>
      <w:bookmarkStart w:id="23" w:name="_Toc10621"/>
    </w:p>
    <w:p>
      <w:pPr>
        <w:pStyle w:val="3"/>
        <w:keepNext w:val="0"/>
        <w:keepLines w:val="0"/>
        <w:pageBreakBefore w:val="0"/>
        <w:kinsoku/>
        <w:wordWrap w:val="0"/>
        <w:overflowPunct/>
        <w:topLinePunct w:val="0"/>
        <w:bidi w:val="0"/>
        <w:spacing w:before="358" w:line="360" w:lineRule="auto"/>
        <w:jc w:val="center"/>
        <w:outlineLvl w:val="0"/>
        <w:rPr>
          <w:spacing w:val="-1"/>
          <w:sz w:val="36"/>
          <w:szCs w:val="36"/>
          <w14:textOutline w14:w="2306" w14:cap="flat" w14:cmpd="sng">
            <w14:solidFill>
              <w14:srgbClr w14:val="000000"/>
            </w14:solidFill>
            <w14:prstDash w14:val="solid"/>
            <w14:miter w14:val="0"/>
          </w14:textOutline>
        </w:rPr>
      </w:pPr>
    </w:p>
    <w:p>
      <w:pPr>
        <w:pStyle w:val="3"/>
        <w:keepNext w:val="0"/>
        <w:keepLines w:val="0"/>
        <w:pageBreakBefore w:val="0"/>
        <w:kinsoku/>
        <w:wordWrap w:val="0"/>
        <w:overflowPunct/>
        <w:topLinePunct w:val="0"/>
        <w:bidi w:val="0"/>
        <w:spacing w:before="358" w:line="360" w:lineRule="auto"/>
        <w:jc w:val="center"/>
        <w:outlineLvl w:val="0"/>
        <w:rPr>
          <w:spacing w:val="-1"/>
          <w:sz w:val="36"/>
          <w:szCs w:val="36"/>
          <w14:textOutline w14:w="2306" w14:cap="flat" w14:cmpd="sng">
            <w14:solidFill>
              <w14:srgbClr w14:val="000000"/>
            </w14:solidFill>
            <w14:prstDash w14:val="solid"/>
            <w14:miter w14:val="0"/>
          </w14:textOutline>
        </w:rPr>
      </w:pPr>
    </w:p>
    <w:p>
      <w:pPr>
        <w:pStyle w:val="3"/>
        <w:keepNext w:val="0"/>
        <w:keepLines w:val="0"/>
        <w:pageBreakBefore w:val="0"/>
        <w:kinsoku/>
        <w:wordWrap w:val="0"/>
        <w:overflowPunct/>
        <w:topLinePunct w:val="0"/>
        <w:bidi w:val="0"/>
        <w:spacing w:before="358" w:line="360" w:lineRule="auto"/>
        <w:jc w:val="center"/>
        <w:outlineLvl w:val="0"/>
        <w:rPr>
          <w:spacing w:val="-1"/>
          <w:sz w:val="36"/>
          <w:szCs w:val="36"/>
          <w14:textOutline w14:w="2306" w14:cap="flat" w14:cmpd="sng">
            <w14:solidFill>
              <w14:srgbClr w14:val="000000"/>
            </w14:solidFill>
            <w14:prstDash w14:val="solid"/>
            <w14:miter w14:val="0"/>
          </w14:textOutline>
        </w:rPr>
      </w:pPr>
    </w:p>
    <w:p>
      <w:pPr>
        <w:pStyle w:val="3"/>
        <w:keepNext w:val="0"/>
        <w:keepLines w:val="0"/>
        <w:pageBreakBefore w:val="0"/>
        <w:kinsoku/>
        <w:wordWrap w:val="0"/>
        <w:overflowPunct/>
        <w:topLinePunct w:val="0"/>
        <w:bidi w:val="0"/>
        <w:spacing w:before="358" w:line="360" w:lineRule="auto"/>
        <w:jc w:val="center"/>
        <w:outlineLvl w:val="0"/>
        <w:rPr>
          <w:spacing w:val="-1"/>
          <w:sz w:val="36"/>
          <w:szCs w:val="36"/>
          <w14:textOutline w14:w="2306" w14:cap="flat" w14:cmpd="sng">
            <w14:solidFill>
              <w14:srgbClr w14:val="000000"/>
            </w14:solidFill>
            <w14:prstDash w14:val="solid"/>
            <w14:miter w14:val="0"/>
          </w14:textOutline>
        </w:rPr>
      </w:pPr>
    </w:p>
    <w:p>
      <w:pPr>
        <w:pStyle w:val="3"/>
        <w:keepNext w:val="0"/>
        <w:keepLines w:val="0"/>
        <w:pageBreakBefore w:val="0"/>
        <w:kinsoku/>
        <w:wordWrap w:val="0"/>
        <w:overflowPunct/>
        <w:topLinePunct w:val="0"/>
        <w:bidi w:val="0"/>
        <w:spacing w:before="358" w:line="360" w:lineRule="auto"/>
        <w:jc w:val="center"/>
        <w:outlineLvl w:val="0"/>
        <w:rPr>
          <w:spacing w:val="-2"/>
          <w:sz w:val="24"/>
          <w:szCs w:val="24"/>
          <w14:textOutline w14:w="1537" w14:cap="flat" w14:cmpd="sng">
            <w14:solidFill>
              <w14:srgbClr w14:val="000000"/>
            </w14:solidFill>
            <w14:prstDash w14:val="solid"/>
            <w14:miter w14:val="0"/>
          </w14:textOutline>
        </w:rPr>
      </w:pPr>
      <w:r>
        <w:rPr>
          <w:spacing w:val="-1"/>
          <w:sz w:val="36"/>
          <w:szCs w:val="36"/>
          <w14:textOutline w14:w="2306" w14:cap="flat" w14:cmpd="sng">
            <w14:solidFill>
              <w14:srgbClr w14:val="000000"/>
            </w14:solidFill>
            <w14:prstDash w14:val="solid"/>
            <w14:miter w14:val="0"/>
          </w14:textOutline>
        </w:rPr>
        <w:t>第</w:t>
      </w:r>
      <w:r>
        <w:rPr>
          <w:rFonts w:hint="eastAsia"/>
          <w:spacing w:val="-1"/>
          <w:sz w:val="36"/>
          <w:szCs w:val="36"/>
          <w:lang w:val="en-US" w:eastAsia="zh-CN"/>
          <w14:textOutline w14:w="2306" w14:cap="flat" w14:cmpd="sng">
            <w14:solidFill>
              <w14:srgbClr w14:val="000000"/>
            </w14:solidFill>
            <w14:prstDash w14:val="solid"/>
            <w14:miter w14:val="0"/>
          </w14:textOutline>
        </w:rPr>
        <w:t>四</w:t>
      </w:r>
      <w:r>
        <w:rPr>
          <w:spacing w:val="-1"/>
          <w:sz w:val="36"/>
          <w:szCs w:val="36"/>
          <w14:textOutline w14:w="2306" w14:cap="flat" w14:cmpd="sng">
            <w14:solidFill>
              <w14:srgbClr w14:val="000000"/>
            </w14:solidFill>
            <w14:prstDash w14:val="solid"/>
            <w14:miter w14:val="0"/>
          </w14:textOutline>
        </w:rPr>
        <w:t>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14:textOutline w14:w="2306" w14:cap="flat" w14:cmpd="sng">
            <w14:solidFill>
              <w14:srgbClr w14:val="000000"/>
            </w14:solidFill>
            <w14:prstDash w14:val="solid"/>
            <w14:miter w14:val="0"/>
          </w14:textOutline>
        </w:rPr>
        <w:t>评</w:t>
      </w:r>
      <w:r>
        <w:rPr>
          <w:rFonts w:hint="eastAsia"/>
          <w:spacing w:val="-1"/>
          <w:sz w:val="36"/>
          <w:szCs w:val="36"/>
          <w:lang w:val="en-US" w:eastAsia="zh-CN"/>
          <w14:textOutline w14:w="2306" w14:cap="flat" w14:cmpd="sng">
            <w14:solidFill>
              <w14:srgbClr w14:val="000000"/>
            </w14:solidFill>
            <w14:prstDash w14:val="solid"/>
            <w14:miter w14:val="0"/>
          </w14:textOutline>
        </w:rPr>
        <w:t>审</w:t>
      </w:r>
      <w:r>
        <w:rPr>
          <w:rFonts w:hint="eastAsia"/>
          <w:spacing w:val="-1"/>
          <w:sz w:val="36"/>
          <w:szCs w:val="36"/>
          <w14:textOutline w14:w="2306" w14:cap="flat" w14:cmpd="sng">
            <w14:solidFill>
              <w14:srgbClr w14:val="000000"/>
            </w14:solidFill>
            <w14:prstDash w14:val="solid"/>
            <w14:miter w14:val="0"/>
          </w14:textOutline>
        </w:rPr>
        <w:t>程序、</w:t>
      </w:r>
      <w:r>
        <w:rPr>
          <w:spacing w:val="-1"/>
          <w:sz w:val="36"/>
          <w:szCs w:val="36"/>
          <w14:textOutline w14:w="2306" w14:cap="flat" w14:cmpd="sng">
            <w14:solidFill>
              <w14:srgbClr w14:val="000000"/>
            </w14:solidFill>
            <w14:prstDash w14:val="solid"/>
            <w14:miter w14:val="0"/>
          </w14:textOutline>
        </w:rPr>
        <w:t>评审方法和评审标准</w:t>
      </w:r>
      <w:bookmarkEnd w:id="23"/>
    </w:p>
    <w:p>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一、编制、确认竞争性磋商文件</w:t>
      </w:r>
      <w:bookmarkEnd w:id="24"/>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根据采购项目特点和采购实际需求编制竞争性磋商文件，编制的竞争性磋商文件应由采购人审核并确认。</w:t>
      </w:r>
    </w:p>
    <w:p>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二、发布竞争性磋商公告，邀请供应商参加磋商</w:t>
      </w:r>
      <w:bookmarkEnd w:id="25"/>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竞争性磋商文件经采购人书面确认后，将在指定媒体和唐河县公共资源交易中心网发布竞争性磋商公告。供应商按照公告和竞争性磋商文件要求制作并递交响应文件。</w:t>
      </w:r>
    </w:p>
    <w:p>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三、组建磋商小组</w:t>
      </w:r>
      <w:bookmarkEnd w:id="26"/>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竞争性磋商小组负责对响应文件进行评审、质疑、评估、比较、评分，组织磋商和最后报价。</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评审专家应当严格遵守评审工作纪律，按照客观、公正、审慎的原则，根据磋商文件规定的评审程序、评审方法和评审标准进行独立评审。</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bookmarkEnd w:id="27"/>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bookmarkEnd w:id="29"/>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磋商小组对供应商提交的响应文件进行评审。主要对响应文件的有效性、完整性和响应程度进行审查，具体包括：</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资格性审查</w:t>
      </w:r>
    </w:p>
    <w:tbl>
      <w:tblPr>
        <w:tblStyle w:val="26"/>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8"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4773"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3227"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pPr>
              <w:pStyle w:val="27"/>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4773" w:type="dxa"/>
            <w:vAlign w:val="top"/>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（1）供应商具有独立法人资格，具有有效的营业执照、税务登记证、组织机构代码证（或三证合一）；</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（2）供应商须具有市政公用工程施工总承包叁级及以上资质等级，且具有有效的安全生产许可证，并在人员、设备、资金等方面具有相应的施工能力；</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（3）拟派项目经理须具备相关专业贰级及以上注册建造师资格证书及有效的安全生产考核合格证，且未担任其他在建工程的项目经理并作出承诺；技术负责人具有相关专业中级及以上工程技术职称；</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（4）参加本次政府采购活动前三年内，在经营活动中没有重大违法犯罪记录；</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（5）财务状况良好，没有处于被责令停业、破产状态，各投标人须提供具有近三年（2020年度、2021年度、2022年度）经审计的财务报告，信誉良好（成立不足三年的企业，从成立之日算起）。</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供应商依法缴纳税收（提供2023年1月1日以来任意三个月完税证明或缴税凭证）和社会保障资金（提供2023年1月1日以来任意三个月的社保缴纳凭证或社保缴费记录)。依法免税或不需要缴纳社会保障资金的供应商，应提供相应证明文件。</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（8）本次招标不接受联合体投标，不允许分包和转包。</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（9）满足法律、行政法规及本项目磋商文件规定的其他条件。</w:t>
            </w:r>
          </w:p>
        </w:tc>
        <w:tc>
          <w:tcPr>
            <w:tcW w:w="3227" w:type="dxa"/>
            <w:vAlign w:val="top"/>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vAlign w:val="top"/>
          </w:tcPr>
          <w:p>
            <w:pPr>
              <w:pStyle w:val="27"/>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58" w:type="dxa"/>
            <w:vAlign w:val="top"/>
          </w:tcPr>
          <w:p>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4773" w:type="dxa"/>
            <w:vAlign w:val="top"/>
          </w:tcPr>
          <w:p>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3227" w:type="dxa"/>
            <w:vAlign w:val="top"/>
          </w:tcPr>
          <w:p>
            <w:pPr>
              <w:pStyle w:val="27"/>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9" w:hRule="atLeast"/>
        </w:trPr>
        <w:tc>
          <w:tcPr>
            <w:tcW w:w="721" w:type="dxa"/>
            <w:vAlign w:val="top"/>
          </w:tcPr>
          <w:p>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before="49" w:line="199" w:lineRule="auto"/>
              <w:ind w:firstLine="256"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8" w:type="dxa"/>
            <w:vAlign w:val="top"/>
          </w:tcPr>
          <w:p>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4773" w:type="dxa"/>
            <w:vAlign w:val="top"/>
          </w:tcPr>
          <w:p>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pPr>
              <w:pStyle w:val="27"/>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val="en-US"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pPr>
              <w:pStyle w:val="27"/>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highlight w:val="none"/>
              </w:rPr>
              <w:t>2、如</w:t>
            </w:r>
            <w:r>
              <w:rPr>
                <w:rFonts w:hint="eastAsia" w:asciiTheme="minorEastAsia" w:hAnsiTheme="minorEastAsia" w:eastAsiaTheme="minorEastAsia" w:cstheme="minorEastAsia"/>
                <w:spacing w:val="-6"/>
                <w:sz w:val="24"/>
                <w:szCs w:val="24"/>
                <w:highlight w:val="none"/>
                <w:lang w:eastAsia="zh-CN"/>
              </w:rPr>
              <w:t>采购</w:t>
            </w:r>
            <w:r>
              <w:rPr>
                <w:rFonts w:hint="eastAsia" w:asciiTheme="minorEastAsia" w:hAnsiTheme="minorEastAsia" w:eastAsiaTheme="minorEastAsia" w:cstheme="minorEastAsia"/>
                <w:spacing w:val="-6"/>
                <w:sz w:val="24"/>
                <w:szCs w:val="24"/>
                <w:highlight w:val="none"/>
              </w:rPr>
              <w:t>文件要求以联合体形式参加</w:t>
            </w:r>
            <w:r>
              <w:rPr>
                <w:rFonts w:hint="eastAsia" w:asciiTheme="minorEastAsia" w:hAnsiTheme="minorEastAsia" w:eastAsiaTheme="minorEastAsia" w:cstheme="minorEastAsia"/>
                <w:spacing w:val="1"/>
                <w:sz w:val="24"/>
                <w:szCs w:val="24"/>
                <w:highlight w:val="none"/>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pacing w:val="1"/>
                <w:sz w:val="24"/>
                <w:szCs w:val="24"/>
                <w:highlight w:val="none"/>
              </w:rPr>
              <w:t>文件</w:t>
            </w:r>
            <w:r>
              <w:rPr>
                <w:rFonts w:hint="eastAsia" w:asciiTheme="minorEastAsia" w:hAnsiTheme="minorEastAsia" w:eastAsiaTheme="minorEastAsia" w:cstheme="minorEastAsia"/>
                <w:spacing w:val="-4"/>
                <w:sz w:val="24"/>
                <w:szCs w:val="24"/>
                <w:highlight w:val="none"/>
              </w:rPr>
              <w:t>关于预留份额的要求。</w:t>
            </w:r>
          </w:p>
        </w:tc>
        <w:tc>
          <w:tcPr>
            <w:tcW w:w="3227" w:type="dxa"/>
            <w:vAlign w:val="top"/>
          </w:tcPr>
          <w:p>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val="en-US" w:eastAsia="zh-CN"/>
              </w:rPr>
              <w:t>响应</w:t>
            </w:r>
            <w:r>
              <w:rPr>
                <w:rFonts w:hint="eastAsia" w:asciiTheme="minorEastAsia" w:hAnsiTheme="minorEastAsia" w:eastAsiaTheme="minorEastAsia" w:cstheme="minorEastAsia"/>
                <w:spacing w:val="-4"/>
                <w:sz w:val="24"/>
                <w:szCs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vAlign w:val="top"/>
          </w:tcPr>
          <w:p>
            <w:pPr>
              <w:pStyle w:val="27"/>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8" w:type="dxa"/>
            <w:vAlign w:val="top"/>
          </w:tcPr>
          <w:p>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4773" w:type="dxa"/>
            <w:vAlign w:val="top"/>
          </w:tcPr>
          <w:p>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highlight w:val="none"/>
              </w:rPr>
              <w:t>如有，见第一章《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tc>
        <w:tc>
          <w:tcPr>
            <w:tcW w:w="3227" w:type="dxa"/>
            <w:vAlign w:val="top"/>
          </w:tcPr>
          <w:p>
            <w:pPr>
              <w:pStyle w:val="27"/>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按照唐河县财政局《关于在政府采购活动中试行供应商资格信用承诺制的通知》唐财购[2021]18号的要求，供应商在投标(响应)时，按照规定提供“投标承诺函”(详见采购文件)的，无需再提交上述（5）、（6）的证明材料。供应商在中标(成交)后，应将上述由投标承诺函替代的证明材料提交采购人、采购代理机构，证明材料将随公告一并公示。1</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b/>
          <w:bCs/>
          <w:snapToGrid w:val="0"/>
          <w:color w:val="000000"/>
          <w:kern w:val="0"/>
          <w:sz w:val="24"/>
          <w:szCs w:val="24"/>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lang w:val="en-US" w:eastAsia="zh-CN" w:bidi="ar-SA"/>
        </w:rPr>
        <w:t>。</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blHeader/>
          <w:jc w:val="center"/>
        </w:trPr>
        <w:tc>
          <w:tcPr>
            <w:tcW w:w="879" w:type="dxa"/>
            <w:noWrap w:val="0"/>
            <w:vAlign w:val="center"/>
          </w:tcPr>
          <w:p>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lang w:eastAsia="en-US"/>
              </w:rPr>
            </w:pPr>
            <w:r>
              <w:rPr>
                <w:rFonts w:hint="eastAsia" w:ascii="宋体" w:hAnsi="宋体" w:cs="宋体"/>
                <w:b/>
                <w:snapToGrid w:val="0"/>
                <w:color w:val="000000"/>
                <w:kern w:val="0"/>
                <w:sz w:val="24"/>
              </w:rPr>
              <w:t>序</w:t>
            </w:r>
            <w:r>
              <w:rPr>
                <w:rFonts w:hint="eastAsia" w:ascii="宋体" w:hAnsi="宋体" w:cs="宋体"/>
                <w:b/>
                <w:snapToGrid w:val="0"/>
                <w:color w:val="000000"/>
                <w:kern w:val="0"/>
                <w:sz w:val="24"/>
                <w:lang w:eastAsia="en-US"/>
              </w:rPr>
              <w:t>号</w:t>
            </w:r>
          </w:p>
        </w:tc>
        <w:tc>
          <w:tcPr>
            <w:tcW w:w="3621" w:type="dxa"/>
            <w:noWrap w:val="0"/>
            <w:vAlign w:val="center"/>
          </w:tcPr>
          <w:p>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lang w:eastAsia="en-US"/>
              </w:rPr>
            </w:pPr>
            <w:r>
              <w:rPr>
                <w:rFonts w:hint="eastAsia" w:ascii="宋体" w:hAnsi="宋体" w:cs="宋体"/>
                <w:b/>
                <w:snapToGrid w:val="0"/>
                <w:color w:val="000000"/>
                <w:kern w:val="0"/>
                <w:sz w:val="24"/>
                <w:lang w:eastAsia="en-US"/>
              </w:rPr>
              <w:t>评审因素</w:t>
            </w:r>
          </w:p>
        </w:tc>
        <w:tc>
          <w:tcPr>
            <w:tcW w:w="5259" w:type="dxa"/>
            <w:noWrap w:val="0"/>
            <w:vAlign w:val="center"/>
          </w:tcPr>
          <w:p>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lang w:eastAsia="en-US"/>
              </w:rPr>
            </w:pPr>
            <w:r>
              <w:rPr>
                <w:rFonts w:hint="eastAsia" w:ascii="宋体" w:hAnsi="宋体" w:cs="宋体"/>
                <w:b/>
                <w:snapToGrid w:val="0"/>
                <w:color w:val="000000"/>
                <w:kern w:val="0"/>
                <w:sz w:val="24"/>
                <w:lang w:eastAsia="en-U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1</w:t>
            </w:r>
          </w:p>
        </w:tc>
        <w:tc>
          <w:tcPr>
            <w:tcW w:w="3621" w:type="dxa"/>
            <w:noWrap w:val="0"/>
            <w:vAlign w:val="center"/>
          </w:tcPr>
          <w:p>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供应商名称</w:t>
            </w:r>
          </w:p>
        </w:tc>
        <w:tc>
          <w:tcPr>
            <w:tcW w:w="5259" w:type="dxa"/>
            <w:noWrap w:val="0"/>
            <w:vAlign w:val="center"/>
          </w:tcPr>
          <w:p>
            <w:pPr>
              <w:widowControl/>
              <w:kinsoku w:val="0"/>
              <w:autoSpaceDE w:val="0"/>
              <w:autoSpaceDN w:val="0"/>
              <w:adjustRightInd w:val="0"/>
              <w:snapToGrid w:val="0"/>
              <w:ind w:left="43"/>
              <w:jc w:val="center"/>
              <w:textAlignment w:val="baseline"/>
              <w:rPr>
                <w:rFonts w:ascii="宋体" w:hAnsi="宋体" w:cs="宋体"/>
                <w:snapToGrid w:val="0"/>
                <w:color w:val="000000"/>
                <w:kern w:val="0"/>
                <w:sz w:val="24"/>
              </w:rPr>
            </w:pPr>
            <w:r>
              <w:rPr>
                <w:rFonts w:hint="eastAsia"/>
                <w:sz w:val="24"/>
              </w:rPr>
              <w:t>与营业执照或其他资格证明文件（</w:t>
            </w:r>
            <w:r>
              <w:rPr>
                <w:rFonts w:hint="eastAsia" w:ascii="宋体" w:hAnsi="宋体" w:cs="宋体"/>
                <w:spacing w:val="-2"/>
                <w:sz w:val="24"/>
              </w:rPr>
              <w:t>如事业单位法人证书等</w:t>
            </w:r>
            <w:r>
              <w:rPr>
                <w:rFonts w:hint="eastAsia"/>
                <w:sz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9" w:type="dxa"/>
            <w:noWrap w:val="0"/>
            <w:vAlign w:val="center"/>
          </w:tcPr>
          <w:p>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2</w:t>
            </w:r>
          </w:p>
        </w:tc>
        <w:tc>
          <w:tcPr>
            <w:tcW w:w="3621" w:type="dxa"/>
            <w:noWrap w:val="0"/>
            <w:vAlign w:val="center"/>
          </w:tcPr>
          <w:p>
            <w:pPr>
              <w:widowControl/>
              <w:kinsoku w:val="0"/>
              <w:autoSpaceDE w:val="0"/>
              <w:autoSpaceDN w:val="0"/>
              <w:adjustRightInd w:val="0"/>
              <w:snapToGrid w:val="0"/>
              <w:spacing w:before="157"/>
              <w:ind w:left="498" w:right="494"/>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响应文件签字盖章</w:t>
            </w:r>
          </w:p>
        </w:tc>
        <w:tc>
          <w:tcPr>
            <w:tcW w:w="5259" w:type="dxa"/>
            <w:noWrap w:val="0"/>
            <w:vAlign w:val="center"/>
          </w:tcPr>
          <w:p>
            <w:pPr>
              <w:widowControl/>
              <w:kinsoku w:val="0"/>
              <w:autoSpaceDE w:val="0"/>
              <w:autoSpaceDN w:val="0"/>
              <w:adjustRightInd w:val="0"/>
              <w:snapToGrid w:val="0"/>
              <w:spacing w:before="157"/>
              <w:ind w:left="4"/>
              <w:jc w:val="center"/>
              <w:textAlignment w:val="baseline"/>
              <w:rPr>
                <w:rFonts w:ascii="宋体" w:hAnsi="宋体" w:cs="宋体"/>
                <w:snapToGrid w:val="0"/>
                <w:color w:val="000000"/>
                <w:kern w:val="0"/>
                <w:sz w:val="24"/>
              </w:rPr>
            </w:pPr>
            <w:r>
              <w:rPr>
                <w:rFonts w:hint="eastAsia" w:ascii="宋体" w:hAnsi="宋体" w:cs="宋体"/>
                <w:snapToGrid w:val="0"/>
                <w:color w:val="000000"/>
                <w:kern w:val="0"/>
                <w:sz w:val="24"/>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9" w:type="dxa"/>
            <w:noWrap w:val="0"/>
            <w:vAlign w:val="center"/>
          </w:tcPr>
          <w:p>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3</w:t>
            </w:r>
          </w:p>
        </w:tc>
        <w:tc>
          <w:tcPr>
            <w:tcW w:w="3621" w:type="dxa"/>
            <w:noWrap w:val="0"/>
            <w:vAlign w:val="center"/>
          </w:tcPr>
          <w:p>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响应文件格式</w:t>
            </w:r>
          </w:p>
        </w:tc>
        <w:tc>
          <w:tcPr>
            <w:tcW w:w="5259" w:type="dxa"/>
            <w:noWrap w:val="0"/>
            <w:vAlign w:val="center"/>
          </w:tcPr>
          <w:p>
            <w:pPr>
              <w:widowControl/>
              <w:kinsoku w:val="0"/>
              <w:autoSpaceDE w:val="0"/>
              <w:autoSpaceDN w:val="0"/>
              <w:adjustRightInd w:val="0"/>
              <w:snapToGrid w:val="0"/>
              <w:ind w:left="43"/>
              <w:jc w:val="center"/>
              <w:textAlignment w:val="baseline"/>
              <w:rPr>
                <w:rFonts w:ascii="宋体" w:hAnsi="宋体" w:cs="宋体"/>
                <w:snapToGrid w:val="0"/>
                <w:color w:val="000000"/>
                <w:kern w:val="0"/>
                <w:sz w:val="24"/>
              </w:rPr>
            </w:pPr>
            <w:r>
              <w:rPr>
                <w:rFonts w:hint="eastAsia" w:ascii="宋体" w:hAnsi="宋体" w:cs="宋体"/>
                <w:snapToGrid w:val="0"/>
                <w:color w:val="000000"/>
                <w:kern w:val="0"/>
                <w:sz w:val="24"/>
              </w:rPr>
              <w:t>符合第六章</w:t>
            </w:r>
            <w:r>
              <w:rPr>
                <w:rFonts w:ascii="宋体" w:hAnsi="宋体" w:cs="宋体"/>
                <w:snapToGrid w:val="0"/>
                <w:color w:val="000000"/>
                <w:kern w:val="0"/>
                <w:sz w:val="24"/>
              </w:rPr>
              <w:t>“</w:t>
            </w:r>
            <w:r>
              <w:rPr>
                <w:rFonts w:hint="eastAsia" w:ascii="宋体" w:hAnsi="宋体" w:cs="宋体"/>
                <w:snapToGrid w:val="0"/>
                <w:color w:val="000000"/>
                <w:kern w:val="0"/>
                <w:sz w:val="24"/>
              </w:rPr>
              <w:t>响应文件格式</w:t>
            </w:r>
            <w:r>
              <w:rPr>
                <w:rFonts w:ascii="宋体" w:hAnsi="宋体" w:cs="宋体"/>
                <w:snapToGrid w:val="0"/>
                <w:color w:val="000000"/>
                <w:kern w:val="0"/>
                <w:sz w:val="24"/>
              </w:rPr>
              <w:t>”</w:t>
            </w:r>
            <w:r>
              <w:rPr>
                <w:rFonts w:hint="eastAsia" w:ascii="宋体" w:hAnsi="宋体" w:cs="宋体"/>
                <w:snapToGrid w:val="0"/>
                <w:color w:val="000000"/>
                <w:kern w:val="0"/>
                <w:sz w:val="24"/>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79" w:type="dxa"/>
            <w:noWrap w:val="0"/>
            <w:vAlign w:val="center"/>
          </w:tcPr>
          <w:p>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4</w:t>
            </w:r>
          </w:p>
        </w:tc>
        <w:tc>
          <w:tcPr>
            <w:tcW w:w="3621" w:type="dxa"/>
            <w:noWrap w:val="0"/>
            <w:vAlign w:val="center"/>
          </w:tcPr>
          <w:p>
            <w:pPr>
              <w:widowControl/>
              <w:kinsoku w:val="0"/>
              <w:autoSpaceDE w:val="0"/>
              <w:autoSpaceDN w:val="0"/>
              <w:adjustRightInd w:val="0"/>
              <w:snapToGrid w:val="0"/>
              <w:spacing w:before="157"/>
              <w:ind w:left="498" w:right="494"/>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报价唯一</w:t>
            </w:r>
          </w:p>
        </w:tc>
        <w:tc>
          <w:tcPr>
            <w:tcW w:w="5259" w:type="dxa"/>
            <w:noWrap w:val="0"/>
            <w:vAlign w:val="center"/>
          </w:tcPr>
          <w:p>
            <w:pPr>
              <w:widowControl/>
              <w:kinsoku w:val="0"/>
              <w:autoSpaceDE w:val="0"/>
              <w:autoSpaceDN w:val="0"/>
              <w:adjustRightInd w:val="0"/>
              <w:snapToGrid w:val="0"/>
              <w:spacing w:before="157"/>
              <w:ind w:left="4"/>
              <w:jc w:val="center"/>
              <w:textAlignment w:val="baseline"/>
              <w:rPr>
                <w:rFonts w:ascii="宋体" w:hAnsi="宋体" w:cs="宋体"/>
                <w:snapToGrid w:val="0"/>
                <w:color w:val="000000"/>
                <w:kern w:val="0"/>
                <w:sz w:val="24"/>
              </w:rPr>
            </w:pPr>
            <w:r>
              <w:rPr>
                <w:rFonts w:hint="eastAsia" w:ascii="宋体" w:hAnsi="宋体" w:cs="宋体"/>
                <w:snapToGrid w:val="0"/>
                <w:color w:val="000000"/>
                <w:kern w:val="0"/>
                <w:sz w:val="24"/>
              </w:rPr>
              <w:t>只有一个有效报价且不超过最高限价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5</w:t>
            </w:r>
          </w:p>
        </w:tc>
        <w:tc>
          <w:tcPr>
            <w:tcW w:w="3621" w:type="dxa"/>
            <w:noWrap w:val="0"/>
            <w:vAlign w:val="center"/>
          </w:tcPr>
          <w:p>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响应范围</w:t>
            </w:r>
          </w:p>
        </w:tc>
        <w:tc>
          <w:tcPr>
            <w:tcW w:w="5259" w:type="dxa"/>
            <w:noWrap w:val="0"/>
            <w:vAlign w:val="center"/>
          </w:tcPr>
          <w:p>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79" w:type="dxa"/>
            <w:noWrap w:val="0"/>
            <w:vAlign w:val="center"/>
          </w:tcPr>
          <w:p>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6</w:t>
            </w:r>
          </w:p>
        </w:tc>
        <w:tc>
          <w:tcPr>
            <w:tcW w:w="3621" w:type="dxa"/>
            <w:noWrap w:val="0"/>
            <w:vAlign w:val="center"/>
          </w:tcPr>
          <w:p>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lang w:eastAsia="zh-CN"/>
              </w:rPr>
            </w:pPr>
            <w:r>
              <w:rPr>
                <w:rFonts w:hint="eastAsia" w:ascii="宋体" w:hAnsi="宋体" w:eastAsia="宋体" w:cs="宋体"/>
                <w:snapToGrid w:val="0"/>
                <w:color w:val="000000"/>
                <w:kern w:val="0"/>
                <w:sz w:val="24"/>
                <w:lang w:val="en-US" w:eastAsia="zh-CN"/>
              </w:rPr>
              <w:t>工期</w:t>
            </w:r>
          </w:p>
        </w:tc>
        <w:tc>
          <w:tcPr>
            <w:tcW w:w="5259" w:type="dxa"/>
            <w:noWrap w:val="0"/>
            <w:vAlign w:val="center"/>
          </w:tcPr>
          <w:p>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9" w:type="dxa"/>
            <w:noWrap w:val="0"/>
            <w:vAlign w:val="center"/>
          </w:tcPr>
          <w:p>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7</w:t>
            </w:r>
          </w:p>
        </w:tc>
        <w:tc>
          <w:tcPr>
            <w:tcW w:w="3621" w:type="dxa"/>
            <w:noWrap w:val="0"/>
            <w:vAlign w:val="center"/>
          </w:tcPr>
          <w:p>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lang w:eastAsia="zh-CN"/>
              </w:rPr>
            </w:pPr>
            <w:r>
              <w:rPr>
                <w:rFonts w:hint="eastAsia" w:ascii="宋体" w:hAnsi="宋体" w:eastAsia="宋体" w:cs="宋体"/>
                <w:snapToGrid w:val="0"/>
                <w:color w:val="000000"/>
                <w:kern w:val="0"/>
                <w:sz w:val="24"/>
                <w:lang w:val="en-US" w:eastAsia="zh-CN"/>
              </w:rPr>
              <w:t>缺陷责任期</w:t>
            </w:r>
          </w:p>
        </w:tc>
        <w:tc>
          <w:tcPr>
            <w:tcW w:w="5259" w:type="dxa"/>
            <w:noWrap w:val="0"/>
            <w:vAlign w:val="center"/>
          </w:tcPr>
          <w:p>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79" w:type="dxa"/>
            <w:noWrap w:val="0"/>
            <w:vAlign w:val="center"/>
          </w:tcPr>
          <w:p>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8</w:t>
            </w:r>
          </w:p>
        </w:tc>
        <w:tc>
          <w:tcPr>
            <w:tcW w:w="3621" w:type="dxa"/>
            <w:noWrap w:val="0"/>
            <w:vAlign w:val="center"/>
          </w:tcPr>
          <w:p>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质量要求</w:t>
            </w:r>
          </w:p>
        </w:tc>
        <w:tc>
          <w:tcPr>
            <w:tcW w:w="5259" w:type="dxa"/>
            <w:noWrap w:val="0"/>
            <w:vAlign w:val="center"/>
          </w:tcPr>
          <w:p>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9" w:type="dxa"/>
            <w:noWrap w:val="0"/>
            <w:vAlign w:val="center"/>
          </w:tcPr>
          <w:p>
            <w:pPr>
              <w:widowControl/>
              <w:kinsoku w:val="0"/>
              <w:autoSpaceDE w:val="0"/>
              <w:autoSpaceDN w:val="0"/>
              <w:adjustRightInd w:val="0"/>
              <w:snapToGrid w:val="0"/>
              <w:jc w:val="center"/>
              <w:textAlignment w:val="baseline"/>
              <w:rPr>
                <w:rFonts w:ascii="宋体" w:hAnsi="宋体" w:cs="宋体"/>
                <w:bCs/>
                <w:snapToGrid w:val="0"/>
                <w:color w:val="000000"/>
                <w:kern w:val="0"/>
                <w:sz w:val="24"/>
              </w:rPr>
            </w:pPr>
            <w:r>
              <w:rPr>
                <w:rFonts w:hint="eastAsia" w:ascii="宋体" w:hAnsi="宋体" w:cs="宋体"/>
                <w:bCs/>
                <w:snapToGrid w:val="0"/>
                <w:color w:val="000000"/>
                <w:kern w:val="0"/>
                <w:sz w:val="24"/>
              </w:rPr>
              <w:t>9</w:t>
            </w:r>
          </w:p>
        </w:tc>
        <w:tc>
          <w:tcPr>
            <w:tcW w:w="3621" w:type="dxa"/>
            <w:noWrap w:val="0"/>
            <w:vAlign w:val="center"/>
          </w:tcPr>
          <w:p>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lang w:eastAsia="en-US"/>
              </w:rPr>
              <w:t>响应有效期</w:t>
            </w:r>
          </w:p>
        </w:tc>
        <w:tc>
          <w:tcPr>
            <w:tcW w:w="5259" w:type="dxa"/>
            <w:noWrap w:val="0"/>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 w:val="24"/>
                <w:lang w:eastAsia="en-US"/>
              </w:rPr>
            </w:pPr>
            <w:r>
              <w:rPr>
                <w:rFonts w:hint="eastAsia" w:ascii="宋体" w:hAnsi="宋体" w:cs="宋体"/>
                <w:snapToGrid w:val="0"/>
                <w:color w:val="000000"/>
                <w:kern w:val="0"/>
                <w:sz w:val="24"/>
              </w:rPr>
              <w:t>符合竞争性磋商文件要求</w:t>
            </w:r>
          </w:p>
        </w:tc>
      </w:tr>
    </w:tbl>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未实质性响应磋商文件的响应文件按无效响应处理，磋商小组应当告知提交响应文件的供应商。</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资格证明文件不全的，或者不符合竞争性磋商文件标明的资格要求的；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lang w:val="en-US" w:eastAsia="en-US" w:bidi="ar-SA"/>
        </w:rPr>
        <w:t>加密的；</w:t>
      </w:r>
    </w:p>
    <w:p>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 其他不符合磋商文件实质性要求的。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报价具有选择性；</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磋商、响应文件有关事项的澄清、说明或者更正和最后报价</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.1</w:t>
      </w:r>
      <w:r>
        <w:rPr>
          <w:rFonts w:hint="eastAsia"/>
          <w:sz w:val="24"/>
          <w:szCs w:val="24"/>
          <w:lang w:val="en-US" w:eastAsia="zh-CN"/>
        </w:rPr>
        <w:t xml:space="preserve"> </w:t>
      </w:r>
      <w:r>
        <w:rPr>
          <w:sz w:val="24"/>
          <w:szCs w:val="24"/>
        </w:rPr>
        <w:t>磋商小组所有成员将集中与单一供应商分别进行磋商，并给予所有参加磋商的供应商平等的磋商机会。</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.2</w:t>
      </w:r>
      <w:r>
        <w:rPr>
          <w:rFonts w:hint="eastAsia"/>
          <w:sz w:val="24"/>
          <w:szCs w:val="24"/>
          <w:lang w:val="en-US" w:eastAsia="zh-CN"/>
        </w:rPr>
        <w:t xml:space="preserve"> </w:t>
      </w:r>
      <w:r>
        <w:rPr>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.3</w:t>
      </w:r>
      <w:r>
        <w:rPr>
          <w:rFonts w:hint="eastAsia"/>
          <w:sz w:val="24"/>
          <w:szCs w:val="24"/>
          <w:lang w:val="en-US" w:eastAsia="zh-CN"/>
        </w:rPr>
        <w:t xml:space="preserve"> </w:t>
      </w:r>
      <w:r>
        <w:rPr>
          <w:sz w:val="24"/>
          <w:szCs w:val="24"/>
        </w:rPr>
        <w:t>对磋商文件作出的实质性变动是磋商文件的有效组成部分，磋商小组应当及时</w:t>
      </w:r>
      <w:r>
        <w:rPr>
          <w:rFonts w:hint="eastAsia"/>
          <w:sz w:val="24"/>
          <w:szCs w:val="24"/>
          <w:lang w:val="en-US"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lang w:val="en-US" w:eastAsia="zh-CN" w:bidi="ar-SA"/>
        </w:rPr>
        <w:t>评标</w:t>
      </w:r>
      <w:r>
        <w:rPr>
          <w:rFonts w:hint="eastAsia" w:ascii="宋体" w:hAnsi="宋体" w:eastAsia="宋体" w:cs="宋体"/>
          <w:snapToGrid w:val="0"/>
          <w:color w:val="000000"/>
          <w:kern w:val="0"/>
          <w:sz w:val="24"/>
          <w:szCs w:val="24"/>
          <w:lang w:val="en-US" w:eastAsia="en-US" w:bidi="ar-SA"/>
        </w:rPr>
        <w:t>系统以在线形式提交承诺，并用</w:t>
      </w:r>
      <w:r>
        <w:rPr>
          <w:rFonts w:hint="eastAsia" w:ascii="宋体" w:hAnsi="宋体" w:eastAsia="宋体" w:cs="宋体"/>
          <w:snapToGrid w:val="0"/>
          <w:color w:val="000000"/>
          <w:kern w:val="0"/>
          <w:sz w:val="24"/>
          <w:szCs w:val="24"/>
          <w:lang w:val="en-US" w:eastAsia="zh-CN" w:bidi="ar-SA"/>
        </w:rPr>
        <w:t>CA</w:t>
      </w:r>
      <w:r>
        <w:rPr>
          <w:rFonts w:hint="eastAsia" w:ascii="宋体" w:hAnsi="宋体" w:eastAsia="宋体" w:cs="宋体"/>
          <w:snapToGrid w:val="0"/>
          <w:color w:val="000000"/>
          <w:kern w:val="0"/>
          <w:sz w:val="24"/>
          <w:szCs w:val="24"/>
          <w:lang w:val="en-US" w:eastAsia="en-US" w:bidi="ar-SA"/>
        </w:rPr>
        <w:t>签章。</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 </w:t>
      </w:r>
      <w:r>
        <w:rPr>
          <w:rFonts w:ascii="宋体" w:hAnsi="宋体" w:eastAsia="宋体" w:cs="宋体"/>
          <w:snapToGrid w:val="0"/>
          <w:color w:val="000000"/>
          <w:kern w:val="0"/>
          <w:sz w:val="24"/>
          <w:szCs w:val="24"/>
          <w:lang w:val="en-US" w:eastAsia="en-US" w:bidi="ar-SA"/>
        </w:rPr>
        <w:t>响应文件的澄清、说明或者更正：</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.5.1</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.6</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lang w:val="en-US" w:eastAsia="zh-CN" w:bidi="ar-SA"/>
        </w:rPr>
        <w:t>得</w:t>
      </w:r>
      <w:r>
        <w:rPr>
          <w:rFonts w:hint="eastAsia" w:ascii="宋体" w:hAnsi="宋体" w:eastAsia="宋体" w:cs="宋体"/>
          <w:snapToGrid w:val="0"/>
          <w:color w:val="000000"/>
          <w:kern w:val="0"/>
          <w:sz w:val="24"/>
          <w:szCs w:val="24"/>
          <w:lang w:val="en-US" w:eastAsia="en-US" w:bidi="ar-SA"/>
        </w:rPr>
        <w:t>少于</w:t>
      </w: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家。《</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政府采购竞争性磋商采购方式管理暂行办法</w:t>
      </w:r>
      <w:r>
        <w:rPr>
          <w:rFonts w:hint="eastAsia" w:ascii="宋体" w:hAnsi="宋体" w:eastAsia="宋体" w:cs="宋体"/>
          <w:snapToGrid w:val="0"/>
          <w:color w:val="000000"/>
          <w:kern w:val="0"/>
          <w:sz w:val="24"/>
          <w:szCs w:val="24"/>
          <w:lang w:val="en-US" w:eastAsia="en-US" w:bidi="ar-SA"/>
        </w:rPr>
        <w:t>》第</w:t>
      </w:r>
      <w:r>
        <w:rPr>
          <w:rFonts w:hint="eastAsia" w:ascii="宋体" w:hAnsi="宋体" w:eastAsia="宋体" w:cs="宋体"/>
          <w:snapToGrid w:val="0"/>
          <w:color w:val="000000"/>
          <w:kern w:val="0"/>
          <w:sz w:val="24"/>
          <w:szCs w:val="24"/>
          <w:lang w:val="en-US" w:eastAsia="zh-CN" w:bidi="ar-SA"/>
        </w:rPr>
        <w:t>三</w:t>
      </w:r>
      <w:r>
        <w:rPr>
          <w:rFonts w:hint="eastAsia" w:ascii="宋体" w:hAnsi="宋体" w:eastAsia="宋体" w:cs="宋体"/>
          <w:snapToGrid w:val="0"/>
          <w:color w:val="000000"/>
          <w:kern w:val="0"/>
          <w:sz w:val="24"/>
          <w:szCs w:val="24"/>
          <w:lang w:val="en-US" w:eastAsia="en-US" w:bidi="ar-SA"/>
        </w:rPr>
        <w:t>条第</w:t>
      </w:r>
      <w:r>
        <w:rPr>
          <w:rFonts w:hint="eastAsia" w:ascii="宋体" w:hAnsi="宋体" w:eastAsia="宋体" w:cs="宋体"/>
          <w:snapToGrid w:val="0"/>
          <w:color w:val="000000"/>
          <w:kern w:val="0"/>
          <w:sz w:val="24"/>
          <w:szCs w:val="24"/>
          <w:lang w:val="en-US" w:eastAsia="zh-CN" w:bidi="ar-SA"/>
        </w:rPr>
        <w:t>四项</w:t>
      </w:r>
      <w:r>
        <w:rPr>
          <w:rFonts w:hint="eastAsia" w:ascii="宋体" w:hAnsi="宋体" w:eastAsia="宋体" w:cs="宋体"/>
          <w:snapToGrid w:val="0"/>
          <w:color w:val="000000"/>
          <w:kern w:val="0"/>
          <w:sz w:val="24"/>
          <w:szCs w:val="24"/>
          <w:lang w:val="en-US" w:eastAsia="en-US" w:bidi="ar-SA"/>
        </w:rPr>
        <w:t>规定的情形除外。最后报价是响应文件的有效组成部分。</w:t>
      </w:r>
    </w:p>
    <w:p>
      <w:pPr>
        <w:keepNext w:val="0"/>
        <w:keepLines w:val="0"/>
        <w:pageBreakBefore w:val="0"/>
        <w:kinsoku/>
        <w:wordWrap w:val="0"/>
        <w:overflowPunct/>
        <w:topLinePunct w:val="0"/>
        <w:bidi w:val="0"/>
        <w:spacing w:after="0" w:line="360" w:lineRule="auto"/>
        <w:ind w:firstLine="480" w:firstLineChars="200"/>
        <w:jc w:val="both"/>
        <w:rPr>
          <w:sz w:val="24"/>
          <w:szCs w:val="24"/>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.7</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交最后报价的供应商可以为2家；政府购买服务项目（含政府和社会资本合作项目），在采购过程中符合要求的供应商（社会资本）只有2家的，竞争性磋商采购活动可以继续进行。</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8 </w:t>
      </w:r>
      <w:r>
        <w:rPr>
          <w:rFonts w:hint="eastAsia" w:cs="宋体"/>
          <w:snapToGrid w:val="0"/>
          <w:color w:val="000000"/>
          <w:kern w:val="0"/>
          <w:sz w:val="24"/>
          <w:szCs w:val="24"/>
          <w:lang w:val="en-US" w:eastAsia="en-US" w:bidi="ar-SA"/>
        </w:rPr>
        <w:t>已</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交响应文件的供应商，在</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交最后报价之前，可以根据磋商情况退出磋商。</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最后报价的算术修正及政策调整</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lang w:val="en-US" w:eastAsia="zh-CN" w:bidi="ar-SA"/>
        </w:rPr>
        <w:t>。</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评审方法和评审标准</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本项目采用的评审方法为</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综合评分法。综合评分法，是指响应文件满足磋商文件全部实质性要求且按评审因素的量化指标评审得分最高的供应商为成交候选供应商的评审方法。</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.2</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竞争性磋商文件中没有规定的评审标准不得作为评审依据。</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.3</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.4</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关于无线局域网认证产品政府采购清单中的产品，优先采购的具体规定（如涉及）</w:t>
      </w:r>
      <w:r>
        <w:rPr>
          <w:spacing w:val="-25"/>
          <w:sz w:val="24"/>
          <w:szCs w:val="24"/>
        </w:rPr>
        <w:t>。</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确定成交候选人名单</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9</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 xml:space="preserve">2 </w:t>
      </w:r>
      <w:r>
        <w:rPr>
          <w:rFonts w:hint="eastAsia" w:cs="宋体"/>
          <w:b/>
          <w:bCs/>
          <w:snapToGrid w:val="0"/>
          <w:color w:val="000000"/>
          <w:kern w:val="0"/>
          <w:sz w:val="24"/>
          <w:szCs w:val="24"/>
          <w:lang w:val="en-US" w:eastAsia="en-US" w:bidi="ar-SA"/>
        </w:rPr>
        <w:t>磋商小组要对评分汇总情况进行复核，特别是对排名第一的、报价最低的、响应文件被认定为无效的情形进行重点复核。</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3 ☑</w:t>
      </w:r>
      <w:r>
        <w:rPr>
          <w:rFonts w:hint="eastAsia" w:cs="宋体"/>
          <w:snapToGrid w:val="0"/>
          <w:color w:val="000000"/>
          <w:kern w:val="0"/>
          <w:sz w:val="24"/>
          <w:szCs w:val="24"/>
          <w:lang w:val="en-US" w:eastAsia="en-US" w:bidi="ar-SA"/>
        </w:rPr>
        <w:t>磋商小组根据上述供应商排序，依次推荐排序前</w:t>
      </w:r>
      <w:r>
        <w:rPr>
          <w:rFonts w:hint="eastAsia" w:cs="宋体"/>
          <w:snapToGrid w:val="0"/>
          <w:color w:val="000000"/>
          <w:kern w:val="0"/>
          <w:sz w:val="24"/>
          <w:szCs w:val="24"/>
          <w:lang w:val="en-US" w:eastAsia="zh-CN" w:bidi="ar-SA"/>
        </w:rPr>
        <w:t>2</w:t>
      </w:r>
      <w:r>
        <w:rPr>
          <w:rFonts w:hint="eastAsia" w:cs="宋体"/>
          <w:snapToGrid w:val="0"/>
          <w:color w:val="000000"/>
          <w:kern w:val="0"/>
          <w:sz w:val="24"/>
          <w:szCs w:val="24"/>
          <w:lang w:val="en-US" w:eastAsia="en-US" w:bidi="ar-SA"/>
        </w:rPr>
        <w:t>名的供应商为成交候选供应商。采购人应当自收到评审报告之日起5个工作日内在评审报告推荐的成交候选人中按顺序确定成交供应商。</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报告违法行为</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磋商小组在评审过程中发现供应商有行贿、</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供虚假材料或者串通等违法行为时，有向采购人、采购代理机构或者有关部门报告的职责。</w:t>
      </w:r>
      <w:bookmarkStart w:id="30" w:name="_Toc20187"/>
    </w:p>
    <w:p>
      <w:pPr>
        <w:pStyle w:val="3"/>
        <w:keepNext w:val="0"/>
        <w:keepLines w:val="0"/>
        <w:pageBreakBefore w:val="0"/>
        <w:kinsoku/>
        <w:wordWrap w:val="0"/>
        <w:overflowPunct/>
        <w:topLinePunct w:val="0"/>
        <w:bidi w:val="0"/>
        <w:spacing w:before="78" w:line="221" w:lineRule="auto"/>
        <w:jc w:val="center"/>
        <w:outlineLvl w:val="1"/>
        <w:rPr>
          <w:spacing w:val="-2"/>
          <w:sz w:val="24"/>
          <w:szCs w:val="24"/>
          <w14:textOutline w14:w="1537" w14:cap="flat" w14:cmpd="sng">
            <w14:solidFill>
              <w14:srgbClr w14:val="000000"/>
            </w14:solidFill>
            <w14:prstDash w14:val="solid"/>
            <w14:miter w14:val="0"/>
          </w14:textOutline>
        </w:rPr>
      </w:pPr>
      <w:r>
        <w:rPr>
          <w:spacing w:val="-2"/>
          <w:sz w:val="24"/>
          <w:szCs w:val="24"/>
          <w14:textOutline w14:w="1537" w14:cap="flat" w14:cmpd="sng">
            <w14:solidFill>
              <w14:srgbClr w14:val="000000"/>
            </w14:solidFill>
            <w14:prstDash w14:val="solid"/>
            <w14:miter w14:val="0"/>
          </w14:textOutline>
        </w:rPr>
        <w:t>评审标准</w:t>
      </w:r>
      <w:bookmarkEnd w:id="30"/>
    </w:p>
    <w:tbl>
      <w:tblPr>
        <w:tblStyle w:val="26"/>
        <w:tblW w:w="97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39" w:type="dxa"/>
            <w:vAlign w:val="top"/>
          </w:tcPr>
          <w:p>
            <w:pPr>
              <w:keepNext w:val="0"/>
              <w:keepLines w:val="0"/>
              <w:pageBreakBefore w:val="0"/>
              <w:kinsoku/>
              <w:wordWrap w:val="0"/>
              <w:overflowPunct/>
              <w:topLinePunct w:val="0"/>
              <w:bidi w:val="0"/>
              <w:spacing w:before="40" w:line="208" w:lineRule="auto"/>
              <w:ind w:left="198"/>
              <w:jc w:val="both"/>
              <w:rPr>
                <w:rFonts w:hint="eastAsia" w:ascii="仿宋" w:hAnsi="仿宋" w:eastAsia="仿宋" w:cs="仿宋"/>
                <w:sz w:val="24"/>
                <w:szCs w:val="24"/>
              </w:rPr>
            </w:pPr>
            <w:r>
              <w:rPr>
                <w:rFonts w:hint="eastAsia" w:ascii="仿宋" w:hAnsi="仿宋" w:eastAsia="仿宋" w:cs="仿宋"/>
                <w:spacing w:val="-3"/>
                <w:sz w:val="24"/>
                <w:szCs w:val="24"/>
                <w14:textOutline w14:w="1537" w14:cap="flat" w14:cmpd="sng">
                  <w14:solidFill>
                    <w14:srgbClr w14:val="000000"/>
                  </w14:solidFill>
                  <w14:prstDash w14:val="solid"/>
                  <w14:miter w14:val="0"/>
                </w14:textOutline>
              </w:rPr>
              <w:t>序号</w:t>
            </w:r>
          </w:p>
        </w:tc>
        <w:tc>
          <w:tcPr>
            <w:tcW w:w="1595" w:type="dxa"/>
            <w:vAlign w:val="top"/>
          </w:tcPr>
          <w:p>
            <w:pPr>
              <w:keepNext w:val="0"/>
              <w:keepLines w:val="0"/>
              <w:pageBreakBefore w:val="0"/>
              <w:kinsoku/>
              <w:wordWrap w:val="0"/>
              <w:overflowPunct/>
              <w:topLinePunct w:val="0"/>
              <w:bidi w:val="0"/>
              <w:spacing w:before="40" w:line="208" w:lineRule="auto"/>
              <w:ind w:left="268"/>
              <w:jc w:val="both"/>
              <w:rPr>
                <w:rFonts w:hint="eastAsia" w:ascii="仿宋" w:hAnsi="仿宋" w:eastAsia="仿宋" w:cs="仿宋"/>
                <w:sz w:val="24"/>
                <w:szCs w:val="24"/>
              </w:rPr>
            </w:pPr>
            <w:r>
              <w:rPr>
                <w:rFonts w:hint="eastAsia" w:ascii="仿宋" w:hAnsi="仿宋" w:eastAsia="仿宋" w:cs="仿宋"/>
                <w:spacing w:val="-2"/>
                <w:sz w:val="24"/>
                <w:szCs w:val="24"/>
                <w14:textOutline w14:w="1537" w14:cap="flat" w14:cmpd="sng">
                  <w14:solidFill>
                    <w14:srgbClr w14:val="000000"/>
                  </w14:solidFill>
                  <w14:prstDash w14:val="solid"/>
                  <w14:miter w14:val="0"/>
                </w14:textOutline>
              </w:rPr>
              <w:t>评分因素</w:t>
            </w:r>
          </w:p>
        </w:tc>
        <w:tc>
          <w:tcPr>
            <w:tcW w:w="883" w:type="dxa"/>
            <w:vAlign w:val="top"/>
          </w:tcPr>
          <w:p>
            <w:pPr>
              <w:keepNext w:val="0"/>
              <w:keepLines w:val="0"/>
              <w:pageBreakBefore w:val="0"/>
              <w:kinsoku/>
              <w:wordWrap w:val="0"/>
              <w:overflowPunct/>
              <w:topLinePunct w:val="0"/>
              <w:bidi w:val="0"/>
              <w:spacing w:before="40" w:line="208" w:lineRule="auto"/>
              <w:ind w:firstLine="232" w:firstLineChars="100"/>
              <w:jc w:val="center"/>
              <w:rPr>
                <w:rFonts w:hint="eastAsia" w:ascii="仿宋" w:hAnsi="仿宋" w:eastAsia="仿宋" w:cs="仿宋"/>
                <w:sz w:val="24"/>
                <w:szCs w:val="24"/>
              </w:rPr>
            </w:pPr>
            <w:r>
              <w:rPr>
                <w:rFonts w:hint="eastAsia" w:ascii="仿宋" w:hAnsi="仿宋" w:eastAsia="仿宋" w:cs="仿宋"/>
                <w:spacing w:val="-4"/>
                <w:sz w:val="24"/>
                <w:szCs w:val="24"/>
                <w14:textOutline w14:w="1537" w14:cap="flat" w14:cmpd="sng">
                  <w14:solidFill>
                    <w14:srgbClr w14:val="000000"/>
                  </w14:solidFill>
                  <w14:prstDash w14:val="solid"/>
                  <w14:miter w14:val="0"/>
                </w14:textOutline>
              </w:rPr>
              <w:t>分值</w:t>
            </w:r>
          </w:p>
        </w:tc>
        <w:tc>
          <w:tcPr>
            <w:tcW w:w="1972" w:type="dxa"/>
            <w:vAlign w:val="top"/>
          </w:tcPr>
          <w:p>
            <w:pPr>
              <w:keepNext w:val="0"/>
              <w:keepLines w:val="0"/>
              <w:pageBreakBefore w:val="0"/>
              <w:kinsoku/>
              <w:wordWrap w:val="0"/>
              <w:overflowPunct/>
              <w:topLinePunct w:val="0"/>
              <w:bidi w:val="0"/>
              <w:spacing w:before="40" w:line="208" w:lineRule="auto"/>
              <w:jc w:val="center"/>
              <w:rPr>
                <w:rFonts w:hint="eastAsia" w:ascii="仿宋" w:hAnsi="仿宋" w:eastAsia="仿宋" w:cs="仿宋"/>
                <w:sz w:val="24"/>
                <w:szCs w:val="24"/>
              </w:rPr>
            </w:pPr>
            <w:r>
              <w:rPr>
                <w:rFonts w:hint="eastAsia" w:ascii="仿宋" w:hAnsi="仿宋" w:eastAsia="仿宋" w:cs="仿宋"/>
                <w:spacing w:val="-2"/>
                <w:sz w:val="24"/>
                <w:szCs w:val="24"/>
                <w14:textOutline w14:w="1537" w14:cap="flat" w14:cmpd="sng">
                  <w14:solidFill>
                    <w14:srgbClr w14:val="000000"/>
                  </w14:solidFill>
                  <w14:prstDash w14:val="solid"/>
                  <w14:miter w14:val="0"/>
                </w14:textOutline>
              </w:rPr>
              <w:t>评分标准</w:t>
            </w:r>
          </w:p>
        </w:tc>
        <w:tc>
          <w:tcPr>
            <w:tcW w:w="4461" w:type="dxa"/>
            <w:vAlign w:val="top"/>
          </w:tcPr>
          <w:p>
            <w:pPr>
              <w:keepNext w:val="0"/>
              <w:keepLines w:val="0"/>
              <w:pageBreakBefore w:val="0"/>
              <w:kinsoku/>
              <w:wordWrap w:val="0"/>
              <w:overflowPunct/>
              <w:topLinePunct w:val="0"/>
              <w:bidi w:val="0"/>
              <w:spacing w:before="40" w:line="208" w:lineRule="auto"/>
              <w:jc w:val="center"/>
              <w:rPr>
                <w:rFonts w:hint="eastAsia" w:ascii="仿宋" w:hAnsi="仿宋" w:eastAsia="仿宋" w:cs="仿宋"/>
                <w:sz w:val="24"/>
                <w:szCs w:val="24"/>
              </w:rPr>
            </w:pPr>
            <w:r>
              <w:rPr>
                <w:rFonts w:hint="eastAsia" w:ascii="仿宋" w:hAnsi="仿宋" w:eastAsia="仿宋" w:cs="仿宋"/>
                <w:spacing w:val="-4"/>
                <w:sz w:val="24"/>
                <w:szCs w:val="24"/>
                <w14:textOutline w14:w="1537" w14:cap="flat" w14:cmpd="sng">
                  <w14:solidFill>
                    <w14:srgbClr w14:val="000000"/>
                  </w14:solidFill>
                  <w14:prstDash w14:val="solid"/>
                  <w14:miter w14:val="0"/>
                </w14:textOutli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9" w:type="dxa"/>
            <w:vAlign w:val="center"/>
          </w:tcPr>
          <w:p>
            <w:pPr>
              <w:pStyle w:val="27"/>
              <w:keepNext w:val="0"/>
              <w:keepLines w:val="0"/>
              <w:pageBreakBefore w:val="0"/>
              <w:kinsoku/>
              <w:wordWrap w:val="0"/>
              <w:overflowPunct/>
              <w:topLinePunct w:val="0"/>
              <w:bidi w:val="0"/>
              <w:jc w:val="center"/>
              <w:rPr>
                <w:rFonts w:hint="eastAsia" w:ascii="仿宋" w:hAnsi="仿宋" w:eastAsia="仿宋" w:cs="仿宋"/>
                <w:lang w:val="en-US" w:eastAsia="zh-CN"/>
              </w:rPr>
            </w:pPr>
          </w:p>
          <w:p>
            <w:pPr>
              <w:pStyle w:val="27"/>
              <w:keepNext w:val="0"/>
              <w:keepLines w:val="0"/>
              <w:pageBreakBefore w:val="0"/>
              <w:kinsoku/>
              <w:wordWrap w:val="0"/>
              <w:overflowPunct/>
              <w:topLinePunct w:val="0"/>
              <w:bidi w:val="0"/>
              <w:ind w:firstLine="210" w:firstLineChars="100"/>
              <w:jc w:val="both"/>
              <w:rPr>
                <w:rFonts w:hint="eastAsia" w:ascii="仿宋" w:hAnsi="仿宋" w:eastAsia="仿宋" w:cs="仿宋"/>
                <w:lang w:val="en-US" w:eastAsia="zh-CN"/>
              </w:rPr>
            </w:pPr>
            <w:r>
              <w:rPr>
                <w:rFonts w:hint="eastAsia" w:ascii="仿宋" w:hAnsi="仿宋" w:eastAsia="仿宋" w:cs="仿宋"/>
                <w:lang w:val="en-US" w:eastAsia="zh-CN"/>
              </w:rPr>
              <w:t>1</w:t>
            </w:r>
          </w:p>
        </w:tc>
        <w:tc>
          <w:tcPr>
            <w:tcW w:w="1595" w:type="dxa"/>
            <w:vAlign w:val="center"/>
          </w:tcPr>
          <w:p>
            <w:pPr>
              <w:pStyle w:val="27"/>
              <w:keepNext w:val="0"/>
              <w:keepLines w:val="0"/>
              <w:pageBreakBefore w:val="0"/>
              <w:kinsoku/>
              <w:wordWrap w:val="0"/>
              <w:overflowPunct/>
              <w:topLinePunct w:val="0"/>
              <w:bidi w:val="0"/>
              <w:spacing w:line="295" w:lineRule="auto"/>
              <w:jc w:val="center"/>
              <w:rPr>
                <w:rFonts w:hint="eastAsia" w:ascii="仿宋" w:hAnsi="仿宋" w:eastAsia="仿宋" w:cs="仿宋"/>
              </w:rPr>
            </w:pPr>
          </w:p>
          <w:p>
            <w:pPr>
              <w:keepNext w:val="0"/>
              <w:keepLines w:val="0"/>
              <w:pageBreakBefore w:val="0"/>
              <w:kinsoku/>
              <w:wordWrap w:val="0"/>
              <w:overflowPunct/>
              <w:topLinePunct w:val="0"/>
              <w:bidi w:val="0"/>
              <w:spacing w:before="78" w:line="219" w:lineRule="auto"/>
              <w:jc w:val="center"/>
              <w:rPr>
                <w:rFonts w:hint="eastAsia" w:ascii="仿宋" w:hAnsi="仿宋" w:eastAsia="仿宋" w:cs="仿宋"/>
                <w:sz w:val="24"/>
                <w:szCs w:val="24"/>
              </w:rPr>
            </w:pPr>
            <w:r>
              <w:rPr>
                <w:rFonts w:hint="eastAsia" w:ascii="仿宋" w:hAnsi="仿宋" w:eastAsia="仿宋" w:cs="仿宋"/>
                <w:spacing w:val="-3"/>
                <w:sz w:val="24"/>
                <w:szCs w:val="24"/>
                <w:lang w:val="en-US" w:eastAsia="zh-CN"/>
              </w:rPr>
              <w:t>磋商</w:t>
            </w:r>
            <w:r>
              <w:rPr>
                <w:rFonts w:hint="eastAsia" w:ascii="仿宋" w:hAnsi="仿宋" w:eastAsia="仿宋" w:cs="仿宋"/>
                <w:spacing w:val="-3"/>
                <w:sz w:val="24"/>
                <w:szCs w:val="24"/>
              </w:rPr>
              <w:t>报价</w:t>
            </w:r>
          </w:p>
        </w:tc>
        <w:tc>
          <w:tcPr>
            <w:tcW w:w="883" w:type="dxa"/>
            <w:vAlign w:val="center"/>
          </w:tcPr>
          <w:p>
            <w:pPr>
              <w:pStyle w:val="27"/>
              <w:keepNext w:val="0"/>
              <w:keepLines w:val="0"/>
              <w:pageBreakBefore w:val="0"/>
              <w:kinsoku/>
              <w:wordWrap w:val="0"/>
              <w:overflowPunct/>
              <w:topLinePunct w:val="0"/>
              <w:bidi w:val="0"/>
              <w:jc w:val="center"/>
              <w:rPr>
                <w:rFonts w:hint="eastAsia" w:ascii="仿宋" w:hAnsi="仿宋" w:eastAsia="仿宋" w:cs="仿宋"/>
                <w:lang w:val="en-US" w:eastAsia="zh-CN"/>
              </w:rPr>
            </w:pPr>
            <w:r>
              <w:rPr>
                <w:rFonts w:hint="eastAsia" w:ascii="仿宋" w:hAnsi="仿宋" w:eastAsia="仿宋" w:cs="仿宋"/>
                <w:lang w:val="en-US" w:eastAsia="zh-CN"/>
              </w:rPr>
              <w:t>30分</w:t>
            </w:r>
          </w:p>
        </w:tc>
        <w:tc>
          <w:tcPr>
            <w:tcW w:w="1972" w:type="dxa"/>
            <w:vAlign w:val="center"/>
          </w:tcPr>
          <w:p>
            <w:pPr>
              <w:keepNext w:val="0"/>
              <w:keepLines w:val="0"/>
              <w:pageBreakBefore w:val="0"/>
              <w:kinsoku/>
              <w:wordWrap w:val="0"/>
              <w:overflowPunct/>
              <w:topLinePunct w:val="0"/>
              <w:bidi w:val="0"/>
              <w:spacing w:before="191" w:line="235" w:lineRule="auto"/>
              <w:ind w:left="113" w:right="103"/>
              <w:jc w:val="left"/>
              <w:rPr>
                <w:rFonts w:hint="eastAsia" w:ascii="仿宋" w:hAnsi="仿宋" w:eastAsia="仿宋" w:cs="仿宋"/>
                <w:sz w:val="24"/>
                <w:szCs w:val="24"/>
              </w:rPr>
            </w:pPr>
            <w:r>
              <w:rPr>
                <w:rFonts w:hint="eastAsia" w:ascii="仿宋" w:hAnsi="仿宋" w:eastAsia="仿宋" w:cs="仿宋"/>
                <w:spacing w:val="10"/>
                <w:sz w:val="24"/>
                <w:szCs w:val="24"/>
              </w:rPr>
              <w:t>满足</w:t>
            </w:r>
            <w:r>
              <w:rPr>
                <w:rFonts w:hint="eastAsia" w:ascii="仿宋" w:hAnsi="仿宋" w:eastAsia="仿宋" w:cs="仿宋"/>
                <w:snapToGrid w:val="0"/>
                <w:color w:val="000000"/>
                <w:spacing w:val="-2"/>
                <w:kern w:val="0"/>
                <w:sz w:val="24"/>
                <w:szCs w:val="24"/>
                <w:lang w:val="en-US" w:eastAsia="zh-CN" w:bidi="ar-SA"/>
              </w:rPr>
              <w:t>竞争性磋商</w:t>
            </w:r>
            <w:r>
              <w:rPr>
                <w:rFonts w:hint="eastAsia" w:ascii="仿宋" w:hAnsi="仿宋" w:eastAsia="仿宋" w:cs="仿宋"/>
                <w:spacing w:val="10"/>
                <w:sz w:val="24"/>
                <w:szCs w:val="24"/>
              </w:rPr>
              <w:t>文件要求且</w:t>
            </w:r>
            <w:r>
              <w:rPr>
                <w:rFonts w:hint="eastAsia" w:ascii="仿宋" w:hAnsi="仿宋" w:eastAsia="仿宋" w:cs="仿宋"/>
                <w:spacing w:val="10"/>
                <w:sz w:val="24"/>
                <w:szCs w:val="24"/>
                <w:lang w:val="en-US" w:eastAsia="zh-CN"/>
              </w:rPr>
              <w:t>磋商</w:t>
            </w:r>
            <w:r>
              <w:rPr>
                <w:rFonts w:hint="eastAsia" w:ascii="仿宋" w:hAnsi="仿宋" w:eastAsia="仿宋" w:cs="仿宋"/>
                <w:spacing w:val="10"/>
                <w:sz w:val="24"/>
                <w:szCs w:val="24"/>
              </w:rPr>
              <w:t>价格最低</w:t>
            </w:r>
            <w:r>
              <w:rPr>
                <w:rFonts w:hint="eastAsia" w:ascii="仿宋" w:hAnsi="仿宋" w:eastAsia="仿宋" w:cs="仿宋"/>
                <w:spacing w:val="-13"/>
                <w:sz w:val="24"/>
                <w:szCs w:val="24"/>
              </w:rPr>
              <w:t>的</w:t>
            </w:r>
            <w:r>
              <w:rPr>
                <w:rFonts w:hint="eastAsia" w:ascii="仿宋" w:hAnsi="仿宋" w:eastAsia="仿宋" w:cs="仿宋"/>
                <w:spacing w:val="-13"/>
                <w:sz w:val="24"/>
                <w:szCs w:val="24"/>
                <w:lang w:val="en-US" w:eastAsia="zh-CN"/>
              </w:rPr>
              <w:t>磋商</w:t>
            </w:r>
            <w:r>
              <w:rPr>
                <w:rFonts w:hint="eastAsia" w:ascii="仿宋" w:hAnsi="仿宋" w:eastAsia="仿宋" w:cs="仿宋"/>
                <w:spacing w:val="-13"/>
                <w:sz w:val="24"/>
                <w:szCs w:val="24"/>
              </w:rPr>
              <w:t>报价为评标基准价，其价格分</w:t>
            </w:r>
            <w:r>
              <w:rPr>
                <w:rFonts w:hint="eastAsia" w:ascii="仿宋" w:hAnsi="仿宋" w:eastAsia="仿宋" w:cs="仿宋"/>
                <w:spacing w:val="-6"/>
                <w:sz w:val="24"/>
                <w:szCs w:val="24"/>
              </w:rPr>
              <w:t>为满分。其他</w:t>
            </w:r>
            <w:r>
              <w:rPr>
                <w:rFonts w:hint="eastAsia" w:ascii="仿宋" w:hAnsi="仿宋" w:eastAsia="仿宋" w:cs="仿宋"/>
                <w:spacing w:val="2"/>
                <w:sz w:val="24"/>
                <w:szCs w:val="24"/>
              </w:rPr>
              <w:t>供应商</w:t>
            </w:r>
            <w:r>
              <w:rPr>
                <w:rFonts w:hint="eastAsia" w:ascii="仿宋" w:hAnsi="仿宋" w:eastAsia="仿宋" w:cs="仿宋"/>
                <w:spacing w:val="-6"/>
                <w:sz w:val="24"/>
                <w:szCs w:val="24"/>
              </w:rPr>
              <w:t>的价格分统一按</w:t>
            </w:r>
            <w:r>
              <w:rPr>
                <w:rFonts w:hint="eastAsia" w:ascii="仿宋" w:hAnsi="仿宋" w:eastAsia="仿宋" w:cs="仿宋"/>
                <w:spacing w:val="-8"/>
                <w:sz w:val="24"/>
                <w:szCs w:val="24"/>
              </w:rPr>
              <w:t>照下列公式计算：</w:t>
            </w:r>
          </w:p>
          <w:p>
            <w:pPr>
              <w:pStyle w:val="27"/>
              <w:keepNext w:val="0"/>
              <w:keepLines w:val="0"/>
              <w:pageBreakBefore w:val="0"/>
              <w:kinsoku/>
              <w:wordWrap w:val="0"/>
              <w:overflowPunct/>
              <w:topLinePunct w:val="0"/>
              <w:bidi w:val="0"/>
              <w:spacing w:before="26" w:line="228" w:lineRule="auto"/>
              <w:ind w:left="111" w:right="103" w:firstLine="4"/>
              <w:jc w:val="left"/>
              <w:rPr>
                <w:rFonts w:hint="eastAsia" w:ascii="仿宋" w:hAnsi="仿宋" w:eastAsia="仿宋" w:cs="仿宋"/>
                <w:sz w:val="24"/>
                <w:szCs w:val="24"/>
              </w:rPr>
            </w:pPr>
            <w:r>
              <w:rPr>
                <w:rFonts w:hint="eastAsia" w:ascii="仿宋" w:hAnsi="仿宋" w:eastAsia="仿宋" w:cs="仿宋"/>
                <w:spacing w:val="7"/>
                <w:sz w:val="24"/>
                <w:szCs w:val="24"/>
                <w:lang w:val="en-US" w:eastAsia="zh-CN"/>
              </w:rPr>
              <w:t>磋商</w:t>
            </w:r>
            <w:r>
              <w:rPr>
                <w:rFonts w:hint="eastAsia" w:ascii="仿宋" w:hAnsi="仿宋" w:eastAsia="仿宋" w:cs="仿宋"/>
                <w:spacing w:val="7"/>
                <w:sz w:val="24"/>
                <w:szCs w:val="24"/>
              </w:rPr>
              <w:t>报价得分</w:t>
            </w:r>
            <w:r>
              <w:rPr>
                <w:rFonts w:hint="eastAsia" w:ascii="仿宋" w:hAnsi="仿宋" w:eastAsia="仿宋" w:cs="仿宋"/>
                <w:spacing w:val="-8"/>
                <w:sz w:val="24"/>
                <w:szCs w:val="24"/>
              </w:rPr>
              <w:t>＝（</w:t>
            </w:r>
            <w:r>
              <w:rPr>
                <w:rFonts w:hint="eastAsia" w:ascii="仿宋" w:hAnsi="仿宋" w:eastAsia="仿宋" w:cs="仿宋"/>
                <w:spacing w:val="7"/>
                <w:sz w:val="24"/>
                <w:szCs w:val="24"/>
              </w:rPr>
              <w:t>评标基准价/</w:t>
            </w:r>
            <w:r>
              <w:rPr>
                <w:rFonts w:hint="eastAsia" w:ascii="仿宋" w:hAnsi="仿宋" w:eastAsia="仿宋" w:cs="仿宋"/>
                <w:spacing w:val="7"/>
                <w:sz w:val="24"/>
                <w:szCs w:val="24"/>
                <w:lang w:val="en-US" w:eastAsia="zh-CN"/>
              </w:rPr>
              <w:t>磋商</w:t>
            </w:r>
            <w:r>
              <w:rPr>
                <w:rFonts w:hint="eastAsia" w:ascii="仿宋" w:hAnsi="仿宋" w:eastAsia="仿宋" w:cs="仿宋"/>
                <w:spacing w:val="-12"/>
                <w:sz w:val="24"/>
                <w:szCs w:val="24"/>
              </w:rPr>
              <w:t>报价）×</w:t>
            </w:r>
            <w:r>
              <w:rPr>
                <w:rFonts w:hint="eastAsia" w:ascii="仿宋" w:hAnsi="仿宋" w:eastAsia="仿宋" w:cs="仿宋"/>
                <w:spacing w:val="-12"/>
                <w:sz w:val="24"/>
                <w:szCs w:val="24"/>
                <w:lang w:val="en-US" w:eastAsia="zh-CN"/>
              </w:rPr>
              <w:t>30</w:t>
            </w:r>
            <w:r>
              <w:rPr>
                <w:rFonts w:hint="eastAsia" w:ascii="仿宋" w:hAnsi="仿宋" w:eastAsia="仿宋" w:cs="仿宋"/>
                <w:spacing w:val="-12"/>
                <w:sz w:val="24"/>
                <w:szCs w:val="24"/>
              </w:rPr>
              <w:t>。</w:t>
            </w:r>
          </w:p>
        </w:tc>
        <w:tc>
          <w:tcPr>
            <w:tcW w:w="4461" w:type="dxa"/>
            <w:vAlign w:val="center"/>
          </w:tcPr>
          <w:p>
            <w:pPr>
              <w:keepNext w:val="0"/>
              <w:keepLines w:val="0"/>
              <w:pageBreakBefore w:val="0"/>
              <w:kinsoku/>
              <w:wordWrap w:val="0"/>
              <w:overflowPunct/>
              <w:topLinePunct w:val="0"/>
              <w:bidi w:val="0"/>
              <w:spacing w:before="191" w:line="235" w:lineRule="auto"/>
              <w:ind w:left="113" w:right="103"/>
              <w:jc w:val="both"/>
              <w:rPr>
                <w:rFonts w:hint="eastAsia" w:ascii="仿宋" w:hAnsi="仿宋" w:eastAsia="仿宋" w:cs="仿宋"/>
                <w:sz w:val="24"/>
                <w:szCs w:val="24"/>
              </w:rPr>
            </w:pPr>
            <w:r>
              <w:rPr>
                <w:rFonts w:hint="eastAsia" w:ascii="仿宋" w:hAnsi="仿宋" w:eastAsia="仿宋" w:cs="仿宋"/>
                <w:spacing w:val="-13"/>
                <w:sz w:val="24"/>
                <w:szCs w:val="24"/>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仿宋" w:hAnsi="仿宋" w:eastAsia="仿宋" w:cs="仿宋"/>
                <w:snapToGrid w:val="0"/>
                <w:color w:val="000000"/>
                <w:spacing w:val="-1"/>
                <w:kern w:val="0"/>
                <w:sz w:val="24"/>
                <w:szCs w:val="24"/>
                <w:lang w:val="en-US" w:eastAsia="zh-CN" w:bidi="ar-SA"/>
              </w:rPr>
              <w:t>响应</w:t>
            </w:r>
            <w:r>
              <w:rPr>
                <w:rFonts w:hint="eastAsia" w:ascii="仿宋" w:hAnsi="仿宋" w:eastAsia="仿宋" w:cs="仿宋"/>
                <w:spacing w:val="-13"/>
                <w:sz w:val="24"/>
                <w:szCs w:val="24"/>
                <w:lang w:eastAsia="zh-CN"/>
              </w:rPr>
              <w:t>文件中提交了《</w:t>
            </w:r>
            <w:r>
              <w:rPr>
                <w:rFonts w:hint="eastAsia" w:ascii="仿宋" w:hAnsi="仿宋" w:eastAsia="仿宋" w:cs="仿宋"/>
                <w:spacing w:val="2"/>
                <w:sz w:val="24"/>
                <w:szCs w:val="24"/>
              </w:rPr>
              <w:t>供应商</w:t>
            </w:r>
            <w:r>
              <w:rPr>
                <w:rFonts w:hint="eastAsia" w:ascii="仿宋" w:hAnsi="仿宋" w:eastAsia="仿宋" w:cs="仿宋"/>
                <w:spacing w:val="-13"/>
                <w:sz w:val="24"/>
                <w:szCs w:val="24"/>
                <w:lang w:eastAsia="zh-CN"/>
              </w:rPr>
              <w:t>企业类型声明函》或《残疾人福利性单位声明函》或省级以上监狱管理局、戒毒管理局（含新疆生产建设兵团）出具的属于监狱企业的证明文件的</w:t>
            </w:r>
            <w:r>
              <w:rPr>
                <w:rFonts w:hint="eastAsia" w:ascii="仿宋" w:hAnsi="仿宋" w:eastAsia="仿宋" w:cs="仿宋"/>
                <w:spacing w:val="2"/>
                <w:sz w:val="24"/>
                <w:szCs w:val="24"/>
              </w:rPr>
              <w:t>供应商</w:t>
            </w:r>
            <w:r>
              <w:rPr>
                <w:rFonts w:hint="eastAsia" w:ascii="仿宋" w:hAnsi="仿宋" w:eastAsia="仿宋" w:cs="仿宋"/>
                <w:spacing w:val="-13"/>
                <w:sz w:val="24"/>
                <w:szCs w:val="24"/>
                <w:lang w:eastAsia="zh-CN"/>
              </w:rPr>
              <w:t>，其</w:t>
            </w:r>
            <w:r>
              <w:rPr>
                <w:rFonts w:hint="eastAsia" w:ascii="仿宋" w:hAnsi="仿宋" w:eastAsia="仿宋" w:cs="仿宋"/>
                <w:spacing w:val="-13"/>
                <w:sz w:val="24"/>
                <w:szCs w:val="24"/>
                <w:lang w:val="en-US" w:eastAsia="zh-CN"/>
              </w:rPr>
              <w:t>磋商</w:t>
            </w:r>
            <w:r>
              <w:rPr>
                <w:rFonts w:hint="eastAsia" w:ascii="仿宋" w:hAnsi="仿宋" w:eastAsia="仿宋" w:cs="仿宋"/>
                <w:spacing w:val="-13"/>
                <w:sz w:val="24"/>
                <w:szCs w:val="24"/>
                <w:lang w:eastAsia="zh-CN"/>
              </w:rPr>
              <w:t>报价扣除</w:t>
            </w:r>
            <w:r>
              <w:rPr>
                <w:rFonts w:hint="eastAsia" w:ascii="仿宋" w:hAnsi="仿宋" w:eastAsia="仿宋" w:cs="仿宋"/>
                <w:color w:val="auto"/>
                <w:spacing w:val="-13"/>
                <w:sz w:val="24"/>
                <w:szCs w:val="24"/>
                <w:u w:val="single"/>
                <w:lang w:val="en-US" w:eastAsia="zh-CN"/>
              </w:rPr>
              <w:t xml:space="preserve">  20  </w:t>
            </w:r>
            <w:r>
              <w:rPr>
                <w:rFonts w:hint="eastAsia" w:ascii="仿宋" w:hAnsi="仿宋" w:eastAsia="仿宋" w:cs="仿宋"/>
                <w:spacing w:val="-13"/>
                <w:sz w:val="24"/>
                <w:szCs w:val="24"/>
                <w:lang w:eastAsia="zh-CN"/>
              </w:rPr>
              <w:t>%后参与评审。对于同时属于小微企业、监狱企业或残疾人福利性单位的，不重复进行</w:t>
            </w:r>
            <w:r>
              <w:rPr>
                <w:rFonts w:hint="eastAsia" w:ascii="仿宋" w:hAnsi="仿宋" w:eastAsia="仿宋" w:cs="仿宋"/>
                <w:spacing w:val="-13"/>
                <w:sz w:val="24"/>
                <w:szCs w:val="24"/>
                <w:lang w:val="en-US" w:eastAsia="zh-CN"/>
              </w:rPr>
              <w:t>磋商</w:t>
            </w:r>
            <w:r>
              <w:rPr>
                <w:rFonts w:hint="eastAsia" w:ascii="仿宋" w:hAnsi="仿宋" w:eastAsia="仿宋" w:cs="仿宋"/>
                <w:spacing w:val="-13"/>
                <w:sz w:val="24"/>
                <w:szCs w:val="24"/>
                <w:lang w:eastAsia="zh-CN"/>
              </w:rPr>
              <w:t>报价扣除。（</w:t>
            </w:r>
            <w:r>
              <w:rPr>
                <w:rFonts w:hint="eastAsia" w:ascii="仿宋" w:hAnsi="仿宋" w:eastAsia="仿宋" w:cs="仿宋"/>
                <w:spacing w:val="-13"/>
                <w:sz w:val="24"/>
                <w:szCs w:val="24"/>
                <w:lang w:val="en-US" w:eastAsia="zh-CN"/>
              </w:rPr>
              <w:t>专门面向中小企业的项目除外</w:t>
            </w:r>
            <w:r>
              <w:rPr>
                <w:rFonts w:hint="eastAsia" w:ascii="仿宋" w:hAnsi="仿宋" w:eastAsia="仿宋" w:cs="仿宋"/>
                <w:spacing w:val="-1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vAlign w:val="center"/>
          </w:tcPr>
          <w:p>
            <w:pPr>
              <w:pStyle w:val="27"/>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napToGrid w:val="0"/>
                <w:color w:val="000000"/>
                <w:spacing w:val="-13"/>
                <w:kern w:val="0"/>
                <w:sz w:val="24"/>
                <w:szCs w:val="24"/>
                <w:lang w:val="en-US" w:eastAsia="zh-CN" w:bidi="ar-SA"/>
              </w:rPr>
              <w:t>2</w:t>
            </w:r>
          </w:p>
        </w:tc>
        <w:tc>
          <w:tcPr>
            <w:tcW w:w="1595" w:type="dxa"/>
            <w:vMerge w:val="restart"/>
            <w:vAlign w:val="center"/>
          </w:tcPr>
          <w:p>
            <w:pPr>
              <w:keepNext w:val="0"/>
              <w:keepLines w:val="0"/>
              <w:pageBreakBefore w:val="0"/>
              <w:kinsoku/>
              <w:wordWrap w:val="0"/>
              <w:overflowPunct/>
              <w:topLinePunct w:val="0"/>
              <w:bidi w:val="0"/>
              <w:spacing w:before="78" w:line="219" w:lineRule="auto"/>
              <w:ind w:firstLine="214" w:firstLineChars="100"/>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napToGrid w:val="0"/>
                <w:color w:val="000000"/>
                <w:spacing w:val="-13"/>
                <w:kern w:val="0"/>
                <w:sz w:val="24"/>
                <w:szCs w:val="24"/>
                <w:lang w:val="en-US" w:eastAsia="zh-CN" w:bidi="ar-SA"/>
              </w:rPr>
              <w:t>技术标评分标准</w:t>
            </w:r>
          </w:p>
        </w:tc>
        <w:tc>
          <w:tcPr>
            <w:tcW w:w="883" w:type="dxa"/>
            <w:vAlign w:val="center"/>
          </w:tcPr>
          <w:p>
            <w:pPr>
              <w:pStyle w:val="27"/>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pacing w:val="0"/>
                <w:sz w:val="24"/>
                <w:szCs w:val="24"/>
                <w:lang w:val="en-US" w:eastAsia="zh-CN"/>
              </w:rPr>
              <w:t>8分</w:t>
            </w:r>
          </w:p>
        </w:tc>
        <w:tc>
          <w:tcPr>
            <w:tcW w:w="1972"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施工方案和技术措施</w:t>
            </w:r>
          </w:p>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snapToGrid w:val="0"/>
                <w:color w:val="000000"/>
                <w:spacing w:val="0"/>
                <w:kern w:val="0"/>
                <w:sz w:val="24"/>
                <w:szCs w:val="24"/>
                <w:lang w:val="en-US" w:eastAsia="en-US" w:bidi="ar-SA"/>
              </w:rPr>
            </w:pPr>
          </w:p>
        </w:tc>
        <w:tc>
          <w:tcPr>
            <w:tcW w:w="4461"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一档：</w:t>
            </w:r>
            <w:r>
              <w:rPr>
                <w:rFonts w:hint="eastAsia" w:ascii="仿宋" w:hAnsi="仿宋" w:eastAsia="仿宋" w:cs="仿宋"/>
                <w:spacing w:val="0"/>
                <w:sz w:val="24"/>
                <w:szCs w:val="24"/>
                <w:lang w:val="zh-CN" w:eastAsia="zh-CN"/>
              </w:rPr>
              <w:t>施工方案和技术措施</w:t>
            </w:r>
            <w:r>
              <w:rPr>
                <w:rFonts w:hint="eastAsia" w:ascii="仿宋" w:hAnsi="仿宋" w:eastAsia="仿宋" w:cs="仿宋"/>
                <w:spacing w:val="0"/>
                <w:sz w:val="24"/>
                <w:szCs w:val="24"/>
                <w:lang w:val="en-US" w:eastAsia="zh-CN"/>
              </w:rPr>
              <w:t>内容合理、针对性强，得8分；</w:t>
            </w:r>
          </w:p>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二档：</w:t>
            </w:r>
            <w:r>
              <w:rPr>
                <w:rFonts w:hint="eastAsia" w:ascii="仿宋" w:hAnsi="仿宋" w:eastAsia="仿宋" w:cs="仿宋"/>
                <w:spacing w:val="0"/>
                <w:sz w:val="24"/>
                <w:szCs w:val="24"/>
                <w:lang w:val="zh-CN" w:eastAsia="zh-CN"/>
              </w:rPr>
              <w:t>施工方案和技术措施</w:t>
            </w:r>
            <w:r>
              <w:rPr>
                <w:rFonts w:hint="eastAsia" w:ascii="仿宋" w:hAnsi="仿宋" w:eastAsia="仿宋" w:cs="仿宋"/>
                <w:spacing w:val="0"/>
                <w:sz w:val="24"/>
                <w:szCs w:val="24"/>
                <w:lang w:val="en-US" w:eastAsia="zh-CN"/>
              </w:rPr>
              <w:t>内容较合理、但针对性不强，较完整得5分；</w:t>
            </w:r>
          </w:p>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三档：</w:t>
            </w:r>
            <w:r>
              <w:rPr>
                <w:rFonts w:hint="eastAsia" w:ascii="仿宋" w:hAnsi="仿宋" w:eastAsia="仿宋" w:cs="仿宋"/>
                <w:spacing w:val="0"/>
                <w:sz w:val="24"/>
                <w:szCs w:val="24"/>
                <w:lang w:val="zh-CN" w:eastAsia="zh-CN"/>
              </w:rPr>
              <w:t>施工方案和技术措施</w:t>
            </w:r>
            <w:r>
              <w:rPr>
                <w:rFonts w:hint="eastAsia" w:ascii="仿宋" w:hAnsi="仿宋" w:eastAsia="仿宋" w:cs="仿宋"/>
                <w:spacing w:val="0"/>
                <w:sz w:val="24"/>
                <w:szCs w:val="24"/>
                <w:lang w:val="en-US" w:eastAsia="zh-CN"/>
              </w:rPr>
              <w:t>内容欠合理、针对性不强，不完整得3分。</w:t>
            </w:r>
          </w:p>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pacing w:val="0"/>
                <w:sz w:val="24"/>
                <w:szCs w:val="24"/>
              </w:rPr>
              <w:t>未提供或提供的内容完全与本项目无关的，得0分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pPr>
              <w:pStyle w:val="27"/>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p>
        </w:tc>
        <w:tc>
          <w:tcPr>
            <w:tcW w:w="1595" w:type="dxa"/>
            <w:vMerge w:val="continue"/>
            <w:vAlign w:val="center"/>
          </w:tcPr>
          <w:p>
            <w:pPr>
              <w:keepNext w:val="0"/>
              <w:keepLines w:val="0"/>
              <w:pageBreakBefore w:val="0"/>
              <w:kinsoku/>
              <w:wordWrap w:val="0"/>
              <w:overflowPunct/>
              <w:topLinePunct w:val="0"/>
              <w:bidi w:val="0"/>
              <w:spacing w:before="78" w:line="219" w:lineRule="auto"/>
              <w:ind w:firstLine="214" w:firstLineChars="100"/>
              <w:jc w:val="both"/>
              <w:rPr>
                <w:rFonts w:hint="eastAsia" w:ascii="仿宋" w:hAnsi="仿宋" w:eastAsia="仿宋" w:cs="仿宋"/>
                <w:snapToGrid w:val="0"/>
                <w:color w:val="000000"/>
                <w:spacing w:val="-13"/>
                <w:kern w:val="0"/>
                <w:sz w:val="24"/>
                <w:szCs w:val="24"/>
                <w:lang w:val="en-US" w:eastAsia="zh-CN" w:bidi="ar-SA"/>
              </w:rPr>
            </w:pPr>
          </w:p>
        </w:tc>
        <w:tc>
          <w:tcPr>
            <w:tcW w:w="883" w:type="dxa"/>
            <w:vAlign w:val="center"/>
          </w:tcPr>
          <w:p>
            <w:pPr>
              <w:pStyle w:val="27"/>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pacing w:val="0"/>
                <w:sz w:val="24"/>
                <w:szCs w:val="24"/>
                <w:lang w:val="en-US" w:eastAsia="zh-CN"/>
              </w:rPr>
              <w:t>8分</w:t>
            </w:r>
          </w:p>
        </w:tc>
        <w:tc>
          <w:tcPr>
            <w:tcW w:w="1972"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质量管理体系与措施</w:t>
            </w:r>
          </w:p>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snapToGrid w:val="0"/>
                <w:color w:val="000000"/>
                <w:spacing w:val="0"/>
                <w:kern w:val="0"/>
                <w:sz w:val="24"/>
                <w:szCs w:val="24"/>
                <w:lang w:val="en-US" w:eastAsia="en-US" w:bidi="ar-SA"/>
              </w:rPr>
            </w:pPr>
          </w:p>
        </w:tc>
        <w:tc>
          <w:tcPr>
            <w:tcW w:w="4461"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一档：质量体系与措施合理、针对性强，完整得8分；</w:t>
            </w:r>
          </w:p>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二档：质量体系与措施较合理、但针对性不强，较完整得5分；</w:t>
            </w:r>
          </w:p>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三档：质量体系与措施欠合理、针对性不强，不完整得3分。</w:t>
            </w:r>
          </w:p>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pacing w:val="0"/>
                <w:sz w:val="24"/>
                <w:szCs w:val="24"/>
              </w:rPr>
              <w:t>未提供或提供的内容完全与本项目无关的，得0分</w:t>
            </w:r>
            <w:r>
              <w:rPr>
                <w:rFonts w:hint="eastAsia" w:ascii="仿宋" w:hAnsi="仿宋" w:eastAsia="仿宋" w:cs="仿宋"/>
                <w:spacing w:val="0"/>
                <w:sz w:val="24"/>
                <w:szCs w:val="24"/>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pPr>
              <w:pStyle w:val="27"/>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p>
        </w:tc>
        <w:tc>
          <w:tcPr>
            <w:tcW w:w="1595" w:type="dxa"/>
            <w:vMerge w:val="continue"/>
            <w:vAlign w:val="center"/>
          </w:tcPr>
          <w:p>
            <w:pPr>
              <w:keepNext w:val="0"/>
              <w:keepLines w:val="0"/>
              <w:pageBreakBefore w:val="0"/>
              <w:kinsoku/>
              <w:wordWrap w:val="0"/>
              <w:overflowPunct/>
              <w:topLinePunct w:val="0"/>
              <w:bidi w:val="0"/>
              <w:spacing w:before="78" w:line="219" w:lineRule="auto"/>
              <w:ind w:firstLine="214" w:firstLineChars="100"/>
              <w:jc w:val="both"/>
              <w:rPr>
                <w:rFonts w:hint="eastAsia" w:ascii="仿宋" w:hAnsi="仿宋" w:eastAsia="仿宋" w:cs="仿宋"/>
                <w:snapToGrid w:val="0"/>
                <w:color w:val="000000"/>
                <w:spacing w:val="-13"/>
                <w:kern w:val="0"/>
                <w:sz w:val="24"/>
                <w:szCs w:val="24"/>
                <w:lang w:val="en-US" w:eastAsia="zh-CN" w:bidi="ar-SA"/>
              </w:rPr>
            </w:pPr>
          </w:p>
        </w:tc>
        <w:tc>
          <w:tcPr>
            <w:tcW w:w="883" w:type="dxa"/>
            <w:vAlign w:val="center"/>
          </w:tcPr>
          <w:p>
            <w:pPr>
              <w:pStyle w:val="27"/>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pacing w:val="0"/>
                <w:sz w:val="24"/>
                <w:szCs w:val="24"/>
                <w:lang w:val="en-US" w:eastAsia="zh-CN"/>
              </w:rPr>
              <w:t>8分</w:t>
            </w:r>
          </w:p>
        </w:tc>
        <w:tc>
          <w:tcPr>
            <w:tcW w:w="1972"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安全管理体系与措施</w:t>
            </w:r>
          </w:p>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snapToGrid w:val="0"/>
                <w:color w:val="000000"/>
                <w:spacing w:val="0"/>
                <w:kern w:val="0"/>
                <w:sz w:val="24"/>
                <w:szCs w:val="24"/>
                <w:lang w:val="en-US" w:eastAsia="en-US" w:bidi="ar-SA"/>
              </w:rPr>
            </w:pPr>
          </w:p>
        </w:tc>
        <w:tc>
          <w:tcPr>
            <w:tcW w:w="4461"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一档：安全体系与措施合理、针对性强，完整得8分；</w:t>
            </w:r>
          </w:p>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二档：安全体系与措施较合理、但针对性不强，较完整得5分；</w:t>
            </w:r>
          </w:p>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三档：安全体系与措施欠合理、针对性不强，不完整得3分。</w:t>
            </w:r>
          </w:p>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pacing w:val="0"/>
                <w:sz w:val="24"/>
                <w:szCs w:val="24"/>
              </w:rPr>
              <w:t>未提供或提供的内容完全与本项目无关的，得0分</w:t>
            </w:r>
            <w:r>
              <w:rPr>
                <w:rFonts w:hint="eastAsia" w:ascii="仿宋" w:hAnsi="仿宋" w:eastAsia="仿宋" w:cs="仿宋"/>
                <w:spacing w:val="0"/>
                <w:sz w:val="24"/>
                <w:szCs w:val="24"/>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pPr>
              <w:pStyle w:val="27"/>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p>
        </w:tc>
        <w:tc>
          <w:tcPr>
            <w:tcW w:w="1595" w:type="dxa"/>
            <w:vMerge w:val="continue"/>
            <w:vAlign w:val="center"/>
          </w:tcPr>
          <w:p>
            <w:pPr>
              <w:keepNext w:val="0"/>
              <w:keepLines w:val="0"/>
              <w:pageBreakBefore w:val="0"/>
              <w:kinsoku/>
              <w:wordWrap w:val="0"/>
              <w:overflowPunct/>
              <w:topLinePunct w:val="0"/>
              <w:bidi w:val="0"/>
              <w:spacing w:before="78" w:line="219" w:lineRule="auto"/>
              <w:ind w:firstLine="214" w:firstLineChars="100"/>
              <w:jc w:val="both"/>
              <w:rPr>
                <w:rFonts w:hint="eastAsia" w:ascii="仿宋" w:hAnsi="仿宋" w:eastAsia="仿宋" w:cs="仿宋"/>
                <w:snapToGrid w:val="0"/>
                <w:color w:val="000000"/>
                <w:spacing w:val="-13"/>
                <w:kern w:val="0"/>
                <w:sz w:val="24"/>
                <w:szCs w:val="24"/>
                <w:lang w:val="en-US" w:eastAsia="zh-CN" w:bidi="ar-SA"/>
              </w:rPr>
            </w:pPr>
          </w:p>
        </w:tc>
        <w:tc>
          <w:tcPr>
            <w:tcW w:w="883" w:type="dxa"/>
            <w:vAlign w:val="center"/>
          </w:tcPr>
          <w:p>
            <w:pPr>
              <w:pStyle w:val="27"/>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pacing w:val="0"/>
                <w:sz w:val="24"/>
                <w:szCs w:val="24"/>
                <w:lang w:val="en-US" w:eastAsia="zh-CN"/>
              </w:rPr>
              <w:t>8分</w:t>
            </w:r>
          </w:p>
        </w:tc>
        <w:tc>
          <w:tcPr>
            <w:tcW w:w="1972"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仿宋" w:hAnsi="仿宋" w:eastAsia="仿宋" w:cs="仿宋"/>
                <w:spacing w:val="0"/>
                <w:sz w:val="24"/>
                <w:szCs w:val="24"/>
              </w:rPr>
            </w:pPr>
            <w:r>
              <w:rPr>
                <w:rFonts w:hint="eastAsia" w:ascii="仿宋" w:hAnsi="仿宋" w:eastAsia="仿宋" w:cs="仿宋"/>
                <w:spacing w:val="0"/>
                <w:sz w:val="24"/>
                <w:szCs w:val="24"/>
              </w:rPr>
              <w:t>工程进度计划与措施</w:t>
            </w:r>
          </w:p>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snapToGrid w:val="0"/>
                <w:color w:val="000000"/>
                <w:spacing w:val="0"/>
                <w:kern w:val="0"/>
                <w:sz w:val="24"/>
                <w:szCs w:val="24"/>
                <w:lang w:val="en-US" w:eastAsia="en-US" w:bidi="ar-SA"/>
              </w:rPr>
            </w:pPr>
          </w:p>
        </w:tc>
        <w:tc>
          <w:tcPr>
            <w:tcW w:w="4461"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一档：进度计划与措施合理、针对性强，完整得8分；</w:t>
            </w:r>
          </w:p>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二档：进度计划与措施较合理、但针对性不强，较完整得5分；</w:t>
            </w:r>
          </w:p>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 xml:space="preserve">三档：进度计划与措施欠合理、针对性不强，不完整得3分。 </w:t>
            </w:r>
          </w:p>
          <w:p>
            <w:pPr>
              <w:pStyle w:val="28"/>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pacing w:val="0"/>
                <w:sz w:val="24"/>
                <w:szCs w:val="24"/>
                <w:lang w:val="en-US" w:eastAsia="zh-CN"/>
              </w:rPr>
              <w:t xml:space="preserve">未提供或提供的内容完全与本项目无关的，得0分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pPr>
              <w:pStyle w:val="27"/>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p>
        </w:tc>
        <w:tc>
          <w:tcPr>
            <w:tcW w:w="1595" w:type="dxa"/>
            <w:vMerge w:val="continue"/>
            <w:vAlign w:val="center"/>
          </w:tcPr>
          <w:p>
            <w:pPr>
              <w:keepNext w:val="0"/>
              <w:keepLines w:val="0"/>
              <w:pageBreakBefore w:val="0"/>
              <w:kinsoku/>
              <w:wordWrap w:val="0"/>
              <w:overflowPunct/>
              <w:topLinePunct w:val="0"/>
              <w:bidi w:val="0"/>
              <w:spacing w:before="78" w:line="219" w:lineRule="auto"/>
              <w:ind w:firstLine="214" w:firstLineChars="100"/>
              <w:jc w:val="both"/>
              <w:rPr>
                <w:rFonts w:hint="eastAsia" w:ascii="仿宋" w:hAnsi="仿宋" w:eastAsia="仿宋" w:cs="仿宋"/>
                <w:snapToGrid w:val="0"/>
                <w:color w:val="000000"/>
                <w:spacing w:val="-13"/>
                <w:kern w:val="0"/>
                <w:sz w:val="24"/>
                <w:szCs w:val="24"/>
                <w:lang w:val="en-US" w:eastAsia="zh-CN" w:bidi="ar-SA"/>
              </w:rPr>
            </w:pPr>
          </w:p>
        </w:tc>
        <w:tc>
          <w:tcPr>
            <w:tcW w:w="883" w:type="dxa"/>
            <w:vAlign w:val="center"/>
          </w:tcPr>
          <w:p>
            <w:pPr>
              <w:pStyle w:val="27"/>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pacing w:val="0"/>
                <w:sz w:val="24"/>
                <w:szCs w:val="24"/>
                <w:lang w:val="en-US" w:eastAsia="zh-CN"/>
              </w:rPr>
              <w:t>8分</w:t>
            </w:r>
          </w:p>
        </w:tc>
        <w:tc>
          <w:tcPr>
            <w:tcW w:w="1972" w:type="dxa"/>
            <w:vAlign w:val="center"/>
          </w:tcPr>
          <w:p>
            <w:pPr>
              <w:pStyle w:val="21"/>
              <w:spacing w:line="240" w:lineRule="atLeast"/>
              <w:jc w:val="center"/>
              <w:rPr>
                <w:rFonts w:hint="eastAsia" w:ascii="仿宋" w:hAnsi="仿宋" w:eastAsia="仿宋" w:cs="仿宋"/>
                <w:snapToGrid w:val="0"/>
                <w:color w:val="000000"/>
                <w:spacing w:val="0"/>
                <w:kern w:val="0"/>
                <w:sz w:val="24"/>
                <w:szCs w:val="24"/>
                <w:lang w:val="en-US" w:eastAsia="en-US" w:bidi="ar-SA"/>
              </w:rPr>
            </w:pPr>
            <w:r>
              <w:rPr>
                <w:rFonts w:hint="eastAsia" w:ascii="宋体" w:hAnsi="宋体" w:eastAsia="仿宋" w:cs="宋体"/>
                <w:color w:val="auto"/>
                <w:kern w:val="0"/>
                <w:sz w:val="24"/>
                <w:szCs w:val="21"/>
                <w:highlight w:val="none"/>
                <w:lang w:val="en-US" w:eastAsia="zh-CN" w:bidi="zh-CN"/>
              </w:rPr>
              <w:t>拟投入资源配备计划（含项目组成员）</w:t>
            </w:r>
          </w:p>
        </w:tc>
        <w:tc>
          <w:tcPr>
            <w:tcW w:w="4461" w:type="dxa"/>
            <w:vAlign w:val="center"/>
          </w:tcPr>
          <w:p>
            <w:pPr>
              <w:pStyle w:val="21"/>
              <w:spacing w:line="240" w:lineRule="atLeast"/>
              <w:jc w:val="left"/>
              <w:rPr>
                <w:rFonts w:hint="eastAsia" w:hAnsi="宋体" w:eastAsia="仿宋" w:cs="宋体"/>
                <w:color w:val="auto"/>
                <w:kern w:val="0"/>
                <w:sz w:val="24"/>
                <w:szCs w:val="21"/>
                <w:highlight w:val="none"/>
                <w:lang w:val="en-US" w:eastAsia="zh-CN" w:bidi="zh-CN"/>
              </w:rPr>
            </w:pPr>
            <w:r>
              <w:rPr>
                <w:rFonts w:hint="eastAsia" w:hAnsi="宋体" w:eastAsia="仿宋" w:cs="宋体"/>
                <w:color w:val="auto"/>
                <w:kern w:val="0"/>
                <w:sz w:val="24"/>
                <w:szCs w:val="21"/>
                <w:highlight w:val="none"/>
                <w:lang w:val="en-US" w:eastAsia="zh-CN" w:bidi="zh-CN"/>
              </w:rPr>
              <w:t>一档：资源计划和成员配备合理、符合项目实际，完整</w:t>
            </w:r>
            <w:r>
              <w:rPr>
                <w:rFonts w:hint="eastAsia" w:ascii="宋体" w:hAnsi="宋体" w:eastAsia="仿宋" w:cs="宋体"/>
                <w:color w:val="auto"/>
                <w:kern w:val="0"/>
                <w:sz w:val="24"/>
                <w:szCs w:val="21"/>
                <w:highlight w:val="none"/>
                <w:lang w:val="en-US" w:eastAsia="zh-CN" w:bidi="zh-CN"/>
              </w:rPr>
              <w:t>8分</w:t>
            </w:r>
            <w:r>
              <w:rPr>
                <w:rFonts w:hint="eastAsia" w:hAnsi="宋体" w:eastAsia="仿宋" w:cs="宋体"/>
                <w:color w:val="auto"/>
                <w:kern w:val="0"/>
                <w:sz w:val="24"/>
                <w:szCs w:val="21"/>
                <w:highlight w:val="none"/>
                <w:lang w:val="en-US" w:eastAsia="zh-CN" w:bidi="zh-CN"/>
              </w:rPr>
              <w:t>；</w:t>
            </w:r>
          </w:p>
          <w:p>
            <w:pPr>
              <w:pStyle w:val="21"/>
              <w:spacing w:line="240" w:lineRule="atLeast"/>
              <w:jc w:val="left"/>
              <w:rPr>
                <w:rFonts w:hint="eastAsia" w:hAnsi="宋体" w:eastAsia="仿宋" w:cs="宋体"/>
                <w:color w:val="auto"/>
                <w:kern w:val="0"/>
                <w:sz w:val="24"/>
                <w:szCs w:val="21"/>
                <w:highlight w:val="none"/>
                <w:lang w:val="en-US" w:eastAsia="zh-CN" w:bidi="zh-CN"/>
              </w:rPr>
            </w:pPr>
            <w:r>
              <w:rPr>
                <w:rFonts w:hint="eastAsia" w:hAnsi="宋体" w:eastAsia="仿宋" w:cs="宋体"/>
                <w:color w:val="auto"/>
                <w:kern w:val="0"/>
                <w:sz w:val="24"/>
                <w:szCs w:val="21"/>
                <w:highlight w:val="none"/>
                <w:lang w:val="en-US" w:eastAsia="zh-CN" w:bidi="zh-CN"/>
              </w:rPr>
              <w:t>二档：资源计划和成员配备较合理，较符合项目实际，较完整</w:t>
            </w:r>
            <w:r>
              <w:rPr>
                <w:rFonts w:hint="eastAsia" w:ascii="宋体" w:hAnsi="宋体" w:eastAsia="仿宋" w:cs="宋体"/>
                <w:color w:val="auto"/>
                <w:kern w:val="0"/>
                <w:sz w:val="24"/>
                <w:szCs w:val="21"/>
                <w:highlight w:val="none"/>
                <w:lang w:val="en-US" w:eastAsia="zh-CN" w:bidi="zh-CN"/>
              </w:rPr>
              <w:t>5分</w:t>
            </w:r>
            <w:r>
              <w:rPr>
                <w:rFonts w:hint="eastAsia" w:hAnsi="宋体" w:eastAsia="仿宋" w:cs="宋体"/>
                <w:color w:val="auto"/>
                <w:kern w:val="0"/>
                <w:sz w:val="24"/>
                <w:szCs w:val="21"/>
                <w:highlight w:val="none"/>
                <w:lang w:val="en-US" w:eastAsia="zh-CN" w:bidi="zh-CN"/>
              </w:rPr>
              <w:t>；</w:t>
            </w:r>
          </w:p>
          <w:p>
            <w:pPr>
              <w:pStyle w:val="21"/>
              <w:spacing w:line="240" w:lineRule="atLeast"/>
              <w:jc w:val="left"/>
              <w:rPr>
                <w:rFonts w:hint="eastAsia" w:ascii="宋体" w:hAnsi="宋体" w:eastAsia="仿宋" w:cs="宋体"/>
                <w:color w:val="auto"/>
                <w:kern w:val="0"/>
                <w:sz w:val="24"/>
                <w:szCs w:val="21"/>
                <w:highlight w:val="none"/>
                <w:lang w:val="en-US" w:eastAsia="zh-CN" w:bidi="zh-CN"/>
              </w:rPr>
            </w:pPr>
            <w:r>
              <w:rPr>
                <w:rFonts w:hint="eastAsia" w:hAnsi="宋体" w:eastAsia="仿宋" w:cs="宋体"/>
                <w:color w:val="auto"/>
                <w:kern w:val="0"/>
                <w:sz w:val="24"/>
                <w:szCs w:val="21"/>
                <w:highlight w:val="none"/>
                <w:lang w:val="en-US" w:eastAsia="zh-CN" w:bidi="zh-CN"/>
              </w:rPr>
              <w:t>三档：资源计划和成员配备欠合理，基本符合项目实际，不完整</w:t>
            </w:r>
            <w:r>
              <w:rPr>
                <w:rFonts w:hint="eastAsia" w:ascii="宋体" w:hAnsi="宋体" w:eastAsia="仿宋" w:cs="宋体"/>
                <w:color w:val="auto"/>
                <w:kern w:val="0"/>
                <w:sz w:val="24"/>
                <w:szCs w:val="21"/>
                <w:highlight w:val="none"/>
                <w:lang w:val="en-US" w:eastAsia="zh-CN" w:bidi="zh-CN"/>
              </w:rPr>
              <w:t xml:space="preserve">3分。 </w:t>
            </w:r>
          </w:p>
          <w:p>
            <w:pPr>
              <w:rPr>
                <w:rFonts w:hint="eastAsia" w:ascii="仿宋" w:hAnsi="仿宋" w:eastAsia="仿宋" w:cs="仿宋"/>
                <w:snapToGrid w:val="0"/>
                <w:color w:val="000000"/>
                <w:spacing w:val="0"/>
                <w:kern w:val="0"/>
                <w:sz w:val="24"/>
                <w:szCs w:val="24"/>
                <w:lang w:val="en-US" w:eastAsia="en-US" w:bidi="ar-SA"/>
              </w:rPr>
            </w:pPr>
            <w:r>
              <w:rPr>
                <w:rFonts w:hint="eastAsia" w:hAnsi="宋体" w:eastAsia="仿宋" w:cs="宋体"/>
                <w:color w:val="auto"/>
                <w:kern w:val="0"/>
                <w:sz w:val="24"/>
                <w:szCs w:val="21"/>
                <w:highlight w:val="none"/>
                <w:lang w:val="en-US" w:eastAsia="zh-CN" w:bidi="zh-CN"/>
              </w:rPr>
              <w:t>未提供或提供的内容完全与本项目无关的，得0分。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pPr>
              <w:pStyle w:val="27"/>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p>
        </w:tc>
        <w:tc>
          <w:tcPr>
            <w:tcW w:w="1595" w:type="dxa"/>
            <w:vMerge w:val="continue"/>
            <w:vAlign w:val="center"/>
          </w:tcPr>
          <w:p>
            <w:pPr>
              <w:keepNext w:val="0"/>
              <w:keepLines w:val="0"/>
              <w:pageBreakBefore w:val="0"/>
              <w:kinsoku/>
              <w:wordWrap w:val="0"/>
              <w:overflowPunct/>
              <w:topLinePunct w:val="0"/>
              <w:bidi w:val="0"/>
              <w:spacing w:before="78" w:line="219" w:lineRule="auto"/>
              <w:ind w:firstLine="214" w:firstLineChars="100"/>
              <w:jc w:val="both"/>
              <w:rPr>
                <w:rFonts w:hint="eastAsia" w:ascii="仿宋" w:hAnsi="仿宋" w:eastAsia="仿宋" w:cs="仿宋"/>
                <w:snapToGrid w:val="0"/>
                <w:color w:val="000000"/>
                <w:spacing w:val="-13"/>
                <w:kern w:val="0"/>
                <w:sz w:val="24"/>
                <w:szCs w:val="24"/>
                <w:lang w:val="en-US" w:eastAsia="zh-CN" w:bidi="ar-SA"/>
              </w:rPr>
            </w:pPr>
          </w:p>
        </w:tc>
        <w:tc>
          <w:tcPr>
            <w:tcW w:w="883" w:type="dxa"/>
            <w:vAlign w:val="center"/>
          </w:tcPr>
          <w:p>
            <w:pPr>
              <w:pStyle w:val="27"/>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pacing w:val="0"/>
                <w:sz w:val="24"/>
                <w:szCs w:val="24"/>
                <w:lang w:val="en-US" w:eastAsia="zh-CN"/>
              </w:rPr>
              <w:t>5分</w:t>
            </w:r>
          </w:p>
        </w:tc>
        <w:tc>
          <w:tcPr>
            <w:tcW w:w="1972" w:type="dxa"/>
            <w:vAlign w:val="center"/>
          </w:tcPr>
          <w:p>
            <w:pPr>
              <w:pStyle w:val="21"/>
              <w:spacing w:line="240" w:lineRule="atLeast"/>
              <w:jc w:val="center"/>
              <w:rPr>
                <w:rFonts w:hint="default" w:ascii="仿宋" w:hAnsi="仿宋" w:eastAsia="仿宋" w:cs="仿宋"/>
                <w:snapToGrid w:val="0"/>
                <w:color w:val="000000"/>
                <w:spacing w:val="0"/>
                <w:kern w:val="0"/>
                <w:sz w:val="24"/>
                <w:szCs w:val="24"/>
                <w:lang w:val="en-US" w:eastAsia="en-US" w:bidi="ar-SA"/>
              </w:rPr>
            </w:pPr>
            <w:r>
              <w:rPr>
                <w:rFonts w:hint="eastAsia" w:hAnsi="宋体" w:eastAsia="仿宋" w:cs="宋体"/>
                <w:color w:val="auto"/>
                <w:kern w:val="0"/>
                <w:sz w:val="24"/>
                <w:szCs w:val="21"/>
                <w:highlight w:val="none"/>
                <w:lang w:val="en-US" w:eastAsia="zh-CN" w:bidi="zh-CN"/>
              </w:rPr>
              <w:t xml:space="preserve">内容完整性和编制水平（评委根据技术方案内容进行评分） </w:t>
            </w:r>
          </w:p>
        </w:tc>
        <w:tc>
          <w:tcPr>
            <w:tcW w:w="4461" w:type="dxa"/>
            <w:vAlign w:val="center"/>
          </w:tcPr>
          <w:p>
            <w:pPr>
              <w:pStyle w:val="21"/>
              <w:spacing w:line="240" w:lineRule="atLeast"/>
              <w:jc w:val="left"/>
              <w:rPr>
                <w:rFonts w:hint="eastAsia" w:hAnsi="宋体" w:eastAsia="仿宋" w:cs="宋体"/>
                <w:color w:val="auto"/>
                <w:kern w:val="0"/>
                <w:sz w:val="24"/>
                <w:szCs w:val="21"/>
                <w:highlight w:val="none"/>
                <w:lang w:val="en-US" w:eastAsia="zh-CN" w:bidi="zh-CN"/>
              </w:rPr>
            </w:pPr>
            <w:r>
              <w:rPr>
                <w:rFonts w:hint="eastAsia" w:hAnsi="宋体" w:eastAsia="仿宋" w:cs="宋体"/>
                <w:color w:val="auto"/>
                <w:kern w:val="0"/>
                <w:sz w:val="24"/>
                <w:szCs w:val="21"/>
                <w:highlight w:val="none"/>
                <w:lang w:val="en-US" w:eastAsia="zh-CN" w:bidi="zh-CN"/>
              </w:rPr>
              <w:t>一档：内容合理、针对性强，得5分；</w:t>
            </w:r>
          </w:p>
          <w:p>
            <w:pPr>
              <w:pStyle w:val="21"/>
              <w:spacing w:line="240" w:lineRule="atLeast"/>
              <w:jc w:val="left"/>
              <w:rPr>
                <w:rFonts w:hint="eastAsia" w:hAnsi="宋体" w:eastAsia="仿宋" w:cs="宋体"/>
                <w:color w:val="auto"/>
                <w:kern w:val="0"/>
                <w:sz w:val="24"/>
                <w:szCs w:val="21"/>
                <w:highlight w:val="none"/>
                <w:lang w:val="en-US" w:eastAsia="zh-CN" w:bidi="zh-CN"/>
              </w:rPr>
            </w:pPr>
            <w:r>
              <w:rPr>
                <w:rFonts w:hint="eastAsia" w:hAnsi="宋体" w:eastAsia="仿宋" w:cs="宋体"/>
                <w:color w:val="auto"/>
                <w:kern w:val="0"/>
                <w:sz w:val="24"/>
                <w:szCs w:val="21"/>
                <w:highlight w:val="none"/>
                <w:lang w:val="en-US" w:eastAsia="zh-CN" w:bidi="zh-CN"/>
              </w:rPr>
              <w:t>二档：内容较合理、但针对性不强，较完整得4分；</w:t>
            </w:r>
          </w:p>
          <w:p>
            <w:pPr>
              <w:pStyle w:val="21"/>
              <w:spacing w:line="240" w:lineRule="atLeast"/>
              <w:jc w:val="left"/>
              <w:rPr>
                <w:rFonts w:hint="eastAsia" w:hAnsi="宋体" w:eastAsia="仿宋" w:cs="宋体"/>
                <w:color w:val="auto"/>
                <w:kern w:val="0"/>
                <w:sz w:val="24"/>
                <w:szCs w:val="21"/>
                <w:highlight w:val="none"/>
                <w:lang w:val="en-US" w:eastAsia="zh-CN" w:bidi="zh-CN"/>
              </w:rPr>
            </w:pPr>
            <w:r>
              <w:rPr>
                <w:rFonts w:hint="eastAsia" w:hAnsi="宋体" w:eastAsia="仿宋" w:cs="宋体"/>
                <w:color w:val="auto"/>
                <w:kern w:val="0"/>
                <w:sz w:val="24"/>
                <w:szCs w:val="21"/>
                <w:highlight w:val="none"/>
                <w:lang w:val="en-US" w:eastAsia="zh-CN" w:bidi="zh-CN"/>
              </w:rPr>
              <w:t xml:space="preserve">三档：内容欠合理、针对性不强，不完整得1分。 </w:t>
            </w:r>
          </w:p>
          <w:p>
            <w:pPr>
              <w:rPr>
                <w:rFonts w:hint="eastAsia" w:ascii="仿宋" w:hAnsi="仿宋" w:eastAsia="仿宋" w:cs="仿宋"/>
                <w:snapToGrid w:val="0"/>
                <w:color w:val="000000"/>
                <w:spacing w:val="0"/>
                <w:kern w:val="0"/>
                <w:sz w:val="24"/>
                <w:szCs w:val="24"/>
                <w:lang w:val="en-US" w:eastAsia="en-US" w:bidi="ar-SA"/>
              </w:rPr>
            </w:pPr>
            <w:r>
              <w:rPr>
                <w:rFonts w:hint="eastAsia" w:hAnsi="宋体" w:eastAsia="仿宋" w:cs="宋体"/>
                <w:color w:val="auto"/>
                <w:kern w:val="0"/>
                <w:sz w:val="24"/>
                <w:szCs w:val="21"/>
                <w:highlight w:val="none"/>
                <w:lang w:val="en-US" w:eastAsia="zh-CN" w:bidi="zh-CN"/>
              </w:rPr>
              <w:t>未提供或提供的内容完全与本项目无关的，得0分。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vAlign w:val="center"/>
          </w:tcPr>
          <w:p>
            <w:pPr>
              <w:pStyle w:val="27"/>
              <w:keepNext w:val="0"/>
              <w:keepLines w:val="0"/>
              <w:pageBreakBefore w:val="0"/>
              <w:kinsoku/>
              <w:wordWrap w:val="0"/>
              <w:overflowPunct/>
              <w:topLinePunct w:val="0"/>
              <w:bidi w:val="0"/>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3</w:t>
            </w:r>
          </w:p>
        </w:tc>
        <w:tc>
          <w:tcPr>
            <w:tcW w:w="1595" w:type="dxa"/>
            <w:vMerge w:val="restart"/>
            <w:vAlign w:val="center"/>
          </w:tcPr>
          <w:p>
            <w:pPr>
              <w:keepNext w:val="0"/>
              <w:keepLines w:val="0"/>
              <w:pageBreakBefore w:val="0"/>
              <w:kinsoku/>
              <w:wordWrap w:val="0"/>
              <w:overflowPunct/>
              <w:topLinePunct w:val="0"/>
              <w:bidi w:val="0"/>
              <w:spacing w:before="157" w:line="220" w:lineRule="auto"/>
              <w:ind w:left="148" w:leftChars="0"/>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color w:val="auto"/>
                <w:kern w:val="0"/>
                <w:sz w:val="24"/>
                <w:szCs w:val="21"/>
                <w:highlight w:val="none"/>
                <w:lang w:val="en-US" w:eastAsia="zh-CN" w:bidi="zh-CN"/>
              </w:rPr>
              <w:t>综合标部分</w:t>
            </w:r>
          </w:p>
        </w:tc>
        <w:tc>
          <w:tcPr>
            <w:tcW w:w="883" w:type="dxa"/>
            <w:vAlign w:val="center"/>
          </w:tcPr>
          <w:p>
            <w:pPr>
              <w:pStyle w:val="27"/>
              <w:keepNext w:val="0"/>
              <w:keepLines w:val="0"/>
              <w:pageBreakBefore w:val="0"/>
              <w:kinsoku/>
              <w:wordWrap w:val="0"/>
              <w:overflowPunct/>
              <w:topLinePunct w:val="0"/>
              <w:bidi w:val="0"/>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napToGrid w:val="0"/>
                <w:color w:val="000000"/>
                <w:spacing w:val="-13"/>
                <w:kern w:val="0"/>
                <w:sz w:val="24"/>
                <w:szCs w:val="24"/>
                <w:lang w:val="en-US" w:eastAsia="zh-CN" w:bidi="ar-SA"/>
              </w:rPr>
              <w:t>2分</w:t>
            </w:r>
          </w:p>
        </w:tc>
        <w:tc>
          <w:tcPr>
            <w:tcW w:w="1972" w:type="dxa"/>
            <w:vAlign w:val="center"/>
          </w:tcPr>
          <w:p>
            <w:pPr>
              <w:pStyle w:val="21"/>
              <w:spacing w:line="240" w:lineRule="atLeast"/>
              <w:jc w:val="left"/>
              <w:rPr>
                <w:rFonts w:hint="eastAsia" w:ascii="仿宋" w:hAnsi="仿宋" w:eastAsia="仿宋" w:cs="仿宋"/>
                <w:snapToGrid w:val="0"/>
                <w:color w:val="000000"/>
                <w:spacing w:val="-13"/>
                <w:kern w:val="0"/>
                <w:sz w:val="24"/>
                <w:szCs w:val="24"/>
                <w:lang w:val="en-US" w:eastAsia="en-US" w:bidi="ar-SA"/>
              </w:rPr>
            </w:pPr>
            <w:r>
              <w:rPr>
                <w:rFonts w:hint="eastAsia" w:ascii="仿宋" w:hAnsi="仿宋" w:eastAsia="仿宋" w:cs="仿宋"/>
                <w:color w:val="auto"/>
                <w:kern w:val="0"/>
                <w:sz w:val="24"/>
                <w:szCs w:val="21"/>
                <w:highlight w:val="none"/>
                <w:lang w:val="en-US" w:eastAsia="zh-CN" w:bidi="zh-CN"/>
              </w:rPr>
              <w:t>投标人的业绩、类似工程经历0-2分</w:t>
            </w:r>
          </w:p>
        </w:tc>
        <w:tc>
          <w:tcPr>
            <w:tcW w:w="4461" w:type="dxa"/>
            <w:vAlign w:val="center"/>
          </w:tcPr>
          <w:p>
            <w:pPr>
              <w:pStyle w:val="21"/>
              <w:spacing w:line="240" w:lineRule="atLeast"/>
              <w:jc w:val="left"/>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color w:val="auto"/>
                <w:kern w:val="0"/>
                <w:sz w:val="24"/>
                <w:szCs w:val="21"/>
                <w:highlight w:val="none"/>
                <w:lang w:val="en-US" w:eastAsia="zh-CN" w:bidi="zh-CN"/>
              </w:rPr>
              <w:t>2021年1月1日（合同签订时间）以来，承担过类似工程施工，每有1项得1分，最多得2分。否则不计分。投标文件中提供中标通知书、合同复印件，否则不得分；注：需提供合同（响应文件中附扫描件）。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pPr>
              <w:pStyle w:val="27"/>
              <w:keepNext w:val="0"/>
              <w:keepLines w:val="0"/>
              <w:pageBreakBefore w:val="0"/>
              <w:kinsoku/>
              <w:wordWrap w:val="0"/>
              <w:overflowPunct/>
              <w:topLinePunct w:val="0"/>
              <w:bidi w:val="0"/>
              <w:jc w:val="center"/>
              <w:rPr>
                <w:rFonts w:hint="eastAsia" w:ascii="仿宋" w:hAnsi="仿宋" w:eastAsia="仿宋" w:cs="仿宋"/>
                <w:lang w:val="en-US" w:eastAsia="zh-CN"/>
              </w:rPr>
            </w:pPr>
          </w:p>
        </w:tc>
        <w:tc>
          <w:tcPr>
            <w:tcW w:w="1595" w:type="dxa"/>
            <w:vMerge w:val="continue"/>
            <w:vAlign w:val="center"/>
          </w:tcPr>
          <w:p>
            <w:pPr>
              <w:keepNext w:val="0"/>
              <w:keepLines w:val="0"/>
              <w:pageBreakBefore w:val="0"/>
              <w:kinsoku/>
              <w:wordWrap w:val="0"/>
              <w:overflowPunct/>
              <w:topLinePunct w:val="0"/>
              <w:bidi w:val="0"/>
              <w:spacing w:before="157" w:line="220" w:lineRule="auto"/>
              <w:ind w:left="148" w:leftChars="0"/>
              <w:jc w:val="both"/>
              <w:rPr>
                <w:rFonts w:hint="eastAsia" w:ascii="仿宋" w:hAnsi="仿宋" w:eastAsia="仿宋" w:cs="仿宋"/>
                <w:spacing w:val="-2"/>
                <w:sz w:val="24"/>
                <w:szCs w:val="24"/>
                <w:lang w:val="en-US" w:eastAsia="zh-CN"/>
              </w:rPr>
            </w:pPr>
          </w:p>
        </w:tc>
        <w:tc>
          <w:tcPr>
            <w:tcW w:w="883" w:type="dxa"/>
            <w:vAlign w:val="center"/>
          </w:tcPr>
          <w:p>
            <w:pPr>
              <w:pStyle w:val="27"/>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zh-CN" w:bidi="ar-SA"/>
              </w:rPr>
              <w:t>15分</w:t>
            </w:r>
          </w:p>
        </w:tc>
        <w:tc>
          <w:tcPr>
            <w:tcW w:w="1972" w:type="dxa"/>
            <w:vAlign w:val="center"/>
          </w:tcPr>
          <w:p>
            <w:pPr>
              <w:autoSpaceDE w:val="0"/>
              <w:autoSpaceDN w:val="0"/>
              <w:adjustRightInd w:val="0"/>
              <w:spacing w:line="320" w:lineRule="exact"/>
              <w:rPr>
                <w:rFonts w:hint="eastAsia" w:ascii="仿宋" w:hAnsi="仿宋" w:eastAsia="仿宋" w:cs="仿宋"/>
                <w:snapToGrid w:val="0"/>
                <w:color w:val="000000"/>
                <w:spacing w:val="0"/>
                <w:kern w:val="0"/>
                <w:sz w:val="24"/>
                <w:szCs w:val="24"/>
                <w:highlight w:val="yellow"/>
                <w:lang w:val="en-US" w:eastAsia="en-US" w:bidi="ar-SA"/>
              </w:rPr>
            </w:pPr>
            <w:r>
              <w:rPr>
                <w:rFonts w:hint="eastAsia" w:ascii="仿宋" w:hAnsi="仿宋" w:eastAsia="仿宋" w:cs="仿宋"/>
                <w:color w:val="auto"/>
                <w:kern w:val="0"/>
                <w:sz w:val="24"/>
                <w:szCs w:val="21"/>
                <w:highlight w:val="none"/>
                <w:lang w:val="en-US" w:eastAsia="zh-CN" w:bidi="zh-CN"/>
              </w:rPr>
              <w:t>服务承诺（0-15分）</w:t>
            </w:r>
          </w:p>
        </w:tc>
        <w:tc>
          <w:tcPr>
            <w:tcW w:w="4461" w:type="dxa"/>
            <w:vAlign w:val="center"/>
          </w:tcPr>
          <w:p>
            <w:pPr>
              <w:autoSpaceDE w:val="0"/>
              <w:autoSpaceDN w:val="0"/>
              <w:adjustRightInd w:val="0"/>
              <w:spacing w:line="320" w:lineRule="exact"/>
              <w:rPr>
                <w:rFonts w:hint="eastAsia" w:ascii="仿宋" w:hAnsi="仿宋" w:eastAsia="仿宋" w:cs="仿宋"/>
                <w:color w:val="auto"/>
                <w:kern w:val="0"/>
                <w:sz w:val="24"/>
                <w:szCs w:val="21"/>
                <w:highlight w:val="none"/>
                <w:lang w:val="en-US" w:eastAsia="zh-CN" w:bidi="zh-CN"/>
              </w:rPr>
            </w:pPr>
            <w:r>
              <w:rPr>
                <w:rFonts w:hint="eastAsia" w:ascii="仿宋" w:hAnsi="仿宋" w:eastAsia="仿宋" w:cs="仿宋"/>
                <w:color w:val="auto"/>
                <w:kern w:val="0"/>
                <w:sz w:val="24"/>
                <w:szCs w:val="21"/>
                <w:highlight w:val="none"/>
                <w:lang w:val="en-US" w:eastAsia="zh-CN" w:bidi="zh-CN"/>
              </w:rPr>
              <w:t xml:space="preserve">1、有关于不拖欠农民工资的实质性承诺得5分，没有得0分； </w:t>
            </w:r>
          </w:p>
          <w:p>
            <w:pPr>
              <w:autoSpaceDE w:val="0"/>
              <w:autoSpaceDN w:val="0"/>
              <w:adjustRightInd w:val="0"/>
              <w:spacing w:line="320" w:lineRule="exact"/>
              <w:rPr>
                <w:rFonts w:hint="eastAsia" w:ascii="仿宋" w:hAnsi="仿宋" w:eastAsia="仿宋" w:cs="仿宋"/>
                <w:color w:val="auto"/>
                <w:kern w:val="0"/>
                <w:sz w:val="24"/>
                <w:szCs w:val="21"/>
                <w:highlight w:val="none"/>
                <w:lang w:val="en-US" w:eastAsia="zh-CN" w:bidi="zh-CN"/>
              </w:rPr>
            </w:pPr>
            <w:r>
              <w:rPr>
                <w:rFonts w:hint="eastAsia" w:ascii="仿宋" w:hAnsi="仿宋" w:eastAsia="仿宋" w:cs="仿宋"/>
                <w:color w:val="auto"/>
                <w:kern w:val="0"/>
                <w:sz w:val="24"/>
                <w:szCs w:val="21"/>
                <w:highlight w:val="none"/>
                <w:lang w:val="en-US" w:eastAsia="zh-CN" w:bidi="zh-CN"/>
              </w:rPr>
              <w:t xml:space="preserve">2、有保证连续施工的实质性承诺情况得5分，没有得0分； </w:t>
            </w:r>
          </w:p>
          <w:p>
            <w:pPr>
              <w:autoSpaceDE w:val="0"/>
              <w:autoSpaceDN w:val="0"/>
              <w:adjustRightInd w:val="0"/>
              <w:spacing w:line="320" w:lineRule="exact"/>
              <w:rPr>
                <w:rFonts w:hint="eastAsia" w:ascii="仿宋" w:hAnsi="仿宋" w:eastAsia="仿宋" w:cs="仿宋"/>
                <w:snapToGrid w:val="0"/>
                <w:color w:val="000000"/>
                <w:spacing w:val="0"/>
                <w:kern w:val="0"/>
                <w:sz w:val="24"/>
                <w:szCs w:val="24"/>
                <w:highlight w:val="yellow"/>
                <w:lang w:val="en-US" w:eastAsia="zh-CN" w:bidi="ar-SA"/>
              </w:rPr>
            </w:pPr>
            <w:r>
              <w:rPr>
                <w:rFonts w:hint="eastAsia" w:ascii="仿宋" w:hAnsi="仿宋" w:eastAsia="仿宋" w:cs="仿宋"/>
                <w:color w:val="auto"/>
                <w:kern w:val="0"/>
                <w:sz w:val="24"/>
                <w:szCs w:val="21"/>
                <w:highlight w:val="none"/>
                <w:lang w:val="en-US" w:eastAsia="zh-CN" w:bidi="zh-CN"/>
              </w:rPr>
              <w:t xml:space="preserve">3、有其他实质性承诺情况得5分，没有得0分；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pPr>
              <w:pStyle w:val="27"/>
              <w:keepNext w:val="0"/>
              <w:keepLines w:val="0"/>
              <w:pageBreakBefore w:val="0"/>
              <w:kinsoku/>
              <w:wordWrap w:val="0"/>
              <w:overflowPunct/>
              <w:topLinePunct w:val="0"/>
              <w:bidi w:val="0"/>
              <w:jc w:val="center"/>
              <w:rPr>
                <w:rFonts w:hint="eastAsia" w:ascii="仿宋" w:hAnsi="仿宋" w:eastAsia="仿宋" w:cs="仿宋"/>
                <w:lang w:val="en-US" w:eastAsia="zh-CN"/>
              </w:rPr>
            </w:pPr>
          </w:p>
        </w:tc>
        <w:tc>
          <w:tcPr>
            <w:tcW w:w="1595" w:type="dxa"/>
            <w:vMerge w:val="continue"/>
            <w:vAlign w:val="center"/>
          </w:tcPr>
          <w:p>
            <w:pPr>
              <w:keepNext w:val="0"/>
              <w:keepLines w:val="0"/>
              <w:pageBreakBefore w:val="0"/>
              <w:kinsoku/>
              <w:wordWrap w:val="0"/>
              <w:overflowPunct/>
              <w:topLinePunct w:val="0"/>
              <w:bidi w:val="0"/>
              <w:spacing w:before="157" w:line="220" w:lineRule="auto"/>
              <w:ind w:left="148" w:leftChars="0"/>
              <w:jc w:val="both"/>
              <w:rPr>
                <w:rFonts w:hint="eastAsia" w:ascii="仿宋" w:hAnsi="仿宋" w:eastAsia="仿宋" w:cs="仿宋"/>
                <w:spacing w:val="-2"/>
                <w:sz w:val="24"/>
                <w:szCs w:val="24"/>
                <w:lang w:val="en-US" w:eastAsia="zh-CN"/>
              </w:rPr>
            </w:pPr>
          </w:p>
        </w:tc>
        <w:tc>
          <w:tcPr>
            <w:tcW w:w="883" w:type="dxa"/>
            <w:vAlign w:val="center"/>
          </w:tcPr>
          <w:p>
            <w:pPr>
              <w:pStyle w:val="27"/>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zh-CN" w:bidi="ar-SA"/>
              </w:rPr>
              <w:t>8分</w:t>
            </w:r>
          </w:p>
        </w:tc>
        <w:tc>
          <w:tcPr>
            <w:tcW w:w="1972" w:type="dxa"/>
            <w:vAlign w:val="center"/>
          </w:tcPr>
          <w:p>
            <w:pPr>
              <w:autoSpaceDE w:val="0"/>
              <w:autoSpaceDN w:val="0"/>
              <w:adjustRightInd w:val="0"/>
              <w:spacing w:line="320" w:lineRule="exact"/>
              <w:rPr>
                <w:rFonts w:hint="eastAsia" w:ascii="仿宋" w:hAnsi="仿宋" w:eastAsia="仿宋" w:cs="仿宋"/>
                <w:color w:val="auto"/>
                <w:kern w:val="0"/>
                <w:sz w:val="24"/>
                <w:szCs w:val="21"/>
                <w:highlight w:val="none"/>
                <w:lang w:val="en-US" w:eastAsia="zh-CN" w:bidi="zh-CN"/>
              </w:rPr>
            </w:pPr>
            <w:r>
              <w:rPr>
                <w:rFonts w:hint="eastAsia" w:ascii="仿宋" w:hAnsi="仿宋" w:eastAsia="仿宋" w:cs="仿宋"/>
                <w:color w:val="auto"/>
                <w:kern w:val="0"/>
                <w:sz w:val="24"/>
                <w:szCs w:val="21"/>
                <w:highlight w:val="none"/>
                <w:lang w:val="en-US" w:eastAsia="zh-CN" w:bidi="zh-CN"/>
              </w:rPr>
              <w:t xml:space="preserve">响应文件总体评价 </w:t>
            </w:r>
          </w:p>
          <w:p>
            <w:pPr>
              <w:autoSpaceDE w:val="0"/>
              <w:autoSpaceDN w:val="0"/>
              <w:adjustRightInd w:val="0"/>
              <w:spacing w:line="320" w:lineRule="exact"/>
              <w:rPr>
                <w:rFonts w:hint="eastAsia" w:ascii="仿宋" w:hAnsi="仿宋" w:eastAsia="仿宋" w:cs="仿宋"/>
                <w:color w:val="auto"/>
                <w:kern w:val="0"/>
                <w:sz w:val="24"/>
                <w:szCs w:val="21"/>
                <w:highlight w:val="none"/>
                <w:lang w:val="en-US" w:eastAsia="zh-CN" w:bidi="zh-CN"/>
              </w:rPr>
            </w:pPr>
            <w:r>
              <w:rPr>
                <w:rFonts w:hint="eastAsia" w:ascii="仿宋" w:hAnsi="仿宋" w:eastAsia="仿宋" w:cs="仿宋"/>
                <w:color w:val="auto"/>
                <w:kern w:val="0"/>
                <w:sz w:val="24"/>
                <w:szCs w:val="21"/>
                <w:highlight w:val="none"/>
                <w:lang w:val="en-US" w:eastAsia="zh-CN" w:bidi="zh-CN"/>
              </w:rPr>
              <w:t>（0-8分）</w:t>
            </w:r>
          </w:p>
        </w:tc>
        <w:tc>
          <w:tcPr>
            <w:tcW w:w="4461" w:type="dxa"/>
            <w:vAlign w:val="center"/>
          </w:tcPr>
          <w:p>
            <w:pPr>
              <w:autoSpaceDE w:val="0"/>
              <w:autoSpaceDN w:val="0"/>
              <w:adjustRightInd w:val="0"/>
              <w:spacing w:line="320" w:lineRule="exac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评委会根据投标人的投标文件完整性，商务响应及技术应答是否具体、详实进行打分：</w:t>
            </w:r>
          </w:p>
          <w:p>
            <w:pPr>
              <w:autoSpaceDE w:val="0"/>
              <w:autoSpaceDN w:val="0"/>
              <w:adjustRightInd w:val="0"/>
              <w:spacing w:line="320" w:lineRule="exac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1.投标文件完整，商务响应及技术应答具体、详实得5-8分；</w:t>
            </w:r>
          </w:p>
          <w:p>
            <w:pPr>
              <w:autoSpaceDE w:val="0"/>
              <w:autoSpaceDN w:val="0"/>
              <w:adjustRightInd w:val="0"/>
              <w:spacing w:line="320" w:lineRule="exac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2.投标文件较完整，商务响应及技术应答较具体、详实得2-4分；</w:t>
            </w:r>
          </w:p>
          <w:p>
            <w:pPr>
              <w:autoSpaceDE w:val="0"/>
              <w:autoSpaceDN w:val="0"/>
              <w:adjustRightInd w:val="0"/>
              <w:spacing w:line="320" w:lineRule="exact"/>
              <w:rPr>
                <w:rFonts w:hint="eastAsia" w:ascii="仿宋" w:hAnsi="仿宋" w:eastAsia="仿宋" w:cs="仿宋"/>
                <w:color w:val="auto"/>
                <w:kern w:val="0"/>
                <w:sz w:val="24"/>
                <w:szCs w:val="21"/>
                <w:highlight w:val="none"/>
                <w:lang w:val="en-US" w:eastAsia="zh-CN" w:bidi="zh-CN"/>
              </w:rPr>
            </w:pPr>
            <w:r>
              <w:rPr>
                <w:rFonts w:hint="eastAsia" w:ascii="仿宋" w:hAnsi="仿宋" w:eastAsia="仿宋" w:cs="仿宋"/>
                <w:color w:val="auto"/>
                <w:kern w:val="0"/>
                <w:sz w:val="24"/>
                <w:szCs w:val="24"/>
                <w:highlight w:val="none"/>
                <w:lang w:val="en-US" w:eastAsia="zh-CN" w:bidi="zh-CN"/>
              </w:rPr>
              <w:t>3.投标文件不完整，商务响应及技术应答不具体、详实得0-1分；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434" w:type="dxa"/>
            <w:gridSpan w:val="2"/>
            <w:vAlign w:val="top"/>
          </w:tcPr>
          <w:p>
            <w:pPr>
              <w:keepNext w:val="0"/>
              <w:keepLines w:val="0"/>
              <w:pageBreakBefore w:val="0"/>
              <w:kinsoku/>
              <w:wordWrap w:val="0"/>
              <w:overflowPunct/>
              <w:topLinePunct w:val="0"/>
              <w:bidi w:val="0"/>
              <w:spacing w:before="42" w:line="206" w:lineRule="auto"/>
              <w:ind w:left="932"/>
              <w:jc w:val="both"/>
              <w:rPr>
                <w:rFonts w:hint="eastAsia" w:ascii="仿宋" w:hAnsi="仿宋" w:eastAsia="仿宋" w:cs="仿宋"/>
                <w:sz w:val="24"/>
                <w:szCs w:val="24"/>
              </w:rPr>
            </w:pPr>
            <w:r>
              <w:rPr>
                <w:rFonts w:hint="eastAsia" w:ascii="仿宋" w:hAnsi="仿宋" w:eastAsia="仿宋" w:cs="仿宋"/>
                <w:spacing w:val="-3"/>
                <w:sz w:val="24"/>
                <w:szCs w:val="24"/>
              </w:rPr>
              <w:t>合计</w:t>
            </w:r>
          </w:p>
        </w:tc>
        <w:tc>
          <w:tcPr>
            <w:tcW w:w="883" w:type="dxa"/>
            <w:vAlign w:val="top"/>
          </w:tcPr>
          <w:p>
            <w:pPr>
              <w:pStyle w:val="27"/>
              <w:keepNext w:val="0"/>
              <w:keepLines w:val="0"/>
              <w:pageBreakBefore w:val="0"/>
              <w:kinsoku/>
              <w:wordWrap w:val="0"/>
              <w:overflowPunct/>
              <w:topLinePunct w:val="0"/>
              <w:bidi w:val="0"/>
              <w:spacing w:before="59" w:line="202" w:lineRule="auto"/>
              <w:ind w:left="265"/>
              <w:jc w:val="both"/>
              <w:rPr>
                <w:rFonts w:hint="eastAsia" w:ascii="仿宋" w:hAnsi="仿宋" w:eastAsia="仿宋" w:cs="仿宋"/>
                <w:sz w:val="24"/>
                <w:szCs w:val="24"/>
              </w:rPr>
            </w:pPr>
            <w:r>
              <w:rPr>
                <w:rFonts w:hint="eastAsia" w:ascii="仿宋" w:hAnsi="仿宋" w:eastAsia="仿宋" w:cs="仿宋"/>
                <w:spacing w:val="9"/>
                <w:sz w:val="24"/>
                <w:szCs w:val="24"/>
              </w:rPr>
              <w:t>100</w:t>
            </w:r>
          </w:p>
        </w:tc>
        <w:tc>
          <w:tcPr>
            <w:tcW w:w="6433" w:type="dxa"/>
            <w:gridSpan w:val="2"/>
            <w:vAlign w:val="top"/>
          </w:tcPr>
          <w:p>
            <w:pPr>
              <w:pStyle w:val="27"/>
              <w:keepNext w:val="0"/>
              <w:keepLines w:val="0"/>
              <w:pageBreakBefore w:val="0"/>
              <w:kinsoku/>
              <w:wordWrap w:val="0"/>
              <w:overflowPunct/>
              <w:topLinePunct w:val="0"/>
              <w:bidi w:val="0"/>
              <w:jc w:val="both"/>
              <w:rPr>
                <w:rFonts w:hint="eastAsia" w:ascii="仿宋" w:hAnsi="仿宋" w:eastAsia="仿宋" w:cs="仿宋"/>
              </w:rPr>
            </w:pPr>
          </w:p>
        </w:tc>
      </w:tr>
    </w:tbl>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备注：严格执行《南阳市政府采购负面清单》，根据实际项目需要设置科学合理的评分因素及分值。</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11.</w:t>
      </w:r>
      <w:r>
        <w:rPr>
          <w:rFonts w:hint="eastAsia" w:ascii="宋体" w:hAnsi="宋体" w:eastAsia="宋体" w:cs="宋体"/>
          <w:snapToGrid w:val="0"/>
          <w:color w:val="000000"/>
          <w:kern w:val="0"/>
          <w:sz w:val="24"/>
          <w:szCs w:val="24"/>
          <w:lang w:val="en-US" w:eastAsia="en-US" w:bidi="ar-SA"/>
        </w:rPr>
        <w:t>有下列情况之一的，</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宣布本项目终止：</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11.1 </w:t>
      </w:r>
      <w:r>
        <w:rPr>
          <w:rFonts w:hint="eastAsia" w:ascii="宋体" w:hAnsi="宋体" w:eastAsia="宋体" w:cs="宋体"/>
          <w:snapToGrid w:val="0"/>
          <w:color w:val="000000"/>
          <w:kern w:val="0"/>
          <w:sz w:val="24"/>
          <w:szCs w:val="24"/>
          <w:lang w:val="en-US" w:eastAsia="en-US" w:bidi="ar-SA"/>
        </w:rPr>
        <w:t>因情况变化，不再符合规定的竞争性磋商采购方式适用情形的；</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11.2 </w:t>
      </w:r>
      <w:r>
        <w:rPr>
          <w:rFonts w:hint="eastAsia" w:ascii="宋体" w:hAnsi="宋体" w:eastAsia="宋体" w:cs="宋体"/>
          <w:snapToGrid w:val="0"/>
          <w:color w:val="000000"/>
          <w:kern w:val="0"/>
          <w:sz w:val="24"/>
          <w:szCs w:val="24"/>
          <w:lang w:val="en-US" w:eastAsia="en-US" w:bidi="ar-SA"/>
        </w:rPr>
        <w:t>出现影响采购公正的违法、违规行为的；</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11.3 </w:t>
      </w:r>
      <w:r>
        <w:rPr>
          <w:rFonts w:hint="eastAsia" w:ascii="宋体" w:hAnsi="宋体" w:eastAsia="宋体" w:cs="宋体"/>
          <w:snapToGrid w:val="0"/>
          <w:color w:val="000000"/>
          <w:kern w:val="0"/>
          <w:sz w:val="24"/>
          <w:szCs w:val="24"/>
          <w:lang w:val="en-US" w:eastAsia="en-US" w:bidi="ar-SA"/>
        </w:rPr>
        <w:t>法律法规规定的其他情况。</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lang w:val="en-US" w:eastAsia="zh-CN"/>
        </w:rPr>
      </w:pPr>
      <w:r>
        <w:rPr>
          <w:rFonts w:hint="eastAsia" w:ascii="宋体" w:hAnsi="宋体" w:eastAsia="宋体" w:cs="宋体"/>
          <w:snapToGrid w:val="0"/>
          <w:color w:val="000000"/>
          <w:kern w:val="0"/>
          <w:sz w:val="24"/>
          <w:szCs w:val="24"/>
          <w:lang w:val="en-US" w:eastAsia="zh-CN" w:bidi="ar-SA"/>
        </w:rPr>
        <w:t>12.</w:t>
      </w:r>
      <w:r>
        <w:rPr>
          <w:rFonts w:hint="eastAsia" w:ascii="宋体" w:hAnsi="宋体" w:eastAsia="宋体" w:cs="宋体"/>
          <w:snapToGrid w:val="0"/>
          <w:color w:val="000000"/>
          <w:kern w:val="0"/>
          <w:sz w:val="24"/>
          <w:szCs w:val="24"/>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w:t>
      </w:r>
      <w:r>
        <w:rPr>
          <w:rFonts w:hint="eastAsia" w:asciiTheme="minorEastAsia" w:hAnsiTheme="minorEastAsia" w:eastAsiaTheme="minorEastAsia" w:cstheme="minorEastAsia"/>
          <w:spacing w:val="-13"/>
          <w:sz w:val="24"/>
          <w:szCs w:val="24"/>
          <w:lang w:val="en-US" w:eastAsia="zh-CN"/>
        </w:rPr>
        <w:t>15</w:t>
      </w:r>
      <w:r>
        <w:rPr>
          <w:rFonts w:hint="eastAsia" w:asciiTheme="minorEastAsia" w:hAnsiTheme="minorEastAsia" w:eastAsiaTheme="minorEastAsia" w:cstheme="minorEastAsia"/>
          <w:spacing w:val="-13"/>
          <w:sz w:val="24"/>
          <w:szCs w:val="24"/>
          <w:lang w:eastAsia="zh-CN"/>
        </w:rPr>
        <w:t>﹞</w:t>
      </w:r>
      <w:r>
        <w:rPr>
          <w:rFonts w:hint="eastAsia" w:ascii="宋体" w:hAnsi="宋体" w:eastAsia="宋体" w:cs="宋体"/>
          <w:snapToGrid w:val="0"/>
          <w:color w:val="000000"/>
          <w:kern w:val="0"/>
          <w:sz w:val="24"/>
          <w:szCs w:val="24"/>
          <w:lang w:val="en-US" w:eastAsia="en-US" w:bidi="ar-SA"/>
        </w:rPr>
        <w:t>124号）等规定执行。</w:t>
      </w: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lang w:val="en-US" w:eastAsia="en-US" w:bidi="ar-SA"/>
        </w:rPr>
      </w:pPr>
      <w:bookmarkStart w:id="31" w:name="_Toc14600"/>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bookmarkEnd w:id="31"/>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将在“河南省政府采购网”和“</w:t>
      </w:r>
      <w:r>
        <w:rPr>
          <w:rFonts w:hint="eastAsia" w:ascii="宋体" w:hAnsi="宋体" w:eastAsia="宋体" w:cs="宋体"/>
          <w:snapToGrid w:val="0"/>
          <w:color w:val="000000"/>
          <w:kern w:val="0"/>
          <w:sz w:val="24"/>
          <w:szCs w:val="24"/>
          <w:lang w:val="en-US" w:eastAsia="zh-CN" w:bidi="ar-SA"/>
        </w:rPr>
        <w:t>唐河县</w:t>
      </w:r>
      <w:r>
        <w:rPr>
          <w:rFonts w:hint="eastAsia" w:ascii="宋体" w:hAnsi="宋体" w:eastAsia="宋体" w:cs="宋体"/>
          <w:snapToGrid w:val="0"/>
          <w:color w:val="000000"/>
          <w:kern w:val="0"/>
          <w:sz w:val="24"/>
          <w:szCs w:val="24"/>
          <w:lang w:val="en-US" w:eastAsia="en-US" w:bidi="ar-SA"/>
        </w:rPr>
        <w:t>公共资源交易中心网”上发布成交公告。</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通过“</w:t>
      </w:r>
      <w:r>
        <w:rPr>
          <w:rFonts w:hint="eastAsia" w:ascii="宋体" w:hAnsi="宋体" w:eastAsia="宋体" w:cs="宋体"/>
          <w:snapToGrid w:val="0"/>
          <w:color w:val="000000"/>
          <w:kern w:val="0"/>
          <w:sz w:val="24"/>
          <w:szCs w:val="24"/>
          <w:lang w:val="en-US" w:eastAsia="zh-CN" w:bidi="ar-SA"/>
        </w:rPr>
        <w:t>唐河县</w:t>
      </w:r>
      <w:r>
        <w:rPr>
          <w:rFonts w:hint="eastAsia" w:ascii="宋体" w:hAnsi="宋体" w:eastAsia="宋体" w:cs="宋体"/>
          <w:snapToGrid w:val="0"/>
          <w:color w:val="000000"/>
          <w:kern w:val="0"/>
          <w:sz w:val="24"/>
          <w:szCs w:val="24"/>
          <w:lang w:val="en-US" w:eastAsia="en-US" w:bidi="ar-SA"/>
        </w:rPr>
        <w:t>公共资源交易中心</w:t>
      </w:r>
      <w:r>
        <w:rPr>
          <w:rFonts w:hint="eastAsia" w:ascii="宋体" w:hAnsi="宋体" w:eastAsia="宋体" w:cs="宋体"/>
          <w:snapToGrid w:val="0"/>
          <w:color w:val="000000"/>
          <w:kern w:val="0"/>
          <w:sz w:val="24"/>
          <w:szCs w:val="24"/>
          <w:lang w:val="en-US" w:eastAsia="zh-CN" w:bidi="ar-SA"/>
        </w:rPr>
        <w:t>公共服务平台</w:t>
      </w:r>
      <w:r>
        <w:rPr>
          <w:rFonts w:hint="eastAsia" w:ascii="宋体" w:hAnsi="宋体" w:eastAsia="宋体" w:cs="宋体"/>
          <w:snapToGrid w:val="0"/>
          <w:color w:val="000000"/>
          <w:kern w:val="0"/>
          <w:sz w:val="24"/>
          <w:szCs w:val="24"/>
          <w:lang w:val="en-US" w:eastAsia="en-US" w:bidi="ar-SA"/>
        </w:rPr>
        <w:t>”向成交供应商发出电子成交通知书，成交供应商可登陆</w:t>
      </w:r>
      <w:r>
        <w:rPr>
          <w:rFonts w:hint="eastAsia" w:ascii="宋体" w:hAnsi="宋体" w:eastAsia="宋体" w:cs="宋体"/>
          <w:snapToGrid w:val="0"/>
          <w:color w:val="000000"/>
          <w:kern w:val="0"/>
          <w:sz w:val="24"/>
          <w:szCs w:val="24"/>
          <w:lang w:val="en-US" w:eastAsia="zh-CN" w:bidi="ar-SA"/>
        </w:rPr>
        <w:t>唐河县公共资源交易平台会员系统</w:t>
      </w:r>
      <w:r>
        <w:rPr>
          <w:rFonts w:hint="eastAsia" w:ascii="宋体" w:hAnsi="宋体" w:eastAsia="宋体" w:cs="宋体"/>
          <w:snapToGrid w:val="0"/>
          <w:color w:val="000000"/>
          <w:kern w:val="0"/>
          <w:sz w:val="24"/>
          <w:szCs w:val="24"/>
          <w:lang w:val="en-US" w:eastAsia="en-US" w:bidi="ar-SA"/>
        </w:rPr>
        <w:t>，自行打印加盖电子签章的成交通知书。</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签订政府采购合同，逾期无故不签订的，按《政府采购竞争性磋商采购方式管理暂行办法》及有关规定处理。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3.2 </w:t>
      </w:r>
      <w:r>
        <w:rPr>
          <w:rFonts w:hint="eastAsia" w:ascii="宋体" w:hAnsi="宋体" w:eastAsia="宋体" w:cs="宋体"/>
          <w:snapToGrid w:val="0"/>
          <w:color w:val="000000"/>
          <w:kern w:val="0"/>
          <w:sz w:val="24"/>
          <w:szCs w:val="24"/>
          <w:lang w:val="en-US" w:eastAsia="en-US" w:bidi="ar-SA"/>
        </w:rPr>
        <w:t>竞争性磋商文件、响应文件、供应商在磋商过程中的承诺以及确认材料，均为合同的有效组成部分。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如果成交供应商不按其响应文件承诺和竞争性磋商文件要求签订政府采购合同，采购人将取消其成交资格。</w:t>
      </w: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lang w:val="en-US" w:eastAsia="en-US" w:bidi="ar-SA"/>
        </w:rPr>
      </w:pPr>
      <w:bookmarkStart w:id="32" w:name="_Toc32673"/>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bookmarkEnd w:id="32"/>
    </w:p>
    <w:p>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唐河县</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公共资源交易系统并电话通知到项目负责人。</w:t>
      </w:r>
    </w:p>
    <w:p>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lang w:val="en-US" w:eastAsia="en-US" w:bidi="ar-SA"/>
        </w:rPr>
      </w:pPr>
      <w:bookmarkStart w:id="33" w:name="_Toc5287"/>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bookmarkEnd w:id="33"/>
    </w:p>
    <w:p>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供应商必须由法定代表人或授权代表参加磋商，随时接受磋商小组的询问、质疑，并按照磋商小组的要求答复。</w:t>
      </w:r>
    </w:p>
    <w:p>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供应商自行承担参加竞争性磋商的全部费用。</w:t>
      </w:r>
    </w:p>
    <w:p>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本竞争性磋商文件最终解释权归</w:t>
      </w:r>
      <w:r>
        <w:rPr>
          <w:rFonts w:hint="eastAsia" w:ascii="宋体" w:hAnsi="宋体" w:eastAsia="宋体" w:cs="宋体"/>
          <w:snapToGrid w:val="0"/>
          <w:color w:val="000000"/>
          <w:kern w:val="0"/>
          <w:sz w:val="24"/>
          <w:szCs w:val="24"/>
          <w:lang w:val="en-US" w:eastAsia="zh-CN" w:bidi="ar-SA"/>
        </w:rPr>
        <w:t>采购代理机构</w:t>
      </w:r>
      <w:r>
        <w:rPr>
          <w:rFonts w:hint="eastAsia" w:ascii="宋体" w:hAnsi="宋体" w:eastAsia="宋体" w:cs="宋体"/>
          <w:snapToGrid w:val="0"/>
          <w:color w:val="000000"/>
          <w:kern w:val="0"/>
          <w:sz w:val="24"/>
          <w:szCs w:val="24"/>
          <w:lang w:val="en-US" w:eastAsia="en-US" w:bidi="ar-SA"/>
        </w:rPr>
        <w:t>。</w:t>
      </w:r>
    </w:p>
    <w:p>
      <w:pPr>
        <w:keepNext w:val="0"/>
        <w:keepLines w:val="0"/>
        <w:pageBreakBefore w:val="0"/>
        <w:kinsoku/>
        <w:wordWrap w:val="0"/>
        <w:overflowPunct/>
        <w:topLinePunct w:val="0"/>
        <w:bidi w:val="0"/>
        <w:spacing w:line="360" w:lineRule="auto"/>
        <w:jc w:val="both"/>
        <w:outlineLvl w:val="0"/>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bookmarkStart w:id="34" w:name="_Toc29335"/>
    </w:p>
    <w:p>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pStyle w:val="2"/>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pStyle w:val="4"/>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pStyle w:val="2"/>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pStyle w:val="4"/>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pStyle w:val="2"/>
        <w:rPr>
          <w:rFonts w:hint="eastAsia"/>
          <w:lang w:val="en-US" w:eastAsia="zh-CN"/>
        </w:rPr>
      </w:pPr>
    </w:p>
    <w:p>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唐河县政府采购合同融资政策告知函</w:t>
      </w:r>
      <w:bookmarkEnd w:id="34"/>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bookmarkStart w:id="35" w:name="_Toc15215"/>
    </w:p>
    <w:p>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pStyle w:val="2"/>
        <w:ind w:left="0" w:leftChars="0" w:firstLine="0" w:firstLineChars="0"/>
        <w:rPr>
          <w:rFonts w:hint="eastAsia"/>
        </w:rPr>
      </w:pPr>
    </w:p>
    <w:p>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bookmarkEnd w:id="35"/>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rPr>
      </w:pPr>
      <w:bookmarkStart w:id="36" w:name="_Toc2983_WPSOffice_Level2"/>
      <w:bookmarkStart w:id="37" w:name="_Toc30530_WPSOffice_Level2"/>
      <w:bookmarkStart w:id="38" w:name="_Toc32620"/>
      <w:bookmarkStart w:id="39" w:name="_Toc30188_WPSOffice_Level2"/>
      <w:bookmarkStart w:id="40" w:name="_Toc23567_WPSOffice_Level2"/>
      <w:bookmarkStart w:id="41" w:name="_Toc25052_WPSOffice_Level1"/>
      <w:bookmarkStart w:id="42" w:name="_Toc22497_WPSOffice_Level2"/>
      <w:bookmarkStart w:id="43" w:name="_Toc23433_WPSOffice_Level2"/>
      <w:bookmarkStart w:id="44" w:name="_Toc15882"/>
      <w:r>
        <w:rPr>
          <w:rFonts w:hint="eastAsia"/>
          <w:sz w:val="24"/>
          <w:szCs w:val="24"/>
        </w:rPr>
        <w:t>（以签订正式合同时为准）</w:t>
      </w:r>
      <w:bookmarkEnd w:id="36"/>
      <w:bookmarkEnd w:id="37"/>
      <w:bookmarkEnd w:id="38"/>
      <w:bookmarkEnd w:id="39"/>
      <w:bookmarkEnd w:id="40"/>
      <w:bookmarkEnd w:id="41"/>
      <w:bookmarkEnd w:id="42"/>
      <w:bookmarkEnd w:id="43"/>
      <w:bookmarkEnd w:id="44"/>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r>
        <w:rPr>
          <w:rFonts w:hint="eastAsia"/>
          <w:sz w:val="24"/>
          <w:szCs w:val="24"/>
        </w:rPr>
        <w:t>《中华人民共和国招标投标法》、《中华人民共和国政府采购法》和其他法律、法规的规定，并按照公正、平等、自愿、诚实信用的原则，同意按照以下条款和条件，签署本合同。</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45" w:name="_Toc22466_WPSOffice_Level2"/>
      <w:r>
        <w:rPr>
          <w:rFonts w:hint="eastAsia" w:eastAsia="宋体"/>
          <w:sz w:val="24"/>
          <w:szCs w:val="24"/>
          <w:lang w:val="en-US" w:eastAsia="zh-CN"/>
        </w:rPr>
        <w:t>一、</w:t>
      </w:r>
      <w:r>
        <w:rPr>
          <w:rFonts w:hint="eastAsia"/>
          <w:sz w:val="24"/>
          <w:szCs w:val="24"/>
        </w:rPr>
        <w:t>合同文件</w:t>
      </w:r>
      <w:bookmarkEnd w:id="45"/>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46" w:name="_Toc20611"/>
      <w:bookmarkStart w:id="47" w:name="_Toc25689"/>
      <w:r>
        <w:rPr>
          <w:rFonts w:hint="eastAsia"/>
          <w:sz w:val="24"/>
          <w:szCs w:val="24"/>
        </w:rPr>
        <w:t>本合同所附下列文件是构成本合同不可分割的部分：</w:t>
      </w:r>
      <w:bookmarkEnd w:id="46"/>
      <w:bookmarkEnd w:id="47"/>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48" w:name="_Toc25255"/>
      <w:bookmarkStart w:id="49" w:name="_Toc12304"/>
      <w:r>
        <w:rPr>
          <w:rFonts w:hint="eastAsia"/>
          <w:sz w:val="24"/>
          <w:szCs w:val="24"/>
        </w:rPr>
        <w:t>（一）本项目</w:t>
      </w:r>
      <w:r>
        <w:rPr>
          <w:rFonts w:hint="eastAsia"/>
          <w:sz w:val="24"/>
          <w:szCs w:val="24"/>
          <w:lang w:val="en-US" w:eastAsia="zh-CN"/>
        </w:rPr>
        <w:t>磋商</w:t>
      </w:r>
      <w:r>
        <w:rPr>
          <w:rFonts w:hint="eastAsia"/>
          <w:sz w:val="24"/>
          <w:szCs w:val="24"/>
        </w:rPr>
        <w:t>文件</w:t>
      </w:r>
      <w:bookmarkEnd w:id="48"/>
      <w:bookmarkEnd w:id="49"/>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50" w:name="_Toc3310"/>
      <w:bookmarkStart w:id="51" w:name="_Toc8524"/>
      <w:r>
        <w:rPr>
          <w:rFonts w:hint="eastAsia"/>
          <w:sz w:val="24"/>
          <w:szCs w:val="24"/>
        </w:rPr>
        <w:t>（二）</w:t>
      </w:r>
      <w:r>
        <w:rPr>
          <w:rFonts w:hint="eastAsia"/>
          <w:sz w:val="24"/>
          <w:szCs w:val="24"/>
          <w:lang w:val="en-US" w:eastAsia="zh-CN"/>
        </w:rPr>
        <w:t>供应商</w:t>
      </w:r>
      <w:r>
        <w:rPr>
          <w:rFonts w:hint="eastAsia"/>
          <w:sz w:val="24"/>
          <w:szCs w:val="24"/>
        </w:rPr>
        <w:t>的</w:t>
      </w:r>
      <w:r>
        <w:rPr>
          <w:rFonts w:hint="eastAsia"/>
          <w:sz w:val="24"/>
          <w:szCs w:val="24"/>
          <w:lang w:val="en-US" w:eastAsia="zh-CN"/>
        </w:rPr>
        <w:t>响应</w:t>
      </w:r>
      <w:r>
        <w:rPr>
          <w:rFonts w:hint="eastAsia"/>
          <w:sz w:val="24"/>
          <w:szCs w:val="24"/>
        </w:rPr>
        <w:t>文件</w:t>
      </w:r>
      <w:bookmarkEnd w:id="50"/>
      <w:bookmarkEnd w:id="51"/>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52" w:name="_Toc11043"/>
      <w:bookmarkStart w:id="53" w:name="_Toc13552"/>
      <w:r>
        <w:rPr>
          <w:rFonts w:hint="eastAsia"/>
          <w:sz w:val="24"/>
          <w:szCs w:val="24"/>
        </w:rPr>
        <w:t>（三）合同格式、合同条款</w:t>
      </w:r>
      <w:bookmarkEnd w:id="52"/>
      <w:bookmarkEnd w:id="53"/>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54" w:name="_Toc17684"/>
      <w:bookmarkStart w:id="55" w:name="_Toc3434"/>
      <w:r>
        <w:rPr>
          <w:rFonts w:hint="eastAsia"/>
          <w:sz w:val="24"/>
          <w:szCs w:val="24"/>
        </w:rPr>
        <w:t>（四）中标人在评标过程中做出的有关澄清、说明或者补正文件</w:t>
      </w:r>
      <w:bookmarkEnd w:id="54"/>
      <w:bookmarkEnd w:id="55"/>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56" w:name="_Toc24029"/>
      <w:bookmarkStart w:id="57" w:name="_Toc17949"/>
      <w:r>
        <w:rPr>
          <w:rFonts w:hint="eastAsia"/>
          <w:sz w:val="24"/>
          <w:szCs w:val="24"/>
        </w:rPr>
        <w:t>（五）</w:t>
      </w:r>
      <w:r>
        <w:rPr>
          <w:rFonts w:hint="eastAsia"/>
          <w:sz w:val="24"/>
          <w:szCs w:val="24"/>
          <w:lang w:val="en-US" w:eastAsia="zh-CN"/>
        </w:rPr>
        <w:t>成交</w:t>
      </w:r>
      <w:r>
        <w:rPr>
          <w:rFonts w:hint="eastAsia"/>
          <w:sz w:val="24"/>
          <w:szCs w:val="24"/>
        </w:rPr>
        <w:t>通知书</w:t>
      </w:r>
      <w:bookmarkEnd w:id="56"/>
      <w:bookmarkEnd w:id="57"/>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58" w:name="_Toc4313"/>
      <w:bookmarkStart w:id="59" w:name="_Toc25248"/>
      <w:r>
        <w:rPr>
          <w:rFonts w:hint="eastAsia"/>
          <w:sz w:val="24"/>
          <w:szCs w:val="24"/>
        </w:rPr>
        <w:t>（六）本合同附件</w:t>
      </w:r>
      <w:bookmarkEnd w:id="58"/>
      <w:bookmarkEnd w:id="59"/>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rPr>
      </w:pPr>
      <w:bookmarkStart w:id="60" w:name="_Toc19424"/>
      <w:bookmarkStart w:id="61" w:name="_Toc7727"/>
      <w:bookmarkStart w:id="62" w:name="_Toc11434"/>
      <w:bookmarkStart w:id="63" w:name="_Toc24717"/>
      <w:bookmarkStart w:id="64" w:name="_Toc13630_WPSOffice_Level2"/>
      <w:r>
        <w:rPr>
          <w:rFonts w:hint="eastAsia"/>
          <w:sz w:val="24"/>
          <w:szCs w:val="24"/>
        </w:rPr>
        <w:t>二、合同的范围和条件</w:t>
      </w:r>
      <w:bookmarkEnd w:id="60"/>
      <w:bookmarkEnd w:id="61"/>
      <w:bookmarkEnd w:id="62"/>
      <w:bookmarkEnd w:id="63"/>
      <w:bookmarkEnd w:id="64"/>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r>
        <w:rPr>
          <w:rFonts w:hint="eastAsia"/>
          <w:sz w:val="24"/>
          <w:szCs w:val="24"/>
        </w:rPr>
        <w:t>本合同的范围和条件应与上述合同文件的规定相一致。</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rPr>
      </w:pPr>
      <w:r>
        <w:rPr>
          <w:rFonts w:hint="eastAsia"/>
          <w:sz w:val="24"/>
          <w:szCs w:val="24"/>
        </w:rPr>
        <w:t xml:space="preserve"> </w:t>
      </w:r>
      <w:bookmarkStart w:id="65" w:name="_Toc21864"/>
      <w:bookmarkStart w:id="66" w:name="_Toc24787"/>
      <w:bookmarkStart w:id="67" w:name="_Toc2465"/>
      <w:bookmarkStart w:id="68" w:name="_Toc15521_WPSOffice_Level2"/>
      <w:bookmarkStart w:id="69" w:name="_Toc18794"/>
      <w:r>
        <w:rPr>
          <w:rFonts w:hint="eastAsia"/>
          <w:sz w:val="24"/>
          <w:szCs w:val="24"/>
        </w:rPr>
        <w:t>三、合同金额</w:t>
      </w:r>
      <w:bookmarkEnd w:id="65"/>
      <w:bookmarkEnd w:id="66"/>
      <w:bookmarkEnd w:id="67"/>
      <w:bookmarkEnd w:id="68"/>
      <w:bookmarkEnd w:id="69"/>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70" w:name="_Toc15284"/>
      <w:bookmarkStart w:id="71" w:name="_Toc12265"/>
      <w:r>
        <w:rPr>
          <w:rFonts w:hint="eastAsia"/>
          <w:sz w:val="24"/>
          <w:szCs w:val="24"/>
        </w:rPr>
        <w:t xml:space="preserve">合同总金额：人民币： </w:t>
      </w:r>
      <w:r>
        <w:rPr>
          <w:rFonts w:hint="eastAsia"/>
          <w:sz w:val="24"/>
          <w:szCs w:val="24"/>
        </w:rPr>
        <w:tab/>
      </w:r>
      <w:r>
        <w:rPr>
          <w:rFonts w:hint="eastAsia"/>
          <w:sz w:val="24"/>
          <w:szCs w:val="24"/>
        </w:rPr>
        <w:t xml:space="preserve">元（大写） 人民币： </w:t>
      </w:r>
      <w:r>
        <w:rPr>
          <w:rFonts w:hint="eastAsia"/>
          <w:sz w:val="24"/>
          <w:szCs w:val="24"/>
        </w:rPr>
        <w:tab/>
      </w:r>
      <w:r>
        <w:rPr>
          <w:rFonts w:hint="eastAsia"/>
          <w:sz w:val="24"/>
          <w:szCs w:val="24"/>
        </w:rPr>
        <w:t>元（小写）</w:t>
      </w:r>
      <w:bookmarkEnd w:id="70"/>
      <w:bookmarkEnd w:id="71"/>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72" w:name="_Toc26017_WPSOffice_Level2"/>
      <w:r>
        <w:rPr>
          <w:rFonts w:hint="eastAsia"/>
          <w:sz w:val="24"/>
          <w:szCs w:val="24"/>
        </w:rPr>
        <w:t>质量要求：</w:t>
      </w:r>
      <w:bookmarkEnd w:id="72"/>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lang w:val="en-US" w:eastAsia="zh-CN"/>
        </w:rPr>
      </w:pPr>
      <w:bookmarkStart w:id="73" w:name="_Toc4377_WPSOffice_Level2"/>
      <w:r>
        <w:rPr>
          <w:rFonts w:hint="eastAsia" w:eastAsia="宋体"/>
          <w:sz w:val="24"/>
          <w:szCs w:val="24"/>
          <w:lang w:val="en-US" w:eastAsia="zh-CN"/>
        </w:rPr>
        <w:t>四、</w:t>
      </w:r>
      <w:r>
        <w:rPr>
          <w:rFonts w:hint="eastAsia"/>
          <w:sz w:val="24"/>
          <w:szCs w:val="24"/>
        </w:rPr>
        <w:t>付款方式</w:t>
      </w:r>
      <w:bookmarkEnd w:id="73"/>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lang w:val="en-US" w:eastAsia="zh-CN"/>
        </w:rPr>
      </w:pPr>
      <w:r>
        <w:rPr>
          <w:rFonts w:hint="eastAsia"/>
          <w:sz w:val="24"/>
          <w:szCs w:val="24"/>
        </w:rPr>
        <w:t>付款方式：</w:t>
      </w:r>
      <w:r>
        <w:rPr>
          <w:rFonts w:hint="eastAsia"/>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74" w:name="_Toc12155_WPSOffice_Level2"/>
      <w:r>
        <w:rPr>
          <w:rFonts w:hint="eastAsia" w:eastAsia="宋体"/>
          <w:sz w:val="24"/>
          <w:szCs w:val="24"/>
          <w:lang w:val="en-US" w:eastAsia="zh-CN"/>
        </w:rPr>
        <w:t>五、</w:t>
      </w:r>
      <w:r>
        <w:rPr>
          <w:rFonts w:hint="eastAsia"/>
          <w:sz w:val="24"/>
          <w:szCs w:val="24"/>
        </w:rPr>
        <w:t>服务日期、地点</w:t>
      </w:r>
      <w:bookmarkEnd w:id="74"/>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r>
        <w:rPr>
          <w:rFonts w:hint="eastAsia"/>
          <w:sz w:val="24"/>
          <w:szCs w:val="24"/>
        </w:rPr>
        <w:t xml:space="preserve">服务时间：于 </w:t>
      </w:r>
      <w:r>
        <w:rPr>
          <w:rFonts w:hint="eastAsia"/>
          <w:sz w:val="24"/>
          <w:szCs w:val="24"/>
        </w:rPr>
        <w:tab/>
      </w:r>
      <w:r>
        <w:rPr>
          <w:rFonts w:hint="eastAsia"/>
          <w:sz w:val="24"/>
          <w:szCs w:val="24"/>
        </w:rPr>
        <w:t xml:space="preserve">年 </w:t>
      </w:r>
      <w:r>
        <w:rPr>
          <w:rFonts w:hint="eastAsia"/>
          <w:sz w:val="24"/>
          <w:szCs w:val="24"/>
        </w:rPr>
        <w:tab/>
      </w:r>
      <w:r>
        <w:rPr>
          <w:rFonts w:hint="eastAsia"/>
          <w:sz w:val="24"/>
          <w:szCs w:val="24"/>
        </w:rPr>
        <w:t xml:space="preserve">月 </w:t>
      </w:r>
      <w:r>
        <w:rPr>
          <w:rFonts w:hint="eastAsia"/>
          <w:sz w:val="24"/>
          <w:szCs w:val="24"/>
        </w:rPr>
        <w:tab/>
      </w:r>
      <w:r>
        <w:rPr>
          <w:rFonts w:hint="eastAsia"/>
          <w:sz w:val="24"/>
          <w:szCs w:val="24"/>
        </w:rPr>
        <w:t>日以前完成。</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r>
        <w:rPr>
          <w:rFonts w:hint="eastAsia"/>
          <w:sz w:val="24"/>
          <w:szCs w:val="24"/>
        </w:rPr>
        <w:t>地点：甲方指定地点。</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rPr>
      </w:pPr>
      <w:bookmarkStart w:id="75" w:name="_Toc30055_WPSOffice_Level2"/>
      <w:r>
        <w:rPr>
          <w:rFonts w:hint="eastAsia" w:eastAsia="宋体"/>
          <w:sz w:val="24"/>
          <w:szCs w:val="24"/>
          <w:lang w:val="en-US" w:eastAsia="zh-CN"/>
        </w:rPr>
        <w:t>六、</w:t>
      </w:r>
      <w:r>
        <w:rPr>
          <w:rFonts w:hint="eastAsia"/>
          <w:sz w:val="24"/>
          <w:szCs w:val="24"/>
        </w:rPr>
        <w:t>合同保存</w:t>
      </w:r>
      <w:bookmarkEnd w:id="75"/>
    </w:p>
    <w:p>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r>
        <w:rPr>
          <w:rFonts w:hint="eastAsia"/>
          <w:sz w:val="24"/>
          <w:szCs w:val="24"/>
        </w:rPr>
        <w:t xml:space="preserve">本合同一式 </w:t>
      </w:r>
      <w:r>
        <w:rPr>
          <w:rFonts w:hint="eastAsia"/>
          <w:sz w:val="24"/>
          <w:szCs w:val="24"/>
        </w:rPr>
        <w:tab/>
      </w:r>
      <w:r>
        <w:rPr>
          <w:rFonts w:hint="eastAsia"/>
          <w:sz w:val="24"/>
          <w:szCs w:val="24"/>
        </w:rPr>
        <w:t xml:space="preserve">份，甲方 </w:t>
      </w:r>
      <w:r>
        <w:rPr>
          <w:rFonts w:hint="eastAsia"/>
          <w:sz w:val="24"/>
          <w:szCs w:val="24"/>
        </w:rPr>
        <w:tab/>
      </w:r>
      <w:r>
        <w:rPr>
          <w:rFonts w:hint="eastAsia"/>
          <w:sz w:val="24"/>
          <w:szCs w:val="24"/>
        </w:rPr>
        <w:t xml:space="preserve">份，乙方 </w:t>
      </w:r>
      <w:r>
        <w:rPr>
          <w:rFonts w:hint="eastAsia"/>
          <w:sz w:val="24"/>
          <w:szCs w:val="24"/>
        </w:rPr>
        <w:tab/>
      </w:r>
      <w:r>
        <w:rPr>
          <w:rFonts w:hint="eastAsia"/>
          <w:sz w:val="24"/>
          <w:szCs w:val="24"/>
        </w:rPr>
        <w:t xml:space="preserve">份，采购代理机构 </w:t>
      </w:r>
      <w:r>
        <w:rPr>
          <w:rFonts w:hint="eastAsia"/>
          <w:sz w:val="24"/>
          <w:szCs w:val="24"/>
        </w:rPr>
        <w:tab/>
      </w:r>
      <w:r>
        <w:rPr>
          <w:rFonts w:hint="eastAsia"/>
          <w:sz w:val="24"/>
          <w:szCs w:val="24"/>
        </w:rPr>
        <w:t>份。</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76" w:name="_Toc30238_WPSOffice_Level2"/>
      <w:r>
        <w:rPr>
          <w:rFonts w:hint="eastAsia" w:eastAsia="宋体"/>
          <w:sz w:val="24"/>
          <w:szCs w:val="24"/>
          <w:lang w:val="en-US" w:eastAsia="zh-CN"/>
        </w:rPr>
        <w:t>七、</w:t>
      </w:r>
      <w:r>
        <w:rPr>
          <w:rFonts w:hint="eastAsia"/>
          <w:sz w:val="24"/>
          <w:szCs w:val="24"/>
        </w:rPr>
        <w:t>违约条款</w:t>
      </w:r>
      <w:bookmarkEnd w:id="76"/>
    </w:p>
    <w:p>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r>
        <w:rPr>
          <w:rFonts w:hint="eastAsia"/>
          <w:sz w:val="24"/>
          <w:szCs w:val="24"/>
        </w:rPr>
        <w:t>（1）合同一方违约，违约方向对方支付违约金，违约金额为中标金额的 10%。乙方违约， 直接从进度款或履约保金中扣除；甲方违约，从合同款项中扣除。</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77" w:name="_Toc1630"/>
      <w:bookmarkStart w:id="78" w:name="_Toc8155"/>
      <w:r>
        <w:rPr>
          <w:rFonts w:hint="eastAsia"/>
          <w:sz w:val="24"/>
          <w:szCs w:val="24"/>
        </w:rPr>
        <w:t>（2）乙方给用户造成的实际损失高于违约金的，乙方应给用户对高出违约金的部分予以赔偿。</w:t>
      </w:r>
      <w:bookmarkEnd w:id="77"/>
      <w:bookmarkEnd w:id="78"/>
    </w:p>
    <w:p>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79" w:name="_Toc23941"/>
      <w:bookmarkStart w:id="80" w:name="_Toc15751"/>
      <w:r>
        <w:rPr>
          <w:rFonts w:hint="eastAsia"/>
          <w:sz w:val="24"/>
          <w:szCs w:val="24"/>
        </w:rPr>
        <w:t>（3）乙方迟延履行合同、不完全履行合同或提供的服务不符合招标文件的要求，除支付违约金外，仍应实际履行合同或重新提供符合要求的服务。</w:t>
      </w:r>
      <w:bookmarkEnd w:id="79"/>
      <w:bookmarkEnd w:id="80"/>
    </w:p>
    <w:p>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81" w:name="_Toc25387"/>
      <w:bookmarkStart w:id="82" w:name="_Toc21648"/>
      <w:r>
        <w:rPr>
          <w:rFonts w:hint="eastAsia"/>
          <w:sz w:val="24"/>
          <w:szCs w:val="24"/>
        </w:rPr>
        <w:t>（4）由于乙方原因造成的延期，每延期一天，需支付甲方损失为合同总价款的 1‰。</w:t>
      </w:r>
      <w:bookmarkEnd w:id="81"/>
      <w:bookmarkEnd w:id="82"/>
    </w:p>
    <w:p>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83" w:name="_Toc8408"/>
      <w:bookmarkStart w:id="84" w:name="_Toc5115"/>
      <w:r>
        <w:rPr>
          <w:rFonts w:hint="eastAsia"/>
          <w:sz w:val="24"/>
          <w:szCs w:val="24"/>
        </w:rPr>
        <w:t>（5）甲方和乙方若需签订补充协议，补充协议与该合同具有同等法律效力。</w:t>
      </w:r>
      <w:bookmarkEnd w:id="83"/>
      <w:bookmarkEnd w:id="84"/>
    </w:p>
    <w:p>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85" w:name="_Toc27685"/>
      <w:bookmarkStart w:id="86" w:name="_Toc2579"/>
      <w:r>
        <w:rPr>
          <w:rFonts w:hint="eastAsia"/>
          <w:sz w:val="24"/>
          <w:szCs w:val="24"/>
        </w:rPr>
        <w:t xml:space="preserve">（6）其它未尽事宜，以《中华人民共和国合同法》规定为准。 </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r>
        <w:rPr>
          <w:rFonts w:hint="eastAsia" w:eastAsia="宋体"/>
          <w:sz w:val="24"/>
          <w:szCs w:val="24"/>
          <w:lang w:val="en-US" w:eastAsia="zh-CN"/>
        </w:rPr>
        <w:t>八</w:t>
      </w:r>
      <w:r>
        <w:rPr>
          <w:rFonts w:hint="eastAsia"/>
          <w:sz w:val="24"/>
          <w:szCs w:val="24"/>
        </w:rPr>
        <w:t>、合同生效及其它</w:t>
      </w:r>
      <w:bookmarkEnd w:id="85"/>
      <w:bookmarkEnd w:id="86"/>
    </w:p>
    <w:p>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87" w:name="_Toc27824"/>
      <w:bookmarkStart w:id="88" w:name="_Toc1264"/>
      <w:r>
        <w:rPr>
          <w:rFonts w:hint="eastAsia"/>
          <w:sz w:val="24"/>
          <w:szCs w:val="24"/>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89" w:name="_Toc13678"/>
      <w:bookmarkStart w:id="90" w:name="_Toc20058"/>
      <w:r>
        <w:rPr>
          <w:rFonts w:hint="eastAsia"/>
          <w:sz w:val="24"/>
          <w:szCs w:val="24"/>
        </w:rPr>
        <w:t>（2）合同在执行过程中出现的未尽事宜，双方在不违背本合同和招标文件的原则下协商解决，协商结果以书面形式盖章记录在案，作为本合同的附件，与本合同具有同等效力。</w:t>
      </w:r>
      <w:bookmarkEnd w:id="89"/>
      <w:bookmarkEnd w:id="90"/>
    </w:p>
    <w:p>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91" w:name="_Toc16421_WPSOffice_Level2"/>
      <w:bookmarkStart w:id="92" w:name="_Toc7032_WPSOffice_Level1"/>
      <w:bookmarkStart w:id="93" w:name="_Toc4045"/>
      <w:bookmarkStart w:id="94" w:name="_Toc3081_WPSOffice_Level2"/>
      <w:bookmarkStart w:id="95" w:name="_Toc20805_WPSOffice_Level2"/>
      <w:bookmarkStart w:id="96" w:name="_Toc13056_WPSOffice_Level2"/>
      <w:bookmarkStart w:id="97" w:name="_Toc29610_WPSOffice_Level2"/>
      <w:bookmarkStart w:id="98" w:name="_Toc26378"/>
      <w:bookmarkStart w:id="99" w:name="_Toc10619_WPSOffice_Level2"/>
      <w:r>
        <w:rPr>
          <w:rFonts w:hint="eastAsia"/>
          <w:sz w:val="24"/>
          <w:szCs w:val="24"/>
        </w:rPr>
        <w:t>甲</w:t>
      </w:r>
      <w:r>
        <w:rPr>
          <w:rFonts w:hint="eastAsia"/>
          <w:sz w:val="24"/>
          <w:szCs w:val="24"/>
        </w:rPr>
        <w:tab/>
      </w:r>
      <w:r>
        <w:rPr>
          <w:rFonts w:hint="eastAsia"/>
          <w:sz w:val="24"/>
          <w:szCs w:val="24"/>
        </w:rPr>
        <w:t>方（公章）：</w:t>
      </w:r>
      <w:r>
        <w:rPr>
          <w:rFonts w:hint="eastAsia"/>
          <w:sz w:val="24"/>
          <w:szCs w:val="24"/>
        </w:rPr>
        <w:tab/>
      </w:r>
      <w:r>
        <w:rPr>
          <w:rFonts w:hint="eastAsia"/>
          <w:sz w:val="24"/>
          <w:szCs w:val="24"/>
          <w:lang w:val="en-US" w:eastAsia="zh-CN"/>
        </w:rPr>
        <w:t xml:space="preserve">             </w:t>
      </w:r>
      <w:r>
        <w:rPr>
          <w:rFonts w:hint="eastAsia"/>
          <w:sz w:val="24"/>
          <w:szCs w:val="24"/>
        </w:rPr>
        <w:t>乙</w:t>
      </w:r>
      <w:r>
        <w:rPr>
          <w:rFonts w:hint="eastAsia"/>
          <w:sz w:val="24"/>
          <w:szCs w:val="24"/>
        </w:rPr>
        <w:tab/>
      </w:r>
      <w:r>
        <w:rPr>
          <w:rFonts w:hint="eastAsia"/>
          <w:sz w:val="24"/>
          <w:szCs w:val="24"/>
        </w:rPr>
        <w:t>方（公章）：</w:t>
      </w:r>
      <w:bookmarkEnd w:id="91"/>
      <w:bookmarkEnd w:id="92"/>
      <w:bookmarkEnd w:id="93"/>
      <w:bookmarkEnd w:id="94"/>
      <w:bookmarkEnd w:id="95"/>
      <w:bookmarkEnd w:id="96"/>
      <w:bookmarkEnd w:id="97"/>
      <w:bookmarkEnd w:id="98"/>
      <w:bookmarkEnd w:id="99"/>
    </w:p>
    <w:p>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lang w:val="en-US" w:eastAsia="zh-CN"/>
        </w:rPr>
      </w:pPr>
      <w:bookmarkStart w:id="100" w:name="_Toc20300"/>
      <w:bookmarkStart w:id="101" w:name="_Toc11748"/>
      <w:r>
        <w:rPr>
          <w:rFonts w:hint="eastAsia"/>
          <w:sz w:val="24"/>
          <w:szCs w:val="24"/>
        </w:rPr>
        <w:t>法定代表人或授权代理人：（签字）</w:t>
      </w:r>
      <w:r>
        <w:rPr>
          <w:rFonts w:hint="eastAsia"/>
          <w:sz w:val="24"/>
          <w:szCs w:val="24"/>
        </w:rPr>
        <w:tab/>
      </w:r>
      <w:r>
        <w:rPr>
          <w:rFonts w:hint="eastAsia"/>
          <w:sz w:val="24"/>
          <w:szCs w:val="24"/>
        </w:rPr>
        <w:t>法定代表人或授权代理人：（签字）</w:t>
      </w:r>
      <w:bookmarkEnd w:id="100"/>
      <w:bookmarkEnd w:id="101"/>
      <w:r>
        <w:rPr>
          <w:rFonts w:hint="eastAsia"/>
          <w:sz w:val="24"/>
          <w:szCs w:val="24"/>
        </w:rPr>
        <w:t xml:space="preserve"> </w:t>
      </w:r>
      <w:r>
        <w:rPr>
          <w:rFonts w:hint="eastAsia"/>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102" w:name="_Toc2236"/>
      <w:bookmarkStart w:id="103" w:name="_Toc11893"/>
      <w:r>
        <w:rPr>
          <w:rFonts w:hint="eastAsia"/>
          <w:sz w:val="24"/>
          <w:szCs w:val="24"/>
        </w:rPr>
        <w:t>开户单位：</w:t>
      </w:r>
      <w:r>
        <w:rPr>
          <w:rFonts w:hint="eastAsia"/>
          <w:sz w:val="24"/>
          <w:szCs w:val="24"/>
          <w:lang w:val="en-US" w:eastAsia="zh-CN"/>
        </w:rPr>
        <w:t xml:space="preserve">                        </w:t>
      </w:r>
      <w:r>
        <w:rPr>
          <w:rFonts w:hint="eastAsia"/>
          <w:sz w:val="24"/>
          <w:szCs w:val="24"/>
        </w:rPr>
        <w:t>开户单位：</w:t>
      </w:r>
      <w:bookmarkEnd w:id="102"/>
      <w:bookmarkEnd w:id="103"/>
    </w:p>
    <w:p>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104" w:name="_Toc31863"/>
      <w:bookmarkStart w:id="105" w:name="_Toc25263"/>
      <w:r>
        <w:rPr>
          <w:rFonts w:hint="eastAsia"/>
          <w:sz w:val="24"/>
          <w:szCs w:val="24"/>
        </w:rPr>
        <w:t>开户银行：</w:t>
      </w:r>
      <w:r>
        <w:rPr>
          <w:rFonts w:hint="eastAsia"/>
          <w:sz w:val="24"/>
          <w:szCs w:val="24"/>
        </w:rPr>
        <w:tab/>
      </w:r>
      <w:r>
        <w:rPr>
          <w:rFonts w:hint="eastAsia"/>
          <w:sz w:val="24"/>
          <w:szCs w:val="24"/>
          <w:lang w:val="en-US" w:eastAsia="zh-CN"/>
        </w:rPr>
        <w:t xml:space="preserve">                    </w:t>
      </w:r>
      <w:r>
        <w:rPr>
          <w:rFonts w:hint="eastAsia"/>
          <w:sz w:val="24"/>
          <w:szCs w:val="24"/>
        </w:rPr>
        <w:t>开户银行：</w:t>
      </w:r>
      <w:bookmarkEnd w:id="104"/>
      <w:bookmarkEnd w:id="105"/>
    </w:p>
    <w:p>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106" w:name="_Toc27472"/>
      <w:bookmarkStart w:id="107" w:name="_Toc17067"/>
      <w:r>
        <w:rPr>
          <w:rFonts w:hint="eastAsia"/>
          <w:sz w:val="24"/>
          <w:szCs w:val="24"/>
        </w:rPr>
        <w:t>帐</w:t>
      </w:r>
      <w:r>
        <w:rPr>
          <w:rFonts w:hint="eastAsia"/>
          <w:sz w:val="24"/>
          <w:szCs w:val="24"/>
        </w:rPr>
        <w:tab/>
      </w:r>
      <w:r>
        <w:rPr>
          <w:rFonts w:hint="eastAsia"/>
          <w:sz w:val="24"/>
          <w:szCs w:val="24"/>
        </w:rPr>
        <w:t>号：</w:t>
      </w:r>
      <w:r>
        <w:rPr>
          <w:rFonts w:hint="eastAsia"/>
          <w:sz w:val="24"/>
          <w:szCs w:val="24"/>
        </w:rPr>
        <w:tab/>
      </w:r>
      <w:r>
        <w:rPr>
          <w:rFonts w:hint="eastAsia"/>
          <w:sz w:val="24"/>
          <w:szCs w:val="24"/>
          <w:lang w:val="en-US" w:eastAsia="zh-CN"/>
        </w:rPr>
        <w:t xml:space="preserve">                            </w:t>
      </w:r>
      <w:r>
        <w:rPr>
          <w:rFonts w:hint="eastAsia"/>
          <w:sz w:val="24"/>
          <w:szCs w:val="24"/>
        </w:rPr>
        <w:t>帐</w:t>
      </w:r>
      <w:r>
        <w:rPr>
          <w:rFonts w:hint="eastAsia"/>
          <w:sz w:val="24"/>
          <w:szCs w:val="24"/>
        </w:rPr>
        <w:tab/>
      </w:r>
      <w:r>
        <w:rPr>
          <w:rFonts w:hint="eastAsia"/>
          <w:sz w:val="24"/>
          <w:szCs w:val="24"/>
        </w:rPr>
        <w:t>号：</w:t>
      </w:r>
      <w:bookmarkEnd w:id="106"/>
      <w:bookmarkEnd w:id="107"/>
    </w:p>
    <w:p>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108" w:name="_Toc18260"/>
      <w:bookmarkStart w:id="109" w:name="_Toc19503"/>
      <w:r>
        <w:rPr>
          <w:rFonts w:hint="eastAsia"/>
          <w:sz w:val="24"/>
          <w:szCs w:val="24"/>
        </w:rPr>
        <w:t>地</w:t>
      </w:r>
      <w:r>
        <w:rPr>
          <w:rFonts w:hint="eastAsia"/>
          <w:sz w:val="24"/>
          <w:szCs w:val="24"/>
        </w:rPr>
        <w:tab/>
      </w:r>
      <w:r>
        <w:rPr>
          <w:rFonts w:hint="eastAsia"/>
          <w:sz w:val="24"/>
          <w:szCs w:val="24"/>
        </w:rPr>
        <w:t>址：</w:t>
      </w:r>
      <w:r>
        <w:rPr>
          <w:rFonts w:hint="eastAsia"/>
          <w:sz w:val="24"/>
          <w:szCs w:val="24"/>
        </w:rPr>
        <w:tab/>
      </w:r>
      <w:r>
        <w:rPr>
          <w:rFonts w:hint="eastAsia"/>
          <w:sz w:val="24"/>
          <w:szCs w:val="24"/>
          <w:lang w:val="en-US" w:eastAsia="zh-CN"/>
        </w:rPr>
        <w:t xml:space="preserve">                           </w:t>
      </w:r>
      <w:r>
        <w:rPr>
          <w:rFonts w:hint="eastAsia"/>
          <w:sz w:val="24"/>
          <w:szCs w:val="24"/>
        </w:rPr>
        <w:t>地</w:t>
      </w:r>
      <w:r>
        <w:rPr>
          <w:rFonts w:hint="eastAsia"/>
          <w:sz w:val="24"/>
          <w:szCs w:val="24"/>
        </w:rPr>
        <w:tab/>
      </w:r>
      <w:r>
        <w:rPr>
          <w:rFonts w:hint="eastAsia"/>
          <w:sz w:val="24"/>
          <w:szCs w:val="24"/>
        </w:rPr>
        <w:t>址：</w:t>
      </w:r>
      <w:bookmarkEnd w:id="108"/>
      <w:bookmarkEnd w:id="109"/>
    </w:p>
    <w:p>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rPr>
      </w:pPr>
      <w:bookmarkStart w:id="110" w:name="_Toc16058"/>
      <w:bookmarkStart w:id="111" w:name="_Toc15291"/>
      <w:r>
        <w:rPr>
          <w:rFonts w:hint="eastAsia"/>
          <w:sz w:val="24"/>
          <w:szCs w:val="24"/>
        </w:rPr>
        <w:t>电</w:t>
      </w:r>
      <w:r>
        <w:rPr>
          <w:rFonts w:hint="eastAsia"/>
          <w:sz w:val="24"/>
          <w:szCs w:val="24"/>
        </w:rPr>
        <w:tab/>
      </w:r>
      <w:r>
        <w:rPr>
          <w:rFonts w:hint="eastAsia"/>
          <w:sz w:val="24"/>
          <w:szCs w:val="24"/>
        </w:rPr>
        <w:t>话：</w:t>
      </w:r>
      <w:r>
        <w:rPr>
          <w:rFonts w:hint="eastAsia"/>
          <w:sz w:val="24"/>
          <w:szCs w:val="24"/>
        </w:rPr>
        <w:tab/>
      </w:r>
      <w:r>
        <w:rPr>
          <w:rFonts w:hint="eastAsia"/>
          <w:sz w:val="24"/>
          <w:szCs w:val="24"/>
          <w:lang w:val="en-US" w:eastAsia="zh-CN"/>
        </w:rPr>
        <w:t xml:space="preserve">                           </w:t>
      </w:r>
      <w:r>
        <w:rPr>
          <w:rFonts w:hint="eastAsia"/>
          <w:sz w:val="24"/>
          <w:szCs w:val="24"/>
        </w:rPr>
        <w:t>电</w:t>
      </w:r>
      <w:r>
        <w:rPr>
          <w:rFonts w:hint="eastAsia"/>
          <w:sz w:val="24"/>
          <w:szCs w:val="24"/>
        </w:rPr>
        <w:tab/>
      </w:r>
      <w:r>
        <w:rPr>
          <w:rFonts w:hint="eastAsia"/>
          <w:sz w:val="24"/>
          <w:szCs w:val="24"/>
        </w:rPr>
        <w:t>话：</w:t>
      </w:r>
      <w:bookmarkEnd w:id="110"/>
      <w:bookmarkEnd w:id="111"/>
    </w:p>
    <w:p>
      <w:pPr>
        <w:pStyle w:val="3"/>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lang w:eastAsia="zh-CN"/>
        </w:rPr>
      </w:pPr>
      <w:bookmarkStart w:id="112" w:name="_Toc22352"/>
      <w:bookmarkStart w:id="113" w:name="_Toc32463"/>
      <w:r>
        <w:rPr>
          <w:rFonts w:hint="eastAsia"/>
          <w:sz w:val="24"/>
          <w:szCs w:val="24"/>
        </w:rPr>
        <w:t>签订时间：</w:t>
      </w:r>
      <w:r>
        <w:rPr>
          <w:rFonts w:hint="eastAsia"/>
          <w:sz w:val="24"/>
          <w:szCs w:val="24"/>
        </w:rPr>
        <w:tab/>
      </w:r>
      <w:r>
        <w:rPr>
          <w:rFonts w:hint="eastAsia"/>
          <w:sz w:val="24"/>
          <w:szCs w:val="24"/>
          <w:lang w:val="en-US" w:eastAsia="zh-CN"/>
        </w:rPr>
        <w:t xml:space="preserve">           </w:t>
      </w:r>
      <w:r>
        <w:rPr>
          <w:rFonts w:hint="eastAsia"/>
          <w:sz w:val="24"/>
          <w:szCs w:val="24"/>
        </w:rPr>
        <w:t>签订时间</w:t>
      </w:r>
      <w:r>
        <w:rPr>
          <w:rFonts w:hint="eastAsia"/>
          <w:sz w:val="24"/>
          <w:szCs w:val="24"/>
          <w:lang w:eastAsia="zh-CN"/>
        </w:rPr>
        <w:t>：</w:t>
      </w:r>
      <w:bookmarkEnd w:id="112"/>
      <w:bookmarkEnd w:id="113"/>
    </w:p>
    <w:p>
      <w:pPr>
        <w:pStyle w:val="21"/>
        <w:rPr>
          <w:rFonts w:hint="eastAsia"/>
          <w:sz w:val="24"/>
          <w:szCs w:val="24"/>
          <w:lang w:eastAsia="zh-CN"/>
        </w:rPr>
      </w:pPr>
    </w:p>
    <w:p>
      <w:pPr>
        <w:pStyle w:val="22"/>
        <w:rPr>
          <w:rFonts w:hint="eastAsia"/>
          <w:sz w:val="24"/>
          <w:szCs w:val="24"/>
          <w:lang w:eastAsia="zh-CN"/>
        </w:rPr>
      </w:pPr>
    </w:p>
    <w:p>
      <w:pPr>
        <w:pStyle w:val="2"/>
        <w:ind w:left="0" w:leftChars="0" w:firstLine="0" w:firstLineChars="0"/>
        <w:rPr>
          <w:rFonts w:hint="eastAsia"/>
          <w:sz w:val="24"/>
          <w:szCs w:val="24"/>
          <w:lang w:eastAsia="zh-CN"/>
        </w:rPr>
      </w:pPr>
    </w:p>
    <w:p>
      <w:pPr>
        <w:pStyle w:val="3"/>
        <w:keepNext w:val="0"/>
        <w:keepLines w:val="0"/>
        <w:pageBreakBefore w:val="0"/>
        <w:numPr>
          <w:ilvl w:val="0"/>
          <w:numId w:val="1"/>
        </w:numPr>
        <w:kinsoku/>
        <w:wordWrap w:val="0"/>
        <w:overflowPunct/>
        <w:topLinePunct w:val="0"/>
        <w:bidi w:val="0"/>
        <w:spacing w:before="353" w:line="360" w:lineRule="auto"/>
        <w:ind w:left="14" w:leftChars="0" w:hanging="14" w:firstLineChars="0"/>
        <w:jc w:val="center"/>
        <w:outlineLvl w:val="0"/>
        <w:rPr>
          <w:spacing w:val="-5"/>
          <w:sz w:val="36"/>
          <w:szCs w:val="36"/>
          <w14:textOutline w14:w="2306" w14:cap="flat" w14:cmpd="sng">
            <w14:solidFill>
              <w14:srgbClr w14:val="000000"/>
            </w14:solidFill>
            <w14:prstDash w14:val="solid"/>
            <w14:miter w14:val="0"/>
          </w14:textOutline>
        </w:rPr>
      </w:pPr>
      <w:bookmarkStart w:id="114" w:name="_Toc31124"/>
      <w:r>
        <w:rPr>
          <w:spacing w:val="-5"/>
          <w:sz w:val="36"/>
          <w:szCs w:val="36"/>
          <w14:textOutline w14:w="2306" w14:cap="flat" w14:cmpd="sng">
            <w14:solidFill>
              <w14:srgbClr w14:val="000000"/>
            </w14:solidFill>
            <w14:prstDash w14:val="solid"/>
            <w14:miter w14:val="0"/>
          </w14:textOutline>
        </w:rPr>
        <w:t>响应文件格式</w:t>
      </w:r>
      <w:bookmarkEnd w:id="114"/>
    </w:p>
    <w:p>
      <w:pPr>
        <w:pStyle w:val="20"/>
      </w:pPr>
    </w:p>
    <w:p>
      <w:pPr>
        <w:rPr>
          <w:rFonts w:hint="eastAsia"/>
          <w:b/>
          <w:bCs/>
          <w:sz w:val="28"/>
          <w:szCs w:val="28"/>
        </w:rPr>
      </w:pPr>
      <w:r>
        <w:rPr>
          <w:rFonts w:hint="eastAsia"/>
          <w:b/>
          <w:bCs/>
          <w:sz w:val="28"/>
          <w:szCs w:val="28"/>
        </w:rPr>
        <w:t>供应商编制文件须知</w:t>
      </w:r>
    </w:p>
    <w:p>
      <w:pPr>
        <w:rPr>
          <w:rFonts w:hint="eastAsia"/>
          <w:b/>
          <w:bCs/>
          <w:sz w:val="28"/>
          <w:szCs w:val="28"/>
        </w:rPr>
      </w:pPr>
      <w:r>
        <w:rPr>
          <w:rFonts w:hint="eastAsia"/>
          <w:b/>
          <w:bCs/>
          <w:sz w:val="28"/>
          <w:szCs w:val="28"/>
        </w:rPr>
        <w:t>1.供应商按照本部分的顺序编制响应文件，编制中涉及格式资料的，应按照本部分提供的内容和格式（所有表格的格式可扩展）填写提交。</w:t>
      </w:r>
    </w:p>
    <w:p>
      <w:pPr>
        <w:rPr>
          <w:rFonts w:hint="eastAsia"/>
          <w:b/>
          <w:bCs/>
          <w:sz w:val="28"/>
          <w:szCs w:val="28"/>
        </w:rPr>
      </w:pPr>
      <w:r>
        <w:rPr>
          <w:rFonts w:hint="eastAsia"/>
          <w:b/>
          <w:bCs/>
          <w:sz w:val="28"/>
          <w:szCs w:val="28"/>
        </w:rPr>
        <w:t>2.全部声明和问题的回答及所附材料必须是真实的、准确的和完整的。</w:t>
      </w:r>
    </w:p>
    <w:p/>
    <w:p>
      <w:pPr>
        <w:pStyle w:val="20"/>
      </w:pPr>
    </w:p>
    <w:p/>
    <w:p/>
    <w:p/>
    <w:p/>
    <w:p/>
    <w:p/>
    <w:p/>
    <w:p/>
    <w:p/>
    <w:p/>
    <w:p/>
    <w:p/>
    <w:p/>
    <w:p/>
    <w:p/>
    <w:p/>
    <w:p/>
    <w:p/>
    <w:p/>
    <w:p/>
    <w:p/>
    <w:p/>
    <w:p/>
    <w:p/>
    <w:p/>
    <w:p/>
    <w:p/>
    <w:p/>
    <w:p/>
    <w:p/>
    <w:p/>
    <w:p/>
    <w:p/>
    <w:p/>
    <w:p/>
    <w:p/>
    <w:p/>
    <w:p/>
    <w:p/>
    <w:p/>
    <w:p/>
    <w:p/>
    <w:p/>
    <w:p/>
    <w:p/>
    <w:p/>
    <w:p/>
    <w:p/>
    <w:p>
      <w:pPr>
        <w:spacing w:before="0"/>
        <w:ind w:left="220" w:right="0" w:firstLine="0"/>
        <w:jc w:val="left"/>
        <w:rPr>
          <w:b/>
          <w:bCs/>
          <w:sz w:val="24"/>
        </w:rPr>
      </w:pPr>
      <w:bookmarkStart w:id="115" w:name="_Toc5802"/>
      <w:r>
        <w:rPr>
          <w:b/>
          <w:bCs/>
          <w:sz w:val="24"/>
        </w:rPr>
        <w:t>响应文件封面格式</w:t>
      </w:r>
    </w:p>
    <w:p>
      <w:pPr>
        <w:pStyle w:val="3"/>
        <w:rPr>
          <w:sz w:val="20"/>
        </w:rPr>
      </w:pPr>
    </w:p>
    <w:p>
      <w:pPr>
        <w:pStyle w:val="3"/>
        <w:rPr>
          <w:sz w:val="20"/>
        </w:rPr>
      </w:pPr>
    </w:p>
    <w:p>
      <w:pPr>
        <w:pStyle w:val="3"/>
        <w:rPr>
          <w:sz w:val="20"/>
        </w:rPr>
      </w:pPr>
    </w:p>
    <w:p>
      <w:pPr>
        <w:pStyle w:val="3"/>
        <w:spacing w:before="4"/>
        <w:rPr>
          <w:sz w:val="16"/>
        </w:rPr>
      </w:pPr>
    </w:p>
    <w:p>
      <w:pPr>
        <w:tabs>
          <w:tab w:val="left" w:pos="4419"/>
        </w:tabs>
        <w:spacing w:before="57"/>
        <w:ind w:left="0" w:right="16" w:firstLine="0"/>
        <w:jc w:val="center"/>
        <w:rPr>
          <w:b/>
          <w:sz w:val="40"/>
        </w:rPr>
      </w:pPr>
      <w:r>
        <w:rPr>
          <w:rFonts w:ascii="Times New Roman" w:eastAsia="Times New Roman"/>
          <w:b/>
          <w:w w:val="100"/>
          <w:sz w:val="40"/>
          <w:u w:val="thick"/>
        </w:rPr>
        <w:t xml:space="preserve"> </w:t>
      </w:r>
      <w:r>
        <w:rPr>
          <w:rFonts w:ascii="Times New Roman" w:eastAsia="Times New Roman"/>
          <w:b/>
          <w:sz w:val="40"/>
          <w:u w:val="thick"/>
        </w:rPr>
        <w:tab/>
      </w:r>
      <w:r>
        <w:rPr>
          <w:b/>
          <w:sz w:val="40"/>
        </w:rPr>
        <w:t>项目</w:t>
      </w: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spacing w:before="172"/>
        <w:ind w:left="0" w:right="18" w:firstLine="0"/>
        <w:jc w:val="center"/>
        <w:outlineLvl w:val="1"/>
        <w:rPr>
          <w:sz w:val="72"/>
          <w:highlight w:val="none"/>
        </w:rPr>
      </w:pPr>
      <w:bookmarkStart w:id="116" w:name="_Toc11199"/>
      <w:bookmarkStart w:id="117" w:name="_Toc26935"/>
      <w:r>
        <w:rPr>
          <w:sz w:val="72"/>
          <w:highlight w:val="none"/>
        </w:rPr>
        <w:t>响应文件</w:t>
      </w:r>
      <w:bookmarkEnd w:id="116"/>
      <w:bookmarkEnd w:id="117"/>
    </w:p>
    <w:p>
      <w:pPr>
        <w:spacing w:before="167"/>
        <w:ind w:left="0" w:right="18" w:firstLine="0"/>
        <w:jc w:val="center"/>
        <w:outlineLvl w:val="9"/>
        <w:rPr>
          <w:sz w:val="24"/>
        </w:rPr>
      </w:pPr>
      <w:r>
        <w:rPr>
          <w:sz w:val="24"/>
        </w:rPr>
        <w:t>采购编号：</w:t>
      </w: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14"/>
      </w:pPr>
    </w:p>
    <w:p>
      <w:pPr>
        <w:pStyle w:val="14"/>
      </w:pPr>
    </w:p>
    <w:p>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供应商名称（公章）：</w:t>
      </w:r>
    </w:p>
    <w:p>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jc w:val="center"/>
        <w:outlineLvl w:val="9"/>
        <w:rPr>
          <w:b/>
          <w:bCs/>
          <w:w w:val="95"/>
          <w:sz w:val="36"/>
          <w:szCs w:val="36"/>
        </w:rPr>
      </w:pPr>
    </w:p>
    <w:p>
      <w:pPr>
        <w:jc w:val="center"/>
        <w:outlineLvl w:val="9"/>
        <w:rPr>
          <w:b/>
          <w:bCs/>
          <w:w w:val="95"/>
          <w:sz w:val="36"/>
          <w:szCs w:val="36"/>
        </w:rPr>
      </w:pPr>
    </w:p>
    <w:p>
      <w:pPr>
        <w:jc w:val="center"/>
        <w:outlineLvl w:val="9"/>
        <w:rPr>
          <w:b/>
          <w:bCs/>
          <w:w w:val="95"/>
          <w:sz w:val="36"/>
          <w:szCs w:val="36"/>
        </w:rPr>
      </w:pPr>
    </w:p>
    <w:p>
      <w:pPr>
        <w:jc w:val="center"/>
        <w:outlineLvl w:val="9"/>
        <w:rPr>
          <w:b/>
          <w:bCs/>
          <w:w w:val="95"/>
          <w:sz w:val="36"/>
          <w:szCs w:val="36"/>
        </w:rPr>
      </w:pPr>
    </w:p>
    <w:p>
      <w:pPr>
        <w:jc w:val="center"/>
        <w:outlineLvl w:val="9"/>
        <w:rPr>
          <w:b/>
          <w:bCs/>
          <w:w w:val="95"/>
          <w:sz w:val="36"/>
          <w:szCs w:val="36"/>
        </w:rPr>
      </w:pPr>
    </w:p>
    <w:p>
      <w:pPr>
        <w:jc w:val="center"/>
        <w:outlineLvl w:val="9"/>
        <w:rPr>
          <w:rFonts w:hint="eastAsia" w:eastAsia="宋体"/>
          <w:b/>
          <w:bCs/>
          <w:w w:val="95"/>
          <w:sz w:val="36"/>
          <w:szCs w:val="36"/>
          <w:lang w:val="en-US" w:eastAsia="zh-CN"/>
        </w:rPr>
      </w:pPr>
    </w:p>
    <w:p>
      <w:pPr>
        <w:pStyle w:val="2"/>
        <w:rPr>
          <w:rFonts w:hint="eastAsia" w:eastAsia="宋体"/>
          <w:b/>
          <w:bCs/>
          <w:w w:val="95"/>
          <w:sz w:val="36"/>
          <w:szCs w:val="36"/>
          <w:lang w:val="en-US" w:eastAsia="zh-CN"/>
        </w:rPr>
      </w:pPr>
    </w:p>
    <w:p>
      <w:pPr>
        <w:pStyle w:val="4"/>
        <w:rPr>
          <w:rFonts w:hint="eastAsia" w:eastAsia="宋体"/>
          <w:b/>
          <w:bCs/>
          <w:w w:val="95"/>
          <w:sz w:val="36"/>
          <w:szCs w:val="36"/>
          <w:lang w:val="en-US" w:eastAsia="zh-CN"/>
        </w:rPr>
      </w:pPr>
    </w:p>
    <w:p>
      <w:pPr>
        <w:rPr>
          <w:rFonts w:hint="eastAsia"/>
          <w:lang w:val="en-US" w:eastAsia="zh-CN"/>
        </w:rPr>
      </w:pPr>
    </w:p>
    <w:p>
      <w:pPr>
        <w:jc w:val="center"/>
        <w:outlineLvl w:val="9"/>
        <w:rPr>
          <w:rFonts w:hint="eastAsia" w:eastAsia="宋体"/>
          <w:b/>
          <w:bCs/>
          <w:w w:val="95"/>
          <w:sz w:val="36"/>
          <w:szCs w:val="36"/>
          <w:lang w:val="en-US" w:eastAsia="zh-CN"/>
        </w:rPr>
      </w:pPr>
      <w:r>
        <w:rPr>
          <w:rFonts w:hint="eastAsia" w:eastAsia="宋体"/>
          <w:b/>
          <w:bCs/>
          <w:w w:val="95"/>
          <w:sz w:val="36"/>
          <w:szCs w:val="36"/>
          <w:lang w:val="en-US" w:eastAsia="zh-CN"/>
        </w:rPr>
        <w:t>目  录</w:t>
      </w:r>
    </w:p>
    <w:p>
      <w:pPr>
        <w:jc w:val="center"/>
        <w:outlineLvl w:val="9"/>
        <w:rPr>
          <w:rFonts w:hint="eastAsia" w:eastAsia="宋体"/>
          <w:b/>
          <w:bCs/>
          <w:w w:val="95"/>
          <w:sz w:val="36"/>
          <w:szCs w:val="36"/>
          <w:lang w:val="en-US" w:eastAsia="zh-CN"/>
        </w:rPr>
      </w:pPr>
    </w:p>
    <w:p>
      <w:pPr>
        <w:jc w:val="center"/>
        <w:outlineLvl w:val="9"/>
        <w:rPr>
          <w:rFonts w:hint="eastAsia" w:eastAsia="宋体"/>
          <w:b/>
          <w:bCs/>
          <w:w w:val="95"/>
          <w:sz w:val="36"/>
          <w:szCs w:val="36"/>
          <w:lang w:val="en-US" w:eastAsia="zh-CN"/>
        </w:rPr>
      </w:pPr>
    </w:p>
    <w:p>
      <w:pPr>
        <w:jc w:val="center"/>
        <w:outlineLvl w:val="9"/>
        <w:rPr>
          <w:rFonts w:hint="eastAsia" w:eastAsia="宋体"/>
          <w:b/>
          <w:bCs/>
          <w:w w:val="95"/>
          <w:sz w:val="32"/>
          <w:szCs w:val="32"/>
          <w:lang w:val="en-US" w:eastAsia="zh-CN"/>
        </w:rPr>
      </w:pPr>
      <w:r>
        <w:rPr>
          <w:rFonts w:hint="eastAsia" w:eastAsia="宋体"/>
          <w:b/>
          <w:bCs/>
          <w:w w:val="95"/>
          <w:sz w:val="32"/>
          <w:szCs w:val="32"/>
          <w:lang w:val="en-US" w:eastAsia="zh-CN"/>
        </w:rPr>
        <w:t>（由供应商自行编制并设置页码）</w:t>
      </w:r>
    </w:p>
    <w:p>
      <w:pPr>
        <w:jc w:val="center"/>
        <w:outlineLvl w:val="9"/>
        <w:rPr>
          <w:b/>
          <w:bCs/>
          <w:w w:val="95"/>
          <w:sz w:val="36"/>
          <w:szCs w:val="36"/>
        </w:rPr>
      </w:pPr>
    </w:p>
    <w:p>
      <w:pPr>
        <w:jc w:val="center"/>
        <w:outlineLvl w:val="9"/>
        <w:rPr>
          <w:b/>
          <w:bCs/>
          <w:w w:val="95"/>
          <w:sz w:val="36"/>
          <w:szCs w:val="36"/>
        </w:rPr>
      </w:pPr>
    </w:p>
    <w:p>
      <w:pPr>
        <w:jc w:val="center"/>
        <w:outlineLvl w:val="9"/>
        <w:rPr>
          <w:b/>
          <w:bCs/>
          <w:w w:val="95"/>
          <w:sz w:val="36"/>
          <w:szCs w:val="36"/>
        </w:rPr>
      </w:pPr>
    </w:p>
    <w:p>
      <w:pPr>
        <w:jc w:val="center"/>
        <w:outlineLvl w:val="9"/>
        <w:rPr>
          <w:b/>
          <w:bCs/>
          <w:w w:val="95"/>
          <w:sz w:val="36"/>
          <w:szCs w:val="36"/>
        </w:rPr>
      </w:pPr>
    </w:p>
    <w:p>
      <w:pPr>
        <w:jc w:val="center"/>
        <w:outlineLvl w:val="9"/>
        <w:rPr>
          <w:b/>
          <w:bCs/>
          <w:w w:val="95"/>
          <w:sz w:val="36"/>
          <w:szCs w:val="36"/>
        </w:rPr>
      </w:pPr>
    </w:p>
    <w:p>
      <w:pPr>
        <w:jc w:val="center"/>
        <w:outlineLvl w:val="9"/>
        <w:rPr>
          <w:b/>
          <w:bCs/>
          <w:w w:val="95"/>
          <w:sz w:val="36"/>
          <w:szCs w:val="36"/>
        </w:rPr>
      </w:pPr>
    </w:p>
    <w:p>
      <w:pPr>
        <w:jc w:val="center"/>
        <w:outlineLvl w:val="9"/>
        <w:rPr>
          <w:b/>
          <w:bCs/>
          <w:w w:val="95"/>
          <w:sz w:val="36"/>
          <w:szCs w:val="36"/>
        </w:rPr>
      </w:pPr>
    </w:p>
    <w:p>
      <w:pPr>
        <w:jc w:val="center"/>
        <w:outlineLvl w:val="9"/>
        <w:rPr>
          <w:b/>
          <w:bCs/>
          <w:w w:val="95"/>
          <w:sz w:val="36"/>
          <w:szCs w:val="36"/>
        </w:rPr>
      </w:pPr>
    </w:p>
    <w:p>
      <w:pPr>
        <w:jc w:val="center"/>
        <w:outlineLvl w:val="9"/>
        <w:rPr>
          <w:b/>
          <w:bCs/>
          <w:w w:val="95"/>
          <w:sz w:val="36"/>
          <w:szCs w:val="36"/>
        </w:rPr>
      </w:pPr>
    </w:p>
    <w:p>
      <w:pPr>
        <w:jc w:val="center"/>
        <w:outlineLvl w:val="9"/>
        <w:rPr>
          <w:b/>
          <w:bCs/>
          <w:w w:val="95"/>
          <w:sz w:val="36"/>
          <w:szCs w:val="36"/>
        </w:rPr>
      </w:pPr>
    </w:p>
    <w:p>
      <w:pPr>
        <w:jc w:val="center"/>
        <w:outlineLvl w:val="9"/>
        <w:rPr>
          <w:b/>
          <w:bCs/>
          <w:w w:val="95"/>
          <w:sz w:val="36"/>
          <w:szCs w:val="36"/>
        </w:rPr>
      </w:pPr>
    </w:p>
    <w:p>
      <w:pPr>
        <w:jc w:val="center"/>
        <w:outlineLvl w:val="9"/>
        <w:rPr>
          <w:b/>
          <w:bCs/>
          <w:w w:val="95"/>
          <w:sz w:val="36"/>
          <w:szCs w:val="36"/>
        </w:rPr>
      </w:pPr>
    </w:p>
    <w:p>
      <w:pPr>
        <w:pStyle w:val="2"/>
        <w:rPr>
          <w:b/>
          <w:bCs/>
          <w:w w:val="95"/>
          <w:sz w:val="36"/>
          <w:szCs w:val="36"/>
        </w:rPr>
      </w:pPr>
    </w:p>
    <w:p>
      <w:pPr>
        <w:pStyle w:val="4"/>
        <w:rPr>
          <w:b/>
          <w:bCs/>
          <w:w w:val="95"/>
          <w:sz w:val="36"/>
          <w:szCs w:val="36"/>
        </w:rPr>
      </w:pPr>
    </w:p>
    <w:p>
      <w:pPr>
        <w:rPr>
          <w:b/>
          <w:bCs/>
          <w:w w:val="95"/>
          <w:sz w:val="36"/>
          <w:szCs w:val="36"/>
        </w:rPr>
      </w:pPr>
    </w:p>
    <w:p>
      <w:pPr>
        <w:pStyle w:val="2"/>
        <w:rPr>
          <w:b/>
          <w:bCs/>
          <w:w w:val="95"/>
          <w:sz w:val="36"/>
          <w:szCs w:val="36"/>
        </w:rPr>
      </w:pPr>
    </w:p>
    <w:p>
      <w:pPr>
        <w:pStyle w:val="4"/>
        <w:rPr>
          <w:b/>
          <w:bCs/>
          <w:w w:val="95"/>
          <w:sz w:val="36"/>
          <w:szCs w:val="36"/>
        </w:rPr>
      </w:pPr>
    </w:p>
    <w:p>
      <w:pPr>
        <w:rPr>
          <w:b/>
          <w:bCs/>
          <w:w w:val="95"/>
          <w:sz w:val="36"/>
          <w:szCs w:val="36"/>
        </w:rPr>
      </w:pPr>
    </w:p>
    <w:p>
      <w:pPr>
        <w:pStyle w:val="2"/>
        <w:rPr>
          <w:b/>
          <w:bCs/>
          <w:w w:val="95"/>
          <w:sz w:val="36"/>
          <w:szCs w:val="36"/>
        </w:rPr>
      </w:pPr>
    </w:p>
    <w:p>
      <w:pPr>
        <w:pStyle w:val="4"/>
        <w:rPr>
          <w:b/>
          <w:bCs/>
          <w:w w:val="95"/>
          <w:sz w:val="36"/>
          <w:szCs w:val="36"/>
        </w:rPr>
      </w:pPr>
    </w:p>
    <w:p>
      <w:pPr>
        <w:rPr>
          <w:b/>
          <w:bCs/>
          <w:w w:val="95"/>
          <w:sz w:val="36"/>
          <w:szCs w:val="36"/>
        </w:rPr>
      </w:pPr>
    </w:p>
    <w:p>
      <w:pPr>
        <w:pStyle w:val="2"/>
        <w:rPr>
          <w:b/>
          <w:bCs/>
          <w:w w:val="95"/>
          <w:sz w:val="36"/>
          <w:szCs w:val="36"/>
        </w:rPr>
      </w:pPr>
    </w:p>
    <w:p>
      <w:pPr>
        <w:pStyle w:val="4"/>
        <w:rPr>
          <w:b/>
          <w:bCs/>
          <w:w w:val="95"/>
          <w:sz w:val="36"/>
          <w:szCs w:val="36"/>
        </w:rPr>
      </w:pPr>
    </w:p>
    <w:p>
      <w:pPr>
        <w:rPr>
          <w:b/>
          <w:bCs/>
          <w:w w:val="95"/>
          <w:sz w:val="36"/>
          <w:szCs w:val="36"/>
        </w:rPr>
      </w:pPr>
    </w:p>
    <w:p>
      <w:pPr>
        <w:jc w:val="both"/>
        <w:outlineLvl w:val="9"/>
        <w:rPr>
          <w:b/>
          <w:bCs/>
          <w:w w:val="95"/>
          <w:sz w:val="36"/>
          <w:szCs w:val="36"/>
        </w:rPr>
      </w:pPr>
    </w:p>
    <w:p>
      <w:pPr>
        <w:jc w:val="center"/>
        <w:outlineLvl w:val="9"/>
        <w:rPr>
          <w:b/>
          <w:bCs/>
          <w:w w:val="95"/>
          <w:sz w:val="36"/>
          <w:szCs w:val="36"/>
        </w:rPr>
      </w:pPr>
    </w:p>
    <w:bookmarkEnd w:id="115"/>
    <w:p>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lang w:eastAsia="zh-CN"/>
        </w:rPr>
      </w:pPr>
      <w:r>
        <w:rPr>
          <w:rFonts w:hint="eastAsia" w:asciiTheme="majorEastAsia" w:hAnsiTheme="majorEastAsia" w:eastAsiaTheme="majorEastAsia" w:cstheme="majorEastAsia"/>
          <w:b/>
          <w:bCs/>
          <w:snapToGrid/>
          <w:spacing w:val="-3"/>
          <w:kern w:val="2"/>
          <w:sz w:val="32"/>
          <w:szCs w:val="32"/>
          <w:lang w:eastAsia="zh-CN"/>
        </w:rPr>
        <w:t>一、响应函格式</w:t>
      </w:r>
    </w:p>
    <w:p>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lang w:eastAsia="zh-CN"/>
        </w:rPr>
      </w:pPr>
    </w:p>
    <w:p>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lang w:eastAsia="zh-CN"/>
        </w:rPr>
      </w:pPr>
      <w:r>
        <w:rPr>
          <w:rFonts w:hint="eastAsia" w:ascii="宋体" w:hAnsi="宋体" w:eastAsia="宋体" w:cs="宋体"/>
          <w:b/>
          <w:bCs/>
          <w:snapToGrid/>
          <w:spacing w:val="-3"/>
          <w:kern w:val="2"/>
          <w:sz w:val="28"/>
          <w:szCs w:val="28"/>
          <w:lang w:eastAsia="zh-CN"/>
        </w:rPr>
        <w:t>响   应   函</w:t>
      </w:r>
    </w:p>
    <w:p>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p>
    <w:p>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致：</w:t>
      </w:r>
      <w:r>
        <w:rPr>
          <w:rFonts w:hint="eastAsia" w:ascii="宋体" w:hAnsi="宋体" w:eastAsia="宋体" w:cs="宋体"/>
          <w:snapToGrid/>
          <w:kern w:val="2"/>
          <w:sz w:val="24"/>
          <w:szCs w:val="24"/>
          <w:lang w:eastAsia="zh-CN"/>
        </w:rPr>
        <w:t>采购人或采购代理机构</w:t>
      </w:r>
      <w:r>
        <w:rPr>
          <w:rFonts w:hint="eastAsia" w:ascii="宋体" w:hAnsi="宋体" w:eastAsia="宋体" w:cs="宋体"/>
          <w:snapToGrid/>
          <w:spacing w:val="-3"/>
          <w:kern w:val="2"/>
          <w:sz w:val="24"/>
          <w:szCs w:val="24"/>
          <w:lang w:eastAsia="zh-CN"/>
        </w:rPr>
        <w:t>：</w:t>
      </w:r>
    </w:p>
    <w:p>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u w:val="single"/>
          <w:lang w:eastAsia="zh-CN"/>
        </w:rPr>
        <w:t xml:space="preserve">一 </w:t>
      </w:r>
      <w:r>
        <w:rPr>
          <w:rFonts w:hint="eastAsia" w:ascii="宋体" w:hAnsi="宋体" w:eastAsia="宋体" w:cs="宋体"/>
          <w:snapToGrid/>
          <w:spacing w:val="-3"/>
          <w:kern w:val="2"/>
          <w:sz w:val="24"/>
          <w:szCs w:val="24"/>
          <w:lang w:eastAsia="zh-CN"/>
        </w:rPr>
        <w:t>项至第</w:t>
      </w:r>
      <w:r>
        <w:rPr>
          <w:rFonts w:hint="eastAsia" w:ascii="宋体" w:hAnsi="宋体" w:eastAsia="宋体" w:cs="宋体"/>
          <w:snapToGrid/>
          <w:spacing w:val="-3"/>
          <w:kern w:val="2"/>
          <w:sz w:val="24"/>
          <w:szCs w:val="24"/>
          <w:u w:val="single"/>
          <w:lang w:eastAsia="zh-CN"/>
        </w:rPr>
        <w:t xml:space="preserve">  </w:t>
      </w:r>
      <w:r>
        <w:rPr>
          <w:rFonts w:hint="eastAsia" w:ascii="宋体" w:hAnsi="宋体" w:eastAsia="宋体" w:cs="宋体"/>
          <w:snapToGrid/>
          <w:spacing w:val="-3"/>
          <w:kern w:val="2"/>
          <w:sz w:val="24"/>
          <w:szCs w:val="24"/>
          <w:lang w:eastAsia="zh-CN"/>
        </w:rPr>
        <w:t>项的响应文件电子版本一份。</w:t>
      </w:r>
    </w:p>
    <w:p>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据此函，签字代表宣布同意并郑重承诺如下：</w:t>
      </w:r>
    </w:p>
    <w:p>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1、我方递交的响应文件中所有的资料均为真实的、准确的，无任何虚假内容。若存在有虚假内容，我方愿意承担法律责任。</w:t>
      </w:r>
    </w:p>
    <w:p>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2、我方已详细审查全部竞争性磋商文件，包括修改文件（如有的话）以及全部参考资料和有关附件。我们完全理解并同意放弃对这方面有不明白及误解的权利。</w:t>
      </w:r>
    </w:p>
    <w:p>
      <w:pPr>
        <w:widowControl w:val="0"/>
        <w:spacing w:after="120" w:afterLines="0" w:line="360" w:lineRule="auto"/>
        <w:ind w:firstLine="468" w:firstLineChars="200"/>
        <w:jc w:val="both"/>
        <w:rPr>
          <w:rFonts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pPr>
        <w:widowControl w:val="0"/>
        <w:spacing w:after="120" w:afterLines="0" w:line="360" w:lineRule="auto"/>
        <w:ind w:firstLine="468" w:firstLineChars="200"/>
        <w:jc w:val="both"/>
        <w:rPr>
          <w:rFonts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4、我方保证，严格遵守</w:t>
      </w:r>
      <w:r>
        <w:rPr>
          <w:rFonts w:hint="eastAsia" w:ascii="宋体" w:hAnsi="宋体" w:eastAsia="宋体" w:cs="宋体"/>
          <w:kern w:val="2"/>
          <w:sz w:val="24"/>
          <w:szCs w:val="24"/>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lang w:val="en-US" w:eastAsia="zh-CN" w:bidi="ar-SA"/>
        </w:rPr>
        <w:t>《政府采购竞争性磋商采购方式管理暂行办法》</w:t>
      </w:r>
      <w:r>
        <w:rPr>
          <w:rFonts w:hint="eastAsia" w:ascii="宋体" w:hAnsi="宋体" w:eastAsia="宋体" w:cs="宋体"/>
          <w:spacing w:val="-3"/>
          <w:kern w:val="2"/>
          <w:sz w:val="24"/>
          <w:szCs w:val="24"/>
          <w:lang w:val="en-US" w:eastAsia="zh-CN" w:bidi="ar-SA"/>
        </w:rPr>
        <w:t>及其他相关法律法规的规定，若有违反上述法律法规的行为，愿意接受处罚并承担相应的法律责任。</w:t>
      </w:r>
    </w:p>
    <w:p>
      <w:pPr>
        <w:widowControl w:val="0"/>
        <w:spacing w:after="120" w:afterLines="0" w:line="360" w:lineRule="auto"/>
        <w:ind w:firstLine="468" w:firstLineChars="200"/>
        <w:jc w:val="both"/>
        <w:rPr>
          <w:rFonts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5、本承诺将成为合同不可分割的一部分，与合同具有同等的法律效力。</w:t>
      </w:r>
    </w:p>
    <w:p>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 xml:space="preserve">供应商名称（公章）：                     </w:t>
      </w:r>
    </w:p>
    <w:p>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法定代表人或负责人或被授权人签名（或盖章）：</w:t>
      </w:r>
    </w:p>
    <w:p>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lang w:eastAsia="zh-CN"/>
        </w:rPr>
      </w:pPr>
      <w:r>
        <w:rPr>
          <w:rFonts w:hint="eastAsia" w:ascii="宋体" w:hAnsi="宋体" w:eastAsia="宋体" w:cs="宋体"/>
          <w:snapToGrid/>
          <w:spacing w:val="-3"/>
          <w:kern w:val="2"/>
          <w:sz w:val="24"/>
          <w:szCs w:val="24"/>
          <w:lang w:eastAsia="zh-CN"/>
        </w:rPr>
        <w:t>日期：</w:t>
      </w:r>
      <w:r>
        <w:rPr>
          <w:rFonts w:hint="eastAsia" w:ascii="宋体" w:hAnsi="宋体" w:eastAsia="宋体" w:cs="宋体"/>
          <w:snapToGrid/>
          <w:spacing w:val="-3"/>
          <w:kern w:val="2"/>
          <w:sz w:val="24"/>
          <w:szCs w:val="24"/>
          <w:lang w:val="en-US" w:eastAsia="zh-CN"/>
        </w:rPr>
        <w:t xml:space="preserve">    </w:t>
      </w:r>
      <w:r>
        <w:rPr>
          <w:rFonts w:hint="eastAsia" w:ascii="宋体" w:hAnsi="宋体" w:eastAsia="宋体" w:cs="宋体"/>
          <w:snapToGrid/>
          <w:spacing w:val="-3"/>
          <w:kern w:val="2"/>
          <w:sz w:val="24"/>
          <w:szCs w:val="24"/>
          <w:lang w:eastAsia="zh-CN"/>
        </w:rPr>
        <w:t>年</w:t>
      </w:r>
      <w:r>
        <w:rPr>
          <w:rFonts w:hint="eastAsia" w:ascii="宋体" w:hAnsi="宋体" w:eastAsia="宋体" w:cs="宋体"/>
          <w:snapToGrid/>
          <w:spacing w:val="-3"/>
          <w:kern w:val="2"/>
          <w:sz w:val="24"/>
          <w:szCs w:val="24"/>
          <w:lang w:val="en-US" w:eastAsia="zh-CN"/>
        </w:rPr>
        <w:t xml:space="preserve">  </w:t>
      </w:r>
      <w:r>
        <w:rPr>
          <w:rFonts w:hint="eastAsia" w:ascii="宋体" w:hAnsi="宋体" w:eastAsia="宋体" w:cs="宋体"/>
          <w:snapToGrid/>
          <w:spacing w:val="-3"/>
          <w:kern w:val="2"/>
          <w:sz w:val="24"/>
          <w:szCs w:val="24"/>
          <w:lang w:eastAsia="zh-CN"/>
        </w:rPr>
        <w:t>月</w:t>
      </w:r>
      <w:r>
        <w:rPr>
          <w:rFonts w:hint="eastAsia" w:ascii="宋体" w:hAnsi="宋体" w:eastAsia="宋体" w:cs="宋体"/>
          <w:snapToGrid/>
          <w:spacing w:val="-3"/>
          <w:kern w:val="2"/>
          <w:sz w:val="24"/>
          <w:szCs w:val="24"/>
          <w:lang w:val="en-US" w:eastAsia="zh-CN"/>
        </w:rPr>
        <w:t xml:space="preserve">  </w:t>
      </w:r>
      <w:r>
        <w:rPr>
          <w:rFonts w:hint="eastAsia" w:ascii="宋体" w:hAnsi="宋体" w:eastAsia="宋体" w:cs="宋体"/>
          <w:snapToGrid/>
          <w:spacing w:val="-3"/>
          <w:kern w:val="2"/>
          <w:sz w:val="24"/>
          <w:szCs w:val="24"/>
          <w:lang w:eastAsia="zh-CN"/>
        </w:rPr>
        <w:t>日</w:t>
      </w:r>
    </w:p>
    <w:p>
      <w:pPr>
        <w:jc w:val="center"/>
        <w:outlineLvl w:val="9"/>
        <w:rPr>
          <w:b/>
          <w:bCs/>
          <w:w w:val="95"/>
          <w:sz w:val="36"/>
          <w:szCs w:val="36"/>
        </w:rPr>
      </w:pPr>
    </w:p>
    <w:p>
      <w:pPr>
        <w:pStyle w:val="31"/>
        <w:rPr>
          <w:b/>
          <w:bCs/>
          <w:w w:val="95"/>
          <w:sz w:val="36"/>
          <w:szCs w:val="36"/>
        </w:rPr>
      </w:pPr>
    </w:p>
    <w:p>
      <w:pPr>
        <w:pStyle w:val="31"/>
        <w:rPr>
          <w:b/>
          <w:bCs/>
          <w:w w:val="95"/>
          <w:sz w:val="36"/>
          <w:szCs w:val="36"/>
        </w:rPr>
      </w:pPr>
    </w:p>
    <w:p>
      <w:pPr>
        <w:pStyle w:val="31"/>
        <w:rPr>
          <w:b/>
          <w:bCs/>
          <w:w w:val="95"/>
          <w:sz w:val="36"/>
          <w:szCs w:val="36"/>
        </w:rPr>
      </w:pPr>
    </w:p>
    <w:p>
      <w:pPr>
        <w:pStyle w:val="31"/>
        <w:rPr>
          <w:b/>
          <w:bCs/>
          <w:w w:val="95"/>
          <w:sz w:val="36"/>
          <w:szCs w:val="36"/>
        </w:rPr>
      </w:pPr>
    </w:p>
    <w:p>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lang w:eastAsia="zh-CN"/>
        </w:rPr>
      </w:pPr>
      <w:r>
        <w:rPr>
          <w:rFonts w:hint="eastAsia" w:asciiTheme="majorEastAsia" w:hAnsiTheme="majorEastAsia" w:eastAsiaTheme="majorEastAsia" w:cstheme="majorEastAsia"/>
          <w:b/>
          <w:bCs/>
          <w:snapToGrid/>
          <w:spacing w:val="-3"/>
          <w:kern w:val="2"/>
          <w:sz w:val="32"/>
          <w:szCs w:val="32"/>
          <w:lang w:eastAsia="zh-CN"/>
        </w:rPr>
        <w:t>二、法定代表人或负责人授权委托书格式</w:t>
      </w:r>
    </w:p>
    <w:p>
      <w:pPr>
        <w:wordWrap w:val="0"/>
        <w:spacing w:line="360" w:lineRule="auto"/>
        <w:rPr>
          <w:rFonts w:ascii="宋体" w:hAnsi="宋体" w:cs="宋体"/>
          <w:spacing w:val="-3"/>
          <w:sz w:val="24"/>
        </w:rPr>
      </w:pPr>
    </w:p>
    <w:p>
      <w:pPr>
        <w:wordWrap w:val="0"/>
        <w:spacing w:line="360" w:lineRule="auto"/>
        <w:jc w:val="center"/>
        <w:rPr>
          <w:rFonts w:ascii="宋体" w:hAnsi="宋体" w:cs="宋体"/>
          <w:spacing w:val="-3"/>
          <w:sz w:val="24"/>
        </w:rPr>
      </w:pPr>
      <w:r>
        <w:rPr>
          <w:rFonts w:hint="eastAsia" w:ascii="宋体" w:hAnsi="宋体" w:cs="宋体"/>
          <w:b/>
          <w:bCs/>
          <w:spacing w:val="-3"/>
          <w:sz w:val="28"/>
          <w:szCs w:val="22"/>
        </w:rPr>
        <w:t>法定代表人或负责人授权委托书</w:t>
      </w:r>
    </w:p>
    <w:p>
      <w:pPr>
        <w:wordWrap w:val="0"/>
        <w:spacing w:line="360" w:lineRule="auto"/>
        <w:rPr>
          <w:rFonts w:ascii="宋体" w:hAnsi="宋体" w:cs="宋体"/>
          <w:spacing w:val="-3"/>
          <w:sz w:val="24"/>
        </w:rPr>
      </w:pPr>
    </w:p>
    <w:p>
      <w:pPr>
        <w:wordWrap w:val="0"/>
        <w:spacing w:line="360" w:lineRule="auto"/>
        <w:rPr>
          <w:rFonts w:ascii="宋体" w:hAnsi="宋体" w:cs="宋体"/>
          <w:spacing w:val="-3"/>
          <w:sz w:val="24"/>
        </w:rPr>
      </w:pPr>
      <w:r>
        <w:rPr>
          <w:rFonts w:hint="eastAsia" w:ascii="宋体" w:hAnsi="宋体" w:cs="宋体"/>
          <w:spacing w:val="-3"/>
          <w:sz w:val="24"/>
        </w:rPr>
        <w:t>致</w:t>
      </w:r>
      <w:r>
        <w:rPr>
          <w:rFonts w:hint="eastAsia" w:ascii="宋体" w:hAnsi="宋体" w:cs="宋体"/>
          <w:sz w:val="24"/>
        </w:rPr>
        <w:t>采购人或采购代理机构</w:t>
      </w:r>
      <w:r>
        <w:rPr>
          <w:rFonts w:hint="eastAsia" w:ascii="宋体" w:hAnsi="宋体" w:cs="宋体"/>
          <w:spacing w:val="-3"/>
          <w:sz w:val="24"/>
        </w:rPr>
        <w:t>：</w:t>
      </w:r>
    </w:p>
    <w:p>
      <w:pPr>
        <w:wordWrap w:val="0"/>
        <w:spacing w:line="360" w:lineRule="auto"/>
        <w:ind w:firstLine="702" w:firstLineChars="300"/>
        <w:rPr>
          <w:rFonts w:ascii="宋体" w:hAnsi="宋体" w:cs="宋体"/>
          <w:spacing w:val="-3"/>
          <w:sz w:val="24"/>
        </w:rPr>
      </w:pPr>
      <w:r>
        <w:rPr>
          <w:rFonts w:hint="eastAsia" w:ascii="宋体" w:hAnsi="宋体" w:cs="宋体"/>
          <w:spacing w:val="-3"/>
          <w:sz w:val="24"/>
        </w:rPr>
        <w:t>我_________（姓名）系_________（供应商名称）的法定代表人或负责人，现授权委托本单位在职职工</w:t>
      </w:r>
      <w:r>
        <w:rPr>
          <w:rFonts w:hint="eastAsia" w:ascii="宋体" w:hAnsi="宋体" w:cs="宋体"/>
          <w:spacing w:val="-3"/>
          <w:sz w:val="24"/>
          <w:u w:val="single"/>
        </w:rPr>
        <w:t>（姓名）</w:t>
      </w:r>
      <w:r>
        <w:rPr>
          <w:rFonts w:hint="eastAsia" w:ascii="宋体" w:hAnsi="宋体" w:cs="宋体"/>
          <w:spacing w:val="-3"/>
          <w:sz w:val="24"/>
        </w:rPr>
        <w:t>以我方的名义参加项目的竞争性磋商活动，并代表我方全权办理针对上述项目的具体事务和签署相关文件。我方对被授权人的签名事项负全部责任。</w:t>
      </w:r>
    </w:p>
    <w:p>
      <w:pPr>
        <w:wordWrap w:val="0"/>
        <w:spacing w:line="360" w:lineRule="auto"/>
        <w:ind w:firstLine="480"/>
        <w:rPr>
          <w:rFonts w:ascii="宋体" w:hAnsi="宋体" w:cs="宋体"/>
          <w:spacing w:val="-3"/>
          <w:sz w:val="24"/>
        </w:rPr>
      </w:pPr>
      <w:r>
        <w:rPr>
          <w:rFonts w:hint="eastAsia" w:ascii="宋体" w:hAnsi="宋体" w:cs="宋体"/>
          <w:spacing w:val="-3"/>
          <w:sz w:val="24"/>
        </w:rPr>
        <w:t>在撤销授权的书面通知以前，本授权书一直有效。被授权人在授权书有效期内签署的所有文件不因授权的撤销而失效。</w:t>
      </w:r>
    </w:p>
    <w:p>
      <w:pPr>
        <w:wordWrap w:val="0"/>
        <w:spacing w:line="360" w:lineRule="auto"/>
        <w:ind w:firstLine="480"/>
        <w:rPr>
          <w:rFonts w:ascii="宋体" w:hAnsi="宋体" w:cs="宋体"/>
          <w:spacing w:val="-3"/>
          <w:sz w:val="24"/>
        </w:rPr>
      </w:pPr>
      <w:r>
        <w:rPr>
          <w:rFonts w:hint="eastAsia" w:ascii="宋体" w:hAnsi="宋体" w:cs="宋体"/>
          <w:spacing w:val="-3"/>
          <w:sz w:val="24"/>
        </w:rPr>
        <w:t>被授权人无转委托权，特此委托。</w:t>
      </w:r>
    </w:p>
    <w:p>
      <w:pPr>
        <w:wordWrap w:val="0"/>
        <w:spacing w:line="360" w:lineRule="auto"/>
        <w:rPr>
          <w:rFonts w:ascii="宋体" w:hAnsi="宋体" w:cs="宋体"/>
          <w:spacing w:val="-3"/>
          <w:sz w:val="24"/>
        </w:rPr>
      </w:pPr>
    </w:p>
    <w:p>
      <w:pPr>
        <w:wordWrap w:val="0"/>
        <w:spacing w:line="360" w:lineRule="auto"/>
        <w:ind w:firstLine="2574" w:firstLineChars="1100"/>
        <w:rPr>
          <w:rFonts w:ascii="宋体" w:hAnsi="宋体" w:cs="宋体"/>
          <w:spacing w:val="-3"/>
          <w:sz w:val="24"/>
        </w:rPr>
      </w:pPr>
      <w:r>
        <w:rPr>
          <w:rFonts w:hint="eastAsia" w:ascii="宋体" w:hAnsi="宋体" w:cs="宋体"/>
          <w:spacing w:val="-3"/>
          <w:sz w:val="24"/>
        </w:rPr>
        <w:t>法定代表人或负责人签名（或盖章）：</w:t>
      </w:r>
    </w:p>
    <w:p>
      <w:pPr>
        <w:wordWrap w:val="0"/>
        <w:spacing w:line="360" w:lineRule="auto"/>
        <w:ind w:firstLine="2574" w:firstLineChars="1100"/>
        <w:rPr>
          <w:rFonts w:ascii="宋体" w:hAnsi="宋体" w:cs="宋体"/>
          <w:spacing w:val="-3"/>
          <w:sz w:val="24"/>
        </w:rPr>
      </w:pPr>
      <w:r>
        <w:rPr>
          <w:rFonts w:hint="eastAsia" w:ascii="宋体" w:hAnsi="宋体" w:cs="宋体"/>
          <w:spacing w:val="-3"/>
          <w:sz w:val="24"/>
        </w:rPr>
        <w:t>被授权人签名（或盖章）：</w:t>
      </w:r>
    </w:p>
    <w:p>
      <w:pPr>
        <w:wordWrap w:val="0"/>
        <w:spacing w:line="360" w:lineRule="auto"/>
        <w:ind w:firstLine="2574" w:firstLineChars="1100"/>
        <w:rPr>
          <w:rFonts w:ascii="宋体" w:hAnsi="宋体" w:cs="宋体"/>
          <w:spacing w:val="-3"/>
          <w:sz w:val="24"/>
        </w:rPr>
      </w:pPr>
      <w:r>
        <w:rPr>
          <w:rFonts w:hint="eastAsia" w:ascii="宋体" w:hAnsi="宋体" w:cs="宋体"/>
          <w:spacing w:val="-3"/>
          <w:sz w:val="24"/>
        </w:rPr>
        <w:t>职务：</w:t>
      </w:r>
    </w:p>
    <w:p>
      <w:pPr>
        <w:wordWrap w:val="0"/>
        <w:spacing w:line="360" w:lineRule="auto"/>
        <w:ind w:firstLine="2634" w:firstLineChars="1126"/>
        <w:rPr>
          <w:rFonts w:ascii="宋体" w:hAnsi="宋体" w:cs="宋体"/>
          <w:spacing w:val="-3"/>
          <w:sz w:val="24"/>
        </w:rPr>
      </w:pPr>
      <w:r>
        <w:rPr>
          <w:rFonts w:hint="eastAsia" w:ascii="宋体" w:hAnsi="宋体" w:cs="宋体"/>
          <w:spacing w:val="-3"/>
          <w:sz w:val="24"/>
        </w:rPr>
        <w:t>联系电话：</w:t>
      </w:r>
    </w:p>
    <w:p>
      <w:pPr>
        <w:wordWrap w:val="0"/>
        <w:spacing w:line="360" w:lineRule="auto"/>
        <w:rPr>
          <w:rFonts w:ascii="宋体" w:hAnsi="宋体" w:cs="宋体"/>
          <w:spacing w:val="-3"/>
          <w:sz w:val="24"/>
        </w:rPr>
      </w:pPr>
    </w:p>
    <w:p>
      <w:pPr>
        <w:wordWrap w:val="0"/>
        <w:spacing w:line="360" w:lineRule="auto"/>
        <w:rPr>
          <w:rFonts w:ascii="宋体" w:hAnsi="宋体" w:cs="宋体"/>
          <w:spacing w:val="-3"/>
          <w:sz w:val="24"/>
        </w:rPr>
      </w:pPr>
      <w:r>
        <w:rPr>
          <w:rFonts w:hint="eastAsia" w:ascii="宋体" w:hAnsi="宋体" w:cs="宋体"/>
          <w:spacing w:val="-3"/>
          <w:sz w:val="24"/>
        </w:rPr>
        <w:t>法定代表人或负责人、被授权人身份证复印件</w:t>
      </w:r>
    </w:p>
    <w:p>
      <w:pPr>
        <w:wordWrap w:val="0"/>
        <w:spacing w:line="360" w:lineRule="auto"/>
        <w:rPr>
          <w:rFonts w:ascii="宋体" w:hAnsi="宋体" w:cs="宋体"/>
          <w:spacing w:val="-3"/>
          <w:sz w:val="24"/>
        </w:rPr>
      </w:pPr>
    </w:p>
    <w:p>
      <w:pPr>
        <w:wordWrap w:val="0"/>
        <w:spacing w:line="360" w:lineRule="auto"/>
        <w:ind w:firstLine="6786" w:firstLineChars="2900"/>
        <w:rPr>
          <w:rFonts w:ascii="宋体" w:hAnsi="宋体" w:cs="宋体"/>
          <w:spacing w:val="-3"/>
          <w:sz w:val="24"/>
        </w:rPr>
      </w:pPr>
    </w:p>
    <w:p>
      <w:pPr>
        <w:wordWrap w:val="0"/>
        <w:spacing w:line="360" w:lineRule="auto"/>
        <w:ind w:firstLine="5382" w:firstLineChars="2300"/>
        <w:rPr>
          <w:rFonts w:ascii="宋体" w:hAnsi="宋体" w:cs="宋体"/>
          <w:spacing w:val="-3"/>
          <w:sz w:val="24"/>
        </w:rPr>
      </w:pPr>
      <w:r>
        <w:rPr>
          <w:rFonts w:hint="eastAsia" w:ascii="宋体" w:hAnsi="宋体" w:cs="宋体"/>
          <w:spacing w:val="-3"/>
          <w:sz w:val="24"/>
        </w:rPr>
        <w:t>供应商公章：</w:t>
      </w:r>
    </w:p>
    <w:p>
      <w:pPr>
        <w:wordWrap w:val="0"/>
        <w:spacing w:line="360" w:lineRule="auto"/>
        <w:ind w:firstLine="5400" w:firstLineChars="2250"/>
        <w:rPr>
          <w:rFonts w:ascii="宋体" w:hAnsi="宋体" w:cs="宋体"/>
          <w:sz w:val="24"/>
          <w:lang w:val="zh-CN"/>
        </w:rPr>
      </w:pPr>
      <w:r>
        <w:rPr>
          <w:rFonts w:hint="eastAsia" w:ascii="宋体" w:hAnsi="宋体" w:cs="宋体"/>
          <w:sz w:val="24"/>
          <w:lang w:val="zh-CN"/>
        </w:rPr>
        <w:t>日期：</w:t>
      </w:r>
      <w:r>
        <w:rPr>
          <w:rFonts w:hint="eastAsia" w:ascii="宋体" w:hAnsi="宋体" w:eastAsia="宋体" w:cs="宋体"/>
          <w:sz w:val="24"/>
          <w:lang w:val="en-US" w:eastAsia="zh-CN"/>
        </w:rPr>
        <w:t xml:space="preserve">   </w:t>
      </w:r>
      <w:r>
        <w:rPr>
          <w:rFonts w:hint="eastAsia" w:ascii="宋体" w:hAnsi="宋体" w:cs="宋体"/>
          <w:spacing w:val="-8"/>
          <w:sz w:val="24"/>
        </w:rPr>
        <w:t>年</w:t>
      </w:r>
      <w:r>
        <w:rPr>
          <w:rFonts w:hint="eastAsia" w:ascii="宋体" w:hAnsi="宋体" w:eastAsia="宋体" w:cs="宋体"/>
          <w:spacing w:val="-8"/>
          <w:sz w:val="24"/>
          <w:lang w:val="en-US" w:eastAsia="zh-CN"/>
        </w:rPr>
        <w:t xml:space="preserve">   </w:t>
      </w:r>
      <w:r>
        <w:rPr>
          <w:rFonts w:hint="eastAsia" w:ascii="宋体" w:hAnsi="宋体" w:cs="宋体"/>
          <w:spacing w:val="-8"/>
          <w:sz w:val="24"/>
        </w:rPr>
        <w:t>月</w:t>
      </w:r>
      <w:r>
        <w:rPr>
          <w:rFonts w:hint="eastAsia" w:ascii="宋体" w:hAnsi="宋体" w:eastAsia="宋体" w:cs="宋体"/>
          <w:spacing w:val="-8"/>
          <w:sz w:val="24"/>
          <w:lang w:val="en-US" w:eastAsia="zh-CN"/>
        </w:rPr>
        <w:t xml:space="preserve">   </w:t>
      </w:r>
      <w:r>
        <w:rPr>
          <w:rFonts w:hint="eastAsia" w:ascii="宋体" w:hAnsi="宋体" w:cs="宋体"/>
          <w:spacing w:val="-8"/>
          <w:sz w:val="24"/>
        </w:rPr>
        <w:t>日</w:t>
      </w:r>
    </w:p>
    <w:p>
      <w:pPr>
        <w:pStyle w:val="31"/>
        <w:rPr>
          <w:b/>
          <w:bCs/>
          <w:w w:val="95"/>
          <w:sz w:val="36"/>
          <w:szCs w:val="36"/>
        </w:rPr>
      </w:pPr>
    </w:p>
    <w:p>
      <w:pPr>
        <w:jc w:val="center"/>
        <w:outlineLvl w:val="9"/>
        <w:rPr>
          <w:b/>
          <w:bCs/>
          <w:w w:val="95"/>
          <w:sz w:val="36"/>
          <w:szCs w:val="36"/>
        </w:rPr>
      </w:pPr>
    </w:p>
    <w:p>
      <w:pPr>
        <w:jc w:val="center"/>
        <w:outlineLvl w:val="9"/>
        <w:rPr>
          <w:b/>
          <w:bCs/>
          <w:w w:val="95"/>
          <w:sz w:val="36"/>
          <w:szCs w:val="36"/>
        </w:rPr>
      </w:pPr>
    </w:p>
    <w:p>
      <w:pPr>
        <w:jc w:val="center"/>
        <w:outlineLvl w:val="9"/>
        <w:rPr>
          <w:b/>
          <w:bCs/>
          <w:w w:val="95"/>
          <w:sz w:val="36"/>
          <w:szCs w:val="36"/>
        </w:rPr>
      </w:pPr>
    </w:p>
    <w:p>
      <w:pPr>
        <w:jc w:val="center"/>
        <w:outlineLvl w:val="9"/>
        <w:rPr>
          <w:b/>
          <w:bCs/>
          <w:w w:val="95"/>
          <w:sz w:val="36"/>
          <w:szCs w:val="36"/>
        </w:rPr>
      </w:pPr>
    </w:p>
    <w:p>
      <w:pPr>
        <w:jc w:val="center"/>
        <w:outlineLvl w:val="9"/>
        <w:rPr>
          <w:b/>
          <w:bCs/>
          <w:w w:val="95"/>
          <w:sz w:val="36"/>
          <w:szCs w:val="36"/>
        </w:rPr>
      </w:pPr>
    </w:p>
    <w:p>
      <w:pPr>
        <w:pStyle w:val="31"/>
        <w:rPr>
          <w:b/>
          <w:bCs/>
          <w:w w:val="95"/>
          <w:sz w:val="36"/>
          <w:szCs w:val="36"/>
        </w:rPr>
      </w:pPr>
    </w:p>
    <w:p>
      <w:pPr>
        <w:pStyle w:val="31"/>
        <w:rPr>
          <w:b/>
          <w:bCs/>
          <w:w w:val="95"/>
          <w:sz w:val="36"/>
          <w:szCs w:val="36"/>
        </w:rPr>
      </w:pPr>
    </w:p>
    <w:p>
      <w:pPr>
        <w:jc w:val="center"/>
        <w:outlineLvl w:val="9"/>
        <w:rPr>
          <w:b/>
          <w:bCs/>
          <w:w w:val="95"/>
          <w:sz w:val="36"/>
          <w:szCs w:val="36"/>
        </w:rPr>
      </w:pPr>
    </w:p>
    <w:p>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lang w:eastAsia="zh-CN"/>
        </w:rPr>
      </w:pPr>
      <w:bookmarkStart w:id="118" w:name="_Toc13448"/>
      <w:bookmarkStart w:id="119" w:name="_Toc31556"/>
      <w:r>
        <w:rPr>
          <w:rFonts w:hint="eastAsia" w:asciiTheme="majorEastAsia" w:hAnsiTheme="majorEastAsia" w:eastAsiaTheme="majorEastAsia" w:cstheme="majorEastAsia"/>
          <w:b/>
          <w:bCs/>
          <w:snapToGrid/>
          <w:spacing w:val="-3"/>
          <w:kern w:val="2"/>
          <w:sz w:val="32"/>
          <w:szCs w:val="32"/>
          <w:lang w:val="en-US" w:eastAsia="zh-CN"/>
        </w:rPr>
        <w:t>三、</w:t>
      </w:r>
      <w:r>
        <w:rPr>
          <w:rFonts w:hint="eastAsia" w:asciiTheme="majorEastAsia" w:hAnsiTheme="majorEastAsia" w:eastAsiaTheme="majorEastAsia" w:cstheme="majorEastAsia"/>
          <w:b/>
          <w:bCs/>
          <w:snapToGrid/>
          <w:spacing w:val="-3"/>
          <w:kern w:val="2"/>
          <w:sz w:val="32"/>
          <w:szCs w:val="32"/>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bCs/>
                <w:spacing w:val="-8"/>
                <w:sz w:val="24"/>
              </w:rPr>
            </w:pPr>
            <w:r>
              <w:rPr>
                <w:rFonts w:hint="eastAsia" w:ascii="宋体" w:hAnsi="宋体" w:cs="宋体"/>
                <w:b/>
                <w:bCs/>
                <w:spacing w:val="-8"/>
                <w:sz w:val="24"/>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rPr>
                <w:rFonts w:ascii="宋体" w:hAnsi="宋体" w:cs="宋体"/>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bCs/>
                <w:spacing w:val="-8"/>
                <w:sz w:val="24"/>
              </w:rPr>
            </w:pPr>
            <w:r>
              <w:rPr>
                <w:rFonts w:hint="eastAsia" w:ascii="宋体" w:hAnsi="宋体" w:cs="宋体"/>
                <w:b/>
                <w:bCs/>
                <w:spacing w:val="-8"/>
                <w:sz w:val="24"/>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rPr>
                <w:rFonts w:ascii="宋体" w:hAnsi="宋体" w:cs="宋体"/>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bCs/>
                <w:spacing w:val="-8"/>
                <w:sz w:val="24"/>
              </w:rPr>
            </w:pPr>
            <w:r>
              <w:rPr>
                <w:rFonts w:hint="eastAsia" w:ascii="宋体" w:hAnsi="宋体" w:cs="宋体"/>
                <w:b/>
                <w:bCs/>
                <w:spacing w:val="-8"/>
                <w:sz w:val="24"/>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rPr>
                <w:rFonts w:ascii="宋体" w:hAnsi="宋体" w:cs="宋体"/>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bCs/>
                <w:spacing w:val="-8"/>
                <w:sz w:val="24"/>
              </w:rPr>
            </w:pPr>
            <w:r>
              <w:rPr>
                <w:rFonts w:hint="eastAsia" w:ascii="宋体" w:hAnsi="宋体" w:cs="宋体"/>
                <w:b/>
                <w:bCs/>
                <w:spacing w:val="-8"/>
                <w:sz w:val="24"/>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rPr>
                <w:rFonts w:ascii="宋体" w:hAnsi="宋体" w:cs="宋体"/>
                <w:spacing w:val="24"/>
                <w:sz w:val="24"/>
              </w:rPr>
            </w:pPr>
            <w:r>
              <w:rPr>
                <w:rFonts w:hint="eastAsia" w:ascii="宋体" w:hAnsi="宋体" w:cs="宋体"/>
                <w:spacing w:val="-8"/>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hint="eastAsia" w:ascii="宋体" w:hAnsi="宋体" w:eastAsia="宋体" w:cs="宋体"/>
                <w:b/>
                <w:bCs/>
                <w:spacing w:val="-8"/>
                <w:sz w:val="24"/>
                <w:lang w:eastAsia="zh-CN"/>
              </w:rPr>
            </w:pPr>
            <w:r>
              <w:rPr>
                <w:rFonts w:hint="eastAsia" w:ascii="宋体" w:hAnsi="宋体" w:eastAsia="宋体" w:cs="宋体"/>
                <w:b/>
                <w:bCs/>
                <w:spacing w:val="-8"/>
                <w:sz w:val="24"/>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rPr>
                <w:rFonts w:ascii="宋体" w:hAnsi="宋体" w:cs="宋体"/>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bCs/>
                <w:spacing w:val="-8"/>
                <w:sz w:val="24"/>
              </w:rPr>
            </w:pPr>
            <w:r>
              <w:rPr>
                <w:rFonts w:hint="eastAsia" w:ascii="宋体" w:hAnsi="宋体" w:cs="宋体"/>
                <w:b/>
                <w:bCs/>
                <w:spacing w:val="-8"/>
                <w:sz w:val="24"/>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rPr>
                <w:rFonts w:ascii="宋体" w:hAnsi="宋体" w:cs="宋体"/>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bCs/>
                <w:spacing w:val="-8"/>
                <w:sz w:val="24"/>
              </w:rPr>
            </w:pPr>
            <w:r>
              <w:rPr>
                <w:rFonts w:hint="eastAsia" w:ascii="宋体" w:hAnsi="宋体" w:cs="宋体"/>
                <w:b/>
                <w:bCs/>
                <w:spacing w:val="-8"/>
                <w:sz w:val="24"/>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rPr>
                <w:rFonts w:ascii="宋体" w:hAnsi="宋体" w:cs="宋体"/>
                <w:spacing w:val="24"/>
                <w:sz w:val="24"/>
              </w:rPr>
            </w:pPr>
          </w:p>
          <w:p>
            <w:pPr>
              <w:wordWrap w:val="0"/>
              <w:spacing w:line="360" w:lineRule="auto"/>
              <w:rPr>
                <w:rFonts w:ascii="宋体" w:hAnsi="宋体" w:cs="宋体"/>
                <w:spacing w:val="24"/>
                <w:sz w:val="24"/>
              </w:rPr>
            </w:pPr>
          </w:p>
        </w:tc>
      </w:tr>
    </w:tbl>
    <w:p>
      <w:pPr>
        <w:wordWrap w:val="0"/>
        <w:spacing w:line="360" w:lineRule="auto"/>
        <w:rPr>
          <w:rFonts w:hint="eastAsia" w:ascii="宋体" w:hAnsi="宋体" w:cs="宋体"/>
          <w:b/>
          <w:bCs/>
          <w:spacing w:val="-8"/>
          <w:sz w:val="24"/>
        </w:rPr>
      </w:pPr>
    </w:p>
    <w:p>
      <w:pPr>
        <w:wordWrap w:val="0"/>
        <w:spacing w:line="360" w:lineRule="auto"/>
        <w:rPr>
          <w:rFonts w:hint="eastAsia" w:ascii="宋体" w:hAnsi="宋体" w:cs="宋体"/>
          <w:b/>
          <w:bCs/>
          <w:spacing w:val="-8"/>
          <w:sz w:val="24"/>
        </w:rPr>
      </w:pPr>
      <w:r>
        <w:rPr>
          <w:rFonts w:hint="eastAsia" w:ascii="宋体" w:hAnsi="宋体" w:cs="宋体"/>
          <w:b/>
          <w:bCs/>
          <w:spacing w:val="-8"/>
          <w:sz w:val="24"/>
        </w:rPr>
        <w:t>供应商（公章）：</w:t>
      </w:r>
    </w:p>
    <w:p>
      <w:pPr>
        <w:wordWrap w:val="0"/>
        <w:spacing w:line="360" w:lineRule="auto"/>
        <w:rPr>
          <w:rFonts w:ascii="宋体" w:hAnsi="宋体" w:cs="宋体"/>
          <w:b/>
          <w:bCs/>
          <w:spacing w:val="-8"/>
          <w:sz w:val="24"/>
        </w:rPr>
      </w:pPr>
      <w:r>
        <w:rPr>
          <w:rFonts w:hint="eastAsia" w:ascii="宋体" w:hAnsi="宋体" w:cs="宋体"/>
          <w:b/>
          <w:bCs/>
          <w:spacing w:val="-8"/>
          <w:sz w:val="24"/>
        </w:rPr>
        <w:t>法定代表人（负责人）或授权代表（签字）：</w:t>
      </w:r>
    </w:p>
    <w:p>
      <w:pPr>
        <w:wordWrap w:val="0"/>
        <w:spacing w:line="360" w:lineRule="auto"/>
        <w:rPr>
          <w:rFonts w:ascii="宋体" w:hAnsi="宋体" w:cs="宋体"/>
          <w:b/>
          <w:bCs/>
          <w:spacing w:val="-8"/>
          <w:sz w:val="24"/>
          <w:lang w:val="zh-CN"/>
        </w:rPr>
      </w:pPr>
      <w:r>
        <w:rPr>
          <w:rFonts w:hint="eastAsia" w:ascii="宋体" w:hAnsi="宋体" w:cs="宋体"/>
          <w:b/>
          <w:bCs/>
          <w:spacing w:val="-8"/>
          <w:sz w:val="24"/>
        </w:rPr>
        <w:t>日期：</w:t>
      </w:r>
      <w:r>
        <w:rPr>
          <w:rFonts w:hint="eastAsia" w:ascii="宋体" w:hAnsi="宋体" w:eastAsia="宋体" w:cs="宋体"/>
          <w:b/>
          <w:bCs/>
          <w:spacing w:val="-8"/>
          <w:sz w:val="24"/>
          <w:lang w:val="en-US" w:eastAsia="zh-CN"/>
        </w:rPr>
        <w:t xml:space="preserve">  </w:t>
      </w:r>
      <w:r>
        <w:rPr>
          <w:rFonts w:hint="eastAsia" w:ascii="宋体" w:hAnsi="宋体" w:cs="宋体"/>
          <w:b/>
          <w:bCs/>
          <w:spacing w:val="-8"/>
          <w:sz w:val="24"/>
        </w:rPr>
        <w:t>年</w:t>
      </w:r>
      <w:r>
        <w:rPr>
          <w:rFonts w:hint="eastAsia" w:ascii="宋体" w:hAnsi="宋体" w:eastAsia="宋体" w:cs="宋体"/>
          <w:b/>
          <w:bCs/>
          <w:spacing w:val="-8"/>
          <w:sz w:val="24"/>
          <w:lang w:val="en-US" w:eastAsia="zh-CN"/>
        </w:rPr>
        <w:t xml:space="preserve">   </w:t>
      </w:r>
      <w:r>
        <w:rPr>
          <w:rFonts w:hint="eastAsia" w:ascii="宋体" w:hAnsi="宋体" w:cs="宋体"/>
          <w:b/>
          <w:bCs/>
          <w:spacing w:val="-8"/>
          <w:sz w:val="24"/>
        </w:rPr>
        <w:t>月</w:t>
      </w:r>
      <w:r>
        <w:rPr>
          <w:rFonts w:hint="eastAsia" w:ascii="宋体" w:hAnsi="宋体" w:eastAsia="宋体" w:cs="宋体"/>
          <w:b/>
          <w:bCs/>
          <w:spacing w:val="-8"/>
          <w:sz w:val="24"/>
          <w:lang w:val="en-US" w:eastAsia="zh-CN"/>
        </w:rPr>
        <w:t xml:space="preserve">   </w:t>
      </w:r>
      <w:r>
        <w:rPr>
          <w:rFonts w:hint="eastAsia" w:ascii="宋体" w:hAnsi="宋体" w:cs="宋体"/>
          <w:b/>
          <w:bCs/>
          <w:spacing w:val="-8"/>
          <w:sz w:val="24"/>
        </w:rPr>
        <w:t>日</w:t>
      </w:r>
    </w:p>
    <w:p>
      <w:pPr>
        <w:spacing w:line="360" w:lineRule="auto"/>
        <w:rPr>
          <w:rFonts w:hint="eastAsia" w:ascii="宋体" w:hAnsi="宋体" w:cs="宋体"/>
          <w:szCs w:val="21"/>
        </w:rPr>
      </w:pPr>
    </w:p>
    <w:bookmarkEnd w:id="118"/>
    <w:bookmarkEnd w:id="119"/>
    <w:p>
      <w:pPr>
        <w:jc w:val="center"/>
        <w:outlineLvl w:val="1"/>
        <w:rPr>
          <w:b/>
          <w:bCs/>
          <w:w w:val="95"/>
          <w:sz w:val="36"/>
          <w:szCs w:val="36"/>
        </w:rPr>
      </w:pPr>
      <w:bookmarkStart w:id="120" w:name="_Toc13223"/>
      <w:bookmarkStart w:id="121" w:name="_Toc27812"/>
    </w:p>
    <w:p>
      <w:pPr>
        <w:wordWrap w:val="0"/>
        <w:spacing w:line="360" w:lineRule="auto"/>
        <w:rPr>
          <w:rFonts w:hint="eastAsia" w:ascii="宋体" w:hAnsi="宋体" w:cs="宋体"/>
          <w:b/>
          <w:bCs/>
          <w:sz w:val="24"/>
        </w:rPr>
      </w:pPr>
    </w:p>
    <w:p>
      <w:pPr>
        <w:wordWrap w:val="0"/>
        <w:spacing w:line="360" w:lineRule="auto"/>
        <w:rPr>
          <w:rFonts w:hint="eastAsia" w:ascii="宋体" w:hAnsi="宋体" w:cs="宋体"/>
          <w:b/>
          <w:bCs/>
          <w:sz w:val="24"/>
        </w:rPr>
      </w:pPr>
    </w:p>
    <w:p>
      <w:pPr>
        <w:wordWrap w:val="0"/>
        <w:spacing w:line="360" w:lineRule="auto"/>
        <w:rPr>
          <w:rFonts w:hint="eastAsia" w:ascii="宋体" w:hAnsi="宋体" w:cs="宋体"/>
          <w:b/>
          <w:bCs/>
          <w:sz w:val="24"/>
        </w:rPr>
      </w:pPr>
    </w:p>
    <w:p>
      <w:pPr>
        <w:wordWrap w:val="0"/>
        <w:spacing w:line="360" w:lineRule="auto"/>
        <w:rPr>
          <w:rFonts w:hint="eastAsia" w:ascii="宋体" w:hAnsi="宋体" w:cs="宋体"/>
          <w:b/>
          <w:bCs/>
          <w:sz w:val="24"/>
        </w:rPr>
      </w:pPr>
    </w:p>
    <w:p>
      <w:pPr>
        <w:wordWrap w:val="0"/>
        <w:spacing w:line="360" w:lineRule="auto"/>
        <w:rPr>
          <w:rFonts w:hint="eastAsia" w:ascii="宋体" w:hAnsi="宋体" w:cs="宋体"/>
          <w:b/>
          <w:bCs/>
          <w:sz w:val="24"/>
        </w:rPr>
      </w:pPr>
    </w:p>
    <w:p>
      <w:pPr>
        <w:wordWrap w:val="0"/>
        <w:spacing w:line="360" w:lineRule="auto"/>
        <w:rPr>
          <w:rFonts w:hint="eastAsia" w:ascii="宋体" w:hAnsi="宋体" w:cs="宋体"/>
          <w:b/>
          <w:bCs/>
          <w:sz w:val="24"/>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lang w:val="en-US" w:eastAsia="zh-CN" w:bidi="ar-SA"/>
        </w:rPr>
      </w:pPr>
      <w:r>
        <w:rPr>
          <w:rFonts w:hint="eastAsia" w:asciiTheme="minorEastAsia" w:hAnsiTheme="minorEastAsia" w:eastAsiaTheme="minorEastAsia" w:cstheme="minorEastAsia"/>
          <w:b/>
          <w:bCs/>
          <w:snapToGrid w:val="0"/>
          <w:color w:val="000000"/>
          <w:spacing w:val="-3"/>
          <w:kern w:val="0"/>
          <w:sz w:val="28"/>
          <w:szCs w:val="28"/>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lang w:val="en-US" w:eastAsia="zh-CN" w:bidi="ar-SA"/>
        </w:rPr>
        <w:t>近三年内在经营活动中没有重大违法记录的声明等；</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val="en-US" w:eastAsia="zh-CN"/>
        </w:rPr>
        <w:t>审计或财务报告</w:t>
      </w:r>
      <w:r>
        <w:rPr>
          <w:rFonts w:hint="eastAsia" w:asciiTheme="minorEastAsia" w:hAnsiTheme="minorEastAsia" w:eastAsiaTheme="minorEastAsia" w:cstheme="minorEastAsia"/>
          <w:b w:val="0"/>
          <w:bCs w:val="0"/>
          <w:sz w:val="28"/>
          <w:szCs w:val="28"/>
          <w:lang w:eastAsia="zh-CN"/>
        </w:rPr>
        <w:t>说明：</w:t>
      </w:r>
    </w:p>
    <w:p>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lang w:eastAsia="zh-CN"/>
        </w:rPr>
        <w:t>提供本单位</w:t>
      </w:r>
      <w:r>
        <w:rPr>
          <w:rFonts w:hint="eastAsia" w:asciiTheme="minorEastAsia" w:hAnsiTheme="minorEastAsia" w:eastAsiaTheme="minorEastAsia" w:cstheme="minorEastAsia"/>
          <w:b w:val="0"/>
          <w:bCs w:val="0"/>
          <w:sz w:val="28"/>
          <w:szCs w:val="28"/>
          <w:lang w:val="en-US" w:eastAsia="zh-CN"/>
        </w:rPr>
        <w:t>2020年、2021年、2022年年度</w:t>
      </w:r>
      <w:r>
        <w:rPr>
          <w:rFonts w:hint="eastAsia" w:asciiTheme="minorEastAsia" w:hAnsiTheme="minorEastAsia" w:eastAsiaTheme="minorEastAsia" w:cstheme="minorEastAsia"/>
          <w:b w:val="0"/>
          <w:bCs w:val="0"/>
          <w:sz w:val="28"/>
          <w:szCs w:val="28"/>
          <w:lang w:eastAsia="zh-CN"/>
        </w:rPr>
        <w:t>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rPr>
        <w:t>供应商</w:t>
      </w:r>
      <w:r>
        <w:rPr>
          <w:rFonts w:hint="eastAsia" w:asciiTheme="minorEastAsia" w:hAnsiTheme="minorEastAsia" w:eastAsiaTheme="minorEastAsia" w:cstheme="minorEastAsia"/>
          <w:b w:val="0"/>
          <w:bCs w:val="0"/>
          <w:sz w:val="28"/>
          <w:szCs w:val="28"/>
          <w:lang w:eastAsia="zh-CN"/>
        </w:rPr>
        <w:t>与银行之间业务往来正常，企业信誉良好等。</w:t>
      </w:r>
    </w:p>
    <w:p>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spacing w:val="2"/>
          <w:sz w:val="28"/>
          <w:szCs w:val="28"/>
        </w:rPr>
        <w:t>供应商</w:t>
      </w:r>
      <w:r>
        <w:rPr>
          <w:rFonts w:hint="eastAsia" w:asciiTheme="minorEastAsia" w:hAnsiTheme="minorEastAsia" w:eastAsiaTheme="minorEastAsia" w:cstheme="minorEastAsia"/>
          <w:b w:val="0"/>
          <w:bCs w:val="0"/>
          <w:sz w:val="28"/>
          <w:szCs w:val="28"/>
          <w:lang w:eastAsia="zh-CN"/>
        </w:rPr>
        <w:t>提供企业有关财务会计制度。</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近三年内在经营活动中没有重大违法记录的声明（格式）</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声明函</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lang w:eastAsia="zh-CN"/>
        </w:rPr>
        <w:t>公司全称）向本项目的采购人和采购代理机构郑重声明如下：</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法定代表人或其授权代表（签字）：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31"/>
      </w:pPr>
    </w:p>
    <w:p>
      <w:pPr>
        <w:pStyle w:val="31"/>
      </w:pPr>
    </w:p>
    <w:p>
      <w:pPr>
        <w:jc w:val="center"/>
        <w:outlineLvl w:val="1"/>
        <w:rPr>
          <w:b/>
          <w:bCs/>
          <w:w w:val="95"/>
          <w:sz w:val="36"/>
          <w:szCs w:val="36"/>
        </w:rPr>
      </w:pPr>
    </w:p>
    <w:p/>
    <w:p>
      <w:pPr>
        <w:pStyle w:val="2"/>
      </w:pPr>
    </w:p>
    <w:p>
      <w:pPr>
        <w:spacing w:before="125"/>
        <w:ind w:left="538" w:right="539" w:firstLine="0"/>
        <w:jc w:val="center"/>
        <w:outlineLvl w:val="0"/>
        <w:rPr>
          <w:b/>
          <w:color w:val="auto"/>
          <w:sz w:val="32"/>
        </w:rPr>
      </w:pPr>
      <w:bookmarkStart w:id="122" w:name="_Toc21983"/>
      <w:r>
        <w:rPr>
          <w:b/>
          <w:color w:val="auto"/>
          <w:sz w:val="32"/>
        </w:rPr>
        <w:t>五、项目管理机构</w:t>
      </w:r>
      <w:bookmarkEnd w:id="122"/>
    </w:p>
    <w:p>
      <w:pPr>
        <w:pStyle w:val="9"/>
        <w:spacing w:before="242"/>
        <w:ind w:right="536"/>
        <w:outlineLvl w:val="1"/>
        <w:rPr>
          <w:color w:val="auto"/>
        </w:rPr>
      </w:pPr>
      <w:bookmarkStart w:id="123" w:name="_Toc17662"/>
      <w:r>
        <w:rPr>
          <w:color w:val="auto"/>
        </w:rPr>
        <w:t>（一）项目人员组成表</w:t>
      </w:r>
      <w:bookmarkEnd w:id="123"/>
    </w:p>
    <w:p>
      <w:pPr>
        <w:pStyle w:val="3"/>
        <w:spacing w:before="4"/>
        <w:ind w:left="0"/>
        <w:rPr>
          <w:b/>
          <w:color w:val="auto"/>
          <w:sz w:val="10"/>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pPr>
              <w:pStyle w:val="28"/>
              <w:rPr>
                <w:b/>
                <w:color w:val="auto"/>
                <w:sz w:val="22"/>
              </w:rPr>
            </w:pPr>
          </w:p>
          <w:p>
            <w:pPr>
              <w:pStyle w:val="28"/>
              <w:spacing w:before="3"/>
              <w:rPr>
                <w:b/>
                <w:color w:val="auto"/>
                <w:sz w:val="19"/>
              </w:rPr>
            </w:pPr>
          </w:p>
          <w:p>
            <w:pPr>
              <w:pStyle w:val="28"/>
              <w:ind w:left="227"/>
              <w:rPr>
                <w:color w:val="auto"/>
                <w:sz w:val="22"/>
              </w:rPr>
            </w:pPr>
            <w:r>
              <w:rPr>
                <w:color w:val="auto"/>
                <w:sz w:val="22"/>
              </w:rPr>
              <w:t>职务</w:t>
            </w:r>
          </w:p>
        </w:tc>
        <w:tc>
          <w:tcPr>
            <w:tcW w:w="898" w:type="dxa"/>
            <w:vMerge w:val="restart"/>
            <w:vAlign w:val="top"/>
          </w:tcPr>
          <w:p>
            <w:pPr>
              <w:pStyle w:val="28"/>
              <w:rPr>
                <w:b/>
                <w:color w:val="auto"/>
                <w:sz w:val="22"/>
              </w:rPr>
            </w:pPr>
          </w:p>
          <w:p>
            <w:pPr>
              <w:pStyle w:val="28"/>
              <w:spacing w:before="3"/>
              <w:rPr>
                <w:b/>
                <w:color w:val="auto"/>
                <w:sz w:val="19"/>
              </w:rPr>
            </w:pPr>
          </w:p>
          <w:p>
            <w:pPr>
              <w:pStyle w:val="28"/>
              <w:ind w:left="227"/>
              <w:rPr>
                <w:color w:val="auto"/>
                <w:sz w:val="22"/>
              </w:rPr>
            </w:pPr>
            <w:r>
              <w:rPr>
                <w:color w:val="auto"/>
                <w:sz w:val="22"/>
              </w:rPr>
              <w:t>姓名</w:t>
            </w:r>
          </w:p>
        </w:tc>
        <w:tc>
          <w:tcPr>
            <w:tcW w:w="903" w:type="dxa"/>
            <w:vMerge w:val="restart"/>
            <w:vAlign w:val="top"/>
          </w:tcPr>
          <w:p>
            <w:pPr>
              <w:pStyle w:val="28"/>
              <w:rPr>
                <w:b/>
                <w:color w:val="auto"/>
                <w:sz w:val="22"/>
              </w:rPr>
            </w:pPr>
          </w:p>
          <w:p>
            <w:pPr>
              <w:pStyle w:val="28"/>
              <w:spacing w:before="3"/>
              <w:rPr>
                <w:b/>
                <w:color w:val="auto"/>
                <w:sz w:val="19"/>
              </w:rPr>
            </w:pPr>
          </w:p>
          <w:p>
            <w:pPr>
              <w:pStyle w:val="28"/>
              <w:ind w:left="226"/>
              <w:rPr>
                <w:color w:val="auto"/>
                <w:sz w:val="22"/>
              </w:rPr>
            </w:pPr>
            <w:r>
              <w:rPr>
                <w:color w:val="auto"/>
                <w:sz w:val="22"/>
              </w:rPr>
              <w:t>职称</w:t>
            </w:r>
          </w:p>
        </w:tc>
        <w:tc>
          <w:tcPr>
            <w:tcW w:w="5692" w:type="dxa"/>
            <w:gridSpan w:val="4"/>
            <w:vAlign w:val="top"/>
          </w:tcPr>
          <w:p>
            <w:pPr>
              <w:pStyle w:val="28"/>
              <w:spacing w:before="192"/>
              <w:ind w:left="1851"/>
              <w:rPr>
                <w:color w:val="auto"/>
                <w:sz w:val="22"/>
              </w:rPr>
            </w:pPr>
            <w:r>
              <w:rPr>
                <w:color w:val="auto"/>
                <w:sz w:val="22"/>
              </w:rPr>
              <w:t>执业或职业资格证明</w:t>
            </w:r>
          </w:p>
        </w:tc>
        <w:tc>
          <w:tcPr>
            <w:tcW w:w="901" w:type="dxa"/>
            <w:vMerge w:val="restart"/>
            <w:vAlign w:val="top"/>
          </w:tcPr>
          <w:p>
            <w:pPr>
              <w:pStyle w:val="28"/>
              <w:rPr>
                <w:b/>
                <w:color w:val="auto"/>
                <w:sz w:val="22"/>
              </w:rPr>
            </w:pPr>
          </w:p>
          <w:p>
            <w:pPr>
              <w:pStyle w:val="28"/>
              <w:spacing w:before="3"/>
              <w:rPr>
                <w:b/>
                <w:color w:val="auto"/>
                <w:sz w:val="19"/>
              </w:rPr>
            </w:pPr>
          </w:p>
          <w:p>
            <w:pPr>
              <w:pStyle w:val="28"/>
              <w:ind w:left="226"/>
              <w:rPr>
                <w:color w:val="auto"/>
                <w:sz w:val="22"/>
              </w:rPr>
            </w:pPr>
            <w:r>
              <w:rPr>
                <w:color w:val="auto"/>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pPr>
              <w:rPr>
                <w:color w:val="auto"/>
                <w:sz w:val="2"/>
                <w:szCs w:val="2"/>
              </w:rPr>
            </w:pPr>
          </w:p>
        </w:tc>
        <w:tc>
          <w:tcPr>
            <w:tcW w:w="898" w:type="dxa"/>
            <w:vMerge w:val="continue"/>
            <w:tcBorders>
              <w:top w:val="nil"/>
            </w:tcBorders>
            <w:vAlign w:val="top"/>
          </w:tcPr>
          <w:p>
            <w:pPr>
              <w:rPr>
                <w:color w:val="auto"/>
                <w:sz w:val="2"/>
                <w:szCs w:val="2"/>
              </w:rPr>
            </w:pPr>
          </w:p>
        </w:tc>
        <w:tc>
          <w:tcPr>
            <w:tcW w:w="903" w:type="dxa"/>
            <w:vMerge w:val="continue"/>
            <w:tcBorders>
              <w:top w:val="nil"/>
            </w:tcBorders>
            <w:vAlign w:val="top"/>
          </w:tcPr>
          <w:p>
            <w:pPr>
              <w:rPr>
                <w:color w:val="auto"/>
                <w:sz w:val="2"/>
                <w:szCs w:val="2"/>
              </w:rPr>
            </w:pPr>
          </w:p>
        </w:tc>
        <w:tc>
          <w:tcPr>
            <w:tcW w:w="1498" w:type="dxa"/>
            <w:vAlign w:val="top"/>
          </w:tcPr>
          <w:p>
            <w:pPr>
              <w:pStyle w:val="28"/>
              <w:spacing w:before="192"/>
              <w:ind w:left="303"/>
              <w:rPr>
                <w:color w:val="auto"/>
                <w:sz w:val="22"/>
              </w:rPr>
            </w:pPr>
            <w:r>
              <w:rPr>
                <w:color w:val="auto"/>
                <w:sz w:val="22"/>
              </w:rPr>
              <w:t>证书名称</w:t>
            </w:r>
          </w:p>
        </w:tc>
        <w:tc>
          <w:tcPr>
            <w:tcW w:w="1302" w:type="dxa"/>
            <w:vAlign w:val="top"/>
          </w:tcPr>
          <w:p>
            <w:pPr>
              <w:pStyle w:val="28"/>
              <w:spacing w:before="192"/>
              <w:ind w:left="428"/>
              <w:rPr>
                <w:color w:val="auto"/>
                <w:sz w:val="22"/>
              </w:rPr>
            </w:pPr>
            <w:r>
              <w:rPr>
                <w:color w:val="auto"/>
                <w:sz w:val="22"/>
              </w:rPr>
              <w:t>级别</w:t>
            </w:r>
          </w:p>
        </w:tc>
        <w:tc>
          <w:tcPr>
            <w:tcW w:w="1417" w:type="dxa"/>
            <w:vAlign w:val="top"/>
          </w:tcPr>
          <w:p>
            <w:pPr>
              <w:pStyle w:val="28"/>
              <w:spacing w:before="192"/>
              <w:ind w:left="463" w:right="463"/>
              <w:jc w:val="center"/>
              <w:rPr>
                <w:color w:val="auto"/>
                <w:sz w:val="22"/>
              </w:rPr>
            </w:pPr>
            <w:r>
              <w:rPr>
                <w:color w:val="auto"/>
                <w:sz w:val="22"/>
              </w:rPr>
              <w:t>证号</w:t>
            </w:r>
          </w:p>
        </w:tc>
        <w:tc>
          <w:tcPr>
            <w:tcW w:w="1475" w:type="dxa"/>
            <w:vAlign w:val="top"/>
          </w:tcPr>
          <w:p>
            <w:pPr>
              <w:pStyle w:val="28"/>
              <w:spacing w:before="192"/>
              <w:ind w:left="496" w:right="488"/>
              <w:jc w:val="center"/>
              <w:rPr>
                <w:color w:val="auto"/>
                <w:sz w:val="22"/>
              </w:rPr>
            </w:pPr>
            <w:r>
              <w:rPr>
                <w:color w:val="auto"/>
                <w:sz w:val="22"/>
              </w:rPr>
              <w:t>专业</w:t>
            </w:r>
          </w:p>
        </w:tc>
        <w:tc>
          <w:tcPr>
            <w:tcW w:w="901" w:type="dxa"/>
            <w:vMerge w:val="continue"/>
            <w:tcBorders>
              <w:top w:val="nil"/>
            </w:tcBorders>
            <w:vAlign w:val="top"/>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pPr>
              <w:pStyle w:val="28"/>
              <w:rPr>
                <w:rFonts w:ascii="Times New Roman"/>
                <w:color w:val="auto"/>
                <w:sz w:val="24"/>
              </w:rPr>
            </w:pPr>
          </w:p>
        </w:tc>
        <w:tc>
          <w:tcPr>
            <w:tcW w:w="898" w:type="dxa"/>
            <w:vAlign w:val="top"/>
          </w:tcPr>
          <w:p>
            <w:pPr>
              <w:pStyle w:val="28"/>
              <w:rPr>
                <w:rFonts w:ascii="Times New Roman"/>
                <w:color w:val="auto"/>
                <w:sz w:val="24"/>
              </w:rPr>
            </w:pPr>
          </w:p>
        </w:tc>
        <w:tc>
          <w:tcPr>
            <w:tcW w:w="903" w:type="dxa"/>
            <w:vAlign w:val="top"/>
          </w:tcPr>
          <w:p>
            <w:pPr>
              <w:pStyle w:val="28"/>
              <w:rPr>
                <w:rFonts w:ascii="Times New Roman"/>
                <w:color w:val="auto"/>
                <w:sz w:val="24"/>
              </w:rPr>
            </w:pPr>
          </w:p>
        </w:tc>
        <w:tc>
          <w:tcPr>
            <w:tcW w:w="1498" w:type="dxa"/>
            <w:vAlign w:val="top"/>
          </w:tcPr>
          <w:p>
            <w:pPr>
              <w:pStyle w:val="28"/>
              <w:rPr>
                <w:rFonts w:ascii="Times New Roman"/>
                <w:color w:val="auto"/>
                <w:sz w:val="24"/>
              </w:rPr>
            </w:pPr>
          </w:p>
        </w:tc>
        <w:tc>
          <w:tcPr>
            <w:tcW w:w="1302" w:type="dxa"/>
            <w:vAlign w:val="top"/>
          </w:tcPr>
          <w:p>
            <w:pPr>
              <w:pStyle w:val="28"/>
              <w:rPr>
                <w:rFonts w:ascii="Times New Roman"/>
                <w:color w:val="auto"/>
                <w:sz w:val="24"/>
              </w:rPr>
            </w:pPr>
          </w:p>
        </w:tc>
        <w:tc>
          <w:tcPr>
            <w:tcW w:w="1417" w:type="dxa"/>
            <w:vAlign w:val="top"/>
          </w:tcPr>
          <w:p>
            <w:pPr>
              <w:pStyle w:val="28"/>
              <w:rPr>
                <w:rFonts w:ascii="Times New Roman"/>
                <w:color w:val="auto"/>
                <w:sz w:val="24"/>
              </w:rPr>
            </w:pPr>
          </w:p>
        </w:tc>
        <w:tc>
          <w:tcPr>
            <w:tcW w:w="1475" w:type="dxa"/>
            <w:vAlign w:val="top"/>
          </w:tcPr>
          <w:p>
            <w:pPr>
              <w:pStyle w:val="28"/>
              <w:rPr>
                <w:rFonts w:ascii="Times New Roman"/>
                <w:color w:val="auto"/>
                <w:sz w:val="24"/>
              </w:rPr>
            </w:pPr>
          </w:p>
        </w:tc>
        <w:tc>
          <w:tcPr>
            <w:tcW w:w="901"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pPr>
              <w:pStyle w:val="28"/>
              <w:rPr>
                <w:rFonts w:ascii="Times New Roman"/>
                <w:color w:val="auto"/>
                <w:sz w:val="24"/>
              </w:rPr>
            </w:pPr>
          </w:p>
        </w:tc>
        <w:tc>
          <w:tcPr>
            <w:tcW w:w="898" w:type="dxa"/>
            <w:vAlign w:val="top"/>
          </w:tcPr>
          <w:p>
            <w:pPr>
              <w:pStyle w:val="28"/>
              <w:rPr>
                <w:rFonts w:ascii="Times New Roman"/>
                <w:color w:val="auto"/>
                <w:sz w:val="24"/>
              </w:rPr>
            </w:pPr>
          </w:p>
        </w:tc>
        <w:tc>
          <w:tcPr>
            <w:tcW w:w="903" w:type="dxa"/>
            <w:vAlign w:val="top"/>
          </w:tcPr>
          <w:p>
            <w:pPr>
              <w:pStyle w:val="28"/>
              <w:rPr>
                <w:rFonts w:ascii="Times New Roman"/>
                <w:color w:val="auto"/>
                <w:sz w:val="24"/>
              </w:rPr>
            </w:pPr>
          </w:p>
        </w:tc>
        <w:tc>
          <w:tcPr>
            <w:tcW w:w="1498" w:type="dxa"/>
            <w:vAlign w:val="top"/>
          </w:tcPr>
          <w:p>
            <w:pPr>
              <w:pStyle w:val="28"/>
              <w:rPr>
                <w:rFonts w:ascii="Times New Roman"/>
                <w:color w:val="auto"/>
                <w:sz w:val="24"/>
              </w:rPr>
            </w:pPr>
          </w:p>
        </w:tc>
        <w:tc>
          <w:tcPr>
            <w:tcW w:w="1302" w:type="dxa"/>
            <w:vAlign w:val="top"/>
          </w:tcPr>
          <w:p>
            <w:pPr>
              <w:pStyle w:val="28"/>
              <w:rPr>
                <w:rFonts w:ascii="Times New Roman"/>
                <w:color w:val="auto"/>
                <w:sz w:val="24"/>
              </w:rPr>
            </w:pPr>
          </w:p>
        </w:tc>
        <w:tc>
          <w:tcPr>
            <w:tcW w:w="1417" w:type="dxa"/>
            <w:vAlign w:val="top"/>
          </w:tcPr>
          <w:p>
            <w:pPr>
              <w:pStyle w:val="28"/>
              <w:rPr>
                <w:rFonts w:ascii="Times New Roman"/>
                <w:color w:val="auto"/>
                <w:sz w:val="24"/>
              </w:rPr>
            </w:pPr>
          </w:p>
        </w:tc>
        <w:tc>
          <w:tcPr>
            <w:tcW w:w="1475" w:type="dxa"/>
            <w:vAlign w:val="top"/>
          </w:tcPr>
          <w:p>
            <w:pPr>
              <w:pStyle w:val="28"/>
              <w:rPr>
                <w:rFonts w:ascii="Times New Roman"/>
                <w:color w:val="auto"/>
                <w:sz w:val="24"/>
              </w:rPr>
            </w:pPr>
          </w:p>
        </w:tc>
        <w:tc>
          <w:tcPr>
            <w:tcW w:w="901"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pPr>
              <w:pStyle w:val="28"/>
              <w:rPr>
                <w:rFonts w:ascii="Times New Roman"/>
                <w:color w:val="auto"/>
                <w:sz w:val="24"/>
              </w:rPr>
            </w:pPr>
          </w:p>
        </w:tc>
        <w:tc>
          <w:tcPr>
            <w:tcW w:w="898" w:type="dxa"/>
            <w:vAlign w:val="top"/>
          </w:tcPr>
          <w:p>
            <w:pPr>
              <w:pStyle w:val="28"/>
              <w:rPr>
                <w:rFonts w:ascii="Times New Roman"/>
                <w:color w:val="auto"/>
                <w:sz w:val="24"/>
              </w:rPr>
            </w:pPr>
          </w:p>
        </w:tc>
        <w:tc>
          <w:tcPr>
            <w:tcW w:w="903" w:type="dxa"/>
            <w:vAlign w:val="top"/>
          </w:tcPr>
          <w:p>
            <w:pPr>
              <w:pStyle w:val="28"/>
              <w:rPr>
                <w:rFonts w:ascii="Times New Roman"/>
                <w:color w:val="auto"/>
                <w:sz w:val="24"/>
              </w:rPr>
            </w:pPr>
          </w:p>
        </w:tc>
        <w:tc>
          <w:tcPr>
            <w:tcW w:w="1498" w:type="dxa"/>
            <w:vAlign w:val="top"/>
          </w:tcPr>
          <w:p>
            <w:pPr>
              <w:pStyle w:val="28"/>
              <w:rPr>
                <w:rFonts w:ascii="Times New Roman"/>
                <w:color w:val="auto"/>
                <w:sz w:val="24"/>
              </w:rPr>
            </w:pPr>
          </w:p>
        </w:tc>
        <w:tc>
          <w:tcPr>
            <w:tcW w:w="1302" w:type="dxa"/>
            <w:vAlign w:val="top"/>
          </w:tcPr>
          <w:p>
            <w:pPr>
              <w:pStyle w:val="28"/>
              <w:rPr>
                <w:rFonts w:ascii="Times New Roman"/>
                <w:color w:val="auto"/>
                <w:sz w:val="24"/>
              </w:rPr>
            </w:pPr>
          </w:p>
        </w:tc>
        <w:tc>
          <w:tcPr>
            <w:tcW w:w="1417" w:type="dxa"/>
            <w:vAlign w:val="top"/>
          </w:tcPr>
          <w:p>
            <w:pPr>
              <w:pStyle w:val="28"/>
              <w:rPr>
                <w:rFonts w:ascii="Times New Roman"/>
                <w:color w:val="auto"/>
                <w:sz w:val="24"/>
              </w:rPr>
            </w:pPr>
          </w:p>
        </w:tc>
        <w:tc>
          <w:tcPr>
            <w:tcW w:w="1475" w:type="dxa"/>
            <w:vAlign w:val="top"/>
          </w:tcPr>
          <w:p>
            <w:pPr>
              <w:pStyle w:val="28"/>
              <w:rPr>
                <w:rFonts w:ascii="Times New Roman"/>
                <w:color w:val="auto"/>
                <w:sz w:val="24"/>
              </w:rPr>
            </w:pPr>
          </w:p>
        </w:tc>
        <w:tc>
          <w:tcPr>
            <w:tcW w:w="901"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pPr>
              <w:pStyle w:val="28"/>
              <w:rPr>
                <w:rFonts w:ascii="Times New Roman"/>
                <w:color w:val="auto"/>
                <w:sz w:val="24"/>
              </w:rPr>
            </w:pPr>
          </w:p>
        </w:tc>
        <w:tc>
          <w:tcPr>
            <w:tcW w:w="898" w:type="dxa"/>
            <w:vAlign w:val="top"/>
          </w:tcPr>
          <w:p>
            <w:pPr>
              <w:pStyle w:val="28"/>
              <w:rPr>
                <w:rFonts w:ascii="Times New Roman"/>
                <w:color w:val="auto"/>
                <w:sz w:val="24"/>
              </w:rPr>
            </w:pPr>
          </w:p>
        </w:tc>
        <w:tc>
          <w:tcPr>
            <w:tcW w:w="903" w:type="dxa"/>
            <w:vAlign w:val="top"/>
          </w:tcPr>
          <w:p>
            <w:pPr>
              <w:pStyle w:val="28"/>
              <w:rPr>
                <w:rFonts w:ascii="Times New Roman"/>
                <w:color w:val="auto"/>
                <w:sz w:val="24"/>
              </w:rPr>
            </w:pPr>
          </w:p>
        </w:tc>
        <w:tc>
          <w:tcPr>
            <w:tcW w:w="1498" w:type="dxa"/>
            <w:vAlign w:val="top"/>
          </w:tcPr>
          <w:p>
            <w:pPr>
              <w:pStyle w:val="28"/>
              <w:rPr>
                <w:rFonts w:ascii="Times New Roman"/>
                <w:color w:val="auto"/>
                <w:sz w:val="24"/>
              </w:rPr>
            </w:pPr>
          </w:p>
        </w:tc>
        <w:tc>
          <w:tcPr>
            <w:tcW w:w="1302" w:type="dxa"/>
            <w:vAlign w:val="top"/>
          </w:tcPr>
          <w:p>
            <w:pPr>
              <w:pStyle w:val="28"/>
              <w:rPr>
                <w:rFonts w:ascii="Times New Roman"/>
                <w:color w:val="auto"/>
                <w:sz w:val="24"/>
              </w:rPr>
            </w:pPr>
          </w:p>
        </w:tc>
        <w:tc>
          <w:tcPr>
            <w:tcW w:w="1417" w:type="dxa"/>
            <w:vAlign w:val="top"/>
          </w:tcPr>
          <w:p>
            <w:pPr>
              <w:pStyle w:val="28"/>
              <w:rPr>
                <w:rFonts w:ascii="Times New Roman"/>
                <w:color w:val="auto"/>
                <w:sz w:val="24"/>
              </w:rPr>
            </w:pPr>
          </w:p>
        </w:tc>
        <w:tc>
          <w:tcPr>
            <w:tcW w:w="1475" w:type="dxa"/>
            <w:vAlign w:val="top"/>
          </w:tcPr>
          <w:p>
            <w:pPr>
              <w:pStyle w:val="28"/>
              <w:rPr>
                <w:rFonts w:ascii="Times New Roman"/>
                <w:color w:val="auto"/>
                <w:sz w:val="24"/>
              </w:rPr>
            </w:pPr>
          </w:p>
        </w:tc>
        <w:tc>
          <w:tcPr>
            <w:tcW w:w="901"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pPr>
              <w:pStyle w:val="28"/>
              <w:rPr>
                <w:rFonts w:ascii="Times New Roman"/>
                <w:color w:val="auto"/>
                <w:sz w:val="24"/>
              </w:rPr>
            </w:pPr>
          </w:p>
        </w:tc>
        <w:tc>
          <w:tcPr>
            <w:tcW w:w="898" w:type="dxa"/>
            <w:vAlign w:val="top"/>
          </w:tcPr>
          <w:p>
            <w:pPr>
              <w:pStyle w:val="28"/>
              <w:rPr>
                <w:rFonts w:ascii="Times New Roman"/>
                <w:color w:val="auto"/>
                <w:sz w:val="24"/>
              </w:rPr>
            </w:pPr>
          </w:p>
        </w:tc>
        <w:tc>
          <w:tcPr>
            <w:tcW w:w="903" w:type="dxa"/>
            <w:vAlign w:val="top"/>
          </w:tcPr>
          <w:p>
            <w:pPr>
              <w:pStyle w:val="28"/>
              <w:rPr>
                <w:rFonts w:ascii="Times New Roman"/>
                <w:color w:val="auto"/>
                <w:sz w:val="24"/>
              </w:rPr>
            </w:pPr>
          </w:p>
        </w:tc>
        <w:tc>
          <w:tcPr>
            <w:tcW w:w="1498" w:type="dxa"/>
            <w:vAlign w:val="top"/>
          </w:tcPr>
          <w:p>
            <w:pPr>
              <w:pStyle w:val="28"/>
              <w:rPr>
                <w:rFonts w:ascii="Times New Roman"/>
                <w:color w:val="auto"/>
                <w:sz w:val="24"/>
              </w:rPr>
            </w:pPr>
          </w:p>
        </w:tc>
        <w:tc>
          <w:tcPr>
            <w:tcW w:w="1302" w:type="dxa"/>
            <w:vAlign w:val="top"/>
          </w:tcPr>
          <w:p>
            <w:pPr>
              <w:pStyle w:val="28"/>
              <w:rPr>
                <w:rFonts w:ascii="Times New Roman"/>
                <w:color w:val="auto"/>
                <w:sz w:val="24"/>
              </w:rPr>
            </w:pPr>
          </w:p>
        </w:tc>
        <w:tc>
          <w:tcPr>
            <w:tcW w:w="1417" w:type="dxa"/>
            <w:vAlign w:val="top"/>
          </w:tcPr>
          <w:p>
            <w:pPr>
              <w:pStyle w:val="28"/>
              <w:rPr>
                <w:rFonts w:ascii="Times New Roman"/>
                <w:color w:val="auto"/>
                <w:sz w:val="24"/>
              </w:rPr>
            </w:pPr>
          </w:p>
        </w:tc>
        <w:tc>
          <w:tcPr>
            <w:tcW w:w="1475" w:type="dxa"/>
            <w:vAlign w:val="top"/>
          </w:tcPr>
          <w:p>
            <w:pPr>
              <w:pStyle w:val="28"/>
              <w:rPr>
                <w:rFonts w:ascii="Times New Roman"/>
                <w:color w:val="auto"/>
                <w:sz w:val="24"/>
              </w:rPr>
            </w:pPr>
          </w:p>
        </w:tc>
        <w:tc>
          <w:tcPr>
            <w:tcW w:w="901"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pPr>
              <w:pStyle w:val="28"/>
              <w:rPr>
                <w:rFonts w:ascii="Times New Roman"/>
                <w:color w:val="auto"/>
                <w:sz w:val="24"/>
              </w:rPr>
            </w:pPr>
          </w:p>
        </w:tc>
        <w:tc>
          <w:tcPr>
            <w:tcW w:w="898" w:type="dxa"/>
            <w:vAlign w:val="top"/>
          </w:tcPr>
          <w:p>
            <w:pPr>
              <w:pStyle w:val="28"/>
              <w:rPr>
                <w:rFonts w:ascii="Times New Roman"/>
                <w:color w:val="auto"/>
                <w:sz w:val="24"/>
              </w:rPr>
            </w:pPr>
          </w:p>
        </w:tc>
        <w:tc>
          <w:tcPr>
            <w:tcW w:w="903" w:type="dxa"/>
            <w:vAlign w:val="top"/>
          </w:tcPr>
          <w:p>
            <w:pPr>
              <w:pStyle w:val="28"/>
              <w:rPr>
                <w:rFonts w:ascii="Times New Roman"/>
                <w:color w:val="auto"/>
                <w:sz w:val="24"/>
              </w:rPr>
            </w:pPr>
          </w:p>
        </w:tc>
        <w:tc>
          <w:tcPr>
            <w:tcW w:w="1498" w:type="dxa"/>
            <w:vAlign w:val="top"/>
          </w:tcPr>
          <w:p>
            <w:pPr>
              <w:pStyle w:val="28"/>
              <w:rPr>
                <w:rFonts w:ascii="Times New Roman"/>
                <w:color w:val="auto"/>
                <w:sz w:val="24"/>
              </w:rPr>
            </w:pPr>
          </w:p>
        </w:tc>
        <w:tc>
          <w:tcPr>
            <w:tcW w:w="1302" w:type="dxa"/>
            <w:vAlign w:val="top"/>
          </w:tcPr>
          <w:p>
            <w:pPr>
              <w:pStyle w:val="28"/>
              <w:rPr>
                <w:rFonts w:ascii="Times New Roman"/>
                <w:color w:val="auto"/>
                <w:sz w:val="24"/>
              </w:rPr>
            </w:pPr>
          </w:p>
        </w:tc>
        <w:tc>
          <w:tcPr>
            <w:tcW w:w="1417" w:type="dxa"/>
            <w:vAlign w:val="top"/>
          </w:tcPr>
          <w:p>
            <w:pPr>
              <w:pStyle w:val="28"/>
              <w:rPr>
                <w:rFonts w:ascii="Times New Roman"/>
                <w:color w:val="auto"/>
                <w:sz w:val="24"/>
              </w:rPr>
            </w:pPr>
          </w:p>
        </w:tc>
        <w:tc>
          <w:tcPr>
            <w:tcW w:w="1475" w:type="dxa"/>
            <w:vAlign w:val="top"/>
          </w:tcPr>
          <w:p>
            <w:pPr>
              <w:pStyle w:val="28"/>
              <w:rPr>
                <w:rFonts w:ascii="Times New Roman"/>
                <w:color w:val="auto"/>
                <w:sz w:val="24"/>
              </w:rPr>
            </w:pPr>
          </w:p>
        </w:tc>
        <w:tc>
          <w:tcPr>
            <w:tcW w:w="901"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pPr>
              <w:pStyle w:val="28"/>
              <w:rPr>
                <w:rFonts w:ascii="Times New Roman"/>
                <w:color w:val="auto"/>
                <w:sz w:val="24"/>
              </w:rPr>
            </w:pPr>
          </w:p>
        </w:tc>
        <w:tc>
          <w:tcPr>
            <w:tcW w:w="898" w:type="dxa"/>
            <w:vAlign w:val="top"/>
          </w:tcPr>
          <w:p>
            <w:pPr>
              <w:pStyle w:val="28"/>
              <w:rPr>
                <w:rFonts w:ascii="Times New Roman"/>
                <w:color w:val="auto"/>
                <w:sz w:val="24"/>
              </w:rPr>
            </w:pPr>
          </w:p>
        </w:tc>
        <w:tc>
          <w:tcPr>
            <w:tcW w:w="903" w:type="dxa"/>
            <w:vAlign w:val="top"/>
          </w:tcPr>
          <w:p>
            <w:pPr>
              <w:pStyle w:val="28"/>
              <w:rPr>
                <w:rFonts w:ascii="Times New Roman"/>
                <w:color w:val="auto"/>
                <w:sz w:val="24"/>
              </w:rPr>
            </w:pPr>
          </w:p>
        </w:tc>
        <w:tc>
          <w:tcPr>
            <w:tcW w:w="1498" w:type="dxa"/>
            <w:vAlign w:val="top"/>
          </w:tcPr>
          <w:p>
            <w:pPr>
              <w:pStyle w:val="28"/>
              <w:rPr>
                <w:rFonts w:ascii="Times New Roman"/>
                <w:color w:val="auto"/>
                <w:sz w:val="24"/>
              </w:rPr>
            </w:pPr>
          </w:p>
        </w:tc>
        <w:tc>
          <w:tcPr>
            <w:tcW w:w="1302" w:type="dxa"/>
            <w:vAlign w:val="top"/>
          </w:tcPr>
          <w:p>
            <w:pPr>
              <w:pStyle w:val="28"/>
              <w:rPr>
                <w:rFonts w:ascii="Times New Roman"/>
                <w:color w:val="auto"/>
                <w:sz w:val="24"/>
              </w:rPr>
            </w:pPr>
          </w:p>
        </w:tc>
        <w:tc>
          <w:tcPr>
            <w:tcW w:w="1417" w:type="dxa"/>
            <w:vAlign w:val="top"/>
          </w:tcPr>
          <w:p>
            <w:pPr>
              <w:pStyle w:val="28"/>
              <w:rPr>
                <w:rFonts w:ascii="Times New Roman"/>
                <w:color w:val="auto"/>
                <w:sz w:val="24"/>
              </w:rPr>
            </w:pPr>
          </w:p>
        </w:tc>
        <w:tc>
          <w:tcPr>
            <w:tcW w:w="1475" w:type="dxa"/>
            <w:vAlign w:val="top"/>
          </w:tcPr>
          <w:p>
            <w:pPr>
              <w:pStyle w:val="28"/>
              <w:rPr>
                <w:rFonts w:ascii="Times New Roman"/>
                <w:color w:val="auto"/>
                <w:sz w:val="24"/>
              </w:rPr>
            </w:pPr>
          </w:p>
        </w:tc>
        <w:tc>
          <w:tcPr>
            <w:tcW w:w="901"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pPr>
              <w:pStyle w:val="28"/>
              <w:rPr>
                <w:rFonts w:ascii="Times New Roman"/>
                <w:color w:val="auto"/>
                <w:sz w:val="24"/>
              </w:rPr>
            </w:pPr>
          </w:p>
        </w:tc>
        <w:tc>
          <w:tcPr>
            <w:tcW w:w="898" w:type="dxa"/>
            <w:vAlign w:val="top"/>
          </w:tcPr>
          <w:p>
            <w:pPr>
              <w:pStyle w:val="28"/>
              <w:rPr>
                <w:rFonts w:ascii="Times New Roman"/>
                <w:color w:val="auto"/>
                <w:sz w:val="24"/>
              </w:rPr>
            </w:pPr>
          </w:p>
        </w:tc>
        <w:tc>
          <w:tcPr>
            <w:tcW w:w="903" w:type="dxa"/>
            <w:vAlign w:val="top"/>
          </w:tcPr>
          <w:p>
            <w:pPr>
              <w:pStyle w:val="28"/>
              <w:rPr>
                <w:rFonts w:ascii="Times New Roman"/>
                <w:color w:val="auto"/>
                <w:sz w:val="24"/>
              </w:rPr>
            </w:pPr>
          </w:p>
        </w:tc>
        <w:tc>
          <w:tcPr>
            <w:tcW w:w="1498" w:type="dxa"/>
            <w:vAlign w:val="top"/>
          </w:tcPr>
          <w:p>
            <w:pPr>
              <w:pStyle w:val="28"/>
              <w:rPr>
                <w:rFonts w:ascii="Times New Roman"/>
                <w:color w:val="auto"/>
                <w:sz w:val="24"/>
              </w:rPr>
            </w:pPr>
          </w:p>
        </w:tc>
        <w:tc>
          <w:tcPr>
            <w:tcW w:w="1302" w:type="dxa"/>
            <w:vAlign w:val="top"/>
          </w:tcPr>
          <w:p>
            <w:pPr>
              <w:pStyle w:val="28"/>
              <w:rPr>
                <w:rFonts w:ascii="Times New Roman"/>
                <w:color w:val="auto"/>
                <w:sz w:val="24"/>
              </w:rPr>
            </w:pPr>
          </w:p>
        </w:tc>
        <w:tc>
          <w:tcPr>
            <w:tcW w:w="1417" w:type="dxa"/>
            <w:vAlign w:val="top"/>
          </w:tcPr>
          <w:p>
            <w:pPr>
              <w:pStyle w:val="28"/>
              <w:rPr>
                <w:rFonts w:ascii="Times New Roman"/>
                <w:color w:val="auto"/>
                <w:sz w:val="24"/>
              </w:rPr>
            </w:pPr>
          </w:p>
        </w:tc>
        <w:tc>
          <w:tcPr>
            <w:tcW w:w="1475" w:type="dxa"/>
            <w:vAlign w:val="top"/>
          </w:tcPr>
          <w:p>
            <w:pPr>
              <w:pStyle w:val="28"/>
              <w:rPr>
                <w:rFonts w:ascii="Times New Roman"/>
                <w:color w:val="auto"/>
                <w:sz w:val="24"/>
              </w:rPr>
            </w:pPr>
          </w:p>
        </w:tc>
        <w:tc>
          <w:tcPr>
            <w:tcW w:w="901"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pPr>
              <w:pStyle w:val="28"/>
              <w:rPr>
                <w:rFonts w:ascii="Times New Roman"/>
                <w:color w:val="auto"/>
                <w:sz w:val="24"/>
              </w:rPr>
            </w:pPr>
          </w:p>
        </w:tc>
        <w:tc>
          <w:tcPr>
            <w:tcW w:w="898" w:type="dxa"/>
            <w:vAlign w:val="top"/>
          </w:tcPr>
          <w:p>
            <w:pPr>
              <w:pStyle w:val="28"/>
              <w:rPr>
                <w:rFonts w:ascii="Times New Roman"/>
                <w:color w:val="auto"/>
                <w:sz w:val="24"/>
              </w:rPr>
            </w:pPr>
          </w:p>
        </w:tc>
        <w:tc>
          <w:tcPr>
            <w:tcW w:w="903" w:type="dxa"/>
            <w:vAlign w:val="top"/>
          </w:tcPr>
          <w:p>
            <w:pPr>
              <w:pStyle w:val="28"/>
              <w:rPr>
                <w:rFonts w:ascii="Times New Roman"/>
                <w:color w:val="auto"/>
                <w:sz w:val="24"/>
              </w:rPr>
            </w:pPr>
          </w:p>
        </w:tc>
        <w:tc>
          <w:tcPr>
            <w:tcW w:w="1498" w:type="dxa"/>
            <w:vAlign w:val="top"/>
          </w:tcPr>
          <w:p>
            <w:pPr>
              <w:pStyle w:val="28"/>
              <w:rPr>
                <w:rFonts w:ascii="Times New Roman"/>
                <w:color w:val="auto"/>
                <w:sz w:val="24"/>
              </w:rPr>
            </w:pPr>
          </w:p>
        </w:tc>
        <w:tc>
          <w:tcPr>
            <w:tcW w:w="1302" w:type="dxa"/>
            <w:vAlign w:val="top"/>
          </w:tcPr>
          <w:p>
            <w:pPr>
              <w:pStyle w:val="28"/>
              <w:rPr>
                <w:rFonts w:ascii="Times New Roman"/>
                <w:color w:val="auto"/>
                <w:sz w:val="24"/>
              </w:rPr>
            </w:pPr>
          </w:p>
        </w:tc>
        <w:tc>
          <w:tcPr>
            <w:tcW w:w="1417" w:type="dxa"/>
            <w:vAlign w:val="top"/>
          </w:tcPr>
          <w:p>
            <w:pPr>
              <w:pStyle w:val="28"/>
              <w:rPr>
                <w:rFonts w:ascii="Times New Roman"/>
                <w:color w:val="auto"/>
                <w:sz w:val="24"/>
              </w:rPr>
            </w:pPr>
          </w:p>
        </w:tc>
        <w:tc>
          <w:tcPr>
            <w:tcW w:w="1475" w:type="dxa"/>
            <w:vAlign w:val="top"/>
          </w:tcPr>
          <w:p>
            <w:pPr>
              <w:pStyle w:val="28"/>
              <w:rPr>
                <w:rFonts w:ascii="Times New Roman"/>
                <w:color w:val="auto"/>
                <w:sz w:val="24"/>
              </w:rPr>
            </w:pPr>
          </w:p>
        </w:tc>
        <w:tc>
          <w:tcPr>
            <w:tcW w:w="901"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pPr>
              <w:pStyle w:val="28"/>
              <w:rPr>
                <w:rFonts w:ascii="Times New Roman"/>
                <w:color w:val="auto"/>
                <w:sz w:val="24"/>
              </w:rPr>
            </w:pPr>
          </w:p>
        </w:tc>
        <w:tc>
          <w:tcPr>
            <w:tcW w:w="898" w:type="dxa"/>
            <w:vAlign w:val="top"/>
          </w:tcPr>
          <w:p>
            <w:pPr>
              <w:pStyle w:val="28"/>
              <w:rPr>
                <w:rFonts w:ascii="Times New Roman"/>
                <w:color w:val="auto"/>
                <w:sz w:val="24"/>
              </w:rPr>
            </w:pPr>
          </w:p>
        </w:tc>
        <w:tc>
          <w:tcPr>
            <w:tcW w:w="903" w:type="dxa"/>
            <w:vAlign w:val="top"/>
          </w:tcPr>
          <w:p>
            <w:pPr>
              <w:pStyle w:val="28"/>
              <w:rPr>
                <w:rFonts w:ascii="Times New Roman"/>
                <w:color w:val="auto"/>
                <w:sz w:val="24"/>
              </w:rPr>
            </w:pPr>
          </w:p>
        </w:tc>
        <w:tc>
          <w:tcPr>
            <w:tcW w:w="1498" w:type="dxa"/>
            <w:vAlign w:val="top"/>
          </w:tcPr>
          <w:p>
            <w:pPr>
              <w:pStyle w:val="28"/>
              <w:rPr>
                <w:rFonts w:ascii="Times New Roman"/>
                <w:color w:val="auto"/>
                <w:sz w:val="24"/>
              </w:rPr>
            </w:pPr>
          </w:p>
        </w:tc>
        <w:tc>
          <w:tcPr>
            <w:tcW w:w="1302" w:type="dxa"/>
            <w:vAlign w:val="top"/>
          </w:tcPr>
          <w:p>
            <w:pPr>
              <w:pStyle w:val="28"/>
              <w:rPr>
                <w:rFonts w:ascii="Times New Roman"/>
                <w:color w:val="auto"/>
                <w:sz w:val="24"/>
              </w:rPr>
            </w:pPr>
          </w:p>
        </w:tc>
        <w:tc>
          <w:tcPr>
            <w:tcW w:w="1417" w:type="dxa"/>
            <w:vAlign w:val="top"/>
          </w:tcPr>
          <w:p>
            <w:pPr>
              <w:pStyle w:val="28"/>
              <w:rPr>
                <w:rFonts w:ascii="Times New Roman"/>
                <w:color w:val="auto"/>
                <w:sz w:val="24"/>
              </w:rPr>
            </w:pPr>
          </w:p>
        </w:tc>
        <w:tc>
          <w:tcPr>
            <w:tcW w:w="1475" w:type="dxa"/>
            <w:vAlign w:val="top"/>
          </w:tcPr>
          <w:p>
            <w:pPr>
              <w:pStyle w:val="28"/>
              <w:rPr>
                <w:rFonts w:ascii="Times New Roman"/>
                <w:color w:val="auto"/>
                <w:sz w:val="24"/>
              </w:rPr>
            </w:pPr>
          </w:p>
        </w:tc>
        <w:tc>
          <w:tcPr>
            <w:tcW w:w="901"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pPr>
              <w:pStyle w:val="28"/>
              <w:rPr>
                <w:rFonts w:ascii="Times New Roman"/>
                <w:color w:val="auto"/>
                <w:sz w:val="24"/>
              </w:rPr>
            </w:pPr>
          </w:p>
        </w:tc>
        <w:tc>
          <w:tcPr>
            <w:tcW w:w="898" w:type="dxa"/>
            <w:vAlign w:val="top"/>
          </w:tcPr>
          <w:p>
            <w:pPr>
              <w:pStyle w:val="28"/>
              <w:rPr>
                <w:rFonts w:ascii="Times New Roman"/>
                <w:color w:val="auto"/>
                <w:sz w:val="24"/>
              </w:rPr>
            </w:pPr>
          </w:p>
        </w:tc>
        <w:tc>
          <w:tcPr>
            <w:tcW w:w="903" w:type="dxa"/>
            <w:vAlign w:val="top"/>
          </w:tcPr>
          <w:p>
            <w:pPr>
              <w:pStyle w:val="28"/>
              <w:rPr>
                <w:rFonts w:ascii="Times New Roman"/>
                <w:color w:val="auto"/>
                <w:sz w:val="24"/>
              </w:rPr>
            </w:pPr>
          </w:p>
        </w:tc>
        <w:tc>
          <w:tcPr>
            <w:tcW w:w="1498" w:type="dxa"/>
            <w:vAlign w:val="top"/>
          </w:tcPr>
          <w:p>
            <w:pPr>
              <w:pStyle w:val="28"/>
              <w:rPr>
                <w:rFonts w:ascii="Times New Roman"/>
                <w:color w:val="auto"/>
                <w:sz w:val="24"/>
              </w:rPr>
            </w:pPr>
          </w:p>
        </w:tc>
        <w:tc>
          <w:tcPr>
            <w:tcW w:w="1302" w:type="dxa"/>
            <w:vAlign w:val="top"/>
          </w:tcPr>
          <w:p>
            <w:pPr>
              <w:pStyle w:val="28"/>
              <w:rPr>
                <w:rFonts w:ascii="Times New Roman"/>
                <w:color w:val="auto"/>
                <w:sz w:val="24"/>
              </w:rPr>
            </w:pPr>
          </w:p>
        </w:tc>
        <w:tc>
          <w:tcPr>
            <w:tcW w:w="1417" w:type="dxa"/>
            <w:vAlign w:val="top"/>
          </w:tcPr>
          <w:p>
            <w:pPr>
              <w:pStyle w:val="28"/>
              <w:rPr>
                <w:rFonts w:ascii="Times New Roman"/>
                <w:color w:val="auto"/>
                <w:sz w:val="24"/>
              </w:rPr>
            </w:pPr>
          </w:p>
        </w:tc>
        <w:tc>
          <w:tcPr>
            <w:tcW w:w="1475" w:type="dxa"/>
            <w:vAlign w:val="top"/>
          </w:tcPr>
          <w:p>
            <w:pPr>
              <w:pStyle w:val="28"/>
              <w:rPr>
                <w:rFonts w:ascii="Times New Roman"/>
                <w:color w:val="auto"/>
                <w:sz w:val="24"/>
              </w:rPr>
            </w:pPr>
          </w:p>
        </w:tc>
        <w:tc>
          <w:tcPr>
            <w:tcW w:w="901"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pPr>
              <w:pStyle w:val="28"/>
              <w:rPr>
                <w:rFonts w:ascii="Times New Roman"/>
                <w:color w:val="auto"/>
                <w:sz w:val="24"/>
              </w:rPr>
            </w:pPr>
          </w:p>
        </w:tc>
        <w:tc>
          <w:tcPr>
            <w:tcW w:w="898" w:type="dxa"/>
            <w:vAlign w:val="top"/>
          </w:tcPr>
          <w:p>
            <w:pPr>
              <w:pStyle w:val="28"/>
              <w:rPr>
                <w:rFonts w:ascii="Times New Roman"/>
                <w:color w:val="auto"/>
                <w:sz w:val="24"/>
              </w:rPr>
            </w:pPr>
          </w:p>
        </w:tc>
        <w:tc>
          <w:tcPr>
            <w:tcW w:w="903" w:type="dxa"/>
            <w:vAlign w:val="top"/>
          </w:tcPr>
          <w:p>
            <w:pPr>
              <w:pStyle w:val="28"/>
              <w:rPr>
                <w:rFonts w:ascii="Times New Roman"/>
                <w:color w:val="auto"/>
                <w:sz w:val="24"/>
              </w:rPr>
            </w:pPr>
          </w:p>
        </w:tc>
        <w:tc>
          <w:tcPr>
            <w:tcW w:w="1498" w:type="dxa"/>
            <w:vAlign w:val="top"/>
          </w:tcPr>
          <w:p>
            <w:pPr>
              <w:pStyle w:val="28"/>
              <w:rPr>
                <w:rFonts w:ascii="Times New Roman"/>
                <w:color w:val="auto"/>
                <w:sz w:val="24"/>
              </w:rPr>
            </w:pPr>
          </w:p>
        </w:tc>
        <w:tc>
          <w:tcPr>
            <w:tcW w:w="1302" w:type="dxa"/>
            <w:vAlign w:val="top"/>
          </w:tcPr>
          <w:p>
            <w:pPr>
              <w:pStyle w:val="28"/>
              <w:rPr>
                <w:rFonts w:ascii="Times New Roman"/>
                <w:color w:val="auto"/>
                <w:sz w:val="24"/>
              </w:rPr>
            </w:pPr>
          </w:p>
        </w:tc>
        <w:tc>
          <w:tcPr>
            <w:tcW w:w="1417" w:type="dxa"/>
            <w:vAlign w:val="top"/>
          </w:tcPr>
          <w:p>
            <w:pPr>
              <w:pStyle w:val="28"/>
              <w:rPr>
                <w:rFonts w:ascii="Times New Roman"/>
                <w:color w:val="auto"/>
                <w:sz w:val="24"/>
              </w:rPr>
            </w:pPr>
          </w:p>
        </w:tc>
        <w:tc>
          <w:tcPr>
            <w:tcW w:w="1475" w:type="dxa"/>
            <w:vAlign w:val="top"/>
          </w:tcPr>
          <w:p>
            <w:pPr>
              <w:pStyle w:val="28"/>
              <w:rPr>
                <w:rFonts w:ascii="Times New Roman"/>
                <w:color w:val="auto"/>
                <w:sz w:val="24"/>
              </w:rPr>
            </w:pPr>
          </w:p>
        </w:tc>
        <w:tc>
          <w:tcPr>
            <w:tcW w:w="901"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pPr>
              <w:pStyle w:val="28"/>
              <w:rPr>
                <w:rFonts w:ascii="Times New Roman"/>
                <w:color w:val="auto"/>
                <w:sz w:val="24"/>
              </w:rPr>
            </w:pPr>
          </w:p>
        </w:tc>
        <w:tc>
          <w:tcPr>
            <w:tcW w:w="898" w:type="dxa"/>
            <w:vAlign w:val="top"/>
          </w:tcPr>
          <w:p>
            <w:pPr>
              <w:pStyle w:val="28"/>
              <w:rPr>
                <w:rFonts w:ascii="Times New Roman"/>
                <w:color w:val="auto"/>
                <w:sz w:val="24"/>
              </w:rPr>
            </w:pPr>
          </w:p>
        </w:tc>
        <w:tc>
          <w:tcPr>
            <w:tcW w:w="903" w:type="dxa"/>
            <w:vAlign w:val="top"/>
          </w:tcPr>
          <w:p>
            <w:pPr>
              <w:pStyle w:val="28"/>
              <w:rPr>
                <w:rFonts w:ascii="Times New Roman"/>
                <w:color w:val="auto"/>
                <w:sz w:val="24"/>
              </w:rPr>
            </w:pPr>
          </w:p>
        </w:tc>
        <w:tc>
          <w:tcPr>
            <w:tcW w:w="1498" w:type="dxa"/>
            <w:vAlign w:val="top"/>
          </w:tcPr>
          <w:p>
            <w:pPr>
              <w:pStyle w:val="28"/>
              <w:rPr>
                <w:rFonts w:ascii="Times New Roman"/>
                <w:color w:val="auto"/>
                <w:sz w:val="24"/>
              </w:rPr>
            </w:pPr>
          </w:p>
        </w:tc>
        <w:tc>
          <w:tcPr>
            <w:tcW w:w="1302" w:type="dxa"/>
            <w:vAlign w:val="top"/>
          </w:tcPr>
          <w:p>
            <w:pPr>
              <w:pStyle w:val="28"/>
              <w:rPr>
                <w:rFonts w:ascii="Times New Roman"/>
                <w:color w:val="auto"/>
                <w:sz w:val="24"/>
              </w:rPr>
            </w:pPr>
          </w:p>
        </w:tc>
        <w:tc>
          <w:tcPr>
            <w:tcW w:w="1417" w:type="dxa"/>
            <w:vAlign w:val="top"/>
          </w:tcPr>
          <w:p>
            <w:pPr>
              <w:pStyle w:val="28"/>
              <w:rPr>
                <w:rFonts w:ascii="Times New Roman"/>
                <w:color w:val="auto"/>
                <w:sz w:val="24"/>
              </w:rPr>
            </w:pPr>
          </w:p>
        </w:tc>
        <w:tc>
          <w:tcPr>
            <w:tcW w:w="1475" w:type="dxa"/>
            <w:vAlign w:val="top"/>
          </w:tcPr>
          <w:p>
            <w:pPr>
              <w:pStyle w:val="28"/>
              <w:rPr>
                <w:rFonts w:ascii="Times New Roman"/>
                <w:color w:val="auto"/>
                <w:sz w:val="24"/>
              </w:rPr>
            </w:pPr>
          </w:p>
        </w:tc>
        <w:tc>
          <w:tcPr>
            <w:tcW w:w="901" w:type="dxa"/>
            <w:vAlign w:val="top"/>
          </w:tcPr>
          <w:p>
            <w:pPr>
              <w:pStyle w:val="28"/>
              <w:rPr>
                <w:rFonts w:ascii="Times New Roman"/>
                <w:color w:val="auto"/>
                <w:sz w:val="24"/>
              </w:rPr>
            </w:pPr>
          </w:p>
        </w:tc>
      </w:tr>
    </w:tbl>
    <w:p>
      <w:pPr>
        <w:spacing w:after="0"/>
        <w:rPr>
          <w:color w:val="auto"/>
        </w:rPr>
        <w:sectPr>
          <w:pgSz w:w="11910" w:h="16840"/>
          <w:pgMar w:top="1380" w:right="880" w:bottom="1100" w:left="880" w:header="888" w:footer="910" w:gutter="0"/>
          <w:pgNumType w:fmt="decimal"/>
          <w:cols w:space="720" w:num="1"/>
        </w:sectPr>
      </w:pPr>
    </w:p>
    <w:p>
      <w:pPr>
        <w:pStyle w:val="9"/>
        <w:ind w:left="0" w:leftChars="0" w:firstLine="0" w:firstLineChars="0"/>
        <w:jc w:val="center"/>
        <w:outlineLvl w:val="1"/>
        <w:rPr>
          <w:color w:val="auto"/>
        </w:rPr>
      </w:pPr>
      <w:bookmarkStart w:id="124" w:name="_Toc24225"/>
      <w:r>
        <w:rPr>
          <w:color w:val="auto"/>
        </w:rPr>
        <w:t>（二）项目负责人简历表</w:t>
      </w:r>
      <w:bookmarkEnd w:id="124"/>
    </w:p>
    <w:p>
      <w:pPr>
        <w:pStyle w:val="3"/>
        <w:spacing w:before="4"/>
        <w:ind w:left="0"/>
        <w:rPr>
          <w:b/>
          <w:color w:val="auto"/>
          <w:sz w:val="10"/>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pPr>
              <w:pStyle w:val="28"/>
              <w:spacing w:before="4"/>
              <w:rPr>
                <w:b/>
                <w:color w:val="auto"/>
                <w:sz w:val="19"/>
              </w:rPr>
            </w:pPr>
          </w:p>
          <w:p>
            <w:pPr>
              <w:pStyle w:val="28"/>
              <w:ind w:left="317" w:right="308"/>
              <w:jc w:val="center"/>
              <w:rPr>
                <w:color w:val="auto"/>
                <w:sz w:val="22"/>
              </w:rPr>
            </w:pPr>
            <w:r>
              <w:rPr>
                <w:color w:val="auto"/>
                <w:sz w:val="22"/>
              </w:rPr>
              <w:t>姓 名</w:t>
            </w:r>
          </w:p>
        </w:tc>
        <w:tc>
          <w:tcPr>
            <w:tcW w:w="1558" w:type="dxa"/>
            <w:gridSpan w:val="2"/>
            <w:vAlign w:val="top"/>
          </w:tcPr>
          <w:p>
            <w:pPr>
              <w:pStyle w:val="28"/>
              <w:rPr>
                <w:rFonts w:ascii="Times New Roman"/>
                <w:color w:val="auto"/>
                <w:sz w:val="22"/>
              </w:rPr>
            </w:pPr>
          </w:p>
        </w:tc>
        <w:tc>
          <w:tcPr>
            <w:tcW w:w="1560" w:type="dxa"/>
            <w:vAlign w:val="top"/>
          </w:tcPr>
          <w:p>
            <w:pPr>
              <w:pStyle w:val="28"/>
              <w:spacing w:before="4"/>
              <w:rPr>
                <w:b/>
                <w:color w:val="auto"/>
                <w:sz w:val="19"/>
              </w:rPr>
            </w:pPr>
          </w:p>
          <w:p>
            <w:pPr>
              <w:pStyle w:val="28"/>
              <w:ind w:left="485" w:right="475"/>
              <w:jc w:val="center"/>
              <w:rPr>
                <w:color w:val="auto"/>
                <w:sz w:val="22"/>
              </w:rPr>
            </w:pPr>
            <w:r>
              <w:rPr>
                <w:color w:val="auto"/>
                <w:sz w:val="22"/>
              </w:rPr>
              <w:t>年 龄</w:t>
            </w:r>
          </w:p>
        </w:tc>
        <w:tc>
          <w:tcPr>
            <w:tcW w:w="1558" w:type="dxa"/>
            <w:vAlign w:val="top"/>
          </w:tcPr>
          <w:p>
            <w:pPr>
              <w:pStyle w:val="28"/>
              <w:rPr>
                <w:rFonts w:ascii="Times New Roman"/>
                <w:color w:val="auto"/>
                <w:sz w:val="22"/>
              </w:rPr>
            </w:pPr>
          </w:p>
        </w:tc>
        <w:tc>
          <w:tcPr>
            <w:tcW w:w="1851" w:type="dxa"/>
            <w:gridSpan w:val="2"/>
            <w:vAlign w:val="top"/>
          </w:tcPr>
          <w:p>
            <w:pPr>
              <w:pStyle w:val="28"/>
              <w:spacing w:before="4"/>
              <w:rPr>
                <w:b/>
                <w:color w:val="auto"/>
                <w:sz w:val="19"/>
              </w:rPr>
            </w:pPr>
          </w:p>
          <w:p>
            <w:pPr>
              <w:pStyle w:val="28"/>
              <w:ind w:left="631" w:right="619"/>
              <w:jc w:val="center"/>
              <w:rPr>
                <w:color w:val="auto"/>
                <w:sz w:val="22"/>
              </w:rPr>
            </w:pPr>
            <w:r>
              <w:rPr>
                <w:color w:val="auto"/>
                <w:sz w:val="22"/>
              </w:rPr>
              <w:t>学 历</w:t>
            </w:r>
          </w:p>
        </w:tc>
        <w:tc>
          <w:tcPr>
            <w:tcW w:w="1267" w:type="dxa"/>
            <w:vAlign w:val="top"/>
          </w:tcPr>
          <w:p>
            <w:pPr>
              <w:pStyle w:val="2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pPr>
              <w:pStyle w:val="28"/>
              <w:rPr>
                <w:b/>
                <w:color w:val="auto"/>
                <w:sz w:val="18"/>
              </w:rPr>
            </w:pPr>
          </w:p>
          <w:p>
            <w:pPr>
              <w:pStyle w:val="28"/>
              <w:ind w:left="317" w:right="308"/>
              <w:jc w:val="center"/>
              <w:rPr>
                <w:color w:val="auto"/>
                <w:sz w:val="22"/>
              </w:rPr>
            </w:pPr>
            <w:r>
              <w:rPr>
                <w:color w:val="auto"/>
                <w:sz w:val="22"/>
              </w:rPr>
              <w:t>职 称</w:t>
            </w:r>
          </w:p>
        </w:tc>
        <w:tc>
          <w:tcPr>
            <w:tcW w:w="1558" w:type="dxa"/>
            <w:gridSpan w:val="2"/>
            <w:vAlign w:val="top"/>
          </w:tcPr>
          <w:p>
            <w:pPr>
              <w:pStyle w:val="28"/>
              <w:rPr>
                <w:rFonts w:ascii="Times New Roman"/>
                <w:color w:val="auto"/>
                <w:sz w:val="22"/>
              </w:rPr>
            </w:pPr>
          </w:p>
        </w:tc>
        <w:tc>
          <w:tcPr>
            <w:tcW w:w="1560" w:type="dxa"/>
            <w:vAlign w:val="top"/>
          </w:tcPr>
          <w:p>
            <w:pPr>
              <w:pStyle w:val="28"/>
              <w:rPr>
                <w:b/>
                <w:color w:val="auto"/>
                <w:sz w:val="18"/>
              </w:rPr>
            </w:pPr>
          </w:p>
          <w:p>
            <w:pPr>
              <w:pStyle w:val="28"/>
              <w:ind w:left="485" w:right="475"/>
              <w:jc w:val="center"/>
              <w:rPr>
                <w:color w:val="auto"/>
                <w:sz w:val="22"/>
              </w:rPr>
            </w:pPr>
            <w:r>
              <w:rPr>
                <w:color w:val="auto"/>
                <w:sz w:val="22"/>
              </w:rPr>
              <w:t>职 务</w:t>
            </w:r>
          </w:p>
        </w:tc>
        <w:tc>
          <w:tcPr>
            <w:tcW w:w="1558" w:type="dxa"/>
            <w:vAlign w:val="top"/>
          </w:tcPr>
          <w:p>
            <w:pPr>
              <w:pStyle w:val="28"/>
              <w:rPr>
                <w:rFonts w:ascii="Times New Roman"/>
                <w:color w:val="auto"/>
                <w:sz w:val="22"/>
              </w:rPr>
            </w:pPr>
          </w:p>
        </w:tc>
        <w:tc>
          <w:tcPr>
            <w:tcW w:w="1851" w:type="dxa"/>
            <w:gridSpan w:val="2"/>
            <w:vAlign w:val="top"/>
          </w:tcPr>
          <w:p>
            <w:pPr>
              <w:pStyle w:val="28"/>
              <w:rPr>
                <w:b/>
                <w:color w:val="auto"/>
                <w:sz w:val="18"/>
              </w:rPr>
            </w:pPr>
          </w:p>
          <w:p>
            <w:pPr>
              <w:pStyle w:val="28"/>
              <w:ind w:left="153"/>
              <w:rPr>
                <w:color w:val="auto"/>
                <w:sz w:val="22"/>
              </w:rPr>
            </w:pPr>
            <w:r>
              <w:rPr>
                <w:color w:val="auto"/>
                <w:sz w:val="22"/>
              </w:rPr>
              <w:t>拟在本合同任职</w:t>
            </w:r>
          </w:p>
        </w:tc>
        <w:tc>
          <w:tcPr>
            <w:tcW w:w="1267" w:type="dxa"/>
            <w:vAlign w:val="top"/>
          </w:tcPr>
          <w:p>
            <w:pPr>
              <w:pStyle w:val="2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pPr>
              <w:pStyle w:val="28"/>
              <w:spacing w:before="2"/>
              <w:rPr>
                <w:b/>
                <w:color w:val="auto"/>
                <w:sz w:val="21"/>
              </w:rPr>
            </w:pPr>
          </w:p>
          <w:p>
            <w:pPr>
              <w:pStyle w:val="28"/>
              <w:ind w:left="317" w:right="308"/>
              <w:jc w:val="center"/>
              <w:rPr>
                <w:color w:val="auto"/>
                <w:sz w:val="22"/>
              </w:rPr>
            </w:pPr>
            <w:r>
              <w:rPr>
                <w:color w:val="auto"/>
                <w:sz w:val="22"/>
              </w:rPr>
              <w:t>毕业学校</w:t>
            </w:r>
          </w:p>
        </w:tc>
        <w:tc>
          <w:tcPr>
            <w:tcW w:w="7794" w:type="dxa"/>
            <w:gridSpan w:val="7"/>
            <w:vAlign w:val="top"/>
          </w:tcPr>
          <w:p>
            <w:pPr>
              <w:pStyle w:val="28"/>
              <w:spacing w:before="2"/>
              <w:rPr>
                <w:b/>
                <w:color w:val="auto"/>
                <w:sz w:val="21"/>
              </w:rPr>
            </w:pPr>
          </w:p>
          <w:p>
            <w:pPr>
              <w:pStyle w:val="28"/>
              <w:tabs>
                <w:tab w:val="left" w:pos="1548"/>
                <w:tab w:val="left" w:pos="2758"/>
              </w:tabs>
              <w:ind w:left="7"/>
              <w:jc w:val="center"/>
              <w:rPr>
                <w:color w:val="auto"/>
                <w:sz w:val="22"/>
              </w:rPr>
            </w:pPr>
            <w:r>
              <w:rPr>
                <w:color w:val="auto"/>
                <w:sz w:val="22"/>
              </w:rPr>
              <w:t>年毕业于</w:t>
            </w:r>
            <w:r>
              <w:rPr>
                <w:color w:val="auto"/>
                <w:sz w:val="22"/>
              </w:rPr>
              <w:tab/>
            </w:r>
            <w:r>
              <w:rPr>
                <w:color w:val="auto"/>
                <w:sz w:val="22"/>
              </w:rPr>
              <w:t>学校</w:t>
            </w:r>
            <w:r>
              <w:rPr>
                <w:color w:val="auto"/>
                <w:sz w:val="22"/>
              </w:rPr>
              <w:tab/>
            </w:r>
            <w:r>
              <w:rPr>
                <w:color w:val="auto"/>
                <w:sz w:val="22"/>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pPr>
              <w:pStyle w:val="28"/>
              <w:spacing w:before="11"/>
              <w:rPr>
                <w:b/>
                <w:color w:val="auto"/>
                <w:sz w:val="16"/>
              </w:rPr>
            </w:pPr>
          </w:p>
          <w:p>
            <w:pPr>
              <w:pStyle w:val="28"/>
              <w:ind w:left="3994" w:right="3985"/>
              <w:jc w:val="center"/>
              <w:rPr>
                <w:color w:val="auto"/>
                <w:sz w:val="22"/>
              </w:rPr>
            </w:pPr>
            <w:r>
              <w:rPr>
                <w:color w:val="auto"/>
                <w:sz w:val="22"/>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pPr>
              <w:pStyle w:val="28"/>
              <w:spacing w:before="11"/>
              <w:rPr>
                <w:b/>
                <w:color w:val="auto"/>
                <w:sz w:val="19"/>
              </w:rPr>
            </w:pPr>
          </w:p>
          <w:p>
            <w:pPr>
              <w:pStyle w:val="28"/>
              <w:ind w:left="873" w:right="859"/>
              <w:jc w:val="center"/>
              <w:rPr>
                <w:color w:val="auto"/>
                <w:sz w:val="22"/>
              </w:rPr>
            </w:pPr>
            <w:r>
              <w:rPr>
                <w:color w:val="auto"/>
                <w:sz w:val="22"/>
              </w:rPr>
              <w:t>时 间</w:t>
            </w:r>
          </w:p>
        </w:tc>
        <w:tc>
          <w:tcPr>
            <w:tcW w:w="2338" w:type="dxa"/>
            <w:gridSpan w:val="2"/>
            <w:tcBorders>
              <w:left w:val="single" w:color="000000" w:sz="6" w:space="0"/>
            </w:tcBorders>
            <w:vAlign w:val="top"/>
          </w:tcPr>
          <w:p>
            <w:pPr>
              <w:pStyle w:val="28"/>
              <w:spacing w:before="11"/>
              <w:rPr>
                <w:b/>
                <w:color w:val="auto"/>
                <w:sz w:val="19"/>
              </w:rPr>
            </w:pPr>
          </w:p>
          <w:p>
            <w:pPr>
              <w:pStyle w:val="28"/>
              <w:ind w:left="286"/>
              <w:rPr>
                <w:color w:val="auto"/>
                <w:sz w:val="22"/>
              </w:rPr>
            </w:pPr>
            <w:r>
              <w:rPr>
                <w:color w:val="auto"/>
                <w:sz w:val="22"/>
              </w:rPr>
              <w:t>参加过的类似项目</w:t>
            </w:r>
          </w:p>
        </w:tc>
        <w:tc>
          <w:tcPr>
            <w:tcW w:w="2338" w:type="dxa"/>
            <w:gridSpan w:val="2"/>
            <w:vAlign w:val="top"/>
          </w:tcPr>
          <w:p>
            <w:pPr>
              <w:pStyle w:val="28"/>
              <w:spacing w:before="11"/>
              <w:rPr>
                <w:b/>
                <w:color w:val="auto"/>
                <w:sz w:val="19"/>
              </w:rPr>
            </w:pPr>
          </w:p>
          <w:p>
            <w:pPr>
              <w:pStyle w:val="28"/>
              <w:ind w:left="727"/>
              <w:rPr>
                <w:color w:val="auto"/>
                <w:sz w:val="22"/>
              </w:rPr>
            </w:pPr>
            <w:r>
              <w:rPr>
                <w:color w:val="auto"/>
                <w:sz w:val="22"/>
              </w:rPr>
              <w:t>担任职务</w:t>
            </w:r>
          </w:p>
        </w:tc>
        <w:tc>
          <w:tcPr>
            <w:tcW w:w="2338" w:type="dxa"/>
            <w:gridSpan w:val="2"/>
            <w:vAlign w:val="top"/>
          </w:tcPr>
          <w:p>
            <w:pPr>
              <w:pStyle w:val="28"/>
              <w:spacing w:before="11"/>
              <w:rPr>
                <w:b/>
                <w:color w:val="auto"/>
                <w:sz w:val="19"/>
              </w:rPr>
            </w:pPr>
          </w:p>
          <w:p>
            <w:pPr>
              <w:pStyle w:val="28"/>
              <w:ind w:left="286"/>
              <w:rPr>
                <w:color w:val="auto"/>
                <w:sz w:val="22"/>
              </w:rPr>
            </w:pPr>
            <w:r>
              <w:rPr>
                <w:color w:val="auto"/>
                <w:sz w:val="22"/>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pPr>
              <w:pStyle w:val="28"/>
              <w:rPr>
                <w:rFonts w:ascii="Times New Roman"/>
                <w:color w:val="auto"/>
                <w:sz w:val="22"/>
              </w:rPr>
            </w:pPr>
          </w:p>
        </w:tc>
        <w:tc>
          <w:tcPr>
            <w:tcW w:w="2338" w:type="dxa"/>
            <w:gridSpan w:val="2"/>
            <w:tcBorders>
              <w:left w:val="single" w:color="000000" w:sz="6" w:space="0"/>
            </w:tcBorders>
            <w:vAlign w:val="top"/>
          </w:tcPr>
          <w:p>
            <w:pPr>
              <w:pStyle w:val="28"/>
              <w:rPr>
                <w:rFonts w:ascii="Times New Roman"/>
                <w:color w:val="auto"/>
                <w:sz w:val="22"/>
              </w:rPr>
            </w:pPr>
          </w:p>
        </w:tc>
        <w:tc>
          <w:tcPr>
            <w:tcW w:w="2338" w:type="dxa"/>
            <w:gridSpan w:val="2"/>
            <w:vAlign w:val="top"/>
          </w:tcPr>
          <w:p>
            <w:pPr>
              <w:pStyle w:val="28"/>
              <w:rPr>
                <w:rFonts w:ascii="Times New Roman"/>
                <w:color w:val="auto"/>
                <w:sz w:val="22"/>
              </w:rPr>
            </w:pPr>
          </w:p>
        </w:tc>
        <w:tc>
          <w:tcPr>
            <w:tcW w:w="2338" w:type="dxa"/>
            <w:gridSpan w:val="2"/>
            <w:vAlign w:val="top"/>
          </w:tcPr>
          <w:p>
            <w:pPr>
              <w:pStyle w:val="2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pPr>
              <w:pStyle w:val="28"/>
              <w:rPr>
                <w:rFonts w:ascii="Times New Roman"/>
                <w:color w:val="auto"/>
                <w:sz w:val="22"/>
              </w:rPr>
            </w:pPr>
          </w:p>
        </w:tc>
        <w:tc>
          <w:tcPr>
            <w:tcW w:w="2338" w:type="dxa"/>
            <w:gridSpan w:val="2"/>
            <w:tcBorders>
              <w:left w:val="single" w:color="000000" w:sz="6" w:space="0"/>
            </w:tcBorders>
            <w:vAlign w:val="top"/>
          </w:tcPr>
          <w:p>
            <w:pPr>
              <w:pStyle w:val="28"/>
              <w:rPr>
                <w:rFonts w:ascii="Times New Roman"/>
                <w:color w:val="auto"/>
                <w:sz w:val="22"/>
              </w:rPr>
            </w:pPr>
          </w:p>
        </w:tc>
        <w:tc>
          <w:tcPr>
            <w:tcW w:w="2338" w:type="dxa"/>
            <w:gridSpan w:val="2"/>
            <w:vAlign w:val="top"/>
          </w:tcPr>
          <w:p>
            <w:pPr>
              <w:pStyle w:val="28"/>
              <w:rPr>
                <w:rFonts w:ascii="Times New Roman"/>
                <w:color w:val="auto"/>
                <w:sz w:val="22"/>
              </w:rPr>
            </w:pPr>
          </w:p>
        </w:tc>
        <w:tc>
          <w:tcPr>
            <w:tcW w:w="2338" w:type="dxa"/>
            <w:gridSpan w:val="2"/>
            <w:vAlign w:val="top"/>
          </w:tcPr>
          <w:p>
            <w:pPr>
              <w:pStyle w:val="2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pPr>
              <w:pStyle w:val="28"/>
              <w:rPr>
                <w:rFonts w:ascii="Times New Roman"/>
                <w:color w:val="auto"/>
                <w:sz w:val="22"/>
              </w:rPr>
            </w:pPr>
          </w:p>
        </w:tc>
        <w:tc>
          <w:tcPr>
            <w:tcW w:w="2338" w:type="dxa"/>
            <w:gridSpan w:val="2"/>
            <w:tcBorders>
              <w:left w:val="single" w:color="000000" w:sz="6" w:space="0"/>
            </w:tcBorders>
            <w:vAlign w:val="top"/>
          </w:tcPr>
          <w:p>
            <w:pPr>
              <w:pStyle w:val="28"/>
              <w:rPr>
                <w:rFonts w:ascii="Times New Roman"/>
                <w:color w:val="auto"/>
                <w:sz w:val="22"/>
              </w:rPr>
            </w:pPr>
          </w:p>
        </w:tc>
        <w:tc>
          <w:tcPr>
            <w:tcW w:w="2338" w:type="dxa"/>
            <w:gridSpan w:val="2"/>
            <w:vAlign w:val="top"/>
          </w:tcPr>
          <w:p>
            <w:pPr>
              <w:pStyle w:val="28"/>
              <w:rPr>
                <w:rFonts w:ascii="Times New Roman"/>
                <w:color w:val="auto"/>
                <w:sz w:val="22"/>
              </w:rPr>
            </w:pPr>
          </w:p>
        </w:tc>
        <w:tc>
          <w:tcPr>
            <w:tcW w:w="2338" w:type="dxa"/>
            <w:gridSpan w:val="2"/>
            <w:vAlign w:val="top"/>
          </w:tcPr>
          <w:p>
            <w:pPr>
              <w:pStyle w:val="2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pPr>
              <w:pStyle w:val="28"/>
              <w:rPr>
                <w:rFonts w:ascii="Times New Roman"/>
                <w:color w:val="auto"/>
                <w:sz w:val="22"/>
              </w:rPr>
            </w:pPr>
          </w:p>
        </w:tc>
        <w:tc>
          <w:tcPr>
            <w:tcW w:w="2338" w:type="dxa"/>
            <w:gridSpan w:val="2"/>
            <w:tcBorders>
              <w:left w:val="single" w:color="000000" w:sz="6" w:space="0"/>
            </w:tcBorders>
            <w:vAlign w:val="top"/>
          </w:tcPr>
          <w:p>
            <w:pPr>
              <w:pStyle w:val="28"/>
              <w:rPr>
                <w:rFonts w:ascii="Times New Roman"/>
                <w:color w:val="auto"/>
                <w:sz w:val="22"/>
              </w:rPr>
            </w:pPr>
          </w:p>
        </w:tc>
        <w:tc>
          <w:tcPr>
            <w:tcW w:w="2338" w:type="dxa"/>
            <w:gridSpan w:val="2"/>
            <w:vAlign w:val="top"/>
          </w:tcPr>
          <w:p>
            <w:pPr>
              <w:pStyle w:val="28"/>
              <w:rPr>
                <w:rFonts w:ascii="Times New Roman"/>
                <w:color w:val="auto"/>
                <w:sz w:val="22"/>
              </w:rPr>
            </w:pPr>
          </w:p>
        </w:tc>
        <w:tc>
          <w:tcPr>
            <w:tcW w:w="2338" w:type="dxa"/>
            <w:gridSpan w:val="2"/>
            <w:vAlign w:val="top"/>
          </w:tcPr>
          <w:p>
            <w:pPr>
              <w:pStyle w:val="2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pPr>
              <w:pStyle w:val="28"/>
              <w:rPr>
                <w:rFonts w:ascii="Times New Roman"/>
                <w:color w:val="auto"/>
                <w:sz w:val="22"/>
              </w:rPr>
            </w:pPr>
          </w:p>
        </w:tc>
        <w:tc>
          <w:tcPr>
            <w:tcW w:w="2338" w:type="dxa"/>
            <w:gridSpan w:val="2"/>
            <w:tcBorders>
              <w:left w:val="single" w:color="000000" w:sz="6" w:space="0"/>
            </w:tcBorders>
            <w:vAlign w:val="top"/>
          </w:tcPr>
          <w:p>
            <w:pPr>
              <w:pStyle w:val="28"/>
              <w:rPr>
                <w:rFonts w:ascii="Times New Roman"/>
                <w:color w:val="auto"/>
                <w:sz w:val="22"/>
              </w:rPr>
            </w:pPr>
          </w:p>
        </w:tc>
        <w:tc>
          <w:tcPr>
            <w:tcW w:w="2338" w:type="dxa"/>
            <w:gridSpan w:val="2"/>
            <w:vAlign w:val="top"/>
          </w:tcPr>
          <w:p>
            <w:pPr>
              <w:pStyle w:val="28"/>
              <w:rPr>
                <w:rFonts w:ascii="Times New Roman"/>
                <w:color w:val="auto"/>
                <w:sz w:val="22"/>
              </w:rPr>
            </w:pPr>
          </w:p>
        </w:tc>
        <w:tc>
          <w:tcPr>
            <w:tcW w:w="2338" w:type="dxa"/>
            <w:gridSpan w:val="2"/>
            <w:vAlign w:val="top"/>
          </w:tcPr>
          <w:p>
            <w:pPr>
              <w:pStyle w:val="2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pPr>
              <w:pStyle w:val="28"/>
              <w:rPr>
                <w:rFonts w:ascii="Times New Roman"/>
                <w:color w:val="auto"/>
                <w:sz w:val="22"/>
              </w:rPr>
            </w:pPr>
          </w:p>
        </w:tc>
        <w:tc>
          <w:tcPr>
            <w:tcW w:w="2338" w:type="dxa"/>
            <w:gridSpan w:val="2"/>
            <w:tcBorders>
              <w:left w:val="single" w:color="000000" w:sz="6" w:space="0"/>
            </w:tcBorders>
            <w:vAlign w:val="top"/>
          </w:tcPr>
          <w:p>
            <w:pPr>
              <w:pStyle w:val="28"/>
              <w:rPr>
                <w:rFonts w:ascii="Times New Roman"/>
                <w:color w:val="auto"/>
                <w:sz w:val="22"/>
              </w:rPr>
            </w:pPr>
          </w:p>
        </w:tc>
        <w:tc>
          <w:tcPr>
            <w:tcW w:w="2338" w:type="dxa"/>
            <w:gridSpan w:val="2"/>
            <w:vAlign w:val="top"/>
          </w:tcPr>
          <w:p>
            <w:pPr>
              <w:pStyle w:val="28"/>
              <w:rPr>
                <w:rFonts w:ascii="Times New Roman"/>
                <w:color w:val="auto"/>
                <w:sz w:val="22"/>
              </w:rPr>
            </w:pPr>
          </w:p>
        </w:tc>
        <w:tc>
          <w:tcPr>
            <w:tcW w:w="2338" w:type="dxa"/>
            <w:gridSpan w:val="2"/>
            <w:vAlign w:val="top"/>
          </w:tcPr>
          <w:p>
            <w:pPr>
              <w:pStyle w:val="2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pPr>
              <w:pStyle w:val="28"/>
              <w:rPr>
                <w:rFonts w:ascii="Times New Roman"/>
                <w:color w:val="auto"/>
                <w:sz w:val="22"/>
              </w:rPr>
            </w:pPr>
          </w:p>
        </w:tc>
        <w:tc>
          <w:tcPr>
            <w:tcW w:w="2338" w:type="dxa"/>
            <w:gridSpan w:val="2"/>
            <w:tcBorders>
              <w:left w:val="single" w:color="000000" w:sz="6" w:space="0"/>
            </w:tcBorders>
            <w:vAlign w:val="top"/>
          </w:tcPr>
          <w:p>
            <w:pPr>
              <w:pStyle w:val="28"/>
              <w:rPr>
                <w:rFonts w:ascii="Times New Roman"/>
                <w:color w:val="auto"/>
                <w:sz w:val="22"/>
              </w:rPr>
            </w:pPr>
          </w:p>
        </w:tc>
        <w:tc>
          <w:tcPr>
            <w:tcW w:w="2338" w:type="dxa"/>
            <w:gridSpan w:val="2"/>
            <w:vAlign w:val="top"/>
          </w:tcPr>
          <w:p>
            <w:pPr>
              <w:pStyle w:val="28"/>
              <w:rPr>
                <w:rFonts w:ascii="Times New Roman"/>
                <w:color w:val="auto"/>
                <w:sz w:val="22"/>
              </w:rPr>
            </w:pPr>
          </w:p>
        </w:tc>
        <w:tc>
          <w:tcPr>
            <w:tcW w:w="2338" w:type="dxa"/>
            <w:gridSpan w:val="2"/>
            <w:vAlign w:val="top"/>
          </w:tcPr>
          <w:p>
            <w:pPr>
              <w:pStyle w:val="28"/>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pPr>
              <w:pStyle w:val="28"/>
              <w:rPr>
                <w:rFonts w:ascii="Times New Roman"/>
                <w:color w:val="auto"/>
                <w:sz w:val="22"/>
              </w:rPr>
            </w:pPr>
          </w:p>
        </w:tc>
        <w:tc>
          <w:tcPr>
            <w:tcW w:w="2338" w:type="dxa"/>
            <w:gridSpan w:val="2"/>
            <w:tcBorders>
              <w:left w:val="single" w:color="000000" w:sz="6" w:space="0"/>
            </w:tcBorders>
            <w:vAlign w:val="top"/>
          </w:tcPr>
          <w:p>
            <w:pPr>
              <w:pStyle w:val="28"/>
              <w:rPr>
                <w:rFonts w:ascii="Times New Roman"/>
                <w:color w:val="auto"/>
                <w:sz w:val="22"/>
              </w:rPr>
            </w:pPr>
          </w:p>
        </w:tc>
        <w:tc>
          <w:tcPr>
            <w:tcW w:w="2338" w:type="dxa"/>
            <w:gridSpan w:val="2"/>
            <w:vAlign w:val="top"/>
          </w:tcPr>
          <w:p>
            <w:pPr>
              <w:pStyle w:val="28"/>
              <w:rPr>
                <w:rFonts w:ascii="Times New Roman"/>
                <w:color w:val="auto"/>
                <w:sz w:val="22"/>
              </w:rPr>
            </w:pPr>
          </w:p>
        </w:tc>
        <w:tc>
          <w:tcPr>
            <w:tcW w:w="2338" w:type="dxa"/>
            <w:gridSpan w:val="2"/>
            <w:vAlign w:val="top"/>
          </w:tcPr>
          <w:p>
            <w:pPr>
              <w:pStyle w:val="28"/>
              <w:rPr>
                <w:rFonts w:ascii="Times New Roman"/>
                <w:color w:val="auto"/>
                <w:sz w:val="22"/>
              </w:rPr>
            </w:pPr>
          </w:p>
        </w:tc>
      </w:tr>
    </w:tbl>
    <w:p>
      <w:pPr>
        <w:spacing w:after="0"/>
        <w:rPr>
          <w:color w:val="auto"/>
        </w:rPr>
        <w:sectPr>
          <w:pgSz w:w="11910" w:h="16840"/>
          <w:pgMar w:top="1380" w:right="880" w:bottom="1100" w:left="880" w:header="888" w:footer="910" w:gutter="0"/>
          <w:pgNumType w:fmt="decimal"/>
          <w:cols w:space="720" w:num="1"/>
        </w:sectPr>
      </w:pPr>
    </w:p>
    <w:p>
      <w:pPr>
        <w:spacing w:before="125"/>
        <w:ind w:left="538" w:right="539" w:firstLine="0"/>
        <w:jc w:val="center"/>
        <w:outlineLvl w:val="0"/>
        <w:rPr>
          <w:b/>
          <w:color w:val="auto"/>
          <w:sz w:val="32"/>
        </w:rPr>
      </w:pPr>
      <w:bookmarkStart w:id="125" w:name="_Toc15718"/>
      <w:r>
        <w:rPr>
          <w:b/>
          <w:color w:val="auto"/>
          <w:sz w:val="32"/>
        </w:rPr>
        <w:t>六、类似项目业绩</w:t>
      </w:r>
      <w:bookmarkEnd w:id="125"/>
    </w:p>
    <w:p>
      <w:pPr>
        <w:pStyle w:val="3"/>
        <w:spacing w:before="6"/>
        <w:ind w:left="0"/>
        <w:rPr>
          <w:b/>
          <w:color w:val="auto"/>
          <w:sz w:val="8"/>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pPr>
              <w:pStyle w:val="28"/>
              <w:spacing w:before="180"/>
              <w:ind w:left="154" w:right="146"/>
              <w:jc w:val="center"/>
              <w:rPr>
                <w:color w:val="auto"/>
                <w:sz w:val="24"/>
              </w:rPr>
            </w:pPr>
            <w:r>
              <w:rPr>
                <w:color w:val="auto"/>
                <w:sz w:val="24"/>
              </w:rPr>
              <w:t>项目名称</w:t>
            </w:r>
          </w:p>
        </w:tc>
        <w:tc>
          <w:tcPr>
            <w:tcW w:w="6529"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pPr>
              <w:pStyle w:val="28"/>
              <w:spacing w:before="148"/>
              <w:ind w:left="155" w:right="146"/>
              <w:jc w:val="center"/>
              <w:rPr>
                <w:color w:val="auto"/>
                <w:sz w:val="24"/>
              </w:rPr>
            </w:pPr>
            <w:r>
              <w:rPr>
                <w:color w:val="auto"/>
                <w:sz w:val="24"/>
              </w:rPr>
              <w:t>项目所在地</w:t>
            </w:r>
          </w:p>
        </w:tc>
        <w:tc>
          <w:tcPr>
            <w:tcW w:w="6529"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pPr>
              <w:pStyle w:val="28"/>
              <w:spacing w:before="151"/>
              <w:ind w:left="155" w:right="146"/>
              <w:jc w:val="center"/>
              <w:rPr>
                <w:color w:val="auto"/>
                <w:sz w:val="24"/>
              </w:rPr>
            </w:pPr>
            <w:r>
              <w:rPr>
                <w:color w:val="auto"/>
                <w:sz w:val="24"/>
              </w:rPr>
              <w:t>发包人名称</w:t>
            </w:r>
          </w:p>
        </w:tc>
        <w:tc>
          <w:tcPr>
            <w:tcW w:w="6529"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pPr>
              <w:pStyle w:val="28"/>
              <w:spacing w:before="148"/>
              <w:ind w:left="155" w:right="146"/>
              <w:jc w:val="center"/>
              <w:rPr>
                <w:color w:val="auto"/>
                <w:sz w:val="24"/>
              </w:rPr>
            </w:pPr>
            <w:r>
              <w:rPr>
                <w:color w:val="auto"/>
                <w:sz w:val="24"/>
              </w:rPr>
              <w:t>发包人地址</w:t>
            </w:r>
          </w:p>
        </w:tc>
        <w:tc>
          <w:tcPr>
            <w:tcW w:w="6529"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pPr>
              <w:pStyle w:val="28"/>
              <w:spacing w:before="154"/>
              <w:ind w:left="155" w:right="146"/>
              <w:jc w:val="center"/>
              <w:rPr>
                <w:color w:val="auto"/>
                <w:sz w:val="24"/>
              </w:rPr>
            </w:pPr>
            <w:r>
              <w:rPr>
                <w:color w:val="auto"/>
                <w:sz w:val="24"/>
              </w:rPr>
              <w:t>发包人联系人及电话</w:t>
            </w:r>
          </w:p>
        </w:tc>
        <w:tc>
          <w:tcPr>
            <w:tcW w:w="6529"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pPr>
              <w:pStyle w:val="28"/>
              <w:spacing w:before="148"/>
              <w:ind w:left="154" w:right="146"/>
              <w:jc w:val="center"/>
              <w:rPr>
                <w:color w:val="auto"/>
                <w:sz w:val="24"/>
              </w:rPr>
            </w:pPr>
            <w:r>
              <w:rPr>
                <w:color w:val="auto"/>
                <w:sz w:val="24"/>
              </w:rPr>
              <w:t>合同价格</w:t>
            </w:r>
          </w:p>
        </w:tc>
        <w:tc>
          <w:tcPr>
            <w:tcW w:w="6529"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pPr>
              <w:pStyle w:val="28"/>
              <w:spacing w:before="146"/>
              <w:ind w:left="155" w:right="146"/>
              <w:jc w:val="center"/>
              <w:rPr>
                <w:color w:val="auto"/>
                <w:sz w:val="24"/>
              </w:rPr>
            </w:pPr>
            <w:r>
              <w:rPr>
                <w:color w:val="auto"/>
                <w:sz w:val="24"/>
              </w:rPr>
              <w:t>服务开始日期</w:t>
            </w:r>
          </w:p>
        </w:tc>
        <w:tc>
          <w:tcPr>
            <w:tcW w:w="6529"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pPr>
              <w:pStyle w:val="28"/>
              <w:spacing w:before="158"/>
              <w:ind w:left="155" w:right="146"/>
              <w:jc w:val="center"/>
              <w:rPr>
                <w:color w:val="auto"/>
                <w:sz w:val="24"/>
              </w:rPr>
            </w:pPr>
            <w:r>
              <w:rPr>
                <w:color w:val="auto"/>
                <w:sz w:val="24"/>
              </w:rPr>
              <w:t>服务结束日期</w:t>
            </w:r>
          </w:p>
        </w:tc>
        <w:tc>
          <w:tcPr>
            <w:tcW w:w="6529"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pPr>
              <w:pStyle w:val="28"/>
              <w:spacing w:before="146"/>
              <w:ind w:left="155" w:right="146"/>
              <w:jc w:val="center"/>
              <w:rPr>
                <w:color w:val="auto"/>
                <w:sz w:val="24"/>
              </w:rPr>
            </w:pPr>
            <w:r>
              <w:rPr>
                <w:color w:val="auto"/>
                <w:sz w:val="24"/>
              </w:rPr>
              <w:t>承担的工作</w:t>
            </w:r>
          </w:p>
        </w:tc>
        <w:tc>
          <w:tcPr>
            <w:tcW w:w="6529"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2511" w:type="dxa"/>
            <w:vAlign w:val="top"/>
          </w:tcPr>
          <w:p>
            <w:pPr>
              <w:pStyle w:val="28"/>
              <w:spacing w:before="151"/>
              <w:ind w:left="154" w:right="146"/>
              <w:jc w:val="center"/>
              <w:rPr>
                <w:color w:val="auto"/>
                <w:sz w:val="24"/>
              </w:rPr>
            </w:pPr>
            <w:r>
              <w:rPr>
                <w:color w:val="auto"/>
                <w:sz w:val="24"/>
              </w:rPr>
              <w:t>质量要求</w:t>
            </w:r>
          </w:p>
        </w:tc>
        <w:tc>
          <w:tcPr>
            <w:tcW w:w="6529"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pPr>
              <w:pStyle w:val="28"/>
              <w:spacing w:before="148"/>
              <w:ind w:left="155" w:right="146"/>
              <w:jc w:val="center"/>
              <w:rPr>
                <w:color w:val="auto"/>
                <w:sz w:val="24"/>
              </w:rPr>
            </w:pPr>
            <w:r>
              <w:rPr>
                <w:color w:val="auto"/>
                <w:sz w:val="24"/>
              </w:rPr>
              <w:t>项目负责人</w:t>
            </w:r>
          </w:p>
        </w:tc>
        <w:tc>
          <w:tcPr>
            <w:tcW w:w="6529"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pPr>
              <w:pStyle w:val="28"/>
              <w:spacing w:before="153"/>
              <w:ind w:left="155" w:right="146"/>
              <w:jc w:val="center"/>
              <w:rPr>
                <w:color w:val="auto"/>
                <w:sz w:val="24"/>
              </w:rPr>
            </w:pPr>
            <w:r>
              <w:rPr>
                <w:color w:val="auto"/>
                <w:sz w:val="24"/>
              </w:rPr>
              <w:t>其他项目人员</w:t>
            </w:r>
          </w:p>
        </w:tc>
        <w:tc>
          <w:tcPr>
            <w:tcW w:w="6529"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pPr>
              <w:pStyle w:val="28"/>
              <w:spacing w:before="151"/>
              <w:ind w:left="155" w:right="146"/>
              <w:jc w:val="center"/>
              <w:rPr>
                <w:color w:val="auto"/>
                <w:sz w:val="24"/>
              </w:rPr>
            </w:pPr>
            <w:r>
              <w:rPr>
                <w:color w:val="auto"/>
                <w:sz w:val="24"/>
              </w:rPr>
              <w:t>业主代表及电话</w:t>
            </w:r>
          </w:p>
        </w:tc>
        <w:tc>
          <w:tcPr>
            <w:tcW w:w="6529"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pPr>
              <w:pStyle w:val="28"/>
              <w:rPr>
                <w:b/>
                <w:color w:val="auto"/>
                <w:sz w:val="24"/>
              </w:rPr>
            </w:pPr>
          </w:p>
          <w:p>
            <w:pPr>
              <w:pStyle w:val="28"/>
              <w:rPr>
                <w:b/>
                <w:color w:val="auto"/>
                <w:sz w:val="24"/>
              </w:rPr>
            </w:pPr>
          </w:p>
          <w:p>
            <w:pPr>
              <w:pStyle w:val="28"/>
              <w:rPr>
                <w:b/>
                <w:color w:val="auto"/>
                <w:sz w:val="24"/>
              </w:rPr>
            </w:pPr>
          </w:p>
          <w:p>
            <w:pPr>
              <w:pStyle w:val="28"/>
              <w:spacing w:before="6"/>
              <w:rPr>
                <w:b/>
                <w:color w:val="auto"/>
                <w:sz w:val="21"/>
              </w:rPr>
            </w:pPr>
          </w:p>
          <w:p>
            <w:pPr>
              <w:pStyle w:val="28"/>
              <w:ind w:left="154" w:right="146"/>
              <w:jc w:val="center"/>
              <w:rPr>
                <w:color w:val="auto"/>
                <w:sz w:val="24"/>
              </w:rPr>
            </w:pPr>
            <w:r>
              <w:rPr>
                <w:color w:val="auto"/>
                <w:sz w:val="24"/>
              </w:rPr>
              <w:t>项目描述</w:t>
            </w:r>
          </w:p>
        </w:tc>
        <w:tc>
          <w:tcPr>
            <w:tcW w:w="6529" w:type="dxa"/>
            <w:vAlign w:val="top"/>
          </w:tcPr>
          <w:p>
            <w:pPr>
              <w:pStyle w:val="28"/>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pPr>
              <w:pStyle w:val="28"/>
              <w:spacing w:before="194"/>
              <w:ind w:left="154" w:right="146"/>
              <w:jc w:val="center"/>
              <w:rPr>
                <w:color w:val="auto"/>
                <w:sz w:val="24"/>
              </w:rPr>
            </w:pPr>
            <w:r>
              <w:rPr>
                <w:color w:val="auto"/>
                <w:sz w:val="24"/>
              </w:rPr>
              <w:t>备注</w:t>
            </w:r>
          </w:p>
        </w:tc>
        <w:tc>
          <w:tcPr>
            <w:tcW w:w="6529" w:type="dxa"/>
            <w:vAlign w:val="top"/>
          </w:tcPr>
          <w:p>
            <w:pPr>
              <w:pStyle w:val="28"/>
              <w:rPr>
                <w:rFonts w:ascii="Times New Roman"/>
                <w:color w:val="auto"/>
                <w:sz w:val="24"/>
              </w:rPr>
            </w:pPr>
          </w:p>
        </w:tc>
      </w:tr>
    </w:tbl>
    <w:p>
      <w:pPr>
        <w:spacing w:after="0"/>
        <w:rPr>
          <w:color w:val="auto"/>
        </w:rPr>
        <w:sectPr>
          <w:pgSz w:w="11910" w:h="16840"/>
          <w:pgMar w:top="1380" w:right="880" w:bottom="1100" w:left="880" w:header="888" w:footer="910" w:gutter="0"/>
          <w:pgNumType w:fmt="decimal"/>
          <w:cols w:space="720" w:num="1"/>
        </w:sectPr>
      </w:pPr>
    </w:p>
    <w:p>
      <w:pPr>
        <w:spacing w:before="125"/>
        <w:ind w:left="538" w:right="534" w:firstLine="0"/>
        <w:jc w:val="center"/>
        <w:outlineLvl w:val="0"/>
        <w:rPr>
          <w:b/>
          <w:color w:val="auto"/>
          <w:sz w:val="32"/>
        </w:rPr>
      </w:pPr>
      <w:bookmarkStart w:id="126" w:name="_Toc15355"/>
      <w:r>
        <w:rPr>
          <w:b/>
          <w:color w:val="auto"/>
          <w:sz w:val="32"/>
        </w:rPr>
        <w:t>七、</w:t>
      </w:r>
      <w:r>
        <w:rPr>
          <w:rFonts w:hint="eastAsia"/>
          <w:b/>
          <w:color w:val="auto"/>
          <w:sz w:val="32"/>
          <w:lang w:val="en-US" w:eastAsia="zh-CN"/>
        </w:rPr>
        <w:t>施工</w:t>
      </w:r>
      <w:r>
        <w:rPr>
          <w:b/>
          <w:color w:val="auto"/>
          <w:sz w:val="32"/>
        </w:rPr>
        <w:t>方案编制</w:t>
      </w:r>
      <w:bookmarkEnd w:id="126"/>
    </w:p>
    <w:p>
      <w:pPr>
        <w:pStyle w:val="3"/>
        <w:spacing w:before="188" w:line="364" w:lineRule="auto"/>
        <w:ind w:right="472"/>
        <w:rPr>
          <w:rFonts w:ascii="宋体" w:hAnsi="宋体" w:eastAsia="宋体" w:cs="宋体"/>
          <w:color w:val="auto"/>
          <w:sz w:val="24"/>
          <w:szCs w:val="22"/>
          <w:lang w:val="zh-CN" w:eastAsia="zh-CN" w:bidi="zh-CN"/>
        </w:rPr>
      </w:pPr>
      <w:r>
        <w:rPr>
          <w:rFonts w:hint="eastAsia" w:ascii="宋体" w:hAnsi="宋体" w:eastAsia="宋体" w:cs="宋体"/>
          <w:color w:val="auto"/>
          <w:sz w:val="24"/>
          <w:szCs w:val="22"/>
          <w:lang w:val="zh-CN" w:eastAsia="zh-CN" w:bidi="zh-CN"/>
        </w:rPr>
        <w:t>供应商</w:t>
      </w:r>
      <w:r>
        <w:rPr>
          <w:rFonts w:ascii="宋体" w:hAnsi="宋体" w:eastAsia="宋体" w:cs="宋体"/>
          <w:color w:val="auto"/>
          <w:sz w:val="24"/>
          <w:szCs w:val="22"/>
          <w:lang w:val="zh-CN" w:eastAsia="zh-CN" w:bidi="zh-CN"/>
        </w:rPr>
        <w:t>应根据</w:t>
      </w:r>
      <w:r>
        <w:rPr>
          <w:rFonts w:hint="eastAsia" w:ascii="宋体" w:hAnsi="宋体" w:eastAsia="宋体" w:cs="宋体"/>
          <w:color w:val="auto"/>
          <w:sz w:val="24"/>
          <w:szCs w:val="22"/>
          <w:lang w:val="zh-CN" w:eastAsia="zh-CN" w:bidi="zh-CN"/>
        </w:rPr>
        <w:t>采购文件</w:t>
      </w:r>
      <w:r>
        <w:rPr>
          <w:rFonts w:ascii="宋体" w:hAnsi="宋体" w:eastAsia="宋体" w:cs="宋体"/>
          <w:color w:val="auto"/>
          <w:sz w:val="24"/>
          <w:szCs w:val="22"/>
          <w:lang w:val="zh-CN" w:eastAsia="zh-CN" w:bidi="zh-CN"/>
        </w:rPr>
        <w:t>和对现场的勘察情况，</w:t>
      </w:r>
      <w:r>
        <w:rPr>
          <w:rFonts w:hint="eastAsia" w:ascii="宋体" w:hAnsi="宋体" w:eastAsia="宋体" w:cs="宋体"/>
          <w:color w:val="auto"/>
          <w:sz w:val="24"/>
          <w:szCs w:val="22"/>
          <w:lang w:val="en-US" w:eastAsia="zh-CN" w:bidi="zh-CN"/>
        </w:rPr>
        <w:t>可</w:t>
      </w:r>
      <w:r>
        <w:rPr>
          <w:rFonts w:ascii="宋体" w:hAnsi="宋体" w:eastAsia="宋体" w:cs="宋体"/>
          <w:color w:val="auto"/>
          <w:sz w:val="24"/>
          <w:szCs w:val="22"/>
          <w:lang w:val="zh-CN" w:eastAsia="zh-CN" w:bidi="zh-CN"/>
        </w:rPr>
        <w:t>采用文字并结合图表形式，针对本项目特点编写</w:t>
      </w:r>
      <w:r>
        <w:rPr>
          <w:rFonts w:hint="eastAsia" w:cs="宋体"/>
          <w:color w:val="auto"/>
          <w:sz w:val="24"/>
          <w:szCs w:val="22"/>
          <w:lang w:val="en-US" w:eastAsia="zh-CN" w:bidi="zh-CN"/>
        </w:rPr>
        <w:t>施工</w:t>
      </w:r>
      <w:r>
        <w:rPr>
          <w:rFonts w:ascii="宋体" w:hAnsi="宋体" w:eastAsia="宋体" w:cs="宋体"/>
          <w:color w:val="auto"/>
          <w:sz w:val="24"/>
          <w:szCs w:val="22"/>
          <w:lang w:val="zh-CN" w:eastAsia="zh-CN" w:bidi="zh-CN"/>
        </w:rPr>
        <w:t>方案。</w:t>
      </w:r>
    </w:p>
    <w:p>
      <w:pPr>
        <w:pStyle w:val="3"/>
        <w:ind w:left="0"/>
        <w:rPr>
          <w:color w:val="auto"/>
        </w:rPr>
      </w:pPr>
    </w:p>
    <w:p>
      <w:pPr>
        <w:pStyle w:val="3"/>
        <w:ind w:left="0"/>
        <w:rPr>
          <w:color w:val="auto"/>
        </w:rPr>
      </w:pPr>
    </w:p>
    <w:p>
      <w:pPr>
        <w:pStyle w:val="3"/>
        <w:ind w:left="0"/>
        <w:rPr>
          <w:color w:val="auto"/>
        </w:rPr>
      </w:pPr>
    </w:p>
    <w:p>
      <w:pPr>
        <w:pStyle w:val="3"/>
        <w:ind w:left="0"/>
        <w:rPr>
          <w:color w:val="auto"/>
        </w:rPr>
      </w:pPr>
    </w:p>
    <w:p>
      <w:pPr>
        <w:pStyle w:val="3"/>
        <w:ind w:left="0"/>
        <w:rPr>
          <w:color w:val="auto"/>
        </w:rPr>
      </w:pPr>
    </w:p>
    <w:p>
      <w:pPr>
        <w:pStyle w:val="3"/>
        <w:ind w:left="0"/>
        <w:rPr>
          <w:color w:val="auto"/>
        </w:rPr>
      </w:pPr>
    </w:p>
    <w:p>
      <w:pPr>
        <w:pStyle w:val="3"/>
        <w:ind w:left="0"/>
        <w:rPr>
          <w:color w:val="auto"/>
        </w:rPr>
      </w:pPr>
    </w:p>
    <w:p>
      <w:pPr>
        <w:pStyle w:val="3"/>
        <w:ind w:left="0"/>
        <w:rPr>
          <w:color w:val="auto"/>
        </w:rPr>
      </w:pPr>
    </w:p>
    <w:p>
      <w:pPr>
        <w:pStyle w:val="3"/>
        <w:ind w:left="0"/>
        <w:rPr>
          <w:color w:val="auto"/>
        </w:rPr>
      </w:pPr>
    </w:p>
    <w:p>
      <w:pPr>
        <w:pStyle w:val="3"/>
        <w:ind w:left="0"/>
        <w:rPr>
          <w:color w:val="auto"/>
        </w:rPr>
      </w:pPr>
    </w:p>
    <w:p>
      <w:pPr>
        <w:pStyle w:val="3"/>
        <w:ind w:left="0"/>
        <w:rPr>
          <w:color w:val="auto"/>
        </w:rPr>
      </w:pPr>
    </w:p>
    <w:p>
      <w:pPr>
        <w:pStyle w:val="3"/>
        <w:spacing w:before="1"/>
        <w:ind w:left="0"/>
        <w:rPr>
          <w:color w:val="auto"/>
          <w:sz w:val="34"/>
        </w:rPr>
      </w:pPr>
    </w:p>
    <w:p>
      <w:pPr>
        <w:rPr>
          <w:b/>
          <w:color w:val="auto"/>
          <w:sz w:val="32"/>
        </w:rPr>
      </w:pPr>
      <w:bookmarkStart w:id="127" w:name="_Toc21953"/>
      <w:r>
        <w:rPr>
          <w:b/>
          <w:color w:val="auto"/>
          <w:sz w:val="32"/>
        </w:rPr>
        <w:br w:type="page"/>
      </w:r>
    </w:p>
    <w:p>
      <w:pPr>
        <w:spacing w:before="0"/>
        <w:ind w:left="538" w:right="541" w:firstLine="0"/>
        <w:jc w:val="center"/>
        <w:outlineLvl w:val="0"/>
        <w:rPr>
          <w:b/>
          <w:color w:val="auto"/>
          <w:sz w:val="32"/>
        </w:rPr>
      </w:pPr>
      <w:r>
        <w:rPr>
          <w:b/>
          <w:color w:val="auto"/>
          <w:sz w:val="32"/>
        </w:rPr>
        <w:t>八、</w:t>
      </w:r>
      <w:r>
        <w:rPr>
          <w:rFonts w:hint="eastAsia"/>
          <w:b/>
          <w:color w:val="auto"/>
          <w:sz w:val="32"/>
          <w:lang w:val="en-US" w:eastAsia="zh-CN"/>
        </w:rPr>
        <w:t>已标价工程量清单</w:t>
      </w:r>
      <w:bookmarkEnd w:id="127"/>
    </w:p>
    <w:p>
      <w:pPr>
        <w:rPr>
          <w:color w:val="auto"/>
        </w:rPr>
      </w:pPr>
    </w:p>
    <w:p>
      <w:pPr>
        <w:rPr>
          <w:color w:val="auto"/>
        </w:rPr>
      </w:pPr>
    </w:p>
    <w:p>
      <w:pPr>
        <w:rPr>
          <w:color w:val="auto"/>
        </w:rPr>
      </w:pPr>
    </w:p>
    <w:p>
      <w:pPr>
        <w:rPr>
          <w:color w:val="auto"/>
        </w:rPr>
      </w:pPr>
    </w:p>
    <w:p>
      <w:pPr>
        <w:rPr>
          <w:color w:val="auto"/>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lang w:val="en-US" w:eastAsia="zh-CN" w:bidi="ar-SA"/>
        </w:rPr>
      </w:pPr>
      <w:r>
        <w:rPr>
          <w:rFonts w:hint="eastAsia" w:asciiTheme="minorEastAsia" w:hAnsiTheme="minorEastAsia" w:eastAsiaTheme="minorEastAsia" w:cstheme="minorEastAsia"/>
          <w:b/>
          <w:bCs/>
          <w:snapToGrid w:val="0"/>
          <w:color w:val="000000"/>
          <w:spacing w:val="-3"/>
          <w:kern w:val="0"/>
          <w:sz w:val="32"/>
          <w:szCs w:val="32"/>
          <w:lang w:val="en-US" w:eastAsia="zh-CN" w:bidi="ar-SA"/>
        </w:rPr>
        <w:t>九、投标人出具信用记录查询结果网页截图（加盖单位公章）</w:t>
      </w:r>
    </w:p>
    <w:p>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r>
        <w:rPr>
          <w:rFonts w:hint="eastAsia" w:asciiTheme="minorEastAsia" w:hAnsiTheme="minorEastAsia" w:eastAsiaTheme="minorEastAsia" w:cstheme="minorEastAsia"/>
          <w:b/>
          <w:bCs/>
          <w:snapToGrid w:val="0"/>
          <w:color w:val="000000"/>
          <w:spacing w:val="-3"/>
          <w:kern w:val="0"/>
          <w:sz w:val="32"/>
          <w:szCs w:val="32"/>
          <w:lang w:val="en-US" w:eastAsia="zh-CN" w:bidi="ar-SA"/>
        </w:rPr>
        <w:t>十、供应商诚信承诺书</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t>诚信承诺书</w:t>
      </w:r>
    </w:p>
    <w:p>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rPr>
          <w:color w:val="auto"/>
        </w:rPr>
      </w:pPr>
      <w:r>
        <w:rPr>
          <w:color w:val="auto"/>
        </w:rPr>
        <w:br w:type="page"/>
      </w:r>
    </w:p>
    <w:p>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r>
        <w:rPr>
          <w:rFonts w:hint="eastAsia" w:asciiTheme="minorEastAsia" w:hAnsiTheme="minorEastAsia" w:eastAsiaTheme="minorEastAsia" w:cstheme="minorEastAsia"/>
          <w:b/>
          <w:bCs/>
          <w:snapToGrid w:val="0"/>
          <w:color w:val="000000"/>
          <w:spacing w:val="-3"/>
          <w:kern w:val="0"/>
          <w:sz w:val="32"/>
          <w:szCs w:val="32"/>
          <w:lang w:val="en-US" w:eastAsia="zh-CN" w:bidi="ar-SA"/>
        </w:rPr>
        <w:t>十一、信用承诺书（投标人范本）</w:t>
      </w:r>
    </w:p>
    <w:p>
      <w:pPr>
        <w:pStyle w:val="3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lang w:eastAsia="zh-CN"/>
        </w:rPr>
      </w:pPr>
      <w:r>
        <w:rPr>
          <w:rFonts w:hint="eastAsia" w:ascii="宋体" w:hAnsi="宋体" w:eastAsia="宋体" w:cs="宋体"/>
          <w:b/>
          <w:bCs/>
          <w:color w:val="auto"/>
          <w:spacing w:val="0"/>
          <w:w w:val="100"/>
          <w:kern w:val="0"/>
          <w:position w:val="0"/>
          <w:sz w:val="40"/>
          <w:szCs w:val="40"/>
          <w:lang w:eastAsia="zh-CN"/>
        </w:rPr>
        <w:t>信用承诺书</w:t>
      </w:r>
    </w:p>
    <w:p>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（四）本单位及项目经办人员信用状况良好，未被列为失信惩戒对象或"老赖""，符合参与公共资源交易活动的相关要求。</w:t>
      </w:r>
    </w:p>
    <w:p>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（六）若中标，本单位将在规定的时间内与招标人签订合同并自觉履行合同义务，不转包或违法分包中标项目。</w:t>
      </w:r>
    </w:p>
    <w:p>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（七）自觉接受政府、行业组织、社会公众、新闻舆论的监督。</w:t>
      </w:r>
    </w:p>
    <w:p>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pPr>
        <w:autoSpaceDE/>
        <w:autoSpaceDN/>
        <w:spacing w:before="0" w:after="0" w:line="240" w:lineRule="auto"/>
        <w:ind w:left="0" w:right="0" w:firstLine="560" w:firstLineChars="2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（九）本人已认真阅读了上述承诺，并向本单位员工作了宣传教育。</w:t>
      </w:r>
    </w:p>
    <w:p>
      <w:pPr>
        <w:autoSpaceDE/>
        <w:autoSpaceDN/>
        <w:spacing w:before="0" w:after="0" w:line="240" w:lineRule="auto"/>
        <w:ind w:left="0" w:right="0" w:firstLine="1120" w:firstLineChars="4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法定代表人或（委托代理人）签字∶</w:t>
      </w:r>
    </w:p>
    <w:p>
      <w:pPr>
        <w:autoSpaceDE/>
        <w:autoSpaceDN/>
        <w:spacing w:before="0" w:after="0" w:line="240" w:lineRule="auto"/>
        <w:ind w:left="0" w:right="0" w:firstLine="3080" w:firstLineChars="11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 xml:space="preserve">企业名称（盖章）∶ </w:t>
      </w:r>
    </w:p>
    <w:p>
      <w:pPr>
        <w:autoSpaceDE/>
        <w:autoSpaceDN/>
        <w:spacing w:before="0" w:after="0" w:line="240" w:lineRule="auto"/>
        <w:ind w:left="0" w:right="0" w:firstLine="2800" w:firstLineChars="1000"/>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项目负责人（签字）∶</w:t>
      </w:r>
    </w:p>
    <w:p>
      <w:pPr>
        <w:autoSpaceDE/>
        <w:autoSpaceDN/>
        <w:spacing w:before="0" w:after="0" w:line="240" w:lineRule="auto"/>
        <w:ind w:left="0" w:right="0"/>
        <w:jc w:val="right"/>
        <w:rPr>
          <w:rFonts w:hint="eastAsia" w:ascii="宋体" w:hAnsi="宋体" w:eastAsia="宋体" w:cs="宋体"/>
          <w:color w:val="auto"/>
          <w:kern w:val="0"/>
          <w:sz w:val="28"/>
          <w:szCs w:val="28"/>
          <w:u w:val="none"/>
          <w:shd w:val="clear" w:color="auto" w:fill="auto"/>
          <w:lang w:val="en-US" w:eastAsia="zh-CN" w:bidi="zh-TW"/>
        </w:rPr>
      </w:pPr>
      <w:r>
        <w:rPr>
          <w:rFonts w:hint="eastAsia" w:ascii="宋体" w:hAnsi="宋体" w:eastAsia="宋体" w:cs="宋体"/>
          <w:color w:val="auto"/>
          <w:kern w:val="0"/>
          <w:sz w:val="28"/>
          <w:szCs w:val="28"/>
          <w:u w:val="none"/>
          <w:shd w:val="clear" w:color="auto" w:fill="auto"/>
          <w:lang w:val="en-US" w:eastAsia="zh-CN" w:bidi="zh-TW"/>
        </w:rPr>
        <w:t xml:space="preserve"> 年   月   日</w:t>
      </w:r>
    </w:p>
    <w:p>
      <w:pPr>
        <w:jc w:val="center"/>
        <w:outlineLvl w:val="1"/>
        <w:rPr>
          <w:b/>
          <w:bCs/>
          <w:w w:val="95"/>
          <w:sz w:val="36"/>
          <w:szCs w:val="36"/>
        </w:rPr>
      </w:pPr>
    </w:p>
    <w:p>
      <w:pPr>
        <w:jc w:val="center"/>
        <w:outlineLvl w:val="1"/>
        <w:rPr>
          <w:b/>
          <w:bCs/>
          <w:w w:val="95"/>
          <w:sz w:val="36"/>
          <w:szCs w:val="36"/>
        </w:rPr>
      </w:pPr>
    </w:p>
    <w:p>
      <w:pPr>
        <w:pStyle w:val="2"/>
      </w:pPr>
    </w:p>
    <w:p>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zh-CN" w:eastAsia="zh-CN" w:bidi="ar-SA"/>
        </w:rPr>
      </w:pPr>
      <w:r>
        <w:rPr>
          <w:rFonts w:hint="eastAsia" w:asciiTheme="minorEastAsia" w:hAnsiTheme="minorEastAsia" w:eastAsiaTheme="minorEastAsia" w:cstheme="minorEastAsia"/>
          <w:b/>
          <w:bCs/>
          <w:snapToGrid w:val="0"/>
          <w:color w:val="000000"/>
          <w:spacing w:val="-3"/>
          <w:kern w:val="0"/>
          <w:sz w:val="32"/>
          <w:szCs w:val="32"/>
          <w:lang w:val="en-US" w:eastAsia="zh-CN" w:bidi="ar-SA"/>
        </w:rPr>
        <w:t>十二、投标承诺函</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投标承诺函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致（采购人及采购代理机构）：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我公司作为本次采购项目的供应商，严格遵守政府采购相关法律法规的规定，根据竞争性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磋商文件要求，现郑重承诺如下：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一、具备《中华人民共和国政府采购法》第二十二条第一款和本项目规定的条件：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（一）具有独立承担民事责任的能力；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（二）具有良好的商业信誉和健全的财务会计制度；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（三）具有履行合同所必需的设备和专业技术能力；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（四）有依法缴纳税收和社会保障资金的良好记录；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（五）参加政府采购活动前三年内，在经营活动中没有重大违法记录；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（六）法律、行政法规规定的其他条件；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（七）根据采购项目提出的特殊条件。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二、完全接受和满足本项目竞争性磋商文件中规定的实质性要求，如对竞争性磋商文件有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异议，已经在投标截止时间届满前依法进行维权救济，不存在对竞争性磋商文件有异议的同时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又参加投标以求侥幸中标或者为实现其他非法目的的行为。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三、参加本次招标采购活动，不存在与单位负责人为同一人或者存在直接控股、管理关系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的其他供应商参与同一合同项下的政府采购活动的行为。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四、参加本次招标采购活动，不存在为采购项目提供整体设计、规范编制或者项目管理、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监理、检测等服务的行为。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五、参加本次招标采购活动，不存在和其他供应商在同一合同项下的采购项目中，同时委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托同一个自然人、同一家庭的人员、同一单位的人员作为代理人的行为。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六、参加本次政府采购活动要求在近三年内供应商和其法定代表人没有行贿犯罪行为。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七、参加本次招标采购活动，不存在联合体投标。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八、投标文件中提供的能够给予我公司带来优惠、好处的任何材料资料和技术、服务、商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务等响应承诺情况都是真实的、有效的、合法的。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九、如本项目评标过程中需要提供样品，则我公司提供的样品即为中标后将要提供的中标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产品，我公司对提供样品的性能和质量负责，因样品存在缺陷或者不符合竞争性磋商文件要求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导致未能中标的，我公司愿意承担相应不利后果。（如提供样品）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十、存在以下行为之一的愿意接受相关部门的处理：</w:t>
      </w:r>
      <w:r>
        <w:rPr>
          <w:rFonts w:hint="eastAsia" w:ascii="宋体" w:hAnsi="宋体" w:eastAsia="宋体" w:cs="宋体"/>
          <w:b/>
          <w:bCs/>
          <w:snapToGrid/>
          <w:color w:val="000000"/>
          <w:kern w:val="0"/>
          <w:sz w:val="24"/>
          <w:szCs w:val="24"/>
          <w:lang w:val="en-US" w:eastAsia="zh-CN" w:bidi="ar"/>
        </w:rPr>
        <w:t xml:space="preserve">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（一）投标有效期内撤销投标文件的；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（二）在采购人确定中标人以前放弃中标候选资格的；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（三）由于中标人的原因未能按照竞争性磋商文件的规定与采购人签订合同；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（四）在响应文件中提供虚假材料谋取中标；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（五）采取不正当手段诋毁、排挤其他供应商；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（六）与采购人、其他供应商或者采购代理机构恶意串通的；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（七）投标有效期内，供应商在政府采购活动中有违法、违规、违纪行为。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由此产生的一切法律后果和责任由我公司承担。我公司声明放弃对此提出任何异议和追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索的权利。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本公司对上述承诺的内容事项真实性负责。如经查实上述承诺的内容事项存在虚假，我公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司愿意接受以提供虚假材料谋取中标追究法律责任。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供应商名称：（电子签章） </w:t>
      </w:r>
    </w:p>
    <w:p>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lang w:val="zh-CN" w:eastAsia="zh-CN" w:bidi="zh-CN"/>
        </w:rPr>
      </w:pPr>
      <w:r>
        <w:rPr>
          <w:rFonts w:hint="eastAsia" w:ascii="宋体" w:hAnsi="宋体" w:eastAsia="宋体" w:cs="宋体"/>
          <w:snapToGrid/>
          <w:color w:val="000000"/>
          <w:kern w:val="0"/>
          <w:sz w:val="24"/>
          <w:szCs w:val="24"/>
          <w:lang w:val="en-US" w:eastAsia="zh-CN" w:bidi="ar"/>
        </w:rPr>
        <w:t xml:space="preserve">法定代表人或授权代表：（电子签章） </w:t>
      </w:r>
    </w:p>
    <w:p>
      <w:pPr>
        <w:keepNext w:val="0"/>
        <w:keepLines w:val="0"/>
        <w:widowControl/>
        <w:suppressLineNumbers w:val="0"/>
        <w:kinsoku/>
        <w:adjustRightInd/>
        <w:snapToGrid/>
        <w:spacing w:before="0" w:after="0"/>
        <w:ind w:left="0" w:right="0"/>
        <w:jc w:val="left"/>
        <w:textAlignment w:val="auto"/>
        <w:rPr>
          <w:b/>
          <w:bCs/>
          <w:w w:val="95"/>
          <w:sz w:val="36"/>
          <w:szCs w:val="36"/>
        </w:rPr>
      </w:pPr>
      <w:r>
        <w:rPr>
          <w:rFonts w:hint="eastAsia" w:ascii="宋体" w:hAnsi="宋体" w:eastAsia="宋体" w:cs="宋体"/>
          <w:snapToGrid/>
          <w:color w:val="000000"/>
          <w:kern w:val="0"/>
          <w:sz w:val="24"/>
          <w:szCs w:val="24"/>
          <w:lang w:val="en-US" w:eastAsia="zh-CN" w:bidi="ar"/>
        </w:rPr>
        <w:t>日期：</w:t>
      </w:r>
      <w:r>
        <w:rPr>
          <w:rFonts w:hint="eastAsia" w:ascii="新宋体" w:hAnsi="新宋体" w:eastAsia="新宋体" w:cs="新宋体"/>
          <w:snapToGrid/>
          <w:color w:val="000000"/>
          <w:kern w:val="0"/>
          <w:sz w:val="24"/>
          <w:szCs w:val="24"/>
          <w:lang w:val="en-US" w:eastAsia="zh-CN" w:bidi="ar"/>
        </w:rPr>
        <w:t xml:space="preserve"> </w:t>
      </w:r>
    </w:p>
    <w:bookmarkEnd w:id="120"/>
    <w:bookmarkEnd w:id="121"/>
    <w:p>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lang w:val="en-US" w:eastAsia="zh-CN" w:bidi="ar-SA"/>
        </w:rPr>
      </w:pPr>
      <w:bookmarkStart w:id="128" w:name="_Toc12153"/>
      <w:bookmarkStart w:id="129" w:name="_Toc16799"/>
      <w:r>
        <w:rPr>
          <w:rFonts w:hint="eastAsia" w:asciiTheme="minorEastAsia" w:hAnsiTheme="minorEastAsia" w:eastAsiaTheme="minorEastAsia" w:cstheme="minorEastAsia"/>
          <w:b/>
          <w:bCs/>
          <w:snapToGrid w:val="0"/>
          <w:color w:val="000000"/>
          <w:spacing w:val="-3"/>
          <w:kern w:val="0"/>
          <w:sz w:val="32"/>
          <w:szCs w:val="32"/>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lang w:val="en-US" w:eastAsia="zh-CN" w:bidi="ar-SA"/>
        </w:rPr>
        <w:t>供应商认为需要的其他文件资料</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中小企业声明函（工程、服务）格式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rPr>
      </w:pPr>
    </w:p>
    <w:p>
      <w:pPr>
        <w:pStyle w:val="14"/>
        <w:rPr>
          <w:rFonts w:ascii="新宋体"/>
          <w:sz w:val="20"/>
        </w:rPr>
      </w:pP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残疾人福利性单位声明函格式</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pStyle w:val="2"/>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pStyle w:val="4"/>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pStyle w:val="2"/>
        <w:rPr>
          <w:rFonts w:hint="eastAsia"/>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rPr>
          <w:sz w:val="24"/>
          <w:szCs w:val="24"/>
        </w:rPr>
        <w:sectPr>
          <w:footerReference r:id="rId6" w:type="default"/>
          <w:pgSz w:w="11910" w:h="16840"/>
          <w:pgMar w:top="1420" w:right="840" w:bottom="1000" w:left="860" w:header="1151" w:footer="805" w:gutter="0"/>
          <w:pgNumType w:fmt="decimal"/>
          <w:cols w:space="720" w:num="1"/>
        </w:sectPr>
      </w:pPr>
      <w:bookmarkStart w:id="130" w:name="_bookmark22"/>
      <w:bookmarkEnd w:id="130"/>
    </w:p>
    <w:p>
      <w:pPr>
        <w:pStyle w:val="8"/>
        <w:bidi w:val="0"/>
        <w:jc w:val="center"/>
        <w:outlineLvl w:val="0"/>
        <w:rPr>
          <w:rFonts w:hint="eastAsia"/>
          <w:sz w:val="48"/>
          <w:szCs w:val="48"/>
          <w:lang w:val="en-US" w:eastAsia="zh-CN"/>
        </w:rPr>
      </w:pPr>
      <w:bookmarkStart w:id="131" w:name="_Toc31290"/>
      <w:bookmarkStart w:id="132" w:name="_Toc17438"/>
      <w:r>
        <w:rPr>
          <w:rFonts w:hint="eastAsia"/>
          <w:sz w:val="48"/>
          <w:szCs w:val="48"/>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pPr>
              <w:widowControl w:val="0"/>
              <w:jc w:val="center"/>
              <w:rPr>
                <w:rFonts w:hint="default"/>
                <w:sz w:val="24"/>
                <w:szCs w:val="24"/>
                <w:vertAlign w:val="baseline"/>
                <w:lang w:val="en-US" w:eastAsia="zh-CN"/>
              </w:rPr>
            </w:pPr>
            <w:r>
              <w:rPr>
                <w:rFonts w:hint="eastAsia"/>
                <w:sz w:val="24"/>
                <w:szCs w:val="24"/>
                <w:vertAlign w:val="baseline"/>
                <w:lang w:val="en-US" w:eastAsia="zh-CN"/>
              </w:rPr>
              <w:t>事项</w:t>
            </w:r>
          </w:p>
        </w:tc>
        <w:tc>
          <w:tcPr>
            <w:tcW w:w="2237" w:type="dxa"/>
          </w:tcPr>
          <w:p>
            <w:pPr>
              <w:widowControl w:val="0"/>
              <w:jc w:val="center"/>
              <w:rPr>
                <w:rFonts w:hint="default"/>
                <w:sz w:val="24"/>
                <w:szCs w:val="24"/>
                <w:vertAlign w:val="baseline"/>
                <w:lang w:val="en-US" w:eastAsia="zh-CN"/>
              </w:rPr>
            </w:pPr>
            <w:r>
              <w:rPr>
                <w:rFonts w:hint="eastAsia"/>
                <w:sz w:val="24"/>
                <w:szCs w:val="24"/>
                <w:vertAlign w:val="baseline"/>
                <w:lang w:val="en-US" w:eastAsia="zh-CN"/>
              </w:rPr>
              <w:t xml:space="preserve">时限 </w:t>
            </w:r>
          </w:p>
        </w:tc>
        <w:tc>
          <w:tcPr>
            <w:tcW w:w="6221" w:type="dxa"/>
          </w:tcPr>
          <w:p>
            <w:pPr>
              <w:widowControl w:val="0"/>
              <w:jc w:val="center"/>
              <w:rPr>
                <w:rFonts w:hint="default"/>
                <w:sz w:val="24"/>
                <w:szCs w:val="24"/>
                <w:vertAlign w:val="baseline"/>
                <w:lang w:val="en-US" w:eastAsia="zh-CN"/>
              </w:rPr>
            </w:pPr>
            <w:r>
              <w:rPr>
                <w:rFonts w:hint="eastAsia"/>
                <w:sz w:val="24"/>
                <w:szCs w:val="24"/>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pPr>
              <w:widowControl w:val="0"/>
              <w:jc w:val="center"/>
              <w:rPr>
                <w:rFonts w:hint="eastAsia"/>
                <w:sz w:val="24"/>
                <w:szCs w:val="24"/>
                <w:vertAlign w:val="baseline"/>
                <w:lang w:val="en-US" w:eastAsia="zh-CN"/>
              </w:rPr>
            </w:pPr>
          </w:p>
          <w:p>
            <w:pPr>
              <w:widowControl w:val="0"/>
              <w:jc w:val="center"/>
              <w:rPr>
                <w:rFonts w:hint="eastAsia"/>
                <w:sz w:val="24"/>
                <w:szCs w:val="24"/>
                <w:vertAlign w:val="baseline"/>
                <w:lang w:val="en-US" w:eastAsia="zh-CN"/>
              </w:rPr>
            </w:pPr>
          </w:p>
          <w:p>
            <w:pPr>
              <w:widowControl w:val="0"/>
              <w:jc w:val="center"/>
              <w:rPr>
                <w:rFonts w:hint="eastAsia"/>
                <w:sz w:val="24"/>
                <w:szCs w:val="24"/>
                <w:vertAlign w:val="baseline"/>
                <w:lang w:val="en-US" w:eastAsia="zh-CN"/>
              </w:rPr>
            </w:pPr>
          </w:p>
          <w:p>
            <w:pPr>
              <w:widowControl w:val="0"/>
              <w:jc w:val="center"/>
              <w:rPr>
                <w:rFonts w:hint="default"/>
                <w:sz w:val="24"/>
                <w:szCs w:val="24"/>
                <w:vertAlign w:val="baseline"/>
                <w:lang w:val="en-US" w:eastAsia="zh-CN"/>
              </w:rPr>
            </w:pPr>
            <w:r>
              <w:rPr>
                <w:rFonts w:hint="eastAsia"/>
                <w:sz w:val="24"/>
                <w:szCs w:val="24"/>
                <w:vertAlign w:val="baseline"/>
                <w:lang w:val="en-US" w:eastAsia="zh-CN"/>
              </w:rPr>
              <w:t>合同签订</w:t>
            </w:r>
          </w:p>
        </w:tc>
        <w:tc>
          <w:tcPr>
            <w:tcW w:w="2237" w:type="dxa"/>
          </w:tcPr>
          <w:p>
            <w:pPr>
              <w:widowControl w:val="0"/>
              <w:ind w:firstLine="480" w:firstLineChars="200"/>
              <w:rPr>
                <w:rFonts w:hint="default"/>
                <w:sz w:val="24"/>
                <w:szCs w:val="24"/>
                <w:vertAlign w:val="baseline"/>
                <w:lang w:val="en-US" w:eastAsia="zh-CN"/>
              </w:rPr>
            </w:pPr>
          </w:p>
          <w:p>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中标(成交)通知书发出之日起</w:t>
            </w:r>
            <w:r>
              <w:rPr>
                <w:rFonts w:hint="eastAsia"/>
                <w:sz w:val="24"/>
                <w:szCs w:val="24"/>
                <w:vertAlign w:val="baseline"/>
                <w:lang w:val="en-US" w:eastAsia="zh-CN"/>
              </w:rPr>
              <w:t>1</w:t>
            </w:r>
            <w:r>
              <w:rPr>
                <w:rFonts w:hint="default"/>
                <w:sz w:val="24"/>
                <w:szCs w:val="24"/>
                <w:vertAlign w:val="baseline"/>
                <w:lang w:val="en-US" w:eastAsia="zh-CN"/>
              </w:rPr>
              <w:t>个工作日内采购人与供应商签订政府采购合同。</w:t>
            </w:r>
          </w:p>
        </w:tc>
        <w:tc>
          <w:tcPr>
            <w:tcW w:w="6221" w:type="dxa"/>
          </w:tcPr>
          <w:p>
            <w:pPr>
              <w:widowControl w:val="0"/>
              <w:ind w:firstLine="420" w:firstLineChars="200"/>
              <w:rPr>
                <w:rFonts w:hint="eastAsia"/>
              </w:rPr>
            </w:pPr>
          </w:p>
          <w:p>
            <w:pPr>
              <w:widowControl w:val="0"/>
              <w:ind w:firstLine="480" w:firstLineChars="200"/>
              <w:rPr>
                <w:rFonts w:hint="eastAsia"/>
                <w:sz w:val="24"/>
                <w:szCs w:val="24"/>
              </w:rPr>
            </w:pPr>
            <w:r>
              <w:rPr>
                <w:rFonts w:hint="eastAsia"/>
                <w:sz w:val="24"/>
                <w:szCs w:val="24"/>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pPr>
              <w:widowControl w:val="0"/>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pPr>
              <w:widowControl w:val="0"/>
              <w:jc w:val="center"/>
              <w:rPr>
                <w:rFonts w:hint="eastAsia"/>
                <w:sz w:val="24"/>
                <w:szCs w:val="24"/>
                <w:vertAlign w:val="baseline"/>
                <w:lang w:val="en-US" w:eastAsia="zh-CN"/>
              </w:rPr>
            </w:pPr>
          </w:p>
          <w:p>
            <w:pPr>
              <w:widowControl w:val="0"/>
              <w:jc w:val="center"/>
              <w:rPr>
                <w:rFonts w:hint="eastAsia"/>
                <w:sz w:val="24"/>
                <w:szCs w:val="24"/>
                <w:vertAlign w:val="baseline"/>
                <w:lang w:val="en-US" w:eastAsia="zh-CN"/>
              </w:rPr>
            </w:pPr>
          </w:p>
          <w:p>
            <w:pPr>
              <w:widowControl w:val="0"/>
              <w:jc w:val="center"/>
              <w:rPr>
                <w:rFonts w:hint="eastAsia"/>
                <w:sz w:val="24"/>
                <w:szCs w:val="24"/>
                <w:vertAlign w:val="baseline"/>
                <w:lang w:val="en-US" w:eastAsia="zh-CN"/>
              </w:rPr>
            </w:pPr>
          </w:p>
          <w:p>
            <w:pPr>
              <w:widowControl w:val="0"/>
              <w:jc w:val="center"/>
              <w:rPr>
                <w:rFonts w:hint="default"/>
                <w:sz w:val="24"/>
                <w:szCs w:val="24"/>
                <w:vertAlign w:val="baseline"/>
                <w:lang w:val="en-US" w:eastAsia="zh-CN"/>
              </w:rPr>
            </w:pPr>
            <w:r>
              <w:rPr>
                <w:rFonts w:hint="eastAsia"/>
                <w:sz w:val="24"/>
                <w:szCs w:val="24"/>
                <w:vertAlign w:val="baseline"/>
                <w:lang w:val="en-US" w:eastAsia="zh-CN"/>
              </w:rPr>
              <w:t>合同备案</w:t>
            </w:r>
          </w:p>
        </w:tc>
        <w:tc>
          <w:tcPr>
            <w:tcW w:w="2237" w:type="dxa"/>
          </w:tcPr>
          <w:p>
            <w:pPr>
              <w:widowControl w:val="0"/>
              <w:ind w:firstLine="480" w:firstLineChars="200"/>
              <w:rPr>
                <w:rFonts w:hint="default"/>
                <w:sz w:val="24"/>
                <w:szCs w:val="24"/>
                <w:vertAlign w:val="baseline"/>
                <w:lang w:val="en-US" w:eastAsia="zh-CN"/>
              </w:rPr>
            </w:pPr>
          </w:p>
          <w:p>
            <w:pPr>
              <w:widowControl w:val="0"/>
              <w:ind w:firstLine="480" w:firstLineChars="200"/>
              <w:rPr>
                <w:rFonts w:hint="default"/>
                <w:sz w:val="24"/>
                <w:szCs w:val="24"/>
                <w:vertAlign w:val="baseline"/>
                <w:lang w:val="en-US" w:eastAsia="zh-CN"/>
              </w:rPr>
            </w:pPr>
          </w:p>
          <w:p>
            <w:pPr>
              <w:widowControl w:val="0"/>
              <w:ind w:firstLine="480" w:firstLineChars="200"/>
              <w:rPr>
                <w:rFonts w:hint="default"/>
                <w:sz w:val="24"/>
                <w:szCs w:val="24"/>
                <w:vertAlign w:val="baseline"/>
                <w:lang w:val="en-US" w:eastAsia="zh-CN"/>
              </w:rPr>
            </w:pPr>
          </w:p>
          <w:p>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政府采购合同签订之日起</w:t>
            </w:r>
            <w:r>
              <w:rPr>
                <w:rFonts w:hint="eastAsia"/>
                <w:sz w:val="24"/>
                <w:szCs w:val="24"/>
                <w:vertAlign w:val="baseline"/>
                <w:lang w:val="en-US" w:eastAsia="zh-CN"/>
              </w:rPr>
              <w:t>1</w:t>
            </w:r>
            <w:r>
              <w:rPr>
                <w:rFonts w:hint="default"/>
                <w:sz w:val="24"/>
                <w:szCs w:val="24"/>
                <w:vertAlign w:val="baseline"/>
                <w:lang w:val="en-US" w:eastAsia="zh-CN"/>
              </w:rPr>
              <w:t>个工作日内，合同备案并公示。</w:t>
            </w:r>
          </w:p>
        </w:tc>
        <w:tc>
          <w:tcPr>
            <w:tcW w:w="6221" w:type="dxa"/>
          </w:tcPr>
          <w:p>
            <w:pPr>
              <w:widowControl w:val="0"/>
              <w:rPr>
                <w:rFonts w:hint="eastAsia" w:ascii="宋体" w:hAnsi="宋体" w:eastAsia="宋体" w:cs="宋体"/>
                <w:sz w:val="24"/>
                <w:szCs w:val="24"/>
                <w:vertAlign w:val="baseline"/>
                <w:lang w:val="en-US" w:eastAsia="zh-CN"/>
              </w:rPr>
            </w:pPr>
          </w:p>
          <w:p>
            <w:pPr>
              <w:widowControl w:val="0"/>
              <w:ind w:firstLine="480" w:firstLineChars="200"/>
              <w:rPr>
                <w:rFonts w:hint="default"/>
                <w:sz w:val="24"/>
                <w:szCs w:val="24"/>
                <w:vertAlign w:val="baseline"/>
                <w:lang w:val="en-US" w:eastAsia="zh-CN"/>
              </w:rPr>
            </w:pPr>
            <w:r>
              <w:rPr>
                <w:rFonts w:hint="eastAsia" w:ascii="宋体" w:hAnsi="宋体" w:eastAsia="宋体" w:cs="宋体"/>
                <w:sz w:val="24"/>
                <w:szCs w:val="24"/>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pPr>
              <w:widowControl w:val="0"/>
              <w:jc w:val="center"/>
              <w:rPr>
                <w:rFonts w:hint="eastAsia"/>
                <w:sz w:val="24"/>
                <w:szCs w:val="24"/>
                <w:vertAlign w:val="baseline"/>
                <w:lang w:val="en-US" w:eastAsia="zh-CN"/>
              </w:rPr>
            </w:pPr>
          </w:p>
          <w:p>
            <w:pPr>
              <w:widowControl w:val="0"/>
              <w:jc w:val="center"/>
              <w:rPr>
                <w:rFonts w:hint="eastAsia"/>
                <w:sz w:val="24"/>
                <w:szCs w:val="24"/>
                <w:vertAlign w:val="baseline"/>
                <w:lang w:val="en-US" w:eastAsia="zh-CN"/>
              </w:rPr>
            </w:pPr>
          </w:p>
          <w:p>
            <w:pPr>
              <w:widowControl w:val="0"/>
              <w:jc w:val="center"/>
              <w:rPr>
                <w:rFonts w:hint="eastAsia"/>
                <w:sz w:val="24"/>
                <w:szCs w:val="24"/>
                <w:vertAlign w:val="baseline"/>
                <w:lang w:val="en-US" w:eastAsia="zh-CN"/>
              </w:rPr>
            </w:pPr>
          </w:p>
          <w:p>
            <w:pPr>
              <w:widowControl w:val="0"/>
              <w:jc w:val="center"/>
              <w:rPr>
                <w:rFonts w:hint="default"/>
                <w:sz w:val="24"/>
                <w:szCs w:val="24"/>
                <w:vertAlign w:val="baseline"/>
                <w:lang w:val="en-US" w:eastAsia="zh-CN"/>
              </w:rPr>
            </w:pPr>
            <w:r>
              <w:rPr>
                <w:rFonts w:hint="eastAsia"/>
                <w:sz w:val="24"/>
                <w:szCs w:val="24"/>
                <w:vertAlign w:val="baseline"/>
                <w:lang w:val="en-US" w:eastAsia="zh-CN"/>
              </w:rPr>
              <w:t>履约验收</w:t>
            </w:r>
          </w:p>
        </w:tc>
        <w:tc>
          <w:tcPr>
            <w:tcW w:w="2237" w:type="dxa"/>
          </w:tcPr>
          <w:p>
            <w:pPr>
              <w:widowControl w:val="0"/>
              <w:ind w:firstLine="480" w:firstLineChars="200"/>
              <w:rPr>
                <w:rFonts w:hint="default"/>
                <w:sz w:val="24"/>
                <w:szCs w:val="24"/>
                <w:vertAlign w:val="baseline"/>
                <w:lang w:val="en-US" w:eastAsia="zh-CN"/>
              </w:rPr>
            </w:pPr>
          </w:p>
          <w:p>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采购人应该在供应商提出验收申请之日起</w:t>
            </w:r>
            <w:r>
              <w:rPr>
                <w:rFonts w:hint="eastAsia"/>
                <w:sz w:val="24"/>
                <w:szCs w:val="24"/>
                <w:vertAlign w:val="baseline"/>
                <w:lang w:val="en-US" w:eastAsia="zh-CN"/>
              </w:rPr>
              <w:t>3</w:t>
            </w:r>
            <w:r>
              <w:rPr>
                <w:rFonts w:hint="default"/>
                <w:sz w:val="24"/>
                <w:szCs w:val="24"/>
                <w:vertAlign w:val="baseline"/>
                <w:lang w:val="en-US" w:eastAsia="zh-CN"/>
              </w:rPr>
              <w:t>个工作日内完成验收，验收完成之日起</w:t>
            </w:r>
            <w:r>
              <w:rPr>
                <w:rFonts w:hint="eastAsia"/>
                <w:sz w:val="24"/>
                <w:szCs w:val="24"/>
                <w:vertAlign w:val="baseline"/>
                <w:lang w:val="en-US" w:eastAsia="zh-CN"/>
              </w:rPr>
              <w:t>2</w:t>
            </w:r>
            <w:r>
              <w:rPr>
                <w:rFonts w:hint="default"/>
                <w:sz w:val="24"/>
                <w:szCs w:val="24"/>
                <w:vertAlign w:val="baseline"/>
                <w:lang w:val="en-US" w:eastAsia="zh-CN"/>
              </w:rPr>
              <w:t>个工作日内，合同履约验收公示。</w:t>
            </w:r>
          </w:p>
        </w:tc>
        <w:tc>
          <w:tcPr>
            <w:tcW w:w="6221" w:type="dxa"/>
          </w:tcPr>
          <w:p>
            <w:pPr>
              <w:widowControl w:val="0"/>
              <w:ind w:firstLine="480" w:firstLineChars="200"/>
              <w:rPr>
                <w:rFonts w:hint="default"/>
                <w:sz w:val="24"/>
                <w:szCs w:val="24"/>
                <w:vertAlign w:val="baseline"/>
                <w:lang w:val="en-US" w:eastAsia="zh-CN"/>
              </w:rPr>
            </w:pPr>
          </w:p>
          <w:p>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政府采购项目供应商履约完成后，应及时向采购人提出验收申请。验收合格的项目，采购人应在验收完成之日起</w:t>
            </w:r>
            <w:r>
              <w:rPr>
                <w:rFonts w:hint="eastAsia"/>
                <w:sz w:val="24"/>
                <w:szCs w:val="24"/>
                <w:vertAlign w:val="baseline"/>
                <w:lang w:val="en-US" w:eastAsia="zh-CN"/>
              </w:rPr>
              <w:t>2</w:t>
            </w:r>
            <w:r>
              <w:rPr>
                <w:rFonts w:hint="default"/>
                <w:sz w:val="24"/>
                <w:szCs w:val="24"/>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pPr>
              <w:widowControl w:val="0"/>
              <w:jc w:val="center"/>
              <w:rPr>
                <w:rFonts w:hint="eastAsia"/>
                <w:sz w:val="24"/>
                <w:szCs w:val="24"/>
                <w:vertAlign w:val="baseline"/>
                <w:lang w:val="en-US" w:eastAsia="zh-CN"/>
              </w:rPr>
            </w:pPr>
          </w:p>
          <w:p>
            <w:pPr>
              <w:widowControl w:val="0"/>
              <w:jc w:val="center"/>
              <w:rPr>
                <w:rFonts w:hint="eastAsia"/>
                <w:sz w:val="24"/>
                <w:szCs w:val="24"/>
                <w:vertAlign w:val="baseline"/>
                <w:lang w:val="en-US" w:eastAsia="zh-CN"/>
              </w:rPr>
            </w:pPr>
          </w:p>
          <w:p>
            <w:pPr>
              <w:widowControl w:val="0"/>
              <w:jc w:val="center"/>
              <w:rPr>
                <w:rFonts w:hint="eastAsia"/>
                <w:sz w:val="24"/>
                <w:szCs w:val="24"/>
                <w:vertAlign w:val="baseline"/>
                <w:lang w:val="en-US" w:eastAsia="zh-CN"/>
              </w:rPr>
            </w:pPr>
          </w:p>
          <w:p>
            <w:pPr>
              <w:widowControl w:val="0"/>
              <w:jc w:val="center"/>
              <w:rPr>
                <w:rFonts w:hint="default"/>
                <w:sz w:val="24"/>
                <w:szCs w:val="24"/>
                <w:vertAlign w:val="baseline"/>
                <w:lang w:val="en-US" w:eastAsia="zh-CN"/>
              </w:rPr>
            </w:pPr>
            <w:r>
              <w:rPr>
                <w:rFonts w:hint="eastAsia"/>
                <w:sz w:val="24"/>
                <w:szCs w:val="24"/>
                <w:vertAlign w:val="baseline"/>
                <w:lang w:val="en-US" w:eastAsia="zh-CN"/>
              </w:rPr>
              <w:t>资金支付</w:t>
            </w:r>
          </w:p>
        </w:tc>
        <w:tc>
          <w:tcPr>
            <w:tcW w:w="2237" w:type="dxa"/>
          </w:tcPr>
          <w:p>
            <w:pPr>
              <w:widowControl w:val="0"/>
              <w:ind w:firstLine="480" w:firstLineChars="200"/>
              <w:rPr>
                <w:rFonts w:hint="default"/>
                <w:sz w:val="24"/>
                <w:szCs w:val="24"/>
                <w:vertAlign w:val="baseline"/>
                <w:lang w:val="en-US" w:eastAsia="zh-CN"/>
              </w:rPr>
            </w:pPr>
          </w:p>
          <w:p>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验收合格具备付款条件的项目， 采购人应在</w:t>
            </w:r>
            <w:r>
              <w:rPr>
                <w:rFonts w:hint="eastAsia"/>
                <w:sz w:val="24"/>
                <w:szCs w:val="24"/>
                <w:vertAlign w:val="baseline"/>
                <w:lang w:val="en-US" w:eastAsia="zh-CN"/>
              </w:rPr>
              <w:t>3</w:t>
            </w:r>
            <w:r>
              <w:rPr>
                <w:rFonts w:hint="default"/>
                <w:sz w:val="24"/>
                <w:szCs w:val="24"/>
                <w:vertAlign w:val="baseline"/>
                <w:lang w:val="en-US" w:eastAsia="zh-CN"/>
              </w:rPr>
              <w:t>个工作日内将资金支付到采购合同约定的供应商账户。</w:t>
            </w:r>
          </w:p>
        </w:tc>
        <w:tc>
          <w:tcPr>
            <w:tcW w:w="6221" w:type="dxa"/>
          </w:tcPr>
          <w:p>
            <w:pPr>
              <w:widowControl w:val="0"/>
              <w:ind w:firstLine="480" w:firstLineChars="200"/>
              <w:rPr>
                <w:rFonts w:hint="eastAsia"/>
                <w:sz w:val="24"/>
                <w:szCs w:val="24"/>
                <w:vertAlign w:val="baseline"/>
                <w:lang w:val="en-US" w:eastAsia="zh-CN"/>
              </w:rPr>
            </w:pPr>
          </w:p>
          <w:p>
            <w:pPr>
              <w:widowControl w:val="0"/>
              <w:ind w:firstLine="480" w:firstLineChars="200"/>
              <w:rPr>
                <w:rFonts w:hint="default"/>
                <w:sz w:val="24"/>
                <w:szCs w:val="24"/>
                <w:vertAlign w:val="baseline"/>
                <w:lang w:val="en-US" w:eastAsia="zh-CN"/>
              </w:rPr>
            </w:pPr>
            <w:r>
              <w:rPr>
                <w:rFonts w:hint="eastAsia"/>
                <w:sz w:val="24"/>
                <w:szCs w:val="24"/>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pPr>
        <w:jc w:val="left"/>
        <w:rPr>
          <w:rFonts w:hint="eastAsia"/>
          <w:sz w:val="24"/>
          <w:szCs w:val="24"/>
          <w:lang w:val="en-US" w:eastAsia="zh-CN"/>
        </w:rPr>
      </w:pPr>
    </w:p>
    <w:p>
      <w:pPr>
        <w:ind w:firstLine="240" w:firstLineChars="100"/>
        <w:jc w:val="left"/>
        <w:rPr>
          <w:rFonts w:hint="default"/>
          <w:sz w:val="24"/>
          <w:szCs w:val="32"/>
          <w:lang w:val="en-US" w:eastAsia="zh-CN"/>
        </w:rPr>
      </w:pPr>
    </w:p>
    <w:p>
      <w:pPr>
        <w:jc w:val="right"/>
        <w:rPr>
          <w:rFonts w:hint="eastAsia"/>
          <w:sz w:val="24"/>
          <w:szCs w:val="24"/>
          <w:lang w:val="en-US" w:eastAsia="zh-CN"/>
        </w:rPr>
      </w:pPr>
      <w:r>
        <w:rPr>
          <w:rFonts w:hint="eastAsia"/>
          <w:sz w:val="28"/>
          <w:szCs w:val="28"/>
          <w:lang w:val="en-US" w:eastAsia="zh-CN"/>
        </w:rPr>
        <w:t xml:space="preserve">                            </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en-US" w:bidi="ar-SA"/>
        </w:rPr>
      </w:pPr>
    </w:p>
    <w:sectPr>
      <w:headerReference r:id="rId7" w:type="default"/>
      <w:footerReference r:id="rId8"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kwMzUxYjUyNjUyOWE0NmQ3ZDdhN2EyODVmMWEyOWIifQ=="/>
  </w:docVars>
  <w:rsids>
    <w:rsidRoot w:val="00000000"/>
    <w:rsid w:val="00F93B85"/>
    <w:rsid w:val="02980B47"/>
    <w:rsid w:val="0304627B"/>
    <w:rsid w:val="03B63E3A"/>
    <w:rsid w:val="03F005BF"/>
    <w:rsid w:val="049308F0"/>
    <w:rsid w:val="05C82C12"/>
    <w:rsid w:val="064B2778"/>
    <w:rsid w:val="06731CDB"/>
    <w:rsid w:val="06BD7DF4"/>
    <w:rsid w:val="084C47B3"/>
    <w:rsid w:val="08743EB7"/>
    <w:rsid w:val="08896F10"/>
    <w:rsid w:val="08DF64FD"/>
    <w:rsid w:val="095962AF"/>
    <w:rsid w:val="098F0954"/>
    <w:rsid w:val="09A960A9"/>
    <w:rsid w:val="0A2175C7"/>
    <w:rsid w:val="0A4E3858"/>
    <w:rsid w:val="0A530F50"/>
    <w:rsid w:val="0ADC6029"/>
    <w:rsid w:val="0C272EF4"/>
    <w:rsid w:val="0C450913"/>
    <w:rsid w:val="0CF167FE"/>
    <w:rsid w:val="0E3E7CBD"/>
    <w:rsid w:val="0EE83C0B"/>
    <w:rsid w:val="0F130CAE"/>
    <w:rsid w:val="0FF95996"/>
    <w:rsid w:val="0FFF7484"/>
    <w:rsid w:val="10832DEB"/>
    <w:rsid w:val="11E54B27"/>
    <w:rsid w:val="11F10D0E"/>
    <w:rsid w:val="13504EE3"/>
    <w:rsid w:val="13D318D3"/>
    <w:rsid w:val="14184102"/>
    <w:rsid w:val="146A4EE4"/>
    <w:rsid w:val="147A2410"/>
    <w:rsid w:val="14B05372"/>
    <w:rsid w:val="14D64C58"/>
    <w:rsid w:val="156F62EF"/>
    <w:rsid w:val="15BB5765"/>
    <w:rsid w:val="15C27640"/>
    <w:rsid w:val="15E84D2D"/>
    <w:rsid w:val="15FC3460"/>
    <w:rsid w:val="16655340"/>
    <w:rsid w:val="16882EF5"/>
    <w:rsid w:val="16FD3ABE"/>
    <w:rsid w:val="172F0E42"/>
    <w:rsid w:val="196A0814"/>
    <w:rsid w:val="1B1E2EB4"/>
    <w:rsid w:val="1B4E29D7"/>
    <w:rsid w:val="1B526017"/>
    <w:rsid w:val="1BFF6021"/>
    <w:rsid w:val="1C587110"/>
    <w:rsid w:val="1CC05665"/>
    <w:rsid w:val="1D2A5785"/>
    <w:rsid w:val="1D7F2147"/>
    <w:rsid w:val="1D941A61"/>
    <w:rsid w:val="1D996CC8"/>
    <w:rsid w:val="1DA01659"/>
    <w:rsid w:val="1E6454A8"/>
    <w:rsid w:val="1EF83A1C"/>
    <w:rsid w:val="1FCD677B"/>
    <w:rsid w:val="1FCF1E87"/>
    <w:rsid w:val="208E4164"/>
    <w:rsid w:val="212C3E51"/>
    <w:rsid w:val="21A07893"/>
    <w:rsid w:val="23554AEF"/>
    <w:rsid w:val="23645F64"/>
    <w:rsid w:val="23F5677C"/>
    <w:rsid w:val="23FB5E39"/>
    <w:rsid w:val="241A61E3"/>
    <w:rsid w:val="244A2A1D"/>
    <w:rsid w:val="2564491D"/>
    <w:rsid w:val="25B83A87"/>
    <w:rsid w:val="266463E7"/>
    <w:rsid w:val="26E9311B"/>
    <w:rsid w:val="27C93253"/>
    <w:rsid w:val="28032F0B"/>
    <w:rsid w:val="2A1C7CF7"/>
    <w:rsid w:val="2A3D0E7D"/>
    <w:rsid w:val="2A924A38"/>
    <w:rsid w:val="2AB13D32"/>
    <w:rsid w:val="2AE32E31"/>
    <w:rsid w:val="2CD208B5"/>
    <w:rsid w:val="2E6C7ED8"/>
    <w:rsid w:val="2EA57FA1"/>
    <w:rsid w:val="2EF243BC"/>
    <w:rsid w:val="30EF0857"/>
    <w:rsid w:val="3140197F"/>
    <w:rsid w:val="31E05F1C"/>
    <w:rsid w:val="320C16C0"/>
    <w:rsid w:val="32672625"/>
    <w:rsid w:val="32831B16"/>
    <w:rsid w:val="329B61C3"/>
    <w:rsid w:val="32F6583E"/>
    <w:rsid w:val="333A48FA"/>
    <w:rsid w:val="334A1323"/>
    <w:rsid w:val="33D92F7A"/>
    <w:rsid w:val="340824FC"/>
    <w:rsid w:val="34B2130C"/>
    <w:rsid w:val="350E12EA"/>
    <w:rsid w:val="354173ED"/>
    <w:rsid w:val="35992C99"/>
    <w:rsid w:val="360F3354"/>
    <w:rsid w:val="36486409"/>
    <w:rsid w:val="37BD0585"/>
    <w:rsid w:val="37CA6352"/>
    <w:rsid w:val="38533A18"/>
    <w:rsid w:val="38B814EC"/>
    <w:rsid w:val="396226AE"/>
    <w:rsid w:val="3AB900AC"/>
    <w:rsid w:val="3B223EA3"/>
    <w:rsid w:val="3BAF7174"/>
    <w:rsid w:val="3D660BE0"/>
    <w:rsid w:val="3EB41E07"/>
    <w:rsid w:val="41314E40"/>
    <w:rsid w:val="41F66AB4"/>
    <w:rsid w:val="43D372D6"/>
    <w:rsid w:val="44B74AB0"/>
    <w:rsid w:val="44C27AD5"/>
    <w:rsid w:val="45300AE7"/>
    <w:rsid w:val="463F4C16"/>
    <w:rsid w:val="46832AB5"/>
    <w:rsid w:val="46942B8F"/>
    <w:rsid w:val="498A3D49"/>
    <w:rsid w:val="4ACA3C0F"/>
    <w:rsid w:val="4BBB7B8C"/>
    <w:rsid w:val="4C806C7C"/>
    <w:rsid w:val="4C9425BB"/>
    <w:rsid w:val="4CB97E79"/>
    <w:rsid w:val="4CBA2C7D"/>
    <w:rsid w:val="4D2770F7"/>
    <w:rsid w:val="4D422183"/>
    <w:rsid w:val="4E5C03B2"/>
    <w:rsid w:val="4FA36E2B"/>
    <w:rsid w:val="50CD1D3A"/>
    <w:rsid w:val="50DF62FA"/>
    <w:rsid w:val="51943136"/>
    <w:rsid w:val="538452A3"/>
    <w:rsid w:val="554A067A"/>
    <w:rsid w:val="562B2D19"/>
    <w:rsid w:val="566F2249"/>
    <w:rsid w:val="571C70F4"/>
    <w:rsid w:val="578C1E3F"/>
    <w:rsid w:val="58122B18"/>
    <w:rsid w:val="582157B7"/>
    <w:rsid w:val="583737A8"/>
    <w:rsid w:val="584A5D0C"/>
    <w:rsid w:val="59791FCF"/>
    <w:rsid w:val="59C70462"/>
    <w:rsid w:val="5B942EAB"/>
    <w:rsid w:val="5BFB1656"/>
    <w:rsid w:val="5C805C3A"/>
    <w:rsid w:val="5CED210B"/>
    <w:rsid w:val="5DD33159"/>
    <w:rsid w:val="5E401EE1"/>
    <w:rsid w:val="5E862024"/>
    <w:rsid w:val="5FE54AEF"/>
    <w:rsid w:val="5FE62E42"/>
    <w:rsid w:val="5FF150C3"/>
    <w:rsid w:val="604F0C94"/>
    <w:rsid w:val="60811390"/>
    <w:rsid w:val="60E905BC"/>
    <w:rsid w:val="611C486A"/>
    <w:rsid w:val="612C3317"/>
    <w:rsid w:val="613320B7"/>
    <w:rsid w:val="639037F0"/>
    <w:rsid w:val="63BC45E5"/>
    <w:rsid w:val="64B4350F"/>
    <w:rsid w:val="64C17C5F"/>
    <w:rsid w:val="64E32222"/>
    <w:rsid w:val="660C0310"/>
    <w:rsid w:val="674A54CB"/>
    <w:rsid w:val="68740EAF"/>
    <w:rsid w:val="691A37DC"/>
    <w:rsid w:val="695F7E2D"/>
    <w:rsid w:val="6A443604"/>
    <w:rsid w:val="6ACC2E0B"/>
    <w:rsid w:val="6B3B245C"/>
    <w:rsid w:val="6B6B37C9"/>
    <w:rsid w:val="6B9F656F"/>
    <w:rsid w:val="6DAF0580"/>
    <w:rsid w:val="6DD02520"/>
    <w:rsid w:val="6DE17F47"/>
    <w:rsid w:val="6E1128F7"/>
    <w:rsid w:val="6E6B7F83"/>
    <w:rsid w:val="6EE2110B"/>
    <w:rsid w:val="70411D13"/>
    <w:rsid w:val="718B602C"/>
    <w:rsid w:val="7222612A"/>
    <w:rsid w:val="722A439F"/>
    <w:rsid w:val="727D45B0"/>
    <w:rsid w:val="727F5D14"/>
    <w:rsid w:val="74143D3D"/>
    <w:rsid w:val="7571756C"/>
    <w:rsid w:val="75CE5F39"/>
    <w:rsid w:val="76102BC1"/>
    <w:rsid w:val="768D73E4"/>
    <w:rsid w:val="778B45A3"/>
    <w:rsid w:val="77AC443F"/>
    <w:rsid w:val="786749F3"/>
    <w:rsid w:val="78C35701"/>
    <w:rsid w:val="78F607B2"/>
    <w:rsid w:val="79A15AC2"/>
    <w:rsid w:val="7B2E771F"/>
    <w:rsid w:val="7B890DF9"/>
    <w:rsid w:val="7BC65611"/>
    <w:rsid w:val="7C2C76E7"/>
    <w:rsid w:val="7DAB214F"/>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8">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9">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4">
    <w:name w:val="Body Text First Indent 2"/>
    <w:basedOn w:val="5"/>
    <w:next w:val="1"/>
    <w:autoRedefine/>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5">
    <w:name w:val="Body Text Indent"/>
    <w:basedOn w:val="1"/>
    <w:next w:val="6"/>
    <w:autoRedefine/>
    <w:qFormat/>
    <w:uiPriority w:val="0"/>
    <w:pPr>
      <w:tabs>
        <w:tab w:val="left" w:pos="0"/>
      </w:tabs>
      <w:ind w:firstLine="538" w:firstLineChars="192"/>
    </w:pPr>
    <w:rPr>
      <w:rFonts w:ascii="Tahoma" w:hAnsi="Tahoma"/>
      <w:kern w:val="2"/>
      <w:sz w:val="28"/>
      <w:szCs w:val="24"/>
    </w:rPr>
  </w:style>
  <w:style w:type="paragraph" w:styleId="6">
    <w:name w:val="envelope return"/>
    <w:basedOn w:val="1"/>
    <w:qFormat/>
    <w:uiPriority w:val="0"/>
    <w:pPr>
      <w:snapToGrid w:val="0"/>
    </w:pPr>
    <w:rPr>
      <w:rFonts w:ascii="Arial" w:hAnsi="Arial"/>
    </w:rPr>
  </w:style>
  <w:style w:type="paragraph" w:styleId="10">
    <w:name w:val="annotation text"/>
    <w:basedOn w:val="1"/>
    <w:autoRedefine/>
    <w:qFormat/>
    <w:uiPriority w:val="0"/>
    <w:pPr>
      <w:jc w:val="left"/>
    </w:pPr>
  </w:style>
  <w:style w:type="paragraph" w:styleId="11">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2">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4">
    <w:name w:val="Body Text 2"/>
    <w:basedOn w:val="1"/>
    <w:autoRedefine/>
    <w:qFormat/>
    <w:uiPriority w:val="0"/>
    <w:pPr>
      <w:spacing w:after="120" w:line="480" w:lineRule="auto"/>
    </w:p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style4"/>
    <w:basedOn w:val="1"/>
    <w:next w:val="20"/>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0">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1">
    <w:name w:val="Default"/>
    <w:next w:val="22"/>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2">
    <w:name w:val="Char Char10 Char Char Char Char"/>
    <w:next w:val="23"/>
    <w:qFormat/>
    <w:uiPriority w:val="0"/>
    <w:pPr>
      <w:widowControl w:val="0"/>
      <w:jc w:val="both"/>
    </w:pPr>
    <w:rPr>
      <w:rFonts w:ascii="Calibri" w:hAnsi="Calibri" w:eastAsia="宋体" w:cs="Times New Roman"/>
      <w:kern w:val="0"/>
      <w:sz w:val="21"/>
      <w:szCs w:val="24"/>
      <w:lang w:val="en-US" w:eastAsia="zh-CN" w:bidi="ar-SA"/>
    </w:rPr>
  </w:style>
  <w:style w:type="paragraph" w:customStyle="1" w:styleId="23">
    <w:name w:val="xl87"/>
    <w:next w:val="24"/>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4">
    <w:name w:val="xl72"/>
    <w:next w:val="1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5">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paragraph" w:customStyle="1" w:styleId="27">
    <w:name w:val="Table Text"/>
    <w:basedOn w:val="1"/>
    <w:autoRedefine/>
    <w:semiHidden/>
    <w:qFormat/>
    <w:uiPriority w:val="0"/>
    <w:rPr>
      <w:rFonts w:ascii="Arial" w:hAnsi="Arial" w:eastAsia="Arial" w:cs="Arial"/>
      <w:sz w:val="21"/>
      <w:szCs w:val="21"/>
      <w:lang w:val="en-US" w:eastAsia="en-US" w:bidi="ar-SA"/>
    </w:rPr>
  </w:style>
  <w:style w:type="paragraph" w:customStyle="1" w:styleId="28">
    <w:name w:val="Table Paragraph"/>
    <w:basedOn w:val="1"/>
    <w:autoRedefine/>
    <w:qFormat/>
    <w:uiPriority w:val="1"/>
    <w:rPr>
      <w:rFonts w:ascii="宋体" w:hAnsi="宋体" w:eastAsia="宋体" w:cs="宋体"/>
      <w:lang w:val="en-US" w:eastAsia="zh-CN" w:bidi="ar-SA"/>
    </w:rPr>
  </w:style>
  <w:style w:type="paragraph" w:customStyle="1" w:styleId="29">
    <w:name w:val="无间隔1"/>
    <w:basedOn w:val="1"/>
    <w:autoRedefine/>
    <w:qFormat/>
    <w:uiPriority w:val="99"/>
    <w:pPr>
      <w:spacing w:line="400" w:lineRule="exact"/>
    </w:pPr>
  </w:style>
  <w:style w:type="paragraph" w:styleId="30">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1">
    <w:name w:val="列出段落1"/>
    <w:basedOn w:val="1"/>
    <w:unhideWhenUsed/>
    <w:qFormat/>
    <w:uiPriority w:val="99"/>
    <w:pPr>
      <w:ind w:firstLine="420" w:firstLineChars="200"/>
    </w:p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 w:type="paragraph" w:customStyle="1" w:styleId="34">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24559</Words>
  <Characters>25565</Characters>
  <TotalTime>34</TotalTime>
  <ScaleCrop>false</ScaleCrop>
  <LinksUpToDate>false</LinksUpToDate>
  <CharactersWithSpaces>26639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暖暖</cp:lastModifiedBy>
  <cp:lastPrinted>2024-05-28T03:10:00Z</cp:lastPrinted>
  <dcterms:modified xsi:type="dcterms:W3CDTF">2024-06-05T08:28:12Z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2052-12.1.0.16929</vt:lpwstr>
  </property>
  <property fmtid="{D5CDD505-2E9C-101B-9397-08002B2CF9AE}" pid="5" name="ICV">
    <vt:lpwstr>AC80C27C624747B1AE5D62506478D1D6_13</vt:lpwstr>
  </property>
</Properties>
</file>