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w:t>
      </w:r>
      <w:r>
        <w:rPr>
          <w:rFonts w:hint="eastAsia" w:ascii="宋体" w:hAnsi="宋体" w:eastAsia="宋体" w:cs="宋体"/>
          <w:spacing w:val="-1"/>
          <w:sz w:val="52"/>
          <w:szCs w:val="52"/>
          <w:lang w:eastAsia="zh-CN"/>
          <w14:textOutline w14:w="3844" w14:cap="flat" w14:cmpd="sng">
            <w14:solidFill>
              <w14:srgbClr w14:val="000000"/>
            </w14:solidFill>
            <w14:prstDash w14:val="solid"/>
            <w14:miter w14:val="0"/>
          </w14:textOutline>
        </w:rPr>
        <w:t>谈判</w:t>
      </w: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文件</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南阳市公安局购置特种车辆项目</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 南阳政采谈判-2024-4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南阳市公安局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 南阳市公共资源交易中心</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6"/>
          <w:szCs w:val="36"/>
        </w:rPr>
        <w:sectPr>
          <w:footerReference r:id="rId5" w:type="default"/>
          <w:pgSz w:w="11906" w:h="16839"/>
          <w:pgMar w:top="1440" w:right="1800" w:bottom="1440" w:left="1800" w:header="0" w:footer="0" w:gutter="0"/>
          <w:pgNumType w:fmt="decimal" w:start="1"/>
          <w:cols w:space="720" w:num="1"/>
        </w:sectPr>
      </w:pPr>
    </w:p>
    <w:p>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pPr>
            <w:pStyle w:val="3"/>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pPr>
            <w:pStyle w:val="14"/>
          </w:pPr>
        </w:p>
        <w:p>
          <w:pPr>
            <w:pStyle w:val="3"/>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pPr>
            <w:pStyle w:val="3"/>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pPr>
            <w:pStyle w:val="3"/>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pPr>
            <w:pStyle w:val="3"/>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pPr>
            <w:pStyle w:val="3"/>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pPr>
            <w:pStyle w:val="3"/>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129.6616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129.6616 </w:t>
      </w:r>
      <w:r>
        <w:rPr>
          <w:rFonts w:hint="eastAsia" w:asciiTheme="minorEastAsia" w:hAnsiTheme="minorEastAsia" w:eastAsiaTheme="minorEastAsia" w:cstheme="minorEastAsia"/>
          <w:spacing w:val="-14"/>
          <w:sz w:val="24"/>
          <w:szCs w:val="24"/>
        </w:rPr>
        <w:t>万元</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6"/>
        <w:gridCol w:w="2794"/>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056"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2794"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056" w:type="dxa"/>
            <w:vAlign w:val="top"/>
          </w:tcPr>
          <w:p>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val="0"/>
                <w:bCs w:val="0"/>
                <w:sz w:val="24"/>
                <w:szCs w:val="24"/>
                <w:u w:val="none"/>
              </w:rPr>
            </w:pPr>
            <w:r>
              <w:rPr>
                <w:rFonts w:hint="eastAsia" w:ascii="宋体" w:hAnsi="宋体" w:eastAsia="宋体" w:cs="宋体"/>
                <w:b w:val="0"/>
                <w:bCs w:val="0"/>
                <w:spacing w:val="-17"/>
                <w:sz w:val="24"/>
                <w:szCs w:val="24"/>
                <w:u w:val="none"/>
                <w:lang w:val="en-US" w:eastAsia="zh-CN"/>
              </w:rPr>
              <w:t xml:space="preserve">南阳政采谈判-2024-4   </w:t>
            </w:r>
            <w:r>
              <w:rPr>
                <w:rFonts w:hint="eastAsia" w:ascii="宋体" w:hAnsi="宋体" w:eastAsia="宋体" w:cs="宋体"/>
                <w:b w:val="0"/>
                <w:bCs w:val="0"/>
                <w:spacing w:val="14"/>
                <w:sz w:val="24"/>
                <w:szCs w:val="24"/>
                <w:u w:val="none"/>
                <w:lang w:val="en-US" w:eastAsia="zh-CN"/>
              </w:rPr>
              <w:t>-</w:t>
            </w:r>
            <w:r>
              <w:rPr>
                <w:rFonts w:hint="eastAsia" w:ascii="宋体" w:hAnsi="宋体" w:eastAsia="宋体" w:cs="宋体"/>
                <w:b w:val="0"/>
                <w:bCs w:val="0"/>
                <w:spacing w:val="14"/>
                <w:sz w:val="24"/>
                <w:szCs w:val="24"/>
                <w:u w:val="none"/>
              </w:rPr>
              <w:t>1</w:t>
            </w:r>
          </w:p>
        </w:tc>
        <w:tc>
          <w:tcPr>
            <w:tcW w:w="2794" w:type="dxa"/>
            <w:vAlign w:val="top"/>
          </w:tcPr>
          <w:p>
            <w:pPr>
              <w:tabs>
                <w:tab w:val="left" w:pos="1074"/>
              </w:tabs>
              <w:bidi w:val="0"/>
              <w:jc w:val="left"/>
              <w:rPr>
                <w:rFonts w:hint="eastAsia" w:ascii="宋体" w:hAnsi="宋体" w:eastAsia="宋体" w:cs="宋体"/>
                <w:b w:val="0"/>
                <w:bCs w:val="0"/>
                <w:sz w:val="24"/>
                <w:szCs w:val="24"/>
                <w:u w:val="none"/>
                <w:lang w:eastAsia="zh-CN"/>
              </w:rPr>
            </w:pPr>
            <w:r>
              <w:rPr>
                <w:rFonts w:hint="eastAsia" w:ascii="宋体" w:hAnsi="宋体" w:eastAsia="宋体" w:cs="宋体"/>
                <w:b w:val="0"/>
                <w:bCs w:val="0"/>
                <w:spacing w:val="-17"/>
                <w:sz w:val="24"/>
                <w:szCs w:val="24"/>
                <w:u w:val="none"/>
                <w:lang w:val="en-US" w:eastAsia="zh-CN"/>
              </w:rPr>
              <w:t xml:space="preserve">南阳市公安局购置特种车辆项目 </w:t>
            </w:r>
          </w:p>
        </w:tc>
        <w:tc>
          <w:tcPr>
            <w:tcW w:w="2321" w:type="dxa"/>
            <w:vAlign w:val="top"/>
          </w:tcPr>
          <w:p>
            <w:pPr>
              <w:pStyle w:val="1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none"/>
                <w:lang w:val="en-US" w:eastAsia="zh-CN"/>
              </w:rPr>
              <w:t>1296616</w:t>
            </w:r>
          </w:p>
        </w:tc>
      </w:tr>
    </w:tbl>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仿宋_GB2312" w:hAnsi="仿宋_GB2312" w:eastAsia="仿宋_GB2312" w:cs="仿宋_GB2312"/>
                <w:sz w:val="21"/>
                <w:szCs w:val="21"/>
                <w:vertAlign w:val="baseline"/>
                <w:lang w:val="en-US" w:eastAsia="zh-CN"/>
              </w:rPr>
              <w:t>皮卡巡逻车</w:t>
            </w:r>
          </w:p>
        </w:tc>
        <w:tc>
          <w:tcPr>
            <w:tcW w:w="136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仿宋_GB2312" w:hAnsi="仿宋_GB2312" w:eastAsia="仿宋_GB2312" w:cs="仿宋_GB2312"/>
                <w:sz w:val="21"/>
                <w:szCs w:val="21"/>
                <w:vertAlign w:val="baseline"/>
                <w:lang w:val="en-US" w:eastAsia="zh-CN"/>
              </w:rPr>
              <w:t>辆</w:t>
            </w:r>
          </w:p>
        </w:tc>
        <w:tc>
          <w:tcPr>
            <w:tcW w:w="1323"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vertAlign w:val="baseline"/>
                <w:lang w:val="en-US" w:eastAsia="zh-CN"/>
              </w:rPr>
              <w:t>警犬运输车</w:t>
            </w:r>
          </w:p>
        </w:tc>
        <w:tc>
          <w:tcPr>
            <w:tcW w:w="136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仿宋_GB2312" w:hAnsi="仿宋_GB2312" w:eastAsia="仿宋_GB2312" w:cs="仿宋_GB2312"/>
                <w:sz w:val="21"/>
                <w:szCs w:val="21"/>
                <w:vertAlign w:val="baseline"/>
                <w:lang w:val="en-US" w:eastAsia="zh-CN"/>
              </w:rPr>
              <w:t>辆</w:t>
            </w:r>
          </w:p>
        </w:tc>
        <w:tc>
          <w:tcPr>
            <w:tcW w:w="1323"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vertAlign w:val="baseline"/>
                <w:lang w:val="en-US" w:eastAsia="zh-CN"/>
              </w:rPr>
              <w:t>MPV特种巡逻车</w:t>
            </w:r>
          </w:p>
        </w:tc>
        <w:tc>
          <w:tcPr>
            <w:tcW w:w="136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仿宋_GB2312" w:hAnsi="仿宋_GB2312" w:eastAsia="仿宋_GB2312" w:cs="仿宋_GB2312"/>
                <w:sz w:val="21"/>
                <w:szCs w:val="21"/>
                <w:vertAlign w:val="baseline"/>
                <w:lang w:val="en-US" w:eastAsia="zh-CN"/>
              </w:rPr>
              <w:t>辆</w:t>
            </w:r>
          </w:p>
        </w:tc>
        <w:tc>
          <w:tcPr>
            <w:tcW w:w="1323"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bl>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注：采购清单中的强制节能产品请列明。</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合同签订后30日历天内供车完毕。</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pStyle w:val="3"/>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none"/>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kinsoku/>
        <w:wordWrap w:val="0"/>
        <w:overflowPunct/>
        <w:topLinePunct w:val="0"/>
        <w:bidi w:val="0"/>
        <w:spacing w:line="259" w:lineRule="auto"/>
        <w:jc w:val="both"/>
        <w:rPr>
          <w:rFonts w:ascii="Arial"/>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13</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spacing w:val="-3"/>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pPr>
        <w:pStyle w:val="3"/>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3"/>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2024</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pPr>
        <w:pStyle w:val="3"/>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Arial" w:hAnsi="Arial" w:cs="Arial"/>
          <w:position w:val="5"/>
          <w:sz w:val="24"/>
          <w:szCs w:val="24"/>
          <w:lang w:eastAsia="zh-CN"/>
        </w:rPr>
        <w:t>。</w:t>
      </w:r>
    </w:p>
    <w:p>
      <w:pPr>
        <w:keepNext w:val="0"/>
        <w:keepLines w:val="0"/>
        <w:pageBreakBefore w:val="0"/>
        <w:kinsoku/>
        <w:wordWrap w:val="0"/>
        <w:overflowPunct/>
        <w:topLinePunct w:val="0"/>
        <w:bidi w:val="0"/>
        <w:spacing w:line="269" w:lineRule="auto"/>
        <w:jc w:val="both"/>
        <w:rPr>
          <w:rFonts w:ascii="Arial"/>
          <w:sz w:val="21"/>
        </w:rPr>
      </w:pPr>
    </w:p>
    <w:p>
      <w:pPr>
        <w:keepNext w:val="0"/>
        <w:keepLines w:val="0"/>
        <w:pageBreakBefore w:val="0"/>
        <w:kinsoku/>
        <w:wordWrap w:val="0"/>
        <w:overflowPunct/>
        <w:topLinePunct w:val="0"/>
        <w:bidi w:val="0"/>
        <w:spacing w:line="269" w:lineRule="auto"/>
        <w:jc w:val="both"/>
        <w:rPr>
          <w:rFonts w:ascii="Arial"/>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13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keepNext w:val="0"/>
        <w:keepLines w:val="0"/>
        <w:pageBreakBefore w:val="0"/>
        <w:kinsoku/>
        <w:wordWrap w:val="0"/>
        <w:overflowPunct/>
        <w:topLinePunct w:val="0"/>
        <w:bidi w:val="0"/>
        <w:spacing w:line="259" w:lineRule="auto"/>
        <w:jc w:val="both"/>
        <w:rPr>
          <w:rFonts w:ascii="Arial"/>
          <w:sz w:val="21"/>
        </w:rPr>
      </w:pPr>
    </w:p>
    <w:p>
      <w:pPr>
        <w:keepNext w:val="0"/>
        <w:keepLines w:val="0"/>
        <w:pageBreakBefore w:val="0"/>
        <w:kinsoku/>
        <w:wordWrap w:val="0"/>
        <w:overflowPunct/>
        <w:topLinePunct w:val="0"/>
        <w:bidi w:val="0"/>
        <w:spacing w:line="260" w:lineRule="auto"/>
        <w:jc w:val="both"/>
        <w:rPr>
          <w:rFonts w:ascii="Arial"/>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名称：南阳市公安局</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卧龙区张衡路1号</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pacing w:val="-15"/>
          <w:sz w:val="24"/>
          <w:szCs w:val="24"/>
        </w:rPr>
        <w:t>乔峰</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联系方式：0377-61226172</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南阳市范蠡东路与南都路交叉口市民服务中心中区3号楼5楼</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仿宋_GB2312" w:hAnsi="宋体" w:eastAsia="仿宋_GB2312"/>
          <w:sz w:val="28"/>
          <w:szCs w:val="28"/>
          <w:u w:val="none"/>
          <w:lang w:eastAsia="zh-CN"/>
        </w:rPr>
        <w:t>nyszfcgzx@126.com</w:t>
      </w:r>
      <w:r>
        <w:rPr>
          <w:rFonts w:hint="eastAsia" w:asciiTheme="minorEastAsia" w:hAnsiTheme="minorEastAsia" w:eastAsiaTheme="minorEastAsia" w:cstheme="minorEastAsia"/>
          <w:spacing w:val="-15"/>
          <w:sz w:val="24"/>
          <w:szCs w:val="24"/>
          <w:u w:val="none"/>
          <w:lang w:val="en-US" w:eastAsia="zh-CN"/>
        </w:rPr>
        <w:t xml:space="preserve">  </w:t>
      </w:r>
    </w:p>
    <w:p>
      <w:pPr>
        <w:pStyle w:val="3"/>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default" w:asciiTheme="minorEastAsia" w:hAnsiTheme="minorEastAsia" w:eastAsiaTheme="minorEastAsia" w:cstheme="minorEastAsia"/>
          <w:spacing w:val="-13"/>
          <w:sz w:val="24"/>
          <w:szCs w:val="24"/>
          <w:u w:val="none"/>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13  </w:t>
      </w:r>
      <w:r>
        <w:rPr>
          <w:rFonts w:hint="eastAsia" w:asciiTheme="minorEastAsia" w:hAnsiTheme="minorEastAsia" w:eastAsiaTheme="minorEastAsia" w:cstheme="minorEastAsia"/>
          <w:spacing w:val="-13"/>
          <w:sz w:val="24"/>
          <w:szCs w:val="24"/>
        </w:rPr>
        <w:t>日</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14"/>
        <w:rPr>
          <w:rFonts w:hint="eastAsia"/>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338"/>
        <w:gridCol w:w="782"/>
        <w:gridCol w:w="792"/>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1338" w:type="dxa"/>
            <w:tcBorders>
              <w:top w:val="single" w:color="auto" w:sz="4" w:space="0"/>
            </w:tcBorders>
            <w:vAlign w:val="center"/>
          </w:tcPr>
          <w:p>
            <w:pPr>
              <w:widowControl w:val="0"/>
              <w:tabs>
                <w:tab w:val="center" w:pos="561"/>
              </w:tabs>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ab/>
            </w:r>
            <w:r>
              <w:rPr>
                <w:rFonts w:hint="eastAsia" w:ascii="宋体" w:hAnsi="宋体" w:eastAsia="宋体" w:cs="宋体"/>
                <w:color w:val="auto"/>
                <w:sz w:val="24"/>
                <w:szCs w:val="24"/>
                <w:highlight w:val="none"/>
                <w:vertAlign w:val="baseline"/>
                <w:lang w:val="en-US" w:eastAsia="zh-CN"/>
              </w:rPr>
              <w:t>1</w:t>
            </w:r>
          </w:p>
        </w:tc>
        <w:tc>
          <w:tcPr>
            <w:tcW w:w="1338" w:type="dxa"/>
            <w:tcBorders>
              <w:top w:val="single" w:color="auto" w:sz="4" w:space="0"/>
            </w:tcBorders>
            <w:vAlign w:val="center"/>
          </w:tcPr>
          <w:p>
            <w:pPr>
              <w:widowControl w:val="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皮卡巡逻车</w:t>
            </w:r>
          </w:p>
        </w:tc>
        <w:tc>
          <w:tcPr>
            <w:tcW w:w="782" w:type="dxa"/>
            <w:tcBorders>
              <w:top w:val="single" w:color="auto" w:sz="4" w:space="0"/>
            </w:tcBorders>
            <w:vAlign w:val="center"/>
          </w:tcPr>
          <w:p>
            <w:pPr>
              <w:widowControl w:val="0"/>
              <w:ind w:firstLine="309" w:firstLineChars="0"/>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92" w:type="dxa"/>
            <w:tcBorders>
              <w:top w:val="single" w:color="auto" w:sz="4" w:space="0"/>
            </w:tcBorders>
            <w:vAlign w:val="center"/>
          </w:tcPr>
          <w:p>
            <w:pPr>
              <w:widowControl w:val="0"/>
              <w:ind w:firstLine="262" w:firstLineChars="0"/>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辆</w:t>
            </w:r>
          </w:p>
        </w:tc>
        <w:tc>
          <w:tcPr>
            <w:tcW w:w="5250" w:type="dxa"/>
            <w:tcBorders>
              <w:top w:val="single" w:color="auto" w:sz="4" w:space="0"/>
            </w:tcBorders>
            <w:vAlign w:val="top"/>
          </w:tcPr>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p>
            <w:pPr>
              <w:widowControl w:val="0"/>
              <w:numPr>
                <w:ilvl w:val="0"/>
                <w:numId w:val="1"/>
              </w:numPr>
              <w:jc w:val="both"/>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aps w:val="0"/>
                <w:color w:val="auto"/>
                <w:spacing w:val="0"/>
                <w:sz w:val="24"/>
                <w:szCs w:val="24"/>
                <w:highlight w:val="none"/>
                <w:lang w:val="en-US" w:eastAsia="zh-CN"/>
              </w:rPr>
              <w:t>外形尺寸（mm)</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vertAlign w:val="baseline"/>
                <w:lang w:val="en-US" w:eastAsia="zh-CN"/>
              </w:rPr>
              <w:t>5200×1800×1700</w:t>
            </w:r>
          </w:p>
          <w:p>
            <w:pPr>
              <w:widowControl w:val="0"/>
              <w:numPr>
                <w:ilvl w:val="0"/>
                <w:numId w:val="1"/>
              </w:numPr>
              <w:jc w:val="both"/>
              <w:rPr>
                <w:rFonts w:hint="eastAsia" w:ascii="宋体" w:hAnsi="宋体" w:eastAsia="宋体" w:cs="宋体"/>
                <w:b w:val="0"/>
                <w:bCs w:val="0"/>
                <w:color w:val="auto"/>
                <w:sz w:val="24"/>
                <w:szCs w:val="24"/>
                <w:highlight w:val="none"/>
                <w:vertAlign w:val="baseline"/>
                <w:lang w:val="en-US" w:eastAsia="zh-CN"/>
              </w:rPr>
            </w:pPr>
            <w:r>
              <w:rPr>
                <w:rStyle w:val="13"/>
                <w:rFonts w:hint="eastAsia" w:ascii="宋体" w:hAnsi="宋体" w:eastAsia="宋体" w:cs="宋体"/>
                <w:b w:val="0"/>
                <w:bCs/>
                <w:i w:val="0"/>
                <w:caps w:val="0"/>
                <w:color w:val="auto"/>
                <w:spacing w:val="0"/>
                <w:sz w:val="24"/>
                <w:szCs w:val="24"/>
                <w:highlight w:val="none"/>
              </w:rPr>
              <w:t>座椅布局</w:t>
            </w:r>
            <w:r>
              <w:rPr>
                <w:rStyle w:val="13"/>
                <w:rFonts w:hint="eastAsia" w:ascii="宋体" w:hAnsi="宋体" w:eastAsia="宋体" w:cs="宋体"/>
                <w:b w:val="0"/>
                <w:bCs/>
                <w:i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vertAlign w:val="baseline"/>
                <w:lang w:val="en-US" w:eastAsia="zh-CN"/>
              </w:rPr>
              <w:t>2+3</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油箱容积（L）</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70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防抱死系统：标配</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前悬（mm)：≤900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后悬（mm)：≥1200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轮毂</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vertAlign w:val="baseline"/>
                <w:lang w:val="en-US" w:eastAsia="zh-CN"/>
              </w:rPr>
              <w:t>255/70R16铝轮毂</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发动机排量（L）：2.0-3.0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发动机净功率（KW)：125-135</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燃油类型：汽油</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准托挂车总质量（kg)：≥2000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整备质量（kg)：≤1800</w:t>
            </w:r>
          </w:p>
          <w:p>
            <w:pPr>
              <w:widowControl w:val="0"/>
              <w:numPr>
                <w:ilvl w:val="0"/>
                <w:numId w:val="1"/>
              </w:numPr>
              <w:ind w:left="0" w:leftChars="0" w:firstLine="0" w:firstLineChars="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驱动和变速配置：手动两驱</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改装要求：</w:t>
            </w:r>
          </w:p>
          <w:p>
            <w:pPr>
              <w:widowControl w:val="0"/>
              <w:numPr>
                <w:ilvl w:val="0"/>
                <w:numId w:val="2"/>
              </w:numPr>
              <w:ind w:leftChars="0"/>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车身外观：04制式外观</w:t>
            </w:r>
          </w:p>
          <w:p>
            <w:pPr>
              <w:widowControl w:val="0"/>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kern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2、长条警灯：1.2M 100W警报器，</w:t>
            </w:r>
            <w:r>
              <w:rPr>
                <w:rFonts w:hint="eastAsia" w:ascii="宋体" w:hAnsi="宋体" w:eastAsia="宋体" w:cs="宋体"/>
                <w:b w:val="0"/>
                <w:bCs/>
                <w:i w:val="0"/>
                <w:caps w:val="0"/>
                <w:color w:val="auto"/>
                <w:spacing w:val="0"/>
                <w:w w:val="100"/>
                <w:kern w:val="0"/>
                <w:sz w:val="24"/>
                <w:szCs w:val="24"/>
                <w:highlight w:val="none"/>
                <w:lang w:val="en-US" w:eastAsia="zh-CN"/>
              </w:rPr>
              <w:t>警灯参数：光源：LED</w:t>
            </w:r>
          </w:p>
          <w:p>
            <w:pPr>
              <w:widowControl w:val="0"/>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kern w:val="0"/>
                <w:sz w:val="24"/>
                <w:szCs w:val="24"/>
                <w:highlight w:val="none"/>
                <w:lang w:val="en-US" w:eastAsia="zh-CN"/>
              </w:rPr>
            </w:pPr>
            <w:r>
              <w:rPr>
                <w:rFonts w:hint="eastAsia" w:ascii="宋体" w:hAnsi="宋体" w:eastAsia="宋体" w:cs="宋体"/>
                <w:b w:val="0"/>
                <w:bCs/>
                <w:i w:val="0"/>
                <w:caps w:val="0"/>
                <w:color w:val="auto"/>
                <w:spacing w:val="0"/>
                <w:w w:val="100"/>
                <w:kern w:val="0"/>
                <w:sz w:val="24"/>
                <w:szCs w:val="24"/>
                <w:highlight w:val="none"/>
                <w:lang w:val="en-US" w:eastAsia="zh-CN"/>
              </w:rPr>
              <w:t>光源数量：</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i w:val="0"/>
                <w:caps w:val="0"/>
                <w:color w:val="auto"/>
                <w:spacing w:val="0"/>
                <w:w w:val="100"/>
                <w:kern w:val="0"/>
                <w:sz w:val="24"/>
                <w:szCs w:val="24"/>
                <w:highlight w:val="none"/>
                <w:lang w:val="en-US" w:eastAsia="zh-CN"/>
              </w:rPr>
              <w:t>12、辅助光源数量：</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i w:val="0"/>
                <w:caps w:val="0"/>
                <w:color w:val="auto"/>
                <w:spacing w:val="0"/>
                <w:w w:val="100"/>
                <w:kern w:val="0"/>
                <w:sz w:val="24"/>
                <w:szCs w:val="24"/>
                <w:highlight w:val="none"/>
                <w:lang w:val="en-US" w:eastAsia="zh-CN"/>
              </w:rPr>
              <w:t>2只。</w:t>
            </w:r>
          </w:p>
          <w:p>
            <w:pPr>
              <w:widowControl w:val="0"/>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kern w:val="0"/>
                <w:sz w:val="24"/>
                <w:szCs w:val="24"/>
                <w:highlight w:val="none"/>
                <w:lang w:val="en-US" w:eastAsia="zh-CN"/>
              </w:rPr>
            </w:pPr>
            <w:r>
              <w:rPr>
                <w:rFonts w:hint="eastAsia" w:ascii="宋体" w:hAnsi="宋体" w:eastAsia="宋体" w:cs="宋体"/>
                <w:b w:val="0"/>
                <w:bCs/>
                <w:i w:val="0"/>
                <w:caps w:val="0"/>
                <w:color w:val="auto"/>
                <w:spacing w:val="0"/>
                <w:w w:val="100"/>
                <w:kern w:val="0"/>
                <w:sz w:val="24"/>
                <w:szCs w:val="24"/>
                <w:highlight w:val="none"/>
                <w:lang w:val="en-US" w:eastAsia="zh-CN"/>
              </w:rPr>
              <w:t>3、爆闪灯：安装进气格栅红蓝爆闪，爆闪灯参数：额定电压：10-13.5V、工作温度：-40℃-65℃、发光强调：红≥500cd、蓝≥200cd、执行标准：GB13954-2009、LED灯管使用寿命：≥20000h。</w:t>
            </w:r>
          </w:p>
          <w:p>
            <w:pPr>
              <w:widowControl w:val="0"/>
              <w:numPr>
                <w:ilvl w:val="0"/>
                <w:numId w:val="0"/>
              </w:numPr>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r>
              <w:rPr>
                <w:rFonts w:hint="eastAsia" w:ascii="宋体" w:hAnsi="宋体" w:eastAsia="宋体" w:cs="宋体"/>
                <w:b w:val="0"/>
                <w:bCs/>
                <w:i w:val="0"/>
                <w:caps w:val="0"/>
                <w:color w:val="auto"/>
                <w:spacing w:val="0"/>
                <w:w w:val="100"/>
                <w:kern w:val="0"/>
                <w:sz w:val="24"/>
                <w:szCs w:val="24"/>
                <w:highlight w:val="none"/>
                <w:lang w:val="en-US" w:eastAsia="zh-CN"/>
              </w:rPr>
              <w:t>龙门架并配备爆闪灯：采用不锈钢材质，做</w:t>
            </w:r>
            <w:r>
              <w:rPr>
                <w:rFonts w:hint="eastAsia" w:ascii="宋体" w:hAnsi="宋体" w:eastAsia="宋体" w:cs="宋体"/>
                <w:b w:val="0"/>
                <w:bCs w:val="0"/>
                <w:color w:val="auto"/>
                <w:sz w:val="24"/>
                <w:szCs w:val="24"/>
                <w:highlight w:val="none"/>
                <w:vertAlign w:val="baseline"/>
                <w:lang w:val="en-US" w:eastAsia="zh-CN"/>
              </w:rPr>
              <w:t>嵌入式框架用于安装爆闪灯。车厢两侧及后部三红三蓝长条爆闪灯。</w:t>
            </w:r>
            <w:r>
              <w:rPr>
                <w:rFonts w:hint="eastAsia" w:ascii="宋体" w:hAnsi="宋体" w:eastAsia="宋体" w:cs="宋体"/>
                <w:b w:val="0"/>
                <w:bCs/>
                <w:i w:val="0"/>
                <w:caps w:val="0"/>
                <w:color w:val="auto"/>
                <w:spacing w:val="0"/>
                <w:w w:val="100"/>
                <w:kern w:val="0"/>
                <w:sz w:val="24"/>
                <w:szCs w:val="24"/>
                <w:highlight w:val="none"/>
                <w:lang w:val="en-US" w:eastAsia="zh-CN"/>
              </w:rPr>
              <w:t>爆闪参数：封装3W、12种模式、光源颜色：红、蓝、工作电压：10-30V、防护等级：IP67、尺寸（mm）：≥130*25*9、制造标准：GB13954。</w:t>
            </w:r>
          </w:p>
          <w:p>
            <w:pPr>
              <w:widowControl w:val="0"/>
              <w:numPr>
                <w:ilvl w:val="0"/>
                <w:numId w:val="0"/>
              </w:numPr>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5、伸缩盖：后斗安装，</w:t>
            </w:r>
            <w:r>
              <w:rPr>
                <w:rFonts w:hint="eastAsia" w:ascii="宋体" w:hAnsi="宋体" w:eastAsia="宋体" w:cs="宋体"/>
                <w:b w:val="0"/>
                <w:bCs/>
                <w:i w:val="0"/>
                <w:caps w:val="0"/>
                <w:color w:val="auto"/>
                <w:spacing w:val="0"/>
                <w:w w:val="100"/>
                <w:kern w:val="0"/>
                <w:sz w:val="24"/>
                <w:szCs w:val="24"/>
                <w:highlight w:val="none"/>
                <w:lang w:val="en-US" w:eastAsia="zh-CN"/>
              </w:rPr>
              <w:t>采用铝合金材质，可以自由伸缩，配备防盗锁。</w:t>
            </w:r>
          </w:p>
          <w:p>
            <w:pPr>
              <w:widowControl w:val="0"/>
              <w:numPr>
                <w:ilvl w:val="0"/>
                <w:numId w:val="0"/>
              </w:numPr>
              <w:jc w:val="left"/>
              <w:rPr>
                <w:rFonts w:hint="eastAsia" w:ascii="宋体" w:hAnsi="宋体" w:eastAsia="宋体" w:cs="宋体"/>
                <w:b w:val="0"/>
                <w:i w:val="0"/>
                <w:caps w:val="0"/>
                <w:color w:val="auto"/>
                <w:spacing w:val="0"/>
                <w:w w:val="100"/>
                <w:kern w:val="0"/>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6、牵引系统：</w:t>
            </w:r>
            <w:r>
              <w:rPr>
                <w:rFonts w:hint="eastAsia" w:ascii="宋体" w:hAnsi="宋体" w:eastAsia="宋体" w:cs="宋体"/>
                <w:b w:val="0"/>
                <w:bCs/>
                <w:i w:val="0"/>
                <w:caps w:val="0"/>
                <w:color w:val="auto"/>
                <w:spacing w:val="0"/>
                <w:w w:val="100"/>
                <w:kern w:val="0"/>
                <w:sz w:val="24"/>
                <w:szCs w:val="24"/>
                <w:highlight w:val="none"/>
                <w:lang w:val="en-US" w:eastAsia="zh-CN"/>
              </w:rPr>
              <w:t>定制标准件，带流氓钩。</w:t>
            </w:r>
          </w:p>
          <w:p>
            <w:pPr>
              <w:widowControl w:val="0"/>
              <w:numPr>
                <w:ilvl w:val="0"/>
                <w:numId w:val="0"/>
              </w:numPr>
              <w:jc w:val="both"/>
              <w:rPr>
                <w:rFonts w:hint="default"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jc w:val="center"/>
        </w:trPr>
        <w:tc>
          <w:tcPr>
            <w:tcW w:w="1338" w:type="dxa"/>
            <w:vAlign w:val="center"/>
          </w:tcPr>
          <w:p>
            <w:pPr>
              <w:widowControl w:val="0"/>
              <w:ind w:firstLine="589" w:firstLineChars="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38" w:type="dxa"/>
            <w:vAlign w:val="center"/>
          </w:tcPr>
          <w:p>
            <w:pPr>
              <w:widowControl w:val="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警犬运输车</w:t>
            </w:r>
          </w:p>
        </w:tc>
        <w:tc>
          <w:tcPr>
            <w:tcW w:w="782" w:type="dxa"/>
            <w:vAlign w:val="center"/>
          </w:tcPr>
          <w:p>
            <w:pPr>
              <w:widowControl w:val="0"/>
              <w:ind w:firstLine="298" w:firstLineChars="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92" w:type="dxa"/>
            <w:vAlign w:val="center"/>
          </w:tcPr>
          <w:p>
            <w:pPr>
              <w:widowControl w:val="0"/>
              <w:ind w:firstLine="240" w:firstLineChars="10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辆</w:t>
            </w:r>
          </w:p>
        </w:tc>
        <w:tc>
          <w:tcPr>
            <w:tcW w:w="5250" w:type="dxa"/>
            <w:vAlign w:val="top"/>
          </w:tcPr>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1、外形尺寸（mm)：≥5600×1800×1800</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2、货箱尺寸（mm）：≥1700×1500×500</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3、轴距（mm）：≥3400</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4、变速箱：2.0TGI发动机+8挡自动</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5、悬挂系统：前双叉臂式独立悬架/后钢板弹簧非独立悬架</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6、驱动方式：前置四驱/</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7、最大功率（KW）：≥140</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8、最大马力（ps）：≥190</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9、助力类型：液压助力</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10、车体结构：非承载式</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11、轮毂：≥</w:t>
            </w:r>
            <w:r>
              <w:rPr>
                <w:rFonts w:hint="eastAsia" w:ascii="宋体" w:hAnsi="宋体" w:eastAsia="宋体" w:cs="宋体"/>
                <w:i w:val="0"/>
                <w:caps w:val="0"/>
                <w:color w:val="auto"/>
                <w:spacing w:val="0"/>
                <w:sz w:val="24"/>
                <w:szCs w:val="24"/>
                <w:highlight w:val="none"/>
              </w:rPr>
              <w:t>245/70</w:t>
            </w: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color w:val="auto"/>
                <w:sz w:val="24"/>
                <w:szCs w:val="24"/>
                <w:highlight w:val="none"/>
                <w:vertAlign w:val="baseline"/>
                <w:lang w:val="en-US" w:eastAsia="zh-CN"/>
              </w:rPr>
              <w:t>R17</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改装要求：</w:t>
            </w:r>
          </w:p>
          <w:p>
            <w:pPr>
              <w:widowControl w:val="0"/>
              <w:numPr>
                <w:ilvl w:val="0"/>
                <w:numId w:val="3"/>
              </w:num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车身局部改制  预埋加强、加固、开孔</w:t>
            </w:r>
          </w:p>
          <w:p>
            <w:pPr>
              <w:widowControl w:val="0"/>
              <w:numPr>
                <w:ilvl w:val="0"/>
                <w:numId w:val="3"/>
              </w:num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舱盖：铝型材整体后厢体，更加轻量化，左右后均设有手动换气百叶窗结构，使用方便。</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3、犬笼：车厢宽160公分，犬笼四个，每个宽80公分x70高，可调节为一个100公分x70公分，另一个40公分x70公分，装两头大型犬，两头小型犬。铝合金上掀门，左右两侧开门，2个独立仓，可用活动隔板隔开。</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4、辅助系统</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地板及侧围挡改制：犬笼区铺设防滑面板，地板整体无焊点，侧围挡改制为储物箱，可存放物品。</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不锈钢地漏：不锈钢地漏，可排出舱内污水。</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吸底式水箱：不锈钢净水箱，配套增压喷水枪、水管、220V 压力泵。</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U型警灯套装：铝合金整体外壳，LED多种颜色爆闪灯，亮度强。</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中网爆闪灯：铝型压制外壳散热速快，防水密封性好，防进水防雾气。</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车载空调：独立车载顶部空调，车辆启动支持供电、静音无噪。</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5、电气系统</w:t>
            </w:r>
            <w:r>
              <w:rPr>
                <w:rFonts w:hint="eastAsia" w:ascii="宋体" w:hAnsi="宋体" w:eastAsia="宋体" w:cs="宋体"/>
                <w:color w:val="auto"/>
                <w:sz w:val="24"/>
                <w:szCs w:val="24"/>
                <w:highlight w:val="none"/>
                <w:vertAlign w:val="baseline"/>
                <w:lang w:val="en-US" w:eastAsia="zh-CN"/>
              </w:rPr>
              <w:tab/>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气系统线路改装要求：整车独立电路设计，设置上装专用保险丝盒（设置永久性标签用于标志各保险用途），所有线路均采用国标4平方铜芯线，使用套管保护，并采用不同颜色及线号区分线路连接形式、作用,电线标称电流大于电线实际通电电流125%，并采用防水端子连接，电路灯具均受继电器电流/电压过载保护。后器材箱附加电器箱线路中，均采用线槽予以保护，并设有防震设施，确保车身安全。</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警灯警报器要求：（1）、驾驶室顶部配备长排警灯(长度1.2m,功率100W)，警报器位于驾驶室底盘仪表板空余处，附有扩音系统(功率100瓦)，在驾驶室可控制扩音器.（2）、车身两侧上方安装红蓝色频闪灯（间距0.5m），并配备安装45°侧照明灯（功率：12V  20W）。下方按照安全标志灯及标志贴，并符合GB4758的规定要求。（3）、车顶后部设置外部照明灯2只（12V、50W），可以360度回转，上下旋转120度，开关为无线遥控开关，用于夜间救援作业辅助照明。</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6、外饰涂装</w:t>
            </w:r>
          </w:p>
          <w:p>
            <w:pPr>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外观喷涂：标准特警制式喷涂或公安制式喷涂，含徽标，喷字</w:t>
            </w:r>
          </w:p>
          <w:p>
            <w:pPr>
              <w:widowControl w:val="0"/>
              <w:jc w:val="both"/>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1" w:hRule="atLeast"/>
          <w:jc w:val="center"/>
        </w:trPr>
        <w:tc>
          <w:tcPr>
            <w:tcW w:w="1338" w:type="dxa"/>
            <w:vAlign w:val="center"/>
          </w:tcPr>
          <w:p>
            <w:pPr>
              <w:widowControl w:val="0"/>
              <w:jc w:val="center"/>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338" w:type="dxa"/>
            <w:vAlign w:val="center"/>
          </w:tcPr>
          <w:p>
            <w:pPr>
              <w:widowControl w:val="0"/>
              <w:ind w:left="420" w:hanging="480" w:hangingChars="20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MPV特种巡逻车</w:t>
            </w:r>
          </w:p>
        </w:tc>
        <w:tc>
          <w:tcPr>
            <w:tcW w:w="782" w:type="dxa"/>
            <w:vAlign w:val="center"/>
          </w:tcPr>
          <w:p>
            <w:pPr>
              <w:widowControl w:val="0"/>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92" w:type="dxa"/>
            <w:vAlign w:val="center"/>
          </w:tcPr>
          <w:p>
            <w:pPr>
              <w:widowControl w:val="0"/>
              <w:ind w:firstLine="240" w:firstLineChars="100"/>
              <w:jc w:val="both"/>
              <w:rPr>
                <w:rFonts w:hint="default"/>
                <w:color w:val="auto"/>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辆</w:t>
            </w:r>
          </w:p>
        </w:tc>
        <w:tc>
          <w:tcPr>
            <w:tcW w:w="5250" w:type="dxa"/>
            <w:vAlign w:val="top"/>
          </w:tcPr>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技术参数：</w:t>
            </w:r>
          </w:p>
          <w:p>
            <w:pPr>
              <w:widowControl w:val="0"/>
              <w:numPr>
                <w:ilvl w:val="0"/>
                <w:numId w:val="4"/>
              </w:numPr>
              <w:jc w:val="both"/>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外形尺寸（mm)</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5100×1800×1800</w:t>
            </w:r>
          </w:p>
          <w:p>
            <w:pPr>
              <w:widowControl w:val="0"/>
              <w:numPr>
                <w:ilvl w:val="0"/>
                <w:numId w:val="0"/>
              </w:numPr>
              <w:ind w:leftChars="0"/>
              <w:jc w:val="left"/>
              <w:rPr>
                <w:rFonts w:hint="eastAsia" w:ascii="宋体" w:hAnsi="宋体" w:eastAsia="宋体" w:cs="宋体"/>
                <w:i w:val="0"/>
                <w:caps w:val="0"/>
                <w:color w:val="000000" w:themeColor="text1"/>
                <w:spacing w:val="0"/>
                <w:sz w:val="24"/>
                <w:szCs w:val="24"/>
                <w:highlight w:val="none"/>
                <w14:textFill>
                  <w14:solidFill>
                    <w14:schemeClr w14:val="tx1"/>
                  </w14:solidFill>
                </w14:textFill>
              </w:rPr>
            </w:pPr>
            <w:r>
              <w:rPr>
                <w:rStyle w:val="13"/>
                <w:rFonts w:hint="eastAsia" w:ascii="宋体" w:hAnsi="宋体" w:eastAsia="宋体" w:cs="宋体"/>
                <w:b w:val="0"/>
                <w:bCs/>
                <w:i w:val="0"/>
                <w:caps w:val="0"/>
                <w:color w:val="000000" w:themeColor="text1"/>
                <w:spacing w:val="0"/>
                <w:sz w:val="24"/>
                <w:szCs w:val="24"/>
                <w:highlight w:val="none"/>
                <w:lang w:val="en-US" w:eastAsia="zh-CN"/>
                <w14:textFill>
                  <w14:solidFill>
                    <w14:schemeClr w14:val="tx1"/>
                  </w14:solidFill>
                </w14:textFill>
              </w:rPr>
              <w:t>2、</w:t>
            </w:r>
            <w:r>
              <w:rPr>
                <w:rStyle w:val="13"/>
                <w:rFonts w:hint="eastAsia" w:ascii="宋体" w:hAnsi="宋体" w:eastAsia="宋体" w:cs="宋体"/>
                <w:b w:val="0"/>
                <w:bCs/>
                <w:i w:val="0"/>
                <w:caps w:val="0"/>
                <w:color w:val="000000" w:themeColor="text1"/>
                <w:spacing w:val="0"/>
                <w:sz w:val="24"/>
                <w:szCs w:val="24"/>
                <w:highlight w:val="none"/>
                <w14:textFill>
                  <w14:solidFill>
                    <w14:schemeClr w14:val="tx1"/>
                  </w14:solidFill>
                </w14:textFill>
              </w:rPr>
              <w:t>座椅布局</w:t>
            </w:r>
            <w:r>
              <w:rPr>
                <w:rStyle w:val="13"/>
                <w:rFonts w:hint="eastAsia" w:ascii="宋体" w:hAnsi="宋体" w:eastAsia="宋体" w:cs="宋体"/>
                <w:b w:val="0"/>
                <w:bCs/>
                <w:i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2+2+3</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七座</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3、防抱死系统：标配</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4、发动机净功率（KW)：≥180</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5、发动机排量（mL）：1900-2100</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6、燃油类型：汽油</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7、轴距（mm)：≤3000</w:t>
            </w:r>
          </w:p>
          <w:p>
            <w:pPr>
              <w:widowControl w:val="0"/>
              <w:numPr>
                <w:ilvl w:val="0"/>
                <w:numId w:val="0"/>
              </w:numPr>
              <w:ind w:leftChars="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8、</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轮毂</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255/60R17铝轮毂</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改装要求：</w:t>
            </w:r>
          </w:p>
          <w:p>
            <w:pPr>
              <w:widowControl w:val="0"/>
              <w:numPr>
                <w:ilvl w:val="0"/>
                <w:numId w:val="0"/>
              </w:numPr>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1、车身外观：04制式外观</w:t>
            </w:r>
          </w:p>
          <w:p>
            <w:pPr>
              <w:widowControl w:val="0"/>
              <w:snapToGrid/>
              <w:spacing w:before="0" w:beforeAutospacing="0" w:after="0" w:afterAutospacing="0" w:line="240" w:lineRule="auto"/>
              <w:jc w:val="both"/>
              <w:textAlignment w:val="baseline"/>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2、长条警灯：1.2M 100W 警报器 警灯参数：光源：LED光源数量：12辅助光源数量：2只。</w:t>
            </w:r>
          </w:p>
          <w:p>
            <w:pPr>
              <w:widowControl w:val="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3、后装备架：</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采用激光切割工艺裁剪材料，焊接后电泳处理，然后喷黑漆，用于存放单警装备部。</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4、贴膜：</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可见光透率≤16%、总太阳阻隔率≥53%</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紫外线阻隔率≥99%、可见光反射率≤10%、厚度≥2mil。</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5、行车记录仪：带前后摄像头，</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LCD屏分辨率720P</w:t>
            </w:r>
          </w:p>
          <w:p>
            <w:pPr>
              <w:widowControl w:val="0"/>
              <w:jc w:val="left"/>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前后摄像头分辨率1080P、前置摄像头最大角度≥100°（H)，54°（V)、显示屏尺寸≥9寸</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 xml:space="preserve">6、前爆闪灯:进气格栅红蓝爆闪 </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前爆闪灯：额定电压10-13.5V、工作温度：-40</w:t>
            </w:r>
            <w:r>
              <w:rPr>
                <w:rFonts w:hint="eastAsia" w:ascii="宋体" w:hAnsi="宋体" w:eastAsia="宋体" w:cs="宋体"/>
                <w:b w:val="0"/>
                <w:bCs/>
                <w:i w:val="0"/>
                <w:caps w:val="0"/>
                <w:color w:val="000000" w:themeColor="text1"/>
                <w:spacing w:val="0"/>
                <w:w w:val="100"/>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-65</w:t>
            </w:r>
            <w:r>
              <w:rPr>
                <w:rFonts w:hint="eastAsia" w:ascii="宋体" w:hAnsi="宋体" w:eastAsia="宋体" w:cs="宋体"/>
                <w:b w:val="0"/>
                <w:bCs/>
                <w:i w:val="0"/>
                <w:caps w:val="0"/>
                <w:color w:val="000000" w:themeColor="text1"/>
                <w:spacing w:val="0"/>
                <w:w w:val="100"/>
                <w:kern w:val="0"/>
                <w:sz w:val="24"/>
                <w:szCs w:val="24"/>
                <w:highlight w:val="none"/>
                <w:lang w:val="en-US" w:eastAsia="zh-CN"/>
                <w14:textFill>
                  <w14:solidFill>
                    <w14:schemeClr w14:val="tx1"/>
                  </w14:solidFill>
                </w14:textFill>
              </w:rPr>
              <w:t>℃</w:t>
            </w:r>
          </w:p>
          <w:p>
            <w:pPr>
              <w:widowControl w:val="0"/>
              <w:jc w:val="left"/>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发光强调：红≥500cd、蓝：≥200cd、执行标准GB13954-2009、LED灯管使用寿命≥20000h、</w:t>
            </w:r>
          </w:p>
          <w:p>
            <w:pPr>
              <w:widowControl w:val="0"/>
              <w:numPr>
                <w:ilvl w:val="0"/>
                <w:numId w:val="0"/>
              </w:numPr>
              <w:jc w:val="left"/>
              <w:rPr>
                <w:rFonts w:hint="default" w:ascii="仿宋_GB2312" w:hAnsi="仿宋_GB2312" w:eastAsia="仿宋_GB2312" w:cs="仿宋_GB2312"/>
                <w:b w:val="0"/>
                <w:bCs w:val="0"/>
                <w:color w:val="auto"/>
                <w:sz w:val="21"/>
                <w:szCs w:val="21"/>
                <w:highlight w:val="none"/>
                <w:vertAlign w:val="baseline"/>
                <w:lang w:val="en-US" w:eastAsia="zh-CN"/>
              </w:rPr>
            </w:pPr>
          </w:p>
          <w:p>
            <w:pPr>
              <w:widowControl w:val="0"/>
              <w:numPr>
                <w:ilvl w:val="0"/>
                <w:numId w:val="0"/>
              </w:numPr>
              <w:ind w:leftChars="0"/>
              <w:jc w:val="left"/>
              <w:rPr>
                <w:rFonts w:hint="default" w:ascii="仿宋_GB2312" w:hAnsi="仿宋_GB2312" w:eastAsia="仿宋_GB2312" w:cs="仿宋_GB2312"/>
                <w:b w:val="0"/>
                <w:bCs w:val="0"/>
                <w:color w:val="auto"/>
                <w:sz w:val="21"/>
                <w:szCs w:val="21"/>
                <w:highlight w:val="none"/>
                <w:vertAlign w:val="baseline"/>
                <w:lang w:val="en-US" w:eastAsia="zh-CN"/>
              </w:rPr>
            </w:pPr>
          </w:p>
          <w:p>
            <w:pPr>
              <w:widowControl w:val="0"/>
              <w:numPr>
                <w:ilvl w:val="0"/>
                <w:numId w:val="0"/>
              </w:numPr>
              <w:ind w:leftChars="0"/>
              <w:jc w:val="left"/>
              <w:rPr>
                <w:rFonts w:hint="default" w:ascii="仿宋_GB2312" w:hAnsi="仿宋_GB2312" w:eastAsia="仿宋_GB2312" w:cs="仿宋_GB2312"/>
                <w:b w:val="0"/>
                <w:bCs w:val="0"/>
                <w:color w:val="auto"/>
                <w:sz w:val="21"/>
                <w:szCs w:val="21"/>
                <w:highlight w:val="none"/>
                <w:vertAlign w:val="baseline"/>
                <w:lang w:val="en-US" w:eastAsia="zh-CN"/>
              </w:rPr>
            </w:pPr>
          </w:p>
        </w:tc>
      </w:tr>
    </w:tbl>
    <w:p>
      <w:pPr>
        <w:jc w:val="both"/>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交货</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合同签订后30日历天内供车完毕。</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2.付款方式</w:t>
      </w:r>
      <w:r>
        <w:rPr>
          <w:rFonts w:hint="eastAsia" w:asciiTheme="minorEastAsia" w:hAnsiTheme="minorEastAsia" w:eastAsiaTheme="minorEastAsia" w:cstheme="minorEastAsia"/>
          <w:b w:val="0"/>
          <w:bCs w:val="0"/>
          <w:color w:val="000000" w:themeColor="text1"/>
          <w:spacing w:val="-2"/>
          <w:sz w:val="24"/>
          <w:szCs w:val="24"/>
          <w:lang w:val="en-US" w:eastAsia="zh-CN"/>
          <w14:textFill>
            <w14:solidFill>
              <w14:schemeClr w14:val="tx1"/>
            </w14:solidFill>
          </w14:textFill>
        </w:rPr>
        <w:t>验收完成，结算审计完成后一次性付款。</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.售后服务</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整车质保3年或10万公里。</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供货完成后，由采购人组成验收小组对该项目进行验收，验收小组验收合格后签署验收报告，验收报告作为付款的凭据之一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其他要求</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    特种专业技术用车改装厂在工信部目录中，生产的特种专业技术用车确保能够登记入户。</w:t>
      </w:r>
    </w:p>
    <w:p>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bookmarkStart w:id="1" w:name="_GoBack"/>
      <w:bookmarkEnd w:id="1"/>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pPr>
        <w:pStyle w:val="3"/>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pPr>
        <w:pStyle w:val="15"/>
        <w:keepNext w:val="0"/>
        <w:keepLines w:val="0"/>
        <w:pageBreakBefore w:val="0"/>
        <w:kinsoku/>
        <w:wordWrap w:val="0"/>
        <w:overflowPunct/>
        <w:topLinePunct w:val="0"/>
        <w:bidi w:val="0"/>
        <w:jc w:val="both"/>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1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1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1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16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1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1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1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129.6616</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b w:val="0"/>
                <w:bCs/>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21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21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1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17"/>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pPr>
        <w:keepNext w:val="0"/>
        <w:keepLines w:val="0"/>
        <w:pageBreakBefore w:val="0"/>
        <w:kinsoku/>
        <w:wordWrap w:val="0"/>
        <w:overflowPunct/>
        <w:topLinePunct w:val="0"/>
        <w:bidi w:val="0"/>
        <w:spacing w:line="371" w:lineRule="auto"/>
        <w:jc w:val="both"/>
        <w:rPr>
          <w:rFonts w:ascii="Arial"/>
          <w:sz w:val="21"/>
        </w:rPr>
      </w:pPr>
    </w:p>
    <w:p>
      <w:pPr>
        <w:keepNext w:val="0"/>
        <w:keepLines w:val="0"/>
        <w:pageBreakBefore w:val="0"/>
        <w:kinsoku/>
        <w:wordWrap w:val="0"/>
        <w:overflowPunct/>
        <w:topLinePunct w:val="0"/>
        <w:bidi w:val="0"/>
        <w:spacing w:line="243" w:lineRule="auto"/>
        <w:jc w:val="both"/>
        <w:rPr>
          <w:rFonts w:ascii="Arial"/>
          <w:sz w:val="21"/>
        </w:rPr>
      </w:pPr>
    </w:p>
    <w:p>
      <w:pPr>
        <w:keepNext w:val="0"/>
        <w:keepLines w:val="0"/>
        <w:pageBreakBefore w:val="0"/>
        <w:kinsoku/>
        <w:wordWrap w:val="0"/>
        <w:overflowPunct/>
        <w:topLinePunct w:val="0"/>
        <w:bidi w:val="0"/>
        <w:spacing w:line="244" w:lineRule="auto"/>
        <w:jc w:val="both"/>
        <w:rPr>
          <w:rFonts w:ascii="Arial"/>
          <w:sz w:val="21"/>
        </w:rPr>
      </w:pPr>
    </w:p>
    <w:p>
      <w:pPr>
        <w:pStyle w:val="3"/>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3"/>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129.6616</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ascii="Arial"/>
          <w:sz w:val="21"/>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特种车辆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pStyle w:val="3"/>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pPr>
        <w:pStyle w:val="3"/>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竞争性谈判文件要求盖章的内容，一般通过CA加盖电子签章。</w:t>
      </w:r>
    </w:p>
    <w:p>
      <w:pPr>
        <w:pStyle w:val="3"/>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pPr>
        <w:pStyle w:val="3"/>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line="256" w:lineRule="auto"/>
        <w:jc w:val="both"/>
        <w:rPr>
          <w:rFonts w:ascii="Arial"/>
          <w:sz w:val="21"/>
        </w:rPr>
      </w:pPr>
    </w:p>
    <w:p>
      <w:pPr>
        <w:keepNext w:val="0"/>
        <w:keepLines w:val="0"/>
        <w:pageBreakBefore w:val="0"/>
        <w:kinsoku/>
        <w:wordWrap w:val="0"/>
        <w:overflowPunct/>
        <w:topLinePunct w:val="0"/>
        <w:bidi w:val="0"/>
        <w:spacing w:line="256" w:lineRule="auto"/>
        <w:jc w:val="both"/>
        <w:rPr>
          <w:rFonts w:ascii="Arial"/>
          <w:sz w:val="21"/>
        </w:rPr>
      </w:pPr>
    </w:p>
    <w:p>
      <w:pPr>
        <w:pStyle w:val="3"/>
        <w:keepNext w:val="0"/>
        <w:keepLines w:val="0"/>
        <w:pageBreakBefore w:val="0"/>
        <w:kinsoku/>
        <w:wordWrap w:val="0"/>
        <w:overflowPunct/>
        <w:topLinePunct w:val="0"/>
        <w:bidi w:val="0"/>
        <w:spacing w:before="1" w:line="218" w:lineRule="auto"/>
        <w:jc w:val="both"/>
        <w:rPr>
          <w:sz w:val="24"/>
          <w:szCs w:val="24"/>
        </w:rPr>
      </w:pPr>
    </w:p>
    <w:p>
      <w:pPr>
        <w:keepNext w:val="0"/>
        <w:keepLines w:val="0"/>
        <w:pageBreakBefore w:val="0"/>
        <w:kinsoku/>
        <w:wordWrap w:val="0"/>
        <w:overflowPunct/>
        <w:topLinePunct w:val="0"/>
        <w:bidi w:val="0"/>
        <w:spacing w:line="218"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pPr>
        <w:pStyle w:val="3"/>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pPr>
        <w:pStyle w:val="3"/>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pStyle w:val="9"/>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9"/>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有效性。解密时未在开启响应文件时间后30分钟内进行解密成功的视为撤销其响应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6"/>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796"/>
        <w:gridCol w:w="2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pPr>
              <w:keepNext w:val="0"/>
              <w:keepLines w:val="0"/>
              <w:pageBreakBefore w:val="0"/>
              <w:kinsoku/>
              <w:wordWrap w:val="0"/>
              <w:overflowPunct/>
              <w:topLinePunct w:val="0"/>
              <w:bidi w:val="0"/>
              <w:spacing w:before="119" w:line="22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96" w:type="dxa"/>
            <w:vAlign w:val="top"/>
          </w:tcPr>
          <w:p>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84" w:type="dxa"/>
            <w:vAlign w:val="top"/>
          </w:tcPr>
          <w:p>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pPr>
              <w:pStyle w:val="1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96"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84"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pPr>
              <w:pStyle w:val="1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96" w:type="dxa"/>
            <w:vAlign w:val="top"/>
          </w:tcPr>
          <w:p>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92" w:type="dxa"/>
            <w:vAlign w:val="top"/>
          </w:tcPr>
          <w:p>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96" w:type="dxa"/>
            <w:vAlign w:val="top"/>
          </w:tcPr>
          <w:p>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1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1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84" w:type="dxa"/>
            <w:vAlign w:val="top"/>
          </w:tcPr>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kinsoku/>
        <w:wordWrap w:val="0"/>
        <w:overflowPunct/>
        <w:topLinePunct w:val="0"/>
        <w:bidi w:val="0"/>
        <w:spacing w:after="0" w:line="360" w:lineRule="auto"/>
        <w:jc w:val="both"/>
        <w:rPr>
          <w:rFonts w:hint="eastAsia" w:ascii="仿宋_GB2312" w:hAnsi="仿宋_GB2312" w:eastAsia="仿宋_GB2312" w:cs="仿宋_GB2312"/>
          <w:b/>
          <w:sz w:val="28"/>
          <w:szCs w:val="28"/>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pPr>
        <w:keepNext w:val="0"/>
        <w:keepLines w:val="0"/>
        <w:pageBreakBefore w:val="0"/>
        <w:kinsoku/>
        <w:wordWrap w:val="0"/>
        <w:overflowPunct/>
        <w:topLinePunct w:val="0"/>
        <w:bidi w:val="0"/>
        <w:spacing w:line="220"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pPr>
        <w:pStyle w:val="3"/>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pPr>
        <w:keepNext w:val="0"/>
        <w:keepLines w:val="0"/>
        <w:pageBreakBefore w:val="0"/>
        <w:kinsoku/>
        <w:wordWrap w:val="0"/>
        <w:overflowPunct/>
        <w:topLinePunct w:val="0"/>
        <w:bidi w:val="0"/>
        <w:spacing w:line="219" w:lineRule="auto"/>
        <w:jc w:val="both"/>
        <w:rPr>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7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1.货物类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ind w:firstLine="900" w:firstLineChars="400"/>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w:t>
      </w:r>
      <w:r>
        <w:rPr>
          <w:rFonts w:hint="eastAsia" w:asciiTheme="minorEastAsia" w:hAnsiTheme="minorEastAsia" w:eastAsiaTheme="minorEastAsia" w:cstheme="minorEastAsia"/>
          <w:b/>
          <w:bCs/>
          <w:sz w:val="24"/>
          <w:szCs w:val="24"/>
          <w:lang w:eastAsia="zh-CN"/>
        </w:rPr>
        <w:t>(提供近半年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r>
        <w:rPr>
          <w:rFonts w:hint="eastAsia" w:asciiTheme="minorEastAsia" w:hAnsiTheme="minorEastAsia" w:eastAsiaTheme="minorEastAsia" w:cstheme="minorEastAsia"/>
          <w:b/>
          <w:bCs/>
          <w:snapToGrid w:val="0"/>
          <w:color w:val="000000"/>
          <w:spacing w:val="-3"/>
          <w:kern w:val="0"/>
          <w:sz w:val="24"/>
          <w:szCs w:val="24"/>
          <w:lang w:val="en-US" w:eastAsia="zh-CN" w:bidi="ar-SA"/>
        </w:rPr>
        <w:t>、审计或财务报告、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五、分项报价一览表、技术偏差表、商务偏差表、售后服务计划等；</w:t>
      </w: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商务偏差表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pPr>
        <w:pStyle w:val="3"/>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pPr>
        <w:pStyle w:val="3"/>
        <w:keepNext w:val="0"/>
        <w:keepLines w:val="0"/>
        <w:pageBreakBefore w:val="0"/>
        <w:kinsoku/>
        <w:wordWrap w:val="0"/>
        <w:overflowPunct/>
        <w:topLinePunct w:val="0"/>
        <w:bidi w:val="0"/>
        <w:spacing w:line="360" w:lineRule="auto"/>
        <w:ind w:firstLine="1446" w:firstLineChars="600"/>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D77DD"/>
    <w:multiLevelType w:val="singleLevel"/>
    <w:tmpl w:val="904D77DD"/>
    <w:lvl w:ilvl="0" w:tentative="0">
      <w:start w:val="1"/>
      <w:numFmt w:val="decimal"/>
      <w:suff w:val="nothing"/>
      <w:lvlText w:val="%1、"/>
      <w:lvlJc w:val="left"/>
    </w:lvl>
  </w:abstractNum>
  <w:abstractNum w:abstractNumId="1">
    <w:nsid w:val="02F79B9F"/>
    <w:multiLevelType w:val="singleLevel"/>
    <w:tmpl w:val="02F79B9F"/>
    <w:lvl w:ilvl="0" w:tentative="0">
      <w:start w:val="1"/>
      <w:numFmt w:val="decimal"/>
      <w:suff w:val="nothing"/>
      <w:lvlText w:val="%1、"/>
      <w:lvlJc w:val="left"/>
    </w:lvl>
  </w:abstractNum>
  <w:abstractNum w:abstractNumId="2">
    <w:nsid w:val="37EF3B36"/>
    <w:multiLevelType w:val="singleLevel"/>
    <w:tmpl w:val="37EF3B36"/>
    <w:lvl w:ilvl="0" w:tentative="0">
      <w:start w:val="1"/>
      <w:numFmt w:val="decimal"/>
      <w:suff w:val="nothing"/>
      <w:lvlText w:val="%1、"/>
      <w:lvlJc w:val="left"/>
    </w:lvl>
  </w:abstractNum>
  <w:abstractNum w:abstractNumId="3">
    <w:nsid w:val="51A3EAE8"/>
    <w:multiLevelType w:val="singleLevel"/>
    <w:tmpl w:val="51A3EAE8"/>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0991589"/>
    <w:rsid w:val="01080A12"/>
    <w:rsid w:val="015C3E7B"/>
    <w:rsid w:val="01BD7BE8"/>
    <w:rsid w:val="068E3768"/>
    <w:rsid w:val="06BC23B0"/>
    <w:rsid w:val="07512AFF"/>
    <w:rsid w:val="07AB20F7"/>
    <w:rsid w:val="08743EB7"/>
    <w:rsid w:val="09593447"/>
    <w:rsid w:val="09A960A9"/>
    <w:rsid w:val="0A4E3858"/>
    <w:rsid w:val="0BCA5067"/>
    <w:rsid w:val="0C272EF4"/>
    <w:rsid w:val="0CEA544B"/>
    <w:rsid w:val="0D4C0C6C"/>
    <w:rsid w:val="0DA948FA"/>
    <w:rsid w:val="0EC4025E"/>
    <w:rsid w:val="0EE04793"/>
    <w:rsid w:val="0EE83C0B"/>
    <w:rsid w:val="0FFF7484"/>
    <w:rsid w:val="109040C8"/>
    <w:rsid w:val="11DE5D80"/>
    <w:rsid w:val="11E54B27"/>
    <w:rsid w:val="124675EC"/>
    <w:rsid w:val="12AF0CEE"/>
    <w:rsid w:val="13346191"/>
    <w:rsid w:val="139C13E5"/>
    <w:rsid w:val="13FE2F34"/>
    <w:rsid w:val="14184102"/>
    <w:rsid w:val="145D4BFF"/>
    <w:rsid w:val="146A4EE4"/>
    <w:rsid w:val="147646D5"/>
    <w:rsid w:val="14A529A8"/>
    <w:rsid w:val="14B05372"/>
    <w:rsid w:val="14B80C58"/>
    <w:rsid w:val="14C924CC"/>
    <w:rsid w:val="15103876"/>
    <w:rsid w:val="15EF58A5"/>
    <w:rsid w:val="1627027A"/>
    <w:rsid w:val="17426AF8"/>
    <w:rsid w:val="17AC113D"/>
    <w:rsid w:val="18C921CA"/>
    <w:rsid w:val="19075642"/>
    <w:rsid w:val="196A0814"/>
    <w:rsid w:val="19E82D37"/>
    <w:rsid w:val="1C273FEB"/>
    <w:rsid w:val="1C7B41D3"/>
    <w:rsid w:val="1D7F2147"/>
    <w:rsid w:val="1DA01659"/>
    <w:rsid w:val="1FCF1E87"/>
    <w:rsid w:val="20FB6077"/>
    <w:rsid w:val="21157CC7"/>
    <w:rsid w:val="21887424"/>
    <w:rsid w:val="226F0499"/>
    <w:rsid w:val="23735491"/>
    <w:rsid w:val="240E1FB8"/>
    <w:rsid w:val="246F4781"/>
    <w:rsid w:val="249B7305"/>
    <w:rsid w:val="253D7C8D"/>
    <w:rsid w:val="25F7793F"/>
    <w:rsid w:val="26A5448A"/>
    <w:rsid w:val="28C34872"/>
    <w:rsid w:val="29A9603F"/>
    <w:rsid w:val="2A9137CD"/>
    <w:rsid w:val="2B481888"/>
    <w:rsid w:val="2C956D4E"/>
    <w:rsid w:val="2D452BB2"/>
    <w:rsid w:val="2E375403"/>
    <w:rsid w:val="2EA8335A"/>
    <w:rsid w:val="31E05F1C"/>
    <w:rsid w:val="320C16C0"/>
    <w:rsid w:val="32D83E39"/>
    <w:rsid w:val="334A1323"/>
    <w:rsid w:val="33A371EA"/>
    <w:rsid w:val="34A47FC2"/>
    <w:rsid w:val="34B2130C"/>
    <w:rsid w:val="366B6ABE"/>
    <w:rsid w:val="372B776E"/>
    <w:rsid w:val="37542B18"/>
    <w:rsid w:val="37CA6352"/>
    <w:rsid w:val="39906272"/>
    <w:rsid w:val="3BAF7174"/>
    <w:rsid w:val="3C5C1B69"/>
    <w:rsid w:val="40EB4E21"/>
    <w:rsid w:val="41FD4D22"/>
    <w:rsid w:val="423746D8"/>
    <w:rsid w:val="42AC25ED"/>
    <w:rsid w:val="435968D0"/>
    <w:rsid w:val="44B74AB0"/>
    <w:rsid w:val="453C2005"/>
    <w:rsid w:val="45485320"/>
    <w:rsid w:val="462D5E47"/>
    <w:rsid w:val="46832AB5"/>
    <w:rsid w:val="46837CA7"/>
    <w:rsid w:val="48277564"/>
    <w:rsid w:val="49AB21BF"/>
    <w:rsid w:val="4B9619CE"/>
    <w:rsid w:val="4BBB7B8C"/>
    <w:rsid w:val="4BD83AA6"/>
    <w:rsid w:val="4C3664B6"/>
    <w:rsid w:val="4D025E0C"/>
    <w:rsid w:val="4D8D53AE"/>
    <w:rsid w:val="4DEF40B9"/>
    <w:rsid w:val="4E5C03B2"/>
    <w:rsid w:val="4F561780"/>
    <w:rsid w:val="4FF86B2F"/>
    <w:rsid w:val="50232EC7"/>
    <w:rsid w:val="516C45A1"/>
    <w:rsid w:val="52E92543"/>
    <w:rsid w:val="54E833A6"/>
    <w:rsid w:val="55473AD1"/>
    <w:rsid w:val="569C2904"/>
    <w:rsid w:val="583737A8"/>
    <w:rsid w:val="587B7259"/>
    <w:rsid w:val="58DB71BE"/>
    <w:rsid w:val="59C70462"/>
    <w:rsid w:val="5A1629CD"/>
    <w:rsid w:val="5C45162D"/>
    <w:rsid w:val="5CB03C1D"/>
    <w:rsid w:val="5D1853FB"/>
    <w:rsid w:val="5D5C1168"/>
    <w:rsid w:val="5DAE1464"/>
    <w:rsid w:val="5E401EE1"/>
    <w:rsid w:val="5E6A5C00"/>
    <w:rsid w:val="603E3E34"/>
    <w:rsid w:val="60811390"/>
    <w:rsid w:val="612C3317"/>
    <w:rsid w:val="61390221"/>
    <w:rsid w:val="64E32222"/>
    <w:rsid w:val="655F65B8"/>
    <w:rsid w:val="66263390"/>
    <w:rsid w:val="6A443604"/>
    <w:rsid w:val="6A8A71EB"/>
    <w:rsid w:val="6B6E2D90"/>
    <w:rsid w:val="6BFF5555"/>
    <w:rsid w:val="6C4274D6"/>
    <w:rsid w:val="6E085CF6"/>
    <w:rsid w:val="6EC24A7A"/>
    <w:rsid w:val="6F1E4415"/>
    <w:rsid w:val="6F746490"/>
    <w:rsid w:val="6FA16FBF"/>
    <w:rsid w:val="6FC26D45"/>
    <w:rsid w:val="702B3BC3"/>
    <w:rsid w:val="70411D13"/>
    <w:rsid w:val="705047AD"/>
    <w:rsid w:val="70D70B1C"/>
    <w:rsid w:val="712804DB"/>
    <w:rsid w:val="717B788E"/>
    <w:rsid w:val="74143D3D"/>
    <w:rsid w:val="75654242"/>
    <w:rsid w:val="7778698F"/>
    <w:rsid w:val="786749F3"/>
    <w:rsid w:val="78F607B2"/>
    <w:rsid w:val="7BC65611"/>
    <w:rsid w:val="7C0A78A1"/>
    <w:rsid w:val="7C2C76E7"/>
    <w:rsid w:val="7C7D54DC"/>
    <w:rsid w:val="7D192AAE"/>
    <w:rsid w:val="7D390946"/>
    <w:rsid w:val="7F3341BF"/>
    <w:rsid w:val="7FE30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5">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7">
    <w:name w:val="footnote text"/>
    <w:basedOn w:val="1"/>
    <w:qFormat/>
    <w:uiPriority w:val="0"/>
    <w:pPr>
      <w:snapToGrid w:val="0"/>
    </w:pPr>
    <w:rPr>
      <w:sz w:val="18"/>
      <w:szCs w:val="18"/>
    </w:rPr>
  </w:style>
  <w:style w:type="paragraph" w:styleId="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9">
    <w:name w:val="Body Text First Indent 2"/>
    <w:basedOn w:val="4"/>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19848</Words>
  <Characters>21226</Characters>
  <TotalTime>77</TotalTime>
  <ScaleCrop>false</ScaleCrop>
  <LinksUpToDate>false</LinksUpToDate>
  <CharactersWithSpaces>21831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2024-06-13T07:01:47Z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4948C252A45144F79EAF7D684BD289DE_13</vt:lpwstr>
  </property>
</Properties>
</file>