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E17D">
      <w:pPr>
        <w:keepNext w:val="0"/>
        <w:keepLines w:val="0"/>
        <w:pageBreakBefore w:val="0"/>
        <w:kinsoku/>
        <w:wordWrap w:val="0"/>
        <w:overflowPunct/>
        <w:topLinePunct w:val="0"/>
        <w:bidi w:val="0"/>
        <w:spacing w:line="281" w:lineRule="auto"/>
        <w:jc w:val="both"/>
        <w:rPr>
          <w:rFonts w:ascii="Arial"/>
          <w:sz w:val="21"/>
        </w:rPr>
      </w:pPr>
    </w:p>
    <w:p w14:paraId="187A3D6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758BE9E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新野县</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251AA1F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7B251D31">
      <w:pPr>
        <w:keepNext w:val="0"/>
        <w:keepLines w:val="0"/>
        <w:pageBreakBefore w:val="0"/>
        <w:kinsoku/>
        <w:wordWrap w:val="0"/>
        <w:overflowPunct/>
        <w:topLinePunct w:val="0"/>
        <w:bidi w:val="0"/>
        <w:spacing w:line="248" w:lineRule="auto"/>
        <w:jc w:val="both"/>
        <w:rPr>
          <w:rFonts w:ascii="Arial"/>
          <w:sz w:val="21"/>
        </w:rPr>
      </w:pPr>
    </w:p>
    <w:p w14:paraId="1888F628">
      <w:pPr>
        <w:keepNext w:val="0"/>
        <w:keepLines w:val="0"/>
        <w:pageBreakBefore w:val="0"/>
        <w:kinsoku/>
        <w:wordWrap w:val="0"/>
        <w:overflowPunct/>
        <w:topLinePunct w:val="0"/>
        <w:bidi w:val="0"/>
        <w:spacing w:line="249" w:lineRule="auto"/>
        <w:jc w:val="both"/>
        <w:rPr>
          <w:rFonts w:ascii="Arial"/>
          <w:sz w:val="21"/>
        </w:rPr>
      </w:pPr>
    </w:p>
    <w:p w14:paraId="7976C36F">
      <w:pPr>
        <w:keepNext w:val="0"/>
        <w:keepLines w:val="0"/>
        <w:pageBreakBefore w:val="0"/>
        <w:kinsoku/>
        <w:wordWrap w:val="0"/>
        <w:overflowPunct/>
        <w:topLinePunct w:val="0"/>
        <w:bidi w:val="0"/>
        <w:spacing w:line="249" w:lineRule="auto"/>
        <w:jc w:val="both"/>
        <w:rPr>
          <w:rFonts w:ascii="Arial"/>
          <w:sz w:val="21"/>
        </w:rPr>
      </w:pPr>
    </w:p>
    <w:p w14:paraId="11E00372">
      <w:pPr>
        <w:keepNext w:val="0"/>
        <w:keepLines w:val="0"/>
        <w:pageBreakBefore w:val="0"/>
        <w:kinsoku/>
        <w:wordWrap w:val="0"/>
        <w:overflowPunct/>
        <w:topLinePunct w:val="0"/>
        <w:bidi w:val="0"/>
        <w:spacing w:line="249" w:lineRule="auto"/>
        <w:jc w:val="both"/>
        <w:rPr>
          <w:rFonts w:ascii="Arial"/>
          <w:sz w:val="21"/>
        </w:rPr>
      </w:pPr>
    </w:p>
    <w:p w14:paraId="253B3F43">
      <w:pPr>
        <w:keepNext w:val="0"/>
        <w:keepLines w:val="0"/>
        <w:pageBreakBefore w:val="0"/>
        <w:kinsoku/>
        <w:wordWrap w:val="0"/>
        <w:overflowPunct/>
        <w:topLinePunct w:val="0"/>
        <w:bidi w:val="0"/>
        <w:spacing w:line="249" w:lineRule="auto"/>
        <w:jc w:val="both"/>
        <w:rPr>
          <w:rFonts w:ascii="Arial"/>
          <w:sz w:val="21"/>
        </w:rPr>
      </w:pPr>
    </w:p>
    <w:p w14:paraId="3A5A4F93">
      <w:pPr>
        <w:keepNext w:val="0"/>
        <w:keepLines w:val="0"/>
        <w:pageBreakBefore w:val="0"/>
        <w:kinsoku/>
        <w:wordWrap w:val="0"/>
        <w:overflowPunct/>
        <w:topLinePunct w:val="0"/>
        <w:bidi w:val="0"/>
        <w:spacing w:line="249" w:lineRule="auto"/>
        <w:jc w:val="both"/>
        <w:rPr>
          <w:rFonts w:ascii="Arial"/>
          <w:sz w:val="21"/>
        </w:rPr>
      </w:pPr>
    </w:p>
    <w:p w14:paraId="5CCD7C39">
      <w:pPr>
        <w:keepNext w:val="0"/>
        <w:keepLines w:val="0"/>
        <w:pageBreakBefore w:val="0"/>
        <w:kinsoku/>
        <w:wordWrap w:val="0"/>
        <w:overflowPunct/>
        <w:topLinePunct w:val="0"/>
        <w:bidi w:val="0"/>
        <w:spacing w:line="249" w:lineRule="auto"/>
        <w:jc w:val="both"/>
        <w:rPr>
          <w:rFonts w:ascii="Arial"/>
          <w:sz w:val="21"/>
        </w:rPr>
      </w:pPr>
    </w:p>
    <w:p w14:paraId="3B4A2861">
      <w:pPr>
        <w:keepNext w:val="0"/>
        <w:keepLines w:val="0"/>
        <w:pageBreakBefore w:val="0"/>
        <w:kinsoku/>
        <w:wordWrap w:val="0"/>
        <w:overflowPunct/>
        <w:topLinePunct w:val="0"/>
        <w:bidi w:val="0"/>
        <w:spacing w:line="249" w:lineRule="auto"/>
        <w:jc w:val="both"/>
        <w:rPr>
          <w:rFonts w:ascii="Arial"/>
          <w:sz w:val="21"/>
        </w:rPr>
      </w:pPr>
    </w:p>
    <w:p w14:paraId="4A14E8C1">
      <w:pPr>
        <w:keepNext w:val="0"/>
        <w:keepLines w:val="0"/>
        <w:pageBreakBefore w:val="0"/>
        <w:kinsoku/>
        <w:wordWrap w:val="0"/>
        <w:overflowPunct/>
        <w:topLinePunct w:val="0"/>
        <w:bidi w:val="0"/>
        <w:spacing w:line="249" w:lineRule="auto"/>
        <w:jc w:val="both"/>
        <w:rPr>
          <w:rFonts w:ascii="Arial"/>
          <w:sz w:val="21"/>
        </w:rPr>
      </w:pPr>
    </w:p>
    <w:p w14:paraId="737E24B4">
      <w:pPr>
        <w:keepNext w:val="0"/>
        <w:keepLines w:val="0"/>
        <w:pageBreakBefore w:val="0"/>
        <w:kinsoku/>
        <w:wordWrap w:val="0"/>
        <w:overflowPunct/>
        <w:topLinePunct w:val="0"/>
        <w:bidi w:val="0"/>
        <w:spacing w:line="249" w:lineRule="auto"/>
        <w:jc w:val="both"/>
        <w:rPr>
          <w:rFonts w:ascii="Arial"/>
          <w:sz w:val="21"/>
        </w:rPr>
      </w:pPr>
    </w:p>
    <w:p w14:paraId="63537C05">
      <w:pPr>
        <w:keepNext w:val="0"/>
        <w:keepLines w:val="0"/>
        <w:pageBreakBefore w:val="0"/>
        <w:kinsoku/>
        <w:wordWrap w:val="0"/>
        <w:overflowPunct/>
        <w:topLinePunct w:val="0"/>
        <w:bidi w:val="0"/>
        <w:spacing w:line="249" w:lineRule="auto"/>
        <w:jc w:val="both"/>
        <w:rPr>
          <w:rFonts w:ascii="Arial"/>
          <w:sz w:val="21"/>
        </w:rPr>
      </w:pPr>
    </w:p>
    <w:p w14:paraId="69002E8C">
      <w:pPr>
        <w:keepNext w:val="0"/>
        <w:keepLines w:val="0"/>
        <w:pageBreakBefore w:val="0"/>
        <w:kinsoku/>
        <w:wordWrap w:val="0"/>
        <w:overflowPunct/>
        <w:topLinePunct w:val="0"/>
        <w:bidi w:val="0"/>
        <w:spacing w:line="249" w:lineRule="auto"/>
        <w:jc w:val="both"/>
        <w:rPr>
          <w:rFonts w:ascii="Arial"/>
          <w:sz w:val="21"/>
        </w:rPr>
      </w:pPr>
    </w:p>
    <w:p w14:paraId="2AE1D770">
      <w:pPr>
        <w:keepNext w:val="0"/>
        <w:keepLines w:val="0"/>
        <w:pageBreakBefore w:val="0"/>
        <w:kinsoku/>
        <w:wordWrap w:val="0"/>
        <w:overflowPunct/>
        <w:topLinePunct w:val="0"/>
        <w:bidi w:val="0"/>
        <w:spacing w:line="249" w:lineRule="auto"/>
        <w:jc w:val="both"/>
        <w:rPr>
          <w:rFonts w:ascii="Arial"/>
          <w:sz w:val="21"/>
        </w:rPr>
      </w:pPr>
    </w:p>
    <w:p w14:paraId="32E63D52">
      <w:pPr>
        <w:keepNext w:val="0"/>
        <w:keepLines w:val="0"/>
        <w:pageBreakBefore w:val="0"/>
        <w:kinsoku/>
        <w:wordWrap w:val="0"/>
        <w:overflowPunct/>
        <w:topLinePunct w:val="0"/>
        <w:bidi w:val="0"/>
        <w:spacing w:line="249" w:lineRule="auto"/>
        <w:jc w:val="both"/>
        <w:rPr>
          <w:rFonts w:ascii="Arial"/>
          <w:sz w:val="21"/>
        </w:rPr>
      </w:pPr>
    </w:p>
    <w:p w14:paraId="6CD32716">
      <w:pPr>
        <w:keepNext w:val="0"/>
        <w:keepLines w:val="0"/>
        <w:pageBreakBefore w:val="0"/>
        <w:kinsoku/>
        <w:wordWrap w:val="0"/>
        <w:overflowPunct/>
        <w:topLinePunct w:val="0"/>
        <w:bidi w:val="0"/>
        <w:spacing w:line="249" w:lineRule="auto"/>
        <w:jc w:val="both"/>
        <w:rPr>
          <w:rFonts w:ascii="Arial"/>
          <w:sz w:val="21"/>
        </w:rPr>
      </w:pPr>
    </w:p>
    <w:p w14:paraId="570F1A64">
      <w:pPr>
        <w:keepNext w:val="0"/>
        <w:keepLines w:val="0"/>
        <w:pageBreakBefore w:val="0"/>
        <w:kinsoku/>
        <w:wordWrap w:val="0"/>
        <w:overflowPunct/>
        <w:topLinePunct w:val="0"/>
        <w:bidi w:val="0"/>
        <w:spacing w:line="249" w:lineRule="auto"/>
        <w:jc w:val="both"/>
        <w:rPr>
          <w:rFonts w:ascii="Arial"/>
          <w:sz w:val="21"/>
        </w:rPr>
      </w:pPr>
    </w:p>
    <w:p w14:paraId="58A8B06D">
      <w:pPr>
        <w:keepNext w:val="0"/>
        <w:keepLines w:val="0"/>
        <w:pageBreakBefore w:val="0"/>
        <w:kinsoku/>
        <w:wordWrap w:val="0"/>
        <w:overflowPunct/>
        <w:topLinePunct w:val="0"/>
        <w:bidi w:val="0"/>
        <w:spacing w:line="249" w:lineRule="auto"/>
        <w:jc w:val="both"/>
        <w:rPr>
          <w:rFonts w:ascii="Arial"/>
          <w:sz w:val="21"/>
        </w:rPr>
      </w:pPr>
    </w:p>
    <w:p w14:paraId="1EB2FEA0">
      <w:pPr>
        <w:keepNext w:val="0"/>
        <w:keepLines w:val="0"/>
        <w:pageBreakBefore w:val="0"/>
        <w:kinsoku/>
        <w:wordWrap w:val="0"/>
        <w:overflowPunct/>
        <w:topLinePunct w:val="0"/>
        <w:bidi w:val="0"/>
        <w:spacing w:line="249" w:lineRule="auto"/>
        <w:jc w:val="both"/>
        <w:rPr>
          <w:rFonts w:ascii="Arial"/>
          <w:sz w:val="21"/>
        </w:rPr>
      </w:pPr>
    </w:p>
    <w:p w14:paraId="705A7417">
      <w:pPr>
        <w:keepNext w:val="0"/>
        <w:keepLines w:val="0"/>
        <w:pageBreakBefore w:val="0"/>
        <w:kinsoku/>
        <w:wordWrap w:val="0"/>
        <w:overflowPunct/>
        <w:topLinePunct w:val="0"/>
        <w:bidi w:val="0"/>
        <w:spacing w:line="249" w:lineRule="auto"/>
        <w:jc w:val="both"/>
        <w:rPr>
          <w:rFonts w:ascii="Arial"/>
          <w:sz w:val="21"/>
        </w:rPr>
      </w:pPr>
    </w:p>
    <w:p w14:paraId="192885E8">
      <w:pPr>
        <w:keepNext w:val="0"/>
        <w:keepLines w:val="0"/>
        <w:pageBreakBefore w:val="0"/>
        <w:kinsoku/>
        <w:wordWrap w:val="0"/>
        <w:overflowPunct/>
        <w:topLinePunct w:val="0"/>
        <w:bidi w:val="0"/>
        <w:spacing w:line="249" w:lineRule="auto"/>
        <w:jc w:val="both"/>
        <w:rPr>
          <w:rFonts w:ascii="Arial"/>
          <w:sz w:val="21"/>
        </w:rPr>
      </w:pPr>
    </w:p>
    <w:p w14:paraId="2EC27D43">
      <w:pPr>
        <w:keepNext w:val="0"/>
        <w:keepLines w:val="0"/>
        <w:pageBreakBefore w:val="0"/>
        <w:kinsoku/>
        <w:wordWrap w:val="0"/>
        <w:overflowPunct/>
        <w:topLinePunct w:val="0"/>
        <w:bidi w:val="0"/>
        <w:spacing w:line="249" w:lineRule="auto"/>
        <w:jc w:val="both"/>
        <w:rPr>
          <w:rFonts w:ascii="Arial"/>
          <w:sz w:val="21"/>
        </w:rPr>
      </w:pPr>
    </w:p>
    <w:p w14:paraId="11A3E9E1">
      <w:pPr>
        <w:keepNext w:val="0"/>
        <w:keepLines w:val="0"/>
        <w:pageBreakBefore w:val="0"/>
        <w:kinsoku/>
        <w:wordWrap w:val="0"/>
        <w:overflowPunct/>
        <w:topLinePunct w:val="0"/>
        <w:bidi w:val="0"/>
        <w:spacing w:line="249" w:lineRule="auto"/>
        <w:jc w:val="both"/>
        <w:rPr>
          <w:rFonts w:ascii="Arial"/>
          <w:sz w:val="21"/>
        </w:rPr>
      </w:pPr>
    </w:p>
    <w:p w14:paraId="05C382E1">
      <w:pPr>
        <w:keepNext w:val="0"/>
        <w:keepLines w:val="0"/>
        <w:pageBreakBefore w:val="0"/>
        <w:kinsoku/>
        <w:wordWrap w:val="0"/>
        <w:overflowPunct/>
        <w:topLinePunct w:val="0"/>
        <w:bidi w:val="0"/>
        <w:spacing w:line="249" w:lineRule="auto"/>
        <w:jc w:val="both"/>
        <w:rPr>
          <w:rFonts w:ascii="Arial"/>
          <w:sz w:val="21"/>
        </w:rPr>
      </w:pPr>
    </w:p>
    <w:p w14:paraId="5752B2B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新野县发展和改革委员会新野县国民经济和社会发展第十五个五年规划纲要编制项目                 </w:t>
      </w:r>
    </w:p>
    <w:p w14:paraId="777DB24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新野政采磋商-2025-21</w:t>
      </w:r>
    </w:p>
    <w:p w14:paraId="4E009FF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新野县发展和改革委员会      </w:t>
      </w:r>
    </w:p>
    <w:p w14:paraId="5D9D40B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建领工程项目管理有限公司   </w:t>
      </w:r>
    </w:p>
    <w:p w14:paraId="2F0B4E2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2D7CEEE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7C01C1D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3FB0D29"/>
    <w:p w14:paraId="77174233">
      <w:pPr>
        <w:pStyle w:val="17"/>
      </w:pPr>
    </w:p>
    <w:p w14:paraId="20241A7A">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210DF306">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07EC636D">
          <w:pPr>
            <w:keepNext w:val="0"/>
            <w:keepLines w:val="0"/>
            <w:pageBreakBefore w:val="0"/>
            <w:kinsoku/>
            <w:wordWrap w:val="0"/>
            <w:overflowPunct/>
            <w:topLinePunct w:val="0"/>
            <w:bidi w:val="0"/>
            <w:spacing w:line="286" w:lineRule="auto"/>
            <w:jc w:val="both"/>
            <w:rPr>
              <w:rFonts w:ascii="Arial"/>
              <w:sz w:val="21"/>
            </w:rPr>
          </w:pPr>
        </w:p>
        <w:p w14:paraId="40BAC77D">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1C782C60">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4EC24BBA">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4E321AAB">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37D827E9">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47315D16">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156499B2">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5638466C">
      <w:pPr>
        <w:bidi w:val="0"/>
        <w:rPr>
          <w:rFonts w:ascii="Arial" w:hAnsi="Arial" w:eastAsia="Arial" w:cs="Arial"/>
          <w:snapToGrid w:val="0"/>
          <w:color w:val="000000"/>
          <w:kern w:val="0"/>
          <w:sz w:val="21"/>
          <w:szCs w:val="21"/>
          <w:lang w:val="en-US" w:eastAsia="en-US" w:bidi="ar-SA"/>
        </w:rPr>
      </w:pPr>
    </w:p>
    <w:p w14:paraId="6EF1F82E">
      <w:pPr>
        <w:bidi w:val="0"/>
        <w:rPr>
          <w:lang w:val="en-US" w:eastAsia="en-US"/>
        </w:rPr>
      </w:pPr>
    </w:p>
    <w:p w14:paraId="29D5B853">
      <w:pPr>
        <w:bidi w:val="0"/>
        <w:rPr>
          <w:lang w:val="en-US" w:eastAsia="en-US"/>
        </w:rPr>
      </w:pPr>
    </w:p>
    <w:p w14:paraId="01F28375">
      <w:pPr>
        <w:bidi w:val="0"/>
        <w:rPr>
          <w:lang w:val="en-US" w:eastAsia="en-US"/>
        </w:rPr>
      </w:pPr>
    </w:p>
    <w:p w14:paraId="1532A321">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63D3A10">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3A36A1B">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9E9CCBA">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590CB9C">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8A108F4">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91BEE7D">
      <w:pPr>
        <w:rPr>
          <w:spacing w:val="-1"/>
          <w:sz w:val="36"/>
          <w:szCs w:val="36"/>
          <w14:textOutline w14:w="2306" w14:cap="flat" w14:cmpd="sng">
            <w14:solidFill>
              <w14:srgbClr w14:val="000000"/>
            </w14:solidFill>
            <w14:prstDash w14:val="solid"/>
            <w14:miter w14:val="0"/>
          </w14:textOutline>
        </w:rPr>
      </w:pPr>
    </w:p>
    <w:p w14:paraId="4FF6D089">
      <w:pPr>
        <w:rPr>
          <w:spacing w:val="-1"/>
          <w:sz w:val="36"/>
          <w:szCs w:val="36"/>
          <w14:textOutline w14:w="2306" w14:cap="flat" w14:cmpd="sng">
            <w14:solidFill>
              <w14:srgbClr w14:val="000000"/>
            </w14:solidFill>
            <w14:prstDash w14:val="solid"/>
            <w14:miter w14:val="0"/>
          </w14:textOutline>
        </w:rPr>
      </w:pPr>
    </w:p>
    <w:p w14:paraId="6CE444EA">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bookmarkStart w:id="1" w:name="OLE_LINK21"/>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7ECC1A8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val="en-US" w:eastAsia="zh-CN"/>
        </w:rPr>
        <w:t>项目概况</w:t>
      </w:r>
    </w:p>
    <w:p w14:paraId="4E8A59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lang w:val="en-US" w:eastAsia="zh-CN"/>
        </w:rPr>
        <w:t>新野县发展和改革委员会《新野县国民经济和社会发展第十五个五年规划纲要》编制项目招标项目的潜在投标人应在全国公共资源交易平台（河南省﹒新野县）获取招标文件，并于2025年06月11日09时30分（北京时间）前递交响应文件。</w:t>
      </w:r>
    </w:p>
    <w:p w14:paraId="334E3F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spacing w:val="-6"/>
          <w:sz w:val="24"/>
          <w:szCs w:val="24"/>
        </w:rPr>
        <w:t>一、项目基本情况</w:t>
      </w:r>
    </w:p>
    <w:p w14:paraId="011118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rPr>
        <w:t>1.项目编号：</w:t>
      </w:r>
      <w:r>
        <w:rPr>
          <w:rFonts w:hint="eastAsia"/>
          <w:spacing w:val="-6"/>
          <w:sz w:val="24"/>
          <w:szCs w:val="24"/>
          <w:lang w:eastAsia="zh-CN"/>
        </w:rPr>
        <w:t>新野政采磋商-</w:t>
      </w:r>
      <w:r>
        <w:rPr>
          <w:rFonts w:hint="eastAsia"/>
          <w:spacing w:val="-6"/>
          <w:sz w:val="24"/>
          <w:szCs w:val="24"/>
          <w:lang w:val="en-US" w:eastAsia="zh-CN"/>
        </w:rPr>
        <w:t>2025-21</w:t>
      </w:r>
    </w:p>
    <w:p w14:paraId="45414A0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rPr>
        <w:t>2.项目名称：</w:t>
      </w:r>
      <w:r>
        <w:rPr>
          <w:rFonts w:hint="eastAsia"/>
          <w:spacing w:val="-6"/>
          <w:sz w:val="24"/>
          <w:szCs w:val="24"/>
          <w:lang w:eastAsia="zh-CN"/>
        </w:rPr>
        <w:t>新野县发展和改革委员会新野县国民经济和社会发展第十五个五年规划纲要编制项目</w:t>
      </w:r>
    </w:p>
    <w:p w14:paraId="59D8BDC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3.采购方式：竞争性磋商</w:t>
      </w:r>
    </w:p>
    <w:p w14:paraId="1827C98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lang w:val="en-US" w:eastAsia="zh-CN"/>
        </w:rPr>
        <w:t>4</w:t>
      </w:r>
      <w:r>
        <w:rPr>
          <w:rFonts w:hint="eastAsia"/>
          <w:spacing w:val="-6"/>
          <w:sz w:val="24"/>
          <w:szCs w:val="24"/>
        </w:rPr>
        <w:t>.项目预算金额：</w:t>
      </w:r>
      <w:r>
        <w:rPr>
          <w:rFonts w:hint="eastAsia"/>
          <w:spacing w:val="-6"/>
          <w:sz w:val="24"/>
          <w:szCs w:val="24"/>
          <w:lang w:val="en-US" w:eastAsia="zh-CN"/>
        </w:rPr>
        <w:t>400000</w:t>
      </w:r>
      <w:r>
        <w:rPr>
          <w:rFonts w:hint="eastAsia"/>
          <w:spacing w:val="-6"/>
          <w:sz w:val="24"/>
          <w:szCs w:val="24"/>
        </w:rPr>
        <w:t>元</w:t>
      </w:r>
    </w:p>
    <w:p w14:paraId="72BE6C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rPr>
        <w:t>最高限价：</w:t>
      </w:r>
      <w:r>
        <w:rPr>
          <w:rFonts w:hint="eastAsia"/>
          <w:spacing w:val="-6"/>
          <w:sz w:val="24"/>
          <w:szCs w:val="24"/>
          <w:lang w:val="en-US" w:eastAsia="zh-CN"/>
        </w:rPr>
        <w:t>400000</w:t>
      </w:r>
      <w:r>
        <w:rPr>
          <w:rFonts w:hint="eastAsia"/>
          <w:spacing w:val="-6"/>
          <w:sz w:val="24"/>
          <w:szCs w:val="24"/>
        </w:rPr>
        <w:t>元</w:t>
      </w:r>
    </w:p>
    <w:tbl>
      <w:tblPr>
        <w:tblStyle w:val="19"/>
        <w:tblW w:w="89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8"/>
        <w:gridCol w:w="2971"/>
        <w:gridCol w:w="1005"/>
        <w:gridCol w:w="1605"/>
        <w:gridCol w:w="1170"/>
        <w:gridCol w:w="1140"/>
      </w:tblGrid>
      <w:tr w14:paraId="007F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068" w:type="dxa"/>
            <w:noWrap w:val="0"/>
            <w:vAlign w:val="center"/>
          </w:tcPr>
          <w:p w14:paraId="7ECD1A0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spacing w:val="-6"/>
                <w:sz w:val="24"/>
                <w:szCs w:val="24"/>
              </w:rPr>
            </w:pPr>
            <w:r>
              <w:rPr>
                <w:rFonts w:hint="eastAsia"/>
                <w:spacing w:val="-6"/>
                <w:sz w:val="24"/>
                <w:szCs w:val="24"/>
              </w:rPr>
              <w:t>包号</w:t>
            </w:r>
          </w:p>
        </w:tc>
        <w:tc>
          <w:tcPr>
            <w:tcW w:w="2971" w:type="dxa"/>
            <w:noWrap w:val="0"/>
            <w:vAlign w:val="center"/>
          </w:tcPr>
          <w:p w14:paraId="47424D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spacing w:val="-6"/>
                <w:sz w:val="24"/>
                <w:szCs w:val="24"/>
              </w:rPr>
            </w:pPr>
            <w:r>
              <w:rPr>
                <w:rFonts w:hint="eastAsia"/>
                <w:spacing w:val="-6"/>
                <w:sz w:val="24"/>
                <w:szCs w:val="24"/>
                <w:lang w:val="en-US" w:eastAsia="zh-CN"/>
              </w:rPr>
              <w:t>包</w:t>
            </w:r>
            <w:r>
              <w:rPr>
                <w:rFonts w:hint="eastAsia"/>
                <w:spacing w:val="-6"/>
                <w:sz w:val="24"/>
                <w:szCs w:val="24"/>
              </w:rPr>
              <w:t>名称</w:t>
            </w:r>
          </w:p>
        </w:tc>
        <w:tc>
          <w:tcPr>
            <w:tcW w:w="1005" w:type="dxa"/>
            <w:noWrap w:val="0"/>
            <w:vAlign w:val="center"/>
          </w:tcPr>
          <w:p w14:paraId="3741F22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spacing w:val="-6"/>
                <w:sz w:val="24"/>
                <w:szCs w:val="24"/>
                <w:lang w:eastAsia="zh-CN"/>
              </w:rPr>
            </w:pPr>
            <w:r>
              <w:rPr>
                <w:rFonts w:hint="eastAsia"/>
                <w:spacing w:val="-6"/>
                <w:sz w:val="24"/>
                <w:szCs w:val="24"/>
                <w:lang w:val="en-US" w:eastAsia="en-US"/>
              </w:rPr>
              <w:t>包预算（元）</w:t>
            </w:r>
          </w:p>
        </w:tc>
        <w:tc>
          <w:tcPr>
            <w:tcW w:w="1605" w:type="dxa"/>
            <w:noWrap w:val="0"/>
            <w:vAlign w:val="center"/>
          </w:tcPr>
          <w:p w14:paraId="19246F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包最高限价（元）</w:t>
            </w:r>
          </w:p>
        </w:tc>
        <w:tc>
          <w:tcPr>
            <w:tcW w:w="1170" w:type="dxa"/>
            <w:noWrap w:val="0"/>
            <w:vAlign w:val="center"/>
          </w:tcPr>
          <w:p w14:paraId="4B28972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是否专门面向中小企业</w:t>
            </w:r>
          </w:p>
        </w:tc>
        <w:tc>
          <w:tcPr>
            <w:tcW w:w="1140" w:type="dxa"/>
            <w:noWrap w:val="0"/>
            <w:vAlign w:val="center"/>
          </w:tcPr>
          <w:p w14:paraId="35B68C3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采购预留金额（元）</w:t>
            </w:r>
          </w:p>
        </w:tc>
      </w:tr>
      <w:tr w14:paraId="4E324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068" w:type="dxa"/>
            <w:noWrap w:val="0"/>
            <w:vAlign w:val="top"/>
          </w:tcPr>
          <w:p w14:paraId="1E71CF5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新野政采磋商-2025-21</w:t>
            </w:r>
          </w:p>
        </w:tc>
        <w:tc>
          <w:tcPr>
            <w:tcW w:w="2971" w:type="dxa"/>
            <w:noWrap w:val="0"/>
            <w:vAlign w:val="top"/>
          </w:tcPr>
          <w:p w14:paraId="2C7B508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spacing w:val="-6"/>
                <w:sz w:val="24"/>
                <w:szCs w:val="24"/>
                <w:lang w:val="en-US" w:eastAsia="zh-CN"/>
              </w:rPr>
            </w:pPr>
            <w:r>
              <w:rPr>
                <w:rFonts w:hint="eastAsia"/>
                <w:spacing w:val="-6"/>
                <w:sz w:val="24"/>
                <w:szCs w:val="24"/>
                <w:lang w:val="en-US" w:eastAsia="zh-CN"/>
              </w:rPr>
              <w:t>新野县发展和改革委员会新野县国民经济和社会发展第十五个五年规划纲要编制项目</w:t>
            </w:r>
          </w:p>
        </w:tc>
        <w:tc>
          <w:tcPr>
            <w:tcW w:w="1005" w:type="dxa"/>
            <w:noWrap w:val="0"/>
            <w:vAlign w:val="top"/>
          </w:tcPr>
          <w:p w14:paraId="1272D8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400000</w:t>
            </w:r>
          </w:p>
        </w:tc>
        <w:tc>
          <w:tcPr>
            <w:tcW w:w="1605" w:type="dxa"/>
            <w:noWrap w:val="0"/>
            <w:vAlign w:val="top"/>
          </w:tcPr>
          <w:p w14:paraId="7B221B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400000</w:t>
            </w:r>
          </w:p>
        </w:tc>
        <w:tc>
          <w:tcPr>
            <w:tcW w:w="1170" w:type="dxa"/>
            <w:noWrap w:val="0"/>
            <w:vAlign w:val="top"/>
          </w:tcPr>
          <w:p w14:paraId="3FE4617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56" w:firstLineChars="200"/>
              <w:jc w:val="both"/>
              <w:textAlignment w:val="baseline"/>
              <w:outlineLvl w:val="1"/>
              <w:rPr>
                <w:rFonts w:hint="default"/>
                <w:spacing w:val="-6"/>
                <w:sz w:val="24"/>
                <w:szCs w:val="24"/>
                <w:lang w:val="en-US" w:eastAsia="zh-CN"/>
              </w:rPr>
            </w:pPr>
            <w:r>
              <w:rPr>
                <w:rFonts w:hint="eastAsia"/>
                <w:spacing w:val="-6"/>
                <w:sz w:val="24"/>
                <w:szCs w:val="24"/>
                <w:lang w:val="en-US" w:eastAsia="zh-CN"/>
              </w:rPr>
              <w:t>是</w:t>
            </w:r>
          </w:p>
        </w:tc>
        <w:tc>
          <w:tcPr>
            <w:tcW w:w="1140" w:type="dxa"/>
            <w:noWrap w:val="0"/>
            <w:vAlign w:val="top"/>
          </w:tcPr>
          <w:p w14:paraId="6A93584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spacing w:val="-6"/>
                <w:sz w:val="24"/>
                <w:szCs w:val="24"/>
                <w:lang w:val="en-US" w:eastAsia="zh-CN"/>
              </w:rPr>
            </w:pPr>
            <w:r>
              <w:rPr>
                <w:rFonts w:hint="eastAsia"/>
                <w:spacing w:val="-6"/>
                <w:sz w:val="24"/>
                <w:szCs w:val="24"/>
                <w:lang w:val="en-US" w:eastAsia="zh-CN"/>
              </w:rPr>
              <w:t>400000</w:t>
            </w:r>
          </w:p>
        </w:tc>
      </w:tr>
    </w:tbl>
    <w:p w14:paraId="5A4904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5、采购需求（包括但不限于标的的名称、数量、简要技术需求或服务要求等）</w:t>
      </w:r>
    </w:p>
    <w:p w14:paraId="1DE6D0B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对标国家和省市战略政策导向，结合新野县发展实际，提出“十五五”时期新野县发展思路、发展目标、发展布局、发展路径、重点任务、重点产业、重点领域、重点工程、重点项目、政策措施及行动方案等，编制形成《新野县国民经济和社会发展第十五个五年规划纲要》。详见附件招标文件。</w:t>
      </w:r>
    </w:p>
    <w:p w14:paraId="66A750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6</w:t>
      </w:r>
      <w:r>
        <w:rPr>
          <w:rFonts w:hint="eastAsia"/>
          <w:spacing w:val="-6"/>
          <w:sz w:val="24"/>
          <w:szCs w:val="24"/>
        </w:rPr>
        <w:t>.合同履行期限：</w:t>
      </w:r>
      <w:r>
        <w:rPr>
          <w:rFonts w:hint="eastAsia"/>
          <w:spacing w:val="-6"/>
          <w:sz w:val="24"/>
          <w:szCs w:val="24"/>
          <w:lang w:val="en-US" w:eastAsia="zh-CN"/>
        </w:rPr>
        <w:t>12个月（根据省市“十五五”规划编制进展情况，期限或适当延长）</w:t>
      </w:r>
    </w:p>
    <w:p w14:paraId="42A23B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val="en-US" w:eastAsia="zh-CN"/>
        </w:rPr>
        <w:t>7</w:t>
      </w:r>
      <w:r>
        <w:rPr>
          <w:rFonts w:hint="eastAsia"/>
          <w:spacing w:val="-6"/>
          <w:sz w:val="24"/>
          <w:szCs w:val="24"/>
        </w:rPr>
        <w:t>.本项目是否接受联合体：</w:t>
      </w:r>
      <w:r>
        <w:rPr>
          <w:rFonts w:hint="eastAsia"/>
          <w:spacing w:val="-6"/>
          <w:sz w:val="24"/>
          <w:szCs w:val="24"/>
          <w:lang w:eastAsia="zh-CN"/>
        </w:rPr>
        <w:t>□</w:t>
      </w:r>
      <w:r>
        <w:rPr>
          <w:rFonts w:hint="eastAsia"/>
          <w:spacing w:val="-6"/>
          <w:sz w:val="24"/>
          <w:szCs w:val="24"/>
        </w:rPr>
        <w:t>是</w:t>
      </w:r>
      <w:r>
        <w:rPr>
          <w:rFonts w:hint="eastAsia"/>
          <w:spacing w:val="-6"/>
          <w:sz w:val="24"/>
          <w:szCs w:val="24"/>
          <w:lang w:eastAsia="zh-CN"/>
        </w:rPr>
        <w:t>☑</w:t>
      </w:r>
      <w:r>
        <w:rPr>
          <w:rFonts w:hint="eastAsia"/>
          <w:spacing w:val="-6"/>
          <w:sz w:val="24"/>
          <w:szCs w:val="24"/>
        </w:rPr>
        <w:t>否。</w:t>
      </w:r>
    </w:p>
    <w:p w14:paraId="4698927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8.是否接受进口产品：否</w:t>
      </w:r>
    </w:p>
    <w:p w14:paraId="155EB98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9.是否专门面向中小企业：是</w:t>
      </w:r>
    </w:p>
    <w:p w14:paraId="2AFFD60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default"/>
          <w:spacing w:val="-6"/>
          <w:sz w:val="24"/>
          <w:szCs w:val="24"/>
          <w:lang w:val="en-US" w:eastAsia="zh-CN"/>
        </w:rPr>
        <w:t>二、申请人的资格要求</w:t>
      </w:r>
    </w:p>
    <w:p w14:paraId="0B3093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val="en-US" w:eastAsia="zh-CN"/>
        </w:rPr>
        <w:t>1、满足《中华人民共和国政府采购法》第二十二条规定；</w:t>
      </w:r>
    </w:p>
    <w:p w14:paraId="08E8060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val="en-US" w:eastAsia="zh-CN"/>
        </w:rPr>
        <w:t>2、</w:t>
      </w:r>
      <w:r>
        <w:rPr>
          <w:spacing w:val="-6"/>
          <w:sz w:val="24"/>
          <w:szCs w:val="24"/>
        </w:rPr>
        <w:t>落实政府采购政策满足的资格要求：</w:t>
      </w:r>
    </w:p>
    <w:p w14:paraId="0BD507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2.1.中小企业政策</w:t>
      </w:r>
    </w:p>
    <w:p w14:paraId="16A5B93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□本项目不专门面向中小企业预留采购份额。</w:t>
      </w:r>
    </w:p>
    <w:p w14:paraId="12B7211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☑本项目专门面向中小企业采购。即：提供的货物全部由符合政策要求的中小/微企业制造、服务全部由符合政策要求的中小/微企业承接。</w:t>
      </w:r>
    </w:p>
    <w:p w14:paraId="61DFF92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5D7BA8B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2.3.本项目支持河南省政府采购合同融资政策和资格信用承诺制。</w:t>
      </w:r>
    </w:p>
    <w:p w14:paraId="622AFD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2.4.本项目是否属于政府购买服务：</w:t>
      </w:r>
    </w:p>
    <w:p w14:paraId="02632A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□否□接受进口产品□不接受进口产品</w:t>
      </w:r>
    </w:p>
    <w:p w14:paraId="532AB69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☑是，公益一类事业单位、使用事业编制且由财政拨款保障的群团组织，不得作为承接主体。</w:t>
      </w:r>
    </w:p>
    <w:p w14:paraId="0E1C8E0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3、本项目特定资格要求</w:t>
      </w:r>
    </w:p>
    <w:p w14:paraId="436C86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3.1.注册于中华人民共和国境内，具有独立承担民事责任能力；</w:t>
      </w:r>
    </w:p>
    <w:p w14:paraId="57CBCF7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3.2.具有良好的商业信誉和健全的财务会计制度；</w:t>
      </w:r>
    </w:p>
    <w:p w14:paraId="2D3B2A3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3.3.具有履行合同所必需的设备和专业技术能力；</w:t>
      </w:r>
    </w:p>
    <w:p w14:paraId="3E6067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3.4.有依法缴纳税收和社会保障资金的良好记录；</w:t>
      </w:r>
    </w:p>
    <w:p w14:paraId="616C4F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3.5.参加政府采购活动前三年内，在经营活动中没有重大违法记录；</w:t>
      </w:r>
    </w:p>
    <w:p w14:paraId="4AA36D9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 xml:space="preserve">3.6.需提供新野县政府采购供应商信用承诺函。 </w:t>
      </w:r>
    </w:p>
    <w:p w14:paraId="65B7DDA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 xml:space="preserve">3.7.根据《关于在政府采购活动中查询及使用信用记录有关问题的通知》（财库〔2016〕125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14:paraId="2952944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三、获取采购文件</w:t>
      </w:r>
    </w:p>
    <w:p w14:paraId="7434C23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lang w:val="en-US" w:eastAsia="zh-CN"/>
        </w:rPr>
        <w:t>1.</w:t>
      </w:r>
      <w:r>
        <w:rPr>
          <w:rFonts w:hint="eastAsia"/>
          <w:spacing w:val="-6"/>
          <w:sz w:val="24"/>
          <w:szCs w:val="24"/>
          <w:lang w:eastAsia="zh-CN"/>
        </w:rPr>
        <w:t xml:space="preserve"> 时间：202</w:t>
      </w:r>
      <w:r>
        <w:rPr>
          <w:rFonts w:hint="eastAsia"/>
          <w:spacing w:val="-6"/>
          <w:sz w:val="24"/>
          <w:szCs w:val="24"/>
          <w:lang w:val="en-US" w:eastAsia="zh-CN"/>
        </w:rPr>
        <w:t>5</w:t>
      </w:r>
      <w:r>
        <w:rPr>
          <w:rFonts w:hint="eastAsia"/>
          <w:spacing w:val="-6"/>
          <w:sz w:val="24"/>
          <w:szCs w:val="24"/>
          <w:lang w:eastAsia="zh-CN"/>
        </w:rPr>
        <w:t>年</w:t>
      </w:r>
      <w:r>
        <w:rPr>
          <w:rFonts w:hint="eastAsia"/>
          <w:spacing w:val="-6"/>
          <w:sz w:val="24"/>
          <w:szCs w:val="24"/>
          <w:lang w:val="en-US" w:eastAsia="zh-CN"/>
        </w:rPr>
        <w:t>5</w:t>
      </w:r>
      <w:r>
        <w:rPr>
          <w:rFonts w:hint="eastAsia"/>
          <w:spacing w:val="-6"/>
          <w:sz w:val="24"/>
          <w:szCs w:val="24"/>
          <w:lang w:eastAsia="zh-CN"/>
        </w:rPr>
        <w:t>月</w:t>
      </w:r>
      <w:r>
        <w:rPr>
          <w:rFonts w:hint="eastAsia"/>
          <w:spacing w:val="-6"/>
          <w:sz w:val="24"/>
          <w:szCs w:val="24"/>
          <w:lang w:val="en-US" w:eastAsia="zh-CN"/>
        </w:rPr>
        <w:t>23</w:t>
      </w:r>
      <w:r>
        <w:rPr>
          <w:rFonts w:hint="eastAsia"/>
          <w:spacing w:val="-6"/>
          <w:sz w:val="24"/>
          <w:szCs w:val="24"/>
          <w:lang w:eastAsia="zh-CN"/>
        </w:rPr>
        <w:t>日至202</w:t>
      </w:r>
      <w:r>
        <w:rPr>
          <w:rFonts w:hint="eastAsia"/>
          <w:spacing w:val="-6"/>
          <w:sz w:val="24"/>
          <w:szCs w:val="24"/>
          <w:lang w:val="en-US" w:eastAsia="zh-CN"/>
        </w:rPr>
        <w:t>5</w:t>
      </w:r>
      <w:r>
        <w:rPr>
          <w:rFonts w:hint="eastAsia"/>
          <w:spacing w:val="-6"/>
          <w:sz w:val="24"/>
          <w:szCs w:val="24"/>
          <w:lang w:eastAsia="zh-CN"/>
        </w:rPr>
        <w:t>年</w:t>
      </w:r>
      <w:r>
        <w:rPr>
          <w:rFonts w:hint="eastAsia"/>
          <w:spacing w:val="-6"/>
          <w:sz w:val="24"/>
          <w:szCs w:val="24"/>
          <w:lang w:val="en-US" w:eastAsia="zh-CN"/>
        </w:rPr>
        <w:t>5</w:t>
      </w:r>
      <w:r>
        <w:rPr>
          <w:rFonts w:hint="eastAsia"/>
          <w:spacing w:val="-6"/>
          <w:sz w:val="24"/>
          <w:szCs w:val="24"/>
          <w:lang w:eastAsia="zh-CN"/>
        </w:rPr>
        <w:t>月</w:t>
      </w:r>
      <w:r>
        <w:rPr>
          <w:rFonts w:hint="eastAsia"/>
          <w:spacing w:val="-6"/>
          <w:sz w:val="24"/>
          <w:szCs w:val="24"/>
          <w:lang w:val="en-US" w:eastAsia="zh-CN"/>
        </w:rPr>
        <w:t>29</w:t>
      </w:r>
      <w:r>
        <w:rPr>
          <w:rFonts w:hint="eastAsia"/>
          <w:spacing w:val="-6"/>
          <w:sz w:val="24"/>
          <w:szCs w:val="24"/>
          <w:lang w:eastAsia="zh-CN"/>
        </w:rPr>
        <w:t>日，每天</w:t>
      </w:r>
      <w:r>
        <w:rPr>
          <w:rFonts w:hint="eastAsia"/>
          <w:spacing w:val="-6"/>
          <w:sz w:val="24"/>
          <w:szCs w:val="24"/>
          <w:lang w:val="en-US" w:eastAsia="zh-CN"/>
        </w:rPr>
        <w:t>上午08</w:t>
      </w:r>
      <w:r>
        <w:rPr>
          <w:rFonts w:hint="eastAsia"/>
          <w:spacing w:val="-6"/>
          <w:sz w:val="24"/>
          <w:szCs w:val="24"/>
          <w:lang w:eastAsia="zh-CN"/>
        </w:rPr>
        <w:t>:00至12:0</w:t>
      </w:r>
      <w:r>
        <w:rPr>
          <w:rFonts w:hint="eastAsia"/>
          <w:spacing w:val="-6"/>
          <w:sz w:val="24"/>
          <w:szCs w:val="24"/>
          <w:lang w:val="en-US" w:eastAsia="zh-CN"/>
        </w:rPr>
        <w:t>0</w:t>
      </w:r>
      <w:r>
        <w:rPr>
          <w:rFonts w:hint="eastAsia"/>
          <w:spacing w:val="-6"/>
          <w:sz w:val="24"/>
          <w:szCs w:val="24"/>
          <w:lang w:eastAsia="zh-CN"/>
        </w:rPr>
        <w:t>，</w:t>
      </w:r>
      <w:r>
        <w:rPr>
          <w:rFonts w:hint="eastAsia"/>
          <w:spacing w:val="-6"/>
          <w:sz w:val="24"/>
          <w:szCs w:val="24"/>
          <w:lang w:val="en-US" w:eastAsia="zh-CN"/>
        </w:rPr>
        <w:t>下午12</w:t>
      </w:r>
      <w:r>
        <w:rPr>
          <w:rFonts w:hint="eastAsia"/>
          <w:spacing w:val="-6"/>
          <w:sz w:val="24"/>
          <w:szCs w:val="24"/>
          <w:lang w:eastAsia="zh-CN"/>
        </w:rPr>
        <w:t>:00至23:59（北京时间，法定节假日除外 ）；</w:t>
      </w:r>
    </w:p>
    <w:p w14:paraId="2D6DB02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lang w:val="en-US" w:eastAsia="zh-CN"/>
        </w:rPr>
        <w:t>2.</w:t>
      </w:r>
      <w:r>
        <w:rPr>
          <w:rFonts w:hint="eastAsia"/>
          <w:spacing w:val="-6"/>
          <w:sz w:val="24"/>
          <w:szCs w:val="24"/>
          <w:lang w:eastAsia="zh-CN"/>
        </w:rPr>
        <w:t>地点：全国公共资源交易平台（河南省﹒新野县）</w:t>
      </w:r>
    </w:p>
    <w:p w14:paraId="54FE08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3.</w:t>
      </w:r>
      <w:r>
        <w:rPr>
          <w:rFonts w:hint="eastAsia"/>
          <w:spacing w:val="-6"/>
          <w:sz w:val="24"/>
          <w:szCs w:val="24"/>
          <w:lang w:eastAsia="zh-CN"/>
        </w:rPr>
        <w:t>方式：</w:t>
      </w:r>
      <w:r>
        <w:rPr>
          <w:rFonts w:hint="eastAsia"/>
          <w:spacing w:val="-6"/>
          <w:sz w:val="24"/>
          <w:szCs w:val="24"/>
          <w:lang w:val="en-US" w:eastAsia="zh-CN"/>
        </w:rPr>
        <w:t>☑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w:t>
      </w:r>
    </w:p>
    <w:p w14:paraId="7B2219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rPr>
        <w:t>4.售价：0元。</w:t>
      </w:r>
    </w:p>
    <w:p w14:paraId="0FF0235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四、响应文件提交</w:t>
      </w:r>
    </w:p>
    <w:p w14:paraId="291505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1、截止时间：2025年6月 11日9 点 30 分（北京时间）。</w:t>
      </w:r>
    </w:p>
    <w:p w14:paraId="720468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rPr>
        <w:t>2.地点：新野县公共资源交易平台（ggzy.xinye.gov.cn）</w:t>
      </w:r>
    </w:p>
    <w:p w14:paraId="6DC8AC8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lang w:val="en-US" w:eastAsia="zh-CN"/>
        </w:rPr>
        <w:t>五、响应文件开启</w:t>
      </w:r>
    </w:p>
    <w:p w14:paraId="2D4B69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default"/>
          <w:spacing w:val="-6"/>
          <w:sz w:val="24"/>
          <w:szCs w:val="24"/>
          <w:lang w:val="en-US" w:eastAsia="zh-CN"/>
        </w:rPr>
        <w:t>1、时间：  2025  年  6 月 11日9 点30分（北京时间）。</w:t>
      </w:r>
    </w:p>
    <w:p w14:paraId="0A4290E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default"/>
          <w:spacing w:val="-6"/>
          <w:sz w:val="24"/>
          <w:szCs w:val="24"/>
          <w:lang w:val="en-US" w:eastAsia="zh-CN"/>
        </w:rPr>
        <w:t>2.地点：新野县公共资源交易平台（ggzy.xinye.gov.cn）</w:t>
      </w:r>
    </w:p>
    <w:p w14:paraId="7B2115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六</w:t>
      </w:r>
      <w:r>
        <w:rPr>
          <w:rFonts w:hint="default"/>
          <w:spacing w:val="-6"/>
          <w:sz w:val="24"/>
          <w:szCs w:val="24"/>
          <w:lang w:val="en-US" w:eastAsia="zh-CN"/>
        </w:rPr>
        <w:t>、发布公告的媒介及公告期限</w:t>
      </w:r>
    </w:p>
    <w:p w14:paraId="13CE8BE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default"/>
          <w:spacing w:val="-6"/>
          <w:sz w:val="24"/>
          <w:szCs w:val="24"/>
          <w:lang w:val="en-US" w:eastAsia="zh-CN"/>
        </w:rPr>
        <w:t>本次招标公告在河南省政府采购网、全国公共资源交易平台（河南省﹒新野县）上发布。公告期限为三个工作日。</w:t>
      </w:r>
    </w:p>
    <w:p w14:paraId="6790BD4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val="en-US" w:eastAsia="zh-CN"/>
        </w:rPr>
        <w:t>七</w:t>
      </w:r>
      <w:r>
        <w:rPr>
          <w:spacing w:val="-6"/>
          <w:sz w:val="24"/>
          <w:szCs w:val="24"/>
        </w:rPr>
        <w:t>、其他补充事宜</w:t>
      </w:r>
    </w:p>
    <w:p w14:paraId="27C9CAE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lang w:eastAsia="zh-CN"/>
        </w:rPr>
        <w:t>(1)本项目采用全流程电子化，供应商应在电子响应文件上传截止时间前登录不见面开标大厅，所有准备工作需要自行到位。开启过程中如遇到紧急事项，可在不见面开标大厅中进行提出异议或文字交流。开启过程中，如因供应商准备不到位、网络问题等情况(30分钟内)造成无法及时解密的，视为该供应商自动放弃，将被退回响应文件。电子交易系统技术支持电话:</w:t>
      </w:r>
      <w:r>
        <w:rPr>
          <w:spacing w:val="-6"/>
          <w:sz w:val="24"/>
          <w:szCs w:val="24"/>
        </w:rPr>
        <w:t>0512-58188538</w:t>
      </w:r>
      <w:r>
        <w:rPr>
          <w:rFonts w:hint="eastAsia"/>
          <w:spacing w:val="-6"/>
          <w:sz w:val="24"/>
          <w:szCs w:val="24"/>
          <w:lang w:eastAsia="zh-CN"/>
        </w:rPr>
        <w:t>。</w:t>
      </w:r>
    </w:p>
    <w:p w14:paraId="3264623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lang w:eastAsia="zh-CN"/>
        </w:rPr>
        <w:t>(</w:t>
      </w:r>
      <w:r>
        <w:rPr>
          <w:rFonts w:hint="eastAsia"/>
          <w:spacing w:val="-6"/>
          <w:sz w:val="24"/>
          <w:szCs w:val="24"/>
          <w:lang w:val="en-US" w:eastAsia="zh-CN"/>
        </w:rPr>
        <w:t>2</w:t>
      </w:r>
      <w:r>
        <w:rPr>
          <w:rFonts w:hint="eastAsia"/>
          <w:spacing w:val="-6"/>
          <w:sz w:val="24"/>
          <w:szCs w:val="24"/>
          <w:lang w:eastAsia="zh-CN"/>
        </w:rPr>
        <w:t>)响应文件递交、解密完成后，投标人需继续等待，并登录会员系统，在评审结束前保持在线状态，确保可以及时接收磋商小组提出的谈判及最终报价要求。</w:t>
      </w:r>
    </w:p>
    <w:p w14:paraId="01A4FC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lang w:eastAsia="zh-CN"/>
        </w:rPr>
        <w:t>(3)投标人应时刻关注会员系统消息提醒，在规定时间内及时回应磋商小组提出的谈判及最终报价要求。</w:t>
      </w:r>
    </w:p>
    <w:p w14:paraId="3BAE575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spacing w:val="-6"/>
          <w:sz w:val="24"/>
          <w:szCs w:val="24"/>
        </w:rPr>
      </w:pPr>
      <w:r>
        <w:rPr>
          <w:rFonts w:hint="eastAsia"/>
          <w:spacing w:val="-6"/>
          <w:sz w:val="24"/>
          <w:szCs w:val="24"/>
          <w:lang w:eastAsia="zh-CN"/>
        </w:rPr>
        <w:t>(4)未按上述要求操作，造成不能参加谈判及最终报价的，后果由相关投标人自行承担。</w:t>
      </w:r>
    </w:p>
    <w:p w14:paraId="400E0C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lang w:val="en-US" w:eastAsia="zh-CN"/>
        </w:rPr>
        <w:t>八</w:t>
      </w:r>
      <w:r>
        <w:rPr>
          <w:rFonts w:hint="eastAsia"/>
          <w:spacing w:val="-6"/>
          <w:sz w:val="24"/>
          <w:szCs w:val="24"/>
        </w:rPr>
        <w:t>、对本次</w:t>
      </w:r>
      <w:r>
        <w:rPr>
          <w:rFonts w:hint="eastAsia"/>
          <w:spacing w:val="-6"/>
          <w:sz w:val="24"/>
          <w:szCs w:val="24"/>
          <w:lang w:val="en-US" w:eastAsia="zh-CN"/>
        </w:rPr>
        <w:t>采购提</w:t>
      </w:r>
      <w:r>
        <w:rPr>
          <w:rFonts w:hint="eastAsia"/>
          <w:spacing w:val="-6"/>
          <w:sz w:val="24"/>
          <w:szCs w:val="24"/>
        </w:rPr>
        <w:t>出询问，请按以下方式联系。</w:t>
      </w:r>
    </w:p>
    <w:p w14:paraId="41CD04F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rPr>
        <w:t>1.采购人信息</w:t>
      </w:r>
    </w:p>
    <w:p w14:paraId="07C7ABF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eastAsia="zh-CN"/>
        </w:rPr>
      </w:pPr>
      <w:r>
        <w:rPr>
          <w:rFonts w:hint="eastAsia"/>
          <w:spacing w:val="-6"/>
          <w:sz w:val="24"/>
          <w:szCs w:val="24"/>
        </w:rPr>
        <w:t>名称：</w:t>
      </w:r>
      <w:r>
        <w:rPr>
          <w:rFonts w:hint="eastAsia"/>
          <w:spacing w:val="-6"/>
          <w:sz w:val="24"/>
          <w:szCs w:val="24"/>
          <w:lang w:eastAsia="zh-CN"/>
        </w:rPr>
        <w:t>新野县发展和改革委员会</w:t>
      </w:r>
    </w:p>
    <w:p w14:paraId="6B15431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rPr>
      </w:pPr>
      <w:r>
        <w:rPr>
          <w:rFonts w:hint="eastAsia"/>
          <w:spacing w:val="-6"/>
          <w:sz w:val="24"/>
          <w:szCs w:val="24"/>
        </w:rPr>
        <w:t>地址：</w:t>
      </w:r>
      <w:r>
        <w:rPr>
          <w:rFonts w:hint="eastAsia"/>
          <w:spacing w:val="-6"/>
          <w:sz w:val="24"/>
          <w:szCs w:val="24"/>
          <w:lang w:eastAsia="zh-CN"/>
        </w:rPr>
        <w:t>新野县政府街</w:t>
      </w:r>
      <w:r>
        <w:rPr>
          <w:rFonts w:hint="eastAsia"/>
          <w:spacing w:val="-6"/>
          <w:sz w:val="24"/>
          <w:szCs w:val="24"/>
          <w:lang w:val="en-US" w:eastAsia="zh-CN"/>
        </w:rPr>
        <w:t>55号</w:t>
      </w:r>
    </w:p>
    <w:p w14:paraId="106561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联系人：陶先生</w:t>
      </w:r>
    </w:p>
    <w:p w14:paraId="22AB067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rPr>
        <w:t>联系方式：</w:t>
      </w:r>
      <w:r>
        <w:rPr>
          <w:rFonts w:hint="eastAsia"/>
          <w:spacing w:val="-6"/>
          <w:sz w:val="24"/>
          <w:szCs w:val="24"/>
          <w:lang w:eastAsia="zh-CN"/>
        </w:rPr>
        <w:t>13838931255</w:t>
      </w:r>
    </w:p>
    <w:p w14:paraId="1FAB9CF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rPr>
      </w:pPr>
      <w:r>
        <w:rPr>
          <w:rFonts w:hint="eastAsia"/>
          <w:spacing w:val="-6"/>
          <w:sz w:val="24"/>
          <w:szCs w:val="24"/>
        </w:rPr>
        <w:t>2.采购代理机构信息</w:t>
      </w:r>
    </w:p>
    <w:p w14:paraId="28E5C8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rPr>
        <w:t>名称：</w:t>
      </w:r>
      <w:r>
        <w:rPr>
          <w:rFonts w:hint="eastAsia"/>
          <w:spacing w:val="-6"/>
          <w:sz w:val="24"/>
          <w:szCs w:val="24"/>
          <w:lang w:val="en-US" w:eastAsia="zh-CN"/>
        </w:rPr>
        <w:t>建领工程项目管理有限公司</w:t>
      </w:r>
    </w:p>
    <w:p w14:paraId="06A80CF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rPr>
        <w:t>地址：</w:t>
      </w:r>
      <w:r>
        <w:rPr>
          <w:rFonts w:hint="eastAsia"/>
          <w:spacing w:val="-6"/>
          <w:sz w:val="24"/>
          <w:szCs w:val="24"/>
          <w:lang w:val="en-US" w:eastAsia="zh-CN"/>
        </w:rPr>
        <w:t>南阳市宛城区建业凯旋广场20号楼418室</w:t>
      </w:r>
    </w:p>
    <w:p w14:paraId="345B5A4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spacing w:val="-6"/>
          <w:sz w:val="24"/>
          <w:szCs w:val="24"/>
          <w:lang w:val="en-US" w:eastAsia="zh-CN"/>
        </w:rPr>
      </w:pPr>
      <w:r>
        <w:rPr>
          <w:rFonts w:hint="eastAsia"/>
          <w:spacing w:val="-6"/>
          <w:sz w:val="24"/>
          <w:szCs w:val="24"/>
          <w:lang w:val="en-US" w:eastAsia="zh-CN"/>
        </w:rPr>
        <w:t>联系人：詹兵耀</w:t>
      </w:r>
    </w:p>
    <w:p w14:paraId="0C07928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spacing w:val="-6"/>
          <w:sz w:val="24"/>
          <w:szCs w:val="24"/>
          <w:lang w:val="en-US" w:eastAsia="zh-CN"/>
        </w:rPr>
      </w:pPr>
      <w:r>
        <w:rPr>
          <w:rFonts w:hint="eastAsia"/>
          <w:spacing w:val="-6"/>
          <w:sz w:val="24"/>
          <w:szCs w:val="24"/>
        </w:rPr>
        <w:t>联系方式：</w:t>
      </w:r>
      <w:r>
        <w:rPr>
          <w:rFonts w:hint="eastAsia"/>
          <w:spacing w:val="-6"/>
          <w:sz w:val="24"/>
          <w:szCs w:val="24"/>
          <w:lang w:val="en-US" w:eastAsia="zh-CN"/>
        </w:rPr>
        <w:t>15670221677</w:t>
      </w:r>
    </w:p>
    <w:p w14:paraId="41216D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5B3BC9D8">
      <w:pPr>
        <w:pStyle w:val="4"/>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bookmarkStart w:id="8" w:name="_GoBack"/>
      <w:bookmarkEnd w:id="8"/>
    </w:p>
    <w:p w14:paraId="1140904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3570" w:firstLineChars="17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采购代理机构名称：建领工程项目管理有限公司</w:t>
      </w:r>
    </w:p>
    <w:p w14:paraId="589F4C7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3638" w:firstLineChars="17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5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23 </w:t>
      </w:r>
      <w:r>
        <w:rPr>
          <w:rFonts w:hint="eastAsia" w:asciiTheme="minorEastAsia" w:hAnsiTheme="minorEastAsia" w:eastAsiaTheme="minorEastAsia" w:cstheme="minorEastAsia"/>
          <w:color w:val="auto"/>
          <w:spacing w:val="-13"/>
          <w:sz w:val="24"/>
          <w:szCs w:val="24"/>
        </w:rPr>
        <w:t>日</w:t>
      </w:r>
    </w:p>
    <w:bookmarkEnd w:id="1"/>
    <w:p w14:paraId="2B529463">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514241BE">
      <w:pPr>
        <w:rPr>
          <w:spacing w:val="-1"/>
          <w:position w:val="24"/>
          <w:sz w:val="36"/>
          <w:szCs w:val="36"/>
          <w14:textOutline w14:w="2306" w14:cap="flat" w14:cmpd="sng">
            <w14:solidFill>
              <w14:srgbClr w14:val="000000"/>
            </w14:solidFill>
            <w14:prstDash w14:val="solid"/>
            <w14:miter w14:val="0"/>
          </w14:textOutline>
        </w:rPr>
      </w:pPr>
    </w:p>
    <w:p w14:paraId="6242EA19">
      <w:pPr>
        <w:rPr>
          <w:spacing w:val="-1"/>
          <w:position w:val="24"/>
          <w:sz w:val="36"/>
          <w:szCs w:val="36"/>
          <w14:textOutline w14:w="2306" w14:cap="flat" w14:cmpd="sng">
            <w14:solidFill>
              <w14:srgbClr w14:val="000000"/>
            </w14:solidFill>
            <w14:prstDash w14:val="solid"/>
            <w14:miter w14:val="0"/>
          </w14:textOutline>
        </w:rPr>
      </w:pPr>
    </w:p>
    <w:p w14:paraId="24677BE4">
      <w:pPr>
        <w:rPr>
          <w:spacing w:val="-1"/>
          <w:position w:val="24"/>
          <w:sz w:val="36"/>
          <w:szCs w:val="36"/>
          <w14:textOutline w14:w="2306" w14:cap="flat" w14:cmpd="sng">
            <w14:solidFill>
              <w14:srgbClr w14:val="000000"/>
            </w14:solidFill>
            <w14:prstDash w14:val="solid"/>
            <w14:miter w14:val="0"/>
          </w14:textOutline>
        </w:rPr>
      </w:pPr>
    </w:p>
    <w:p w14:paraId="29AFFDB8">
      <w:pPr>
        <w:rPr>
          <w:spacing w:val="-1"/>
          <w:position w:val="24"/>
          <w:sz w:val="36"/>
          <w:szCs w:val="36"/>
          <w14:textOutline w14:w="2306" w14:cap="flat" w14:cmpd="sng">
            <w14:solidFill>
              <w14:srgbClr w14:val="000000"/>
            </w14:solidFill>
            <w14:prstDash w14:val="solid"/>
            <w14:miter w14:val="0"/>
          </w14:textOutline>
        </w:rPr>
      </w:pPr>
    </w:p>
    <w:p w14:paraId="44C40E28">
      <w:pPr>
        <w:rPr>
          <w:spacing w:val="-1"/>
          <w:position w:val="24"/>
          <w:sz w:val="36"/>
          <w:szCs w:val="36"/>
          <w14:textOutline w14:w="2306" w14:cap="flat" w14:cmpd="sng">
            <w14:solidFill>
              <w14:srgbClr w14:val="000000"/>
            </w14:solidFill>
            <w14:prstDash w14:val="solid"/>
            <w14:miter w14:val="0"/>
          </w14:textOutline>
        </w:rPr>
      </w:pPr>
    </w:p>
    <w:p w14:paraId="331865E5">
      <w:pPr>
        <w:rPr>
          <w:spacing w:val="-1"/>
          <w:position w:val="24"/>
          <w:sz w:val="36"/>
          <w:szCs w:val="36"/>
          <w14:textOutline w14:w="2306" w14:cap="flat" w14:cmpd="sng">
            <w14:solidFill>
              <w14:srgbClr w14:val="000000"/>
            </w14:solidFill>
            <w14:prstDash w14:val="solid"/>
            <w14:miter w14:val="0"/>
          </w14:textOutline>
        </w:rPr>
      </w:pPr>
    </w:p>
    <w:p w14:paraId="4F55D733">
      <w:pPr>
        <w:rPr>
          <w:spacing w:val="-1"/>
          <w:position w:val="24"/>
          <w:sz w:val="36"/>
          <w:szCs w:val="36"/>
          <w14:textOutline w14:w="2306" w14:cap="flat" w14:cmpd="sng">
            <w14:solidFill>
              <w14:srgbClr w14:val="000000"/>
            </w14:solidFill>
            <w14:prstDash w14:val="solid"/>
            <w14:miter w14:val="0"/>
          </w14:textOutline>
        </w:rPr>
      </w:pPr>
    </w:p>
    <w:p w14:paraId="255BCB0B">
      <w:pPr>
        <w:rPr>
          <w:spacing w:val="-1"/>
          <w:position w:val="24"/>
          <w:sz w:val="36"/>
          <w:szCs w:val="36"/>
          <w14:textOutline w14:w="2306" w14:cap="flat" w14:cmpd="sng">
            <w14:solidFill>
              <w14:srgbClr w14:val="000000"/>
            </w14:solidFill>
            <w14:prstDash w14:val="solid"/>
            <w14:miter w14:val="0"/>
          </w14:textOutline>
        </w:rPr>
      </w:pPr>
    </w:p>
    <w:p w14:paraId="71BFCEF0">
      <w:pPr>
        <w:rPr>
          <w:spacing w:val="-1"/>
          <w:position w:val="24"/>
          <w:sz w:val="36"/>
          <w:szCs w:val="36"/>
          <w14:textOutline w14:w="2306" w14:cap="flat" w14:cmpd="sng">
            <w14:solidFill>
              <w14:srgbClr w14:val="000000"/>
            </w14:solidFill>
            <w14:prstDash w14:val="solid"/>
            <w14:miter w14:val="0"/>
          </w14:textOutline>
        </w:rPr>
      </w:pPr>
    </w:p>
    <w:p w14:paraId="3FFBC9C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D65E1E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E52C6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pacing w:val="-15"/>
          <w:sz w:val="24"/>
          <w:szCs w:val="24"/>
        </w:rPr>
      </w:pPr>
      <w:r>
        <w:rPr>
          <w:rFonts w:hint="eastAsia" w:ascii="宋体" w:hAnsi="宋体" w:eastAsia="宋体" w:cs="宋体"/>
          <w:spacing w:val="-1"/>
          <w:sz w:val="36"/>
          <w:szCs w:val="36"/>
        </w:rPr>
        <w:t>第二章</w:t>
      </w:r>
      <w:r>
        <w:rPr>
          <w:rFonts w:hint="eastAsia" w:ascii="宋体" w:hAnsi="宋体" w:eastAsia="宋体" w:cs="宋体"/>
          <w:spacing w:val="-1"/>
          <w:sz w:val="36"/>
          <w:szCs w:val="36"/>
          <w:lang w:val="en-US" w:eastAsia="zh-CN"/>
        </w:rPr>
        <w:t xml:space="preserve"> </w:t>
      </w:r>
      <w:r>
        <w:rPr>
          <w:rFonts w:hint="eastAsia" w:ascii="宋体" w:hAnsi="宋体" w:eastAsia="宋体" w:cs="宋体"/>
          <w:spacing w:val="-1"/>
          <w:sz w:val="36"/>
          <w:szCs w:val="36"/>
        </w:rPr>
        <w:t>采购需求</w:t>
      </w:r>
    </w:p>
    <w:p w14:paraId="2193001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rPr>
      </w:pPr>
      <w:r>
        <w:rPr>
          <w:rFonts w:hint="eastAsia" w:ascii="宋体" w:hAnsi="宋体" w:eastAsia="宋体" w:cs="宋体"/>
          <w:spacing w:val="-1"/>
          <w:sz w:val="24"/>
          <w:szCs w:val="24"/>
        </w:rPr>
        <w:t>一、采购</w:t>
      </w:r>
      <w:r>
        <w:rPr>
          <w:rFonts w:hint="eastAsia" w:ascii="宋体" w:hAnsi="宋体" w:eastAsia="宋体" w:cs="宋体"/>
          <w:spacing w:val="-1"/>
          <w:sz w:val="24"/>
          <w:szCs w:val="24"/>
          <w:lang w:val="en-US" w:eastAsia="zh-CN"/>
        </w:rPr>
        <w:t>内容及要求</w:t>
      </w:r>
    </w:p>
    <w:p w14:paraId="02F0726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2"/>
        <w:rPr>
          <w:rFonts w:hint="eastAsia" w:cs="宋体"/>
          <w:color w:val="auto"/>
          <w:kern w:val="0"/>
          <w:sz w:val="24"/>
          <w:lang w:val="en-US" w:eastAsia="zh-CN" w:bidi="ar"/>
        </w:rPr>
      </w:pPr>
      <w:bookmarkStart w:id="2" w:name="OLE_LINK15"/>
      <w:r>
        <w:rPr>
          <w:rFonts w:hint="eastAsia" w:cs="宋体"/>
          <w:color w:val="auto"/>
          <w:kern w:val="0"/>
          <w:sz w:val="24"/>
          <w:lang w:val="en-US" w:eastAsia="zh-CN" w:bidi="ar"/>
        </w:rPr>
        <w:t>对标国家和省市战略政策导向，结合新野县发展实际，提出“十五五”时期新野县发展思路、发展目标、发展布局、发展路径、重点任务、重点产业、重点领域、重点工程、重点项目、政策措施及行动方案等，编制形成《新野县国民经济和社会发展第十五个五年规划纲要》</w:t>
      </w:r>
    </w:p>
    <w:bookmarkEnd w:id="2"/>
    <w:p w14:paraId="06023A4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rPr>
        <w:t>二、</w:t>
      </w:r>
      <w:r>
        <w:rPr>
          <w:rFonts w:hint="eastAsia" w:ascii="宋体" w:hAnsi="宋体" w:eastAsia="宋体" w:cs="宋体"/>
          <w:spacing w:val="1"/>
          <w:sz w:val="24"/>
          <w:szCs w:val="24"/>
          <w:lang w:val="en-US" w:eastAsia="zh-CN"/>
        </w:rPr>
        <w:t>项目</w:t>
      </w:r>
      <w:r>
        <w:rPr>
          <w:rFonts w:hint="eastAsia" w:ascii="宋体" w:hAnsi="宋体" w:eastAsia="宋体" w:cs="宋体"/>
          <w:spacing w:val="1"/>
          <w:sz w:val="24"/>
          <w:szCs w:val="24"/>
        </w:rPr>
        <w:t>商务要求</w:t>
      </w:r>
    </w:p>
    <w:p w14:paraId="3780476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2"/>
        <w:rPr>
          <w:rFonts w:hint="eastAsia" w:ascii="宋体" w:hAnsi="宋体" w:eastAsia="宋体" w:cs="宋体"/>
          <w:color w:val="auto"/>
          <w:spacing w:val="-1"/>
          <w:sz w:val="24"/>
          <w:szCs w:val="24"/>
        </w:rPr>
      </w:pPr>
      <w:bookmarkStart w:id="3" w:name="OLE_LINK16"/>
      <w:r>
        <w:rPr>
          <w:rFonts w:hint="eastAsia" w:cs="宋体"/>
          <w:color w:val="auto"/>
          <w:spacing w:val="-1"/>
          <w:sz w:val="24"/>
          <w:szCs w:val="24"/>
          <w:lang w:val="en-US" w:eastAsia="zh-CN"/>
        </w:rPr>
        <w:t>1、</w:t>
      </w:r>
      <w:r>
        <w:rPr>
          <w:rFonts w:hint="eastAsia" w:ascii="宋体" w:hAnsi="宋体" w:eastAsia="宋体" w:cs="宋体"/>
          <w:color w:val="auto"/>
          <w:spacing w:val="-1"/>
          <w:sz w:val="24"/>
          <w:szCs w:val="24"/>
        </w:rPr>
        <w:t>采购范围：</w:t>
      </w:r>
      <w:r>
        <w:rPr>
          <w:rFonts w:hint="eastAsia" w:cs="宋体"/>
          <w:color w:val="auto"/>
          <w:kern w:val="0"/>
          <w:sz w:val="24"/>
          <w:lang w:val="en-US" w:eastAsia="zh-CN" w:bidi="ar"/>
        </w:rPr>
        <w:t>对标国家和省市战略政策导向，结合新野县发展实际，提出“十五五”时期新野县发展思路、发展目标、发展布局、发展路径、重点任务、重点产业、重点领域、重点工程、重点项目、政策措施及行动方案等，编制形成《新野县国民经济和社会发展第十五个五年规划纲要》</w:t>
      </w:r>
    </w:p>
    <w:p w14:paraId="572D6D5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pacing w:val="-1"/>
          <w:sz w:val="24"/>
          <w:szCs w:val="24"/>
          <w:lang w:eastAsia="zh-CN"/>
        </w:rPr>
      </w:pPr>
      <w:bookmarkStart w:id="4" w:name="OLE_LINK3"/>
      <w:r>
        <w:rPr>
          <w:rFonts w:hint="eastAsia" w:cs="宋体"/>
          <w:color w:val="auto"/>
          <w:spacing w:val="-1"/>
          <w:sz w:val="24"/>
          <w:szCs w:val="24"/>
          <w:lang w:val="en-US" w:eastAsia="zh-CN"/>
        </w:rPr>
        <w:t>2、</w:t>
      </w:r>
      <w:r>
        <w:rPr>
          <w:rFonts w:hint="eastAsia" w:ascii="宋体" w:hAnsi="宋体" w:eastAsia="宋体" w:cs="宋体"/>
          <w:color w:val="auto"/>
          <w:spacing w:val="-1"/>
          <w:sz w:val="24"/>
          <w:szCs w:val="24"/>
        </w:rPr>
        <w:t>质量要求：符合国家及地方相关规范和标准的要求</w:t>
      </w:r>
      <w:r>
        <w:rPr>
          <w:rFonts w:hint="eastAsia" w:cs="宋体"/>
          <w:color w:val="auto"/>
          <w:spacing w:val="-1"/>
          <w:sz w:val="24"/>
          <w:szCs w:val="24"/>
          <w:lang w:eastAsia="zh-CN"/>
        </w:rPr>
        <w:t>。</w:t>
      </w:r>
    </w:p>
    <w:p w14:paraId="7F0C3FF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rPr>
          <w:rFonts w:hint="eastAsia" w:ascii="宋体" w:hAnsi="宋体" w:eastAsia="宋体" w:cs="宋体"/>
          <w:color w:val="auto"/>
          <w:spacing w:val="-1"/>
          <w:sz w:val="24"/>
          <w:szCs w:val="24"/>
        </w:rPr>
      </w:pPr>
      <w:r>
        <w:rPr>
          <w:rFonts w:hint="eastAsia" w:cs="宋体"/>
          <w:color w:val="auto"/>
          <w:spacing w:val="-1"/>
          <w:sz w:val="24"/>
          <w:szCs w:val="24"/>
          <w:lang w:val="en-US" w:eastAsia="zh-CN"/>
        </w:rPr>
        <w:t>3、</w:t>
      </w:r>
      <w:r>
        <w:rPr>
          <w:rFonts w:hint="eastAsia" w:asciiTheme="minorEastAsia" w:hAnsiTheme="minorEastAsia" w:eastAsiaTheme="minorEastAsia" w:cstheme="minorEastAsia"/>
          <w:color w:val="auto"/>
          <w:spacing w:val="-5"/>
          <w:sz w:val="24"/>
          <w:szCs w:val="24"/>
        </w:rPr>
        <w:t>合同履行期限</w:t>
      </w:r>
      <w:r>
        <w:rPr>
          <w:rFonts w:hint="eastAsia" w:ascii="宋体" w:hAnsi="宋体" w:eastAsia="宋体" w:cs="宋体"/>
          <w:color w:val="auto"/>
          <w:spacing w:val="-1"/>
          <w:sz w:val="24"/>
          <w:szCs w:val="24"/>
        </w:rPr>
        <w:t>：</w:t>
      </w:r>
      <w:r>
        <w:rPr>
          <w:rFonts w:hint="eastAsia" w:asciiTheme="minorEastAsia" w:hAnsiTheme="minorEastAsia" w:eastAsiaTheme="minorEastAsia" w:cstheme="minorEastAsia"/>
          <w:color w:val="auto"/>
          <w:spacing w:val="-5"/>
          <w:sz w:val="24"/>
          <w:szCs w:val="24"/>
          <w:lang w:val="en-US" w:eastAsia="zh-CN"/>
        </w:rPr>
        <w:t>12个月（根据省市十五五规划编制进展情况，期限或适当延长）</w:t>
      </w:r>
      <w:r>
        <w:rPr>
          <w:rFonts w:hint="eastAsia" w:ascii="宋体" w:hAnsi="宋体" w:eastAsia="宋体" w:cs="宋体"/>
          <w:color w:val="auto"/>
          <w:spacing w:val="-1"/>
          <w:sz w:val="24"/>
          <w:szCs w:val="24"/>
        </w:rPr>
        <w:t>；</w:t>
      </w:r>
    </w:p>
    <w:p w14:paraId="3632B8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宋体" w:hAnsi="宋体" w:eastAsia="宋体" w:cs="宋体"/>
          <w:color w:val="auto"/>
          <w:spacing w:val="-1"/>
          <w:sz w:val="24"/>
          <w:szCs w:val="24"/>
          <w:lang w:val="en-US" w:eastAsia="zh-CN"/>
        </w:rPr>
      </w:pPr>
      <w:r>
        <w:rPr>
          <w:rFonts w:hint="eastAsia" w:cs="宋体"/>
          <w:color w:val="auto"/>
          <w:spacing w:val="-1"/>
          <w:sz w:val="24"/>
          <w:szCs w:val="24"/>
          <w:lang w:val="en-US" w:eastAsia="zh-CN"/>
        </w:rPr>
        <w:t>4、</w:t>
      </w:r>
      <w:r>
        <w:rPr>
          <w:rFonts w:hint="eastAsia" w:ascii="宋体" w:hAnsi="宋体" w:eastAsia="宋体" w:cs="宋体"/>
          <w:color w:val="auto"/>
          <w:spacing w:val="-1"/>
          <w:sz w:val="24"/>
          <w:szCs w:val="24"/>
        </w:rPr>
        <w:t>付款办法：在签订本合同后一个月内，甲方支付给乙方项目总预算50%；</w:t>
      </w:r>
      <w:r>
        <w:rPr>
          <w:rFonts w:hint="eastAsia" w:cs="宋体"/>
          <w:color w:val="auto"/>
          <w:spacing w:val="-1"/>
          <w:sz w:val="24"/>
          <w:szCs w:val="24"/>
          <w:lang w:val="en-US" w:eastAsia="zh-CN"/>
        </w:rPr>
        <w:t>剩余50%待十四五规划文本经县委常委会通过后一次付清；</w:t>
      </w:r>
    </w:p>
    <w:p w14:paraId="4FF4E09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pacing w:val="-1"/>
          <w:sz w:val="24"/>
          <w:szCs w:val="24"/>
          <w:lang w:eastAsia="zh-CN"/>
        </w:rPr>
      </w:pPr>
      <w:r>
        <w:rPr>
          <w:rFonts w:hint="eastAsia" w:cs="宋体"/>
          <w:color w:val="auto"/>
          <w:spacing w:val="-1"/>
          <w:sz w:val="24"/>
          <w:szCs w:val="24"/>
          <w:lang w:val="en-US" w:eastAsia="zh-CN"/>
        </w:rPr>
        <w:t>5</w:t>
      </w:r>
      <w:r>
        <w:rPr>
          <w:rFonts w:hint="eastAsia" w:ascii="宋体" w:hAnsi="宋体" w:eastAsia="宋体" w:cs="宋体"/>
          <w:color w:val="auto"/>
          <w:spacing w:val="-1"/>
          <w:sz w:val="24"/>
          <w:szCs w:val="24"/>
        </w:rPr>
        <w:t>、标段划分：共一个标段</w:t>
      </w:r>
      <w:r>
        <w:rPr>
          <w:rFonts w:hint="eastAsia" w:cs="宋体"/>
          <w:color w:val="auto"/>
          <w:spacing w:val="-1"/>
          <w:sz w:val="24"/>
          <w:szCs w:val="24"/>
          <w:lang w:eastAsia="zh-CN"/>
        </w:rPr>
        <w:t>。</w:t>
      </w:r>
    </w:p>
    <w:bookmarkEnd w:id="3"/>
    <w:bookmarkEnd w:id="4"/>
    <w:p w14:paraId="4C43DF3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rPr>
        <w:t>其他要求（如有）</w:t>
      </w:r>
    </w:p>
    <w:p w14:paraId="7F98A41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952" w:firstLineChars="400"/>
        <w:jc w:val="both"/>
        <w:textAlignment w:val="baseline"/>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无</w:t>
      </w:r>
    </w:p>
    <w:p w14:paraId="186B767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341480B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6B7B035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7A0ED9BA">
      <w:pPr>
        <w:rPr>
          <w:rFonts w:hint="eastAsia"/>
          <w:lang w:val="en-US" w:eastAsia="zh-CN"/>
        </w:rPr>
      </w:pP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p>
    <w:p w14:paraId="3DCDD533">
      <w:pPr>
        <w:rPr>
          <w:rFonts w:hint="eastAsia"/>
          <w:lang w:val="en-US" w:eastAsia="zh-CN"/>
        </w:rPr>
      </w:pPr>
    </w:p>
    <w:p w14:paraId="7D71EA8A">
      <w:pPr>
        <w:rPr>
          <w:rFonts w:hint="eastAsia"/>
          <w:lang w:val="en-US" w:eastAsia="zh-CN"/>
        </w:rPr>
      </w:pPr>
    </w:p>
    <w:p w14:paraId="05BFB2A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36EDBE2A">
      <w:pP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48DFE17F">
      <w:pP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pPr>
    </w:p>
    <w:p w14:paraId="1A59BA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65BB2D2F">
      <w:pPr>
        <w:pStyle w:val="4"/>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191B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E71AFE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651EF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604B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A78063">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D3309BF">
            <w:pPr>
              <w:pStyle w:val="2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730C1038">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01E946F0">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1A673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78C663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01D20C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7BB36C34">
            <w:pPr>
              <w:pStyle w:val="2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922F119">
            <w:pPr>
              <w:pStyle w:val="2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D262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B1CD0F1">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717AD42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AE4B34D">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1F87F89E">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5B055751">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04B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A742A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EC4AB37">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6E122D48">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F2764D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1C2C4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19237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2E0F522">
            <w:pPr>
              <w:pStyle w:val="20"/>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其他未列明行业</w:t>
            </w:r>
            <w:r>
              <w:rPr>
                <w:rFonts w:hint="eastAsia" w:asciiTheme="minorEastAsia" w:hAnsiTheme="minorEastAsia" w:eastAsiaTheme="minorEastAsia" w:cstheme="minorEastAsia"/>
                <w:snapToGrid w:val="0"/>
                <w:color w:val="000000"/>
                <w:spacing w:val="14"/>
                <w:kern w:val="0"/>
                <w:sz w:val="24"/>
                <w:szCs w:val="24"/>
                <w:lang w:val="en-US" w:eastAsia="zh-CN" w:bidi="ar-SA"/>
              </w:rPr>
              <w:t xml:space="preserve"> </w:t>
            </w:r>
          </w:p>
          <w:p w14:paraId="109BE105">
            <w:pPr>
              <w:pStyle w:val="2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14"/>
                <w:kern w:val="0"/>
                <w:sz w:val="24"/>
                <w:szCs w:val="24"/>
                <w:lang w:val="en-US" w:eastAsia="zh-CN" w:bidi="ar-SA"/>
              </w:rPr>
              <w:t xml:space="preserve">本项目专门面向中小企业采购。 </w:t>
            </w:r>
          </w:p>
          <w:p w14:paraId="07CE46AB">
            <w:pPr>
              <w:keepNext w:val="0"/>
              <w:keepLines w:val="0"/>
              <w:pageBreakBefore w:val="0"/>
              <w:widowControl/>
              <w:kinsoku/>
              <w:wordWrap w:val="0"/>
              <w:overflowPunct/>
              <w:topLinePunct w:val="0"/>
              <w:autoSpaceDE/>
              <w:autoSpaceDN/>
              <w:bidi w:val="0"/>
              <w:adjustRightInd/>
              <w:snapToGrid/>
              <w:jc w:val="left"/>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5F1AE0B0">
            <w:pPr>
              <w:keepNext w:val="0"/>
              <w:keepLines w:val="0"/>
              <w:pageBreakBefore w:val="0"/>
              <w:widowControl/>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5535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FBAAC1A">
            <w:pPr>
              <w:pStyle w:val="2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289E94B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E091ABA">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1F81D5AA">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665767E">
            <w:pPr>
              <w:pStyle w:val="2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rPr>
              <w:t>有，具体情形：。</w:t>
            </w:r>
          </w:p>
          <w:p w14:paraId="6C2C06A6">
            <w:pPr>
              <w:pStyle w:val="2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5B42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68EFE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D48E09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40  </w:t>
            </w:r>
            <w:r>
              <w:rPr>
                <w:rFonts w:hint="eastAsia" w:asciiTheme="minorEastAsia" w:hAnsiTheme="minorEastAsia" w:eastAsiaTheme="minorEastAsia" w:cstheme="minorEastAsia"/>
                <w:b w:val="0"/>
                <w:bCs/>
                <w:sz w:val="24"/>
                <w:szCs w:val="24"/>
                <w:lang w:val="en-US" w:eastAsia="zh-CN"/>
              </w:rPr>
              <w:t>万元</w:t>
            </w:r>
          </w:p>
        </w:tc>
      </w:tr>
      <w:tr w14:paraId="766C4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2DA7F7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B44ECA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355CB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22DBB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FF678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66D44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F4D70C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3FC4C8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2025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6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11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9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30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snapToGrid w:val="0"/>
                <w:color w:val="auto"/>
                <w:spacing w:val="14"/>
                <w:kern w:val="0"/>
                <w:sz w:val="24"/>
                <w:szCs w:val="24"/>
                <w:lang w:val="en-US" w:eastAsia="zh-CN" w:bidi="ar-SA"/>
              </w:rPr>
              <w:t>（北京时间）</w:t>
            </w:r>
          </w:p>
        </w:tc>
      </w:tr>
      <w:tr w14:paraId="4FFEB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F8BD8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723132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2025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6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11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9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30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snapToGrid w:val="0"/>
                <w:color w:val="auto"/>
                <w:spacing w:val="14"/>
                <w:kern w:val="0"/>
                <w:sz w:val="24"/>
                <w:szCs w:val="24"/>
                <w:lang w:val="en-US" w:eastAsia="zh-CN" w:bidi="ar-SA"/>
              </w:rPr>
              <w:t>（北京时间）</w:t>
            </w:r>
          </w:p>
        </w:tc>
      </w:tr>
      <w:tr w14:paraId="1236F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9878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6B75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0A0EE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BB483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0048D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1A630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7FC45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E013589">
            <w:pPr>
              <w:pStyle w:val="2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054D996F">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467BCD3E">
            <w:pPr>
              <w:pStyle w:val="20"/>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收费标准：豫招协[2023]002号文招标代理服务收费标准由中标人向招标代理机构支付代理服务费。</w:t>
            </w:r>
          </w:p>
        </w:tc>
      </w:tr>
    </w:tbl>
    <w:p w14:paraId="2F1970F3">
      <w:pPr>
        <w:keepNext w:val="0"/>
        <w:keepLines w:val="0"/>
        <w:pageBreakBefore w:val="0"/>
        <w:kinsoku/>
        <w:wordWrap w:val="0"/>
        <w:overflowPunct/>
        <w:topLinePunct w:val="0"/>
        <w:bidi w:val="0"/>
        <w:spacing w:line="244" w:lineRule="auto"/>
        <w:jc w:val="both"/>
        <w:rPr>
          <w:rFonts w:ascii="Arial"/>
          <w:sz w:val="21"/>
        </w:rPr>
      </w:pPr>
    </w:p>
    <w:p w14:paraId="15A20ABA">
      <w:pPr>
        <w:pStyle w:val="4"/>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774348FA">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25DEBAA5">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6383BB5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04AED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419E710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r>
        <w:rPr>
          <w:rFonts w:hint="eastAsia" w:asciiTheme="minorEastAsia" w:hAnsiTheme="minorEastAsia" w:eastAsiaTheme="minorEastAsia" w:cstheme="minorEastAsia"/>
          <w:spacing w:val="2"/>
          <w:sz w:val="24"/>
          <w:szCs w:val="24"/>
          <w:lang w:val="en-US" w:eastAsia="zh-CN"/>
        </w:rPr>
        <w:t xml:space="preserve">                </w:t>
      </w:r>
    </w:p>
    <w:p w14:paraId="5A318A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D9C797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2679DD8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40 </w:t>
      </w:r>
      <w:r>
        <w:rPr>
          <w:rFonts w:hint="eastAsia" w:asciiTheme="minorEastAsia" w:hAnsiTheme="minorEastAsia" w:eastAsiaTheme="minorEastAsia" w:cstheme="minorEastAsia"/>
          <w:spacing w:val="7"/>
          <w:sz w:val="24"/>
          <w:szCs w:val="24"/>
          <w:u w:val="none"/>
          <w:lang w:val="en-US" w:eastAsia="zh-CN"/>
        </w:rPr>
        <w:t>万元。</w:t>
      </w:r>
    </w:p>
    <w:p w14:paraId="10466EB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81D75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69B4C7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82A39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103005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7DCF126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BB4E3F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4023CC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422B4B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3B87B42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以及新野县财政局的具体规定</w:t>
      </w:r>
      <w:r>
        <w:rPr>
          <w:rFonts w:hint="eastAsia" w:asciiTheme="minorEastAsia" w:hAnsiTheme="minorEastAsia" w:eastAsiaTheme="minorEastAsia" w:cstheme="minorEastAsia"/>
          <w:spacing w:val="5"/>
          <w:sz w:val="24"/>
          <w:szCs w:val="24"/>
        </w:rPr>
        <w:t>。</w:t>
      </w:r>
    </w:p>
    <w:p w14:paraId="5C7AD93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20BA6E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7AF5897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9B3C32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471ED3A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4CF866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4647A8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B0929A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0CB557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700E22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09F9C59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540BA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BFC13F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78BC70C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46FEC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54DD410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33611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C91A6D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46BD79A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2F3302E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5F574F3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F5804D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AF9FF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AF0948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482C82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0C1A6A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55FA7D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2FA2DAF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433DD3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7C4FDF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8CB59F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78E77B2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E9FB94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529DB4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60EE994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3C9B885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3C17021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1C5CAC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AE09E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新野县财政局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CE15F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《新野县国民经济和社会发展第十五个五年规划纲要》编制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49CD83C0">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7A11FC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412204A7">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3FB08D4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4C86022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400B7F7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3C5C6A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24E15A4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5B68D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0B7473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FC8220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D40113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46E2EC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5D9DBA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19E418F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新野县公共资源交易中心网”等媒体发布，请潜在供应商随时查询有关公告信息。若因潜在供应商没有及时查看到公告信息而造成的失误，责任自负。</w:t>
      </w:r>
    </w:p>
    <w:p w14:paraId="022427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0D0DDA07">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0486FB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7E04FE3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0509735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51B9403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07374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5AC1366B">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5B91467A">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39E2441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557E57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D55F01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58DC59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499F694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1EBCD5D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42CD384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0D023A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0DE707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20B3BFC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74D176F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3512EE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44F6AA3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03DE64FC">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1B131336">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1FB387F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2E106524">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6B4CF4C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5199FD8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5F56F5F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47DD79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43A832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spacing w:val="-4"/>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rPr>
        <w:t>13.2 竞争性磋商文件要求盖章的内容，一般通过CA或电子营业执照加盖电子签章。</w:t>
      </w:r>
    </w:p>
    <w:p w14:paraId="6C8D7AF3">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3F7971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059C0D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新野县公共资源交易中心网上交易系统或新野县公共资源电子营业执照应用平台系统在上传截止时间前完成制作软件生成的加密电子响应文件的上传。未在上传截止时间前完成上传的，视为逾期提交。逾期提交的响应文件不予受理。</w:t>
      </w:r>
    </w:p>
    <w:p w14:paraId="6BEF263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5DB162F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246BD6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73CE524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1704D63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新野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05C2012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1ED8D2A">
      <w:pPr>
        <w:rPr>
          <w:spacing w:val="-1"/>
          <w:sz w:val="36"/>
          <w:szCs w:val="36"/>
          <w14:textOutline w14:w="2306" w14:cap="flat" w14:cmpd="sng">
            <w14:solidFill>
              <w14:srgbClr w14:val="000000"/>
            </w14:solidFill>
            <w14:prstDash w14:val="solid"/>
            <w14:miter w14:val="0"/>
          </w14:textOutline>
        </w:rPr>
      </w:pPr>
    </w:p>
    <w:p w14:paraId="3C95C3A9">
      <w:pPr>
        <w:rPr>
          <w:spacing w:val="-1"/>
          <w:sz w:val="36"/>
          <w:szCs w:val="36"/>
          <w14:textOutline w14:w="2306" w14:cap="flat" w14:cmpd="sng">
            <w14:solidFill>
              <w14:srgbClr w14:val="000000"/>
            </w14:solidFill>
            <w14:prstDash w14:val="solid"/>
            <w14:miter w14:val="0"/>
          </w14:textOutline>
        </w:rPr>
      </w:pPr>
    </w:p>
    <w:p w14:paraId="125AADE2">
      <w:pPr>
        <w:rPr>
          <w:spacing w:val="-1"/>
          <w:sz w:val="36"/>
          <w:szCs w:val="36"/>
          <w14:textOutline w14:w="2306" w14:cap="flat" w14:cmpd="sng">
            <w14:solidFill>
              <w14:srgbClr w14:val="000000"/>
            </w14:solidFill>
            <w14:prstDash w14:val="solid"/>
            <w14:miter w14:val="0"/>
          </w14:textOutline>
        </w:rPr>
      </w:pPr>
    </w:p>
    <w:p w14:paraId="4D0EED4C">
      <w:pPr>
        <w:rPr>
          <w:spacing w:val="-1"/>
          <w:sz w:val="36"/>
          <w:szCs w:val="36"/>
          <w14:textOutline w14:w="2306" w14:cap="flat" w14:cmpd="sng">
            <w14:solidFill>
              <w14:srgbClr w14:val="000000"/>
            </w14:solidFill>
            <w14:prstDash w14:val="solid"/>
            <w14:miter w14:val="0"/>
          </w14:textOutline>
        </w:rPr>
      </w:pPr>
    </w:p>
    <w:p w14:paraId="66838180">
      <w:pPr>
        <w:rPr>
          <w:spacing w:val="-1"/>
          <w:sz w:val="36"/>
          <w:szCs w:val="36"/>
          <w14:textOutline w14:w="2306" w14:cap="flat" w14:cmpd="sng">
            <w14:solidFill>
              <w14:srgbClr w14:val="000000"/>
            </w14:solidFill>
            <w14:prstDash w14:val="solid"/>
            <w14:miter w14:val="0"/>
          </w14:textOutline>
        </w:rPr>
      </w:pPr>
    </w:p>
    <w:p w14:paraId="66CBCF2C">
      <w:pPr>
        <w:rPr>
          <w:spacing w:val="-1"/>
          <w:sz w:val="36"/>
          <w:szCs w:val="36"/>
          <w14:textOutline w14:w="2306" w14:cap="flat" w14:cmpd="sng">
            <w14:solidFill>
              <w14:srgbClr w14:val="000000"/>
            </w14:solidFill>
            <w14:prstDash w14:val="solid"/>
            <w14:miter w14:val="0"/>
          </w14:textOutline>
        </w:rPr>
      </w:pPr>
    </w:p>
    <w:p w14:paraId="690BADE0">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5AFF3CF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F52A6E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3F0C3AA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0808D4B2">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2DE2445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竞争性磋商文件经采购人书面确认后，将在指定媒体和新野县公共资源交易中心网发布竞争性磋商公告。供应商按照公告和竞争性磋商文件要求制作并递交响应文件。</w:t>
      </w:r>
    </w:p>
    <w:p w14:paraId="7772D10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0C6DC41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7BC6F2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023E3CA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2A37702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395315D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0E23792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6E2B1E9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75C0B98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44DDFD2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394DC5A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64FC5B78">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9"/>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627"/>
        <w:gridCol w:w="2886"/>
      </w:tblGrid>
      <w:tr w14:paraId="4117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D9549E1">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05FD9EA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27" w:type="dxa"/>
            <w:vAlign w:val="top"/>
          </w:tcPr>
          <w:p w14:paraId="10DB85D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886" w:type="dxa"/>
            <w:vAlign w:val="top"/>
          </w:tcPr>
          <w:p w14:paraId="16C1756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BCDB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21" w:type="dxa"/>
            <w:vAlign w:val="center"/>
          </w:tcPr>
          <w:p w14:paraId="7EC431C4">
            <w:pPr>
              <w:pStyle w:val="2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3FE066B">
            <w:pPr>
              <w:pStyle w:val="2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3538B44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627" w:type="dxa"/>
            <w:vAlign w:val="top"/>
          </w:tcPr>
          <w:p w14:paraId="79A2DC8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B72CFD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7AE83E7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41ED75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5CDBBD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409A2B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9D9EE0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886" w:type="dxa"/>
            <w:vAlign w:val="top"/>
          </w:tcPr>
          <w:p w14:paraId="7FC0087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45AADE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15267BE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72AA2A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27267D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928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6D6B915C">
            <w:pPr>
              <w:pStyle w:val="20"/>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045BA795">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27" w:type="dxa"/>
            <w:vAlign w:val="top"/>
          </w:tcPr>
          <w:p w14:paraId="112055B6">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886" w:type="dxa"/>
            <w:vAlign w:val="top"/>
          </w:tcPr>
          <w:p w14:paraId="00AF2E28">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761A7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42288B3F">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BD784A1">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94819E2">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274B58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7BDD0E4">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D2F7FF7">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2C33128">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FC86A72">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C4BE4AB">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E455D72">
            <w:pPr>
              <w:pStyle w:val="20"/>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4FAB244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2536008">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A364FD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F7F405E">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EEC238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D8F4BC">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92A3485">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20B152F">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2F35296">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BB45C33">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27" w:type="dxa"/>
            <w:vAlign w:val="top"/>
          </w:tcPr>
          <w:p w14:paraId="4AF2433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A67F828">
            <w:pPr>
              <w:pStyle w:val="20"/>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8970E24">
            <w:pPr>
              <w:pStyle w:val="20"/>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886" w:type="dxa"/>
            <w:vAlign w:val="top"/>
          </w:tcPr>
          <w:p w14:paraId="21CE616F">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30B8BC8">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4D4EAD8">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C7C2E23">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7A0294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0F0E90B">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D5321E6">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25622B7">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CC143F4">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576E06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1B499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77D6668B">
            <w:pPr>
              <w:pStyle w:val="20"/>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1426B548">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627" w:type="dxa"/>
            <w:vAlign w:val="top"/>
          </w:tcPr>
          <w:p w14:paraId="4ECF6441">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886" w:type="dxa"/>
            <w:vAlign w:val="top"/>
          </w:tcPr>
          <w:p w14:paraId="317E24EE">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CB0BEAF">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说明：</w:t>
      </w:r>
      <w:r>
        <w:rPr>
          <w:rFonts w:hint="eastAsia" w:ascii="宋体" w:hAnsi="宋体" w:eastAsia="宋体" w:cs="宋体"/>
          <w:b/>
          <w:bCs/>
          <w:color w:val="auto"/>
          <w:sz w:val="24"/>
          <w:szCs w:val="24"/>
          <w:lang w:val="en-US" w:eastAsia="zh-CN"/>
        </w:rPr>
        <w:t>说明：按照新野县财政局《关于推行政府采购信用承诺制的通知》宛财购〔2023〕4号的要求，对于新野县本级政府采购项目，全部实施供应商资格信用承诺，投标人在投标时，按照规定提供“新野县政府采购供应商信用承诺函”（详见附件）的，无需再提交序号1中1-5项证明材料”。投标人在中标后，应将上述由信用承诺书替代的证明材料提交采购人或采购代理机构，证明材料将随公告一并公示。</w:t>
      </w:r>
    </w:p>
    <w:p w14:paraId="4FAF9979">
      <w:pPr>
        <w:pStyle w:val="4"/>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firstLine="486" w:firstLineChars="200"/>
        <w:jc w:val="both"/>
        <w:textAlignment w:val="baseline"/>
        <w:rPr>
          <w:rFonts w:hint="eastAsia" w:asciiTheme="minorEastAsia" w:hAnsiTheme="minorEastAsia" w:eastAsiaTheme="minorEastAsia" w:cstheme="minorEastAsia"/>
          <w:b/>
          <w:bCs/>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b/>
          <w:bCs/>
          <w:snapToGrid w:val="0"/>
          <w:color w:val="000000"/>
          <w:spacing w:val="1"/>
          <w:kern w:val="0"/>
          <w:sz w:val="24"/>
          <w:szCs w:val="24"/>
          <w:lang w:val="en-US" w:eastAsia="zh-CN" w:bidi="ar-SA"/>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3675"/>
        <w:gridCol w:w="4074"/>
      </w:tblGrid>
      <w:tr w14:paraId="0B3D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4" w:type="dxa"/>
          </w:tcPr>
          <w:p w14:paraId="51EE9A04">
            <w:pPr>
              <w:keepNext w:val="0"/>
              <w:keepLines w:val="0"/>
              <w:pageBreakBefore w:val="0"/>
              <w:widowControl w:val="0"/>
              <w:kinsoku/>
              <w:wordWrap w:val="0"/>
              <w:overflowPunct/>
              <w:topLinePunct w:val="0"/>
              <w:bidi w:val="0"/>
              <w:spacing w:before="192" w:line="219" w:lineRule="auto"/>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序号</w:t>
            </w:r>
          </w:p>
        </w:tc>
        <w:tc>
          <w:tcPr>
            <w:tcW w:w="3675" w:type="dxa"/>
          </w:tcPr>
          <w:p w14:paraId="0C304390">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评审因素</w:t>
            </w:r>
          </w:p>
        </w:tc>
        <w:tc>
          <w:tcPr>
            <w:tcW w:w="4074" w:type="dxa"/>
          </w:tcPr>
          <w:p w14:paraId="202E0BF1">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评审标准</w:t>
            </w:r>
          </w:p>
        </w:tc>
      </w:tr>
      <w:tr w14:paraId="7F5E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4" w:type="dxa"/>
          </w:tcPr>
          <w:p w14:paraId="5EDAD1D1">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w:t>
            </w:r>
          </w:p>
        </w:tc>
        <w:tc>
          <w:tcPr>
            <w:tcW w:w="3675" w:type="dxa"/>
          </w:tcPr>
          <w:p w14:paraId="699BF09F">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供应商名称</w:t>
            </w:r>
          </w:p>
        </w:tc>
        <w:tc>
          <w:tcPr>
            <w:tcW w:w="4074" w:type="dxa"/>
          </w:tcPr>
          <w:p w14:paraId="1A1856A9">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与营业执照一致</w:t>
            </w:r>
          </w:p>
        </w:tc>
      </w:tr>
      <w:tr w14:paraId="1BCB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4" w:type="dxa"/>
          </w:tcPr>
          <w:p w14:paraId="27B0C793">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w:t>
            </w:r>
          </w:p>
        </w:tc>
        <w:tc>
          <w:tcPr>
            <w:tcW w:w="3675" w:type="dxa"/>
          </w:tcPr>
          <w:p w14:paraId="13898A76">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响应函签字或盖章</w:t>
            </w:r>
          </w:p>
        </w:tc>
        <w:tc>
          <w:tcPr>
            <w:tcW w:w="4074" w:type="dxa"/>
          </w:tcPr>
          <w:p w14:paraId="28B807D4">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符合“响应文件格式”的要求</w:t>
            </w:r>
          </w:p>
        </w:tc>
      </w:tr>
      <w:tr w14:paraId="2DF7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74" w:type="dxa"/>
          </w:tcPr>
          <w:p w14:paraId="4BD40122">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w:t>
            </w:r>
          </w:p>
        </w:tc>
        <w:tc>
          <w:tcPr>
            <w:tcW w:w="3675" w:type="dxa"/>
          </w:tcPr>
          <w:p w14:paraId="1EFA9545">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响应文件格式</w:t>
            </w:r>
          </w:p>
        </w:tc>
        <w:tc>
          <w:tcPr>
            <w:tcW w:w="4074" w:type="dxa"/>
          </w:tcPr>
          <w:p w14:paraId="3D580544">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符合“响应文件格式”的要求</w:t>
            </w:r>
          </w:p>
        </w:tc>
      </w:tr>
      <w:tr w14:paraId="08DC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74" w:type="dxa"/>
          </w:tcPr>
          <w:p w14:paraId="7773D47A">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w:t>
            </w:r>
          </w:p>
        </w:tc>
        <w:tc>
          <w:tcPr>
            <w:tcW w:w="3675" w:type="dxa"/>
          </w:tcPr>
          <w:p w14:paraId="1C715D46">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报价唯一</w:t>
            </w:r>
          </w:p>
        </w:tc>
        <w:tc>
          <w:tcPr>
            <w:tcW w:w="4074" w:type="dxa"/>
          </w:tcPr>
          <w:p w14:paraId="6FF9D6B4">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只能有一个有效报价</w:t>
            </w:r>
          </w:p>
        </w:tc>
      </w:tr>
      <w:tr w14:paraId="2D31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4" w:type="dxa"/>
          </w:tcPr>
          <w:p w14:paraId="4AE64204">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p>
        </w:tc>
        <w:tc>
          <w:tcPr>
            <w:tcW w:w="3675" w:type="dxa"/>
          </w:tcPr>
          <w:p w14:paraId="0598D232">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服务期限</w:t>
            </w:r>
          </w:p>
        </w:tc>
        <w:tc>
          <w:tcPr>
            <w:tcW w:w="4074" w:type="dxa"/>
          </w:tcPr>
          <w:p w14:paraId="239BA287">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符合竞争性磋商文件要求</w:t>
            </w:r>
          </w:p>
        </w:tc>
      </w:tr>
      <w:tr w14:paraId="21C3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4" w:type="dxa"/>
          </w:tcPr>
          <w:p w14:paraId="1C049EE2">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w:t>
            </w:r>
          </w:p>
        </w:tc>
        <w:tc>
          <w:tcPr>
            <w:tcW w:w="3675" w:type="dxa"/>
          </w:tcPr>
          <w:p w14:paraId="21FD791B">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质量要求</w:t>
            </w:r>
          </w:p>
        </w:tc>
        <w:tc>
          <w:tcPr>
            <w:tcW w:w="4074" w:type="dxa"/>
          </w:tcPr>
          <w:p w14:paraId="21A3B090">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符合竞争性磋商文件要求</w:t>
            </w:r>
          </w:p>
        </w:tc>
      </w:tr>
      <w:tr w14:paraId="6748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74" w:type="dxa"/>
          </w:tcPr>
          <w:p w14:paraId="0B2197DE">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w:t>
            </w:r>
          </w:p>
        </w:tc>
        <w:tc>
          <w:tcPr>
            <w:tcW w:w="3675" w:type="dxa"/>
          </w:tcPr>
          <w:p w14:paraId="4288254E">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磋商有效期</w:t>
            </w:r>
          </w:p>
        </w:tc>
        <w:tc>
          <w:tcPr>
            <w:tcW w:w="4074" w:type="dxa"/>
          </w:tcPr>
          <w:p w14:paraId="65D9D9FF">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符合竞争性磋商文件要求</w:t>
            </w:r>
          </w:p>
        </w:tc>
      </w:tr>
      <w:tr w14:paraId="755F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74" w:type="dxa"/>
          </w:tcPr>
          <w:p w14:paraId="145195B7">
            <w:pPr>
              <w:keepNext w:val="0"/>
              <w:keepLines w:val="0"/>
              <w:pageBreakBefore w:val="0"/>
              <w:widowControl w:val="0"/>
              <w:kinsoku/>
              <w:wordWrap w:val="0"/>
              <w:overflowPunct/>
              <w:topLinePunct w:val="0"/>
              <w:bidi w:val="0"/>
              <w:spacing w:before="192" w:line="219" w:lineRule="auto"/>
              <w:ind w:left="118"/>
              <w:jc w:val="center"/>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w:t>
            </w:r>
          </w:p>
        </w:tc>
        <w:tc>
          <w:tcPr>
            <w:tcW w:w="3675" w:type="dxa"/>
          </w:tcPr>
          <w:p w14:paraId="1AD469C0">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实质性要求</w:t>
            </w:r>
          </w:p>
        </w:tc>
        <w:tc>
          <w:tcPr>
            <w:tcW w:w="4074" w:type="dxa"/>
          </w:tcPr>
          <w:p w14:paraId="4FD35240">
            <w:pPr>
              <w:keepNext w:val="0"/>
              <w:keepLines w:val="0"/>
              <w:pageBreakBefore w:val="0"/>
              <w:widowControl w:val="0"/>
              <w:kinsoku/>
              <w:wordWrap w:val="0"/>
              <w:overflowPunct/>
              <w:topLinePunct w:val="0"/>
              <w:bidi w:val="0"/>
              <w:spacing w:before="192" w:line="219" w:lineRule="auto"/>
              <w:ind w:left="118"/>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符合竞争性磋商文件要求</w:t>
            </w:r>
          </w:p>
        </w:tc>
      </w:tr>
    </w:tbl>
    <w:p w14:paraId="27896403">
      <w:pPr>
        <w:numPr>
          <w:ilvl w:val="0"/>
          <w:numId w:val="0"/>
        </w:numPr>
        <w:rPr>
          <w:rFonts w:hint="eastAsia"/>
          <w:lang w:val="en-US" w:eastAsia="zh-CN"/>
        </w:rPr>
      </w:pPr>
    </w:p>
    <w:p w14:paraId="7715091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1F80042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w:t>
      </w: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2131AD5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653856B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16DCF22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603381E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响应文件无效的情形：</w:t>
      </w:r>
    </w:p>
    <w:p w14:paraId="0A20046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在资格性和符合性审查时，如发现下列情形之一的，响应文件将被视为无效：</w:t>
      </w:r>
    </w:p>
    <w:p w14:paraId="1E30B03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资格证明文件不全的，或者不符合竞争性磋商文件标明的资格要求的；</w:t>
      </w:r>
    </w:p>
    <w:p w14:paraId="344FE24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书或者填写项目不齐全的；</w:t>
      </w:r>
    </w:p>
    <w:p w14:paraId="0CBB627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授权代表人未能出具身份证明或与法定代表人或负责人授权委托人身份不符的；</w:t>
      </w:r>
    </w:p>
    <w:p w14:paraId="61937B2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CA或电子营业执照</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认证并加密的；</w:t>
      </w:r>
    </w:p>
    <w:p w14:paraId="12FF7EB0">
      <w:pPr>
        <w:keepNext w:val="0"/>
        <w:keepLines w:val="0"/>
        <w:pageBreakBefore w:val="0"/>
        <w:kinsoku/>
        <w:wordWrap w:val="0"/>
        <w:overflowPunct/>
        <w:topLinePunct w:val="0"/>
        <w:bidi w:val="0"/>
        <w:spacing w:after="0" w:line="360" w:lineRule="auto"/>
        <w:ind w:firstLine="492" w:firstLineChars="200"/>
        <w:jc w:val="both"/>
        <w:rPr>
          <w:rFonts w:hint="default" w:asciiTheme="minorEastAsia" w:hAnsiTheme="minorEastAsia" w:eastAsiaTheme="minorEastAsia" w:cstheme="minorEastAsia"/>
          <w:b w:val="0"/>
          <w:bCs w:val="0"/>
          <w:snapToGrid w:val="0"/>
          <w:color w:val="000000"/>
          <w:spacing w:val="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5.1.5 其他不符合磋商文件实质性要求的。</w:t>
      </w:r>
    </w:p>
    <w:p w14:paraId="637BA62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在报价评审时，如发现下列情形之一的，响应文件将被视为无效：</w:t>
      </w:r>
    </w:p>
    <w:p w14:paraId="19B6308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未采用人民币报价的；</w:t>
      </w:r>
    </w:p>
    <w:p w14:paraId="66AEDEF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报价具有选择性；</w:t>
      </w:r>
    </w:p>
    <w:p w14:paraId="31CAAAC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val="0"/>
          <w:bCs w:val="0"/>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val="0"/>
          <w:bCs w:val="0"/>
          <w:snapToGrid w:val="0"/>
          <w:color w:val="000000"/>
          <w:spacing w:val="3"/>
          <w:kern w:val="0"/>
          <w:sz w:val="24"/>
          <w:szCs w:val="24"/>
          <w:lang w:val="en-US" w:eastAsia="zh-CN" w:bidi="ar-SA"/>
        </w:rPr>
        <w:t>。</w:t>
      </w:r>
    </w:p>
    <w:p w14:paraId="3225A7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3A55B4C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72BFC13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9E24D3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1721C1E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CA或</w:t>
      </w:r>
      <w:r>
        <w:rPr>
          <w:rFonts w:hint="eastAsia" w:ascii="宋体" w:hAnsi="宋体" w:eastAsia="宋体" w:cs="宋体"/>
          <w:snapToGrid w:val="0"/>
          <w:color w:val="000000"/>
          <w:kern w:val="0"/>
          <w:sz w:val="24"/>
          <w:szCs w:val="24"/>
          <w:lang w:val="en-US" w:eastAsia="en-US" w:bidi="ar-SA"/>
        </w:rPr>
        <w:t>电子营业执照签章。</w:t>
      </w:r>
    </w:p>
    <w:p w14:paraId="30853FF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4759CE7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A80A0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49E0CD0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2EFF72A1">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07D27C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32EB5B9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7E97AC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00BFD5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3062C6D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4BD4ED4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24AD36C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21BA54A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6374C0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31192F7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1D319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5B8307F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CE7F95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18E635D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214EE8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6C163D38">
      <w:pPr>
        <w:pStyle w:val="4"/>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14:paraId="1D71DCB0">
      <w:pPr>
        <w:pStyle w:val="17"/>
      </w:pPr>
    </w:p>
    <w:tbl>
      <w:tblPr>
        <w:tblStyle w:val="19"/>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005"/>
        <w:gridCol w:w="495"/>
        <w:gridCol w:w="1650"/>
        <w:gridCol w:w="4673"/>
      </w:tblGrid>
      <w:tr w14:paraId="1A071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9" w:type="dxa"/>
            <w:vAlign w:val="top"/>
          </w:tcPr>
          <w:p w14:paraId="036884C6">
            <w:pPr>
              <w:keepNext w:val="0"/>
              <w:keepLines w:val="0"/>
              <w:pageBreakBefore w:val="0"/>
              <w:kinsoku/>
              <w:wordWrap w:val="0"/>
              <w:overflowPunct/>
              <w:topLinePunct w:val="0"/>
              <w:bidi w:val="0"/>
              <w:spacing w:before="40" w:line="208" w:lineRule="auto"/>
              <w:ind w:left="19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05" w:type="dxa"/>
            <w:vAlign w:val="top"/>
          </w:tcPr>
          <w:p w14:paraId="0EAB2DF2">
            <w:pPr>
              <w:keepNext w:val="0"/>
              <w:keepLines w:val="0"/>
              <w:pageBreakBefore w:val="0"/>
              <w:kinsoku/>
              <w:wordWrap w:val="0"/>
              <w:overflowPunct/>
              <w:topLinePunct w:val="0"/>
              <w:bidi w:val="0"/>
              <w:spacing w:before="40" w:line="208"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495" w:type="dxa"/>
            <w:vAlign w:val="top"/>
          </w:tcPr>
          <w:p w14:paraId="788004DE">
            <w:pPr>
              <w:keepNext w:val="0"/>
              <w:keepLines w:val="0"/>
              <w:pageBreakBefore w:val="0"/>
              <w:kinsoku/>
              <w:wordWrap w:val="0"/>
              <w:overflowPunct/>
              <w:topLinePunct w:val="0"/>
              <w:bidi w:val="0"/>
              <w:spacing w:before="40" w:line="208"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1650" w:type="dxa"/>
            <w:vAlign w:val="top"/>
          </w:tcPr>
          <w:p w14:paraId="20C849DD">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p>
        </w:tc>
        <w:tc>
          <w:tcPr>
            <w:tcW w:w="4673" w:type="dxa"/>
            <w:vAlign w:val="top"/>
          </w:tcPr>
          <w:p w14:paraId="3BF0C7D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r>
      <w:tr w14:paraId="49738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0" w:hRule="atLeast"/>
        </w:trPr>
        <w:tc>
          <w:tcPr>
            <w:tcW w:w="709" w:type="dxa"/>
            <w:vAlign w:val="center"/>
          </w:tcPr>
          <w:p w14:paraId="599718A0">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0C5D3058">
            <w:pPr>
              <w:pStyle w:val="20"/>
              <w:keepNext w:val="0"/>
              <w:keepLines w:val="0"/>
              <w:pageBreakBefore w:val="0"/>
              <w:kinsoku/>
              <w:wordWrap w:val="0"/>
              <w:overflowPunct/>
              <w:topLinePunct w:val="0"/>
              <w:bidi w:val="0"/>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05" w:type="dxa"/>
            <w:vAlign w:val="center"/>
          </w:tcPr>
          <w:p w14:paraId="531BB8D6">
            <w:pPr>
              <w:pStyle w:val="20"/>
              <w:keepNext w:val="0"/>
              <w:keepLines w:val="0"/>
              <w:pageBreakBefore w:val="0"/>
              <w:kinsoku/>
              <w:wordWrap w:val="0"/>
              <w:overflowPunct/>
              <w:topLinePunct w:val="0"/>
              <w:bidi w:val="0"/>
              <w:spacing w:line="295" w:lineRule="auto"/>
              <w:jc w:val="both"/>
              <w:rPr>
                <w:rFonts w:hint="eastAsia" w:ascii="宋体" w:hAnsi="宋体" w:eastAsia="宋体" w:cs="宋体"/>
                <w:sz w:val="21"/>
                <w:szCs w:val="21"/>
              </w:rPr>
            </w:pPr>
          </w:p>
          <w:p w14:paraId="182F50E5">
            <w:pPr>
              <w:keepNext w:val="0"/>
              <w:keepLines w:val="0"/>
              <w:pageBreakBefore w:val="0"/>
              <w:kinsoku/>
              <w:wordWrap w:val="0"/>
              <w:overflowPunct/>
              <w:topLinePunct w:val="0"/>
              <w:bidi w:val="0"/>
              <w:spacing w:before="78" w:line="219" w:lineRule="auto"/>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磋商</w:t>
            </w:r>
            <w:r>
              <w:rPr>
                <w:rFonts w:hint="eastAsia" w:ascii="宋体" w:hAnsi="宋体" w:eastAsia="宋体" w:cs="宋体"/>
                <w:spacing w:val="-3"/>
                <w:sz w:val="21"/>
                <w:szCs w:val="21"/>
              </w:rPr>
              <w:t>报价</w:t>
            </w:r>
          </w:p>
        </w:tc>
        <w:tc>
          <w:tcPr>
            <w:tcW w:w="495" w:type="dxa"/>
            <w:vAlign w:val="top"/>
          </w:tcPr>
          <w:p w14:paraId="610F0E51">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5E3AA68B">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27271C9E">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59D236E3">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08F987E5">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3C071042">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59F3FF21">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755AB5C9">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p w14:paraId="106AEADE">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1650" w:type="dxa"/>
            <w:vAlign w:val="top"/>
          </w:tcPr>
          <w:p w14:paraId="2998F1DC">
            <w:pPr>
              <w:spacing w:line="400" w:lineRule="exact"/>
              <w:jc w:val="left"/>
              <w:rPr>
                <w:rFonts w:hint="eastAsia" w:ascii="宋体" w:hAnsi="宋体" w:eastAsia="宋体" w:cs="宋体"/>
                <w:sz w:val="21"/>
                <w:szCs w:val="21"/>
              </w:rPr>
            </w:pPr>
            <w:bookmarkStart w:id="5" w:name="OLE_LINK19"/>
            <w:r>
              <w:rPr>
                <w:rFonts w:hint="eastAsia" w:ascii="宋体" w:hAnsi="宋体" w:eastAsia="宋体" w:cs="宋体"/>
                <w:b w:val="0"/>
                <w:bCs w:val="0"/>
              </w:rPr>
              <w:t>满足</w:t>
            </w:r>
            <w:r>
              <w:rPr>
                <w:rFonts w:hint="eastAsia" w:ascii="宋体" w:hAnsi="宋体" w:eastAsia="宋体" w:cs="宋体"/>
                <w:b w:val="0"/>
                <w:bCs w:val="0"/>
                <w:lang w:val="en-US" w:eastAsia="zh-CN"/>
              </w:rPr>
              <w:t>竞争性磋商</w:t>
            </w:r>
            <w:r>
              <w:rPr>
                <w:rFonts w:hint="eastAsia" w:ascii="宋体" w:hAnsi="宋体" w:eastAsia="宋体" w:cs="宋体"/>
                <w:b w:val="0"/>
                <w:bCs w:val="0"/>
              </w:rPr>
              <w:t>文件要求且</w:t>
            </w:r>
            <w:r>
              <w:rPr>
                <w:rFonts w:hint="eastAsia" w:ascii="宋体" w:hAnsi="宋体" w:eastAsia="宋体" w:cs="宋体"/>
                <w:b w:val="0"/>
                <w:bCs w:val="0"/>
                <w:lang w:val="en-US" w:eastAsia="zh-CN"/>
              </w:rPr>
              <w:t>磋商</w:t>
            </w:r>
            <w:r>
              <w:rPr>
                <w:rFonts w:hint="eastAsia" w:ascii="宋体" w:hAnsi="宋体" w:eastAsia="宋体" w:cs="宋体"/>
                <w:b w:val="0"/>
                <w:bCs w:val="0"/>
              </w:rPr>
              <w:t>价格最低的</w:t>
            </w:r>
            <w:r>
              <w:rPr>
                <w:rFonts w:hint="eastAsia" w:ascii="宋体" w:hAnsi="宋体" w:eastAsia="宋体" w:cs="宋体"/>
                <w:b w:val="0"/>
                <w:bCs w:val="0"/>
                <w:lang w:val="en-US" w:eastAsia="zh-CN"/>
              </w:rPr>
              <w:t>磋商</w:t>
            </w:r>
            <w:r>
              <w:rPr>
                <w:rFonts w:hint="eastAsia" w:ascii="宋体" w:hAnsi="宋体" w:eastAsia="宋体" w:cs="宋体"/>
                <w:b w:val="0"/>
                <w:bCs w:val="0"/>
              </w:rPr>
              <w:t>报价为评标基准价，其价格分为满分。其他供应商的价格分统一按照下列公式计算：</w:t>
            </w:r>
            <w:r>
              <w:rPr>
                <w:rFonts w:hint="eastAsia" w:ascii="宋体" w:hAnsi="宋体" w:eastAsia="宋体" w:cs="宋体"/>
                <w:b w:val="0"/>
                <w:bCs w:val="0"/>
                <w:lang w:val="en-US" w:eastAsia="zh-CN"/>
              </w:rPr>
              <w:t>磋商</w:t>
            </w:r>
            <w:r>
              <w:rPr>
                <w:rFonts w:hint="eastAsia" w:ascii="宋体" w:hAnsi="宋体" w:eastAsia="宋体" w:cs="宋体"/>
                <w:b w:val="0"/>
                <w:bCs w:val="0"/>
              </w:rPr>
              <w:t>报价得分＝（评标基准价/</w:t>
            </w:r>
            <w:r>
              <w:rPr>
                <w:rFonts w:hint="eastAsia" w:ascii="宋体" w:hAnsi="宋体" w:eastAsia="宋体" w:cs="宋体"/>
                <w:b w:val="0"/>
                <w:bCs w:val="0"/>
                <w:lang w:val="en-US" w:eastAsia="zh-CN"/>
              </w:rPr>
              <w:t>磋商</w:t>
            </w:r>
            <w:r>
              <w:rPr>
                <w:rFonts w:hint="eastAsia" w:ascii="宋体" w:hAnsi="宋体" w:eastAsia="宋体" w:cs="宋体"/>
                <w:b w:val="0"/>
                <w:bCs w:val="0"/>
              </w:rPr>
              <w:t>报价）×分值。</w:t>
            </w:r>
            <w:bookmarkEnd w:id="5"/>
          </w:p>
        </w:tc>
        <w:tc>
          <w:tcPr>
            <w:tcW w:w="4673" w:type="dxa"/>
            <w:vAlign w:val="top"/>
          </w:tcPr>
          <w:p w14:paraId="21E02A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1"/>
                <w:szCs w:val="21"/>
              </w:rPr>
            </w:pPr>
            <w:r>
              <w:rPr>
                <w:rFonts w:hint="eastAsia" w:ascii="宋体" w:hAnsi="宋体" w:eastAsia="宋体" w:cs="宋体"/>
                <w:b w:val="0"/>
                <w:bCs w:val="0"/>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val="0"/>
                <w:lang w:val="en-US" w:eastAsia="zh-CN"/>
              </w:rPr>
              <w:t>响应</w:t>
            </w:r>
            <w:r>
              <w:rPr>
                <w:rFonts w:hint="eastAsia" w:ascii="宋体" w:hAnsi="宋体" w:eastAsia="宋体" w:cs="宋体"/>
                <w:b w:val="0"/>
                <w:bCs w:val="0"/>
                <w:lang w:eastAsia="zh-CN"/>
              </w:rPr>
              <w:t>文件中提交了《</w:t>
            </w:r>
            <w:r>
              <w:rPr>
                <w:rFonts w:hint="eastAsia" w:ascii="宋体" w:hAnsi="宋体" w:eastAsia="宋体" w:cs="宋体"/>
                <w:b w:val="0"/>
                <w:bCs w:val="0"/>
              </w:rPr>
              <w:t>供应商</w:t>
            </w:r>
            <w:r>
              <w:rPr>
                <w:rFonts w:hint="eastAsia" w:ascii="宋体" w:hAnsi="宋体" w:eastAsia="宋体" w:cs="宋体"/>
                <w:b w:val="0"/>
                <w:bCs w:val="0"/>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b w:val="0"/>
                <w:bCs w:val="0"/>
              </w:rPr>
              <w:t>供应商</w:t>
            </w:r>
            <w:r>
              <w:rPr>
                <w:rFonts w:hint="eastAsia" w:ascii="宋体" w:hAnsi="宋体" w:eastAsia="宋体" w:cs="宋体"/>
                <w:b w:val="0"/>
                <w:bCs w:val="0"/>
                <w:lang w:eastAsia="zh-CN"/>
              </w:rPr>
              <w:t>，其</w:t>
            </w:r>
            <w:r>
              <w:rPr>
                <w:rFonts w:hint="eastAsia" w:ascii="宋体" w:hAnsi="宋体" w:eastAsia="宋体" w:cs="宋体"/>
                <w:b w:val="0"/>
                <w:bCs w:val="0"/>
                <w:lang w:val="en-US" w:eastAsia="zh-CN"/>
              </w:rPr>
              <w:t>磋商</w:t>
            </w:r>
            <w:r>
              <w:rPr>
                <w:rFonts w:hint="eastAsia" w:ascii="宋体" w:hAnsi="宋体" w:eastAsia="宋体" w:cs="宋体"/>
                <w:b w:val="0"/>
                <w:bCs w:val="0"/>
                <w:lang w:eastAsia="zh-CN"/>
              </w:rPr>
              <w:t>报价扣除</w:t>
            </w:r>
            <w:r>
              <w:rPr>
                <w:rFonts w:hint="eastAsia" w:ascii="宋体" w:hAnsi="宋体" w:eastAsia="宋体" w:cs="宋体"/>
                <w:b w:val="0"/>
                <w:bCs w:val="0"/>
                <w:lang w:val="en-US" w:eastAsia="zh-CN"/>
              </w:rPr>
              <w:t xml:space="preserve">  15  </w:t>
            </w:r>
            <w:r>
              <w:rPr>
                <w:rFonts w:hint="eastAsia" w:ascii="宋体" w:hAnsi="宋体" w:eastAsia="宋体" w:cs="宋体"/>
                <w:b w:val="0"/>
                <w:bCs w:val="0"/>
                <w:lang w:eastAsia="zh-CN"/>
              </w:rPr>
              <w:t>%后参与评审。对于同时属于小微企业、监狱企业或残疾人福利性单位的，不重复进行</w:t>
            </w:r>
            <w:r>
              <w:rPr>
                <w:rFonts w:hint="eastAsia" w:ascii="宋体" w:hAnsi="宋体" w:eastAsia="宋体" w:cs="宋体"/>
                <w:b w:val="0"/>
                <w:bCs w:val="0"/>
                <w:lang w:val="en-US" w:eastAsia="zh-CN"/>
              </w:rPr>
              <w:t>磋商</w:t>
            </w:r>
            <w:r>
              <w:rPr>
                <w:rFonts w:hint="eastAsia" w:ascii="宋体" w:hAnsi="宋体" w:eastAsia="宋体" w:cs="宋体"/>
                <w:b w:val="0"/>
                <w:bCs w:val="0"/>
                <w:lang w:eastAsia="zh-CN"/>
              </w:rPr>
              <w:t>报价扣除。（</w:t>
            </w:r>
            <w:r>
              <w:rPr>
                <w:rFonts w:hint="eastAsia" w:ascii="宋体" w:hAnsi="宋体" w:eastAsia="宋体" w:cs="宋体"/>
                <w:b w:val="0"/>
                <w:bCs w:val="0"/>
                <w:lang w:val="en-US" w:eastAsia="zh-CN"/>
              </w:rPr>
              <w:t>专门面向中小企业的项目除外</w:t>
            </w:r>
            <w:r>
              <w:rPr>
                <w:rFonts w:hint="eastAsia" w:ascii="宋体" w:hAnsi="宋体" w:eastAsia="宋体" w:cs="宋体"/>
                <w:b w:val="0"/>
                <w:bCs w:val="0"/>
                <w:lang w:eastAsia="zh-CN"/>
              </w:rPr>
              <w:t>）</w:t>
            </w:r>
          </w:p>
        </w:tc>
      </w:tr>
      <w:tr w14:paraId="3336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09" w:type="dxa"/>
            <w:vMerge w:val="restart"/>
            <w:vAlign w:val="center"/>
          </w:tcPr>
          <w:p w14:paraId="02EC176E">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F2A3654">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38C6DA08">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FF72B1B">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2D98CC97">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F40A2C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910D7F2">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6DE7881">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31D7296">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F061B1E">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FCB074B">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25E6336">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1CB05AB">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7C5D2F3">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3E331D67">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88B319F">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3B10232">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28DB2E8">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73DD99B">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7BB1DA3">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21CB46A1">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C212DE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3928840">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15223D66">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C6B975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A402B2A">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D2F5E44">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9360F65">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5DF99136">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4E592761">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F7EBC3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F346590">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B0B83F1">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0C543E3">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655A76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F5C4E2F">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112D40FF">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13DAAEC">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1952E04D">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E83C5B7">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752E3940">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3748F11A">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D180D55">
            <w:pPr>
              <w:pStyle w:val="20"/>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1"/>
                <w:szCs w:val="21"/>
                <w:lang w:val="en-US" w:eastAsia="zh-CN" w:bidi="ar-SA"/>
              </w:rPr>
            </w:pPr>
            <w:r>
              <w:rPr>
                <w:rFonts w:hint="eastAsia" w:ascii="宋体" w:hAnsi="宋体" w:eastAsia="宋体" w:cs="宋体"/>
                <w:snapToGrid w:val="0"/>
                <w:color w:val="000000"/>
                <w:spacing w:val="-13"/>
                <w:kern w:val="0"/>
                <w:sz w:val="21"/>
                <w:szCs w:val="21"/>
                <w:lang w:val="en-US" w:eastAsia="zh-CN" w:bidi="ar-SA"/>
              </w:rPr>
              <w:t>2</w:t>
            </w:r>
          </w:p>
          <w:p w14:paraId="53258749">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08F645A9">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185882E1">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2FA07B6">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restart"/>
            <w:vAlign w:val="center"/>
          </w:tcPr>
          <w:p w14:paraId="77CC0575">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2CD64C1">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7E65BEB7">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79C800E">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55BCB9FC">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0E9C710">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97AC781">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5B80518B">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0BDB2A53">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4F25A8B0">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9BA8C4C">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5F038B2D">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87E3FE0">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00A99BC">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0BE314C5">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9656092">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053716FF">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E0306D3">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F869D18">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33F616C9">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29D3B1A2">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3471CDDA">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F9F5408">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33538FA4">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38631715">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3C396EFD">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13381A2F">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04D39F29">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7FA22AB5">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09FE1042">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58EE4CFA">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1C313813">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50C214EC">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30AA62D">
            <w:pPr>
              <w:keepNext w:val="0"/>
              <w:keepLines w:val="0"/>
              <w:pageBreakBefore w:val="0"/>
              <w:kinsoku/>
              <w:wordWrap w:val="0"/>
              <w:overflowPunct/>
              <w:topLinePunct w:val="0"/>
              <w:bidi w:val="0"/>
              <w:spacing w:before="78" w:line="219" w:lineRule="auto"/>
              <w:jc w:val="both"/>
              <w:rPr>
                <w:rFonts w:hint="eastAsia" w:ascii="宋体" w:hAnsi="宋体" w:cs="宋体"/>
                <w:b w:val="0"/>
                <w:bCs w:val="0"/>
              </w:rPr>
            </w:pPr>
          </w:p>
          <w:p w14:paraId="677D784A">
            <w:pPr>
              <w:keepNext w:val="0"/>
              <w:keepLines w:val="0"/>
              <w:pageBreakBefore w:val="0"/>
              <w:kinsoku/>
              <w:wordWrap w:val="0"/>
              <w:overflowPunct/>
              <w:topLinePunct w:val="0"/>
              <w:bidi w:val="0"/>
              <w:spacing w:before="78" w:line="219" w:lineRule="auto"/>
              <w:jc w:val="both"/>
              <w:rPr>
                <w:rFonts w:hint="default" w:ascii="宋体" w:hAnsi="宋体" w:eastAsia="宋体" w:cs="宋体"/>
                <w:b w:val="0"/>
                <w:bCs w:val="0"/>
                <w:snapToGrid w:val="0"/>
                <w:color w:val="000000"/>
                <w:spacing w:val="-13"/>
                <w:kern w:val="0"/>
                <w:sz w:val="21"/>
                <w:szCs w:val="21"/>
                <w:lang w:val="en-US" w:eastAsia="zh-CN" w:bidi="ar-SA"/>
              </w:rPr>
            </w:pPr>
            <w:r>
              <w:rPr>
                <w:rFonts w:hint="eastAsia" w:ascii="宋体" w:hAnsi="宋体" w:eastAsia="宋体" w:cs="宋体"/>
                <w:b w:val="0"/>
                <w:bCs w:val="0"/>
                <w:lang w:val="en-US" w:eastAsia="zh-CN"/>
              </w:rPr>
              <w:t>服务方案</w:t>
            </w:r>
            <w:r>
              <w:rPr>
                <w:rFonts w:hint="eastAsia" w:ascii="宋体" w:hAnsi="宋体" w:cs="宋体"/>
                <w:b w:val="0"/>
                <w:bCs w:val="0"/>
              </w:rPr>
              <w:t>（60分）</w:t>
            </w:r>
          </w:p>
        </w:tc>
        <w:tc>
          <w:tcPr>
            <w:tcW w:w="495" w:type="dxa"/>
            <w:vAlign w:val="top"/>
          </w:tcPr>
          <w:p w14:paraId="682B4993">
            <w:pPr>
              <w:pStyle w:val="20"/>
              <w:keepNext w:val="0"/>
              <w:keepLines w:val="0"/>
              <w:pageBreakBefore w:val="0"/>
              <w:kinsoku/>
              <w:wordWrap w:val="0"/>
              <w:overflowPunct/>
              <w:topLinePunct w:val="0"/>
              <w:bidi w:val="0"/>
              <w:jc w:val="center"/>
              <w:rPr>
                <w:rFonts w:hint="eastAsia" w:ascii="宋体" w:hAnsi="宋体" w:eastAsia="宋体" w:cs="宋体"/>
                <w:b w:val="0"/>
                <w:bCs w:val="0"/>
                <w:snapToGrid w:val="0"/>
                <w:color w:val="000000"/>
                <w:spacing w:val="-13"/>
                <w:kern w:val="0"/>
                <w:sz w:val="21"/>
                <w:szCs w:val="21"/>
                <w:lang w:val="en-US" w:eastAsia="zh-CN" w:bidi="ar-SA"/>
              </w:rPr>
            </w:pPr>
          </w:p>
          <w:p w14:paraId="78E8ADA0">
            <w:pPr>
              <w:pStyle w:val="20"/>
              <w:keepNext w:val="0"/>
              <w:keepLines w:val="0"/>
              <w:pageBreakBefore w:val="0"/>
              <w:kinsoku/>
              <w:wordWrap w:val="0"/>
              <w:overflowPunct/>
              <w:topLinePunct w:val="0"/>
              <w:bidi w:val="0"/>
              <w:jc w:val="center"/>
              <w:rPr>
                <w:rFonts w:hint="eastAsia" w:ascii="宋体" w:hAnsi="宋体" w:eastAsia="宋体" w:cs="宋体"/>
                <w:b w:val="0"/>
                <w:bCs w:val="0"/>
                <w:snapToGrid w:val="0"/>
                <w:color w:val="000000"/>
                <w:spacing w:val="-13"/>
                <w:kern w:val="0"/>
                <w:sz w:val="21"/>
                <w:szCs w:val="21"/>
                <w:lang w:val="en-US" w:eastAsia="zh-CN" w:bidi="ar-SA"/>
              </w:rPr>
            </w:pPr>
          </w:p>
          <w:p w14:paraId="3F7EC360">
            <w:pPr>
              <w:pStyle w:val="20"/>
              <w:keepNext w:val="0"/>
              <w:keepLines w:val="0"/>
              <w:pageBreakBefore w:val="0"/>
              <w:kinsoku/>
              <w:wordWrap w:val="0"/>
              <w:overflowPunct/>
              <w:topLinePunct w:val="0"/>
              <w:bidi w:val="0"/>
              <w:jc w:val="center"/>
              <w:rPr>
                <w:rFonts w:hint="eastAsia" w:ascii="宋体" w:hAnsi="宋体" w:eastAsia="宋体" w:cs="宋体"/>
                <w:b w:val="0"/>
                <w:bCs w:val="0"/>
                <w:snapToGrid w:val="0"/>
                <w:color w:val="000000"/>
                <w:spacing w:val="-13"/>
                <w:kern w:val="0"/>
                <w:sz w:val="21"/>
                <w:szCs w:val="21"/>
                <w:lang w:val="en-US" w:eastAsia="zh-CN" w:bidi="ar-SA"/>
              </w:rPr>
            </w:pPr>
          </w:p>
          <w:p w14:paraId="0153B3FF">
            <w:pPr>
              <w:pStyle w:val="20"/>
              <w:keepNext w:val="0"/>
              <w:keepLines w:val="0"/>
              <w:pageBreakBefore w:val="0"/>
              <w:kinsoku/>
              <w:wordWrap w:val="0"/>
              <w:overflowPunct/>
              <w:topLinePunct w:val="0"/>
              <w:bidi w:val="0"/>
              <w:jc w:val="center"/>
              <w:rPr>
                <w:rFonts w:hint="eastAsia" w:ascii="宋体" w:hAnsi="宋体" w:eastAsia="宋体" w:cs="宋体"/>
                <w:b w:val="0"/>
                <w:bCs w:val="0"/>
                <w:snapToGrid w:val="0"/>
                <w:color w:val="000000"/>
                <w:spacing w:val="-13"/>
                <w:kern w:val="0"/>
                <w:sz w:val="21"/>
                <w:szCs w:val="21"/>
                <w:lang w:val="en-US" w:eastAsia="zh-CN" w:bidi="ar-SA"/>
              </w:rPr>
            </w:pPr>
          </w:p>
          <w:p w14:paraId="30E17497">
            <w:pPr>
              <w:pStyle w:val="20"/>
              <w:keepNext w:val="0"/>
              <w:keepLines w:val="0"/>
              <w:pageBreakBefore w:val="0"/>
              <w:kinsoku/>
              <w:wordWrap w:val="0"/>
              <w:overflowPunct/>
              <w:topLinePunct w:val="0"/>
              <w:bidi w:val="0"/>
              <w:jc w:val="center"/>
              <w:rPr>
                <w:rFonts w:hint="eastAsia" w:ascii="宋体" w:hAnsi="宋体" w:eastAsia="宋体" w:cs="宋体"/>
                <w:b w:val="0"/>
                <w:bCs w:val="0"/>
                <w:snapToGrid w:val="0"/>
                <w:color w:val="000000"/>
                <w:spacing w:val="-13"/>
                <w:kern w:val="0"/>
                <w:sz w:val="21"/>
                <w:szCs w:val="21"/>
                <w:lang w:val="en-US" w:eastAsia="zh-CN" w:bidi="ar-SA"/>
              </w:rPr>
            </w:pPr>
          </w:p>
          <w:p w14:paraId="57D2EA3E">
            <w:pPr>
              <w:pStyle w:val="20"/>
              <w:keepNext w:val="0"/>
              <w:keepLines w:val="0"/>
              <w:pageBreakBefore w:val="0"/>
              <w:kinsoku/>
              <w:wordWrap w:val="0"/>
              <w:overflowPunct/>
              <w:topLinePunct w:val="0"/>
              <w:bidi w:val="0"/>
              <w:jc w:val="center"/>
              <w:rPr>
                <w:rFonts w:hint="default" w:ascii="宋体" w:hAnsi="宋体" w:eastAsia="宋体" w:cs="宋体"/>
                <w:b w:val="0"/>
                <w:bCs w:val="0"/>
                <w:snapToGrid w:val="0"/>
                <w:color w:val="000000"/>
                <w:spacing w:val="-13"/>
                <w:kern w:val="0"/>
                <w:sz w:val="21"/>
                <w:szCs w:val="21"/>
                <w:lang w:val="en-US" w:eastAsia="zh-CN" w:bidi="ar-SA"/>
              </w:rPr>
            </w:pPr>
            <w:r>
              <w:rPr>
                <w:rFonts w:hint="eastAsia" w:ascii="宋体" w:hAnsi="宋体" w:eastAsia="宋体" w:cs="宋体"/>
                <w:b w:val="0"/>
                <w:bCs w:val="0"/>
                <w:snapToGrid w:val="0"/>
                <w:color w:val="000000"/>
                <w:spacing w:val="-13"/>
                <w:kern w:val="0"/>
                <w:sz w:val="21"/>
                <w:szCs w:val="21"/>
                <w:lang w:val="en-US" w:eastAsia="zh-CN" w:bidi="ar-SA"/>
              </w:rPr>
              <w:t>10分</w:t>
            </w:r>
          </w:p>
        </w:tc>
        <w:tc>
          <w:tcPr>
            <w:tcW w:w="1650" w:type="dxa"/>
            <w:vAlign w:val="center"/>
          </w:tcPr>
          <w:p w14:paraId="4B5A83B9">
            <w:pPr>
              <w:spacing w:line="400" w:lineRule="exact"/>
              <w:ind w:right="105" w:rightChars="50"/>
              <w:jc w:val="center"/>
              <w:rPr>
                <w:rFonts w:hint="eastAsia" w:ascii="宋体" w:hAnsi="宋体" w:eastAsia="宋体" w:cs="宋体"/>
                <w:b w:val="0"/>
                <w:bCs w:val="0"/>
                <w:snapToGrid w:val="0"/>
                <w:color w:val="000000"/>
                <w:spacing w:val="-13"/>
                <w:kern w:val="0"/>
                <w:sz w:val="21"/>
                <w:szCs w:val="21"/>
                <w:lang w:val="en-US" w:eastAsia="en-US" w:bidi="ar-SA"/>
              </w:rPr>
            </w:pPr>
            <w:r>
              <w:rPr>
                <w:rFonts w:hint="eastAsia" w:ascii="宋体" w:hAnsi="宋体" w:eastAsia="宋体" w:cs="宋体"/>
                <w:b w:val="0"/>
                <w:bCs w:val="0"/>
                <w:lang w:val="en-US" w:eastAsia="zh-CN"/>
              </w:rPr>
              <w:t>1.</w:t>
            </w:r>
            <w:r>
              <w:rPr>
                <w:rFonts w:hint="eastAsia" w:ascii="宋体" w:hAnsi="宋体" w:cs="宋体"/>
                <w:b w:val="0"/>
                <w:bCs w:val="0"/>
              </w:rPr>
              <w:t>研究方法</w:t>
            </w:r>
          </w:p>
        </w:tc>
        <w:tc>
          <w:tcPr>
            <w:tcW w:w="4673" w:type="dxa"/>
            <w:vAlign w:val="center"/>
          </w:tcPr>
          <w:p w14:paraId="5DEA2D1B">
            <w:pPr>
              <w:spacing w:line="400" w:lineRule="exact"/>
              <w:jc w:val="left"/>
              <w:rPr>
                <w:rFonts w:ascii="宋体" w:hAnsi="宋体" w:eastAsia="宋体" w:cs="宋体"/>
                <w:b w:val="0"/>
                <w:bCs w:val="0"/>
              </w:rPr>
            </w:pPr>
            <w:r>
              <w:rPr>
                <w:rFonts w:hint="eastAsia" w:ascii="宋体" w:hAnsi="宋体" w:eastAsia="宋体" w:cs="宋体"/>
                <w:b w:val="0"/>
                <w:bCs w:val="0"/>
              </w:rPr>
              <w:t>（1）</w:t>
            </w:r>
            <w:r>
              <w:rPr>
                <w:rFonts w:ascii="宋体" w:hAnsi="宋体" w:eastAsia="宋体" w:cs="宋体"/>
                <w:b w:val="0"/>
                <w:bCs w:val="0"/>
              </w:rPr>
              <w:t>研究方法科学、实用，系统性强，理论支撑强，契合项目采购需求的，得10分；</w:t>
            </w:r>
          </w:p>
          <w:p w14:paraId="6081384C">
            <w:pPr>
              <w:spacing w:line="400" w:lineRule="exact"/>
              <w:jc w:val="left"/>
              <w:rPr>
                <w:rFonts w:ascii="宋体" w:hAnsi="宋体" w:eastAsia="宋体" w:cs="宋体"/>
                <w:b w:val="0"/>
                <w:bCs w:val="0"/>
              </w:rPr>
            </w:pPr>
            <w:r>
              <w:rPr>
                <w:rFonts w:hint="eastAsia" w:ascii="宋体" w:hAnsi="宋体" w:eastAsia="宋体" w:cs="宋体"/>
                <w:b w:val="0"/>
                <w:bCs w:val="0"/>
              </w:rPr>
              <w:t>（2）</w:t>
            </w:r>
            <w:r>
              <w:rPr>
                <w:rFonts w:ascii="宋体" w:hAnsi="宋体" w:eastAsia="宋体" w:cs="宋体"/>
                <w:b w:val="0"/>
                <w:bCs w:val="0"/>
              </w:rPr>
              <w:t>研究方法实用，较系统，有一定理论支撑，较好契合项目采购需求的，得 7 分；</w:t>
            </w:r>
          </w:p>
          <w:p w14:paraId="498AB3F2">
            <w:pPr>
              <w:spacing w:line="400" w:lineRule="exact"/>
              <w:jc w:val="left"/>
              <w:rPr>
                <w:rFonts w:ascii="宋体" w:hAnsi="宋体" w:eastAsia="宋体" w:cs="宋体"/>
                <w:b w:val="0"/>
                <w:bCs w:val="0"/>
              </w:rPr>
            </w:pPr>
            <w:r>
              <w:rPr>
                <w:rFonts w:hint="eastAsia" w:ascii="宋体" w:hAnsi="宋体" w:eastAsia="宋体" w:cs="宋体"/>
                <w:b w:val="0"/>
                <w:bCs w:val="0"/>
              </w:rPr>
              <w:t>（3）</w:t>
            </w:r>
            <w:r>
              <w:rPr>
                <w:rFonts w:ascii="宋体" w:hAnsi="宋体" w:eastAsia="宋体" w:cs="宋体"/>
                <w:b w:val="0"/>
                <w:bCs w:val="0"/>
              </w:rPr>
              <w:t>研究方法常规通用，理论支撑较弱，基本符合项目采购需求的，得4分。</w:t>
            </w:r>
          </w:p>
          <w:p w14:paraId="605A71AB">
            <w:pPr>
              <w:spacing w:line="400" w:lineRule="exact"/>
              <w:jc w:val="left"/>
              <w:rPr>
                <w:rFonts w:hint="eastAsia" w:ascii="宋体" w:hAnsi="宋体" w:eastAsia="宋体" w:cs="宋体"/>
                <w:b w:val="0"/>
                <w:bCs w:val="0"/>
                <w:spacing w:val="-13"/>
                <w:sz w:val="21"/>
                <w:szCs w:val="21"/>
                <w:lang w:val="en-US" w:eastAsia="en-US"/>
              </w:rPr>
            </w:pPr>
            <w:r>
              <w:rPr>
                <w:rFonts w:ascii="宋体" w:hAnsi="宋体" w:eastAsia="宋体" w:cs="宋体"/>
                <w:b w:val="0"/>
                <w:bCs w:val="0"/>
              </w:rPr>
              <w:t>此项无内容不得分</w:t>
            </w:r>
            <w:r>
              <w:rPr>
                <w:rFonts w:hint="eastAsia" w:ascii="宋体" w:hAnsi="宋体" w:eastAsia="宋体" w:cs="宋体"/>
                <w:b w:val="0"/>
                <w:bCs w:val="0"/>
              </w:rPr>
              <w:t>。</w:t>
            </w:r>
          </w:p>
        </w:tc>
      </w:tr>
      <w:tr w14:paraId="41F70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7ECDBDC0">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2CCE2FA5">
            <w:pPr>
              <w:keepNext w:val="0"/>
              <w:keepLines w:val="0"/>
              <w:pageBreakBefore w:val="0"/>
              <w:kinsoku/>
              <w:wordWrap w:val="0"/>
              <w:overflowPunct/>
              <w:topLinePunct w:val="0"/>
              <w:bidi w:val="0"/>
              <w:spacing w:before="78" w:line="219" w:lineRule="auto"/>
              <w:jc w:val="both"/>
              <w:rPr>
                <w:rFonts w:hint="eastAsia" w:ascii="宋体" w:hAnsi="宋体" w:eastAsia="宋体" w:cs="宋体"/>
                <w:b w:val="0"/>
                <w:bCs w:val="0"/>
                <w:snapToGrid w:val="0"/>
                <w:color w:val="000000"/>
                <w:spacing w:val="-13"/>
                <w:kern w:val="0"/>
                <w:sz w:val="21"/>
                <w:szCs w:val="21"/>
                <w:lang w:val="en-US" w:eastAsia="zh-CN" w:bidi="ar-SA"/>
              </w:rPr>
            </w:pPr>
          </w:p>
        </w:tc>
        <w:tc>
          <w:tcPr>
            <w:tcW w:w="495" w:type="dxa"/>
            <w:vAlign w:val="top"/>
          </w:tcPr>
          <w:p w14:paraId="44BFD38E">
            <w:pPr>
              <w:pStyle w:val="20"/>
              <w:keepNext w:val="0"/>
              <w:keepLines w:val="0"/>
              <w:pageBreakBefore w:val="0"/>
              <w:kinsoku/>
              <w:wordWrap w:val="0"/>
              <w:overflowPunct/>
              <w:topLinePunct w:val="0"/>
              <w:bidi w:val="0"/>
              <w:jc w:val="center"/>
              <w:rPr>
                <w:rFonts w:hint="eastAsia" w:ascii="宋体" w:hAnsi="宋体" w:eastAsia="宋体" w:cs="宋体"/>
                <w:b w:val="0"/>
                <w:bCs w:val="0"/>
                <w:sz w:val="21"/>
                <w:szCs w:val="21"/>
                <w:lang w:eastAsia="zh-CN"/>
              </w:rPr>
            </w:pPr>
          </w:p>
          <w:p w14:paraId="0724BADB">
            <w:pPr>
              <w:pStyle w:val="20"/>
              <w:keepNext w:val="0"/>
              <w:keepLines w:val="0"/>
              <w:pageBreakBefore w:val="0"/>
              <w:kinsoku/>
              <w:wordWrap w:val="0"/>
              <w:overflowPunct/>
              <w:topLinePunct w:val="0"/>
              <w:bidi w:val="0"/>
              <w:jc w:val="center"/>
              <w:rPr>
                <w:rFonts w:hint="eastAsia" w:ascii="宋体" w:hAnsi="宋体" w:eastAsia="宋体" w:cs="宋体"/>
                <w:b w:val="0"/>
                <w:bCs w:val="0"/>
                <w:sz w:val="21"/>
                <w:szCs w:val="21"/>
                <w:lang w:eastAsia="zh-CN"/>
              </w:rPr>
            </w:pPr>
          </w:p>
          <w:p w14:paraId="4E84A51D">
            <w:pPr>
              <w:pStyle w:val="20"/>
              <w:keepNext w:val="0"/>
              <w:keepLines w:val="0"/>
              <w:pageBreakBefore w:val="0"/>
              <w:kinsoku/>
              <w:wordWrap w:val="0"/>
              <w:overflowPunct/>
              <w:topLinePunct w:val="0"/>
              <w:bidi w:val="0"/>
              <w:jc w:val="center"/>
              <w:rPr>
                <w:rFonts w:hint="eastAsia" w:ascii="宋体" w:hAnsi="宋体" w:eastAsia="宋体" w:cs="宋体"/>
                <w:b w:val="0"/>
                <w:bCs w:val="0"/>
                <w:sz w:val="21"/>
                <w:szCs w:val="21"/>
                <w:lang w:eastAsia="zh-CN"/>
              </w:rPr>
            </w:pPr>
          </w:p>
          <w:p w14:paraId="0FBDAE6B">
            <w:pPr>
              <w:pStyle w:val="20"/>
              <w:keepNext w:val="0"/>
              <w:keepLines w:val="0"/>
              <w:pageBreakBefore w:val="0"/>
              <w:kinsoku/>
              <w:wordWrap w:val="0"/>
              <w:overflowPunct/>
              <w:topLinePunct w:val="0"/>
              <w:bidi w:val="0"/>
              <w:jc w:val="both"/>
              <w:rPr>
                <w:rFonts w:hint="eastAsia" w:ascii="宋体" w:hAnsi="宋体" w:eastAsia="宋体" w:cs="宋体"/>
                <w:b w:val="0"/>
                <w:bCs w:val="0"/>
                <w:sz w:val="21"/>
                <w:szCs w:val="21"/>
                <w:lang w:eastAsia="zh-CN"/>
              </w:rPr>
            </w:pPr>
          </w:p>
          <w:p w14:paraId="7882DBAD">
            <w:pPr>
              <w:pStyle w:val="20"/>
              <w:keepNext w:val="0"/>
              <w:keepLines w:val="0"/>
              <w:pageBreakBefore w:val="0"/>
              <w:kinsoku/>
              <w:wordWrap w:val="0"/>
              <w:overflowPunct/>
              <w:topLinePunct w:val="0"/>
              <w:bidi w:val="0"/>
              <w:jc w:val="center"/>
              <w:rPr>
                <w:rFonts w:hint="eastAsia" w:ascii="宋体" w:hAnsi="宋体" w:eastAsia="宋体" w:cs="宋体"/>
                <w:b w:val="0"/>
                <w:bCs w:val="0"/>
                <w:sz w:val="21"/>
                <w:szCs w:val="21"/>
                <w:lang w:eastAsia="zh-CN"/>
              </w:rPr>
            </w:pPr>
          </w:p>
          <w:p w14:paraId="7F497F53">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lang w:eastAsia="zh-CN"/>
              </w:rPr>
              <w:t>分</w:t>
            </w:r>
          </w:p>
        </w:tc>
        <w:tc>
          <w:tcPr>
            <w:tcW w:w="1650" w:type="dxa"/>
            <w:vAlign w:val="center"/>
          </w:tcPr>
          <w:p w14:paraId="1E062D01">
            <w:pPr>
              <w:spacing w:line="400" w:lineRule="exact"/>
              <w:ind w:right="105" w:rightChars="5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lang w:val="en-US" w:eastAsia="zh-CN"/>
              </w:rPr>
              <w:t>2.</w:t>
            </w:r>
            <w:r>
              <w:rPr>
                <w:rFonts w:hint="eastAsia" w:ascii="宋体" w:hAnsi="宋体" w:cs="宋体"/>
                <w:b w:val="0"/>
                <w:bCs w:val="0"/>
              </w:rPr>
              <w:t>方案科学性</w:t>
            </w:r>
          </w:p>
        </w:tc>
        <w:tc>
          <w:tcPr>
            <w:tcW w:w="4673" w:type="dxa"/>
            <w:vAlign w:val="center"/>
          </w:tcPr>
          <w:p w14:paraId="5952E8CE">
            <w:pPr>
              <w:spacing w:line="400" w:lineRule="exact"/>
              <w:jc w:val="left"/>
              <w:rPr>
                <w:rFonts w:hint="eastAsia" w:ascii="宋体" w:hAnsi="宋体" w:eastAsia="宋体" w:cs="宋体"/>
                <w:b w:val="0"/>
                <w:bCs w:val="0"/>
              </w:rPr>
            </w:pPr>
            <w:bookmarkStart w:id="6" w:name="OLE_LINK10"/>
            <w:r>
              <w:rPr>
                <w:rFonts w:hint="eastAsia" w:ascii="宋体" w:hAnsi="宋体" w:eastAsia="宋体" w:cs="宋体"/>
                <w:b w:val="0"/>
                <w:bCs w:val="0"/>
              </w:rPr>
              <w:t>（1）方案具体，考虑全面，措施详细到位，体现科学的，得10分；</w:t>
            </w:r>
          </w:p>
          <w:p w14:paraId="057916C8">
            <w:pPr>
              <w:spacing w:line="400" w:lineRule="exact"/>
              <w:jc w:val="left"/>
              <w:rPr>
                <w:rFonts w:hint="eastAsia" w:ascii="宋体" w:hAnsi="宋体" w:eastAsia="宋体" w:cs="宋体"/>
                <w:b w:val="0"/>
                <w:bCs w:val="0"/>
              </w:rPr>
            </w:pPr>
            <w:r>
              <w:rPr>
                <w:rFonts w:hint="eastAsia" w:ascii="宋体" w:hAnsi="宋体" w:eastAsia="宋体" w:cs="宋体"/>
                <w:b w:val="0"/>
                <w:bCs w:val="0"/>
              </w:rPr>
              <w:t>（2）方案较具体，考虑较全面，措施较简单，体现科学性一般的，得7分；</w:t>
            </w:r>
          </w:p>
          <w:p w14:paraId="4AFF6CDD">
            <w:pPr>
              <w:spacing w:line="400" w:lineRule="exact"/>
              <w:jc w:val="left"/>
              <w:rPr>
                <w:rFonts w:hint="eastAsia" w:ascii="宋体" w:hAnsi="宋体" w:eastAsia="宋体" w:cs="宋体"/>
                <w:b w:val="0"/>
                <w:bCs w:val="0"/>
              </w:rPr>
            </w:pPr>
            <w:r>
              <w:rPr>
                <w:rFonts w:hint="eastAsia" w:ascii="宋体" w:hAnsi="宋体" w:eastAsia="宋体" w:cs="宋体"/>
                <w:b w:val="0"/>
                <w:bCs w:val="0"/>
              </w:rPr>
              <w:t>（3）方案内容简单，不够全面，体现科学性较弱的，得4分。</w:t>
            </w:r>
          </w:p>
          <w:p w14:paraId="119451DE">
            <w:pPr>
              <w:spacing w:line="400" w:lineRule="exact"/>
              <w:jc w:val="left"/>
              <w:rPr>
                <w:rFonts w:hint="eastAsia" w:ascii="宋体" w:hAnsi="宋体" w:eastAsia="宋体" w:cs="宋体"/>
                <w:b w:val="0"/>
                <w:bCs w:val="0"/>
                <w:spacing w:val="-13"/>
                <w:sz w:val="21"/>
                <w:szCs w:val="21"/>
                <w:lang w:val="en-US" w:eastAsia="zh-CN"/>
              </w:rPr>
            </w:pPr>
            <w:r>
              <w:rPr>
                <w:rFonts w:hint="eastAsia" w:ascii="宋体" w:hAnsi="宋体" w:eastAsia="宋体" w:cs="宋体"/>
                <w:b w:val="0"/>
                <w:bCs w:val="0"/>
              </w:rPr>
              <w:t>此项无内容不得分。</w:t>
            </w:r>
            <w:bookmarkEnd w:id="6"/>
          </w:p>
        </w:tc>
      </w:tr>
      <w:tr w14:paraId="52CF1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572DB1EC">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78ECACFA">
            <w:pPr>
              <w:keepNext w:val="0"/>
              <w:keepLines w:val="0"/>
              <w:pageBreakBefore w:val="0"/>
              <w:kinsoku/>
              <w:wordWrap w:val="0"/>
              <w:overflowPunct/>
              <w:topLinePunct w:val="0"/>
              <w:bidi w:val="0"/>
              <w:spacing w:before="78" w:line="219" w:lineRule="auto"/>
              <w:jc w:val="both"/>
              <w:rPr>
                <w:rFonts w:hint="eastAsia" w:ascii="宋体" w:hAnsi="宋体" w:eastAsia="宋体" w:cs="宋体"/>
                <w:b w:val="0"/>
                <w:bCs w:val="0"/>
                <w:snapToGrid w:val="0"/>
                <w:color w:val="000000"/>
                <w:spacing w:val="-13"/>
                <w:kern w:val="0"/>
                <w:sz w:val="21"/>
                <w:szCs w:val="21"/>
                <w:lang w:val="en-US" w:eastAsia="zh-CN" w:bidi="ar-SA"/>
              </w:rPr>
            </w:pPr>
          </w:p>
        </w:tc>
        <w:tc>
          <w:tcPr>
            <w:tcW w:w="495" w:type="dxa"/>
            <w:vAlign w:val="top"/>
          </w:tcPr>
          <w:p w14:paraId="129EA8A7">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020EAF52">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641F8D7F">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0B0DAACD">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3307110B">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348EDBA9">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caps w:val="0"/>
                <w:snapToGrid/>
                <w:color w:val="auto"/>
                <w:spacing w:val="0"/>
                <w:kern w:val="0"/>
                <w:position w:val="0"/>
                <w:sz w:val="21"/>
                <w:szCs w:val="21"/>
                <w:lang w:val="en-US" w:eastAsia="zh-CN" w:bidi="zh-CN"/>
              </w:rPr>
              <w:t>10分</w:t>
            </w:r>
          </w:p>
        </w:tc>
        <w:tc>
          <w:tcPr>
            <w:tcW w:w="1650" w:type="dxa"/>
            <w:vAlign w:val="center"/>
          </w:tcPr>
          <w:p w14:paraId="2AE6D555">
            <w:pPr>
              <w:spacing w:line="400" w:lineRule="exact"/>
              <w:ind w:right="105" w:rightChars="50"/>
              <w:jc w:val="center"/>
              <w:rPr>
                <w:rFonts w:hint="eastAsia" w:ascii="宋体" w:hAnsi="宋体" w:eastAsia="宋体" w:cs="宋体"/>
                <w:b w:val="0"/>
                <w:bCs w:val="0"/>
                <w:sz w:val="21"/>
                <w:szCs w:val="21"/>
                <w:lang w:eastAsia="zh-CN"/>
              </w:rPr>
            </w:pPr>
            <w:r>
              <w:rPr>
                <w:rFonts w:hint="eastAsia" w:ascii="宋体" w:hAnsi="宋体" w:eastAsia="宋体" w:cs="宋体"/>
                <w:b w:val="0"/>
                <w:bCs w:val="0"/>
                <w:lang w:val="en-US" w:eastAsia="zh-CN"/>
              </w:rPr>
              <w:t>3.</w:t>
            </w:r>
            <w:r>
              <w:rPr>
                <w:rFonts w:hint="eastAsia" w:ascii="宋体" w:hAnsi="宋体" w:cs="宋体"/>
                <w:b w:val="0"/>
                <w:bCs w:val="0"/>
              </w:rPr>
              <w:t>方案创新性</w:t>
            </w:r>
          </w:p>
        </w:tc>
        <w:tc>
          <w:tcPr>
            <w:tcW w:w="4673" w:type="dxa"/>
            <w:vAlign w:val="top"/>
          </w:tcPr>
          <w:p w14:paraId="6CEB66E5">
            <w:pPr>
              <w:spacing w:line="400" w:lineRule="exact"/>
              <w:jc w:val="left"/>
              <w:rPr>
                <w:rFonts w:hint="eastAsia" w:ascii="宋体" w:hAnsi="宋体" w:eastAsia="宋体" w:cs="宋体"/>
                <w:b w:val="0"/>
                <w:bCs w:val="0"/>
              </w:rPr>
            </w:pPr>
            <w:r>
              <w:rPr>
                <w:rFonts w:hint="eastAsia" w:ascii="宋体" w:hAnsi="宋体" w:eastAsia="宋体" w:cs="宋体"/>
                <w:b w:val="0"/>
                <w:bCs w:val="0"/>
              </w:rPr>
              <w:t>（1）方案结构合理、框架系统严谨完整，体现创新的，得10分；</w:t>
            </w:r>
          </w:p>
          <w:p w14:paraId="3435432B">
            <w:pPr>
              <w:spacing w:line="400" w:lineRule="exact"/>
              <w:jc w:val="left"/>
              <w:rPr>
                <w:rFonts w:hint="eastAsia" w:ascii="宋体" w:hAnsi="宋体" w:eastAsia="宋体" w:cs="宋体"/>
                <w:b w:val="0"/>
                <w:bCs w:val="0"/>
              </w:rPr>
            </w:pPr>
            <w:r>
              <w:rPr>
                <w:rFonts w:hint="eastAsia" w:ascii="宋体" w:hAnsi="宋体" w:eastAsia="宋体" w:cs="宋体"/>
                <w:b w:val="0"/>
                <w:bCs w:val="0"/>
              </w:rPr>
              <w:t>（2）方案结构较合理，框架系统相对完整，体现创新性一般的，得7分；</w:t>
            </w:r>
          </w:p>
          <w:p w14:paraId="62D84814">
            <w:pPr>
              <w:spacing w:line="400" w:lineRule="exact"/>
              <w:jc w:val="left"/>
              <w:rPr>
                <w:rFonts w:hint="eastAsia" w:ascii="宋体" w:hAnsi="宋体" w:eastAsia="宋体" w:cs="宋体"/>
                <w:b w:val="0"/>
                <w:bCs w:val="0"/>
              </w:rPr>
            </w:pPr>
            <w:r>
              <w:rPr>
                <w:rFonts w:hint="eastAsia" w:ascii="宋体" w:hAnsi="宋体" w:eastAsia="宋体" w:cs="宋体"/>
                <w:b w:val="0"/>
                <w:bCs w:val="0"/>
              </w:rPr>
              <w:t>（3）方案结构简单、框架系统不完整，体现创新性较弱的，得4分。</w:t>
            </w:r>
          </w:p>
          <w:p w14:paraId="522F0560">
            <w:pPr>
              <w:spacing w:line="400" w:lineRule="exact"/>
              <w:jc w:val="left"/>
              <w:rPr>
                <w:rFonts w:hint="eastAsia" w:ascii="宋体" w:hAnsi="宋体" w:eastAsia="宋体" w:cs="宋体"/>
                <w:b w:val="0"/>
                <w:bCs w:val="0"/>
                <w:spacing w:val="-13"/>
                <w:sz w:val="21"/>
                <w:szCs w:val="21"/>
                <w:lang w:val="en-US" w:eastAsia="zh-CN"/>
              </w:rPr>
            </w:pPr>
            <w:r>
              <w:rPr>
                <w:rFonts w:hint="eastAsia" w:ascii="宋体" w:hAnsi="宋体" w:eastAsia="宋体" w:cs="宋体"/>
                <w:b w:val="0"/>
                <w:bCs w:val="0"/>
              </w:rPr>
              <w:t>此项无内容不得分。</w:t>
            </w:r>
          </w:p>
        </w:tc>
      </w:tr>
      <w:tr w14:paraId="64A86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1423AECA">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4735BC30">
            <w:pPr>
              <w:keepNext w:val="0"/>
              <w:keepLines w:val="0"/>
              <w:pageBreakBefore w:val="0"/>
              <w:kinsoku/>
              <w:wordWrap w:val="0"/>
              <w:overflowPunct/>
              <w:topLinePunct w:val="0"/>
              <w:bidi w:val="0"/>
              <w:spacing w:before="78" w:line="219" w:lineRule="auto"/>
              <w:jc w:val="both"/>
              <w:rPr>
                <w:rFonts w:hint="eastAsia" w:ascii="宋体" w:hAnsi="宋体" w:eastAsia="宋体" w:cs="宋体"/>
                <w:snapToGrid w:val="0"/>
                <w:color w:val="000000"/>
                <w:spacing w:val="-13"/>
                <w:kern w:val="0"/>
                <w:sz w:val="21"/>
                <w:szCs w:val="21"/>
                <w:lang w:val="en-US" w:eastAsia="zh-CN" w:bidi="ar-SA"/>
              </w:rPr>
            </w:pPr>
          </w:p>
        </w:tc>
        <w:tc>
          <w:tcPr>
            <w:tcW w:w="495" w:type="dxa"/>
            <w:vAlign w:val="top"/>
          </w:tcPr>
          <w:p w14:paraId="2733FDA5">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1B4F0C62">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caps w:val="0"/>
                <w:snapToGrid/>
                <w:color w:val="auto"/>
                <w:spacing w:val="0"/>
                <w:kern w:val="0"/>
                <w:position w:val="0"/>
                <w:sz w:val="21"/>
                <w:szCs w:val="21"/>
                <w:lang w:val="en-US" w:eastAsia="zh-CN" w:bidi="zh-CN"/>
              </w:rPr>
              <w:t xml:space="preserve">                    10分</w:t>
            </w:r>
          </w:p>
        </w:tc>
        <w:tc>
          <w:tcPr>
            <w:tcW w:w="1650" w:type="dxa"/>
            <w:vAlign w:val="center"/>
          </w:tcPr>
          <w:p w14:paraId="0D829EB2">
            <w:pPr>
              <w:spacing w:line="400" w:lineRule="exact"/>
              <w:ind w:right="105" w:rightChars="50"/>
              <w:jc w:val="center"/>
              <w:rPr>
                <w:rFonts w:hint="eastAsia" w:ascii="宋体" w:hAnsi="宋体" w:eastAsia="宋体" w:cs="宋体"/>
                <w:b w:val="0"/>
                <w:bCs w:val="0"/>
                <w:caps w:val="0"/>
                <w:spacing w:val="0"/>
                <w:kern w:val="0"/>
                <w:position w:val="0"/>
                <w:sz w:val="21"/>
                <w:szCs w:val="21"/>
                <w:lang w:val="en-US" w:eastAsia="zh-CN" w:bidi="zh-CN"/>
              </w:rPr>
            </w:pPr>
            <w:r>
              <w:rPr>
                <w:rFonts w:hint="eastAsia" w:ascii="宋体" w:hAnsi="宋体" w:eastAsia="宋体" w:cs="宋体"/>
                <w:b w:val="0"/>
                <w:bCs w:val="0"/>
                <w:lang w:val="en-US" w:eastAsia="zh-CN"/>
              </w:rPr>
              <w:t>4.</w:t>
            </w:r>
            <w:r>
              <w:rPr>
                <w:rFonts w:hint="eastAsia" w:ascii="宋体" w:hAnsi="宋体" w:cs="宋体"/>
                <w:b w:val="0"/>
                <w:bCs w:val="0"/>
              </w:rPr>
              <w:t>战略定位</w:t>
            </w:r>
          </w:p>
        </w:tc>
        <w:tc>
          <w:tcPr>
            <w:tcW w:w="4673" w:type="dxa"/>
            <w:vAlign w:val="top"/>
          </w:tcPr>
          <w:p w14:paraId="69B966F7">
            <w:pPr>
              <w:spacing w:line="400" w:lineRule="exact"/>
              <w:jc w:val="left"/>
              <w:rPr>
                <w:rFonts w:hint="eastAsia" w:ascii="宋体" w:hAnsi="宋体" w:eastAsia="宋体" w:cs="宋体"/>
                <w:b w:val="0"/>
                <w:bCs w:val="0"/>
              </w:rPr>
            </w:pPr>
            <w:r>
              <w:rPr>
                <w:rFonts w:hint="eastAsia" w:ascii="宋体" w:hAnsi="宋体" w:eastAsia="宋体" w:cs="宋体"/>
                <w:b w:val="0"/>
                <w:bCs w:val="0"/>
              </w:rPr>
              <w:t>（1）项目背景、现状分析透彻、全面，提出的项目战略定位符合实际，科学合理，体现前瞻性的，得10分；</w:t>
            </w:r>
          </w:p>
          <w:p w14:paraId="4B1F1BF5">
            <w:pPr>
              <w:spacing w:line="400" w:lineRule="exact"/>
              <w:jc w:val="left"/>
              <w:rPr>
                <w:rFonts w:hint="eastAsia" w:ascii="宋体" w:hAnsi="宋体" w:eastAsia="宋体" w:cs="宋体"/>
                <w:b w:val="0"/>
                <w:bCs w:val="0"/>
              </w:rPr>
            </w:pPr>
            <w:r>
              <w:rPr>
                <w:rFonts w:hint="eastAsia" w:ascii="宋体" w:hAnsi="宋体" w:eastAsia="宋体" w:cs="宋体"/>
                <w:b w:val="0"/>
                <w:bCs w:val="0"/>
              </w:rPr>
              <w:t>（2）项目背景、现状分析较透彻、全面，提出的项目战略定位符合实际，较合理，体现前瞻性一般的，得7分；</w:t>
            </w:r>
          </w:p>
          <w:p w14:paraId="25E95176">
            <w:pPr>
              <w:spacing w:line="400" w:lineRule="exact"/>
              <w:jc w:val="left"/>
              <w:rPr>
                <w:rFonts w:hint="eastAsia" w:ascii="宋体" w:hAnsi="宋体" w:eastAsia="宋体" w:cs="宋体"/>
                <w:b w:val="0"/>
                <w:bCs w:val="0"/>
              </w:rPr>
            </w:pPr>
            <w:r>
              <w:rPr>
                <w:rFonts w:hint="eastAsia" w:ascii="宋体" w:hAnsi="宋体" w:eastAsia="宋体" w:cs="宋体"/>
                <w:b w:val="0"/>
                <w:bCs w:val="0"/>
              </w:rPr>
              <w:t>（3）项目背景、现状分析简单，不全面，体现前瞻性较弱的，得4分。</w:t>
            </w:r>
          </w:p>
          <w:p w14:paraId="5A50B227">
            <w:pPr>
              <w:spacing w:line="400" w:lineRule="exact"/>
              <w:jc w:val="left"/>
              <w:rPr>
                <w:rFonts w:hint="eastAsia" w:ascii="宋体" w:hAnsi="宋体" w:eastAsia="宋体" w:cs="宋体"/>
                <w:b w:val="0"/>
                <w:bCs w:val="0"/>
                <w:spacing w:val="-13"/>
                <w:sz w:val="21"/>
                <w:szCs w:val="21"/>
                <w:lang w:val="en-US" w:eastAsia="zh-CN"/>
              </w:rPr>
            </w:pPr>
            <w:r>
              <w:rPr>
                <w:rFonts w:hint="eastAsia" w:ascii="宋体" w:hAnsi="宋体" w:eastAsia="宋体" w:cs="宋体"/>
                <w:b w:val="0"/>
                <w:bCs w:val="0"/>
              </w:rPr>
              <w:t>此项无内容不得分。</w:t>
            </w:r>
          </w:p>
        </w:tc>
      </w:tr>
      <w:tr w14:paraId="63755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3269FF2A">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71B9D72A">
            <w:pPr>
              <w:keepNext w:val="0"/>
              <w:keepLines w:val="0"/>
              <w:pageBreakBefore w:val="0"/>
              <w:kinsoku/>
              <w:wordWrap w:val="0"/>
              <w:overflowPunct/>
              <w:topLinePunct w:val="0"/>
              <w:bidi w:val="0"/>
              <w:spacing w:before="78" w:line="219" w:lineRule="auto"/>
              <w:jc w:val="both"/>
              <w:rPr>
                <w:rFonts w:hint="eastAsia" w:ascii="宋体" w:hAnsi="宋体" w:eastAsia="宋体" w:cs="宋体"/>
                <w:snapToGrid w:val="0"/>
                <w:color w:val="000000"/>
                <w:spacing w:val="-13"/>
                <w:kern w:val="0"/>
                <w:sz w:val="21"/>
                <w:szCs w:val="21"/>
                <w:lang w:val="en-US" w:eastAsia="zh-CN" w:bidi="ar-SA"/>
              </w:rPr>
            </w:pPr>
          </w:p>
        </w:tc>
        <w:tc>
          <w:tcPr>
            <w:tcW w:w="495" w:type="dxa"/>
            <w:vAlign w:val="top"/>
          </w:tcPr>
          <w:p w14:paraId="26B5D294">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7920E950">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6D796C1E">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75AA96C2">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072046BB">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caps w:val="0"/>
                <w:snapToGrid/>
                <w:color w:val="auto"/>
                <w:spacing w:val="0"/>
                <w:kern w:val="0"/>
                <w:position w:val="0"/>
                <w:sz w:val="21"/>
                <w:szCs w:val="21"/>
                <w:lang w:val="en-US" w:eastAsia="zh-CN" w:bidi="zh-CN"/>
              </w:rPr>
              <w:t xml:space="preserve">    10分</w:t>
            </w:r>
          </w:p>
        </w:tc>
        <w:tc>
          <w:tcPr>
            <w:tcW w:w="1650" w:type="dxa"/>
            <w:vAlign w:val="center"/>
          </w:tcPr>
          <w:p w14:paraId="4805FC74">
            <w:pPr>
              <w:spacing w:line="400" w:lineRule="exact"/>
              <w:ind w:right="105" w:rightChars="50"/>
              <w:jc w:val="center"/>
              <w:rPr>
                <w:rFonts w:hint="eastAsia" w:ascii="宋体" w:hAnsi="宋体" w:eastAsia="宋体" w:cs="宋体"/>
                <w:b w:val="0"/>
                <w:bCs w:val="0"/>
                <w:caps w:val="0"/>
                <w:spacing w:val="0"/>
                <w:kern w:val="0"/>
                <w:position w:val="0"/>
                <w:sz w:val="21"/>
                <w:szCs w:val="21"/>
                <w:lang w:val="en-US" w:eastAsia="zh-CN" w:bidi="zh-CN"/>
              </w:rPr>
            </w:pPr>
            <w:r>
              <w:rPr>
                <w:rFonts w:hint="eastAsia" w:ascii="宋体" w:hAnsi="宋体" w:eastAsia="宋体" w:cs="宋体"/>
                <w:b w:val="0"/>
                <w:bCs w:val="0"/>
                <w:lang w:val="en-US" w:eastAsia="zh-CN"/>
              </w:rPr>
              <w:t>5.</w:t>
            </w:r>
            <w:r>
              <w:rPr>
                <w:rFonts w:hint="eastAsia" w:ascii="宋体" w:hAnsi="宋体" w:cs="宋体"/>
                <w:b w:val="0"/>
                <w:bCs w:val="0"/>
              </w:rPr>
              <w:t>重点难点分析</w:t>
            </w:r>
          </w:p>
        </w:tc>
        <w:tc>
          <w:tcPr>
            <w:tcW w:w="4673" w:type="dxa"/>
            <w:vAlign w:val="top"/>
          </w:tcPr>
          <w:p w14:paraId="42B6CDFB">
            <w:pPr>
              <w:spacing w:line="400" w:lineRule="exact"/>
              <w:jc w:val="left"/>
              <w:rPr>
                <w:rFonts w:hint="eastAsia" w:ascii="宋体" w:hAnsi="宋体" w:eastAsia="宋体" w:cs="宋体"/>
                <w:b w:val="0"/>
                <w:bCs w:val="0"/>
              </w:rPr>
            </w:pPr>
            <w:r>
              <w:rPr>
                <w:rFonts w:hint="eastAsia" w:ascii="宋体" w:hAnsi="宋体" w:eastAsia="宋体" w:cs="宋体"/>
                <w:b w:val="0"/>
                <w:bCs w:val="0"/>
              </w:rPr>
              <w:t>（1）重点难点分析清晰、全面，解决方法科学、合理，针对性强，得10分；</w:t>
            </w:r>
          </w:p>
          <w:p w14:paraId="46BC208C">
            <w:pPr>
              <w:spacing w:line="400" w:lineRule="exact"/>
              <w:jc w:val="left"/>
              <w:rPr>
                <w:rFonts w:hint="eastAsia" w:ascii="宋体" w:hAnsi="宋体" w:eastAsia="宋体" w:cs="宋体"/>
                <w:b w:val="0"/>
                <w:bCs w:val="0"/>
              </w:rPr>
            </w:pPr>
            <w:r>
              <w:rPr>
                <w:rFonts w:hint="eastAsia" w:ascii="宋体" w:hAnsi="宋体" w:eastAsia="宋体" w:cs="宋体"/>
                <w:b w:val="0"/>
                <w:bCs w:val="0"/>
              </w:rPr>
              <w:t>（2）重点难点分析较清晰、较全面，解决方法较合理，针对性一般，得7分；</w:t>
            </w:r>
          </w:p>
          <w:p w14:paraId="4172D7E5">
            <w:pPr>
              <w:spacing w:line="400" w:lineRule="exact"/>
              <w:jc w:val="left"/>
              <w:rPr>
                <w:rFonts w:hint="eastAsia" w:ascii="宋体" w:hAnsi="宋体" w:eastAsia="宋体" w:cs="宋体"/>
                <w:b w:val="0"/>
                <w:bCs w:val="0"/>
              </w:rPr>
            </w:pPr>
            <w:r>
              <w:rPr>
                <w:rFonts w:hint="eastAsia" w:ascii="宋体" w:hAnsi="宋体" w:eastAsia="宋体" w:cs="宋体"/>
                <w:b w:val="0"/>
                <w:bCs w:val="0"/>
              </w:rPr>
              <w:t>（3）重点难点分析简单、解决方法针对性较弱，得4分。</w:t>
            </w:r>
          </w:p>
          <w:p w14:paraId="4EA189F1">
            <w:pPr>
              <w:spacing w:line="400" w:lineRule="exact"/>
              <w:jc w:val="left"/>
              <w:rPr>
                <w:rFonts w:hint="eastAsia" w:ascii="宋体" w:hAnsi="宋体" w:eastAsia="宋体" w:cs="宋体"/>
                <w:b w:val="0"/>
                <w:bCs w:val="0"/>
                <w:spacing w:val="-13"/>
                <w:sz w:val="21"/>
                <w:szCs w:val="21"/>
                <w:lang w:val="en-US" w:eastAsia="zh-CN"/>
              </w:rPr>
            </w:pPr>
            <w:r>
              <w:rPr>
                <w:rFonts w:hint="eastAsia" w:ascii="宋体" w:hAnsi="宋体" w:eastAsia="宋体" w:cs="宋体"/>
                <w:b w:val="0"/>
                <w:bCs w:val="0"/>
              </w:rPr>
              <w:t>此项无内容不得分。</w:t>
            </w:r>
          </w:p>
        </w:tc>
      </w:tr>
      <w:tr w14:paraId="402C4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22CD815F">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122E6DA4">
            <w:pPr>
              <w:keepNext w:val="0"/>
              <w:keepLines w:val="0"/>
              <w:pageBreakBefore w:val="0"/>
              <w:kinsoku/>
              <w:wordWrap w:val="0"/>
              <w:overflowPunct/>
              <w:topLinePunct w:val="0"/>
              <w:bidi w:val="0"/>
              <w:spacing w:before="78" w:line="219" w:lineRule="auto"/>
              <w:jc w:val="both"/>
              <w:rPr>
                <w:rFonts w:hint="eastAsia" w:ascii="宋体" w:hAnsi="宋体" w:eastAsia="宋体" w:cs="宋体"/>
                <w:snapToGrid w:val="0"/>
                <w:color w:val="000000"/>
                <w:spacing w:val="-13"/>
                <w:kern w:val="0"/>
                <w:sz w:val="21"/>
                <w:szCs w:val="21"/>
                <w:lang w:val="en-US" w:eastAsia="zh-CN" w:bidi="ar-SA"/>
              </w:rPr>
            </w:pPr>
          </w:p>
        </w:tc>
        <w:tc>
          <w:tcPr>
            <w:tcW w:w="495" w:type="dxa"/>
            <w:vAlign w:val="top"/>
          </w:tcPr>
          <w:p w14:paraId="6DD9D176">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6C1E246A">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1377DFF3">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03082A0B">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2EDF7451">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690D592F">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caps w:val="0"/>
                <w:snapToGrid/>
                <w:color w:val="auto"/>
                <w:spacing w:val="0"/>
                <w:kern w:val="0"/>
                <w:position w:val="0"/>
                <w:sz w:val="21"/>
                <w:szCs w:val="21"/>
                <w:lang w:val="en-US" w:eastAsia="zh-CN" w:bidi="zh-CN"/>
              </w:rPr>
              <w:t>5分</w:t>
            </w:r>
          </w:p>
        </w:tc>
        <w:tc>
          <w:tcPr>
            <w:tcW w:w="1650" w:type="dxa"/>
            <w:vAlign w:val="center"/>
          </w:tcPr>
          <w:p w14:paraId="05088E21">
            <w:pPr>
              <w:spacing w:line="400" w:lineRule="exact"/>
              <w:ind w:right="105" w:rightChars="50"/>
              <w:jc w:val="center"/>
              <w:rPr>
                <w:rFonts w:hint="eastAsia" w:ascii="宋体" w:hAnsi="宋体" w:eastAsia="宋体" w:cs="宋体"/>
                <w:b w:val="0"/>
                <w:bCs w:val="0"/>
                <w:caps w:val="0"/>
                <w:spacing w:val="0"/>
                <w:kern w:val="0"/>
                <w:position w:val="0"/>
                <w:sz w:val="21"/>
                <w:szCs w:val="21"/>
                <w:lang w:val="en-US" w:eastAsia="zh-CN" w:bidi="zh-CN"/>
              </w:rPr>
            </w:pPr>
            <w:r>
              <w:rPr>
                <w:rFonts w:hint="eastAsia" w:ascii="宋体" w:hAnsi="宋体" w:eastAsia="宋体" w:cs="宋体"/>
                <w:b w:val="0"/>
                <w:bCs w:val="0"/>
                <w:lang w:val="en-US" w:eastAsia="zh-CN"/>
              </w:rPr>
              <w:t>6.</w:t>
            </w:r>
            <w:r>
              <w:rPr>
                <w:rFonts w:hint="eastAsia" w:ascii="宋体" w:hAnsi="宋体" w:cs="宋体"/>
                <w:b w:val="0"/>
                <w:bCs w:val="0"/>
              </w:rPr>
              <w:t>项目进度计划</w:t>
            </w:r>
          </w:p>
        </w:tc>
        <w:tc>
          <w:tcPr>
            <w:tcW w:w="4673" w:type="dxa"/>
            <w:vAlign w:val="top"/>
          </w:tcPr>
          <w:p w14:paraId="6158F0D4">
            <w:pPr>
              <w:spacing w:line="420" w:lineRule="exact"/>
              <w:rPr>
                <w:rFonts w:ascii="宋体" w:hAnsi="宋体" w:eastAsia="宋体" w:cs="宋体"/>
                <w:b w:val="0"/>
                <w:bCs w:val="0"/>
              </w:rPr>
            </w:pPr>
            <w:r>
              <w:rPr>
                <w:rFonts w:hint="eastAsia" w:ascii="宋体" w:hAnsi="宋体" w:eastAsia="宋体" w:cs="宋体"/>
                <w:b w:val="0"/>
                <w:bCs w:val="0"/>
              </w:rPr>
              <w:t>（1）</w:t>
            </w:r>
            <w:r>
              <w:rPr>
                <w:rFonts w:ascii="宋体" w:hAnsi="宋体" w:eastAsia="宋体" w:cs="宋体"/>
                <w:b w:val="0"/>
                <w:bCs w:val="0"/>
              </w:rPr>
              <w:t>项目进度安排合理，控制措施好且可行，能保证规划服务顺利完成的，得5分；</w:t>
            </w:r>
          </w:p>
          <w:p w14:paraId="73128C83">
            <w:pPr>
              <w:spacing w:line="420" w:lineRule="exact"/>
              <w:rPr>
                <w:rFonts w:ascii="宋体" w:hAnsi="宋体" w:eastAsia="宋体" w:cs="宋体"/>
                <w:b w:val="0"/>
                <w:bCs w:val="0"/>
              </w:rPr>
            </w:pPr>
            <w:r>
              <w:rPr>
                <w:rFonts w:hint="eastAsia" w:ascii="宋体" w:hAnsi="宋体" w:eastAsia="宋体" w:cs="宋体"/>
                <w:b w:val="0"/>
                <w:bCs w:val="0"/>
              </w:rPr>
              <w:t>（2）</w:t>
            </w:r>
            <w:r>
              <w:rPr>
                <w:rFonts w:ascii="宋体" w:hAnsi="宋体" w:eastAsia="宋体" w:cs="宋体"/>
                <w:b w:val="0"/>
                <w:bCs w:val="0"/>
              </w:rPr>
              <w:t>项目进度安排较合理，控制措施一般，能满足采购需求的，得3分；</w:t>
            </w:r>
          </w:p>
          <w:p w14:paraId="29355378">
            <w:pPr>
              <w:spacing w:line="420" w:lineRule="exact"/>
              <w:rPr>
                <w:rFonts w:ascii="宋体" w:hAnsi="宋体" w:eastAsia="宋体" w:cs="宋体"/>
                <w:b w:val="0"/>
                <w:bCs w:val="0"/>
              </w:rPr>
            </w:pPr>
            <w:r>
              <w:rPr>
                <w:rFonts w:hint="eastAsia" w:ascii="宋体" w:hAnsi="宋体" w:eastAsia="宋体" w:cs="宋体"/>
                <w:b w:val="0"/>
                <w:bCs w:val="0"/>
              </w:rPr>
              <w:t>（3）</w:t>
            </w:r>
            <w:r>
              <w:rPr>
                <w:rFonts w:ascii="宋体" w:hAnsi="宋体" w:eastAsia="宋体" w:cs="宋体"/>
                <w:b w:val="0"/>
                <w:bCs w:val="0"/>
              </w:rPr>
              <w:t>项目进度安排简单，控制措施简单，基本满足采购需求的，得1分。</w:t>
            </w:r>
          </w:p>
          <w:p w14:paraId="473BFB8F">
            <w:pPr>
              <w:spacing w:line="420" w:lineRule="exact"/>
              <w:rPr>
                <w:rFonts w:hint="eastAsia" w:ascii="宋体" w:hAnsi="宋体" w:eastAsia="宋体" w:cs="宋体"/>
                <w:b w:val="0"/>
                <w:bCs w:val="0"/>
                <w:spacing w:val="-13"/>
                <w:sz w:val="21"/>
                <w:szCs w:val="21"/>
                <w:lang w:val="en-US" w:eastAsia="zh-CN"/>
              </w:rPr>
            </w:pPr>
            <w:r>
              <w:rPr>
                <w:rFonts w:ascii="宋体" w:hAnsi="宋体" w:eastAsia="宋体" w:cs="宋体"/>
                <w:b w:val="0"/>
                <w:bCs w:val="0"/>
              </w:rPr>
              <w:t>此项无内容不得分</w:t>
            </w:r>
            <w:r>
              <w:rPr>
                <w:rFonts w:hint="eastAsia" w:ascii="宋体" w:hAnsi="宋体" w:eastAsia="宋体" w:cs="宋体"/>
                <w:b w:val="0"/>
                <w:bCs w:val="0"/>
              </w:rPr>
              <w:t>。</w:t>
            </w:r>
          </w:p>
        </w:tc>
      </w:tr>
      <w:tr w14:paraId="5ED5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vAlign w:val="center"/>
          </w:tcPr>
          <w:p w14:paraId="6EE3C15B">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tc>
        <w:tc>
          <w:tcPr>
            <w:tcW w:w="1005" w:type="dxa"/>
            <w:vMerge w:val="continue"/>
            <w:vAlign w:val="center"/>
          </w:tcPr>
          <w:p w14:paraId="6565B40B">
            <w:pPr>
              <w:keepNext w:val="0"/>
              <w:keepLines w:val="0"/>
              <w:pageBreakBefore w:val="0"/>
              <w:kinsoku/>
              <w:wordWrap w:val="0"/>
              <w:overflowPunct/>
              <w:topLinePunct w:val="0"/>
              <w:bidi w:val="0"/>
              <w:spacing w:before="78" w:line="219" w:lineRule="auto"/>
              <w:jc w:val="both"/>
              <w:rPr>
                <w:rFonts w:hint="eastAsia" w:ascii="宋体" w:hAnsi="宋体" w:eastAsia="宋体" w:cs="宋体"/>
                <w:snapToGrid w:val="0"/>
                <w:color w:val="000000"/>
                <w:spacing w:val="-13"/>
                <w:kern w:val="0"/>
                <w:sz w:val="21"/>
                <w:szCs w:val="21"/>
                <w:lang w:val="en-US" w:eastAsia="zh-CN" w:bidi="ar-SA"/>
              </w:rPr>
            </w:pPr>
          </w:p>
        </w:tc>
        <w:tc>
          <w:tcPr>
            <w:tcW w:w="495" w:type="dxa"/>
            <w:vAlign w:val="top"/>
          </w:tcPr>
          <w:p w14:paraId="3A4D191C">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2203ED22">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12211ADE">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36CA691B">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3FCA4CC6">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25B26A3E">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p>
          <w:p w14:paraId="0E0001C3">
            <w:pPr>
              <w:pStyle w:val="20"/>
              <w:keepNext w:val="0"/>
              <w:keepLines w:val="0"/>
              <w:pageBreakBefore w:val="0"/>
              <w:kinsoku/>
              <w:wordWrap w:val="0"/>
              <w:overflowPunct/>
              <w:topLinePunct w:val="0"/>
              <w:bidi w:val="0"/>
              <w:jc w:val="center"/>
              <w:rPr>
                <w:rFonts w:hint="eastAsia" w:ascii="宋体" w:hAnsi="宋体" w:eastAsia="宋体" w:cs="宋体"/>
                <w:b w:val="0"/>
                <w:bCs w:val="0"/>
                <w:caps w:val="0"/>
                <w:snapToGrid/>
                <w:color w:val="auto"/>
                <w:spacing w:val="0"/>
                <w:kern w:val="0"/>
                <w:position w:val="0"/>
                <w:sz w:val="21"/>
                <w:szCs w:val="21"/>
                <w:lang w:val="en-US" w:eastAsia="zh-CN" w:bidi="zh-CN"/>
              </w:rPr>
            </w:pPr>
            <w:r>
              <w:rPr>
                <w:rFonts w:hint="eastAsia" w:ascii="宋体" w:hAnsi="宋体" w:eastAsia="宋体" w:cs="宋体"/>
                <w:b w:val="0"/>
                <w:bCs w:val="0"/>
                <w:caps w:val="0"/>
                <w:snapToGrid/>
                <w:color w:val="auto"/>
                <w:spacing w:val="0"/>
                <w:kern w:val="0"/>
                <w:position w:val="0"/>
                <w:sz w:val="21"/>
                <w:szCs w:val="21"/>
                <w:lang w:val="en-US" w:eastAsia="zh-CN" w:bidi="zh-CN"/>
              </w:rPr>
              <w:t>5分</w:t>
            </w:r>
          </w:p>
        </w:tc>
        <w:tc>
          <w:tcPr>
            <w:tcW w:w="1650" w:type="dxa"/>
            <w:vAlign w:val="center"/>
          </w:tcPr>
          <w:p w14:paraId="53E6DA5F">
            <w:pPr>
              <w:spacing w:line="400" w:lineRule="exact"/>
              <w:ind w:right="105" w:rightChars="50"/>
              <w:jc w:val="center"/>
              <w:rPr>
                <w:rFonts w:hint="eastAsia" w:ascii="宋体" w:hAnsi="宋体" w:eastAsia="宋体" w:cs="宋体"/>
                <w:b w:val="0"/>
                <w:bCs w:val="0"/>
                <w:caps w:val="0"/>
                <w:spacing w:val="0"/>
                <w:kern w:val="0"/>
                <w:position w:val="0"/>
                <w:sz w:val="21"/>
                <w:szCs w:val="21"/>
                <w:lang w:val="en-US" w:eastAsia="zh-CN" w:bidi="zh-CN"/>
              </w:rPr>
            </w:pPr>
            <w:r>
              <w:rPr>
                <w:rFonts w:hint="eastAsia" w:ascii="宋体" w:hAnsi="宋体" w:eastAsia="宋体" w:cs="宋体"/>
                <w:b w:val="0"/>
                <w:bCs w:val="0"/>
                <w:lang w:val="en-US" w:eastAsia="zh-CN"/>
              </w:rPr>
              <w:t>7.</w:t>
            </w:r>
            <w:r>
              <w:rPr>
                <w:rFonts w:hint="eastAsia" w:ascii="宋体" w:hAnsi="宋体" w:cs="宋体"/>
                <w:b w:val="0"/>
                <w:bCs w:val="0"/>
              </w:rPr>
              <w:t>质量保证措施</w:t>
            </w:r>
          </w:p>
        </w:tc>
        <w:tc>
          <w:tcPr>
            <w:tcW w:w="4673" w:type="dxa"/>
            <w:vAlign w:val="top"/>
          </w:tcPr>
          <w:p w14:paraId="616D3ED4">
            <w:pPr>
              <w:spacing w:line="420" w:lineRule="exact"/>
              <w:rPr>
                <w:rFonts w:hint="eastAsia" w:ascii="宋体" w:hAnsi="宋体" w:eastAsia="宋体" w:cs="宋体"/>
                <w:b w:val="0"/>
                <w:bCs w:val="0"/>
              </w:rPr>
            </w:pPr>
            <w:bookmarkStart w:id="7" w:name="OLE_LINK11"/>
            <w:r>
              <w:rPr>
                <w:rFonts w:hint="eastAsia" w:ascii="宋体" w:hAnsi="宋体" w:eastAsia="宋体" w:cs="宋体"/>
                <w:b w:val="0"/>
                <w:bCs w:val="0"/>
              </w:rPr>
              <w:t>（1）措施内容全面，操作性强，能保证规划服务高质量完成的，得5分；</w:t>
            </w:r>
          </w:p>
          <w:p w14:paraId="044AF509">
            <w:pPr>
              <w:spacing w:line="420" w:lineRule="exact"/>
              <w:rPr>
                <w:rFonts w:hint="eastAsia" w:ascii="宋体" w:hAnsi="宋体" w:eastAsia="宋体" w:cs="宋体"/>
                <w:b w:val="0"/>
                <w:bCs w:val="0"/>
              </w:rPr>
            </w:pPr>
            <w:r>
              <w:rPr>
                <w:rFonts w:hint="eastAsia" w:ascii="宋体" w:hAnsi="宋体" w:eastAsia="宋体" w:cs="宋体"/>
                <w:b w:val="0"/>
                <w:bCs w:val="0"/>
              </w:rPr>
              <w:t>（2）措施内容较为全面，操作性一般，能满足采购需求的，得3分；</w:t>
            </w:r>
          </w:p>
          <w:p w14:paraId="2D596014">
            <w:pPr>
              <w:spacing w:line="420" w:lineRule="exact"/>
              <w:rPr>
                <w:rFonts w:hint="eastAsia" w:ascii="宋体" w:hAnsi="宋体" w:eastAsia="宋体" w:cs="宋体"/>
                <w:b w:val="0"/>
                <w:bCs w:val="0"/>
              </w:rPr>
            </w:pPr>
            <w:r>
              <w:rPr>
                <w:rFonts w:hint="eastAsia" w:ascii="宋体" w:hAnsi="宋体" w:eastAsia="宋体" w:cs="宋体"/>
                <w:b w:val="0"/>
                <w:bCs w:val="0"/>
              </w:rPr>
              <w:t>（3）措施内容简单，操作性一般，基本满足采购需求的，得1分。</w:t>
            </w:r>
          </w:p>
          <w:p w14:paraId="17300190">
            <w:pPr>
              <w:spacing w:line="420" w:lineRule="exact"/>
              <w:rPr>
                <w:rFonts w:hint="eastAsia" w:ascii="宋体" w:hAnsi="宋体" w:eastAsia="宋体" w:cs="宋体"/>
                <w:b w:val="0"/>
                <w:bCs w:val="0"/>
                <w:spacing w:val="-13"/>
                <w:sz w:val="21"/>
                <w:szCs w:val="21"/>
                <w:lang w:val="en-US" w:eastAsia="zh-CN"/>
              </w:rPr>
            </w:pPr>
            <w:r>
              <w:rPr>
                <w:rFonts w:hint="eastAsia" w:ascii="宋体" w:hAnsi="宋体" w:eastAsia="宋体" w:cs="宋体"/>
                <w:b w:val="0"/>
                <w:bCs w:val="0"/>
              </w:rPr>
              <w:t>此项无内容不得分。</w:t>
            </w:r>
            <w:bookmarkEnd w:id="7"/>
          </w:p>
        </w:tc>
      </w:tr>
      <w:tr w14:paraId="02967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9" w:type="dxa"/>
            <w:vAlign w:val="center"/>
          </w:tcPr>
          <w:p w14:paraId="7495FA6A">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3</w:t>
            </w:r>
          </w:p>
        </w:tc>
        <w:tc>
          <w:tcPr>
            <w:tcW w:w="1005" w:type="dxa"/>
            <w:vAlign w:val="center"/>
          </w:tcPr>
          <w:p w14:paraId="2FAABFFB">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2"/>
                <w:sz w:val="21"/>
                <w:szCs w:val="21"/>
                <w:lang w:val="en-US" w:eastAsia="zh-CN"/>
              </w:rPr>
              <w:t>综合实力</w:t>
            </w:r>
          </w:p>
        </w:tc>
        <w:tc>
          <w:tcPr>
            <w:tcW w:w="495" w:type="dxa"/>
            <w:vAlign w:val="top"/>
          </w:tcPr>
          <w:p w14:paraId="0EBC36F4">
            <w:pPr>
              <w:pStyle w:val="2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1"/>
                <w:szCs w:val="21"/>
                <w:lang w:val="en-US" w:eastAsia="zh-CN" w:bidi="ar-SA"/>
              </w:rPr>
            </w:pPr>
          </w:p>
          <w:p w14:paraId="651592FB">
            <w:pPr>
              <w:pStyle w:val="20"/>
              <w:keepNext w:val="0"/>
              <w:keepLines w:val="0"/>
              <w:pageBreakBefore w:val="0"/>
              <w:kinsoku/>
              <w:wordWrap w:val="0"/>
              <w:overflowPunct/>
              <w:topLinePunct w:val="0"/>
              <w:bidi w:val="0"/>
              <w:ind w:firstLine="184" w:firstLineChars="100"/>
              <w:jc w:val="both"/>
              <w:rPr>
                <w:rFonts w:hint="eastAsia" w:ascii="宋体" w:hAnsi="宋体" w:eastAsia="宋体" w:cs="宋体"/>
                <w:snapToGrid w:val="0"/>
                <w:color w:val="000000"/>
                <w:spacing w:val="-13"/>
                <w:kern w:val="0"/>
                <w:sz w:val="21"/>
                <w:szCs w:val="21"/>
                <w:lang w:val="en-US" w:eastAsia="zh-CN" w:bidi="ar-SA"/>
              </w:rPr>
            </w:pPr>
          </w:p>
          <w:p w14:paraId="071EE242">
            <w:pPr>
              <w:pStyle w:val="20"/>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1"/>
                <w:szCs w:val="21"/>
                <w:lang w:val="en-US" w:eastAsia="zh-CN" w:bidi="ar-SA"/>
              </w:rPr>
            </w:pPr>
            <w:r>
              <w:rPr>
                <w:rFonts w:hint="eastAsia" w:ascii="宋体" w:hAnsi="宋体" w:eastAsia="宋体" w:cs="宋体"/>
                <w:snapToGrid w:val="0"/>
                <w:color w:val="000000"/>
                <w:spacing w:val="-13"/>
                <w:kern w:val="0"/>
                <w:sz w:val="21"/>
                <w:szCs w:val="21"/>
                <w:lang w:val="en-US" w:eastAsia="zh-CN" w:bidi="ar-SA"/>
              </w:rPr>
              <w:t>2分</w:t>
            </w:r>
          </w:p>
        </w:tc>
        <w:tc>
          <w:tcPr>
            <w:tcW w:w="6323" w:type="dxa"/>
            <w:gridSpan w:val="2"/>
            <w:vAlign w:val="top"/>
          </w:tcPr>
          <w:p w14:paraId="40245880">
            <w:pPr>
              <w:pStyle w:val="20"/>
              <w:keepNext w:val="0"/>
              <w:keepLines w:val="0"/>
              <w:pageBreakBefore w:val="0"/>
              <w:kinsoku/>
              <w:wordWrap w:val="0"/>
              <w:overflowPunct/>
              <w:topLinePunct w:val="0"/>
              <w:bidi w:val="0"/>
              <w:spacing w:before="33" w:line="235" w:lineRule="auto"/>
              <w:ind w:left="76" w:right="23" w:firstLine="2"/>
              <w:jc w:val="both"/>
              <w:rPr>
                <w:rFonts w:hint="eastAsia" w:ascii="宋体" w:hAnsi="宋体" w:eastAsia="宋体" w:cs="宋体"/>
                <w:snapToGrid w:val="0"/>
                <w:color w:val="000000"/>
                <w:spacing w:val="-13"/>
                <w:kern w:val="0"/>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eastAsia="zh-CN"/>
              </w:rPr>
              <w:t>新野县</w:t>
            </w:r>
            <w:r>
              <w:rPr>
                <w:rFonts w:hint="eastAsia" w:ascii="宋体" w:hAnsi="宋体" w:eastAsia="宋体" w:cs="宋体"/>
                <w:sz w:val="21"/>
                <w:szCs w:val="21"/>
              </w:rPr>
              <w:t>政府采购信用评价实施办法》 ，供应商登录 “</w:t>
            </w:r>
            <w:r>
              <w:rPr>
                <w:rFonts w:hint="eastAsia" w:ascii="宋体" w:hAnsi="宋体" w:eastAsia="宋体" w:cs="宋体"/>
                <w:sz w:val="21"/>
                <w:szCs w:val="21"/>
                <w:lang w:eastAsia="zh-CN"/>
              </w:rPr>
              <w:t>新野县</w:t>
            </w:r>
            <w:r>
              <w:rPr>
                <w:rFonts w:hint="eastAsia" w:ascii="宋体" w:hAnsi="宋体" w:eastAsia="宋体" w:cs="宋体"/>
                <w:sz w:val="21"/>
                <w:szCs w:val="21"/>
              </w:rPr>
              <w:t>政府采购信用管理系统 ”打印并提交《</w:t>
            </w:r>
            <w:r>
              <w:rPr>
                <w:rFonts w:hint="eastAsia" w:ascii="宋体" w:hAnsi="宋体" w:eastAsia="宋体" w:cs="宋体"/>
                <w:sz w:val="21"/>
                <w:szCs w:val="21"/>
                <w:lang w:eastAsia="zh-CN"/>
              </w:rPr>
              <w:t>新野县</w:t>
            </w:r>
            <w:r>
              <w:rPr>
                <w:rFonts w:hint="eastAsia" w:ascii="宋体" w:hAnsi="宋体" w:eastAsia="宋体" w:cs="宋体"/>
                <w:sz w:val="21"/>
                <w:szCs w:val="21"/>
              </w:rPr>
              <w:t>政府采购供应商信用记录表》（扫描件），诚信指数为三星级（80-90 点（含 90 点） ） 的加 1 分， 四星级（90-100 点）的加 2 分，其他不得分。</w:t>
            </w:r>
          </w:p>
        </w:tc>
      </w:tr>
      <w:tr w14:paraId="4C6F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09" w:type="dxa"/>
            <w:vMerge w:val="restart"/>
            <w:vAlign w:val="center"/>
          </w:tcPr>
          <w:p w14:paraId="7F005489">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tc>
        <w:tc>
          <w:tcPr>
            <w:tcW w:w="1005" w:type="dxa"/>
            <w:vAlign w:val="center"/>
          </w:tcPr>
          <w:p w14:paraId="266A0993">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color w:val="000000"/>
                <w:sz w:val="21"/>
                <w:szCs w:val="21"/>
                <w:highlight w:val="none"/>
                <w:lang w:bidi="zh-CN"/>
              </w:rPr>
              <w:t>类似</w:t>
            </w:r>
            <w:r>
              <w:rPr>
                <w:rFonts w:hint="eastAsia" w:ascii="宋体" w:hAnsi="宋体" w:eastAsia="宋体" w:cs="宋体"/>
                <w:b w:val="0"/>
                <w:bCs w:val="0"/>
                <w:color w:val="000000"/>
                <w:sz w:val="21"/>
                <w:szCs w:val="21"/>
                <w:highlight w:val="none"/>
                <w:lang w:val="zh-CN" w:bidi="zh-CN"/>
              </w:rPr>
              <w:t>业绩</w:t>
            </w:r>
          </w:p>
        </w:tc>
        <w:tc>
          <w:tcPr>
            <w:tcW w:w="495" w:type="dxa"/>
            <w:vAlign w:val="top"/>
          </w:tcPr>
          <w:p w14:paraId="40825885">
            <w:pPr>
              <w:pStyle w:val="20"/>
              <w:keepNext w:val="0"/>
              <w:keepLines w:val="0"/>
              <w:pageBreakBefore w:val="0"/>
              <w:kinsoku/>
              <w:wordWrap w:val="0"/>
              <w:overflowPunct/>
              <w:topLinePunct w:val="0"/>
              <w:bidi w:val="0"/>
              <w:jc w:val="both"/>
              <w:rPr>
                <w:rFonts w:hint="eastAsia" w:ascii="宋体" w:hAnsi="宋体" w:eastAsia="宋体" w:cs="宋体"/>
                <w:b w:val="0"/>
                <w:bCs w:val="0"/>
                <w:snapToGrid w:val="0"/>
                <w:color w:val="000000"/>
                <w:spacing w:val="-13"/>
                <w:kern w:val="0"/>
                <w:sz w:val="21"/>
                <w:szCs w:val="21"/>
                <w:lang w:val="en-US" w:eastAsia="zh-CN" w:bidi="ar-SA"/>
              </w:rPr>
            </w:pPr>
          </w:p>
          <w:p w14:paraId="4BBA15F1">
            <w:pPr>
              <w:pStyle w:val="20"/>
              <w:keepNext w:val="0"/>
              <w:keepLines w:val="0"/>
              <w:pageBreakBefore w:val="0"/>
              <w:kinsoku/>
              <w:wordWrap w:val="0"/>
              <w:overflowPunct/>
              <w:topLinePunct w:val="0"/>
              <w:bidi w:val="0"/>
              <w:jc w:val="both"/>
              <w:rPr>
                <w:rFonts w:hint="eastAsia" w:ascii="宋体" w:hAnsi="宋体" w:eastAsia="宋体" w:cs="宋体"/>
                <w:b w:val="0"/>
                <w:bCs w:val="0"/>
                <w:snapToGrid w:val="0"/>
                <w:color w:val="000000"/>
                <w:spacing w:val="-13"/>
                <w:kern w:val="0"/>
                <w:sz w:val="21"/>
                <w:szCs w:val="21"/>
                <w:lang w:val="en-US" w:eastAsia="zh-CN" w:bidi="ar-SA"/>
              </w:rPr>
            </w:pPr>
          </w:p>
          <w:p w14:paraId="53DD7B64">
            <w:pPr>
              <w:pStyle w:val="20"/>
              <w:keepNext w:val="0"/>
              <w:keepLines w:val="0"/>
              <w:pageBreakBefore w:val="0"/>
              <w:kinsoku/>
              <w:wordWrap w:val="0"/>
              <w:overflowPunct/>
              <w:topLinePunct w:val="0"/>
              <w:bidi w:val="0"/>
              <w:jc w:val="both"/>
              <w:rPr>
                <w:rFonts w:hint="eastAsia" w:ascii="宋体" w:hAnsi="宋体" w:eastAsia="宋体" w:cs="宋体"/>
                <w:b w:val="0"/>
                <w:bCs w:val="0"/>
                <w:snapToGrid w:val="0"/>
                <w:color w:val="000000"/>
                <w:spacing w:val="-13"/>
                <w:kern w:val="0"/>
                <w:sz w:val="21"/>
                <w:szCs w:val="21"/>
                <w:lang w:val="en-US" w:eastAsia="zh-CN" w:bidi="ar-SA"/>
              </w:rPr>
            </w:pPr>
          </w:p>
          <w:p w14:paraId="3DE15C10">
            <w:pPr>
              <w:pStyle w:val="20"/>
              <w:keepNext w:val="0"/>
              <w:keepLines w:val="0"/>
              <w:pageBreakBefore w:val="0"/>
              <w:kinsoku/>
              <w:wordWrap w:val="0"/>
              <w:overflowPunct/>
              <w:topLinePunct w:val="0"/>
              <w:bidi w:val="0"/>
              <w:jc w:val="both"/>
              <w:rPr>
                <w:rFonts w:hint="default" w:ascii="宋体" w:hAnsi="宋体" w:eastAsia="宋体" w:cs="宋体"/>
                <w:b w:val="0"/>
                <w:bCs w:val="0"/>
                <w:snapToGrid w:val="0"/>
                <w:color w:val="000000"/>
                <w:spacing w:val="-13"/>
                <w:kern w:val="0"/>
                <w:sz w:val="21"/>
                <w:szCs w:val="21"/>
                <w:lang w:val="en-US" w:eastAsia="zh-CN" w:bidi="ar-SA"/>
              </w:rPr>
            </w:pPr>
            <w:r>
              <w:rPr>
                <w:rFonts w:hint="eastAsia" w:ascii="宋体" w:hAnsi="宋体" w:eastAsia="宋体" w:cs="宋体"/>
                <w:b w:val="0"/>
                <w:bCs w:val="0"/>
                <w:snapToGrid w:val="0"/>
                <w:color w:val="000000"/>
                <w:spacing w:val="-13"/>
                <w:kern w:val="0"/>
                <w:sz w:val="21"/>
                <w:szCs w:val="21"/>
                <w:lang w:val="en-US" w:eastAsia="zh-CN" w:bidi="ar-SA"/>
              </w:rPr>
              <w:t>10分</w:t>
            </w:r>
          </w:p>
        </w:tc>
        <w:tc>
          <w:tcPr>
            <w:tcW w:w="6323" w:type="dxa"/>
            <w:gridSpan w:val="2"/>
            <w:vAlign w:val="top"/>
          </w:tcPr>
          <w:p w14:paraId="2E4596FE">
            <w:pPr>
              <w:spacing w:line="420" w:lineRule="exact"/>
              <w:rPr>
                <w:rFonts w:hint="eastAsia" w:ascii="宋体" w:hAnsi="宋体" w:eastAsia="宋体" w:cs="宋体"/>
                <w:b w:val="0"/>
                <w:bCs w:val="0"/>
              </w:rPr>
            </w:pPr>
            <w:r>
              <w:rPr>
                <w:rFonts w:hint="eastAsia" w:ascii="宋体" w:hAnsi="宋体" w:eastAsia="宋体" w:cs="宋体"/>
                <w:b w:val="0"/>
                <w:bCs w:val="0"/>
              </w:rPr>
              <w:t>供应商2019年1月1日以来，承担“十四五”或“十五五”有关规划编制或课题研究类业绩；每提供一份得2分，最高得10分。</w:t>
            </w:r>
          </w:p>
          <w:p w14:paraId="49518E5F">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b w:val="0"/>
                <w:bCs w:val="0"/>
                <w:color w:val="auto"/>
                <w:sz w:val="21"/>
                <w:szCs w:val="21"/>
              </w:rPr>
            </w:pPr>
            <w:r>
              <w:rPr>
                <w:rFonts w:hint="eastAsia" w:ascii="宋体" w:hAnsi="宋体" w:eastAsia="宋体" w:cs="宋体"/>
                <w:b w:val="0"/>
                <w:bCs w:val="0"/>
              </w:rPr>
              <w:t>注：在响应文件中附合同扫描件，业绩日期以合同签订日期为准，否则不得分。</w:t>
            </w:r>
          </w:p>
        </w:tc>
      </w:tr>
      <w:tr w14:paraId="1BD31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trPr>
        <w:tc>
          <w:tcPr>
            <w:tcW w:w="709" w:type="dxa"/>
            <w:vMerge w:val="continue"/>
            <w:vAlign w:val="center"/>
          </w:tcPr>
          <w:p w14:paraId="78F6D8B3">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tc>
        <w:tc>
          <w:tcPr>
            <w:tcW w:w="1005" w:type="dxa"/>
            <w:vAlign w:val="center"/>
          </w:tcPr>
          <w:p w14:paraId="13364E43">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b w:val="0"/>
                <w:bCs w:val="0"/>
                <w:color w:val="000000"/>
                <w:sz w:val="21"/>
                <w:szCs w:val="21"/>
                <w:highlight w:val="none"/>
                <w:lang w:bidi="zh-CN"/>
              </w:rPr>
            </w:pPr>
            <w:r>
              <w:rPr>
                <w:rFonts w:hint="eastAsia" w:ascii="宋体" w:hAnsi="宋体" w:cs="宋体"/>
                <w:b w:val="0"/>
                <w:bCs w:val="0"/>
              </w:rPr>
              <w:t>企业荣誉奖励</w:t>
            </w:r>
          </w:p>
        </w:tc>
        <w:tc>
          <w:tcPr>
            <w:tcW w:w="495" w:type="dxa"/>
            <w:vAlign w:val="center"/>
          </w:tcPr>
          <w:p w14:paraId="2F069BD6">
            <w:pPr>
              <w:spacing w:line="400" w:lineRule="exact"/>
              <w:ind w:right="105" w:rightChars="50"/>
              <w:jc w:val="center"/>
              <w:rPr>
                <w:rFonts w:hint="eastAsia" w:ascii="宋体" w:hAnsi="宋体" w:eastAsia="宋体" w:cs="宋体"/>
                <w:b w:val="0"/>
                <w:bCs w:val="0"/>
                <w:snapToGrid w:val="0"/>
                <w:color w:val="000000"/>
                <w:spacing w:val="-13"/>
                <w:kern w:val="0"/>
                <w:sz w:val="21"/>
                <w:szCs w:val="21"/>
                <w:lang w:val="en-US" w:eastAsia="zh-CN" w:bidi="ar-SA"/>
              </w:rPr>
            </w:pPr>
            <w:r>
              <w:rPr>
                <w:rFonts w:hint="eastAsia" w:ascii="宋体" w:hAnsi="宋体" w:cs="宋体"/>
                <w:b w:val="0"/>
                <w:bCs w:val="0"/>
              </w:rPr>
              <w:t>6分</w:t>
            </w:r>
          </w:p>
        </w:tc>
        <w:tc>
          <w:tcPr>
            <w:tcW w:w="6323" w:type="dxa"/>
            <w:gridSpan w:val="2"/>
            <w:vAlign w:val="center"/>
          </w:tcPr>
          <w:p w14:paraId="1E3B8F88">
            <w:pPr>
              <w:spacing w:line="420" w:lineRule="exact"/>
              <w:rPr>
                <w:rFonts w:hint="eastAsia" w:ascii="宋体" w:hAnsi="宋体" w:eastAsia="宋体" w:cs="宋体"/>
                <w:b w:val="0"/>
                <w:bCs w:val="0"/>
              </w:rPr>
            </w:pPr>
            <w:r>
              <w:rPr>
                <w:rFonts w:hint="eastAsia" w:ascii="宋体" w:hAnsi="宋体" w:eastAsia="宋体" w:cs="宋体"/>
                <w:b w:val="0"/>
                <w:bCs w:val="0"/>
              </w:rPr>
              <w:t>供应商提供2021年1月1日以来曾获得过省级及以上荣誉奖励的，每提供一项得2分，最高得6分。</w:t>
            </w:r>
          </w:p>
          <w:p w14:paraId="79E3538E">
            <w:pPr>
              <w:spacing w:line="420" w:lineRule="exact"/>
              <w:rPr>
                <w:rFonts w:hint="eastAsia" w:ascii="宋体" w:hAnsi="宋体" w:eastAsia="宋体" w:cs="宋体"/>
                <w:b w:val="0"/>
                <w:bCs w:val="0"/>
              </w:rPr>
            </w:pPr>
            <w:r>
              <w:rPr>
                <w:rFonts w:hint="eastAsia" w:ascii="宋体" w:hAnsi="宋体" w:eastAsia="宋体" w:cs="宋体"/>
                <w:b w:val="0"/>
                <w:bCs w:val="0"/>
              </w:rPr>
              <w:t>注：在响应文件中附获奖证书或证明文件扫描件，以发证日期为准，否则不得分。</w:t>
            </w:r>
          </w:p>
        </w:tc>
      </w:tr>
      <w:tr w14:paraId="13C8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709" w:type="dxa"/>
            <w:vMerge w:val="continue"/>
            <w:vAlign w:val="center"/>
          </w:tcPr>
          <w:p w14:paraId="74801BF9">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tc>
        <w:tc>
          <w:tcPr>
            <w:tcW w:w="1005" w:type="dxa"/>
            <w:vAlign w:val="center"/>
          </w:tcPr>
          <w:p w14:paraId="5C45ECF4">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b w:val="0"/>
                <w:bCs w:val="0"/>
                <w:color w:val="000000"/>
                <w:sz w:val="21"/>
                <w:szCs w:val="21"/>
                <w:highlight w:val="none"/>
                <w:lang w:bidi="zh-CN"/>
              </w:rPr>
            </w:pPr>
            <w:r>
              <w:rPr>
                <w:rFonts w:hint="eastAsia" w:ascii="宋体" w:hAnsi="宋体" w:cs="宋体"/>
                <w:b w:val="0"/>
                <w:bCs w:val="0"/>
              </w:rPr>
              <w:t>企业管理体系认证</w:t>
            </w:r>
          </w:p>
        </w:tc>
        <w:tc>
          <w:tcPr>
            <w:tcW w:w="495" w:type="dxa"/>
            <w:vAlign w:val="center"/>
          </w:tcPr>
          <w:p w14:paraId="17F5E233">
            <w:pPr>
              <w:spacing w:line="400" w:lineRule="exact"/>
              <w:ind w:right="105" w:rightChars="50"/>
              <w:jc w:val="center"/>
              <w:rPr>
                <w:rFonts w:hint="eastAsia" w:ascii="宋体" w:hAnsi="宋体" w:eastAsia="宋体" w:cs="宋体"/>
                <w:b w:val="0"/>
                <w:bCs w:val="0"/>
                <w:snapToGrid w:val="0"/>
                <w:color w:val="000000"/>
                <w:spacing w:val="-13"/>
                <w:kern w:val="0"/>
                <w:sz w:val="21"/>
                <w:szCs w:val="21"/>
                <w:lang w:val="en-US" w:eastAsia="zh-CN" w:bidi="ar-SA"/>
              </w:rPr>
            </w:pPr>
            <w:r>
              <w:rPr>
                <w:rFonts w:hint="eastAsia" w:ascii="宋体" w:hAnsi="宋体" w:cs="宋体"/>
                <w:b w:val="0"/>
                <w:bCs w:val="0"/>
              </w:rPr>
              <w:t>3分</w:t>
            </w:r>
          </w:p>
        </w:tc>
        <w:tc>
          <w:tcPr>
            <w:tcW w:w="6323" w:type="dxa"/>
            <w:gridSpan w:val="2"/>
            <w:vAlign w:val="center"/>
          </w:tcPr>
          <w:p w14:paraId="45868406">
            <w:pPr>
              <w:spacing w:line="420" w:lineRule="exact"/>
              <w:rPr>
                <w:rFonts w:hint="eastAsia" w:ascii="宋体" w:hAnsi="宋体" w:eastAsia="宋体" w:cs="宋体"/>
                <w:b w:val="0"/>
                <w:bCs w:val="0"/>
              </w:rPr>
            </w:pPr>
            <w:r>
              <w:rPr>
                <w:rFonts w:hint="eastAsia" w:ascii="宋体" w:hAnsi="宋体" w:eastAsia="宋体" w:cs="宋体"/>
                <w:b w:val="0"/>
                <w:bCs w:val="0"/>
              </w:rPr>
              <w:t>供应商具有质量管理体系认证证书、环境管理体系认证证书、职业健康安全管理体系认证证书的，每提供一份得1分，最高得3分。</w:t>
            </w:r>
          </w:p>
          <w:p w14:paraId="7B27CC62">
            <w:pPr>
              <w:spacing w:line="420" w:lineRule="exact"/>
              <w:rPr>
                <w:rFonts w:hint="eastAsia" w:ascii="宋体" w:hAnsi="宋体" w:eastAsia="宋体" w:cs="宋体"/>
                <w:b w:val="0"/>
                <w:bCs w:val="0"/>
              </w:rPr>
            </w:pPr>
            <w:r>
              <w:rPr>
                <w:rFonts w:hint="eastAsia" w:ascii="宋体" w:hAnsi="宋体" w:eastAsia="宋体" w:cs="宋体"/>
                <w:b w:val="0"/>
                <w:bCs w:val="0"/>
              </w:rPr>
              <w:t>注：在响应文件中附相关证书扫描件，否则不得分。</w:t>
            </w:r>
          </w:p>
        </w:tc>
      </w:tr>
      <w:tr w14:paraId="6DFC1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709" w:type="dxa"/>
            <w:vMerge w:val="continue"/>
            <w:vAlign w:val="center"/>
          </w:tcPr>
          <w:p w14:paraId="724E8A87">
            <w:pPr>
              <w:pStyle w:val="20"/>
              <w:keepNext w:val="0"/>
              <w:keepLines w:val="0"/>
              <w:pageBreakBefore w:val="0"/>
              <w:kinsoku/>
              <w:wordWrap w:val="0"/>
              <w:overflowPunct/>
              <w:topLinePunct w:val="0"/>
              <w:bidi w:val="0"/>
              <w:jc w:val="center"/>
              <w:rPr>
                <w:rFonts w:hint="eastAsia" w:ascii="宋体" w:hAnsi="宋体" w:eastAsia="宋体" w:cs="宋体"/>
                <w:sz w:val="21"/>
                <w:szCs w:val="21"/>
                <w:lang w:val="en-US" w:eastAsia="zh-CN"/>
              </w:rPr>
            </w:pPr>
          </w:p>
        </w:tc>
        <w:tc>
          <w:tcPr>
            <w:tcW w:w="1005" w:type="dxa"/>
            <w:vAlign w:val="center"/>
          </w:tcPr>
          <w:p w14:paraId="1CD218B2">
            <w:pPr>
              <w:autoSpaceDE w:val="0"/>
              <w:autoSpaceDN w:val="0"/>
              <w:spacing w:line="300" w:lineRule="auto"/>
              <w:jc w:val="center"/>
              <w:rPr>
                <w:rFonts w:hint="eastAsia" w:ascii="宋体" w:hAnsi="宋体" w:eastAsia="宋体" w:cs="宋体"/>
                <w:b w:val="0"/>
                <w:bCs w:val="0"/>
                <w:color w:val="000000"/>
                <w:sz w:val="21"/>
                <w:szCs w:val="21"/>
                <w:highlight w:val="none"/>
                <w:lang w:bidi="zh-CN"/>
              </w:rPr>
            </w:pPr>
            <w:r>
              <w:rPr>
                <w:rFonts w:hint="eastAsia" w:ascii="宋体" w:hAnsi="宋体" w:eastAsia="宋体" w:cs="宋体"/>
                <w:b w:val="0"/>
                <w:bCs w:val="0"/>
                <w:color w:val="000000"/>
                <w:sz w:val="21"/>
                <w:szCs w:val="21"/>
                <w:highlight w:val="none"/>
                <w:lang w:bidi="zh-CN"/>
              </w:rPr>
              <w:t>项目团队人员</w:t>
            </w:r>
          </w:p>
          <w:p w14:paraId="0B3C013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b w:val="0"/>
                <w:bCs w:val="0"/>
                <w:color w:val="000000"/>
                <w:sz w:val="21"/>
                <w:szCs w:val="21"/>
                <w:highlight w:val="none"/>
                <w:lang w:bidi="zh-CN"/>
              </w:rPr>
            </w:pPr>
          </w:p>
        </w:tc>
        <w:tc>
          <w:tcPr>
            <w:tcW w:w="495" w:type="dxa"/>
            <w:vAlign w:val="top"/>
          </w:tcPr>
          <w:p w14:paraId="266E589E">
            <w:pPr>
              <w:pStyle w:val="20"/>
              <w:keepNext w:val="0"/>
              <w:keepLines w:val="0"/>
              <w:pageBreakBefore w:val="0"/>
              <w:kinsoku/>
              <w:wordWrap w:val="0"/>
              <w:overflowPunct/>
              <w:topLinePunct w:val="0"/>
              <w:bidi w:val="0"/>
              <w:jc w:val="both"/>
              <w:rPr>
                <w:rFonts w:hint="eastAsia" w:ascii="宋体" w:hAnsi="宋体" w:eastAsia="宋体" w:cs="宋体"/>
                <w:b w:val="0"/>
                <w:bCs w:val="0"/>
                <w:snapToGrid w:val="0"/>
                <w:color w:val="000000"/>
                <w:spacing w:val="-13"/>
                <w:kern w:val="0"/>
                <w:sz w:val="21"/>
                <w:szCs w:val="21"/>
                <w:lang w:val="en-US" w:eastAsia="zh-CN" w:bidi="ar-SA"/>
              </w:rPr>
            </w:pPr>
          </w:p>
          <w:p w14:paraId="4344576E">
            <w:pPr>
              <w:pStyle w:val="20"/>
              <w:keepNext w:val="0"/>
              <w:keepLines w:val="0"/>
              <w:pageBreakBefore w:val="0"/>
              <w:kinsoku/>
              <w:wordWrap w:val="0"/>
              <w:overflowPunct/>
              <w:topLinePunct w:val="0"/>
              <w:bidi w:val="0"/>
              <w:jc w:val="both"/>
              <w:rPr>
                <w:rFonts w:hint="eastAsia" w:ascii="宋体" w:hAnsi="宋体" w:eastAsia="宋体" w:cs="宋体"/>
                <w:b w:val="0"/>
                <w:bCs w:val="0"/>
                <w:snapToGrid w:val="0"/>
                <w:color w:val="000000"/>
                <w:spacing w:val="-13"/>
                <w:kern w:val="0"/>
                <w:sz w:val="21"/>
                <w:szCs w:val="21"/>
                <w:lang w:val="en-US" w:eastAsia="zh-CN" w:bidi="ar-SA"/>
              </w:rPr>
            </w:pPr>
          </w:p>
          <w:p w14:paraId="3EA33E17">
            <w:pPr>
              <w:pStyle w:val="20"/>
              <w:keepNext w:val="0"/>
              <w:keepLines w:val="0"/>
              <w:pageBreakBefore w:val="0"/>
              <w:kinsoku/>
              <w:wordWrap w:val="0"/>
              <w:overflowPunct/>
              <w:topLinePunct w:val="0"/>
              <w:bidi w:val="0"/>
              <w:jc w:val="both"/>
              <w:rPr>
                <w:rFonts w:hint="default" w:ascii="宋体" w:hAnsi="宋体" w:eastAsia="宋体" w:cs="宋体"/>
                <w:b w:val="0"/>
                <w:bCs w:val="0"/>
                <w:snapToGrid w:val="0"/>
                <w:color w:val="000000"/>
                <w:spacing w:val="-13"/>
                <w:kern w:val="0"/>
                <w:sz w:val="21"/>
                <w:szCs w:val="21"/>
                <w:lang w:val="en-US" w:eastAsia="zh-CN" w:bidi="ar-SA"/>
              </w:rPr>
            </w:pPr>
            <w:r>
              <w:rPr>
                <w:rFonts w:hint="eastAsia" w:ascii="宋体" w:hAnsi="宋体" w:eastAsia="宋体" w:cs="宋体"/>
                <w:b w:val="0"/>
                <w:bCs w:val="0"/>
                <w:snapToGrid w:val="0"/>
                <w:color w:val="000000"/>
                <w:spacing w:val="-13"/>
                <w:kern w:val="0"/>
                <w:sz w:val="21"/>
                <w:szCs w:val="21"/>
                <w:lang w:val="en-US" w:eastAsia="zh-CN" w:bidi="ar-SA"/>
              </w:rPr>
              <w:t>11分</w:t>
            </w:r>
          </w:p>
        </w:tc>
        <w:tc>
          <w:tcPr>
            <w:tcW w:w="6323" w:type="dxa"/>
            <w:gridSpan w:val="2"/>
            <w:vAlign w:val="top"/>
          </w:tcPr>
          <w:p w14:paraId="453ADD43">
            <w:pPr>
              <w:numPr>
                <w:ilvl w:val="0"/>
                <w:numId w:val="3"/>
              </w:numPr>
              <w:spacing w:line="400" w:lineRule="exact"/>
              <w:jc w:val="left"/>
              <w:rPr>
                <w:rFonts w:hint="eastAsia" w:ascii="宋体" w:hAnsi="宋体" w:eastAsia="宋体" w:cs="宋体"/>
                <w:b w:val="0"/>
                <w:bCs w:val="0"/>
              </w:rPr>
            </w:pPr>
            <w:r>
              <w:rPr>
                <w:rFonts w:hint="eastAsia" w:ascii="宋体" w:hAnsi="宋体" w:eastAsia="宋体" w:cs="宋体"/>
                <w:b w:val="0"/>
                <w:bCs w:val="0"/>
              </w:rPr>
              <w:t>项目负责人具备注册咨询工程师（投资）资格，同时具备高级工程师职称的得</w:t>
            </w:r>
            <w:r>
              <w:rPr>
                <w:rFonts w:hint="eastAsia" w:ascii="宋体" w:hAnsi="宋体" w:eastAsia="宋体" w:cs="宋体"/>
                <w:b w:val="0"/>
                <w:bCs w:val="0"/>
                <w:lang w:val="en-US" w:eastAsia="zh-CN"/>
              </w:rPr>
              <w:t>3</w:t>
            </w:r>
            <w:r>
              <w:rPr>
                <w:rFonts w:hint="eastAsia" w:ascii="宋体" w:hAnsi="宋体" w:eastAsia="宋体" w:cs="宋体"/>
                <w:b w:val="0"/>
                <w:bCs w:val="0"/>
              </w:rPr>
              <w:t>分。</w:t>
            </w:r>
          </w:p>
          <w:p w14:paraId="30C9FBD3">
            <w:pPr>
              <w:numPr>
                <w:ilvl w:val="0"/>
                <w:numId w:val="3"/>
              </w:numPr>
              <w:spacing w:line="400" w:lineRule="exact"/>
              <w:jc w:val="left"/>
              <w:rPr>
                <w:rFonts w:hint="eastAsia" w:ascii="宋体" w:hAnsi="宋体" w:eastAsia="宋体" w:cs="宋体"/>
                <w:b w:val="0"/>
                <w:bCs w:val="0"/>
              </w:rPr>
            </w:pPr>
            <w:r>
              <w:rPr>
                <w:rFonts w:hint="eastAsia" w:ascii="宋体" w:hAnsi="宋体" w:eastAsia="宋体" w:cs="宋体"/>
                <w:b w:val="0"/>
                <w:bCs w:val="0"/>
              </w:rPr>
              <w:t>拟派项目组成员(除项目负责人以外)每提供一个人具备高级职称或注册咨询工程师（投资）的，得2分，最高得</w:t>
            </w:r>
            <w:r>
              <w:rPr>
                <w:rFonts w:hint="eastAsia" w:ascii="宋体" w:hAnsi="宋体" w:eastAsia="宋体" w:cs="宋体"/>
                <w:b w:val="0"/>
                <w:bCs w:val="0"/>
                <w:lang w:val="en-US" w:eastAsia="zh-CN"/>
              </w:rPr>
              <w:t>6</w:t>
            </w:r>
            <w:r>
              <w:rPr>
                <w:rFonts w:hint="eastAsia" w:ascii="宋体" w:hAnsi="宋体" w:eastAsia="宋体" w:cs="宋体"/>
                <w:b w:val="0"/>
                <w:bCs w:val="0"/>
              </w:rPr>
              <w:t>分。</w:t>
            </w:r>
          </w:p>
          <w:p w14:paraId="0073E31B">
            <w:pPr>
              <w:pStyle w:val="20"/>
              <w:keepNext w:val="0"/>
              <w:keepLines w:val="0"/>
              <w:pageBreakBefore w:val="0"/>
              <w:kinsoku/>
              <w:wordWrap w:val="0"/>
              <w:overflowPunct/>
              <w:topLinePunct w:val="0"/>
              <w:bidi w:val="0"/>
              <w:spacing w:before="33" w:line="235" w:lineRule="auto"/>
              <w:ind w:left="76" w:right="23" w:firstLine="2"/>
              <w:jc w:val="both"/>
              <w:rPr>
                <w:rFonts w:hint="eastAsia" w:ascii="宋体" w:hAnsi="宋体" w:eastAsia="宋体" w:cs="宋体"/>
                <w:b w:val="0"/>
                <w:bCs w:val="0"/>
                <w:caps w:val="0"/>
                <w:color w:val="auto"/>
                <w:spacing w:val="0"/>
                <w:kern w:val="0"/>
                <w:position w:val="0"/>
                <w:sz w:val="21"/>
                <w:szCs w:val="21"/>
                <w:lang w:val="en-US" w:eastAsia="zh-CN" w:bidi="zh-CN"/>
              </w:rPr>
            </w:pPr>
            <w:r>
              <w:rPr>
                <w:rFonts w:hint="eastAsia" w:ascii="宋体" w:hAnsi="宋体" w:eastAsia="宋体" w:cs="宋体"/>
                <w:b w:val="0"/>
                <w:bCs w:val="0"/>
              </w:rPr>
              <w:t>注：在响应文件中附2024年以来本单位为其缴纳的连续三个月以上的社保证明及个人职称、注册执业资格证书扫描件，否则不得分。</w:t>
            </w:r>
          </w:p>
        </w:tc>
      </w:tr>
      <w:tr w14:paraId="7FBE6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14" w:type="dxa"/>
            <w:gridSpan w:val="2"/>
            <w:vAlign w:val="top"/>
          </w:tcPr>
          <w:p w14:paraId="004E608C">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1"/>
                <w:szCs w:val="21"/>
              </w:rPr>
            </w:pPr>
            <w:r>
              <w:rPr>
                <w:rFonts w:hint="eastAsia" w:ascii="宋体" w:hAnsi="宋体" w:eastAsia="宋体" w:cs="宋体"/>
                <w:spacing w:val="-3"/>
                <w:sz w:val="21"/>
                <w:szCs w:val="21"/>
              </w:rPr>
              <w:t>合计</w:t>
            </w:r>
          </w:p>
        </w:tc>
        <w:tc>
          <w:tcPr>
            <w:tcW w:w="495" w:type="dxa"/>
            <w:vAlign w:val="top"/>
          </w:tcPr>
          <w:p w14:paraId="1527E6BD">
            <w:pPr>
              <w:pStyle w:val="20"/>
              <w:keepNext w:val="0"/>
              <w:keepLines w:val="0"/>
              <w:pageBreakBefore w:val="0"/>
              <w:kinsoku/>
              <w:wordWrap w:val="0"/>
              <w:overflowPunct/>
              <w:topLinePunct w:val="0"/>
              <w:bidi w:val="0"/>
              <w:spacing w:before="59" w:line="202" w:lineRule="auto"/>
              <w:jc w:val="both"/>
              <w:rPr>
                <w:rFonts w:hint="eastAsia" w:ascii="宋体" w:hAnsi="宋体" w:eastAsia="宋体" w:cs="宋体"/>
                <w:sz w:val="21"/>
                <w:szCs w:val="21"/>
              </w:rPr>
            </w:pPr>
            <w:r>
              <w:rPr>
                <w:rFonts w:hint="eastAsia" w:ascii="宋体" w:hAnsi="宋体" w:eastAsia="宋体" w:cs="宋体"/>
                <w:spacing w:val="9"/>
                <w:sz w:val="21"/>
                <w:szCs w:val="21"/>
              </w:rPr>
              <w:t>100</w:t>
            </w:r>
          </w:p>
        </w:tc>
        <w:tc>
          <w:tcPr>
            <w:tcW w:w="6323" w:type="dxa"/>
            <w:gridSpan w:val="2"/>
            <w:vAlign w:val="top"/>
          </w:tcPr>
          <w:p w14:paraId="3A970A57">
            <w:pPr>
              <w:pStyle w:val="20"/>
              <w:keepNext w:val="0"/>
              <w:keepLines w:val="0"/>
              <w:pageBreakBefore w:val="0"/>
              <w:kinsoku/>
              <w:wordWrap w:val="0"/>
              <w:overflowPunct/>
              <w:topLinePunct w:val="0"/>
              <w:bidi w:val="0"/>
              <w:jc w:val="both"/>
              <w:rPr>
                <w:rFonts w:hint="eastAsia" w:ascii="宋体" w:hAnsi="宋体" w:eastAsia="宋体" w:cs="宋体"/>
                <w:sz w:val="21"/>
                <w:szCs w:val="21"/>
              </w:rPr>
            </w:pPr>
          </w:p>
        </w:tc>
      </w:tr>
    </w:tbl>
    <w:p w14:paraId="600D1842">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w:t>
      </w:r>
      <w:r>
        <w:rPr>
          <w:rFonts w:hint="eastAsia" w:ascii="宋体" w:hAnsi="宋体" w:eastAsia="宋体" w:cs="宋体"/>
          <w:b/>
          <w:bCs/>
          <w:snapToGrid w:val="0"/>
          <w:color w:val="auto"/>
          <w:spacing w:val="2"/>
          <w:kern w:val="0"/>
          <w:position w:val="17"/>
          <w:sz w:val="24"/>
          <w:szCs w:val="24"/>
          <w:lang w:val="en-US" w:eastAsia="zh-CN" w:bidi="ar-SA"/>
        </w:rPr>
        <w:t>新野县政府采购招标文件编制负面清单</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》，根据实际项目需要设置科学合理的评分因素及分值。</w:t>
      </w:r>
    </w:p>
    <w:p w14:paraId="1C49895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11C3F02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33641EB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500FE73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7BCAE27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199AE449">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403A6190">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3B198F2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新野县公共资源交易中心</w:t>
      </w:r>
      <w:r>
        <w:rPr>
          <w:rFonts w:hint="eastAsia" w:ascii="宋体" w:hAnsi="宋体" w:eastAsia="宋体" w:cs="宋体"/>
          <w:snapToGrid w:val="0"/>
          <w:color w:val="000000"/>
          <w:kern w:val="0"/>
          <w:sz w:val="24"/>
          <w:szCs w:val="24"/>
          <w:lang w:val="en-US" w:eastAsia="en-US" w:bidi="ar-SA"/>
        </w:rPr>
        <w:t>网”上发布成交公告。</w:t>
      </w:r>
    </w:p>
    <w:p w14:paraId="5429D6A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B5E65E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1926343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新野县公共资源交易中心公共服务平台或</w:t>
      </w:r>
      <w:r>
        <w:rPr>
          <w:rFonts w:hint="eastAsia" w:ascii="宋体" w:hAnsi="宋体" w:eastAsia="宋体" w:cs="宋体"/>
          <w:snapToGrid w:val="0"/>
          <w:color w:val="000000"/>
          <w:kern w:val="0"/>
          <w:sz w:val="24"/>
          <w:szCs w:val="24"/>
          <w:lang w:val="en-US" w:eastAsia="en-US" w:bidi="ar-SA"/>
        </w:rPr>
        <w:t>电子营业执照应用平台”向成交供应商发出电子成交通知书，成交供应商可登陆</w:t>
      </w:r>
      <w:r>
        <w:rPr>
          <w:rFonts w:hint="eastAsia" w:ascii="宋体" w:hAnsi="宋体" w:eastAsia="宋体" w:cs="宋体"/>
          <w:snapToGrid w:val="0"/>
          <w:color w:val="000000"/>
          <w:kern w:val="0"/>
          <w:sz w:val="24"/>
          <w:szCs w:val="24"/>
          <w:lang w:val="en-US" w:eastAsia="zh-CN" w:bidi="ar-SA"/>
        </w:rPr>
        <w:t>新野县公共资源交易平台会员系统或电子营业执照应用平台</w:t>
      </w:r>
      <w:r>
        <w:rPr>
          <w:rFonts w:hint="eastAsia" w:ascii="宋体" w:hAnsi="宋体" w:eastAsia="宋体" w:cs="宋体"/>
          <w:snapToGrid w:val="0"/>
          <w:color w:val="000000"/>
          <w:kern w:val="0"/>
          <w:sz w:val="24"/>
          <w:szCs w:val="24"/>
          <w:lang w:val="en-US" w:eastAsia="en-US" w:bidi="ar-SA"/>
        </w:rPr>
        <w:t>，自行打印加盖电子签章的成交通知书。</w:t>
      </w:r>
    </w:p>
    <w:p w14:paraId="27DAE68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7A3A9E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3434534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404299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B4AFAE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72319766">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2B708B0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2B0A97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702EAB8C">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2CF7F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新野县</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公共资源交易系统或</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新野县</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公共资源电子营业执照应用平台并电话通知到项目负责人。</w:t>
      </w:r>
    </w:p>
    <w:p w14:paraId="622580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3C3B23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B15CB3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0B48F0D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1833D0F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204931F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47ECB2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6BA9C20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595647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D506C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E24C9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D5402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7F6185E9">
      <w:pP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br w:type="page"/>
      </w:r>
    </w:p>
    <w:p w14:paraId="4856DA0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3E464A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8EDB1D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4C2F2A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5A2B1D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0AB6683A">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49D2F31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08CC0B9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76C8F18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F97BDC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7B53F1F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D8D0A6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2FD62F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0B8F63E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2798E0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066414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15D7DC0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0A5B0F5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76D7CB8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0C7A12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C27CB63">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5CD5CDEB">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126F8AC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52E36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8D0F8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700CAFF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7759C9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475AA45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65B2E71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1E47A21B">
      <w:pPr>
        <w:pStyle w:val="4"/>
        <w:keepNext w:val="0"/>
        <w:keepLines w:val="0"/>
        <w:pageBreakBefore w:val="0"/>
        <w:kinsoku/>
        <w:wordWrap w:val="0"/>
        <w:overflowPunct/>
        <w:topLinePunct w:val="0"/>
        <w:bidi w:val="0"/>
        <w:spacing w:line="220" w:lineRule="auto"/>
        <w:ind w:left="9"/>
        <w:jc w:val="both"/>
        <w:rPr>
          <w:sz w:val="24"/>
          <w:szCs w:val="24"/>
        </w:rPr>
      </w:pPr>
    </w:p>
    <w:p w14:paraId="4C57365F">
      <w:pPr>
        <w:keepNext w:val="0"/>
        <w:keepLines w:val="0"/>
        <w:pageBreakBefore w:val="0"/>
        <w:kinsoku/>
        <w:wordWrap w:val="0"/>
        <w:overflowPunct/>
        <w:topLinePunct w:val="0"/>
        <w:bidi w:val="0"/>
        <w:spacing w:line="220" w:lineRule="auto"/>
        <w:jc w:val="both"/>
        <w:rPr>
          <w:sz w:val="24"/>
          <w:szCs w:val="24"/>
        </w:rPr>
        <w:sectPr>
          <w:headerReference r:id="rId5" w:type="default"/>
          <w:footerReference r:id="rId6" w:type="default"/>
          <w:pgSz w:w="11907" w:h="16840"/>
          <w:pgMar w:top="1440" w:right="1800" w:bottom="1440" w:left="1800" w:header="878" w:footer="886" w:gutter="0"/>
          <w:pgNumType w:fmt="decimal" w:start="1"/>
          <w:cols w:space="720" w:num="1"/>
        </w:sectPr>
      </w:pPr>
    </w:p>
    <w:p w14:paraId="29A8C9AA">
      <w:pPr>
        <w:pStyle w:val="4"/>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63DAB4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6FE67EC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245C3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5DFC21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Arial" w:hAnsi="Arial" w:eastAsia="宋体" w:cs="Arial"/>
          <w:spacing w:val="-1"/>
          <w:sz w:val="24"/>
          <w:szCs w:val="24"/>
          <w:lang w:val="en-US" w:eastAsia="zh-CN"/>
        </w:rPr>
      </w:pPr>
      <w:r>
        <w:rPr>
          <w:rFonts w:hint="eastAsia" w:ascii="Arial" w:hAnsi="Arial" w:eastAsia="宋体" w:cs="Arial"/>
          <w:spacing w:val="-1"/>
          <w:sz w:val="24"/>
          <w:szCs w:val="24"/>
          <w:lang w:val="en-US" w:eastAsia="zh-CN"/>
        </w:rPr>
        <w:t>3.目录自拟</w:t>
      </w:r>
    </w:p>
    <w:p w14:paraId="639C0678">
      <w:pPr>
        <w:rPr>
          <w:rFonts w:hint="default" w:ascii="Arial" w:hAnsi="Arial" w:eastAsia="宋体" w:cs="Arial"/>
          <w:spacing w:val="-1"/>
          <w:sz w:val="24"/>
          <w:szCs w:val="24"/>
          <w:lang w:val="en-US" w:eastAsia="zh-CN"/>
        </w:rPr>
        <w:sectPr>
          <w:headerReference r:id="rId7" w:type="default"/>
          <w:footerReference r:id="rId8" w:type="default"/>
          <w:pgSz w:w="11907" w:h="16840"/>
          <w:pgMar w:top="1440" w:right="1800" w:bottom="1440" w:left="1800" w:header="878" w:footer="886" w:gutter="0"/>
          <w:pgNumType w:fmt="decimal"/>
          <w:cols w:space="720" w:num="1"/>
        </w:sectPr>
      </w:pPr>
      <w:r>
        <w:rPr>
          <w:rFonts w:hint="eastAsia" w:eastAsia="宋体" w:cs="Arial"/>
          <w:spacing w:val="-1"/>
          <w:sz w:val="24"/>
          <w:szCs w:val="24"/>
          <w:lang w:val="en-US" w:eastAsia="zh-CN"/>
        </w:rPr>
        <w:t>4.封面自拟</w:t>
      </w:r>
    </w:p>
    <w:p w14:paraId="7B5F0D34">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0F0B327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4E50573E">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68EEF85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050618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41880125">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24DA2AE8">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71825663">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7683E29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445BDCAF">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46B1E367">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222FABB3">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1A864D5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10EDB32">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21D5B1CC">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4E1484E5">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E5CCB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356787A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47A31B4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6B5297F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7A0C069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BCFE7B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10CB717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0AACE4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Theme="minorEastAsia" w:hAnsiTheme="minorEastAsia" w:eastAsiaTheme="minorEastAsia" w:cstheme="minorEastAsia"/>
          <w:snapToGrid w:val="0"/>
          <w:color w:val="000000"/>
          <w:spacing w:val="-3"/>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38F1845C">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w:t>
      </w:r>
      <w:r>
        <w:rPr>
          <w:rFonts w:hint="eastAsia" w:asciiTheme="minorEastAsia" w:hAnsiTheme="minorEastAsia" w:eastAsiaTheme="minorEastAsia" w:cstheme="minorEastAsia"/>
          <w:snapToGrid w:val="0"/>
          <w:color w:val="000000"/>
          <w:spacing w:val="-3"/>
          <w:kern w:val="0"/>
          <w:sz w:val="24"/>
          <w:szCs w:val="24"/>
          <w:u w:val="single"/>
          <w:lang w:val="en-US" w:eastAsia="en-US" w:bidi="ar-SA"/>
        </w:rPr>
        <w:t>（姓名）</w:t>
      </w:r>
      <w:r>
        <w:rPr>
          <w:rFonts w:hint="eastAsia" w:asciiTheme="minorEastAsia" w:hAnsiTheme="minorEastAsia" w:eastAsiaTheme="minorEastAsia" w:cstheme="minorEastAsia"/>
          <w:snapToGrid w:val="0"/>
          <w:color w:val="000000"/>
          <w:spacing w:val="-3"/>
          <w:kern w:val="0"/>
          <w:sz w:val="24"/>
          <w:szCs w:val="24"/>
          <w:lang w:val="en-US" w:eastAsia="en-US" w:bidi="ar-SA"/>
        </w:rPr>
        <w:t>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5BB42FE3">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5B79DD8E">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C42C98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EEFA238">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6C0EE21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50EFD383">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005AF0A3">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0DDBBA3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8656B3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3447EE4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6665F59">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1A32B04">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573E0119">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EB4BE4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14:paraId="1DD0D829">
      <w:pPr>
        <w:keepNext w:val="0"/>
        <w:keepLines w:val="0"/>
        <w:pageBreakBefore w:val="0"/>
        <w:numPr>
          <w:ilvl w:val="0"/>
          <w:numId w:val="4"/>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tbl>
      <w:tblPr>
        <w:tblStyle w:val="1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114"/>
        <w:gridCol w:w="1320"/>
        <w:gridCol w:w="3802"/>
      </w:tblGrid>
      <w:tr w14:paraId="2B4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0FEE9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1CC062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B5B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CEE4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17CED5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8A8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4AFB3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1B7412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254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59F48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72D7C4A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w:t>
            </w:r>
          </w:p>
        </w:tc>
      </w:tr>
      <w:tr w14:paraId="5815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453D3D8">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项目负责人</w:t>
            </w:r>
          </w:p>
        </w:tc>
        <w:tc>
          <w:tcPr>
            <w:tcW w:w="2114" w:type="dxa"/>
            <w:tcBorders>
              <w:top w:val="single" w:color="auto" w:sz="4" w:space="0"/>
              <w:left w:val="single" w:color="auto" w:sz="4" w:space="0"/>
              <w:bottom w:val="single" w:color="auto" w:sz="4" w:space="0"/>
              <w:right w:val="single" w:color="auto" w:sz="4" w:space="0"/>
            </w:tcBorders>
            <w:noWrap w:val="0"/>
            <w:vAlign w:val="center"/>
          </w:tcPr>
          <w:p w14:paraId="4CD37E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8613772">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身份证号</w:t>
            </w:r>
          </w:p>
        </w:tc>
        <w:tc>
          <w:tcPr>
            <w:tcW w:w="3802" w:type="dxa"/>
            <w:tcBorders>
              <w:top w:val="single" w:color="auto" w:sz="4" w:space="0"/>
              <w:left w:val="single" w:color="auto" w:sz="4" w:space="0"/>
              <w:bottom w:val="single" w:color="auto" w:sz="4" w:space="0"/>
              <w:right w:val="single" w:color="auto" w:sz="4" w:space="0"/>
            </w:tcBorders>
            <w:noWrap w:val="0"/>
            <w:vAlign w:val="center"/>
          </w:tcPr>
          <w:p w14:paraId="5B675B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C9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89E81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4A2CA9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A5E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64F45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3322FC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561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BC62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gridSpan w:val="3"/>
            <w:tcBorders>
              <w:top w:val="single" w:color="auto" w:sz="4" w:space="0"/>
              <w:left w:val="single" w:color="auto" w:sz="4" w:space="0"/>
              <w:bottom w:val="single" w:color="auto" w:sz="4" w:space="0"/>
              <w:right w:val="single" w:color="auto" w:sz="4" w:space="0"/>
            </w:tcBorders>
            <w:noWrap w:val="0"/>
            <w:vAlign w:val="center"/>
          </w:tcPr>
          <w:p w14:paraId="469BE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C00B0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75E21E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0424A8E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298AD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64E76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2D180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32626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7C133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CEAAD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FFB28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54875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4AA340F">
      <w:pPr>
        <w:keepNext w:val="0"/>
        <w:keepLines w:val="0"/>
        <w:pageBreakBefore w:val="0"/>
        <w:widowControl/>
        <w:numPr>
          <w:ilvl w:val="0"/>
          <w:numId w:val="4"/>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3548332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12CEDA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2ABED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07D1A16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603B7E7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37E8FC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73F644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43FC9D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99013E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A7A8F0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3BD068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02BAFCB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197A959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48D1B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1DA7E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4D649A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4835D6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E42683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5A677F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776EAC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C30D6D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C88672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B2BDC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6A324E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273A8C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五、服务方案等；</w:t>
      </w:r>
    </w:p>
    <w:p w14:paraId="444742AC">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pPr>
    </w:p>
    <w:p w14:paraId="1DB4B3A3">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412555D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3EB12F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7E0C95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B0931B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4F3A96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C5539B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0D450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229FAD3">
      <w:pPr>
        <w:pStyle w:val="16"/>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服务方案</w:t>
      </w:r>
    </w:p>
    <w:p w14:paraId="43664A39">
      <w:pPr>
        <w:pStyle w:val="16"/>
        <w:jc w:val="center"/>
        <w:rPr>
          <w:rFonts w:hint="eastAsia" w:asciiTheme="minorEastAsia" w:hAnsiTheme="minorEastAsia" w:eastAsiaTheme="minorEastAsia" w:cstheme="minorEastAsia"/>
          <w:b/>
          <w:sz w:val="24"/>
          <w:szCs w:val="24"/>
          <w:lang w:val="en-US" w:eastAsia="zh-CN"/>
        </w:rPr>
      </w:pPr>
    </w:p>
    <w:p w14:paraId="236216A2">
      <w:pPr>
        <w:pStyle w:val="16"/>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（格式自拟）</w:t>
      </w:r>
    </w:p>
    <w:p w14:paraId="0FF6FFEF">
      <w:pPr>
        <w:pStyle w:val="16"/>
        <w:jc w:val="center"/>
        <w:rPr>
          <w:rFonts w:hint="eastAsia" w:asciiTheme="minorEastAsia" w:hAnsiTheme="minorEastAsia" w:eastAsiaTheme="minorEastAsia" w:cstheme="minorEastAsia"/>
          <w:b/>
          <w:sz w:val="24"/>
          <w:szCs w:val="24"/>
          <w:lang w:val="en-US" w:eastAsia="zh-CN"/>
        </w:rPr>
      </w:pPr>
    </w:p>
    <w:p w14:paraId="3857DBFF">
      <w:pPr>
        <w:pStyle w:val="16"/>
        <w:jc w:val="center"/>
        <w:rPr>
          <w:rFonts w:hint="eastAsia" w:asciiTheme="minorEastAsia" w:hAnsiTheme="minorEastAsia" w:eastAsiaTheme="minorEastAsia" w:cstheme="minorEastAsia"/>
          <w:b/>
          <w:sz w:val="24"/>
          <w:szCs w:val="24"/>
          <w:lang w:val="en-US" w:eastAsia="zh-CN"/>
        </w:rPr>
      </w:pPr>
    </w:p>
    <w:p w14:paraId="743BA0AE">
      <w:pPr>
        <w:pStyle w:val="16"/>
        <w:jc w:val="center"/>
        <w:rPr>
          <w:rFonts w:hint="eastAsia" w:asciiTheme="minorEastAsia" w:hAnsiTheme="minorEastAsia" w:eastAsiaTheme="minorEastAsia" w:cstheme="minorEastAsia"/>
          <w:b/>
          <w:sz w:val="24"/>
          <w:szCs w:val="24"/>
          <w:lang w:val="en-US" w:eastAsia="zh-CN"/>
        </w:rPr>
      </w:pPr>
    </w:p>
    <w:p w14:paraId="16E666E8">
      <w:pPr>
        <w:pStyle w:val="16"/>
        <w:jc w:val="center"/>
        <w:rPr>
          <w:rFonts w:hint="eastAsia" w:asciiTheme="minorEastAsia" w:hAnsiTheme="minorEastAsia" w:eastAsiaTheme="minorEastAsia" w:cstheme="minorEastAsia"/>
          <w:b/>
          <w:sz w:val="24"/>
          <w:szCs w:val="24"/>
          <w:lang w:val="en-US" w:eastAsia="zh-CN"/>
        </w:rPr>
      </w:pPr>
    </w:p>
    <w:p w14:paraId="30188FA9">
      <w:pPr>
        <w:pStyle w:val="16"/>
        <w:jc w:val="center"/>
        <w:rPr>
          <w:rFonts w:hint="eastAsia" w:asciiTheme="minorEastAsia" w:hAnsiTheme="minorEastAsia" w:eastAsiaTheme="minorEastAsia" w:cstheme="minorEastAsia"/>
          <w:b/>
          <w:sz w:val="24"/>
          <w:szCs w:val="24"/>
          <w:lang w:val="en-US" w:eastAsia="zh-CN"/>
        </w:rPr>
      </w:pPr>
    </w:p>
    <w:p w14:paraId="207A3004">
      <w:pPr>
        <w:pStyle w:val="16"/>
        <w:jc w:val="center"/>
        <w:rPr>
          <w:rFonts w:hint="eastAsia" w:asciiTheme="minorEastAsia" w:hAnsiTheme="minorEastAsia" w:eastAsiaTheme="minorEastAsia" w:cstheme="minorEastAsia"/>
          <w:b/>
          <w:sz w:val="24"/>
          <w:szCs w:val="24"/>
          <w:lang w:val="en-US" w:eastAsia="zh-CN"/>
        </w:rPr>
      </w:pPr>
    </w:p>
    <w:p w14:paraId="41E648E3">
      <w:pPr>
        <w:pStyle w:val="16"/>
        <w:jc w:val="center"/>
        <w:rPr>
          <w:rFonts w:hint="eastAsia" w:asciiTheme="minorEastAsia" w:hAnsiTheme="minorEastAsia" w:eastAsiaTheme="minorEastAsia" w:cstheme="minorEastAsia"/>
          <w:b/>
          <w:sz w:val="24"/>
          <w:szCs w:val="24"/>
          <w:lang w:val="en-US" w:eastAsia="zh-CN"/>
        </w:rPr>
      </w:pPr>
    </w:p>
    <w:p w14:paraId="264C396D">
      <w:pPr>
        <w:pStyle w:val="16"/>
        <w:jc w:val="center"/>
        <w:rPr>
          <w:rFonts w:hint="eastAsia" w:asciiTheme="minorEastAsia" w:hAnsiTheme="minorEastAsia" w:eastAsiaTheme="minorEastAsia" w:cstheme="minorEastAsia"/>
          <w:b/>
          <w:sz w:val="24"/>
          <w:szCs w:val="24"/>
          <w:lang w:val="en-US" w:eastAsia="zh-CN"/>
        </w:rPr>
      </w:pPr>
    </w:p>
    <w:p w14:paraId="7E324DBE">
      <w:pPr>
        <w:pStyle w:val="16"/>
        <w:jc w:val="center"/>
        <w:rPr>
          <w:rFonts w:hint="eastAsia" w:asciiTheme="minorEastAsia" w:hAnsiTheme="minorEastAsia" w:eastAsiaTheme="minorEastAsia" w:cstheme="minorEastAsia"/>
          <w:b/>
          <w:sz w:val="24"/>
          <w:szCs w:val="24"/>
          <w:lang w:val="en-US" w:eastAsia="zh-CN"/>
        </w:rPr>
      </w:pPr>
    </w:p>
    <w:p w14:paraId="2CFE5CED">
      <w:pPr>
        <w:pStyle w:val="16"/>
        <w:jc w:val="center"/>
        <w:rPr>
          <w:rFonts w:hint="eastAsia" w:asciiTheme="minorEastAsia" w:hAnsiTheme="minorEastAsia" w:eastAsiaTheme="minorEastAsia" w:cstheme="minorEastAsia"/>
          <w:b/>
          <w:sz w:val="24"/>
          <w:szCs w:val="24"/>
          <w:lang w:val="en-US" w:eastAsia="zh-CN"/>
        </w:rPr>
      </w:pPr>
    </w:p>
    <w:p w14:paraId="258921DC">
      <w:pPr>
        <w:pStyle w:val="16"/>
        <w:jc w:val="center"/>
        <w:rPr>
          <w:rFonts w:hint="eastAsia" w:asciiTheme="minorEastAsia" w:hAnsiTheme="minorEastAsia" w:eastAsiaTheme="minorEastAsia" w:cstheme="minorEastAsia"/>
          <w:b/>
          <w:sz w:val="24"/>
          <w:szCs w:val="24"/>
          <w:lang w:val="en-US" w:eastAsia="zh-CN"/>
        </w:rPr>
      </w:pPr>
    </w:p>
    <w:p w14:paraId="637F4CD2">
      <w:pPr>
        <w:pStyle w:val="16"/>
        <w:jc w:val="center"/>
        <w:rPr>
          <w:rFonts w:hint="eastAsia" w:asciiTheme="minorEastAsia" w:hAnsiTheme="minorEastAsia" w:eastAsiaTheme="minorEastAsia" w:cstheme="minorEastAsia"/>
          <w:b/>
          <w:sz w:val="24"/>
          <w:szCs w:val="24"/>
          <w:lang w:val="en-US" w:eastAsia="zh-CN"/>
        </w:rPr>
      </w:pPr>
    </w:p>
    <w:p w14:paraId="317006A6">
      <w:pPr>
        <w:pStyle w:val="16"/>
        <w:jc w:val="center"/>
        <w:rPr>
          <w:rFonts w:hint="eastAsia" w:asciiTheme="minorEastAsia" w:hAnsiTheme="minorEastAsia" w:eastAsiaTheme="minorEastAsia" w:cstheme="minorEastAsia"/>
          <w:b/>
          <w:sz w:val="24"/>
          <w:szCs w:val="24"/>
          <w:lang w:val="en-US" w:eastAsia="zh-CN"/>
        </w:rPr>
      </w:pPr>
    </w:p>
    <w:p w14:paraId="1077058B">
      <w:pPr>
        <w:pStyle w:val="16"/>
        <w:jc w:val="center"/>
        <w:rPr>
          <w:rFonts w:hint="eastAsia" w:asciiTheme="minorEastAsia" w:hAnsiTheme="minorEastAsia" w:eastAsiaTheme="minorEastAsia" w:cstheme="minorEastAsia"/>
          <w:b/>
          <w:sz w:val="24"/>
          <w:szCs w:val="24"/>
          <w:lang w:val="en-US" w:eastAsia="zh-CN"/>
        </w:rPr>
      </w:pPr>
    </w:p>
    <w:p w14:paraId="23C2CF42">
      <w:pPr>
        <w:pStyle w:val="16"/>
        <w:jc w:val="center"/>
        <w:rPr>
          <w:rFonts w:hint="eastAsia" w:asciiTheme="minorEastAsia" w:hAnsiTheme="minorEastAsia" w:eastAsiaTheme="minorEastAsia" w:cstheme="minorEastAsia"/>
          <w:b/>
          <w:sz w:val="24"/>
          <w:szCs w:val="24"/>
          <w:lang w:val="en-US" w:eastAsia="zh-CN"/>
        </w:rPr>
      </w:pPr>
    </w:p>
    <w:p w14:paraId="17C3A19E">
      <w:pPr>
        <w:pStyle w:val="16"/>
        <w:jc w:val="center"/>
        <w:rPr>
          <w:rFonts w:hint="eastAsia" w:asciiTheme="minorEastAsia" w:hAnsiTheme="minorEastAsia" w:eastAsiaTheme="minorEastAsia" w:cstheme="minorEastAsia"/>
          <w:b/>
          <w:sz w:val="24"/>
          <w:szCs w:val="24"/>
          <w:lang w:val="en-US" w:eastAsia="zh-CN"/>
        </w:rPr>
      </w:pPr>
    </w:p>
    <w:p w14:paraId="152EB7F1">
      <w:pPr>
        <w:pStyle w:val="16"/>
        <w:jc w:val="center"/>
        <w:rPr>
          <w:rFonts w:hint="eastAsia" w:asciiTheme="minorEastAsia" w:hAnsiTheme="minorEastAsia" w:eastAsiaTheme="minorEastAsia" w:cstheme="minorEastAsia"/>
          <w:b/>
          <w:sz w:val="24"/>
          <w:szCs w:val="24"/>
          <w:lang w:val="en-US" w:eastAsia="zh-CN"/>
        </w:rPr>
      </w:pPr>
    </w:p>
    <w:p w14:paraId="7DEB7950">
      <w:pPr>
        <w:pStyle w:val="16"/>
        <w:jc w:val="center"/>
        <w:rPr>
          <w:rFonts w:hint="eastAsia" w:asciiTheme="minorEastAsia" w:hAnsiTheme="minorEastAsia" w:eastAsiaTheme="minorEastAsia" w:cstheme="minorEastAsia"/>
          <w:b/>
          <w:sz w:val="24"/>
          <w:szCs w:val="24"/>
          <w:lang w:val="en-US" w:eastAsia="zh-CN"/>
        </w:rPr>
      </w:pPr>
    </w:p>
    <w:p w14:paraId="2E95C2BB">
      <w:pPr>
        <w:pStyle w:val="16"/>
        <w:jc w:val="center"/>
        <w:rPr>
          <w:rFonts w:hint="eastAsia" w:asciiTheme="minorEastAsia" w:hAnsiTheme="minorEastAsia" w:eastAsiaTheme="minorEastAsia" w:cstheme="minorEastAsia"/>
          <w:b/>
          <w:sz w:val="24"/>
          <w:szCs w:val="24"/>
          <w:lang w:val="en-US" w:eastAsia="zh-CN"/>
        </w:rPr>
      </w:pPr>
    </w:p>
    <w:p w14:paraId="2B1A1CC1">
      <w:pPr>
        <w:pStyle w:val="16"/>
        <w:jc w:val="center"/>
        <w:rPr>
          <w:rFonts w:hint="eastAsia" w:asciiTheme="minorEastAsia" w:hAnsiTheme="minorEastAsia" w:eastAsiaTheme="minorEastAsia" w:cstheme="minorEastAsia"/>
          <w:b/>
          <w:sz w:val="24"/>
          <w:szCs w:val="24"/>
          <w:lang w:val="en-US" w:eastAsia="zh-CN"/>
        </w:rPr>
      </w:pPr>
    </w:p>
    <w:p w14:paraId="0F9C77F2">
      <w:pPr>
        <w:pStyle w:val="16"/>
        <w:ind w:left="0" w:leftChars="0" w:firstLine="0" w:firstLineChars="0"/>
        <w:jc w:val="both"/>
        <w:rPr>
          <w:rFonts w:hint="eastAsia" w:asciiTheme="minorEastAsia" w:hAnsiTheme="minorEastAsia" w:eastAsiaTheme="minorEastAsia" w:cstheme="minorEastAsia"/>
          <w:b/>
          <w:sz w:val="24"/>
          <w:szCs w:val="24"/>
          <w:lang w:val="en-US" w:eastAsia="zh-CN"/>
        </w:rPr>
      </w:pPr>
    </w:p>
    <w:p w14:paraId="4FC5270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2F968F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74DFDC7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3E91B76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4A016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48BA5C7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68ECB4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27C5226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33554F4">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79F4BA3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1B2204A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28FB824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36D5AF60">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31A949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ECDAFA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46CFF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A513A1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FE713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E7D47A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C76191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D83F07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74AB1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6C9A2E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497CE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39C1B1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14:paraId="260FA7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C4367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E7BA7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65D9C7F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680289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00CCBD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6A8C72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002C0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1215B5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587BA5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0CB9F15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BCA9A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1EB716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6EFA0A6A">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754CE5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093B4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5C27FE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D5FFE2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121189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37D9F9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619CD4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463669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B1C3C4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C28D9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12248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98A695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3BD13547">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B53DE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5575CAD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CCD776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343E67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34979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01E25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CA8BE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16904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980D70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19F8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26979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89314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56DF87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1CECEA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EC7F6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20A1390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7270EB80">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BE4A0A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FCCAA8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FC7B0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52A9510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6F9998C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color w:val="auto"/>
          <w:sz w:val="32"/>
          <w:szCs w:val="32"/>
          <w:lang w:val="zh-CN" w:eastAsia="zh-CN"/>
        </w:rPr>
      </w:pPr>
      <w:r>
        <w:rPr>
          <w:rFonts w:hint="eastAsia" w:ascii="宋体" w:hAnsi="宋体" w:eastAsia="宋体" w:cs="宋体"/>
          <w:b/>
          <w:bCs/>
          <w:color w:val="auto"/>
          <w:sz w:val="24"/>
          <w:szCs w:val="24"/>
          <w:lang w:eastAsia="zh-CN"/>
        </w:rPr>
        <w:t>按照新野县财政局《关于推行政府采购信用承诺制的通知》宛财购〔2023〕4号的要求，对于新野县本级政府采购项目，全部实施供应商资格信用承诺，投标人在投标时，按照规定提供“新野县政府采购供应商信用承诺函”（详见附件）的，无需再提交上述第四项证明材料”。投标人在中标后，应将上述由信用承诺书替代的证明材料提交采购人或采购代理机构，证明材料将随公告一并公示”</w:t>
      </w:r>
    </w:p>
    <w:p w14:paraId="5C55A63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556A466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7B90DEC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5CCF933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1A45D8A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0273A07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4C1FDBD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2E35721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4C4E146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53AF14D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新野县政府采购供应商信用承诺函（格式）</w:t>
      </w:r>
    </w:p>
    <w:p w14:paraId="400C11D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300399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0995909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6460AB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6D8B402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CAFC5C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15B8D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56D2A8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5430B3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501DF52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540FD6A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A8F17C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3B4764B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600636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712A5D9">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7797374F">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088A4EA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70D12D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006026A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54EF950">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98B1F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1" w:type="default"/>
      <w:footerReference r:id="rId12"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08F7">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CEC8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3CEC8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3A8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F385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60F385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1F112">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A01F112">
                    <w:pPr>
                      <w:pStyle w:val="7"/>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09C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5A06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EE5A06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A21E">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13A9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AC13A9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4985">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275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A716">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64C0">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B98AC"/>
    <w:multiLevelType w:val="singleLevel"/>
    <w:tmpl w:val="A73B98AC"/>
    <w:lvl w:ilvl="0" w:tentative="0">
      <w:start w:val="1"/>
      <w:numFmt w:val="decimal"/>
      <w:suff w:val="nothing"/>
      <w:lvlText w:val="%1、"/>
      <w:lvlJc w:val="left"/>
    </w:lvl>
  </w:abstractNum>
  <w:abstractNum w:abstractNumId="1">
    <w:nsid w:val="CBC0E654"/>
    <w:multiLevelType w:val="singleLevel"/>
    <w:tmpl w:val="CBC0E654"/>
    <w:lvl w:ilvl="0" w:tentative="0">
      <w:start w:val="2"/>
      <w:numFmt w:val="decimal"/>
      <w:lvlText w:val="%1."/>
      <w:lvlJc w:val="left"/>
      <w:pPr>
        <w:tabs>
          <w:tab w:val="left" w:pos="312"/>
        </w:tabs>
      </w:pPr>
    </w:lvl>
  </w:abstractNum>
  <w:abstractNum w:abstractNumId="2">
    <w:nsid w:val="4E9E83D1"/>
    <w:multiLevelType w:val="singleLevel"/>
    <w:tmpl w:val="4E9E83D1"/>
    <w:lvl w:ilvl="0" w:tentative="0">
      <w:start w:val="1"/>
      <w:numFmt w:val="decimal"/>
      <w:suff w:val="nothing"/>
      <w:lvlText w:val="%1、"/>
      <w:lvlJc w:val="left"/>
    </w:lvl>
  </w:abstractNum>
  <w:abstractNum w:abstractNumId="3">
    <w:nsid w:val="6643FA8D"/>
    <w:multiLevelType w:val="singleLevel"/>
    <w:tmpl w:val="6643FA8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3ZmYyMzQ4MzE4NGUwOWYwMDg4ZDBlYmQxMzgxYzMifQ=="/>
  </w:docVars>
  <w:rsids>
    <w:rsidRoot w:val="00000000"/>
    <w:rsid w:val="00E74932"/>
    <w:rsid w:val="01B4133F"/>
    <w:rsid w:val="01B846E6"/>
    <w:rsid w:val="02980B47"/>
    <w:rsid w:val="02FA25DD"/>
    <w:rsid w:val="0304627B"/>
    <w:rsid w:val="03844968"/>
    <w:rsid w:val="03F005BF"/>
    <w:rsid w:val="04197CCF"/>
    <w:rsid w:val="041A7EA6"/>
    <w:rsid w:val="049308F0"/>
    <w:rsid w:val="04BA64C7"/>
    <w:rsid w:val="04E9511C"/>
    <w:rsid w:val="05261BB6"/>
    <w:rsid w:val="05393890"/>
    <w:rsid w:val="05741E21"/>
    <w:rsid w:val="05C82C12"/>
    <w:rsid w:val="062B48CF"/>
    <w:rsid w:val="064B2778"/>
    <w:rsid w:val="06731CDB"/>
    <w:rsid w:val="06B81C2A"/>
    <w:rsid w:val="06BD7DF4"/>
    <w:rsid w:val="08743EB7"/>
    <w:rsid w:val="08896F10"/>
    <w:rsid w:val="08BC290E"/>
    <w:rsid w:val="08C74EEB"/>
    <w:rsid w:val="08DF64FD"/>
    <w:rsid w:val="095962AF"/>
    <w:rsid w:val="09866A95"/>
    <w:rsid w:val="09A960A9"/>
    <w:rsid w:val="09E14DD8"/>
    <w:rsid w:val="09FE6E56"/>
    <w:rsid w:val="0A2175C7"/>
    <w:rsid w:val="0A4E3858"/>
    <w:rsid w:val="0A530F50"/>
    <w:rsid w:val="0ADC6029"/>
    <w:rsid w:val="0C1E10EA"/>
    <w:rsid w:val="0C272EF4"/>
    <w:rsid w:val="0C450913"/>
    <w:rsid w:val="0C896564"/>
    <w:rsid w:val="0CF167FE"/>
    <w:rsid w:val="0CF77CF7"/>
    <w:rsid w:val="0D4D41AE"/>
    <w:rsid w:val="0D522D5E"/>
    <w:rsid w:val="0D807ABF"/>
    <w:rsid w:val="0E3E7CBD"/>
    <w:rsid w:val="0E626CA5"/>
    <w:rsid w:val="0EB64569"/>
    <w:rsid w:val="0EC03861"/>
    <w:rsid w:val="0EC30E08"/>
    <w:rsid w:val="0EE83C0B"/>
    <w:rsid w:val="0EFA555A"/>
    <w:rsid w:val="0EFD6A00"/>
    <w:rsid w:val="0F130CAE"/>
    <w:rsid w:val="0F144A8D"/>
    <w:rsid w:val="0FF95996"/>
    <w:rsid w:val="0FFF7484"/>
    <w:rsid w:val="107B7E97"/>
    <w:rsid w:val="10823E0A"/>
    <w:rsid w:val="10832DEB"/>
    <w:rsid w:val="115B3E1C"/>
    <w:rsid w:val="11E54B27"/>
    <w:rsid w:val="11F10D0E"/>
    <w:rsid w:val="12EC571E"/>
    <w:rsid w:val="132C1A72"/>
    <w:rsid w:val="13504EE3"/>
    <w:rsid w:val="13AC657F"/>
    <w:rsid w:val="13D318D3"/>
    <w:rsid w:val="13F43A2B"/>
    <w:rsid w:val="14184102"/>
    <w:rsid w:val="144D164A"/>
    <w:rsid w:val="145E2877"/>
    <w:rsid w:val="146A4EE4"/>
    <w:rsid w:val="147A2410"/>
    <w:rsid w:val="14B05372"/>
    <w:rsid w:val="1525086F"/>
    <w:rsid w:val="152D33A7"/>
    <w:rsid w:val="156F62EF"/>
    <w:rsid w:val="15C27640"/>
    <w:rsid w:val="15E50ECA"/>
    <w:rsid w:val="16175469"/>
    <w:rsid w:val="16273820"/>
    <w:rsid w:val="16655340"/>
    <w:rsid w:val="16882EF5"/>
    <w:rsid w:val="16FD3ABE"/>
    <w:rsid w:val="172F0E42"/>
    <w:rsid w:val="1789105F"/>
    <w:rsid w:val="17B87CE9"/>
    <w:rsid w:val="186D6BCF"/>
    <w:rsid w:val="18B21538"/>
    <w:rsid w:val="196A0814"/>
    <w:rsid w:val="1B7A20B5"/>
    <w:rsid w:val="1BFF6021"/>
    <w:rsid w:val="1C587110"/>
    <w:rsid w:val="1C886977"/>
    <w:rsid w:val="1CC05665"/>
    <w:rsid w:val="1D7F2147"/>
    <w:rsid w:val="1D996CC8"/>
    <w:rsid w:val="1DA01659"/>
    <w:rsid w:val="1E6454A8"/>
    <w:rsid w:val="1EFE6533"/>
    <w:rsid w:val="1F0657A4"/>
    <w:rsid w:val="1F3C466F"/>
    <w:rsid w:val="1FCD677B"/>
    <w:rsid w:val="1FCF1E87"/>
    <w:rsid w:val="208E4164"/>
    <w:rsid w:val="20D71D3C"/>
    <w:rsid w:val="213421EB"/>
    <w:rsid w:val="21A07893"/>
    <w:rsid w:val="22232AF4"/>
    <w:rsid w:val="2337193C"/>
    <w:rsid w:val="234C55F2"/>
    <w:rsid w:val="23554AEF"/>
    <w:rsid w:val="23645F64"/>
    <w:rsid w:val="23F5677C"/>
    <w:rsid w:val="23FB5E39"/>
    <w:rsid w:val="244A2A1D"/>
    <w:rsid w:val="24C06770"/>
    <w:rsid w:val="24D32F62"/>
    <w:rsid w:val="251571F8"/>
    <w:rsid w:val="2564491D"/>
    <w:rsid w:val="25805C82"/>
    <w:rsid w:val="25B83A87"/>
    <w:rsid w:val="25EA5D3C"/>
    <w:rsid w:val="266463E7"/>
    <w:rsid w:val="26E821E5"/>
    <w:rsid w:val="26E864D7"/>
    <w:rsid w:val="26E9311B"/>
    <w:rsid w:val="27EB5572"/>
    <w:rsid w:val="28032F0B"/>
    <w:rsid w:val="28562EBB"/>
    <w:rsid w:val="28EF5C4A"/>
    <w:rsid w:val="290D24E8"/>
    <w:rsid w:val="2A3D0E7D"/>
    <w:rsid w:val="2A924A38"/>
    <w:rsid w:val="2AE32E31"/>
    <w:rsid w:val="2B3657E1"/>
    <w:rsid w:val="2CB37986"/>
    <w:rsid w:val="2CD208B5"/>
    <w:rsid w:val="2CE62367"/>
    <w:rsid w:val="2D176D1C"/>
    <w:rsid w:val="2D336C1C"/>
    <w:rsid w:val="2DA94CCC"/>
    <w:rsid w:val="2E002091"/>
    <w:rsid w:val="2E6C7ED8"/>
    <w:rsid w:val="2EA57FA1"/>
    <w:rsid w:val="2EC75A69"/>
    <w:rsid w:val="2EF243BC"/>
    <w:rsid w:val="30EF0857"/>
    <w:rsid w:val="3140197F"/>
    <w:rsid w:val="31586D82"/>
    <w:rsid w:val="317B29DA"/>
    <w:rsid w:val="31E05F1C"/>
    <w:rsid w:val="320C16C0"/>
    <w:rsid w:val="32672625"/>
    <w:rsid w:val="32831B16"/>
    <w:rsid w:val="32F6583E"/>
    <w:rsid w:val="333A48FA"/>
    <w:rsid w:val="334A1323"/>
    <w:rsid w:val="33D92F7A"/>
    <w:rsid w:val="33DE0FDB"/>
    <w:rsid w:val="34B2130C"/>
    <w:rsid w:val="350E12EA"/>
    <w:rsid w:val="354173ED"/>
    <w:rsid w:val="35992C99"/>
    <w:rsid w:val="35A44BF4"/>
    <w:rsid w:val="360F3354"/>
    <w:rsid w:val="36186C7D"/>
    <w:rsid w:val="36625897"/>
    <w:rsid w:val="369553E8"/>
    <w:rsid w:val="37552246"/>
    <w:rsid w:val="37553630"/>
    <w:rsid w:val="37AB74C2"/>
    <w:rsid w:val="37BD0585"/>
    <w:rsid w:val="37CA6352"/>
    <w:rsid w:val="384D3083"/>
    <w:rsid w:val="38533A18"/>
    <w:rsid w:val="38764583"/>
    <w:rsid w:val="388825A8"/>
    <w:rsid w:val="38B85F4F"/>
    <w:rsid w:val="396226AE"/>
    <w:rsid w:val="398A41CF"/>
    <w:rsid w:val="3A731460"/>
    <w:rsid w:val="3AB900AC"/>
    <w:rsid w:val="3ADE29DA"/>
    <w:rsid w:val="3B0774BD"/>
    <w:rsid w:val="3B111C96"/>
    <w:rsid w:val="3B223EA3"/>
    <w:rsid w:val="3B9954F3"/>
    <w:rsid w:val="3BAF7174"/>
    <w:rsid w:val="3BF74CBB"/>
    <w:rsid w:val="3C145EE2"/>
    <w:rsid w:val="3C451CCE"/>
    <w:rsid w:val="3C491C93"/>
    <w:rsid w:val="3CCC0078"/>
    <w:rsid w:val="3D363482"/>
    <w:rsid w:val="3D660BE0"/>
    <w:rsid w:val="3D8A5D30"/>
    <w:rsid w:val="3E4D56DB"/>
    <w:rsid w:val="3EB41E07"/>
    <w:rsid w:val="3F003B4B"/>
    <w:rsid w:val="3F62286B"/>
    <w:rsid w:val="416A0352"/>
    <w:rsid w:val="41F66AB4"/>
    <w:rsid w:val="4224532B"/>
    <w:rsid w:val="42D76A7A"/>
    <w:rsid w:val="42DE4B54"/>
    <w:rsid w:val="432713CE"/>
    <w:rsid w:val="43D372D6"/>
    <w:rsid w:val="44B74AB0"/>
    <w:rsid w:val="44C27AD5"/>
    <w:rsid w:val="44EA5BC6"/>
    <w:rsid w:val="45300AE7"/>
    <w:rsid w:val="45AA607E"/>
    <w:rsid w:val="45EE010D"/>
    <w:rsid w:val="463F4C16"/>
    <w:rsid w:val="46832AB5"/>
    <w:rsid w:val="46942B8F"/>
    <w:rsid w:val="46F65097"/>
    <w:rsid w:val="47AC70B8"/>
    <w:rsid w:val="482C4ED7"/>
    <w:rsid w:val="48760AAE"/>
    <w:rsid w:val="498A3D49"/>
    <w:rsid w:val="49A010EB"/>
    <w:rsid w:val="4AAB009E"/>
    <w:rsid w:val="4B024463"/>
    <w:rsid w:val="4B5A4F93"/>
    <w:rsid w:val="4BBB7B8C"/>
    <w:rsid w:val="4CB97E79"/>
    <w:rsid w:val="4CBA2C7D"/>
    <w:rsid w:val="4E112F6F"/>
    <w:rsid w:val="4E5C03B2"/>
    <w:rsid w:val="4E97120F"/>
    <w:rsid w:val="4F156B15"/>
    <w:rsid w:val="4F977A51"/>
    <w:rsid w:val="4FA36E2B"/>
    <w:rsid w:val="4FF17EF4"/>
    <w:rsid w:val="50A867A1"/>
    <w:rsid w:val="50CC1AE3"/>
    <w:rsid w:val="50CD1D3A"/>
    <w:rsid w:val="50DF62FA"/>
    <w:rsid w:val="518D1A8F"/>
    <w:rsid w:val="524A6BF4"/>
    <w:rsid w:val="52576018"/>
    <w:rsid w:val="53151FED"/>
    <w:rsid w:val="533D136D"/>
    <w:rsid w:val="538452A3"/>
    <w:rsid w:val="5422764D"/>
    <w:rsid w:val="54552D46"/>
    <w:rsid w:val="54B27EE3"/>
    <w:rsid w:val="554A067A"/>
    <w:rsid w:val="557A785B"/>
    <w:rsid w:val="55B1132E"/>
    <w:rsid w:val="562B2D19"/>
    <w:rsid w:val="564349BF"/>
    <w:rsid w:val="564C7BCE"/>
    <w:rsid w:val="566F2249"/>
    <w:rsid w:val="567B7E74"/>
    <w:rsid w:val="56B34BEF"/>
    <w:rsid w:val="56C66328"/>
    <w:rsid w:val="571C70F4"/>
    <w:rsid w:val="57346BE0"/>
    <w:rsid w:val="578C1E3F"/>
    <w:rsid w:val="57FC48D5"/>
    <w:rsid w:val="58122B18"/>
    <w:rsid w:val="582157B7"/>
    <w:rsid w:val="583737A8"/>
    <w:rsid w:val="589C308F"/>
    <w:rsid w:val="59791FCF"/>
    <w:rsid w:val="59C70462"/>
    <w:rsid w:val="5A560FAE"/>
    <w:rsid w:val="5AB439DF"/>
    <w:rsid w:val="5B501F0F"/>
    <w:rsid w:val="5B942EAB"/>
    <w:rsid w:val="5BFB1656"/>
    <w:rsid w:val="5C805C3A"/>
    <w:rsid w:val="5CED210B"/>
    <w:rsid w:val="5D0134C1"/>
    <w:rsid w:val="5D1A1558"/>
    <w:rsid w:val="5D1C310B"/>
    <w:rsid w:val="5D656965"/>
    <w:rsid w:val="5DD33159"/>
    <w:rsid w:val="5E017B71"/>
    <w:rsid w:val="5E401EE1"/>
    <w:rsid w:val="5E7250F9"/>
    <w:rsid w:val="5E862024"/>
    <w:rsid w:val="5EEC54FD"/>
    <w:rsid w:val="5F210CF5"/>
    <w:rsid w:val="5F301873"/>
    <w:rsid w:val="5F5A7800"/>
    <w:rsid w:val="5FE54AEF"/>
    <w:rsid w:val="5FE62E42"/>
    <w:rsid w:val="5FFA069B"/>
    <w:rsid w:val="604F0C94"/>
    <w:rsid w:val="607275F9"/>
    <w:rsid w:val="60811390"/>
    <w:rsid w:val="60876DA0"/>
    <w:rsid w:val="60A61B01"/>
    <w:rsid w:val="60E905BC"/>
    <w:rsid w:val="611C486A"/>
    <w:rsid w:val="611C7EC6"/>
    <w:rsid w:val="61261251"/>
    <w:rsid w:val="612C3317"/>
    <w:rsid w:val="613320B7"/>
    <w:rsid w:val="61B218D5"/>
    <w:rsid w:val="61E42081"/>
    <w:rsid w:val="62493784"/>
    <w:rsid w:val="62CD2097"/>
    <w:rsid w:val="63B75221"/>
    <w:rsid w:val="63E11552"/>
    <w:rsid w:val="64422D1C"/>
    <w:rsid w:val="64437FD8"/>
    <w:rsid w:val="64B4350F"/>
    <w:rsid w:val="64C17C5F"/>
    <w:rsid w:val="64E32222"/>
    <w:rsid w:val="65E36B96"/>
    <w:rsid w:val="660C0310"/>
    <w:rsid w:val="665D22C0"/>
    <w:rsid w:val="674A54CB"/>
    <w:rsid w:val="678B644F"/>
    <w:rsid w:val="68000CBF"/>
    <w:rsid w:val="68302841"/>
    <w:rsid w:val="68740EAF"/>
    <w:rsid w:val="6894168D"/>
    <w:rsid w:val="691A37DC"/>
    <w:rsid w:val="695F7E2D"/>
    <w:rsid w:val="6A443604"/>
    <w:rsid w:val="6A916230"/>
    <w:rsid w:val="6ACC2E0B"/>
    <w:rsid w:val="6B6B37C9"/>
    <w:rsid w:val="6B9F656F"/>
    <w:rsid w:val="6BE32CAE"/>
    <w:rsid w:val="6C5B6D25"/>
    <w:rsid w:val="6CC4498A"/>
    <w:rsid w:val="6CC83FFB"/>
    <w:rsid w:val="6D033285"/>
    <w:rsid w:val="6D512857"/>
    <w:rsid w:val="6D706FB4"/>
    <w:rsid w:val="6DAF0580"/>
    <w:rsid w:val="6DD02520"/>
    <w:rsid w:val="6DE17F47"/>
    <w:rsid w:val="6E1128F7"/>
    <w:rsid w:val="6E597FD7"/>
    <w:rsid w:val="6E6B7F83"/>
    <w:rsid w:val="6E852A8A"/>
    <w:rsid w:val="6EBA21E4"/>
    <w:rsid w:val="6EBD0F52"/>
    <w:rsid w:val="6EE2110B"/>
    <w:rsid w:val="6F2D071B"/>
    <w:rsid w:val="70411D13"/>
    <w:rsid w:val="716467D0"/>
    <w:rsid w:val="718B602C"/>
    <w:rsid w:val="7222612A"/>
    <w:rsid w:val="727D45B0"/>
    <w:rsid w:val="727F5D14"/>
    <w:rsid w:val="72F96831"/>
    <w:rsid w:val="73004209"/>
    <w:rsid w:val="737533B9"/>
    <w:rsid w:val="73F42CAC"/>
    <w:rsid w:val="740940A8"/>
    <w:rsid w:val="74143D3D"/>
    <w:rsid w:val="745D6D46"/>
    <w:rsid w:val="74617994"/>
    <w:rsid w:val="751D73EB"/>
    <w:rsid w:val="7571756C"/>
    <w:rsid w:val="75C13354"/>
    <w:rsid w:val="75C710B7"/>
    <w:rsid w:val="75EA0EAB"/>
    <w:rsid w:val="75ED6880"/>
    <w:rsid w:val="760D0CD1"/>
    <w:rsid w:val="76102BC1"/>
    <w:rsid w:val="768D73E4"/>
    <w:rsid w:val="76C84BF7"/>
    <w:rsid w:val="773A3CF8"/>
    <w:rsid w:val="778B45A3"/>
    <w:rsid w:val="77AC443F"/>
    <w:rsid w:val="784A1CEB"/>
    <w:rsid w:val="7859644F"/>
    <w:rsid w:val="786749F3"/>
    <w:rsid w:val="78F607B2"/>
    <w:rsid w:val="791A076B"/>
    <w:rsid w:val="791A1DC4"/>
    <w:rsid w:val="798C3041"/>
    <w:rsid w:val="79A15AC2"/>
    <w:rsid w:val="79A2426C"/>
    <w:rsid w:val="79C9242C"/>
    <w:rsid w:val="79D41AF5"/>
    <w:rsid w:val="7B747D89"/>
    <w:rsid w:val="7BC65611"/>
    <w:rsid w:val="7C2C76E7"/>
    <w:rsid w:val="7C6D4788"/>
    <w:rsid w:val="7C747ACB"/>
    <w:rsid w:val="7D5B5536"/>
    <w:rsid w:val="7DAB214F"/>
    <w:rsid w:val="7E42141E"/>
    <w:rsid w:val="7E562F82"/>
    <w:rsid w:val="7ED31378"/>
    <w:rsid w:val="7F747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rFonts w:ascii="宋体" w:hAnsi="宋体" w:eastAsia="宋体" w:cs="宋体"/>
      <w:sz w:val="31"/>
      <w:szCs w:val="31"/>
      <w:lang w:val="en-US" w:eastAsia="en-US" w:bidi="ar-SA"/>
    </w:rPr>
  </w:style>
  <w:style w:type="paragraph" w:styleId="5">
    <w:name w:val="Body Text Indent"/>
    <w:basedOn w:val="1"/>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0">
    <w:name w:val="Body Text First Indent 2"/>
    <w:basedOn w:val="5"/>
    <w:next w:val="1"/>
    <w:unhideWhenUsed/>
    <w:qFormat/>
    <w:uiPriority w:val="99"/>
    <w:pPr>
      <w:spacing w:after="120"/>
      <w:ind w:left="420" w:leftChars="200" w:firstLine="420" w:firstLineChars="200"/>
    </w:pPr>
    <w:rPr>
      <w:rFonts w:ascii="宋体" w:hAnsi="Courier New"/>
      <w:spacing w:val="-4"/>
      <w:kern w:val="2"/>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Hyperlink"/>
    <w:basedOn w:val="13"/>
    <w:qFormat/>
    <w:uiPriority w:val="0"/>
    <w:rPr>
      <w:color w:val="000000"/>
      <w:u w:val="none"/>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8">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paragraph" w:customStyle="1" w:styleId="21">
    <w:name w:val="列出段落1"/>
    <w:basedOn w:val="1"/>
    <w:qFormat/>
    <w:uiPriority w:val="0"/>
    <w:pPr>
      <w:ind w:firstLine="420" w:firstLineChars="200"/>
    </w:pPr>
    <w:rPr>
      <w:szCs w:val="21"/>
    </w:rPr>
  </w:style>
  <w:style w:type="character" w:customStyle="1" w:styleId="22">
    <w:name w:val="icon_ds"/>
    <w:basedOn w:val="13"/>
    <w:qFormat/>
    <w:uiPriority w:val="0"/>
    <w:rPr>
      <w:sz w:val="21"/>
      <w:szCs w:val="21"/>
    </w:rPr>
  </w:style>
  <w:style w:type="character" w:customStyle="1" w:styleId="23">
    <w:name w:val="icon_ds1"/>
    <w:basedOn w:val="13"/>
    <w:qFormat/>
    <w:uiPriority w:val="0"/>
  </w:style>
  <w:style w:type="character" w:customStyle="1" w:styleId="24">
    <w:name w:val="first-child1"/>
    <w:basedOn w:val="13"/>
    <w:qFormat/>
    <w:uiPriority w:val="0"/>
    <w:rPr>
      <w:color w:val="1F3149"/>
      <w:sz w:val="24"/>
      <w:szCs w:val="24"/>
    </w:rPr>
  </w:style>
  <w:style w:type="character" w:customStyle="1" w:styleId="25">
    <w:name w:val="first-child2"/>
    <w:basedOn w:val="13"/>
    <w:qFormat/>
    <w:uiPriority w:val="0"/>
    <w:rPr>
      <w:color w:val="1F3149"/>
      <w:sz w:val="24"/>
      <w:szCs w:val="24"/>
    </w:rPr>
  </w:style>
  <w:style w:type="character" w:customStyle="1" w:styleId="26">
    <w:name w:val="icon_gys"/>
    <w:basedOn w:val="13"/>
    <w:qFormat/>
    <w:uiPriority w:val="0"/>
    <w:rPr>
      <w:sz w:val="21"/>
      <w:szCs w:val="21"/>
    </w:rPr>
  </w:style>
  <w:style w:type="character" w:customStyle="1" w:styleId="27">
    <w:name w:val="xiadan"/>
    <w:basedOn w:val="13"/>
    <w:qFormat/>
    <w:uiPriority w:val="0"/>
    <w:rPr>
      <w:shd w:val="clear" w:fill="E4393C"/>
    </w:rPr>
  </w:style>
  <w:style w:type="character" w:customStyle="1" w:styleId="28">
    <w:name w:val="fr"/>
    <w:basedOn w:val="13"/>
    <w:qFormat/>
    <w:uiPriority w:val="0"/>
  </w:style>
  <w:style w:type="character" w:customStyle="1" w:styleId="29">
    <w:name w:val="nth-child(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9390</Words>
  <Characters>10023</Characters>
  <TotalTime>4</TotalTime>
  <ScaleCrop>false</ScaleCrop>
  <LinksUpToDate>false</LinksUpToDate>
  <CharactersWithSpaces>10477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ZHAN-詹</cp:lastModifiedBy>
  <cp:lastPrinted>2024-06-12T07:07:00Z</cp:lastPrinted>
  <dcterms:modified xsi:type="dcterms:W3CDTF">2025-05-23T04:24:49Z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799B08958DAC4E2AB9068FB22F4FF9D3_13</vt:lpwstr>
  </property>
  <property fmtid="{D5CDD505-2E9C-101B-9397-08002B2CF9AE}" pid="6" name="KSOTemplateDocerSaveRecord">
    <vt:lpwstr>eyJoZGlkIjoiNmI0Nzc3NTlhZTdjYzM3NmRmODViZjBlYjg5OGU4MjIiLCJ1c2VySWQiOiIyODI3NzUxOTcifQ==</vt:lpwstr>
  </property>
</Properties>
</file>