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854076">
      <w:pPr>
        <w:spacing w:before="319" w:line="364" w:lineRule="auto"/>
        <w:ind w:right="325"/>
        <w:jc w:val="both"/>
        <w:rPr>
          <w:b/>
          <w:color w:val="auto"/>
          <w:sz w:val="44"/>
          <w:highlight w:val="none"/>
        </w:rPr>
      </w:pPr>
    </w:p>
    <w:p w14:paraId="4495D3CB">
      <w:pPr>
        <w:tabs>
          <w:tab w:val="left" w:pos="10120"/>
        </w:tabs>
        <w:spacing w:before="319" w:line="364" w:lineRule="auto"/>
        <w:ind w:left="419" w:leftChars="100" w:right="0" w:rightChars="0" w:hanging="199" w:hangingChars="38"/>
        <w:jc w:val="center"/>
        <w:rPr>
          <w:rFonts w:hint="eastAsia"/>
          <w:b/>
          <w:color w:val="auto"/>
          <w:spacing w:val="81"/>
          <w:sz w:val="36"/>
          <w:szCs w:val="36"/>
          <w:highlight w:val="none"/>
          <w:lang w:eastAsia="zh-CN"/>
        </w:rPr>
      </w:pPr>
      <w:r>
        <w:rPr>
          <w:rFonts w:hint="eastAsia"/>
          <w:b/>
          <w:color w:val="auto"/>
          <w:spacing w:val="81"/>
          <w:sz w:val="36"/>
          <w:szCs w:val="36"/>
          <w:highlight w:val="none"/>
          <w:lang w:eastAsia="zh-CN"/>
        </w:rPr>
        <w:t>淅川县上集镇人民政府2025年淅川县上集镇水田村香菇基地配套设施建设项目</w:t>
      </w:r>
    </w:p>
    <w:p w14:paraId="00F8AC9D">
      <w:pPr>
        <w:spacing w:before="319" w:line="364" w:lineRule="auto"/>
        <w:ind w:left="658" w:right="325"/>
        <w:jc w:val="center"/>
        <w:rPr>
          <w:rFonts w:hint="eastAsia" w:eastAsia="宋体"/>
          <w:b/>
          <w:color w:val="auto"/>
          <w:sz w:val="48"/>
          <w:highlight w:val="none"/>
          <w:lang w:val="en-US" w:eastAsia="zh-CN"/>
        </w:rPr>
      </w:pPr>
      <w:r>
        <w:rPr>
          <w:b/>
          <w:color w:val="auto"/>
          <w:spacing w:val="81"/>
          <w:sz w:val="84"/>
          <w:szCs w:val="84"/>
          <w:highlight w:val="none"/>
        </w:rPr>
        <w:t>招标文件</w:t>
      </w:r>
    </w:p>
    <w:p w14:paraId="2BD961C7">
      <w:pPr>
        <w:pStyle w:val="17"/>
        <w:jc w:val="center"/>
        <w:rPr>
          <w:rFonts w:hint="default" w:eastAsia="宋体"/>
          <w:color w:val="auto"/>
          <w:sz w:val="32"/>
          <w:highlight w:val="none"/>
          <w:lang w:val="en-US" w:eastAsia="zh-CN"/>
        </w:rPr>
      </w:pPr>
      <w:r>
        <w:rPr>
          <w:color w:val="auto"/>
          <w:sz w:val="32"/>
          <w:highlight w:val="none"/>
        </w:rPr>
        <w:t>项目编号：</w:t>
      </w:r>
      <w:r>
        <w:rPr>
          <w:rFonts w:hint="eastAsia"/>
          <w:color w:val="auto"/>
          <w:sz w:val="32"/>
          <w:highlight w:val="none"/>
        </w:rPr>
        <w:t>淅财招标采购-202</w:t>
      </w:r>
      <w:r>
        <w:rPr>
          <w:rFonts w:hint="eastAsia"/>
          <w:color w:val="auto"/>
          <w:sz w:val="32"/>
          <w:highlight w:val="none"/>
          <w:lang w:val="en-US" w:eastAsia="zh-CN"/>
        </w:rPr>
        <w:t>5</w:t>
      </w:r>
      <w:r>
        <w:rPr>
          <w:rFonts w:hint="eastAsia"/>
          <w:color w:val="auto"/>
          <w:sz w:val="32"/>
          <w:highlight w:val="none"/>
        </w:rPr>
        <w:t>-</w:t>
      </w:r>
      <w:r>
        <w:rPr>
          <w:rFonts w:hint="eastAsia"/>
          <w:color w:val="auto"/>
          <w:sz w:val="32"/>
          <w:highlight w:val="none"/>
          <w:lang w:val="en-US" w:eastAsia="zh-CN"/>
        </w:rPr>
        <w:t xml:space="preserve">96  </w:t>
      </w:r>
    </w:p>
    <w:p w14:paraId="20EC878B">
      <w:pPr>
        <w:pStyle w:val="4"/>
        <w:rPr>
          <w:rFonts w:hint="eastAsia" w:eastAsiaTheme="minorEastAsia"/>
          <w:color w:val="auto"/>
          <w:highlight w:val="none"/>
          <w:lang w:eastAsia="zh-CN"/>
        </w:rPr>
      </w:pPr>
    </w:p>
    <w:p w14:paraId="774A8369">
      <w:pPr>
        <w:rPr>
          <w:color w:val="auto"/>
          <w:highlight w:val="none"/>
        </w:rPr>
      </w:pPr>
    </w:p>
    <w:p w14:paraId="5A95CB4C">
      <w:pPr>
        <w:pStyle w:val="4"/>
        <w:rPr>
          <w:color w:val="auto"/>
          <w:highlight w:val="none"/>
        </w:rPr>
      </w:pPr>
    </w:p>
    <w:p w14:paraId="44F51B27">
      <w:pPr>
        <w:pStyle w:val="3"/>
        <w:spacing w:before="176" w:line="360" w:lineRule="auto"/>
        <w:rPr>
          <w:rFonts w:hint="eastAsia" w:eastAsia="宋体"/>
          <w:color w:val="auto"/>
          <w:highlight w:val="none"/>
          <w:lang w:eastAsia="zh-CN"/>
        </w:rPr>
      </w:pPr>
      <w:r>
        <w:rPr>
          <w:color w:val="auto"/>
          <w:highlight w:val="none"/>
        </w:rPr>
        <w:t>采购人：</w:t>
      </w:r>
      <w:r>
        <w:rPr>
          <w:rFonts w:hint="eastAsia"/>
          <w:color w:val="auto"/>
          <w:highlight w:val="none"/>
          <w:lang w:eastAsia="zh-CN"/>
        </w:rPr>
        <w:t>淅川县上集镇人民政府</w:t>
      </w:r>
    </w:p>
    <w:p w14:paraId="0F7518BA">
      <w:pPr>
        <w:spacing w:before="212" w:line="360" w:lineRule="auto"/>
        <w:ind w:left="2266" w:right="660" w:rightChars="0"/>
        <w:rPr>
          <w:rFonts w:hint="eastAsia" w:eastAsia="宋体"/>
          <w:b/>
          <w:color w:val="auto"/>
          <w:sz w:val="32"/>
          <w:highlight w:val="none"/>
          <w:lang w:eastAsia="zh-CN"/>
        </w:rPr>
      </w:pPr>
      <w:r>
        <w:rPr>
          <w:b/>
          <w:color w:val="auto"/>
          <w:sz w:val="32"/>
          <w:highlight w:val="none"/>
        </w:rPr>
        <w:t>代理机构：</w:t>
      </w:r>
      <w:r>
        <w:rPr>
          <w:rFonts w:hint="eastAsia"/>
          <w:b/>
          <w:color w:val="auto"/>
          <w:sz w:val="32"/>
          <w:highlight w:val="none"/>
          <w:lang w:eastAsia="zh-CN"/>
        </w:rPr>
        <w:t>河南广智德信工程咨询管理有限公司</w:t>
      </w:r>
    </w:p>
    <w:p w14:paraId="1AE37934">
      <w:pPr>
        <w:spacing w:before="212" w:line="360" w:lineRule="auto"/>
        <w:ind w:left="2266" w:right="1366"/>
        <w:rPr>
          <w:rFonts w:hint="eastAsia" w:eastAsia="宋体"/>
          <w:b/>
          <w:color w:val="auto"/>
          <w:sz w:val="32"/>
          <w:highlight w:val="none"/>
          <w:lang w:eastAsia="zh-CN"/>
        </w:rPr>
      </w:pPr>
      <w:r>
        <w:rPr>
          <w:b/>
          <w:color w:val="auto"/>
          <w:sz w:val="32"/>
          <w:highlight w:val="none"/>
        </w:rPr>
        <w:t>日期：</w:t>
      </w:r>
      <w:r>
        <w:rPr>
          <w:rFonts w:hint="eastAsia"/>
          <w:b/>
          <w:color w:val="auto"/>
          <w:sz w:val="32"/>
          <w:highlight w:val="none"/>
        </w:rPr>
        <w:t>二零二</w:t>
      </w:r>
      <w:r>
        <w:rPr>
          <w:rFonts w:hint="eastAsia"/>
          <w:b/>
          <w:color w:val="auto"/>
          <w:sz w:val="32"/>
          <w:highlight w:val="none"/>
          <w:lang w:val="en-US" w:eastAsia="zh-CN"/>
        </w:rPr>
        <w:t>五</w:t>
      </w:r>
      <w:r>
        <w:rPr>
          <w:rFonts w:hint="eastAsia"/>
          <w:b/>
          <w:color w:val="auto"/>
          <w:sz w:val="32"/>
          <w:highlight w:val="none"/>
        </w:rPr>
        <w:t>年</w:t>
      </w:r>
      <w:r>
        <w:rPr>
          <w:rFonts w:hint="eastAsia"/>
          <w:b/>
          <w:color w:val="auto"/>
          <w:sz w:val="32"/>
          <w:highlight w:val="none"/>
          <w:lang w:val="en-US" w:eastAsia="zh-CN"/>
        </w:rPr>
        <w:t>六</w:t>
      </w:r>
      <w:r>
        <w:rPr>
          <w:b/>
          <w:color w:val="auto"/>
          <w:sz w:val="32"/>
          <w:highlight w:val="none"/>
        </w:rPr>
        <w:t>月</w:t>
      </w:r>
    </w:p>
    <w:p w14:paraId="2F1A5FAF">
      <w:pPr>
        <w:pStyle w:val="4"/>
        <w:ind w:firstLine="0" w:firstLineChars="0"/>
        <w:rPr>
          <w:color w:val="auto"/>
          <w:highlight w:val="none"/>
        </w:rPr>
      </w:pPr>
    </w:p>
    <w:p w14:paraId="43252E36">
      <w:pPr>
        <w:pStyle w:val="4"/>
        <w:rPr>
          <w:color w:val="auto"/>
          <w:szCs w:val="21"/>
          <w:highlight w:val="none"/>
        </w:rPr>
        <w:sectPr>
          <w:headerReference r:id="rId3" w:type="default"/>
          <w:footerReference r:id="rId4" w:type="default"/>
          <w:pgSz w:w="12240" w:h="15840"/>
          <w:pgMar w:top="1020" w:right="1160" w:bottom="280" w:left="1180" w:header="824" w:footer="0" w:gutter="0"/>
          <w:cols w:space="720" w:num="1"/>
        </w:sectPr>
      </w:pPr>
    </w:p>
    <w:sdt>
      <w:sdtPr>
        <w:rPr>
          <w:rFonts w:hint="eastAsia"/>
          <w:color w:val="auto"/>
          <w:szCs w:val="21"/>
          <w:highlight w:val="none"/>
        </w:rPr>
        <w:id w:val="2"/>
        <w:docPartObj>
          <w:docPartGallery w:val="Table of Contents"/>
          <w:docPartUnique/>
        </w:docPartObj>
      </w:sdtPr>
      <w:sdtEndPr>
        <w:rPr>
          <w:rFonts w:hint="default"/>
          <w:color w:val="auto"/>
          <w:szCs w:val="32"/>
          <w:highlight w:val="none"/>
        </w:rPr>
      </w:sdtEndPr>
      <w:sdtContent>
        <w:p w14:paraId="7634A2F7">
          <w:pPr>
            <w:pStyle w:val="4"/>
            <w:ind w:firstLine="2891"/>
            <w:rPr>
              <w:color w:val="auto"/>
              <w:sz w:val="44"/>
              <w:szCs w:val="44"/>
              <w:highlight w:val="none"/>
            </w:rPr>
          </w:pPr>
          <w:r>
            <w:rPr>
              <w:rFonts w:hint="eastAsia"/>
              <w:color w:val="auto"/>
              <w:spacing w:val="-42"/>
              <w:sz w:val="44"/>
              <w:szCs w:val="44"/>
              <w:highlight w:val="none"/>
              <w14:textOutline w14:w="2311" w14:cap="flat" w14:cmpd="sng" w14:algn="ctr">
                <w14:solidFill>
                  <w14:srgbClr w14:val="000000"/>
                </w14:solidFill>
                <w14:prstDash w14:val="solid"/>
                <w14:miter w14:val="0"/>
              </w14:textOutline>
            </w:rPr>
            <w:t>目录</w:t>
          </w:r>
        </w:p>
        <w:p w14:paraId="7C3C4C11">
          <w:pPr>
            <w:spacing w:line="241" w:lineRule="auto"/>
            <w:jc w:val="both"/>
            <w:rPr>
              <w:rFonts w:asciiTheme="minorEastAsia" w:hAnsiTheme="minorEastAsia" w:cstheme="minorEastAsia"/>
              <w:color w:val="auto"/>
              <w:highlight w:val="none"/>
            </w:rPr>
          </w:pPr>
        </w:p>
        <w:p w14:paraId="1C0CF544">
          <w:pPr>
            <w:spacing w:line="241" w:lineRule="auto"/>
            <w:jc w:val="both"/>
            <w:rPr>
              <w:rFonts w:asciiTheme="minorEastAsia" w:hAnsiTheme="minorEastAsia" w:cstheme="minorEastAsia"/>
              <w:color w:val="auto"/>
              <w:highlight w:val="none"/>
            </w:rPr>
          </w:pPr>
        </w:p>
        <w:p w14:paraId="6BEFB917">
          <w:pPr>
            <w:pStyle w:val="4"/>
            <w:ind w:firstLine="0" w:firstLineChars="0"/>
            <w:rPr>
              <w:color w:val="auto"/>
              <w:highlight w:val="none"/>
            </w:rPr>
          </w:pPr>
          <w:r>
            <w:rPr>
              <w:rFonts w:hint="eastAsia"/>
              <w:color w:val="auto"/>
              <w:highlight w:val="none"/>
            </w:rPr>
            <w:t>第一章公开招标公告</w:t>
          </w:r>
        </w:p>
        <w:p w14:paraId="29BF77FB">
          <w:pPr>
            <w:pStyle w:val="4"/>
            <w:ind w:firstLine="0" w:firstLineChars="0"/>
            <w:rPr>
              <w:color w:val="auto"/>
              <w:highlight w:val="none"/>
            </w:rPr>
          </w:pPr>
          <w:r>
            <w:rPr>
              <w:rFonts w:hint="eastAsia"/>
              <w:color w:val="auto"/>
              <w:highlight w:val="none"/>
            </w:rPr>
            <w:t>第二章采购需求</w:t>
          </w:r>
        </w:p>
        <w:p w14:paraId="09B24D21">
          <w:pPr>
            <w:pStyle w:val="4"/>
            <w:ind w:firstLine="0" w:firstLineChars="0"/>
            <w:rPr>
              <w:rFonts w:hint="eastAsia" w:eastAsiaTheme="minorEastAsia"/>
              <w:color w:val="auto"/>
              <w:highlight w:val="none"/>
              <w:lang w:eastAsia="zh-CN"/>
            </w:rPr>
          </w:pPr>
          <w:r>
            <w:rPr>
              <w:rFonts w:hint="eastAsia"/>
              <w:color w:val="auto"/>
              <w:highlight w:val="none"/>
            </w:rPr>
            <w:t>第三章投标人须知</w:t>
          </w:r>
        </w:p>
        <w:p w14:paraId="6AF8DF60">
          <w:pPr>
            <w:pStyle w:val="4"/>
            <w:ind w:firstLine="0" w:firstLineChars="0"/>
            <w:rPr>
              <w:rFonts w:hint="eastAsia" w:eastAsiaTheme="minorEastAsia"/>
              <w:color w:val="auto"/>
              <w:highlight w:val="none"/>
              <w:lang w:eastAsia="zh-CN"/>
            </w:rPr>
          </w:pPr>
          <w:r>
            <w:rPr>
              <w:rFonts w:hint="eastAsia"/>
              <w:color w:val="auto"/>
              <w:highlight w:val="none"/>
            </w:rPr>
            <w:t>第四章开、评标程序、评标方法和评标标准</w:t>
          </w:r>
        </w:p>
        <w:p w14:paraId="1EABBD54">
          <w:pPr>
            <w:pStyle w:val="4"/>
            <w:ind w:firstLine="0" w:firstLineChars="0"/>
            <w:rPr>
              <w:color w:val="auto"/>
              <w:highlight w:val="none"/>
            </w:rPr>
          </w:pPr>
          <w:r>
            <w:rPr>
              <w:rFonts w:hint="eastAsia"/>
              <w:color w:val="auto"/>
              <w:highlight w:val="none"/>
            </w:rPr>
            <w:t>第五章政府采购合同（草案）</w:t>
          </w:r>
        </w:p>
        <w:p w14:paraId="3CE44190">
          <w:pPr>
            <w:pStyle w:val="4"/>
            <w:ind w:firstLine="0" w:firstLineChars="0"/>
            <w:rPr>
              <w:color w:val="auto"/>
              <w:highlight w:val="none"/>
            </w:rPr>
          </w:pPr>
          <w:r>
            <w:rPr>
              <w:rFonts w:hint="eastAsia"/>
              <w:color w:val="auto"/>
              <w:highlight w:val="none"/>
            </w:rPr>
            <w:t>第六章投标文件格式</w:t>
          </w:r>
        </w:p>
      </w:sdtContent>
    </w:sdt>
    <w:p w14:paraId="073FFD6A">
      <w:pPr>
        <w:spacing w:line="219" w:lineRule="auto"/>
        <w:rPr>
          <w:rFonts w:asciiTheme="minorEastAsia" w:hAnsiTheme="minorEastAsia" w:cstheme="minorEastAsia"/>
          <w:color w:val="auto"/>
          <w:sz w:val="24"/>
          <w:highlight w:val="none"/>
        </w:rPr>
      </w:pPr>
    </w:p>
    <w:p w14:paraId="178D3C96">
      <w:pPr>
        <w:pStyle w:val="4"/>
        <w:rPr>
          <w:color w:val="auto"/>
          <w:highlight w:val="none"/>
        </w:rPr>
      </w:pPr>
    </w:p>
    <w:p w14:paraId="150E0DBF">
      <w:pPr>
        <w:pStyle w:val="4"/>
        <w:rPr>
          <w:color w:val="auto"/>
          <w:highlight w:val="none"/>
        </w:rPr>
      </w:pPr>
    </w:p>
    <w:p w14:paraId="54C84E1D">
      <w:pPr>
        <w:pStyle w:val="4"/>
        <w:rPr>
          <w:color w:val="auto"/>
          <w:highlight w:val="none"/>
        </w:rPr>
      </w:pPr>
    </w:p>
    <w:p w14:paraId="686CE2F6">
      <w:pPr>
        <w:pStyle w:val="4"/>
        <w:rPr>
          <w:color w:val="auto"/>
          <w:highlight w:val="none"/>
        </w:rPr>
      </w:pPr>
    </w:p>
    <w:p w14:paraId="651D3EAC">
      <w:pPr>
        <w:pStyle w:val="4"/>
        <w:rPr>
          <w:color w:val="auto"/>
          <w:highlight w:val="none"/>
        </w:rPr>
      </w:pPr>
    </w:p>
    <w:p w14:paraId="061EB5BC">
      <w:pPr>
        <w:pStyle w:val="4"/>
        <w:rPr>
          <w:color w:val="auto"/>
          <w:highlight w:val="none"/>
        </w:rPr>
      </w:pPr>
    </w:p>
    <w:p w14:paraId="5CC0E9D3">
      <w:pPr>
        <w:pStyle w:val="4"/>
        <w:rPr>
          <w:color w:val="auto"/>
          <w:highlight w:val="none"/>
        </w:rPr>
      </w:pPr>
    </w:p>
    <w:p w14:paraId="5ECE9870">
      <w:pPr>
        <w:pStyle w:val="4"/>
        <w:rPr>
          <w:color w:val="auto"/>
          <w:highlight w:val="none"/>
        </w:rPr>
      </w:pPr>
    </w:p>
    <w:p w14:paraId="36E841C2">
      <w:pPr>
        <w:jc w:val="center"/>
        <w:rPr>
          <w:rFonts w:ascii="Calibri"/>
          <w:color w:val="auto"/>
          <w:sz w:val="18"/>
          <w:highlight w:val="none"/>
        </w:rPr>
        <w:sectPr>
          <w:footerReference r:id="rId5" w:type="default"/>
          <w:pgSz w:w="12240" w:h="15840"/>
          <w:pgMar w:top="1020" w:right="1160" w:bottom="280" w:left="1180" w:header="824" w:footer="0" w:gutter="0"/>
          <w:pgNumType w:start="1"/>
          <w:cols w:space="720" w:num="1"/>
        </w:sectPr>
      </w:pPr>
    </w:p>
    <w:p w14:paraId="1FE2C3A6">
      <w:pPr>
        <w:pStyle w:val="2"/>
        <w:keepNext/>
        <w:keepLines/>
        <w:numPr>
          <w:ilvl w:val="0"/>
          <w:numId w:val="1"/>
        </w:numPr>
        <w:autoSpaceDE/>
        <w:autoSpaceDN/>
        <w:snapToGrid w:val="0"/>
        <w:spacing w:before="0"/>
        <w:ind w:left="0"/>
        <w:jc w:val="center"/>
        <w:rPr>
          <w:rFonts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pPr>
      <w:bookmarkStart w:id="0" w:name="_bookmark0"/>
      <w:bookmarkEnd w:id="0"/>
      <w:bookmarkStart w:id="1" w:name="_Toc4522"/>
      <w:r>
        <w:rPr>
          <w:rFonts w:hint="eastAsia"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t>公开招标公告</w:t>
      </w:r>
      <w:bookmarkEnd w:id="1"/>
    </w:p>
    <w:p w14:paraId="532C2BAF">
      <w:pPr>
        <w:pStyle w:val="2"/>
        <w:ind w:firstLine="3534" w:firstLineChars="800"/>
        <w:jc w:val="both"/>
        <w:rPr>
          <w:color w:val="auto"/>
          <w:highlight w:val="none"/>
        </w:rPr>
      </w:pPr>
    </w:p>
    <w:p w14:paraId="113E9D2A">
      <w:pPr>
        <w:pStyle w:val="3"/>
        <w:spacing w:before="67"/>
        <w:ind w:left="0"/>
        <w:jc w:val="center"/>
        <w:rPr>
          <w:rFonts w:hint="eastAsia"/>
          <w:color w:val="auto"/>
          <w:highlight w:val="none"/>
          <w:lang w:eastAsia="zh-CN"/>
        </w:rPr>
      </w:pPr>
      <w:bookmarkStart w:id="2" w:name="_bookmark1"/>
      <w:bookmarkEnd w:id="2"/>
      <w:bookmarkStart w:id="3" w:name="OLE_LINK2"/>
      <w:bookmarkStart w:id="4" w:name="OLE_LINK1"/>
      <w:bookmarkStart w:id="5" w:name="OLE_LINK3"/>
      <w:bookmarkStart w:id="6" w:name="OLE_LINK4"/>
      <w:r>
        <w:rPr>
          <w:rFonts w:hint="eastAsia"/>
          <w:color w:val="auto"/>
          <w:highlight w:val="none"/>
          <w:lang w:eastAsia="zh-CN"/>
        </w:rPr>
        <w:t>淅川县上集镇人民政府</w:t>
      </w:r>
    </w:p>
    <w:p w14:paraId="4618D2D2">
      <w:pPr>
        <w:pStyle w:val="3"/>
        <w:spacing w:before="67"/>
        <w:ind w:left="0"/>
        <w:jc w:val="center"/>
        <w:rPr>
          <w:rFonts w:hint="eastAsia" w:eastAsia="宋体"/>
          <w:color w:val="auto"/>
          <w:highlight w:val="none"/>
          <w:lang w:eastAsia="zh-CN"/>
        </w:rPr>
      </w:pPr>
      <w:r>
        <w:rPr>
          <w:rFonts w:hint="eastAsia" w:eastAsia="宋体"/>
          <w:color w:val="auto"/>
          <w:highlight w:val="none"/>
          <w:lang w:eastAsia="zh-CN"/>
        </w:rPr>
        <w:t>2025年淅川县上集镇水田村香菇基地配套设施建设项目</w:t>
      </w:r>
    </w:p>
    <w:p w14:paraId="7E345770">
      <w:pPr>
        <w:pStyle w:val="3"/>
        <w:spacing w:before="67"/>
        <w:ind w:left="0"/>
        <w:jc w:val="center"/>
        <w:rPr>
          <w:color w:val="auto"/>
          <w:highlight w:val="none"/>
        </w:rPr>
      </w:pPr>
      <w:r>
        <w:rPr>
          <w:rFonts w:hint="eastAsia"/>
          <w:color w:val="auto"/>
          <w:highlight w:val="none"/>
        </w:rPr>
        <w:t>公开</w:t>
      </w:r>
      <w:r>
        <w:rPr>
          <w:color w:val="auto"/>
          <w:highlight w:val="none"/>
        </w:rPr>
        <w:t>招标公告</w:t>
      </w:r>
    </w:p>
    <w:p w14:paraId="14A729D6">
      <w:pPr>
        <w:spacing w:line="520" w:lineRule="exact"/>
        <w:ind w:firstLine="480" w:firstLineChars="200"/>
        <w:rPr>
          <w:color w:val="auto"/>
          <w:szCs w:val="21"/>
          <w:highlight w:val="none"/>
        </w:rPr>
      </w:pPr>
      <w:r>
        <w:rPr>
          <w:rFonts w:hint="eastAsia"/>
          <w:color w:val="auto"/>
          <w:sz w:val="24"/>
          <w:szCs w:val="21"/>
          <w:highlight w:val="none"/>
          <w:lang w:eastAsia="zh-CN"/>
        </w:rPr>
        <w:t>淅川县上集镇人民政府2025年淅川县上集镇水田村香菇基地配套设施建设项目</w:t>
      </w:r>
      <w:r>
        <w:rPr>
          <w:rFonts w:hint="eastAsia"/>
          <w:color w:val="auto"/>
          <w:sz w:val="24"/>
          <w:szCs w:val="21"/>
          <w:highlight w:val="none"/>
        </w:rPr>
        <w:t>的潜在投标人应在南阳市公共资源交易中心电子交易系统淅川区（</w:t>
      </w:r>
      <w:r>
        <w:rPr>
          <w:color w:val="auto"/>
          <w:highlight w:val="none"/>
        </w:rPr>
        <w:fldChar w:fldCharType="begin"/>
      </w:r>
      <w:r>
        <w:rPr>
          <w:color w:val="auto"/>
          <w:highlight w:val="none"/>
        </w:rPr>
        <w:instrText xml:space="preserve"> HYPERLINK "http://ggzyjy.nanyang.gov.cn/XCXWeb/）获取招标文件，并于2024年" </w:instrText>
      </w:r>
      <w:r>
        <w:rPr>
          <w:color w:val="auto"/>
          <w:highlight w:val="none"/>
        </w:rPr>
        <w:fldChar w:fldCharType="separate"/>
      </w:r>
      <w:r>
        <w:rPr>
          <w:rFonts w:hint="eastAsia"/>
          <w:color w:val="auto"/>
          <w:sz w:val="24"/>
          <w:szCs w:val="21"/>
          <w:highlight w:val="none"/>
          <w:lang w:eastAsia="zh-CN"/>
        </w:rPr>
        <w:t>http://ggzyjy.xichuan.gov.cn</w:t>
      </w:r>
      <w:r>
        <w:rPr>
          <w:rFonts w:hint="eastAsia"/>
          <w:color w:val="auto"/>
          <w:sz w:val="24"/>
          <w:szCs w:val="21"/>
          <w:highlight w:val="none"/>
        </w:rPr>
        <w:t>）获取招标文件，并于</w:t>
      </w:r>
      <w:r>
        <w:rPr>
          <w:rFonts w:hint="eastAsia"/>
          <w:color w:val="auto"/>
          <w:sz w:val="24"/>
          <w:szCs w:val="21"/>
          <w:highlight w:val="none"/>
          <w:lang w:val="en-US" w:eastAsia="zh-CN"/>
        </w:rPr>
        <w:t>2025年</w:t>
      </w:r>
      <w:r>
        <w:rPr>
          <w:rFonts w:hint="eastAsia"/>
          <w:color w:val="auto"/>
          <w:sz w:val="24"/>
          <w:szCs w:val="21"/>
          <w:highlight w:val="none"/>
        </w:rPr>
        <w:fldChar w:fldCharType="end"/>
      </w:r>
      <w:r>
        <w:rPr>
          <w:rFonts w:hint="eastAsia"/>
          <w:color w:val="auto"/>
          <w:sz w:val="24"/>
          <w:szCs w:val="21"/>
          <w:highlight w:val="none"/>
          <w:lang w:val="en-US" w:eastAsia="zh-CN"/>
        </w:rPr>
        <w:t>7</w:t>
      </w:r>
      <w:r>
        <w:rPr>
          <w:rFonts w:hint="eastAsia"/>
          <w:color w:val="auto"/>
          <w:sz w:val="24"/>
          <w:szCs w:val="21"/>
          <w:highlight w:val="none"/>
        </w:rPr>
        <w:t>月</w:t>
      </w:r>
      <w:r>
        <w:rPr>
          <w:rFonts w:hint="eastAsia"/>
          <w:color w:val="auto"/>
          <w:sz w:val="24"/>
          <w:szCs w:val="21"/>
          <w:highlight w:val="none"/>
          <w:lang w:val="en-US" w:eastAsia="zh-CN"/>
        </w:rPr>
        <w:t>15</w:t>
      </w:r>
      <w:r>
        <w:rPr>
          <w:rFonts w:hint="eastAsia"/>
          <w:color w:val="auto"/>
          <w:sz w:val="24"/>
          <w:szCs w:val="21"/>
          <w:highlight w:val="none"/>
        </w:rPr>
        <w:t>日</w:t>
      </w:r>
      <w:r>
        <w:rPr>
          <w:rFonts w:hint="eastAsia"/>
          <w:color w:val="auto"/>
          <w:sz w:val="24"/>
          <w:szCs w:val="21"/>
          <w:highlight w:val="none"/>
          <w:lang w:val="en-US" w:eastAsia="zh-CN"/>
        </w:rPr>
        <w:t>09</w:t>
      </w:r>
      <w:r>
        <w:rPr>
          <w:rFonts w:hint="eastAsia"/>
          <w:color w:val="auto"/>
          <w:sz w:val="24"/>
          <w:szCs w:val="21"/>
          <w:highlight w:val="none"/>
        </w:rPr>
        <w:t>时</w:t>
      </w:r>
      <w:r>
        <w:rPr>
          <w:rFonts w:hint="eastAsia"/>
          <w:color w:val="auto"/>
          <w:sz w:val="24"/>
          <w:szCs w:val="21"/>
          <w:highlight w:val="none"/>
          <w:lang w:val="en-US" w:eastAsia="zh-CN"/>
        </w:rPr>
        <w:t>0</w:t>
      </w:r>
      <w:r>
        <w:rPr>
          <w:rFonts w:hint="eastAsia"/>
          <w:color w:val="auto"/>
          <w:sz w:val="24"/>
          <w:szCs w:val="21"/>
          <w:highlight w:val="none"/>
        </w:rPr>
        <w:t>0分（北京时间）前递交投标文件。</w:t>
      </w:r>
    </w:p>
    <w:p w14:paraId="4B773D44">
      <w:pPr>
        <w:spacing w:line="520" w:lineRule="exact"/>
        <w:ind w:firstLine="221" w:firstLineChars="100"/>
        <w:rPr>
          <w:b/>
          <w:bCs/>
          <w:color w:val="auto"/>
          <w:szCs w:val="21"/>
          <w:highlight w:val="none"/>
          <w:shd w:val="clear" w:color="auto" w:fill="FFFFFF"/>
        </w:rPr>
      </w:pPr>
      <w:r>
        <w:rPr>
          <w:rFonts w:hint="eastAsia"/>
          <w:b/>
          <w:bCs/>
          <w:color w:val="auto"/>
          <w:szCs w:val="21"/>
          <w:highlight w:val="none"/>
          <w:shd w:val="clear" w:color="auto" w:fill="FFFFFF"/>
        </w:rPr>
        <w:t>一、项目基本情况</w:t>
      </w:r>
    </w:p>
    <w:p w14:paraId="71CCD49F">
      <w:pPr>
        <w:spacing w:line="520" w:lineRule="exact"/>
        <w:ind w:firstLine="480" w:firstLineChars="200"/>
        <w:rPr>
          <w:rFonts w:hint="default" w:eastAsia="宋体"/>
          <w:color w:val="auto"/>
          <w:lang w:val="en-US" w:eastAsia="zh-CN"/>
        </w:rPr>
      </w:pPr>
      <w:r>
        <w:rPr>
          <w:rFonts w:hint="eastAsia"/>
          <w:color w:val="auto"/>
          <w:sz w:val="24"/>
          <w:szCs w:val="21"/>
          <w:highlight w:val="none"/>
        </w:rPr>
        <w:t>1、项目编号：淅财招标采购-202</w:t>
      </w:r>
      <w:r>
        <w:rPr>
          <w:rFonts w:hint="eastAsia"/>
          <w:color w:val="auto"/>
          <w:sz w:val="24"/>
          <w:szCs w:val="21"/>
          <w:highlight w:val="none"/>
          <w:lang w:val="en-US" w:eastAsia="zh-CN"/>
        </w:rPr>
        <w:t>5</w:t>
      </w:r>
      <w:r>
        <w:rPr>
          <w:rFonts w:hint="eastAsia"/>
          <w:color w:val="auto"/>
          <w:sz w:val="24"/>
          <w:szCs w:val="21"/>
          <w:highlight w:val="none"/>
        </w:rPr>
        <w:t>-</w:t>
      </w:r>
      <w:r>
        <w:rPr>
          <w:rFonts w:hint="eastAsia"/>
          <w:color w:val="auto"/>
          <w:sz w:val="24"/>
          <w:szCs w:val="21"/>
          <w:highlight w:val="none"/>
          <w:lang w:val="en-US" w:eastAsia="zh-CN"/>
        </w:rPr>
        <w:t xml:space="preserve">96  </w:t>
      </w:r>
    </w:p>
    <w:p w14:paraId="2D629BA8">
      <w:pPr>
        <w:spacing w:line="520" w:lineRule="exact"/>
        <w:ind w:firstLine="480" w:firstLineChars="200"/>
        <w:rPr>
          <w:rFonts w:hint="eastAsia"/>
          <w:color w:val="auto"/>
          <w:sz w:val="24"/>
          <w:szCs w:val="21"/>
          <w:highlight w:val="none"/>
          <w:lang w:val="en-US" w:eastAsia="zh-CN"/>
        </w:rPr>
      </w:pPr>
      <w:r>
        <w:rPr>
          <w:rFonts w:hint="eastAsia"/>
          <w:color w:val="auto"/>
          <w:sz w:val="24"/>
          <w:szCs w:val="21"/>
          <w:highlight w:val="none"/>
        </w:rPr>
        <w:t>2、项目名称：</w:t>
      </w:r>
      <w:r>
        <w:rPr>
          <w:rFonts w:hint="eastAsia"/>
          <w:color w:val="auto"/>
          <w:sz w:val="24"/>
          <w:szCs w:val="21"/>
          <w:highlight w:val="none"/>
          <w:lang w:val="en-US" w:eastAsia="zh-CN"/>
        </w:rPr>
        <w:t>淅川县上集镇人民政府2025年淅川县上集镇水田村香菇基地配套设施建设项目</w:t>
      </w:r>
    </w:p>
    <w:p w14:paraId="01C97EBD">
      <w:pPr>
        <w:spacing w:line="520" w:lineRule="exact"/>
        <w:ind w:firstLine="480" w:firstLineChars="200"/>
        <w:rPr>
          <w:color w:val="auto"/>
          <w:sz w:val="24"/>
          <w:szCs w:val="21"/>
          <w:highlight w:val="none"/>
        </w:rPr>
      </w:pPr>
      <w:r>
        <w:rPr>
          <w:rFonts w:hint="eastAsia"/>
          <w:color w:val="auto"/>
          <w:sz w:val="24"/>
          <w:szCs w:val="21"/>
          <w:highlight w:val="none"/>
        </w:rPr>
        <w:t>3、采购方式：公开招标</w:t>
      </w:r>
    </w:p>
    <w:p w14:paraId="6CD260D7">
      <w:pPr>
        <w:spacing w:line="520" w:lineRule="exact"/>
        <w:ind w:firstLine="480" w:firstLineChars="200"/>
        <w:rPr>
          <w:rFonts w:hint="default"/>
          <w:color w:val="000000" w:themeColor="text1"/>
          <w:highlight w:val="none"/>
          <w:lang w:val="en-US" w:eastAsia="zh-CN"/>
          <w14:textFill>
            <w14:solidFill>
              <w14:schemeClr w14:val="tx1"/>
            </w14:solidFill>
          </w14:textFill>
        </w:rPr>
      </w:pPr>
      <w:r>
        <w:rPr>
          <w:rFonts w:hint="eastAsia"/>
          <w:color w:val="000000" w:themeColor="text1"/>
          <w:sz w:val="24"/>
          <w:szCs w:val="21"/>
          <w:highlight w:val="none"/>
          <w14:textFill>
            <w14:solidFill>
              <w14:schemeClr w14:val="tx1"/>
            </w14:solidFill>
          </w14:textFill>
        </w:rPr>
        <w:t>4、</w:t>
      </w:r>
      <w:r>
        <w:rPr>
          <w:rFonts w:hint="eastAsia"/>
          <w:color w:val="auto"/>
          <w:sz w:val="24"/>
          <w:szCs w:val="21"/>
          <w:highlight w:val="none"/>
        </w:rPr>
        <w:t>预算金额：</w:t>
      </w:r>
      <w:r>
        <w:rPr>
          <w:rFonts w:hint="eastAsia"/>
          <w:color w:val="auto"/>
          <w:sz w:val="24"/>
          <w:szCs w:val="21"/>
          <w:highlight w:val="none"/>
          <w:lang w:val="en-US" w:eastAsia="zh-CN"/>
        </w:rPr>
        <w:t>450000元；</w:t>
      </w:r>
    </w:p>
    <w:tbl>
      <w:tblPr>
        <w:tblStyle w:val="12"/>
        <w:tblpPr w:leftFromText="180" w:rightFromText="180" w:vertAnchor="text" w:horzAnchor="page" w:tblpX="1630" w:tblpY="177"/>
        <w:tblOverlap w:val="never"/>
        <w:tblW w:w="4585"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64"/>
        <w:gridCol w:w="1254"/>
        <w:gridCol w:w="4142"/>
        <w:gridCol w:w="1371"/>
        <w:gridCol w:w="1495"/>
      </w:tblGrid>
      <w:tr w14:paraId="6B6F8D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19" w:hRule="atLeast"/>
        </w:trPr>
        <w:tc>
          <w:tcPr>
            <w:tcW w:w="473" w:type="pct"/>
            <w:shd w:val="clear" w:color="auto" w:fill="auto"/>
            <w:vAlign w:val="center"/>
          </w:tcPr>
          <w:p w14:paraId="194DAFDC">
            <w:pPr>
              <w:spacing w:line="520" w:lineRule="exact"/>
              <w:jc w:val="center"/>
              <w:rPr>
                <w:rFonts w:hint="eastAsia" w:ascii="宋体" w:hAnsi="宋体" w:eastAsia="宋体" w:cs="宋体"/>
                <w:color w:val="auto"/>
                <w:sz w:val="20"/>
                <w:szCs w:val="18"/>
                <w:highlight w:val="none"/>
                <w:lang w:eastAsia="zh-CN"/>
              </w:rPr>
            </w:pPr>
            <w:r>
              <w:rPr>
                <w:rFonts w:hint="eastAsia" w:ascii="宋体" w:hAnsi="宋体" w:eastAsia="宋体" w:cs="宋体"/>
                <w:color w:val="auto"/>
                <w:sz w:val="20"/>
                <w:szCs w:val="18"/>
                <w:highlight w:val="none"/>
                <w:lang w:val="en-US" w:eastAsia="zh-CN"/>
              </w:rPr>
              <w:t>序号</w:t>
            </w:r>
          </w:p>
        </w:tc>
        <w:tc>
          <w:tcPr>
            <w:tcW w:w="686" w:type="pct"/>
            <w:shd w:val="clear" w:color="auto" w:fill="auto"/>
            <w:vAlign w:val="center"/>
          </w:tcPr>
          <w:p w14:paraId="30C9CB4C">
            <w:pPr>
              <w:spacing w:line="520" w:lineRule="exact"/>
              <w:jc w:val="center"/>
              <w:rPr>
                <w:rFonts w:hint="eastAsia" w:ascii="宋体" w:hAnsi="宋体" w:eastAsia="宋体" w:cs="宋体"/>
                <w:color w:val="auto"/>
                <w:sz w:val="20"/>
                <w:szCs w:val="18"/>
                <w:highlight w:val="none"/>
                <w:lang w:eastAsia="zh-CN"/>
              </w:rPr>
            </w:pPr>
            <w:r>
              <w:rPr>
                <w:rFonts w:hint="eastAsia" w:ascii="宋体" w:hAnsi="宋体" w:eastAsia="宋体" w:cs="宋体"/>
                <w:color w:val="auto"/>
                <w:sz w:val="20"/>
                <w:szCs w:val="18"/>
                <w:highlight w:val="none"/>
                <w:lang w:val="en-US" w:eastAsia="zh-CN"/>
              </w:rPr>
              <w:t>包号</w:t>
            </w:r>
          </w:p>
        </w:tc>
        <w:tc>
          <w:tcPr>
            <w:tcW w:w="2269" w:type="pct"/>
            <w:shd w:val="clear" w:color="auto" w:fill="auto"/>
            <w:vAlign w:val="center"/>
          </w:tcPr>
          <w:p w14:paraId="760E5FB9">
            <w:pPr>
              <w:spacing w:line="520" w:lineRule="exact"/>
              <w:jc w:val="center"/>
              <w:rPr>
                <w:rFonts w:hint="eastAsia" w:ascii="宋体" w:hAnsi="宋体" w:eastAsia="宋体" w:cs="宋体"/>
                <w:color w:val="auto"/>
                <w:sz w:val="20"/>
                <w:szCs w:val="18"/>
                <w:highlight w:val="none"/>
                <w:lang w:eastAsia="zh-CN"/>
              </w:rPr>
            </w:pPr>
            <w:r>
              <w:rPr>
                <w:rFonts w:hint="eastAsia" w:ascii="宋体" w:hAnsi="宋体" w:eastAsia="宋体" w:cs="宋体"/>
                <w:color w:val="auto"/>
                <w:sz w:val="20"/>
                <w:szCs w:val="18"/>
                <w:highlight w:val="none"/>
                <w:lang w:val="en-US" w:eastAsia="zh-CN"/>
              </w:rPr>
              <w:t>包名称</w:t>
            </w:r>
          </w:p>
        </w:tc>
        <w:tc>
          <w:tcPr>
            <w:tcW w:w="751" w:type="pct"/>
            <w:shd w:val="clear" w:color="auto" w:fill="auto"/>
            <w:vAlign w:val="center"/>
          </w:tcPr>
          <w:p w14:paraId="2009211C">
            <w:pPr>
              <w:spacing w:line="520" w:lineRule="exact"/>
              <w:jc w:val="center"/>
              <w:rPr>
                <w:rFonts w:hint="eastAsia" w:ascii="宋体" w:hAnsi="宋体" w:eastAsia="宋体" w:cs="宋体"/>
                <w:color w:val="auto"/>
                <w:sz w:val="20"/>
                <w:szCs w:val="18"/>
                <w:highlight w:val="none"/>
                <w:lang w:eastAsia="zh-CN"/>
              </w:rPr>
            </w:pPr>
            <w:r>
              <w:rPr>
                <w:rFonts w:hint="eastAsia" w:ascii="宋体" w:hAnsi="宋体" w:eastAsia="宋体" w:cs="宋体"/>
                <w:color w:val="auto"/>
                <w:sz w:val="20"/>
                <w:szCs w:val="18"/>
                <w:highlight w:val="none"/>
                <w:lang w:val="en-US" w:eastAsia="zh-CN"/>
              </w:rPr>
              <w:t>包预算（元）</w:t>
            </w:r>
          </w:p>
        </w:tc>
        <w:tc>
          <w:tcPr>
            <w:tcW w:w="819" w:type="pct"/>
            <w:shd w:val="clear" w:color="auto" w:fill="auto"/>
            <w:vAlign w:val="center"/>
          </w:tcPr>
          <w:p w14:paraId="75D3A6DF">
            <w:pPr>
              <w:spacing w:line="520" w:lineRule="exact"/>
              <w:jc w:val="center"/>
              <w:rPr>
                <w:rFonts w:hint="eastAsia" w:ascii="宋体" w:hAnsi="宋体" w:eastAsia="宋体" w:cs="宋体"/>
                <w:color w:val="auto"/>
                <w:sz w:val="20"/>
                <w:szCs w:val="18"/>
                <w:highlight w:val="none"/>
                <w:lang w:eastAsia="zh-CN"/>
              </w:rPr>
            </w:pPr>
            <w:r>
              <w:rPr>
                <w:rFonts w:hint="eastAsia" w:ascii="宋体" w:hAnsi="宋体" w:eastAsia="宋体" w:cs="宋体"/>
                <w:color w:val="auto"/>
                <w:sz w:val="20"/>
                <w:szCs w:val="18"/>
                <w:highlight w:val="none"/>
                <w:lang w:val="en-US" w:eastAsia="zh-CN"/>
              </w:rPr>
              <w:t>包最高限（元）</w:t>
            </w:r>
          </w:p>
        </w:tc>
      </w:tr>
      <w:tr w14:paraId="3AFB679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293" w:hRule="atLeast"/>
        </w:trPr>
        <w:tc>
          <w:tcPr>
            <w:tcW w:w="473" w:type="pct"/>
            <w:shd w:val="clear" w:color="auto" w:fill="auto"/>
            <w:vAlign w:val="center"/>
          </w:tcPr>
          <w:p w14:paraId="32FF05E3">
            <w:pPr>
              <w:spacing w:line="520" w:lineRule="exact"/>
              <w:ind w:firstLine="220" w:firstLineChars="100"/>
              <w:jc w:val="center"/>
              <w:rPr>
                <w:color w:val="auto"/>
                <w:szCs w:val="21"/>
                <w:highlight w:val="none"/>
              </w:rPr>
            </w:pPr>
            <w:r>
              <w:rPr>
                <w:color w:val="auto"/>
                <w:szCs w:val="21"/>
                <w:highlight w:val="none"/>
                <w:lang w:val="en-US"/>
              </w:rPr>
              <w:t>1</w:t>
            </w:r>
          </w:p>
        </w:tc>
        <w:tc>
          <w:tcPr>
            <w:tcW w:w="686" w:type="pct"/>
            <w:shd w:val="clear" w:color="auto" w:fill="auto"/>
            <w:vAlign w:val="center"/>
          </w:tcPr>
          <w:p w14:paraId="4BDDFDC7">
            <w:pPr>
              <w:spacing w:line="520" w:lineRule="exact"/>
              <w:jc w:val="center"/>
              <w:rPr>
                <w:rFonts w:hint="default" w:eastAsia="宋体"/>
                <w:color w:val="auto"/>
                <w:szCs w:val="21"/>
                <w:highlight w:val="none"/>
                <w:lang w:val="en-US" w:eastAsia="zh-CN"/>
              </w:rPr>
            </w:pPr>
            <w:r>
              <w:rPr>
                <w:rFonts w:hint="eastAsia"/>
                <w:color w:val="auto"/>
                <w:szCs w:val="21"/>
                <w:highlight w:val="none"/>
                <w:lang w:val="en-US"/>
              </w:rPr>
              <w:t>淅财招标采购-202</w:t>
            </w:r>
            <w:r>
              <w:rPr>
                <w:rFonts w:hint="eastAsia"/>
                <w:color w:val="auto"/>
                <w:szCs w:val="21"/>
                <w:highlight w:val="none"/>
                <w:lang w:val="en-US" w:eastAsia="zh-CN"/>
              </w:rPr>
              <w:t>5-96  -1</w:t>
            </w:r>
          </w:p>
        </w:tc>
        <w:tc>
          <w:tcPr>
            <w:tcW w:w="2269" w:type="pct"/>
            <w:shd w:val="clear" w:color="auto" w:fill="auto"/>
            <w:vAlign w:val="center"/>
          </w:tcPr>
          <w:p w14:paraId="6BD21477">
            <w:pPr>
              <w:spacing w:line="520" w:lineRule="exact"/>
              <w:jc w:val="left"/>
              <w:rPr>
                <w:color w:val="auto"/>
                <w:szCs w:val="21"/>
                <w:highlight w:val="none"/>
              </w:rPr>
            </w:pPr>
            <w:r>
              <w:rPr>
                <w:rFonts w:hint="eastAsia"/>
                <w:color w:val="auto"/>
                <w:sz w:val="20"/>
                <w:szCs w:val="18"/>
                <w:highlight w:val="none"/>
                <w:lang w:eastAsia="zh-CN"/>
              </w:rPr>
              <w:t>淅川县上集镇人民政府2025年淅川县上集镇水田村香菇基地配套设施建设项目</w:t>
            </w:r>
          </w:p>
        </w:tc>
        <w:tc>
          <w:tcPr>
            <w:tcW w:w="751" w:type="pct"/>
            <w:shd w:val="clear" w:color="auto" w:fill="auto"/>
            <w:vAlign w:val="center"/>
          </w:tcPr>
          <w:p w14:paraId="1417CAC3">
            <w:pPr>
              <w:spacing w:line="520" w:lineRule="exact"/>
              <w:ind w:left="0" w:leftChars="0" w:firstLine="0" w:firstLineChars="0"/>
              <w:jc w:val="center"/>
              <w:rPr>
                <w:rFonts w:hint="default" w:eastAsia="宋体"/>
                <w:color w:val="auto"/>
                <w:szCs w:val="21"/>
                <w:highlight w:val="none"/>
                <w:lang w:val="en-US" w:eastAsia="zh-CN"/>
              </w:rPr>
            </w:pPr>
            <w:r>
              <w:rPr>
                <w:rFonts w:hint="eastAsia"/>
                <w:color w:val="auto"/>
                <w:szCs w:val="21"/>
                <w:highlight w:val="none"/>
                <w:lang w:val="en-US" w:eastAsia="zh-CN"/>
              </w:rPr>
              <w:t>450000</w:t>
            </w:r>
          </w:p>
        </w:tc>
        <w:tc>
          <w:tcPr>
            <w:tcW w:w="819" w:type="pct"/>
            <w:shd w:val="clear" w:color="auto" w:fill="auto"/>
            <w:vAlign w:val="center"/>
          </w:tcPr>
          <w:p w14:paraId="5FCEC71E">
            <w:pPr>
              <w:spacing w:line="520" w:lineRule="exact"/>
              <w:ind w:firstLine="220" w:firstLineChars="100"/>
              <w:jc w:val="center"/>
              <w:rPr>
                <w:rFonts w:hint="default" w:eastAsia="宋体"/>
                <w:color w:val="auto"/>
                <w:szCs w:val="21"/>
                <w:highlight w:val="none"/>
                <w:lang w:val="en-US" w:eastAsia="zh-CN"/>
              </w:rPr>
            </w:pPr>
            <w:r>
              <w:rPr>
                <w:rFonts w:hint="eastAsia"/>
                <w:color w:val="auto"/>
                <w:szCs w:val="21"/>
                <w:highlight w:val="none"/>
                <w:lang w:val="en-US" w:eastAsia="zh-CN"/>
              </w:rPr>
              <w:t>450000</w:t>
            </w:r>
          </w:p>
        </w:tc>
      </w:tr>
    </w:tbl>
    <w:p w14:paraId="3CD307B9">
      <w:pPr>
        <w:numPr>
          <w:ilvl w:val="0"/>
          <w:numId w:val="0"/>
        </w:numPr>
        <w:spacing w:line="520" w:lineRule="exact"/>
        <w:rPr>
          <w:rFonts w:hint="eastAsia"/>
          <w:color w:val="auto"/>
          <w:sz w:val="24"/>
          <w:szCs w:val="21"/>
          <w:highlight w:val="none"/>
        </w:rPr>
      </w:pPr>
      <w:r>
        <w:rPr>
          <w:rFonts w:hint="eastAsia"/>
          <w:color w:val="auto"/>
          <w:sz w:val="24"/>
          <w:szCs w:val="21"/>
          <w:highlight w:val="none"/>
          <w:lang w:val="en-US" w:eastAsia="zh-CN"/>
        </w:rPr>
        <w:t>5、</w:t>
      </w:r>
      <w:r>
        <w:rPr>
          <w:rFonts w:hint="eastAsia"/>
          <w:color w:val="auto"/>
          <w:sz w:val="24"/>
          <w:szCs w:val="21"/>
          <w:highlight w:val="none"/>
        </w:rPr>
        <w:t>采购需求（包括但不限于标的的名称、数量、简要技术需求或服务要求等采购范围）：</w:t>
      </w:r>
    </w:p>
    <w:p w14:paraId="0C36AC9A">
      <w:pPr>
        <w:pStyle w:val="10"/>
        <w:ind w:left="0" w:leftChars="0" w:firstLine="576" w:firstLineChars="200"/>
        <w:rPr>
          <w:b w:val="0"/>
          <w:bCs/>
          <w:color w:val="auto"/>
          <w:sz w:val="24"/>
          <w:szCs w:val="21"/>
          <w:highlight w:val="none"/>
        </w:rPr>
      </w:pPr>
      <w:r>
        <w:rPr>
          <w:b w:val="0"/>
          <w:bCs/>
          <w:color w:val="auto"/>
          <w:sz w:val="24"/>
          <w:szCs w:val="21"/>
          <w:highlight w:val="none"/>
        </w:rPr>
        <w:t>5.1、招标内容：</w:t>
      </w:r>
      <w:r>
        <w:rPr>
          <w:rFonts w:hint="eastAsia" w:cs="宋体"/>
          <w:b w:val="0"/>
          <w:bCs/>
          <w:color w:val="auto"/>
          <w:spacing w:val="24"/>
          <w:sz w:val="24"/>
          <w:szCs w:val="24"/>
          <w:highlight w:val="none"/>
          <w:lang w:val="en-US" w:eastAsia="zh-CN" w:bidi="ar-SA"/>
        </w:rPr>
        <w:t>50装载机一台、3.5吨叉车一台</w:t>
      </w:r>
      <w:r>
        <w:rPr>
          <w:rFonts w:hint="eastAsia" w:ascii="Times New Roman" w:hAnsi="Times New Roman" w:cs="宋体" w:eastAsiaTheme="minorEastAsia"/>
          <w:b w:val="0"/>
          <w:bCs/>
          <w:color w:val="auto"/>
          <w:spacing w:val="24"/>
          <w:sz w:val="24"/>
          <w:szCs w:val="24"/>
          <w:highlight w:val="none"/>
          <w:lang w:val="en-US" w:eastAsia="zh-CN" w:bidi="ar-SA"/>
        </w:rPr>
        <w:t>。</w:t>
      </w:r>
      <w:r>
        <w:rPr>
          <w:rFonts w:hint="eastAsia" w:ascii="宋体" w:hAnsi="宋体" w:eastAsia="宋体" w:cs="宋体"/>
          <w:b w:val="0"/>
          <w:bCs/>
          <w:color w:val="auto"/>
          <w:sz w:val="24"/>
          <w:szCs w:val="24"/>
          <w:highlight w:val="none"/>
          <w:lang w:eastAsia="zh-CN"/>
        </w:rPr>
        <w:t>（详见“第二章采购需求”）</w:t>
      </w:r>
    </w:p>
    <w:p w14:paraId="0A2B20D8">
      <w:pPr>
        <w:spacing w:line="520" w:lineRule="exact"/>
        <w:ind w:firstLine="480" w:firstLineChars="200"/>
        <w:rPr>
          <w:rFonts w:hint="eastAsia"/>
          <w:color w:val="auto"/>
          <w:highlight w:val="none"/>
          <w:lang w:eastAsia="zh-CN"/>
        </w:rPr>
      </w:pPr>
      <w:r>
        <w:rPr>
          <w:color w:val="auto"/>
          <w:sz w:val="24"/>
          <w:szCs w:val="21"/>
          <w:highlight w:val="none"/>
        </w:rPr>
        <w:t>5.2、标段划分：</w:t>
      </w:r>
      <w:r>
        <w:rPr>
          <w:rFonts w:hint="eastAsia"/>
          <w:color w:val="auto"/>
          <w:sz w:val="24"/>
          <w:szCs w:val="21"/>
          <w:highlight w:val="none"/>
          <w:lang w:val="en-US" w:eastAsia="zh-CN"/>
        </w:rPr>
        <w:t>1</w:t>
      </w:r>
      <w:r>
        <w:rPr>
          <w:color w:val="auto"/>
          <w:sz w:val="24"/>
          <w:szCs w:val="21"/>
          <w:highlight w:val="none"/>
        </w:rPr>
        <w:t>个标段</w:t>
      </w:r>
      <w:r>
        <w:rPr>
          <w:rFonts w:hint="eastAsia"/>
          <w:color w:val="auto"/>
          <w:sz w:val="24"/>
          <w:szCs w:val="21"/>
          <w:highlight w:val="none"/>
          <w:lang w:eastAsia="zh-CN"/>
        </w:rPr>
        <w:t>：</w:t>
      </w:r>
    </w:p>
    <w:p w14:paraId="504680A2">
      <w:pPr>
        <w:spacing w:line="520" w:lineRule="exact"/>
        <w:ind w:firstLine="480" w:firstLineChars="200"/>
        <w:rPr>
          <w:color w:val="auto"/>
          <w:sz w:val="24"/>
          <w:szCs w:val="21"/>
          <w:highlight w:val="none"/>
        </w:rPr>
      </w:pPr>
      <w:r>
        <w:rPr>
          <w:color w:val="auto"/>
          <w:sz w:val="24"/>
          <w:szCs w:val="21"/>
          <w:highlight w:val="none"/>
        </w:rPr>
        <w:t>5.3</w:t>
      </w:r>
      <w:r>
        <w:rPr>
          <w:rFonts w:hint="eastAsia"/>
          <w:color w:val="auto"/>
          <w:sz w:val="24"/>
          <w:szCs w:val="21"/>
          <w:highlight w:val="none"/>
        </w:rPr>
        <w:t>、质量要求：</w:t>
      </w:r>
      <w:r>
        <w:rPr>
          <w:rFonts w:hint="eastAsia"/>
          <w:color w:val="auto"/>
          <w:sz w:val="24"/>
          <w:szCs w:val="21"/>
          <w:highlight w:val="none"/>
          <w:lang w:val="en-US" w:eastAsia="zh-CN"/>
        </w:rPr>
        <w:t>合格</w:t>
      </w:r>
      <w:r>
        <w:rPr>
          <w:rFonts w:hint="eastAsia"/>
          <w:color w:val="auto"/>
          <w:sz w:val="24"/>
          <w:szCs w:val="21"/>
          <w:highlight w:val="none"/>
        </w:rPr>
        <w:t>；</w:t>
      </w:r>
    </w:p>
    <w:p w14:paraId="285A4ECB">
      <w:pPr>
        <w:spacing w:line="520" w:lineRule="exact"/>
        <w:ind w:firstLine="480" w:firstLineChars="200"/>
        <w:rPr>
          <w:color w:val="auto"/>
          <w:sz w:val="24"/>
          <w:szCs w:val="21"/>
          <w:highlight w:val="none"/>
        </w:rPr>
      </w:pPr>
      <w:r>
        <w:rPr>
          <w:color w:val="auto"/>
          <w:sz w:val="24"/>
          <w:szCs w:val="21"/>
          <w:highlight w:val="none"/>
        </w:rPr>
        <w:t>5.4、资金来源：财政</w:t>
      </w:r>
      <w:r>
        <w:rPr>
          <w:rFonts w:hint="eastAsia"/>
          <w:color w:val="auto"/>
          <w:sz w:val="24"/>
          <w:szCs w:val="21"/>
          <w:highlight w:val="none"/>
        </w:rPr>
        <w:t>涉农统筹整合</w:t>
      </w:r>
      <w:r>
        <w:rPr>
          <w:color w:val="auto"/>
          <w:sz w:val="24"/>
          <w:szCs w:val="21"/>
          <w:highlight w:val="none"/>
        </w:rPr>
        <w:t>资金</w:t>
      </w:r>
    </w:p>
    <w:p w14:paraId="47284813">
      <w:pPr>
        <w:spacing w:line="520" w:lineRule="exact"/>
        <w:ind w:firstLine="480" w:firstLineChars="200"/>
        <w:rPr>
          <w:rFonts w:hint="eastAsia" w:ascii="宋体" w:hAnsi="宋体" w:eastAsia="宋体" w:cs="宋体"/>
          <w:color w:val="auto"/>
          <w:sz w:val="24"/>
          <w:szCs w:val="24"/>
          <w:highlight w:val="none"/>
          <w:lang w:eastAsia="zh-CN"/>
        </w:rPr>
      </w:pPr>
      <w:r>
        <w:rPr>
          <w:color w:val="auto"/>
          <w:sz w:val="24"/>
          <w:szCs w:val="21"/>
          <w:highlight w:val="none"/>
        </w:rPr>
        <w:t>6</w:t>
      </w:r>
      <w:r>
        <w:rPr>
          <w:rFonts w:hint="eastAsia"/>
          <w:color w:val="auto"/>
          <w:sz w:val="24"/>
          <w:szCs w:val="21"/>
          <w:highlight w:val="none"/>
        </w:rPr>
        <w:t>、合同履行期限：</w:t>
      </w:r>
      <w:r>
        <w:rPr>
          <w:rFonts w:hint="eastAsia" w:cs="宋体"/>
          <w:color w:val="auto"/>
          <w:sz w:val="24"/>
          <w:szCs w:val="24"/>
          <w:highlight w:val="none"/>
          <w:lang w:eastAsia="zh-CN"/>
        </w:rPr>
        <w:t>合同签订后10日历天内</w:t>
      </w:r>
    </w:p>
    <w:p w14:paraId="5F78BE42">
      <w:pPr>
        <w:spacing w:line="520" w:lineRule="exact"/>
        <w:ind w:firstLine="480" w:firstLineChars="200"/>
        <w:rPr>
          <w:color w:val="auto"/>
          <w:sz w:val="24"/>
          <w:szCs w:val="21"/>
          <w:highlight w:val="none"/>
        </w:rPr>
      </w:pPr>
      <w:r>
        <w:rPr>
          <w:color w:val="auto"/>
          <w:sz w:val="24"/>
          <w:szCs w:val="21"/>
          <w:highlight w:val="none"/>
        </w:rPr>
        <w:t>7</w:t>
      </w:r>
      <w:r>
        <w:rPr>
          <w:rFonts w:hint="eastAsia"/>
          <w:color w:val="auto"/>
          <w:sz w:val="24"/>
          <w:szCs w:val="21"/>
          <w:highlight w:val="none"/>
        </w:rPr>
        <w:t>、本项目是否接受联合体投标：否</w:t>
      </w:r>
    </w:p>
    <w:p w14:paraId="280E73B9">
      <w:pPr>
        <w:spacing w:line="520" w:lineRule="exact"/>
        <w:ind w:firstLine="480" w:firstLineChars="200"/>
        <w:rPr>
          <w:color w:val="auto"/>
          <w:sz w:val="24"/>
          <w:szCs w:val="21"/>
          <w:highlight w:val="none"/>
        </w:rPr>
      </w:pPr>
      <w:r>
        <w:rPr>
          <w:color w:val="auto"/>
          <w:sz w:val="24"/>
          <w:szCs w:val="21"/>
          <w:highlight w:val="none"/>
        </w:rPr>
        <w:t>8、是否接受进口产品：否</w:t>
      </w:r>
    </w:p>
    <w:p w14:paraId="1C9E06F3">
      <w:pPr>
        <w:spacing w:line="520" w:lineRule="exact"/>
        <w:ind w:firstLine="480" w:firstLineChars="200"/>
        <w:rPr>
          <w:rFonts w:hint="default" w:eastAsia="宋体"/>
          <w:color w:val="auto"/>
          <w:sz w:val="24"/>
          <w:szCs w:val="21"/>
          <w:highlight w:val="none"/>
          <w:lang w:val="en-US" w:eastAsia="zh-CN"/>
        </w:rPr>
      </w:pPr>
      <w:r>
        <w:rPr>
          <w:rFonts w:hint="eastAsia"/>
          <w:color w:val="auto"/>
          <w:sz w:val="24"/>
          <w:szCs w:val="21"/>
          <w:highlight w:val="none"/>
        </w:rPr>
        <w:t>9、是否专门面向中小企业：</w:t>
      </w:r>
      <w:r>
        <w:rPr>
          <w:rFonts w:hint="eastAsia"/>
          <w:color w:val="auto"/>
          <w:sz w:val="24"/>
          <w:szCs w:val="21"/>
          <w:highlight w:val="none"/>
          <w:lang w:val="en-US" w:eastAsia="zh-CN"/>
        </w:rPr>
        <w:t>是</w:t>
      </w:r>
    </w:p>
    <w:p w14:paraId="351FEE14">
      <w:pPr>
        <w:tabs>
          <w:tab w:val="left" w:pos="1191"/>
        </w:tabs>
        <w:spacing w:line="480" w:lineRule="exact"/>
        <w:ind w:left="561" w:hanging="561" w:hangingChars="254"/>
        <w:rPr>
          <w:rFonts w:hint="eastAsia" w:eastAsia="宋体"/>
          <w:color w:val="auto"/>
          <w:szCs w:val="21"/>
          <w:highlight w:val="none"/>
          <w:lang w:eastAsia="zh-CN"/>
        </w:rPr>
      </w:pPr>
      <w:r>
        <w:rPr>
          <w:rFonts w:hint="eastAsia"/>
          <w:b/>
          <w:bCs/>
          <w:color w:val="auto"/>
          <w:szCs w:val="21"/>
          <w:highlight w:val="none"/>
        </w:rPr>
        <w:t>二、申请人资格要求：</w:t>
      </w: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937"/>
      </w:tblGrid>
      <w:tr w14:paraId="6E3DC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3D1CA91B">
            <w:pPr>
              <w:spacing w:line="520" w:lineRule="exact"/>
              <w:ind w:firstLine="480" w:firstLineChars="200"/>
              <w:rPr>
                <w:rFonts w:hint="eastAsia" w:ascii="宋体" w:hAnsi="宋体" w:eastAsia="宋体" w:cs="宋体"/>
                <w:color w:val="auto"/>
                <w:sz w:val="24"/>
                <w:szCs w:val="21"/>
                <w:highlight w:val="none"/>
              </w:rPr>
            </w:pPr>
            <w:r>
              <w:rPr>
                <w:rFonts w:hint="default" w:ascii="宋体" w:hAnsi="宋体" w:eastAsia="宋体" w:cs="宋体"/>
                <w:color w:val="auto"/>
                <w:sz w:val="24"/>
                <w:szCs w:val="21"/>
                <w:highlight w:val="none"/>
                <w:lang w:val="en-US" w:eastAsia="zh-CN"/>
              </w:rPr>
              <w:t>1、满足《中华人民共和国政府采购法》第二十二条规定；</w:t>
            </w:r>
          </w:p>
        </w:tc>
      </w:tr>
      <w:tr w14:paraId="61FDD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5C693E3D">
            <w:pPr>
              <w:spacing w:line="520" w:lineRule="exact"/>
              <w:ind w:firstLine="480" w:firstLineChars="200"/>
              <w:rPr>
                <w:rFonts w:hint="default" w:ascii="宋体" w:hAnsi="宋体" w:eastAsia="宋体" w:cs="宋体"/>
                <w:color w:val="auto"/>
                <w:sz w:val="24"/>
                <w:szCs w:val="21"/>
                <w:highlight w:val="none"/>
              </w:rPr>
            </w:pPr>
            <w:r>
              <w:rPr>
                <w:rFonts w:hint="default" w:ascii="宋体" w:hAnsi="宋体" w:eastAsia="宋体" w:cs="宋体"/>
                <w:color w:val="auto"/>
                <w:sz w:val="24"/>
                <w:szCs w:val="21"/>
                <w:highlight w:val="none"/>
                <w:lang w:val="en-US" w:eastAsia="zh-CN"/>
              </w:rPr>
              <w:t>2、落实政府采购政策满足的资格要求：</w:t>
            </w:r>
          </w:p>
        </w:tc>
      </w:tr>
      <w:tr w14:paraId="2464D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43BB484F">
            <w:pPr>
              <w:spacing w:line="520" w:lineRule="exact"/>
              <w:ind w:firstLine="480" w:firstLineChars="200"/>
              <w:rPr>
                <w:rFonts w:hint="default" w:ascii="宋体" w:hAnsi="宋体" w:eastAsia="宋体" w:cs="宋体"/>
                <w:color w:val="auto"/>
                <w:sz w:val="24"/>
                <w:szCs w:val="21"/>
                <w:highlight w:val="none"/>
              </w:rPr>
            </w:pPr>
            <w:r>
              <w:rPr>
                <w:rFonts w:hint="default" w:ascii="宋体" w:hAnsi="宋体" w:eastAsia="宋体" w:cs="宋体"/>
                <w:color w:val="auto"/>
                <w:sz w:val="24"/>
                <w:szCs w:val="21"/>
                <w:highlight w:val="none"/>
                <w:lang w:val="en-US" w:eastAsia="zh-CN"/>
              </w:rPr>
              <w:t>本项目执行促进中小型企业发展政策（残疾人福利性企业、监狱企业视同小微企业）</w:t>
            </w:r>
          </w:p>
        </w:tc>
      </w:tr>
      <w:tr w14:paraId="212FF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1999997F">
            <w:pPr>
              <w:spacing w:line="520" w:lineRule="exact"/>
              <w:ind w:firstLine="480" w:firstLineChars="200"/>
              <w:rPr>
                <w:rFonts w:hint="default" w:ascii="宋体" w:hAnsi="宋体" w:eastAsia="宋体" w:cs="宋体"/>
                <w:color w:val="auto"/>
                <w:sz w:val="24"/>
                <w:szCs w:val="21"/>
                <w:highlight w:val="none"/>
              </w:rPr>
            </w:pPr>
            <w:r>
              <w:rPr>
                <w:rFonts w:hint="default" w:ascii="宋体" w:hAnsi="宋体" w:eastAsia="宋体" w:cs="宋体"/>
                <w:color w:val="auto"/>
                <w:sz w:val="24"/>
                <w:szCs w:val="21"/>
                <w:highlight w:val="none"/>
                <w:lang w:val="en-US" w:eastAsia="zh-CN"/>
              </w:rPr>
              <w:t>3、本项目的特定资格要求</w:t>
            </w:r>
          </w:p>
        </w:tc>
      </w:tr>
      <w:tr w14:paraId="641E3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36C909FB">
            <w:pPr>
              <w:spacing w:line="520" w:lineRule="exact"/>
              <w:ind w:firstLine="480" w:firstLineChars="200"/>
              <w:rPr>
                <w:rFonts w:hint="default" w:ascii="宋体" w:hAnsi="宋体" w:eastAsia="宋体" w:cs="宋体"/>
                <w:color w:val="auto"/>
                <w:sz w:val="24"/>
                <w:szCs w:val="21"/>
                <w:highlight w:val="none"/>
                <w:lang w:val="en-US" w:eastAsia="zh-CN"/>
              </w:rPr>
            </w:pPr>
            <w:r>
              <w:rPr>
                <w:rFonts w:hint="default" w:ascii="宋体" w:hAnsi="宋体" w:eastAsia="宋体" w:cs="宋体"/>
                <w:color w:val="auto"/>
                <w:sz w:val="24"/>
                <w:szCs w:val="21"/>
                <w:highlight w:val="none"/>
                <w:lang w:val="en-US" w:eastAsia="zh-CN"/>
              </w:rPr>
              <w:t>3.1、投标人须符合《中华人民共和国政府采购法》第二十二条的规定，应具有有效的营业执照、税务登记证、组织机构代码证，或有效的三证合一的营业执照，具有履行合同所必需的设备和专业技术能力。</w:t>
            </w:r>
          </w:p>
          <w:p w14:paraId="1B965A70">
            <w:pPr>
              <w:spacing w:line="520" w:lineRule="exact"/>
              <w:ind w:firstLine="480" w:firstLineChars="200"/>
              <w:rPr>
                <w:rFonts w:hint="default" w:ascii="宋体" w:hAnsi="宋体" w:eastAsia="宋体" w:cs="宋体"/>
                <w:color w:val="auto"/>
                <w:sz w:val="24"/>
                <w:szCs w:val="21"/>
                <w:highlight w:val="none"/>
                <w:lang w:val="en-US" w:eastAsia="zh-CN"/>
              </w:rPr>
            </w:pPr>
            <w:r>
              <w:rPr>
                <w:rFonts w:hint="default" w:ascii="宋体" w:hAnsi="宋体" w:eastAsia="宋体" w:cs="宋体"/>
                <w:color w:val="auto"/>
                <w:sz w:val="24"/>
                <w:szCs w:val="21"/>
                <w:highlight w:val="none"/>
                <w:lang w:val="en-US" w:eastAsia="zh-CN"/>
              </w:rPr>
              <w:t>3.2、根据《关于在政府采购活动中查询及使用信用记录有关问题的通知》(财库[2016]125号)的规定，对列入失信被执行人、重大税收违法失信主体、政府采购严重违法失信行为记录名单的供应商，不得参与本项目采购活动；供应商需提供信用报告，信用报告应通过“信用中国”网站(www.creditchina.gov.cn)下载，信用报告生成日期需在本招标公告发布之后，供应商应通过“信用中国”网站（www.creditchina.gov.cn）查询“失信被执行人”、“重大税收违法失信主体”，中国政府采购网（www.ccgp.gov.cn）查询“政府采购严重违法失信行为记录名单”渠道查询自身信用记录，查询时间需在本招标公告发布之后。</w:t>
            </w:r>
          </w:p>
          <w:p w14:paraId="20DCEE63">
            <w:pPr>
              <w:spacing w:line="520" w:lineRule="exact"/>
              <w:ind w:firstLine="480" w:firstLineChars="200"/>
              <w:rPr>
                <w:rFonts w:hint="default" w:ascii="宋体" w:hAnsi="宋体" w:eastAsia="宋体" w:cs="宋体"/>
                <w:color w:val="auto"/>
                <w:sz w:val="24"/>
                <w:szCs w:val="21"/>
                <w:highlight w:val="none"/>
                <w:lang w:val="en-US" w:eastAsia="zh-CN"/>
              </w:rPr>
            </w:pPr>
            <w:r>
              <w:rPr>
                <w:rFonts w:hint="default" w:ascii="宋体" w:hAnsi="宋体" w:eastAsia="宋体" w:cs="宋体"/>
                <w:color w:val="auto"/>
                <w:sz w:val="24"/>
                <w:szCs w:val="21"/>
                <w:highlight w:val="none"/>
                <w:lang w:val="en-US" w:eastAsia="zh-CN"/>
              </w:rPr>
              <w:t>3.3、供应商需提供无行贿犯罪记录承诺函（承诺对象包括：供应商、法定代表人、授权委托人）,并对其真实性负责，若承诺不实，造成的后果由供应商自行负责。经公检法司、纪检监察、行政监督部门查证“以向招标人或者评标委员会成员行贿的手段谋取中标的”投标企业不得参与本项目投标。</w:t>
            </w:r>
          </w:p>
          <w:p w14:paraId="4C056D5C">
            <w:pPr>
              <w:spacing w:line="520" w:lineRule="exact"/>
              <w:ind w:firstLine="480" w:firstLineChars="200"/>
              <w:rPr>
                <w:rFonts w:hint="default" w:ascii="宋体" w:hAnsi="宋体" w:eastAsia="宋体" w:cs="宋体"/>
                <w:color w:val="auto"/>
                <w:sz w:val="24"/>
                <w:szCs w:val="21"/>
                <w:highlight w:val="none"/>
                <w:lang w:val="en-US" w:eastAsia="zh-CN"/>
              </w:rPr>
            </w:pPr>
            <w:r>
              <w:rPr>
                <w:rFonts w:hint="default" w:ascii="宋体" w:hAnsi="宋体" w:eastAsia="宋体" w:cs="宋体"/>
                <w:color w:val="auto"/>
                <w:sz w:val="24"/>
                <w:szCs w:val="21"/>
                <w:highlight w:val="none"/>
                <w:lang w:val="en-US" w:eastAsia="zh-CN"/>
              </w:rPr>
              <w:t>3.4、本项目不接受联合体投标，不得分包转包。</w:t>
            </w:r>
          </w:p>
          <w:p w14:paraId="25FBE3C9">
            <w:pPr>
              <w:spacing w:line="520" w:lineRule="exact"/>
              <w:ind w:firstLine="480" w:firstLineChars="200"/>
              <w:rPr>
                <w:rFonts w:hint="default" w:ascii="宋体" w:hAnsi="宋体" w:eastAsia="宋体" w:cs="宋体"/>
                <w:color w:val="auto"/>
                <w:sz w:val="24"/>
                <w:szCs w:val="21"/>
                <w:highlight w:val="none"/>
              </w:rPr>
            </w:pPr>
            <w:r>
              <w:rPr>
                <w:rFonts w:hint="default" w:ascii="宋体" w:hAnsi="宋体" w:eastAsia="宋体" w:cs="宋体"/>
                <w:color w:val="auto"/>
                <w:sz w:val="24"/>
                <w:szCs w:val="21"/>
                <w:highlight w:val="none"/>
                <w:lang w:val="en-US" w:eastAsia="zh-CN"/>
              </w:rPr>
              <w:t>3.5、本项目实行资格后审，审查内容以投标截止时间24小时前填报上传的企业诚信库信息为准，过期更改的诚信库信息不作为本项目评审依据。诚信库上传信息必须内容齐全，真实有效，原件扫描件清晰可辨。否则，由此造成应得分而未得分或资格审查不合格等情况的，由供应商自行承担责任。</w:t>
            </w:r>
          </w:p>
        </w:tc>
      </w:tr>
    </w:tbl>
    <w:p w14:paraId="7C7930D5">
      <w:pPr>
        <w:spacing w:line="520" w:lineRule="exact"/>
        <w:ind w:firstLine="221" w:firstLineChars="100"/>
        <w:rPr>
          <w:b/>
          <w:bCs/>
          <w:color w:val="auto"/>
          <w:szCs w:val="21"/>
          <w:highlight w:val="none"/>
          <w:shd w:val="clear" w:color="auto" w:fill="FFFFFF"/>
        </w:rPr>
      </w:pPr>
      <w:r>
        <w:rPr>
          <w:rFonts w:hint="eastAsia"/>
          <w:b/>
          <w:bCs/>
          <w:color w:val="auto"/>
          <w:szCs w:val="21"/>
          <w:highlight w:val="none"/>
          <w:shd w:val="clear" w:color="auto" w:fill="FFFFFF"/>
        </w:rPr>
        <w:t>三、获取采购文件：</w:t>
      </w:r>
    </w:p>
    <w:p w14:paraId="5B8E5E83">
      <w:pPr>
        <w:spacing w:line="520" w:lineRule="exact"/>
        <w:ind w:firstLine="480" w:firstLineChars="200"/>
        <w:rPr>
          <w:color w:val="auto"/>
          <w:sz w:val="24"/>
          <w:szCs w:val="21"/>
          <w:highlight w:val="none"/>
        </w:rPr>
      </w:pPr>
      <w:r>
        <w:rPr>
          <w:rFonts w:hint="eastAsia"/>
          <w:color w:val="auto"/>
          <w:sz w:val="24"/>
          <w:szCs w:val="21"/>
          <w:highlight w:val="none"/>
        </w:rPr>
        <w:t>1.时间：</w:t>
      </w:r>
      <w:r>
        <w:rPr>
          <w:rFonts w:hint="eastAsia"/>
          <w:color w:val="auto"/>
          <w:sz w:val="24"/>
          <w:szCs w:val="21"/>
          <w:highlight w:val="none"/>
          <w:lang w:eastAsia="zh-CN"/>
        </w:rPr>
        <w:t>2025年</w:t>
      </w:r>
      <w:r>
        <w:rPr>
          <w:rFonts w:hint="eastAsia"/>
          <w:color w:val="auto"/>
          <w:sz w:val="24"/>
          <w:szCs w:val="21"/>
          <w:highlight w:val="none"/>
          <w:lang w:val="en-US" w:eastAsia="zh-CN"/>
        </w:rPr>
        <w:t>6</w:t>
      </w:r>
      <w:r>
        <w:rPr>
          <w:rFonts w:hint="eastAsia"/>
          <w:color w:val="auto"/>
          <w:sz w:val="24"/>
          <w:szCs w:val="21"/>
          <w:highlight w:val="none"/>
        </w:rPr>
        <w:t>月</w:t>
      </w:r>
      <w:r>
        <w:rPr>
          <w:rFonts w:hint="eastAsia"/>
          <w:color w:val="auto"/>
          <w:sz w:val="24"/>
          <w:szCs w:val="21"/>
          <w:highlight w:val="none"/>
          <w:lang w:val="en-US" w:eastAsia="zh-CN"/>
        </w:rPr>
        <w:t>19</w:t>
      </w:r>
      <w:r>
        <w:rPr>
          <w:rFonts w:hint="eastAsia"/>
          <w:color w:val="auto"/>
          <w:sz w:val="24"/>
          <w:szCs w:val="21"/>
          <w:highlight w:val="none"/>
        </w:rPr>
        <w:t>日至</w:t>
      </w:r>
      <w:r>
        <w:rPr>
          <w:rFonts w:hint="eastAsia"/>
          <w:color w:val="auto"/>
          <w:sz w:val="24"/>
          <w:szCs w:val="21"/>
          <w:highlight w:val="none"/>
          <w:lang w:eastAsia="zh-CN"/>
        </w:rPr>
        <w:t>2025年</w:t>
      </w:r>
      <w:r>
        <w:rPr>
          <w:rFonts w:hint="eastAsia"/>
          <w:color w:val="auto"/>
          <w:sz w:val="24"/>
          <w:szCs w:val="21"/>
          <w:highlight w:val="none"/>
          <w:lang w:val="en-US" w:eastAsia="zh-CN"/>
        </w:rPr>
        <w:t>7</w:t>
      </w:r>
      <w:r>
        <w:rPr>
          <w:rFonts w:hint="eastAsia"/>
          <w:color w:val="auto"/>
          <w:sz w:val="24"/>
          <w:szCs w:val="21"/>
          <w:highlight w:val="none"/>
        </w:rPr>
        <w:t>月</w:t>
      </w:r>
      <w:r>
        <w:rPr>
          <w:rFonts w:hint="eastAsia"/>
          <w:color w:val="auto"/>
          <w:sz w:val="24"/>
          <w:szCs w:val="21"/>
          <w:highlight w:val="none"/>
          <w:lang w:val="en-US" w:eastAsia="zh-CN"/>
        </w:rPr>
        <w:t>14</w:t>
      </w:r>
      <w:r>
        <w:rPr>
          <w:rFonts w:hint="eastAsia"/>
          <w:color w:val="auto"/>
          <w:sz w:val="24"/>
          <w:szCs w:val="21"/>
          <w:highlight w:val="none"/>
        </w:rPr>
        <w:t>日，每天上午09:00至12:00，下午12:00至18:00。</w:t>
      </w:r>
    </w:p>
    <w:p w14:paraId="14A27022">
      <w:pPr>
        <w:spacing w:line="520" w:lineRule="exact"/>
        <w:ind w:firstLine="480" w:firstLineChars="200"/>
        <w:rPr>
          <w:color w:val="auto"/>
          <w:sz w:val="24"/>
          <w:szCs w:val="21"/>
          <w:highlight w:val="none"/>
        </w:rPr>
      </w:pPr>
      <w:r>
        <w:rPr>
          <w:rFonts w:hint="eastAsia"/>
          <w:color w:val="auto"/>
          <w:sz w:val="24"/>
          <w:szCs w:val="21"/>
          <w:highlight w:val="none"/>
        </w:rPr>
        <w:t>2.地点：南阳市公共资源交易中心电子交易系统淅川区</w:t>
      </w:r>
      <w:r>
        <w:rPr>
          <w:color w:val="auto"/>
          <w:highlight w:val="none"/>
        </w:rPr>
        <w:fldChar w:fldCharType="begin"/>
      </w:r>
      <w:r>
        <w:rPr>
          <w:color w:val="auto"/>
          <w:highlight w:val="none"/>
        </w:rPr>
        <w:instrText xml:space="preserve"> HYPERLINK "http://ggzyjy.nanyang.gov.cn/XCXWeb/" </w:instrText>
      </w:r>
      <w:r>
        <w:rPr>
          <w:color w:val="auto"/>
          <w:highlight w:val="none"/>
        </w:rPr>
        <w:fldChar w:fldCharType="separate"/>
      </w:r>
      <w:r>
        <w:rPr>
          <w:rFonts w:hint="eastAsia"/>
          <w:color w:val="auto"/>
          <w:sz w:val="24"/>
          <w:szCs w:val="21"/>
          <w:highlight w:val="none"/>
        </w:rPr>
        <w:t>(</w:t>
      </w:r>
      <w:r>
        <w:rPr>
          <w:rFonts w:hint="eastAsia"/>
          <w:color w:val="auto"/>
          <w:sz w:val="24"/>
          <w:szCs w:val="21"/>
          <w:highlight w:val="none"/>
          <w:lang w:eastAsia="zh-CN"/>
        </w:rPr>
        <w:t>http://ggzyjy.xichuan.gov.cn</w:t>
      </w:r>
      <w:r>
        <w:rPr>
          <w:rFonts w:hint="eastAsia"/>
          <w:color w:val="auto"/>
          <w:sz w:val="24"/>
          <w:szCs w:val="21"/>
          <w:highlight w:val="none"/>
        </w:rPr>
        <w:fldChar w:fldCharType="end"/>
      </w:r>
      <w:r>
        <w:rPr>
          <w:rFonts w:hint="eastAsia"/>
          <w:color w:val="auto"/>
          <w:sz w:val="24"/>
          <w:szCs w:val="21"/>
          <w:highlight w:val="none"/>
        </w:rPr>
        <w:t>)</w:t>
      </w:r>
    </w:p>
    <w:p w14:paraId="01EFAA82">
      <w:pPr>
        <w:spacing w:line="520" w:lineRule="exact"/>
        <w:ind w:firstLine="480" w:firstLineChars="200"/>
        <w:rPr>
          <w:color w:val="auto"/>
          <w:sz w:val="24"/>
          <w:szCs w:val="21"/>
          <w:highlight w:val="none"/>
        </w:rPr>
      </w:pPr>
      <w:r>
        <w:rPr>
          <w:rFonts w:hint="eastAsia"/>
          <w:color w:val="auto"/>
          <w:sz w:val="24"/>
          <w:szCs w:val="21"/>
          <w:highlight w:val="none"/>
        </w:rPr>
        <w:t>3.方式：使用普通电子交易系统的，登录南阳市公共资源交易中心网（https://ggzyjy.nanyang.gov.cn），注册后凭办理的企业身份认证锁（CA数字证书）登录会员系统按网上提示下载招标文件(*.nyzf格式)及资料（操作程序详见南阳市公共资源交易中心网站下载专区），电子交易系统技术支持电话：</w:t>
      </w:r>
      <w:r>
        <w:rPr>
          <w:rFonts w:hint="eastAsia"/>
          <w:color w:val="auto"/>
          <w:sz w:val="24"/>
          <w:szCs w:val="21"/>
          <w:highlight w:val="none"/>
          <w:lang w:eastAsia="zh-CN"/>
        </w:rPr>
        <w:t>0512-58188538</w:t>
      </w:r>
      <w:r>
        <w:rPr>
          <w:rFonts w:hint="eastAsia"/>
          <w:color w:val="auto"/>
          <w:sz w:val="24"/>
          <w:szCs w:val="21"/>
          <w:highlight w:val="none"/>
        </w:rPr>
        <w:t>，CA数字证书技术支持电话：15672779650。</w:t>
      </w:r>
    </w:p>
    <w:p w14:paraId="0AD302FE">
      <w:pPr>
        <w:spacing w:line="520" w:lineRule="exact"/>
        <w:ind w:firstLine="480" w:firstLineChars="200"/>
        <w:rPr>
          <w:color w:val="auto"/>
          <w:sz w:val="24"/>
          <w:szCs w:val="21"/>
          <w:highlight w:val="none"/>
        </w:rPr>
      </w:pPr>
      <w:r>
        <w:rPr>
          <w:rFonts w:hint="eastAsia"/>
          <w:color w:val="auto"/>
          <w:sz w:val="24"/>
          <w:szCs w:val="21"/>
          <w:highlight w:val="none"/>
        </w:rPr>
        <w:t>潜在投标人登录南阳市公共资源交易中心电子交易系统淅川区（</w:t>
      </w:r>
      <w:r>
        <w:rPr>
          <w:rFonts w:hint="eastAsia"/>
          <w:color w:val="auto"/>
          <w:sz w:val="24"/>
          <w:szCs w:val="21"/>
          <w:highlight w:val="none"/>
          <w:lang w:eastAsia="zh-CN"/>
        </w:rPr>
        <w:t>http://ggzyjy.xichuan.gov.cn</w:t>
      </w:r>
      <w:r>
        <w:rPr>
          <w:rFonts w:hint="eastAsia"/>
          <w:color w:val="auto"/>
          <w:sz w:val="24"/>
          <w:szCs w:val="21"/>
          <w:highlight w:val="none"/>
        </w:rPr>
        <w:t>）参与招标项目，可直接下载采购文件。</w:t>
      </w:r>
    </w:p>
    <w:p w14:paraId="47970D18">
      <w:pPr>
        <w:spacing w:line="520" w:lineRule="exact"/>
        <w:ind w:firstLine="480" w:firstLineChars="200"/>
        <w:rPr>
          <w:color w:val="auto"/>
          <w:sz w:val="24"/>
          <w:szCs w:val="21"/>
          <w:highlight w:val="none"/>
        </w:rPr>
      </w:pPr>
      <w:r>
        <w:rPr>
          <w:rFonts w:hint="eastAsia"/>
          <w:color w:val="auto"/>
          <w:sz w:val="24"/>
          <w:szCs w:val="21"/>
          <w:highlight w:val="none"/>
          <w:lang w:val="en-US"/>
        </w:rPr>
        <w:t>4.</w:t>
      </w:r>
      <w:r>
        <w:rPr>
          <w:rFonts w:hint="eastAsia"/>
          <w:color w:val="auto"/>
          <w:sz w:val="24"/>
          <w:szCs w:val="21"/>
          <w:highlight w:val="none"/>
        </w:rPr>
        <w:t>售价：0元。</w:t>
      </w:r>
    </w:p>
    <w:p w14:paraId="7FB35D2E">
      <w:pPr>
        <w:spacing w:line="520" w:lineRule="exact"/>
        <w:ind w:firstLine="442" w:firstLineChars="200"/>
        <w:rPr>
          <w:b/>
          <w:bCs/>
          <w:color w:val="auto"/>
          <w:szCs w:val="21"/>
          <w:highlight w:val="none"/>
          <w:shd w:val="clear" w:color="auto" w:fill="FFFFFF"/>
        </w:rPr>
      </w:pPr>
      <w:r>
        <w:rPr>
          <w:rFonts w:hint="eastAsia"/>
          <w:b/>
          <w:bCs/>
          <w:color w:val="auto"/>
          <w:szCs w:val="21"/>
          <w:highlight w:val="none"/>
          <w:shd w:val="clear" w:color="auto" w:fill="FFFFFF"/>
        </w:rPr>
        <w:t>四、投标截止时间及地点</w:t>
      </w:r>
    </w:p>
    <w:p w14:paraId="0FFE8FE6">
      <w:pPr>
        <w:spacing w:line="520" w:lineRule="exact"/>
        <w:ind w:firstLine="480" w:firstLineChars="200"/>
        <w:rPr>
          <w:color w:val="auto"/>
          <w:sz w:val="24"/>
          <w:szCs w:val="21"/>
          <w:highlight w:val="none"/>
        </w:rPr>
      </w:pPr>
      <w:r>
        <w:rPr>
          <w:color w:val="auto"/>
          <w:sz w:val="24"/>
          <w:szCs w:val="21"/>
          <w:highlight w:val="none"/>
        </w:rPr>
        <w:t>1.时间：</w:t>
      </w:r>
      <w:r>
        <w:rPr>
          <w:rFonts w:hint="eastAsia"/>
          <w:color w:val="auto"/>
          <w:sz w:val="24"/>
          <w:szCs w:val="21"/>
          <w:highlight w:val="none"/>
          <w:lang w:eastAsia="zh-CN"/>
        </w:rPr>
        <w:t>2025年</w:t>
      </w:r>
      <w:r>
        <w:rPr>
          <w:rFonts w:hint="eastAsia"/>
          <w:color w:val="auto"/>
          <w:sz w:val="24"/>
          <w:szCs w:val="21"/>
          <w:highlight w:val="none"/>
          <w:lang w:val="en-US" w:eastAsia="zh-CN"/>
        </w:rPr>
        <w:t>7</w:t>
      </w:r>
      <w:r>
        <w:rPr>
          <w:rFonts w:hint="eastAsia"/>
          <w:color w:val="auto"/>
          <w:sz w:val="24"/>
          <w:szCs w:val="21"/>
          <w:highlight w:val="none"/>
          <w:lang w:eastAsia="zh-CN"/>
        </w:rPr>
        <w:t>月</w:t>
      </w:r>
      <w:r>
        <w:rPr>
          <w:rFonts w:hint="eastAsia"/>
          <w:color w:val="auto"/>
          <w:sz w:val="24"/>
          <w:szCs w:val="21"/>
          <w:highlight w:val="none"/>
          <w:lang w:val="en-US" w:eastAsia="zh-CN"/>
        </w:rPr>
        <w:t>15</w:t>
      </w:r>
      <w:r>
        <w:rPr>
          <w:rFonts w:hint="eastAsia"/>
          <w:color w:val="auto"/>
          <w:sz w:val="24"/>
          <w:szCs w:val="21"/>
          <w:highlight w:val="none"/>
          <w:lang w:eastAsia="zh-CN"/>
        </w:rPr>
        <w:t>日</w:t>
      </w:r>
      <w:r>
        <w:rPr>
          <w:rFonts w:hint="eastAsia"/>
          <w:color w:val="auto"/>
          <w:sz w:val="24"/>
          <w:szCs w:val="21"/>
          <w:highlight w:val="none"/>
          <w:lang w:val="en-US" w:eastAsia="zh-CN"/>
        </w:rPr>
        <w:t>09</w:t>
      </w:r>
      <w:r>
        <w:rPr>
          <w:rFonts w:hint="eastAsia"/>
          <w:color w:val="auto"/>
          <w:sz w:val="24"/>
          <w:szCs w:val="21"/>
          <w:highlight w:val="none"/>
          <w:lang w:eastAsia="zh-CN"/>
        </w:rPr>
        <w:t>时00分</w:t>
      </w:r>
      <w:r>
        <w:rPr>
          <w:color w:val="auto"/>
          <w:sz w:val="24"/>
          <w:szCs w:val="21"/>
          <w:highlight w:val="none"/>
        </w:rPr>
        <w:t>（北京时间）</w:t>
      </w:r>
    </w:p>
    <w:p w14:paraId="148CB3E1">
      <w:pPr>
        <w:spacing w:line="520" w:lineRule="exact"/>
        <w:ind w:firstLine="480" w:firstLineChars="200"/>
        <w:rPr>
          <w:color w:val="auto"/>
          <w:sz w:val="24"/>
          <w:szCs w:val="21"/>
          <w:highlight w:val="none"/>
        </w:rPr>
      </w:pPr>
      <w:r>
        <w:rPr>
          <w:color w:val="auto"/>
          <w:sz w:val="24"/>
          <w:szCs w:val="21"/>
          <w:highlight w:val="none"/>
        </w:rPr>
        <w:t>2.地点：南阳市公共资源交易平台电子交易系统淅川(</w:t>
      </w:r>
      <w:r>
        <w:rPr>
          <w:rFonts w:hint="eastAsia"/>
          <w:color w:val="auto"/>
          <w:sz w:val="24"/>
          <w:szCs w:val="21"/>
          <w:highlight w:val="none"/>
          <w:lang w:eastAsia="zh-CN"/>
        </w:rPr>
        <w:t>http://ggzyjy.xichuan.gov.cn</w:t>
      </w:r>
      <w:r>
        <w:rPr>
          <w:color w:val="auto"/>
          <w:sz w:val="24"/>
          <w:szCs w:val="21"/>
          <w:highlight w:val="none"/>
        </w:rPr>
        <w:t>)</w:t>
      </w:r>
    </w:p>
    <w:p w14:paraId="6B9A56A4">
      <w:pPr>
        <w:spacing w:line="520" w:lineRule="exact"/>
        <w:ind w:firstLine="442" w:firstLineChars="200"/>
        <w:rPr>
          <w:b/>
          <w:bCs/>
          <w:color w:val="auto"/>
          <w:szCs w:val="21"/>
          <w:highlight w:val="none"/>
          <w:shd w:val="clear" w:color="auto" w:fill="FFFFFF"/>
        </w:rPr>
      </w:pPr>
      <w:r>
        <w:rPr>
          <w:rFonts w:hint="eastAsia"/>
          <w:b/>
          <w:bCs/>
          <w:color w:val="auto"/>
          <w:szCs w:val="21"/>
          <w:highlight w:val="none"/>
          <w:shd w:val="clear" w:color="auto" w:fill="FFFFFF"/>
        </w:rPr>
        <w:t>五、开标时间及地点</w:t>
      </w:r>
    </w:p>
    <w:p w14:paraId="47231692">
      <w:pPr>
        <w:spacing w:line="520" w:lineRule="exact"/>
        <w:ind w:firstLine="480" w:firstLineChars="200"/>
        <w:rPr>
          <w:color w:val="auto"/>
          <w:sz w:val="24"/>
          <w:szCs w:val="21"/>
          <w:highlight w:val="none"/>
        </w:rPr>
      </w:pPr>
      <w:r>
        <w:rPr>
          <w:color w:val="auto"/>
          <w:sz w:val="24"/>
          <w:szCs w:val="21"/>
          <w:highlight w:val="none"/>
        </w:rPr>
        <w:t>1.时间：</w:t>
      </w:r>
      <w:r>
        <w:rPr>
          <w:rFonts w:hint="eastAsia"/>
          <w:color w:val="auto"/>
          <w:sz w:val="24"/>
          <w:szCs w:val="21"/>
          <w:highlight w:val="none"/>
          <w:lang w:eastAsia="zh-CN"/>
        </w:rPr>
        <w:t>2025年</w:t>
      </w:r>
      <w:r>
        <w:rPr>
          <w:rFonts w:hint="eastAsia"/>
          <w:color w:val="auto"/>
          <w:sz w:val="24"/>
          <w:szCs w:val="21"/>
          <w:highlight w:val="none"/>
          <w:lang w:val="en-US" w:eastAsia="zh-CN"/>
        </w:rPr>
        <w:t>7</w:t>
      </w:r>
      <w:r>
        <w:rPr>
          <w:rFonts w:hint="eastAsia"/>
          <w:color w:val="auto"/>
          <w:sz w:val="24"/>
          <w:szCs w:val="21"/>
          <w:highlight w:val="none"/>
          <w:lang w:eastAsia="zh-CN"/>
        </w:rPr>
        <w:t>月</w:t>
      </w:r>
      <w:r>
        <w:rPr>
          <w:rFonts w:hint="eastAsia"/>
          <w:color w:val="auto"/>
          <w:sz w:val="24"/>
          <w:szCs w:val="21"/>
          <w:highlight w:val="none"/>
          <w:lang w:val="en-US" w:eastAsia="zh-CN"/>
        </w:rPr>
        <w:t>15</w:t>
      </w:r>
      <w:r>
        <w:rPr>
          <w:rFonts w:hint="eastAsia"/>
          <w:color w:val="auto"/>
          <w:sz w:val="24"/>
          <w:szCs w:val="21"/>
          <w:highlight w:val="none"/>
          <w:lang w:eastAsia="zh-CN"/>
        </w:rPr>
        <w:t>日09时00分</w:t>
      </w:r>
      <w:r>
        <w:rPr>
          <w:color w:val="auto"/>
          <w:sz w:val="24"/>
          <w:szCs w:val="21"/>
          <w:highlight w:val="none"/>
        </w:rPr>
        <w:t>（北京时间）</w:t>
      </w:r>
    </w:p>
    <w:p w14:paraId="72BADB83">
      <w:pPr>
        <w:spacing w:line="520" w:lineRule="exact"/>
        <w:ind w:firstLine="480" w:firstLineChars="200"/>
        <w:rPr>
          <w:color w:val="auto"/>
          <w:sz w:val="24"/>
          <w:szCs w:val="21"/>
          <w:highlight w:val="none"/>
        </w:rPr>
      </w:pPr>
      <w:r>
        <w:rPr>
          <w:color w:val="auto"/>
          <w:sz w:val="24"/>
          <w:szCs w:val="21"/>
          <w:highlight w:val="none"/>
        </w:rPr>
        <w:t>2.地点：该项目需要使用不见面开标，供应商无需前往现场来参与投标。各供应商根据手册要求，提前做好相关准备工作。附件：操作手册地址(下载专区中自行下载)、不见面开标大厅地址https://ggzyjy.nanyang.gov.cn/BidOpening/bidopeninghallaction/hall/login</w:t>
      </w:r>
    </w:p>
    <w:p w14:paraId="41FE3F44">
      <w:pPr>
        <w:pStyle w:val="4"/>
        <w:ind w:firstLine="0" w:firstLineChars="0"/>
        <w:rPr>
          <w:color w:val="auto"/>
          <w:sz w:val="10"/>
          <w:szCs w:val="10"/>
          <w:highlight w:val="none"/>
        </w:rPr>
      </w:pPr>
    </w:p>
    <w:p w14:paraId="3190E372">
      <w:pPr>
        <w:shd w:val="clear" w:color="auto" w:fill="FFFFFF"/>
        <w:wordWrap w:val="0"/>
        <w:spacing w:line="360" w:lineRule="auto"/>
        <w:jc w:val="both"/>
        <w:rPr>
          <w:b/>
          <w:bCs/>
          <w:color w:val="auto"/>
          <w:szCs w:val="21"/>
          <w:highlight w:val="none"/>
          <w:shd w:val="clear" w:color="auto" w:fill="FFFFFF"/>
        </w:rPr>
      </w:pPr>
      <w:r>
        <w:rPr>
          <w:rFonts w:hint="eastAsia"/>
          <w:b/>
          <w:bCs/>
          <w:color w:val="auto"/>
          <w:szCs w:val="21"/>
          <w:highlight w:val="none"/>
          <w:shd w:val="clear" w:color="auto" w:fill="FFFFFF"/>
        </w:rPr>
        <w:t>六、发布公告的媒介及招标公告期限：</w:t>
      </w:r>
    </w:p>
    <w:p w14:paraId="5C34A592">
      <w:pPr>
        <w:spacing w:line="520" w:lineRule="exact"/>
        <w:ind w:firstLine="480" w:firstLineChars="200"/>
        <w:rPr>
          <w:color w:val="auto"/>
          <w:sz w:val="24"/>
          <w:szCs w:val="21"/>
          <w:highlight w:val="none"/>
        </w:rPr>
      </w:pPr>
      <w:r>
        <w:rPr>
          <w:rFonts w:hint="eastAsia"/>
          <w:color w:val="auto"/>
          <w:sz w:val="24"/>
          <w:szCs w:val="21"/>
          <w:highlight w:val="none"/>
        </w:rPr>
        <w:t>本次招标公告同时在《中国招标投标公共服务平台》、《河南省政府采购网》、《淅川县公共资源交易中心》网站上发布。本项目公告期限为5个工作日。</w:t>
      </w:r>
    </w:p>
    <w:p w14:paraId="6CDD63C4">
      <w:pPr>
        <w:shd w:val="clear" w:color="auto" w:fill="FFFFFF"/>
        <w:wordWrap w:val="0"/>
        <w:spacing w:line="360" w:lineRule="auto"/>
        <w:jc w:val="both"/>
        <w:rPr>
          <w:b/>
          <w:bCs/>
          <w:color w:val="auto"/>
          <w:szCs w:val="21"/>
          <w:highlight w:val="none"/>
          <w:shd w:val="clear" w:color="auto" w:fill="FFFFFF"/>
        </w:rPr>
      </w:pPr>
      <w:r>
        <w:rPr>
          <w:rFonts w:hint="eastAsia"/>
          <w:b/>
          <w:bCs/>
          <w:color w:val="auto"/>
          <w:szCs w:val="21"/>
          <w:highlight w:val="none"/>
          <w:shd w:val="clear" w:color="auto" w:fill="FFFFFF"/>
        </w:rPr>
        <w:t>七、其他补充事宜：</w:t>
      </w:r>
    </w:p>
    <w:p w14:paraId="58CBABB7">
      <w:pPr>
        <w:pStyle w:val="10"/>
        <w:ind w:firstLine="480"/>
        <w:rPr>
          <w:rFonts w:ascii="宋体" w:hAnsi="宋体" w:eastAsia="宋体" w:cs="宋体"/>
          <w:b w:val="0"/>
          <w:color w:val="auto"/>
          <w:spacing w:val="0"/>
          <w:sz w:val="24"/>
          <w:szCs w:val="21"/>
          <w:highlight w:val="none"/>
          <w:lang w:val="zh-CN" w:bidi="zh-CN"/>
        </w:rPr>
      </w:pPr>
      <w:r>
        <w:rPr>
          <w:rFonts w:hint="eastAsia" w:ascii="宋体" w:hAnsi="宋体" w:eastAsia="宋体" w:cs="宋体"/>
          <w:b w:val="0"/>
          <w:color w:val="auto"/>
          <w:spacing w:val="0"/>
          <w:sz w:val="24"/>
          <w:szCs w:val="21"/>
          <w:highlight w:val="none"/>
          <w:lang w:val="zh-CN" w:bidi="zh-CN"/>
        </w:rPr>
        <w:t>1、企业诚信库注册</w:t>
      </w:r>
    </w:p>
    <w:p w14:paraId="0A547637">
      <w:pPr>
        <w:pStyle w:val="10"/>
        <w:ind w:firstLine="480"/>
        <w:rPr>
          <w:rFonts w:ascii="宋体" w:hAnsi="宋体" w:eastAsia="宋体" w:cs="宋体"/>
          <w:b w:val="0"/>
          <w:color w:val="auto"/>
          <w:spacing w:val="0"/>
          <w:sz w:val="24"/>
          <w:szCs w:val="21"/>
          <w:highlight w:val="none"/>
          <w:lang w:val="zh-CN" w:bidi="zh-CN"/>
        </w:rPr>
      </w:pPr>
      <w:r>
        <w:rPr>
          <w:rFonts w:hint="eastAsia" w:ascii="宋体" w:hAnsi="宋体" w:eastAsia="宋体" w:cs="宋体"/>
          <w:b w:val="0"/>
          <w:color w:val="auto"/>
          <w:spacing w:val="0"/>
          <w:sz w:val="24"/>
          <w:szCs w:val="21"/>
          <w:highlight w:val="none"/>
          <w:lang w:val="zh-CN" w:bidi="zh-CN"/>
        </w:rPr>
        <w:t>本项目只接受南阳市公共资源电子交易平台中已加入企业诚信库的企业投标,未入库的投标人请及时办理入库手续。入库办理请参见南阳市公共资源交易中心网站https://ggzyjy.nanyang.gov.cn下载专区《诚信库申报操作手册》，企业办理诚信库不收取任何费用，不需携带原件到南阳市公共资源交易中心进行审核。因未及时办理入库手续导致无法投标的,责任自负。</w:t>
      </w:r>
    </w:p>
    <w:p w14:paraId="093239EF">
      <w:pPr>
        <w:pStyle w:val="10"/>
        <w:ind w:firstLine="480"/>
        <w:rPr>
          <w:rFonts w:ascii="宋体" w:hAnsi="宋体" w:eastAsia="宋体" w:cs="宋体"/>
          <w:b w:val="0"/>
          <w:color w:val="auto"/>
          <w:spacing w:val="0"/>
          <w:sz w:val="24"/>
          <w:szCs w:val="21"/>
          <w:highlight w:val="none"/>
          <w:lang w:val="zh-CN" w:bidi="zh-CN"/>
        </w:rPr>
      </w:pPr>
      <w:r>
        <w:rPr>
          <w:rFonts w:hint="eastAsia" w:ascii="宋体" w:hAnsi="宋体" w:eastAsia="宋体" w:cs="宋体"/>
          <w:b w:val="0"/>
          <w:color w:val="auto"/>
          <w:spacing w:val="0"/>
          <w:sz w:val="24"/>
          <w:szCs w:val="21"/>
          <w:highlight w:val="none"/>
          <w:lang w:val="zh-CN" w:bidi="zh-CN"/>
        </w:rPr>
        <w:t>2、办理CA数字证书</w:t>
      </w:r>
    </w:p>
    <w:p w14:paraId="23CDA537">
      <w:pPr>
        <w:pStyle w:val="10"/>
        <w:ind w:firstLine="480"/>
        <w:rPr>
          <w:rFonts w:ascii="宋体" w:hAnsi="宋体" w:eastAsia="宋体" w:cs="宋体"/>
          <w:b w:val="0"/>
          <w:color w:val="auto"/>
          <w:spacing w:val="0"/>
          <w:sz w:val="24"/>
          <w:szCs w:val="21"/>
          <w:highlight w:val="none"/>
          <w:lang w:val="zh-CN" w:bidi="zh-CN"/>
        </w:rPr>
      </w:pPr>
      <w:r>
        <w:rPr>
          <w:rFonts w:hint="eastAsia" w:ascii="宋体" w:hAnsi="宋体" w:eastAsia="宋体" w:cs="宋体"/>
          <w:b w:val="0"/>
          <w:color w:val="auto"/>
          <w:spacing w:val="0"/>
          <w:sz w:val="24"/>
          <w:szCs w:val="21"/>
          <w:highlight w:val="none"/>
          <w:lang w:val="zh-CN" w:bidi="zh-CN"/>
        </w:rPr>
        <w:t>投标人完成企业诚信库注册后，必须办理CA数字证书方可在网上办理招投标相关业务。CA数字证书办理请参见南阳市公共资源交易中心网站下载专区《CA办理所需资料》。</w:t>
      </w:r>
    </w:p>
    <w:p w14:paraId="6D4981C8">
      <w:pPr>
        <w:spacing w:line="520" w:lineRule="exact"/>
        <w:ind w:firstLine="480" w:firstLineChars="200"/>
        <w:rPr>
          <w:color w:val="auto"/>
          <w:sz w:val="24"/>
          <w:szCs w:val="21"/>
          <w:highlight w:val="none"/>
        </w:rPr>
      </w:pPr>
      <w:r>
        <w:rPr>
          <w:rFonts w:hint="eastAsia"/>
          <w:color w:val="auto"/>
          <w:sz w:val="24"/>
          <w:szCs w:val="21"/>
          <w:highlight w:val="none"/>
        </w:rPr>
        <w:t>3、因投标人无需现场参与开标，所有准备工作需要自行到位。开标过程中如遇到紧急事项，可在不见面开标大厅中进行提出异议或文字交流，严重问题可拨打技术支持电话</w:t>
      </w:r>
      <w:r>
        <w:rPr>
          <w:rFonts w:hint="eastAsia"/>
          <w:color w:val="auto"/>
          <w:sz w:val="24"/>
          <w:szCs w:val="21"/>
          <w:highlight w:val="none"/>
          <w:lang w:eastAsia="zh-CN"/>
        </w:rPr>
        <w:t>0512-58188538</w:t>
      </w:r>
      <w:r>
        <w:rPr>
          <w:rFonts w:hint="eastAsia"/>
          <w:color w:val="auto"/>
          <w:sz w:val="24"/>
          <w:szCs w:val="21"/>
          <w:highlight w:val="none"/>
        </w:rPr>
        <w:t>。</w:t>
      </w:r>
    </w:p>
    <w:p w14:paraId="6FDDC56A">
      <w:pPr>
        <w:spacing w:line="520" w:lineRule="exact"/>
        <w:rPr>
          <w:color w:val="auto"/>
          <w:sz w:val="24"/>
          <w:szCs w:val="21"/>
          <w:highlight w:val="none"/>
        </w:rPr>
      </w:pPr>
      <w:r>
        <w:rPr>
          <w:rFonts w:hint="eastAsia"/>
          <w:color w:val="auto"/>
          <w:sz w:val="24"/>
          <w:szCs w:val="21"/>
          <w:highlight w:val="none"/>
        </w:rPr>
        <w:t>4、不见面开标过程中，各投标人应在解密指令发出后30分钟内完成投标文件的解密。如遇特殊情况，解密时间可延迟30分钟。</w:t>
      </w:r>
    </w:p>
    <w:p w14:paraId="16AD8880">
      <w:pPr>
        <w:spacing w:line="520" w:lineRule="exact"/>
        <w:rPr>
          <w:color w:val="auto"/>
          <w:sz w:val="24"/>
          <w:szCs w:val="21"/>
          <w:highlight w:val="none"/>
        </w:rPr>
      </w:pPr>
      <w:r>
        <w:rPr>
          <w:rFonts w:hint="eastAsia"/>
          <w:color w:val="auto"/>
          <w:sz w:val="24"/>
          <w:szCs w:val="21"/>
          <w:highlight w:val="none"/>
        </w:rPr>
        <w:t>5、本项目为电子评标项目，投标人须提供电子投标文件，电子投标文件需要使用投标文件制作工具制作，制作工具及操作手册可在南阳市公共资源交易中心网站“下载专区”中下载。</w:t>
      </w:r>
    </w:p>
    <w:p w14:paraId="6A27074A">
      <w:pPr>
        <w:spacing w:line="520" w:lineRule="exact"/>
        <w:rPr>
          <w:color w:val="auto"/>
          <w:sz w:val="24"/>
          <w:szCs w:val="21"/>
          <w:highlight w:val="none"/>
        </w:rPr>
      </w:pPr>
      <w:r>
        <w:rPr>
          <w:rFonts w:hint="eastAsia"/>
          <w:color w:val="auto"/>
          <w:sz w:val="24"/>
          <w:szCs w:val="21"/>
          <w:highlight w:val="none"/>
        </w:rPr>
        <w:t>6、请各潜在投标人在获取文件后及时关注网站更新信息，若因其他原因未能及时看到网上更新信息而造成的损失，采购人及采购代理机构将不负任何责任。</w:t>
      </w:r>
    </w:p>
    <w:p w14:paraId="7AFE30D3">
      <w:pPr>
        <w:spacing w:line="520" w:lineRule="exact"/>
        <w:ind w:firstLine="480" w:firstLineChars="200"/>
        <w:rPr>
          <w:rFonts w:hint="eastAsia" w:eastAsia="宋体"/>
          <w:color w:val="auto"/>
          <w:sz w:val="24"/>
          <w:szCs w:val="21"/>
          <w:highlight w:val="none"/>
          <w:lang w:eastAsia="zh-CN"/>
        </w:rPr>
      </w:pPr>
      <w:r>
        <w:rPr>
          <w:rFonts w:hint="eastAsia"/>
          <w:color w:val="auto"/>
          <w:sz w:val="24"/>
          <w:szCs w:val="21"/>
          <w:highlight w:val="none"/>
        </w:rPr>
        <w:t>电子交易系统技术支持电话：</w:t>
      </w:r>
      <w:r>
        <w:rPr>
          <w:rFonts w:hint="eastAsia"/>
          <w:color w:val="auto"/>
          <w:sz w:val="24"/>
          <w:szCs w:val="21"/>
          <w:highlight w:val="none"/>
          <w:lang w:eastAsia="zh-CN"/>
        </w:rPr>
        <w:t>0512-58188538</w:t>
      </w:r>
    </w:p>
    <w:p w14:paraId="158BF57B">
      <w:pPr>
        <w:spacing w:line="520" w:lineRule="exact"/>
        <w:rPr>
          <w:color w:val="auto"/>
          <w:sz w:val="24"/>
          <w:szCs w:val="21"/>
          <w:highlight w:val="none"/>
        </w:rPr>
      </w:pPr>
      <w:r>
        <w:rPr>
          <w:rFonts w:hint="eastAsia"/>
          <w:color w:val="auto"/>
          <w:sz w:val="24"/>
          <w:szCs w:val="21"/>
          <w:highlight w:val="none"/>
        </w:rPr>
        <w:t>CA数字证书技术电话：详见淅川县公共资源交易中心网站首页CA办理和咨询</w:t>
      </w:r>
    </w:p>
    <w:p w14:paraId="2CD8B9E9">
      <w:pPr>
        <w:spacing w:line="520" w:lineRule="exact"/>
        <w:ind w:firstLine="480" w:firstLineChars="200"/>
        <w:rPr>
          <w:color w:val="auto"/>
          <w:sz w:val="24"/>
          <w:szCs w:val="21"/>
          <w:highlight w:val="none"/>
        </w:rPr>
      </w:pPr>
      <w:r>
        <w:rPr>
          <w:rFonts w:hint="eastAsia"/>
          <w:color w:val="auto"/>
          <w:sz w:val="24"/>
          <w:szCs w:val="21"/>
          <w:highlight w:val="none"/>
        </w:rPr>
        <w:t>7、监督部门：淅川县财政局</w:t>
      </w:r>
    </w:p>
    <w:p w14:paraId="54CDAE4B">
      <w:pPr>
        <w:spacing w:line="520" w:lineRule="exact"/>
        <w:ind w:firstLine="480" w:firstLineChars="200"/>
        <w:rPr>
          <w:color w:val="auto"/>
          <w:sz w:val="24"/>
          <w:szCs w:val="21"/>
          <w:highlight w:val="none"/>
        </w:rPr>
      </w:pPr>
      <w:r>
        <w:rPr>
          <w:rFonts w:hint="eastAsia"/>
          <w:color w:val="auto"/>
          <w:sz w:val="24"/>
          <w:szCs w:val="21"/>
          <w:highlight w:val="none"/>
        </w:rPr>
        <w:t>监督部门代码：11411326006042033B</w:t>
      </w:r>
    </w:p>
    <w:p w14:paraId="71E7B119">
      <w:pPr>
        <w:spacing w:line="520" w:lineRule="exact"/>
        <w:ind w:firstLine="480" w:firstLineChars="200"/>
        <w:rPr>
          <w:color w:val="auto"/>
          <w:sz w:val="24"/>
          <w:szCs w:val="21"/>
          <w:highlight w:val="none"/>
        </w:rPr>
      </w:pPr>
      <w:r>
        <w:rPr>
          <w:rFonts w:hint="eastAsia"/>
          <w:color w:val="auto"/>
          <w:sz w:val="24"/>
          <w:szCs w:val="21"/>
          <w:highlight w:val="none"/>
        </w:rPr>
        <w:t>地址：淅川县金河镇</w:t>
      </w:r>
    </w:p>
    <w:p w14:paraId="6CA90423">
      <w:pPr>
        <w:spacing w:line="520" w:lineRule="exact"/>
        <w:ind w:firstLine="480" w:firstLineChars="200"/>
        <w:rPr>
          <w:color w:val="auto"/>
          <w:sz w:val="24"/>
          <w:szCs w:val="21"/>
          <w:highlight w:val="none"/>
        </w:rPr>
      </w:pPr>
      <w:r>
        <w:rPr>
          <w:rFonts w:hint="eastAsia"/>
          <w:color w:val="auto"/>
          <w:sz w:val="24"/>
          <w:szCs w:val="21"/>
          <w:highlight w:val="none"/>
        </w:rPr>
        <w:t>联系人：姚先生</w:t>
      </w:r>
    </w:p>
    <w:p w14:paraId="7079772A">
      <w:pPr>
        <w:spacing w:line="520" w:lineRule="exact"/>
        <w:ind w:firstLine="480" w:firstLineChars="200"/>
        <w:rPr>
          <w:color w:val="auto"/>
          <w:sz w:val="24"/>
          <w:szCs w:val="21"/>
          <w:highlight w:val="none"/>
        </w:rPr>
      </w:pPr>
      <w:r>
        <w:rPr>
          <w:rFonts w:hint="eastAsia"/>
          <w:color w:val="auto"/>
          <w:sz w:val="24"/>
          <w:szCs w:val="21"/>
          <w:highlight w:val="none"/>
        </w:rPr>
        <w:t>联系电话：0377-60668835</w:t>
      </w:r>
    </w:p>
    <w:p w14:paraId="15B2196B">
      <w:pPr>
        <w:shd w:val="clear" w:color="auto" w:fill="FFFFFF"/>
        <w:wordWrap w:val="0"/>
        <w:spacing w:line="360" w:lineRule="auto"/>
        <w:jc w:val="both"/>
        <w:rPr>
          <w:b/>
          <w:bCs/>
          <w:color w:val="auto"/>
          <w:szCs w:val="21"/>
          <w:highlight w:val="none"/>
          <w:shd w:val="clear" w:color="auto" w:fill="FFFFFF"/>
        </w:rPr>
      </w:pPr>
      <w:r>
        <w:rPr>
          <w:rFonts w:hint="eastAsia"/>
          <w:b/>
          <w:bCs/>
          <w:color w:val="auto"/>
          <w:szCs w:val="21"/>
          <w:highlight w:val="none"/>
          <w:shd w:val="clear" w:color="auto" w:fill="FFFFFF"/>
        </w:rPr>
        <w:t>八、凡对本次招标提出询问，请按照以下方式联系</w:t>
      </w:r>
    </w:p>
    <w:p w14:paraId="6C2AC9D9">
      <w:pPr>
        <w:spacing w:line="520" w:lineRule="exact"/>
        <w:ind w:firstLine="480" w:firstLineChars="200"/>
        <w:rPr>
          <w:color w:val="auto"/>
          <w:sz w:val="24"/>
          <w:szCs w:val="21"/>
          <w:highlight w:val="none"/>
        </w:rPr>
      </w:pPr>
      <w:r>
        <w:rPr>
          <w:rFonts w:hint="eastAsia"/>
          <w:color w:val="auto"/>
          <w:sz w:val="24"/>
          <w:szCs w:val="21"/>
          <w:highlight w:val="none"/>
        </w:rPr>
        <w:t>1.招标人信息</w:t>
      </w:r>
    </w:p>
    <w:p w14:paraId="08C9BCC1">
      <w:pPr>
        <w:spacing w:line="520" w:lineRule="exact"/>
        <w:ind w:firstLine="480" w:firstLineChars="200"/>
        <w:rPr>
          <w:rFonts w:hint="eastAsia" w:eastAsia="宋体"/>
          <w:color w:val="auto"/>
          <w:sz w:val="24"/>
          <w:szCs w:val="21"/>
          <w:highlight w:val="none"/>
          <w:lang w:eastAsia="zh-CN"/>
        </w:rPr>
      </w:pPr>
      <w:r>
        <w:rPr>
          <w:rFonts w:hint="eastAsia"/>
          <w:color w:val="auto"/>
          <w:sz w:val="24"/>
          <w:szCs w:val="21"/>
          <w:highlight w:val="none"/>
        </w:rPr>
        <w:t>名称：</w:t>
      </w:r>
      <w:r>
        <w:rPr>
          <w:rFonts w:hint="eastAsia"/>
          <w:color w:val="auto"/>
          <w:sz w:val="24"/>
          <w:szCs w:val="21"/>
          <w:highlight w:val="none"/>
          <w:lang w:eastAsia="zh-CN"/>
        </w:rPr>
        <w:t>淅川县上集镇人民政府</w:t>
      </w:r>
    </w:p>
    <w:p w14:paraId="7E140FF1">
      <w:pPr>
        <w:spacing w:line="520" w:lineRule="exact"/>
        <w:ind w:firstLine="480" w:firstLineChars="200"/>
        <w:rPr>
          <w:rFonts w:hint="eastAsia" w:eastAsia="宋体"/>
          <w:color w:val="auto"/>
          <w:sz w:val="24"/>
          <w:szCs w:val="21"/>
          <w:highlight w:val="none"/>
          <w:lang w:eastAsia="zh-CN"/>
        </w:rPr>
      </w:pPr>
      <w:r>
        <w:rPr>
          <w:rFonts w:hint="eastAsia"/>
          <w:color w:val="auto"/>
          <w:sz w:val="24"/>
          <w:szCs w:val="21"/>
          <w:highlight w:val="none"/>
        </w:rPr>
        <w:t>地址：河南省淅川县</w:t>
      </w:r>
      <w:r>
        <w:rPr>
          <w:rFonts w:hint="eastAsia"/>
          <w:color w:val="auto"/>
          <w:sz w:val="24"/>
          <w:szCs w:val="21"/>
          <w:highlight w:val="none"/>
          <w:lang w:val="en-US" w:eastAsia="zh-CN"/>
        </w:rPr>
        <w:t>上集镇</w:t>
      </w:r>
    </w:p>
    <w:p w14:paraId="0E1B3326">
      <w:pPr>
        <w:numPr>
          <w:ilvl w:val="0"/>
          <w:numId w:val="0"/>
        </w:numPr>
        <w:spacing w:line="520" w:lineRule="exact"/>
        <w:ind w:firstLine="480" w:firstLineChars="200"/>
        <w:rPr>
          <w:rFonts w:hint="eastAsia"/>
          <w:color w:val="auto"/>
          <w:sz w:val="24"/>
          <w:szCs w:val="21"/>
          <w:highlight w:val="none"/>
          <w:lang w:val="en-US" w:eastAsia="zh-CN"/>
        </w:rPr>
      </w:pPr>
      <w:r>
        <w:rPr>
          <w:rFonts w:hint="eastAsia"/>
          <w:color w:val="auto"/>
          <w:sz w:val="24"/>
          <w:szCs w:val="21"/>
          <w:highlight w:val="none"/>
          <w:lang w:val="en-US" w:eastAsia="zh-CN"/>
        </w:rPr>
        <w:t>联系人：吴先生</w:t>
      </w:r>
    </w:p>
    <w:p w14:paraId="1936E506">
      <w:pPr>
        <w:numPr>
          <w:ilvl w:val="0"/>
          <w:numId w:val="0"/>
        </w:numPr>
        <w:spacing w:line="520" w:lineRule="exact"/>
        <w:ind w:firstLine="480" w:firstLineChars="200"/>
        <w:rPr>
          <w:rFonts w:hint="eastAsia"/>
          <w:color w:val="auto"/>
          <w:sz w:val="24"/>
          <w:szCs w:val="21"/>
          <w:highlight w:val="none"/>
          <w:lang w:val="en-US" w:eastAsia="zh-CN"/>
        </w:rPr>
      </w:pPr>
      <w:r>
        <w:rPr>
          <w:rFonts w:hint="eastAsia"/>
          <w:color w:val="auto"/>
          <w:sz w:val="24"/>
          <w:szCs w:val="21"/>
          <w:highlight w:val="none"/>
          <w:lang w:val="en-US" w:eastAsia="zh-CN"/>
        </w:rPr>
        <w:t>电话：13838755526</w:t>
      </w:r>
    </w:p>
    <w:p w14:paraId="51B389CA">
      <w:pPr>
        <w:numPr>
          <w:ilvl w:val="0"/>
          <w:numId w:val="0"/>
        </w:numPr>
        <w:spacing w:line="520" w:lineRule="exact"/>
        <w:ind w:firstLine="480" w:firstLineChars="200"/>
        <w:rPr>
          <w:rFonts w:hint="eastAsia" w:eastAsia="宋体"/>
          <w:color w:val="auto"/>
          <w:sz w:val="24"/>
          <w:szCs w:val="21"/>
          <w:highlight w:val="none"/>
          <w:lang w:eastAsia="zh-CN"/>
        </w:rPr>
      </w:pPr>
      <w:r>
        <w:rPr>
          <w:rFonts w:hint="eastAsia"/>
          <w:color w:val="auto"/>
          <w:sz w:val="24"/>
          <w:szCs w:val="21"/>
          <w:highlight w:val="none"/>
        </w:rPr>
        <w:t>采购代理机构信息</w:t>
      </w:r>
    </w:p>
    <w:p w14:paraId="304B9081">
      <w:pPr>
        <w:numPr>
          <w:ilvl w:val="0"/>
          <w:numId w:val="0"/>
        </w:numPr>
        <w:spacing w:line="520" w:lineRule="exact"/>
        <w:ind w:firstLine="480" w:firstLineChars="200"/>
        <w:rPr>
          <w:rFonts w:hint="eastAsia" w:eastAsia="宋体"/>
          <w:color w:val="auto"/>
          <w:sz w:val="24"/>
          <w:szCs w:val="21"/>
          <w:highlight w:val="none"/>
          <w:lang w:eastAsia="zh-CN"/>
        </w:rPr>
      </w:pPr>
      <w:r>
        <w:rPr>
          <w:rFonts w:hint="eastAsia"/>
          <w:color w:val="auto"/>
          <w:sz w:val="24"/>
          <w:szCs w:val="21"/>
          <w:highlight w:val="none"/>
          <w:lang w:val="en-US"/>
        </w:rPr>
        <w:t>名称</w:t>
      </w:r>
      <w:r>
        <w:rPr>
          <w:rFonts w:hint="eastAsia"/>
          <w:color w:val="auto"/>
          <w:sz w:val="24"/>
          <w:szCs w:val="21"/>
          <w:highlight w:val="none"/>
        </w:rPr>
        <w:t>：</w:t>
      </w:r>
      <w:r>
        <w:rPr>
          <w:rFonts w:hint="eastAsia"/>
          <w:color w:val="auto"/>
          <w:sz w:val="24"/>
          <w:szCs w:val="21"/>
          <w:highlight w:val="none"/>
          <w:lang w:eastAsia="zh-CN"/>
        </w:rPr>
        <w:t>河南广智德信工程咨询管理有限公司</w:t>
      </w:r>
    </w:p>
    <w:p w14:paraId="41A8065C">
      <w:pPr>
        <w:spacing w:line="520" w:lineRule="exact"/>
        <w:ind w:firstLine="480" w:firstLineChars="200"/>
        <w:rPr>
          <w:rFonts w:hint="eastAsia" w:ascii="宋体" w:hAnsi="宋体"/>
          <w:kern w:val="0"/>
          <w:sz w:val="22"/>
          <w:szCs w:val="22"/>
          <w:lang w:val="en-US" w:eastAsia="zh-CN"/>
        </w:rPr>
      </w:pPr>
      <w:r>
        <w:rPr>
          <w:rFonts w:hint="eastAsia"/>
          <w:color w:val="auto"/>
          <w:sz w:val="24"/>
          <w:szCs w:val="21"/>
          <w:highlight w:val="none"/>
        </w:rPr>
        <w:t>地址：</w:t>
      </w:r>
      <w:bookmarkStart w:id="12" w:name="_GoBack"/>
      <w:r>
        <w:rPr>
          <w:rFonts w:hint="eastAsia" w:ascii="宋体" w:hAnsi="宋体"/>
          <w:kern w:val="0"/>
          <w:sz w:val="22"/>
          <w:szCs w:val="22"/>
          <w:lang w:val="en-US" w:eastAsia="zh-CN"/>
        </w:rPr>
        <w:t>南阳市建业凯旋广场17号楼513室</w:t>
      </w:r>
      <w:bookmarkEnd w:id="12"/>
    </w:p>
    <w:p w14:paraId="7B7BD632">
      <w:pPr>
        <w:spacing w:line="520" w:lineRule="exact"/>
        <w:ind w:firstLine="480" w:firstLineChars="200"/>
        <w:rPr>
          <w:rFonts w:hint="eastAsia" w:ascii="宋体" w:hAnsi="宋体"/>
          <w:kern w:val="0"/>
          <w:sz w:val="22"/>
          <w:szCs w:val="22"/>
          <w:lang w:val="en-US" w:eastAsia="zh-CN"/>
        </w:rPr>
      </w:pPr>
      <w:r>
        <w:rPr>
          <w:rFonts w:hint="eastAsia"/>
          <w:color w:val="auto"/>
          <w:sz w:val="24"/>
          <w:szCs w:val="21"/>
          <w:highlight w:val="none"/>
        </w:rPr>
        <w:t>联系人：</w:t>
      </w:r>
      <w:r>
        <w:rPr>
          <w:rFonts w:hint="eastAsia"/>
          <w:color w:val="auto"/>
          <w:sz w:val="24"/>
          <w:szCs w:val="21"/>
          <w:highlight w:val="none"/>
          <w:lang w:val="en-US" w:eastAsia="zh-CN"/>
        </w:rPr>
        <w:t xml:space="preserve">郑艺 </w:t>
      </w:r>
    </w:p>
    <w:p w14:paraId="7250E855">
      <w:pPr>
        <w:spacing w:line="520" w:lineRule="exact"/>
        <w:ind w:firstLine="480" w:firstLineChars="200"/>
        <w:rPr>
          <w:rFonts w:hint="default"/>
          <w:color w:val="auto"/>
          <w:sz w:val="24"/>
          <w:szCs w:val="21"/>
          <w:highlight w:val="none"/>
          <w:lang w:val="en-US"/>
        </w:rPr>
      </w:pPr>
      <w:r>
        <w:rPr>
          <w:rFonts w:hint="eastAsia"/>
          <w:color w:val="auto"/>
          <w:sz w:val="24"/>
          <w:szCs w:val="21"/>
          <w:highlight w:val="none"/>
        </w:rPr>
        <w:t>联系电话：</w:t>
      </w:r>
      <w:r>
        <w:rPr>
          <w:rFonts w:hint="eastAsia"/>
          <w:color w:val="auto"/>
          <w:sz w:val="24"/>
          <w:szCs w:val="21"/>
          <w:highlight w:val="none"/>
          <w:lang w:val="en-US" w:eastAsia="zh-CN"/>
        </w:rPr>
        <w:t>15637721986</w:t>
      </w:r>
    </w:p>
    <w:p w14:paraId="7DFC2B1E">
      <w:pPr>
        <w:spacing w:line="520" w:lineRule="exact"/>
        <w:ind w:firstLine="4800" w:firstLineChars="2000"/>
        <w:rPr>
          <w:rFonts w:hint="eastAsia" w:eastAsia="宋体"/>
          <w:color w:val="auto"/>
          <w:sz w:val="24"/>
          <w:szCs w:val="21"/>
          <w:highlight w:val="none"/>
          <w:lang w:eastAsia="zh-CN"/>
        </w:rPr>
      </w:pPr>
      <w:r>
        <w:rPr>
          <w:rFonts w:hint="eastAsia"/>
          <w:color w:val="auto"/>
          <w:sz w:val="24"/>
          <w:szCs w:val="21"/>
          <w:highlight w:val="none"/>
          <w:lang w:eastAsia="zh-CN"/>
        </w:rPr>
        <w:t>河南广智德信工程咨询管理有限公司</w:t>
      </w:r>
    </w:p>
    <w:p w14:paraId="21E7DEB8">
      <w:pPr>
        <w:spacing w:line="520" w:lineRule="exact"/>
        <w:ind w:firstLine="5520" w:firstLineChars="2300"/>
        <w:rPr>
          <w:rFonts w:hint="eastAsia"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2025年6</w:t>
      </w:r>
      <w:r>
        <w:rPr>
          <w:rFonts w:hint="eastAsia" w:ascii="宋体" w:hAnsi="宋体" w:eastAsia="宋体" w:cs="宋体"/>
          <w:color w:val="auto"/>
          <w:kern w:val="2"/>
          <w:sz w:val="24"/>
          <w:szCs w:val="24"/>
          <w:highlight w:val="none"/>
          <w:lang w:val="en-US" w:eastAsia="zh-CN" w:bidi="ar-SA"/>
        </w:rPr>
        <w:t>月</w:t>
      </w:r>
      <w:r>
        <w:rPr>
          <w:rFonts w:hint="eastAsia" w:cs="宋体"/>
          <w:color w:val="auto"/>
          <w:kern w:val="2"/>
          <w:sz w:val="24"/>
          <w:szCs w:val="24"/>
          <w:highlight w:val="none"/>
          <w:lang w:val="en-US" w:eastAsia="zh-CN" w:bidi="ar-SA"/>
        </w:rPr>
        <w:t>19</w:t>
      </w:r>
      <w:r>
        <w:rPr>
          <w:rFonts w:hint="eastAsia" w:ascii="宋体" w:hAnsi="宋体" w:eastAsia="宋体" w:cs="宋体"/>
          <w:color w:val="auto"/>
          <w:kern w:val="2"/>
          <w:sz w:val="24"/>
          <w:szCs w:val="24"/>
          <w:highlight w:val="none"/>
          <w:lang w:val="en-US" w:eastAsia="zh-CN" w:bidi="ar-SA"/>
        </w:rPr>
        <w:t>日</w:t>
      </w:r>
      <w:bookmarkEnd w:id="3"/>
      <w:bookmarkEnd w:id="4"/>
      <w:bookmarkEnd w:id="5"/>
      <w:bookmarkEnd w:id="6"/>
      <w:bookmarkStart w:id="7" w:name="_Toc33217860"/>
    </w:p>
    <w:p w14:paraId="40087B2D">
      <w:pPr>
        <w:rPr>
          <w:color w:val="auto"/>
          <w:sz w:val="28"/>
          <w:szCs w:val="28"/>
          <w:highlight w:val="none"/>
          <w:lang w:val="zh-CN"/>
        </w:rPr>
      </w:pPr>
      <w:r>
        <w:rPr>
          <w:color w:val="auto"/>
          <w:sz w:val="28"/>
          <w:szCs w:val="28"/>
          <w:highlight w:val="none"/>
          <w:lang w:val="zh-CN" w:bidi="zh-CN"/>
        </w:rPr>
        <w:br w:type="page"/>
      </w:r>
    </w:p>
    <w:p w14:paraId="0D98C2F7">
      <w:pPr>
        <w:rPr>
          <w:color w:val="auto"/>
          <w:highlight w:val="none"/>
        </w:rPr>
      </w:pPr>
    </w:p>
    <w:p w14:paraId="3ED3B72F">
      <w:pPr>
        <w:pStyle w:val="2"/>
        <w:keepNext/>
        <w:keepLines/>
        <w:numPr>
          <w:ilvl w:val="0"/>
          <w:numId w:val="1"/>
        </w:numPr>
        <w:autoSpaceDE/>
        <w:autoSpaceDN/>
        <w:snapToGrid w:val="0"/>
        <w:spacing w:before="0"/>
        <w:ind w:left="0"/>
        <w:jc w:val="center"/>
        <w:rPr>
          <w:rFonts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t>采购需求</w:t>
      </w:r>
    </w:p>
    <w:p w14:paraId="70BDD23C">
      <w:pPr>
        <w:pStyle w:val="18"/>
        <w:numPr>
          <w:ilvl w:val="0"/>
          <w:numId w:val="2"/>
        </w:numPr>
        <w:spacing w:line="520" w:lineRule="exact"/>
        <w:ind w:left="0" w:leftChars="0" w:firstLine="0" w:firstLineChars="0"/>
        <w:rPr>
          <w:rFonts w:hint="eastAsia" w:asciiTheme="minorEastAsia" w:hAnsiTheme="minorEastAsia" w:eastAsiaTheme="minorEastAsia" w:cstheme="minorEastAsia"/>
          <w:color w:val="auto"/>
          <w:spacing w:val="-1"/>
          <w:sz w:val="24"/>
          <w:szCs w:val="24"/>
          <w:highlight w:val="none"/>
          <w:lang w:eastAsia="zh-CN"/>
        </w:rPr>
      </w:pPr>
      <w:r>
        <w:rPr>
          <w:rFonts w:hint="eastAsia" w:ascii="Times New Roman" w:hAnsi="Times New Roman" w:cs="宋体" w:eastAsiaTheme="minorEastAsia"/>
          <w:b w:val="0"/>
          <w:bCs/>
          <w:color w:val="auto"/>
          <w:spacing w:val="24"/>
          <w:sz w:val="24"/>
          <w:szCs w:val="24"/>
          <w:highlight w:val="none"/>
          <w:lang w:val="en-US" w:eastAsia="zh-CN" w:bidi="ar-SA"/>
        </w:rPr>
        <w:t>设备采购</w:t>
      </w:r>
      <w:r>
        <w:rPr>
          <w:rFonts w:hint="eastAsia" w:asciiTheme="minorEastAsia" w:hAnsiTheme="minorEastAsia" w:eastAsiaTheme="minorEastAsia" w:cstheme="minorEastAsia"/>
          <w:color w:val="auto"/>
          <w:spacing w:val="-1"/>
          <w:sz w:val="24"/>
          <w:szCs w:val="24"/>
          <w:highlight w:val="none"/>
        </w:rPr>
        <w:t>招标内容及要求</w:t>
      </w:r>
      <w:r>
        <w:rPr>
          <w:rFonts w:hint="eastAsia" w:asciiTheme="minorEastAsia" w:hAnsiTheme="minorEastAsia" w:eastAsiaTheme="minorEastAsia" w:cstheme="minorEastAsia"/>
          <w:color w:val="auto"/>
          <w:spacing w:val="-1"/>
          <w:sz w:val="24"/>
          <w:szCs w:val="24"/>
          <w:highlight w:val="none"/>
          <w:lang w:eastAsia="zh-CN"/>
        </w:rPr>
        <w:t>：</w:t>
      </w:r>
    </w:p>
    <w:p w14:paraId="01AFCDD3">
      <w:pPr>
        <w:pStyle w:val="18"/>
        <w:numPr>
          <w:ilvl w:val="0"/>
          <w:numId w:val="0"/>
        </w:numPr>
        <w:spacing w:line="520" w:lineRule="exact"/>
        <w:ind w:leftChars="0"/>
        <w:rPr>
          <w:rFonts w:hint="eastAsia" w:asciiTheme="minorEastAsia" w:hAnsiTheme="minorEastAsia" w:eastAsiaTheme="minorEastAsia" w:cstheme="minorEastAsia"/>
          <w:color w:val="auto"/>
          <w:spacing w:val="-1"/>
          <w:sz w:val="24"/>
          <w:szCs w:val="24"/>
          <w:highlight w:val="none"/>
          <w:lang w:eastAsia="zh-CN"/>
        </w:rPr>
      </w:pPr>
    </w:p>
    <w:p w14:paraId="77EDE227">
      <w:pPr>
        <w:rPr>
          <w:rFonts w:hAnsi="宋体" w:cs="宋体"/>
          <w:color w:val="auto"/>
          <w:kern w:val="2"/>
          <w:sz w:val="21"/>
          <w:szCs w:val="21"/>
          <w:highlight w:val="none"/>
        </w:rPr>
      </w:pPr>
    </w:p>
    <w:tbl>
      <w:tblPr>
        <w:tblStyle w:val="12"/>
        <w:tblpPr w:leftFromText="180" w:rightFromText="180" w:vertAnchor="text" w:horzAnchor="page" w:tblpXSpec="center" w:tblpY="336"/>
        <w:tblOverlap w:val="never"/>
        <w:tblW w:w="35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46"/>
        <w:gridCol w:w="3520"/>
        <w:gridCol w:w="1475"/>
        <w:gridCol w:w="1463"/>
      </w:tblGrid>
      <w:tr w14:paraId="37314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37" w:hRule="atLeast"/>
          <w:jc w:val="center"/>
        </w:trPr>
        <w:tc>
          <w:tcPr>
            <w:tcW w:w="517" w:type="pct"/>
            <w:shd w:val="clear" w:color="auto" w:fill="auto"/>
            <w:vAlign w:val="center"/>
          </w:tcPr>
          <w:p w14:paraId="0162778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2443" w:type="pct"/>
            <w:shd w:val="clear" w:color="auto" w:fill="auto"/>
            <w:vAlign w:val="center"/>
          </w:tcPr>
          <w:p w14:paraId="7F39FD7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产品名称</w:t>
            </w:r>
          </w:p>
        </w:tc>
        <w:tc>
          <w:tcPr>
            <w:tcW w:w="1023" w:type="pct"/>
            <w:shd w:val="clear" w:color="auto" w:fill="auto"/>
            <w:vAlign w:val="center"/>
          </w:tcPr>
          <w:p w14:paraId="2E73970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单位</w:t>
            </w:r>
          </w:p>
        </w:tc>
        <w:tc>
          <w:tcPr>
            <w:tcW w:w="1015" w:type="pct"/>
            <w:shd w:val="clear" w:color="auto" w:fill="auto"/>
            <w:vAlign w:val="center"/>
          </w:tcPr>
          <w:p w14:paraId="7B258A1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数量</w:t>
            </w:r>
          </w:p>
        </w:tc>
      </w:tr>
      <w:tr w14:paraId="47044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10" w:hRule="atLeast"/>
          <w:jc w:val="center"/>
        </w:trPr>
        <w:tc>
          <w:tcPr>
            <w:tcW w:w="517" w:type="pct"/>
            <w:shd w:val="clear" w:color="auto" w:fill="auto"/>
            <w:vAlign w:val="center"/>
          </w:tcPr>
          <w:p w14:paraId="20EA82E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443" w:type="pct"/>
            <w:shd w:val="clear" w:color="auto" w:fill="auto"/>
            <w:vAlign w:val="center"/>
          </w:tcPr>
          <w:p w14:paraId="0B4D81F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50装载机</w:t>
            </w:r>
          </w:p>
        </w:tc>
        <w:tc>
          <w:tcPr>
            <w:tcW w:w="1023" w:type="pct"/>
            <w:shd w:val="clear" w:color="auto" w:fill="auto"/>
            <w:noWrap/>
            <w:vAlign w:val="center"/>
          </w:tcPr>
          <w:p w14:paraId="1BE495D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辆</w:t>
            </w:r>
          </w:p>
        </w:tc>
        <w:tc>
          <w:tcPr>
            <w:tcW w:w="1015" w:type="pct"/>
            <w:shd w:val="clear" w:color="auto" w:fill="auto"/>
            <w:noWrap/>
            <w:vAlign w:val="center"/>
          </w:tcPr>
          <w:p w14:paraId="3EAF3B2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14:paraId="5F5CC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23" w:hRule="atLeast"/>
          <w:jc w:val="center"/>
        </w:trPr>
        <w:tc>
          <w:tcPr>
            <w:tcW w:w="517" w:type="pct"/>
            <w:shd w:val="clear" w:color="auto" w:fill="auto"/>
            <w:vAlign w:val="center"/>
          </w:tcPr>
          <w:p w14:paraId="37F0234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2443" w:type="pct"/>
            <w:shd w:val="clear" w:color="auto" w:fill="auto"/>
            <w:vAlign w:val="center"/>
          </w:tcPr>
          <w:p w14:paraId="7D4E5C6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3.5吨叉车</w:t>
            </w:r>
          </w:p>
        </w:tc>
        <w:tc>
          <w:tcPr>
            <w:tcW w:w="1023" w:type="pct"/>
            <w:shd w:val="clear" w:color="auto" w:fill="auto"/>
            <w:noWrap/>
            <w:vAlign w:val="center"/>
          </w:tcPr>
          <w:p w14:paraId="1963E92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辆</w:t>
            </w:r>
          </w:p>
        </w:tc>
        <w:tc>
          <w:tcPr>
            <w:tcW w:w="1015" w:type="pct"/>
            <w:shd w:val="clear" w:color="auto" w:fill="auto"/>
            <w:noWrap/>
            <w:vAlign w:val="center"/>
          </w:tcPr>
          <w:p w14:paraId="5662E5E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bl>
    <w:p w14:paraId="6ECE4C7C">
      <w:pPr>
        <w:rPr>
          <w:rFonts w:hAnsi="宋体" w:cs="宋体"/>
          <w:color w:val="auto"/>
          <w:kern w:val="2"/>
          <w:sz w:val="21"/>
          <w:szCs w:val="21"/>
          <w:highlight w:val="none"/>
        </w:rPr>
      </w:pPr>
    </w:p>
    <w:p w14:paraId="1430FBD9">
      <w:pPr>
        <w:rPr>
          <w:rFonts w:hint="eastAsia" w:hAnsi="宋体" w:cs="宋体"/>
          <w:color w:val="auto"/>
          <w:kern w:val="2"/>
          <w:sz w:val="21"/>
          <w:szCs w:val="21"/>
          <w:highlight w:val="none"/>
        </w:rPr>
      </w:pPr>
      <w:r>
        <w:rPr>
          <w:rFonts w:hint="eastAsia" w:hAnsi="宋体" w:cs="宋体"/>
          <w:color w:val="auto"/>
          <w:kern w:val="2"/>
          <w:sz w:val="21"/>
          <w:szCs w:val="21"/>
          <w:highlight w:val="none"/>
        </w:rPr>
        <w:br w:type="page"/>
      </w:r>
    </w:p>
    <w:tbl>
      <w:tblPr>
        <w:tblStyle w:val="12"/>
        <w:tblW w:w="866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25"/>
        <w:gridCol w:w="696"/>
        <w:gridCol w:w="2346"/>
        <w:gridCol w:w="3753"/>
      </w:tblGrid>
      <w:tr w14:paraId="5491A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jc w:val="center"/>
        </w:trPr>
        <w:tc>
          <w:tcPr>
            <w:tcW w:w="8668" w:type="dxa"/>
            <w:gridSpan w:val="4"/>
            <w:tcBorders>
              <w:top w:val="nil"/>
              <w:left w:val="nil"/>
              <w:bottom w:val="nil"/>
              <w:right w:val="nil"/>
            </w:tcBorders>
            <w:shd w:val="clear" w:color="auto" w:fill="auto"/>
            <w:noWrap/>
            <w:vAlign w:val="center"/>
          </w:tcPr>
          <w:p w14:paraId="21908B71">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50装载机报价清单明细</w:t>
            </w:r>
          </w:p>
        </w:tc>
      </w:tr>
      <w:tr w14:paraId="6B0E9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525" w:type="dxa"/>
            <w:tcBorders>
              <w:top w:val="single" w:color="000000" w:sz="4" w:space="0"/>
              <w:left w:val="single" w:color="000000" w:sz="4" w:space="0"/>
              <w:bottom w:val="single" w:color="000000" w:sz="4" w:space="0"/>
              <w:right w:val="single" w:color="000000" w:sz="4" w:space="0"/>
            </w:tcBorders>
            <w:shd w:val="clear" w:color="auto" w:fill="auto"/>
            <w:vAlign w:val="top"/>
          </w:tcPr>
          <w:p w14:paraId="030B980C">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技术指标</w:t>
            </w:r>
          </w:p>
        </w:tc>
        <w:tc>
          <w:tcPr>
            <w:tcW w:w="23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215D6DC">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3753" w:type="dxa"/>
            <w:tcBorders>
              <w:top w:val="single" w:color="000000" w:sz="4" w:space="0"/>
              <w:left w:val="single" w:color="000000" w:sz="4" w:space="0"/>
              <w:bottom w:val="single" w:color="000000" w:sz="4" w:space="0"/>
              <w:right w:val="single" w:color="000000" w:sz="4" w:space="0"/>
            </w:tcBorders>
            <w:shd w:val="clear" w:color="auto" w:fill="auto"/>
            <w:vAlign w:val="top"/>
          </w:tcPr>
          <w:p w14:paraId="011F353B">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参数要求</w:t>
            </w:r>
          </w:p>
        </w:tc>
      </w:tr>
      <w:tr w14:paraId="323C5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525" w:type="dxa"/>
            <w:tcBorders>
              <w:top w:val="single" w:color="000000" w:sz="4" w:space="0"/>
              <w:left w:val="single" w:color="000000" w:sz="4" w:space="0"/>
              <w:bottom w:val="single" w:color="000000" w:sz="4" w:space="0"/>
              <w:right w:val="single" w:color="000000" w:sz="4" w:space="0"/>
            </w:tcBorders>
            <w:shd w:val="clear" w:color="auto" w:fill="auto"/>
            <w:vAlign w:val="top"/>
          </w:tcPr>
          <w:p w14:paraId="79908061">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车型</w:t>
            </w:r>
          </w:p>
        </w:tc>
        <w:tc>
          <w:tcPr>
            <w:tcW w:w="23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A05AEEA">
            <w:pPr>
              <w:jc w:val="center"/>
              <w:rPr>
                <w:rFonts w:hint="eastAsia" w:ascii="宋体" w:hAnsi="宋体" w:eastAsia="宋体" w:cs="宋体"/>
                <w:i w:val="0"/>
                <w:iCs w:val="0"/>
                <w:color w:val="000000"/>
                <w:sz w:val="24"/>
                <w:szCs w:val="24"/>
                <w:u w:val="none"/>
              </w:rPr>
            </w:pPr>
          </w:p>
        </w:tc>
        <w:tc>
          <w:tcPr>
            <w:tcW w:w="3753" w:type="dxa"/>
            <w:tcBorders>
              <w:top w:val="single" w:color="000000" w:sz="4" w:space="0"/>
              <w:left w:val="single" w:color="000000" w:sz="4" w:space="0"/>
              <w:bottom w:val="single" w:color="000000" w:sz="4" w:space="0"/>
              <w:right w:val="single" w:color="000000" w:sz="4" w:space="0"/>
            </w:tcBorders>
            <w:shd w:val="clear" w:color="auto" w:fill="auto"/>
            <w:vAlign w:val="top"/>
          </w:tcPr>
          <w:p w14:paraId="5C720311">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50装载机</w:t>
            </w:r>
          </w:p>
        </w:tc>
      </w:tr>
      <w:tr w14:paraId="17230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jc w:val="center"/>
        </w:trPr>
        <w:tc>
          <w:tcPr>
            <w:tcW w:w="2525" w:type="dxa"/>
            <w:tcBorders>
              <w:top w:val="single" w:color="000000" w:sz="4" w:space="0"/>
              <w:left w:val="single" w:color="000000" w:sz="4" w:space="0"/>
              <w:bottom w:val="single" w:color="000000" w:sz="4" w:space="0"/>
              <w:right w:val="single" w:color="000000" w:sz="4" w:space="0"/>
            </w:tcBorders>
            <w:shd w:val="clear" w:color="auto" w:fill="auto"/>
            <w:vAlign w:val="top"/>
          </w:tcPr>
          <w:p w14:paraId="36BACDED">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额定斗容量</w:t>
            </w:r>
          </w:p>
        </w:tc>
        <w:tc>
          <w:tcPr>
            <w:tcW w:w="23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79EC814">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Style w:val="23"/>
                <w:lang w:val="en-US" w:eastAsia="zh-CN" w:bidi="ar"/>
              </w:rPr>
              <w:t>m</w:t>
            </w:r>
            <w:r>
              <w:rPr>
                <w:rStyle w:val="24"/>
                <w:lang w:val="en-US" w:eastAsia="zh-CN" w:bidi="ar"/>
              </w:rPr>
              <w:t>3</w:t>
            </w:r>
          </w:p>
        </w:tc>
        <w:tc>
          <w:tcPr>
            <w:tcW w:w="3753" w:type="dxa"/>
            <w:tcBorders>
              <w:top w:val="single" w:color="000000" w:sz="4" w:space="0"/>
              <w:left w:val="single" w:color="000000" w:sz="4" w:space="0"/>
              <w:bottom w:val="single" w:color="000000" w:sz="4" w:space="0"/>
              <w:right w:val="single" w:color="000000" w:sz="4" w:space="0"/>
            </w:tcBorders>
            <w:shd w:val="clear" w:color="auto" w:fill="auto"/>
            <w:vAlign w:val="top"/>
          </w:tcPr>
          <w:p w14:paraId="7F28C628">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r>
      <w:tr w14:paraId="367FC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525" w:type="dxa"/>
            <w:tcBorders>
              <w:top w:val="single" w:color="000000" w:sz="4" w:space="0"/>
              <w:left w:val="single" w:color="000000" w:sz="4" w:space="0"/>
              <w:bottom w:val="single" w:color="000000" w:sz="4" w:space="0"/>
              <w:right w:val="single" w:color="000000" w:sz="4" w:space="0"/>
            </w:tcBorders>
            <w:shd w:val="clear" w:color="auto" w:fill="auto"/>
            <w:vAlign w:val="top"/>
          </w:tcPr>
          <w:p w14:paraId="18CB5AED">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额定载重量</w:t>
            </w:r>
          </w:p>
        </w:tc>
        <w:tc>
          <w:tcPr>
            <w:tcW w:w="23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8C28B67">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3753" w:type="dxa"/>
            <w:tcBorders>
              <w:top w:val="single" w:color="000000" w:sz="4" w:space="0"/>
              <w:left w:val="single" w:color="000000" w:sz="4" w:space="0"/>
              <w:bottom w:val="single" w:color="000000" w:sz="4" w:space="0"/>
              <w:right w:val="single" w:color="000000" w:sz="4" w:space="0"/>
            </w:tcBorders>
            <w:shd w:val="clear" w:color="auto" w:fill="auto"/>
            <w:vAlign w:val="top"/>
          </w:tcPr>
          <w:p w14:paraId="67C922A9">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5000</w:t>
            </w:r>
          </w:p>
        </w:tc>
      </w:tr>
      <w:tr w14:paraId="340A3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525" w:type="dxa"/>
            <w:tcBorders>
              <w:top w:val="single" w:color="000000" w:sz="4" w:space="0"/>
              <w:left w:val="single" w:color="000000" w:sz="4" w:space="0"/>
              <w:bottom w:val="single" w:color="000000" w:sz="4" w:space="0"/>
              <w:right w:val="single" w:color="000000" w:sz="4" w:space="0"/>
            </w:tcBorders>
            <w:shd w:val="clear" w:color="auto" w:fill="auto"/>
            <w:vAlign w:val="top"/>
          </w:tcPr>
          <w:p w14:paraId="500C2A35">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传动系统形式</w:t>
            </w:r>
          </w:p>
        </w:tc>
        <w:tc>
          <w:tcPr>
            <w:tcW w:w="23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C19F23D">
            <w:pPr>
              <w:jc w:val="center"/>
              <w:rPr>
                <w:rFonts w:hint="eastAsia" w:ascii="宋体" w:hAnsi="宋体" w:eastAsia="宋体" w:cs="宋体"/>
                <w:i w:val="0"/>
                <w:iCs w:val="0"/>
                <w:color w:val="000000"/>
                <w:sz w:val="24"/>
                <w:szCs w:val="24"/>
                <w:u w:val="none"/>
              </w:rPr>
            </w:pPr>
          </w:p>
        </w:tc>
        <w:tc>
          <w:tcPr>
            <w:tcW w:w="3753" w:type="dxa"/>
            <w:tcBorders>
              <w:top w:val="single" w:color="000000" w:sz="4" w:space="0"/>
              <w:left w:val="single" w:color="000000" w:sz="4" w:space="0"/>
              <w:bottom w:val="single" w:color="000000" w:sz="4" w:space="0"/>
              <w:right w:val="single" w:color="000000" w:sz="4" w:space="0"/>
            </w:tcBorders>
            <w:shd w:val="clear" w:color="auto" w:fill="auto"/>
            <w:vAlign w:val="top"/>
          </w:tcPr>
          <w:p w14:paraId="3A4EBD7C">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全液压</w:t>
            </w:r>
          </w:p>
        </w:tc>
      </w:tr>
      <w:tr w14:paraId="0654F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525" w:type="dxa"/>
            <w:tcBorders>
              <w:top w:val="single" w:color="000000" w:sz="4" w:space="0"/>
              <w:left w:val="single" w:color="000000" w:sz="4" w:space="0"/>
              <w:bottom w:val="single" w:color="000000" w:sz="4" w:space="0"/>
              <w:right w:val="single" w:color="000000" w:sz="4" w:space="0"/>
            </w:tcBorders>
            <w:shd w:val="clear" w:color="auto" w:fill="auto"/>
            <w:vAlign w:val="top"/>
          </w:tcPr>
          <w:p w14:paraId="4DC821B1">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卸载高度</w:t>
            </w:r>
          </w:p>
        </w:tc>
        <w:tc>
          <w:tcPr>
            <w:tcW w:w="23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D472CD0">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mm</w:t>
            </w:r>
          </w:p>
        </w:tc>
        <w:tc>
          <w:tcPr>
            <w:tcW w:w="3753" w:type="dxa"/>
            <w:tcBorders>
              <w:top w:val="single" w:color="000000" w:sz="4" w:space="0"/>
              <w:left w:val="single" w:color="000000" w:sz="4" w:space="0"/>
              <w:bottom w:val="single" w:color="000000" w:sz="4" w:space="0"/>
              <w:right w:val="single" w:color="000000" w:sz="4" w:space="0"/>
            </w:tcBorders>
            <w:shd w:val="clear" w:color="auto" w:fill="auto"/>
            <w:vAlign w:val="top"/>
          </w:tcPr>
          <w:p w14:paraId="19D149EA">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3460</w:t>
            </w:r>
          </w:p>
        </w:tc>
      </w:tr>
      <w:tr w14:paraId="6C98E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525" w:type="dxa"/>
            <w:tcBorders>
              <w:top w:val="single" w:color="000000" w:sz="4" w:space="0"/>
              <w:left w:val="single" w:color="000000" w:sz="4" w:space="0"/>
              <w:bottom w:val="single" w:color="000000" w:sz="4" w:space="0"/>
              <w:right w:val="single" w:color="000000" w:sz="4" w:space="0"/>
            </w:tcBorders>
            <w:shd w:val="clear" w:color="auto" w:fill="auto"/>
            <w:vAlign w:val="top"/>
          </w:tcPr>
          <w:p w14:paraId="2CDA7AC3">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轴距</w:t>
            </w:r>
          </w:p>
        </w:tc>
        <w:tc>
          <w:tcPr>
            <w:tcW w:w="23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18E08B4">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mm</w:t>
            </w:r>
          </w:p>
        </w:tc>
        <w:tc>
          <w:tcPr>
            <w:tcW w:w="3753" w:type="dxa"/>
            <w:tcBorders>
              <w:top w:val="single" w:color="000000" w:sz="4" w:space="0"/>
              <w:left w:val="single" w:color="000000" w:sz="4" w:space="0"/>
              <w:bottom w:val="single" w:color="000000" w:sz="4" w:space="0"/>
              <w:right w:val="single" w:color="000000" w:sz="4" w:space="0"/>
            </w:tcBorders>
            <w:shd w:val="clear" w:color="auto" w:fill="auto"/>
            <w:vAlign w:val="top"/>
          </w:tcPr>
          <w:p w14:paraId="62FA705E">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3070</w:t>
            </w:r>
          </w:p>
        </w:tc>
      </w:tr>
      <w:tr w14:paraId="4D2A5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525" w:type="dxa"/>
            <w:tcBorders>
              <w:top w:val="single" w:color="000000" w:sz="4" w:space="0"/>
              <w:left w:val="single" w:color="000000" w:sz="4" w:space="0"/>
              <w:bottom w:val="single" w:color="000000" w:sz="4" w:space="0"/>
              <w:right w:val="single" w:color="000000" w:sz="4" w:space="0"/>
            </w:tcBorders>
            <w:shd w:val="clear" w:color="auto" w:fill="auto"/>
            <w:vAlign w:val="top"/>
          </w:tcPr>
          <w:p w14:paraId="71AAB094">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轮距</w:t>
            </w:r>
          </w:p>
        </w:tc>
        <w:tc>
          <w:tcPr>
            <w:tcW w:w="23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E3E6E85">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mm</w:t>
            </w:r>
          </w:p>
        </w:tc>
        <w:tc>
          <w:tcPr>
            <w:tcW w:w="3753" w:type="dxa"/>
            <w:tcBorders>
              <w:top w:val="single" w:color="000000" w:sz="4" w:space="0"/>
              <w:left w:val="single" w:color="000000" w:sz="4" w:space="0"/>
              <w:bottom w:val="single" w:color="000000" w:sz="4" w:space="0"/>
              <w:right w:val="single" w:color="000000" w:sz="4" w:space="0"/>
            </w:tcBorders>
            <w:shd w:val="clear" w:color="auto" w:fill="auto"/>
            <w:vAlign w:val="top"/>
          </w:tcPr>
          <w:p w14:paraId="2B68FEA4">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2240</w:t>
            </w:r>
          </w:p>
        </w:tc>
      </w:tr>
      <w:tr w14:paraId="5EA89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525" w:type="dxa"/>
            <w:tcBorders>
              <w:top w:val="single" w:color="000000" w:sz="4" w:space="0"/>
              <w:left w:val="single" w:color="000000" w:sz="4" w:space="0"/>
              <w:bottom w:val="single" w:color="000000" w:sz="4" w:space="0"/>
              <w:right w:val="single" w:color="000000" w:sz="4" w:space="0"/>
            </w:tcBorders>
            <w:shd w:val="clear" w:color="auto" w:fill="auto"/>
            <w:vAlign w:val="top"/>
          </w:tcPr>
          <w:p w14:paraId="417EA656">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整机长度</w:t>
            </w:r>
          </w:p>
        </w:tc>
        <w:tc>
          <w:tcPr>
            <w:tcW w:w="23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BD85158">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mm</w:t>
            </w:r>
          </w:p>
        </w:tc>
        <w:tc>
          <w:tcPr>
            <w:tcW w:w="3753" w:type="dxa"/>
            <w:tcBorders>
              <w:top w:val="single" w:color="000000" w:sz="4" w:space="0"/>
              <w:left w:val="single" w:color="000000" w:sz="4" w:space="0"/>
              <w:bottom w:val="single" w:color="000000" w:sz="4" w:space="0"/>
              <w:right w:val="single" w:color="000000" w:sz="4" w:space="0"/>
            </w:tcBorders>
            <w:shd w:val="clear" w:color="auto" w:fill="auto"/>
            <w:vAlign w:val="top"/>
          </w:tcPr>
          <w:p w14:paraId="3AB85498">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8176</w:t>
            </w:r>
          </w:p>
        </w:tc>
      </w:tr>
      <w:tr w14:paraId="1B1C8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525" w:type="dxa"/>
            <w:tcBorders>
              <w:top w:val="single" w:color="000000" w:sz="4" w:space="0"/>
              <w:left w:val="single" w:color="000000" w:sz="4" w:space="0"/>
              <w:bottom w:val="single" w:color="000000" w:sz="4" w:space="0"/>
              <w:right w:val="single" w:color="000000" w:sz="4" w:space="0"/>
            </w:tcBorders>
            <w:shd w:val="clear" w:color="auto" w:fill="auto"/>
            <w:vAlign w:val="top"/>
          </w:tcPr>
          <w:p w14:paraId="23DAE735">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整机宽度</w:t>
            </w:r>
          </w:p>
        </w:tc>
        <w:tc>
          <w:tcPr>
            <w:tcW w:w="23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3F7655F">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mm</w:t>
            </w:r>
          </w:p>
        </w:tc>
        <w:tc>
          <w:tcPr>
            <w:tcW w:w="3753" w:type="dxa"/>
            <w:tcBorders>
              <w:top w:val="single" w:color="000000" w:sz="4" w:space="0"/>
              <w:left w:val="single" w:color="000000" w:sz="4" w:space="0"/>
              <w:bottom w:val="single" w:color="000000" w:sz="4" w:space="0"/>
              <w:right w:val="single" w:color="000000" w:sz="4" w:space="0"/>
            </w:tcBorders>
            <w:shd w:val="clear" w:color="auto" w:fill="auto"/>
            <w:vAlign w:val="top"/>
          </w:tcPr>
          <w:p w14:paraId="0DBCB620">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w:t>
            </w:r>
          </w:p>
        </w:tc>
      </w:tr>
      <w:tr w14:paraId="07B53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525" w:type="dxa"/>
            <w:tcBorders>
              <w:top w:val="single" w:color="000000" w:sz="4" w:space="0"/>
              <w:left w:val="single" w:color="000000" w:sz="4" w:space="0"/>
              <w:bottom w:val="single" w:color="000000" w:sz="4" w:space="0"/>
              <w:right w:val="single" w:color="000000" w:sz="4" w:space="0"/>
            </w:tcBorders>
            <w:shd w:val="clear" w:color="auto" w:fill="auto"/>
            <w:vAlign w:val="top"/>
          </w:tcPr>
          <w:p w14:paraId="77FF0F05">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整机高度</w:t>
            </w:r>
          </w:p>
        </w:tc>
        <w:tc>
          <w:tcPr>
            <w:tcW w:w="23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672E760">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mm</w:t>
            </w:r>
          </w:p>
        </w:tc>
        <w:tc>
          <w:tcPr>
            <w:tcW w:w="3753" w:type="dxa"/>
            <w:tcBorders>
              <w:top w:val="single" w:color="000000" w:sz="4" w:space="0"/>
              <w:left w:val="single" w:color="000000" w:sz="4" w:space="0"/>
              <w:bottom w:val="single" w:color="000000" w:sz="4" w:space="0"/>
              <w:right w:val="single" w:color="000000" w:sz="4" w:space="0"/>
            </w:tcBorders>
            <w:shd w:val="clear" w:color="auto" w:fill="auto"/>
            <w:vAlign w:val="top"/>
          </w:tcPr>
          <w:p w14:paraId="65059800">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3400</w:t>
            </w:r>
          </w:p>
        </w:tc>
      </w:tr>
      <w:tr w14:paraId="1A142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525" w:type="dxa"/>
            <w:tcBorders>
              <w:top w:val="single" w:color="000000" w:sz="4" w:space="0"/>
              <w:left w:val="single" w:color="000000" w:sz="4" w:space="0"/>
              <w:bottom w:val="single" w:color="000000" w:sz="4" w:space="0"/>
              <w:right w:val="single" w:color="000000" w:sz="4" w:space="0"/>
            </w:tcBorders>
            <w:shd w:val="clear" w:color="auto" w:fill="auto"/>
            <w:vAlign w:val="top"/>
          </w:tcPr>
          <w:p w14:paraId="513C1114">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牵引力</w:t>
            </w:r>
          </w:p>
        </w:tc>
        <w:tc>
          <w:tcPr>
            <w:tcW w:w="23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379327A">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kN</w:t>
            </w:r>
          </w:p>
        </w:tc>
        <w:tc>
          <w:tcPr>
            <w:tcW w:w="3753" w:type="dxa"/>
            <w:tcBorders>
              <w:top w:val="single" w:color="000000" w:sz="4" w:space="0"/>
              <w:left w:val="single" w:color="000000" w:sz="4" w:space="0"/>
              <w:bottom w:val="single" w:color="000000" w:sz="4" w:space="0"/>
              <w:right w:val="single" w:color="000000" w:sz="4" w:space="0"/>
            </w:tcBorders>
            <w:shd w:val="clear" w:color="auto" w:fill="auto"/>
            <w:vAlign w:val="top"/>
          </w:tcPr>
          <w:p w14:paraId="0FA75095">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160±5</w:t>
            </w:r>
          </w:p>
        </w:tc>
      </w:tr>
      <w:tr w14:paraId="5D670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525" w:type="dxa"/>
            <w:tcBorders>
              <w:top w:val="single" w:color="000000" w:sz="4" w:space="0"/>
              <w:left w:val="single" w:color="000000" w:sz="4" w:space="0"/>
              <w:bottom w:val="single" w:color="000000" w:sz="4" w:space="0"/>
              <w:right w:val="single" w:color="000000" w:sz="4" w:space="0"/>
            </w:tcBorders>
            <w:shd w:val="clear" w:color="auto" w:fill="auto"/>
            <w:vAlign w:val="top"/>
          </w:tcPr>
          <w:p w14:paraId="121D228B">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最大掘起力度</w:t>
            </w:r>
          </w:p>
        </w:tc>
        <w:tc>
          <w:tcPr>
            <w:tcW w:w="23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644B558">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kN</w:t>
            </w:r>
          </w:p>
        </w:tc>
        <w:tc>
          <w:tcPr>
            <w:tcW w:w="3753" w:type="dxa"/>
            <w:tcBorders>
              <w:top w:val="single" w:color="000000" w:sz="4" w:space="0"/>
              <w:left w:val="single" w:color="000000" w:sz="4" w:space="0"/>
              <w:bottom w:val="single" w:color="000000" w:sz="4" w:space="0"/>
              <w:right w:val="single" w:color="000000" w:sz="4" w:space="0"/>
            </w:tcBorders>
            <w:shd w:val="clear" w:color="auto" w:fill="auto"/>
            <w:vAlign w:val="top"/>
          </w:tcPr>
          <w:p w14:paraId="0BC834D5">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w:t>
            </w:r>
          </w:p>
        </w:tc>
      </w:tr>
      <w:tr w14:paraId="797FE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525" w:type="dxa"/>
            <w:tcBorders>
              <w:top w:val="single" w:color="000000" w:sz="4" w:space="0"/>
              <w:left w:val="single" w:color="000000" w:sz="4" w:space="0"/>
              <w:bottom w:val="single" w:color="000000" w:sz="4" w:space="0"/>
              <w:right w:val="single" w:color="000000" w:sz="4" w:space="0"/>
            </w:tcBorders>
            <w:shd w:val="clear" w:color="auto" w:fill="auto"/>
            <w:vAlign w:val="top"/>
          </w:tcPr>
          <w:p w14:paraId="6F98A263">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车体转角</w:t>
            </w:r>
          </w:p>
        </w:tc>
        <w:tc>
          <w:tcPr>
            <w:tcW w:w="23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67EBF61">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753" w:type="dxa"/>
            <w:tcBorders>
              <w:top w:val="single" w:color="000000" w:sz="4" w:space="0"/>
              <w:left w:val="single" w:color="000000" w:sz="4" w:space="0"/>
              <w:bottom w:val="single" w:color="000000" w:sz="4" w:space="0"/>
              <w:right w:val="single" w:color="000000" w:sz="4" w:space="0"/>
            </w:tcBorders>
            <w:shd w:val="clear" w:color="auto" w:fill="auto"/>
            <w:vAlign w:val="top"/>
          </w:tcPr>
          <w:p w14:paraId="239840F0">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r>
      <w:tr w14:paraId="364F1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525" w:type="dxa"/>
            <w:tcBorders>
              <w:top w:val="single" w:color="000000" w:sz="4" w:space="0"/>
              <w:left w:val="single" w:color="000000" w:sz="4" w:space="0"/>
              <w:bottom w:val="single" w:color="000000" w:sz="4" w:space="0"/>
              <w:right w:val="single" w:color="000000" w:sz="4" w:space="0"/>
            </w:tcBorders>
            <w:shd w:val="clear" w:color="auto" w:fill="auto"/>
            <w:vAlign w:val="top"/>
          </w:tcPr>
          <w:p w14:paraId="17CE9004">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最大爬坡度</w:t>
            </w:r>
          </w:p>
        </w:tc>
        <w:tc>
          <w:tcPr>
            <w:tcW w:w="23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92906E9">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753" w:type="dxa"/>
            <w:tcBorders>
              <w:top w:val="single" w:color="000000" w:sz="4" w:space="0"/>
              <w:left w:val="single" w:color="000000" w:sz="4" w:space="0"/>
              <w:bottom w:val="single" w:color="000000" w:sz="4" w:space="0"/>
              <w:right w:val="single" w:color="000000" w:sz="4" w:space="0"/>
            </w:tcBorders>
            <w:shd w:val="clear" w:color="auto" w:fill="auto"/>
            <w:vAlign w:val="top"/>
          </w:tcPr>
          <w:p w14:paraId="201F90EC">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r>
      <w:tr w14:paraId="0A25E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525" w:type="dxa"/>
            <w:tcBorders>
              <w:top w:val="single" w:color="000000" w:sz="4" w:space="0"/>
              <w:left w:val="single" w:color="000000" w:sz="4" w:space="0"/>
              <w:bottom w:val="single" w:color="000000" w:sz="4" w:space="0"/>
              <w:right w:val="single" w:color="000000" w:sz="4" w:space="0"/>
            </w:tcBorders>
            <w:shd w:val="clear" w:color="auto" w:fill="auto"/>
            <w:vAlign w:val="top"/>
          </w:tcPr>
          <w:p w14:paraId="62D9BE10">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排放标准</w:t>
            </w:r>
          </w:p>
        </w:tc>
        <w:tc>
          <w:tcPr>
            <w:tcW w:w="23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9414E18">
            <w:pPr>
              <w:jc w:val="center"/>
              <w:rPr>
                <w:rFonts w:hint="eastAsia" w:ascii="宋体" w:hAnsi="宋体" w:eastAsia="宋体" w:cs="宋体"/>
                <w:i w:val="0"/>
                <w:iCs w:val="0"/>
                <w:color w:val="000000"/>
                <w:sz w:val="24"/>
                <w:szCs w:val="24"/>
                <w:u w:val="none"/>
              </w:rPr>
            </w:pPr>
          </w:p>
        </w:tc>
        <w:tc>
          <w:tcPr>
            <w:tcW w:w="3753" w:type="dxa"/>
            <w:tcBorders>
              <w:top w:val="single" w:color="000000" w:sz="4" w:space="0"/>
              <w:left w:val="single" w:color="000000" w:sz="4" w:space="0"/>
              <w:bottom w:val="single" w:color="000000" w:sz="4" w:space="0"/>
              <w:right w:val="single" w:color="000000" w:sz="4" w:space="0"/>
            </w:tcBorders>
            <w:shd w:val="clear" w:color="auto" w:fill="auto"/>
            <w:vAlign w:val="top"/>
          </w:tcPr>
          <w:p w14:paraId="27DF10DD">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国四</w:t>
            </w:r>
          </w:p>
        </w:tc>
      </w:tr>
      <w:tr w14:paraId="50749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525" w:type="dxa"/>
            <w:tcBorders>
              <w:top w:val="single" w:color="000000" w:sz="4" w:space="0"/>
              <w:left w:val="single" w:color="000000" w:sz="4" w:space="0"/>
              <w:bottom w:val="single" w:color="000000" w:sz="4" w:space="0"/>
              <w:right w:val="single" w:color="000000" w:sz="4" w:space="0"/>
            </w:tcBorders>
            <w:shd w:val="clear" w:color="auto" w:fill="auto"/>
            <w:vAlign w:val="top"/>
          </w:tcPr>
          <w:p w14:paraId="756DE514">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燃油系统</w:t>
            </w:r>
          </w:p>
        </w:tc>
        <w:tc>
          <w:tcPr>
            <w:tcW w:w="23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C111845">
            <w:pPr>
              <w:jc w:val="center"/>
              <w:rPr>
                <w:rFonts w:hint="eastAsia" w:ascii="宋体" w:hAnsi="宋体" w:eastAsia="宋体" w:cs="宋体"/>
                <w:i w:val="0"/>
                <w:iCs w:val="0"/>
                <w:color w:val="000000"/>
                <w:sz w:val="24"/>
                <w:szCs w:val="24"/>
                <w:u w:val="none"/>
              </w:rPr>
            </w:pPr>
          </w:p>
        </w:tc>
        <w:tc>
          <w:tcPr>
            <w:tcW w:w="3753" w:type="dxa"/>
            <w:tcBorders>
              <w:top w:val="single" w:color="000000" w:sz="4" w:space="0"/>
              <w:left w:val="single" w:color="000000" w:sz="4" w:space="0"/>
              <w:bottom w:val="single" w:color="000000" w:sz="4" w:space="0"/>
              <w:right w:val="single" w:color="000000" w:sz="4" w:space="0"/>
            </w:tcBorders>
            <w:shd w:val="clear" w:color="auto" w:fill="auto"/>
            <w:vAlign w:val="top"/>
          </w:tcPr>
          <w:p w14:paraId="1A68F444">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GB20891-2014(国IV)</w:t>
            </w:r>
          </w:p>
        </w:tc>
      </w:tr>
      <w:tr w14:paraId="33C09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525" w:type="dxa"/>
            <w:tcBorders>
              <w:top w:val="single" w:color="000000" w:sz="4" w:space="0"/>
              <w:left w:val="single" w:color="000000" w:sz="4" w:space="0"/>
              <w:bottom w:val="single" w:color="000000" w:sz="4" w:space="0"/>
              <w:right w:val="single" w:color="000000" w:sz="4" w:space="0"/>
            </w:tcBorders>
            <w:shd w:val="clear" w:color="auto" w:fill="auto"/>
            <w:vAlign w:val="top"/>
          </w:tcPr>
          <w:p w14:paraId="4718C5C3">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三项和时间</w:t>
            </w:r>
          </w:p>
        </w:tc>
        <w:tc>
          <w:tcPr>
            <w:tcW w:w="23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FA0EB0D">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w:t>
            </w:r>
          </w:p>
        </w:tc>
        <w:tc>
          <w:tcPr>
            <w:tcW w:w="3753" w:type="dxa"/>
            <w:tcBorders>
              <w:top w:val="single" w:color="000000" w:sz="4" w:space="0"/>
              <w:left w:val="single" w:color="000000" w:sz="4" w:space="0"/>
              <w:bottom w:val="single" w:color="000000" w:sz="4" w:space="0"/>
              <w:right w:val="single" w:color="000000" w:sz="4" w:space="0"/>
            </w:tcBorders>
            <w:shd w:val="clear" w:color="auto" w:fill="auto"/>
            <w:vAlign w:val="top"/>
          </w:tcPr>
          <w:p w14:paraId="42093A3E">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r w14:paraId="00B2D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525" w:type="dxa"/>
            <w:tcBorders>
              <w:top w:val="single" w:color="000000" w:sz="4" w:space="0"/>
              <w:left w:val="single" w:color="000000" w:sz="4" w:space="0"/>
              <w:bottom w:val="single" w:color="000000" w:sz="4" w:space="0"/>
              <w:right w:val="single" w:color="000000" w:sz="4" w:space="0"/>
            </w:tcBorders>
            <w:shd w:val="clear" w:color="auto" w:fill="auto"/>
            <w:vAlign w:val="top"/>
          </w:tcPr>
          <w:p w14:paraId="209F1AC7">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发动机型号</w:t>
            </w:r>
          </w:p>
        </w:tc>
        <w:tc>
          <w:tcPr>
            <w:tcW w:w="23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84F7D2B">
            <w:pPr>
              <w:jc w:val="center"/>
              <w:rPr>
                <w:rFonts w:hint="eastAsia" w:ascii="宋体" w:hAnsi="宋体" w:eastAsia="宋体" w:cs="宋体"/>
                <w:i w:val="0"/>
                <w:iCs w:val="0"/>
                <w:color w:val="000000"/>
                <w:sz w:val="24"/>
                <w:szCs w:val="24"/>
                <w:u w:val="none"/>
              </w:rPr>
            </w:pPr>
          </w:p>
        </w:tc>
        <w:tc>
          <w:tcPr>
            <w:tcW w:w="3753" w:type="dxa"/>
            <w:tcBorders>
              <w:top w:val="single" w:color="000000" w:sz="4" w:space="0"/>
              <w:left w:val="single" w:color="000000" w:sz="4" w:space="0"/>
              <w:bottom w:val="single" w:color="000000" w:sz="4" w:space="0"/>
              <w:right w:val="single" w:color="000000" w:sz="4" w:space="0"/>
            </w:tcBorders>
            <w:shd w:val="clear" w:color="auto" w:fill="auto"/>
            <w:vAlign w:val="top"/>
          </w:tcPr>
          <w:p w14:paraId="60BDAE77">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WP10HG220E476</w:t>
            </w:r>
          </w:p>
        </w:tc>
      </w:tr>
      <w:tr w14:paraId="5C8A1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525" w:type="dxa"/>
            <w:tcBorders>
              <w:top w:val="single" w:color="000000" w:sz="4" w:space="0"/>
              <w:left w:val="single" w:color="000000" w:sz="4" w:space="0"/>
              <w:bottom w:val="single" w:color="000000" w:sz="4" w:space="0"/>
              <w:right w:val="single" w:color="000000" w:sz="4" w:space="0"/>
            </w:tcBorders>
            <w:shd w:val="clear" w:color="auto" w:fill="auto"/>
            <w:vAlign w:val="top"/>
          </w:tcPr>
          <w:p w14:paraId="2B7E4C5A">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额定功率</w:t>
            </w:r>
          </w:p>
        </w:tc>
        <w:tc>
          <w:tcPr>
            <w:tcW w:w="23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5B66C64">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kw</w:t>
            </w:r>
          </w:p>
        </w:tc>
        <w:tc>
          <w:tcPr>
            <w:tcW w:w="3753" w:type="dxa"/>
            <w:tcBorders>
              <w:top w:val="single" w:color="000000" w:sz="4" w:space="0"/>
              <w:left w:val="single" w:color="000000" w:sz="4" w:space="0"/>
              <w:bottom w:val="single" w:color="000000" w:sz="4" w:space="0"/>
              <w:right w:val="single" w:color="000000" w:sz="4" w:space="0"/>
            </w:tcBorders>
            <w:shd w:val="clear" w:color="auto" w:fill="auto"/>
            <w:vAlign w:val="top"/>
          </w:tcPr>
          <w:p w14:paraId="449299B3">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162/2200</w:t>
            </w:r>
          </w:p>
        </w:tc>
      </w:tr>
      <w:tr w14:paraId="491BD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A60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空气滤芯</w:t>
            </w:r>
          </w:p>
        </w:tc>
        <w:tc>
          <w:tcPr>
            <w:tcW w:w="23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5EF89BF">
            <w:pPr>
              <w:jc w:val="center"/>
              <w:rPr>
                <w:rFonts w:hint="eastAsia" w:ascii="宋体" w:hAnsi="宋体" w:eastAsia="宋体" w:cs="宋体"/>
                <w:i w:val="0"/>
                <w:iCs w:val="0"/>
                <w:color w:val="000000"/>
                <w:sz w:val="24"/>
                <w:szCs w:val="24"/>
                <w:u w:val="none"/>
              </w:rPr>
            </w:pPr>
          </w:p>
        </w:tc>
        <w:tc>
          <w:tcPr>
            <w:tcW w:w="3753" w:type="dxa"/>
            <w:tcBorders>
              <w:top w:val="single" w:color="000000" w:sz="4" w:space="0"/>
              <w:left w:val="single" w:color="000000" w:sz="4" w:space="0"/>
              <w:bottom w:val="single" w:color="000000" w:sz="4" w:space="0"/>
              <w:right w:val="single" w:color="000000" w:sz="4" w:space="0"/>
            </w:tcBorders>
            <w:shd w:val="clear" w:color="auto" w:fill="auto"/>
            <w:vAlign w:val="top"/>
          </w:tcPr>
          <w:p w14:paraId="4F994276">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沙尘空气滤芯</w:t>
            </w:r>
          </w:p>
        </w:tc>
      </w:tr>
      <w:tr w14:paraId="573BA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E87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行驶速度</w:t>
            </w:r>
          </w:p>
        </w:tc>
        <w:tc>
          <w:tcPr>
            <w:tcW w:w="23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DE214D6">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Km/h</w:t>
            </w:r>
          </w:p>
        </w:tc>
        <w:tc>
          <w:tcPr>
            <w:tcW w:w="3753" w:type="dxa"/>
            <w:tcBorders>
              <w:top w:val="single" w:color="000000" w:sz="4" w:space="0"/>
              <w:left w:val="single" w:color="000000" w:sz="4" w:space="0"/>
              <w:bottom w:val="single" w:color="000000" w:sz="4" w:space="0"/>
              <w:right w:val="single" w:color="000000" w:sz="4" w:space="0"/>
            </w:tcBorders>
            <w:shd w:val="clear" w:color="auto" w:fill="auto"/>
            <w:vAlign w:val="top"/>
          </w:tcPr>
          <w:p w14:paraId="71F7DE55">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r>
      <w:tr w14:paraId="33AC8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250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换挡方式</w:t>
            </w:r>
          </w:p>
        </w:tc>
        <w:tc>
          <w:tcPr>
            <w:tcW w:w="23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548FD87">
            <w:pPr>
              <w:jc w:val="center"/>
              <w:rPr>
                <w:rFonts w:hint="eastAsia" w:ascii="宋体" w:hAnsi="宋体" w:eastAsia="宋体" w:cs="宋体"/>
                <w:i w:val="0"/>
                <w:iCs w:val="0"/>
                <w:color w:val="000000"/>
                <w:sz w:val="24"/>
                <w:szCs w:val="24"/>
                <w:u w:val="none"/>
              </w:rPr>
            </w:pPr>
          </w:p>
        </w:tc>
        <w:tc>
          <w:tcPr>
            <w:tcW w:w="3753" w:type="dxa"/>
            <w:tcBorders>
              <w:top w:val="single" w:color="000000" w:sz="4" w:space="0"/>
              <w:left w:val="single" w:color="000000" w:sz="4" w:space="0"/>
              <w:bottom w:val="single" w:color="000000" w:sz="4" w:space="0"/>
              <w:right w:val="single" w:color="000000" w:sz="4" w:space="0"/>
            </w:tcBorders>
            <w:shd w:val="clear" w:color="auto" w:fill="auto"/>
            <w:vAlign w:val="top"/>
          </w:tcPr>
          <w:p w14:paraId="14CB505D">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定轴式动力换挡</w:t>
            </w:r>
          </w:p>
        </w:tc>
      </w:tr>
      <w:tr w14:paraId="7AF3B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4A5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行车制动型式</w:t>
            </w:r>
          </w:p>
        </w:tc>
        <w:tc>
          <w:tcPr>
            <w:tcW w:w="23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30CE8E3">
            <w:pPr>
              <w:jc w:val="center"/>
              <w:rPr>
                <w:rFonts w:hint="eastAsia" w:ascii="宋体" w:hAnsi="宋体" w:eastAsia="宋体" w:cs="宋体"/>
                <w:i w:val="0"/>
                <w:iCs w:val="0"/>
                <w:color w:val="000000"/>
                <w:sz w:val="24"/>
                <w:szCs w:val="24"/>
                <w:u w:val="none"/>
              </w:rPr>
            </w:pPr>
          </w:p>
        </w:tc>
        <w:tc>
          <w:tcPr>
            <w:tcW w:w="3753" w:type="dxa"/>
            <w:tcBorders>
              <w:top w:val="single" w:color="000000" w:sz="4" w:space="0"/>
              <w:left w:val="single" w:color="000000" w:sz="4" w:space="0"/>
              <w:bottom w:val="single" w:color="000000" w:sz="4" w:space="0"/>
              <w:right w:val="single" w:color="000000" w:sz="4" w:space="0"/>
            </w:tcBorders>
            <w:shd w:val="clear" w:color="auto" w:fill="auto"/>
            <w:vAlign w:val="top"/>
          </w:tcPr>
          <w:p w14:paraId="06B342C1">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气推油钳盘式四轮制动</w:t>
            </w:r>
          </w:p>
        </w:tc>
      </w:tr>
      <w:tr w14:paraId="174B8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CDA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驻车制动型式</w:t>
            </w:r>
          </w:p>
        </w:tc>
        <w:tc>
          <w:tcPr>
            <w:tcW w:w="23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F9B4C0B">
            <w:pPr>
              <w:jc w:val="center"/>
              <w:rPr>
                <w:rFonts w:hint="eastAsia" w:ascii="宋体" w:hAnsi="宋体" w:eastAsia="宋体" w:cs="宋体"/>
                <w:i w:val="0"/>
                <w:iCs w:val="0"/>
                <w:color w:val="000000"/>
                <w:sz w:val="24"/>
                <w:szCs w:val="24"/>
                <w:u w:val="none"/>
              </w:rPr>
            </w:pPr>
          </w:p>
        </w:tc>
        <w:tc>
          <w:tcPr>
            <w:tcW w:w="3753" w:type="dxa"/>
            <w:tcBorders>
              <w:top w:val="single" w:color="000000" w:sz="4" w:space="0"/>
              <w:left w:val="single" w:color="000000" w:sz="4" w:space="0"/>
              <w:bottom w:val="single" w:color="000000" w:sz="4" w:space="0"/>
              <w:right w:val="single" w:color="000000" w:sz="4" w:space="0"/>
            </w:tcBorders>
            <w:shd w:val="clear" w:color="auto" w:fill="auto"/>
            <w:vAlign w:val="top"/>
          </w:tcPr>
          <w:p w14:paraId="2147D444">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软轴钳盘式制动</w:t>
            </w:r>
          </w:p>
        </w:tc>
      </w:tr>
      <w:tr w14:paraId="503E9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B82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驾驶室</w:t>
            </w:r>
          </w:p>
        </w:tc>
        <w:tc>
          <w:tcPr>
            <w:tcW w:w="23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8C9A2A9">
            <w:pPr>
              <w:jc w:val="center"/>
              <w:rPr>
                <w:rFonts w:hint="eastAsia" w:ascii="宋体" w:hAnsi="宋体" w:eastAsia="宋体" w:cs="宋体"/>
                <w:i w:val="0"/>
                <w:iCs w:val="0"/>
                <w:color w:val="000000"/>
                <w:sz w:val="24"/>
                <w:szCs w:val="24"/>
                <w:u w:val="none"/>
              </w:rPr>
            </w:pPr>
          </w:p>
        </w:tc>
        <w:tc>
          <w:tcPr>
            <w:tcW w:w="3753" w:type="dxa"/>
            <w:tcBorders>
              <w:top w:val="single" w:color="000000" w:sz="4" w:space="0"/>
              <w:left w:val="single" w:color="000000" w:sz="4" w:space="0"/>
              <w:bottom w:val="single" w:color="000000" w:sz="4" w:space="0"/>
              <w:right w:val="single" w:color="000000" w:sz="4" w:space="0"/>
            </w:tcBorders>
            <w:shd w:val="clear" w:color="auto" w:fill="auto"/>
            <w:vAlign w:val="top"/>
          </w:tcPr>
          <w:p w14:paraId="62110929">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全封闭驾驶室</w:t>
            </w:r>
          </w:p>
        </w:tc>
      </w:tr>
      <w:tr w14:paraId="6CF31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738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灯光</w:t>
            </w:r>
          </w:p>
        </w:tc>
        <w:tc>
          <w:tcPr>
            <w:tcW w:w="23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210CF5B">
            <w:pPr>
              <w:jc w:val="center"/>
              <w:rPr>
                <w:rFonts w:hint="eastAsia" w:ascii="宋体" w:hAnsi="宋体" w:eastAsia="宋体" w:cs="宋体"/>
                <w:i w:val="0"/>
                <w:iCs w:val="0"/>
                <w:color w:val="000000"/>
                <w:sz w:val="24"/>
                <w:szCs w:val="24"/>
                <w:u w:val="none"/>
              </w:rPr>
            </w:pPr>
          </w:p>
        </w:tc>
        <w:tc>
          <w:tcPr>
            <w:tcW w:w="3753" w:type="dxa"/>
            <w:tcBorders>
              <w:top w:val="single" w:color="000000" w:sz="4" w:space="0"/>
              <w:left w:val="single" w:color="000000" w:sz="4" w:space="0"/>
              <w:bottom w:val="single" w:color="000000" w:sz="4" w:space="0"/>
              <w:right w:val="single" w:color="000000" w:sz="4" w:space="0"/>
            </w:tcBorders>
            <w:shd w:val="clear" w:color="auto" w:fill="auto"/>
            <w:vAlign w:val="top"/>
          </w:tcPr>
          <w:p w14:paraId="43380CD4">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全车LED</w:t>
            </w:r>
          </w:p>
        </w:tc>
      </w:tr>
      <w:tr w14:paraId="201E9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2525" w:type="dxa"/>
            <w:vMerge w:val="restart"/>
            <w:tcBorders>
              <w:top w:val="single" w:color="000000" w:sz="4" w:space="0"/>
              <w:left w:val="single" w:color="000000" w:sz="4" w:space="0"/>
              <w:bottom w:val="nil"/>
              <w:right w:val="single" w:color="000000" w:sz="4" w:space="0"/>
            </w:tcBorders>
            <w:shd w:val="clear" w:color="auto" w:fill="auto"/>
            <w:vAlign w:val="center"/>
          </w:tcPr>
          <w:p w14:paraId="675F30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配置</w:t>
            </w:r>
          </w:p>
        </w:tc>
        <w:tc>
          <w:tcPr>
            <w:tcW w:w="61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B25AF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25"/>
                <w:lang w:val="en-US" w:eastAsia="zh-CN" w:bidi="ar"/>
              </w:rPr>
              <w:t>1、智能辅助</w:t>
            </w:r>
            <w:r>
              <w:rPr>
                <w:rStyle w:val="26"/>
                <w:rFonts w:eastAsia="宋体"/>
                <w:lang w:val="en-US" w:eastAsia="zh-CN" w:bidi="ar"/>
              </w:rPr>
              <w:t>‌</w:t>
            </w:r>
            <w:r>
              <w:rPr>
                <w:rStyle w:val="25"/>
                <w:lang w:val="en-US" w:eastAsia="zh-CN" w:bidi="ar"/>
              </w:rPr>
              <w:t>：倒车影像、360°环影减少盲区倒车语音播报，全车雷达探测</w:t>
            </w:r>
          </w:p>
        </w:tc>
      </w:tr>
      <w:tr w14:paraId="601C6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525" w:type="dxa"/>
            <w:vMerge w:val="continue"/>
            <w:tcBorders>
              <w:top w:val="single" w:color="000000" w:sz="4" w:space="0"/>
              <w:left w:val="single" w:color="000000" w:sz="4" w:space="0"/>
              <w:bottom w:val="nil"/>
              <w:right w:val="single" w:color="000000" w:sz="4" w:space="0"/>
            </w:tcBorders>
            <w:shd w:val="clear" w:color="auto" w:fill="auto"/>
            <w:vAlign w:val="center"/>
          </w:tcPr>
          <w:p w14:paraId="61EB994A">
            <w:pPr>
              <w:jc w:val="center"/>
              <w:rPr>
                <w:rFonts w:hint="eastAsia" w:ascii="宋体" w:hAnsi="宋体" w:eastAsia="宋体" w:cs="宋体"/>
                <w:i w:val="0"/>
                <w:iCs w:val="0"/>
                <w:color w:val="000000"/>
                <w:sz w:val="24"/>
                <w:szCs w:val="24"/>
                <w:u w:val="none"/>
              </w:rPr>
            </w:pPr>
          </w:p>
        </w:tc>
        <w:tc>
          <w:tcPr>
            <w:tcW w:w="61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2A89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2、座椅通风，悬浮座椅</w:t>
            </w:r>
          </w:p>
        </w:tc>
      </w:tr>
      <w:tr w14:paraId="72DAC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525" w:type="dxa"/>
            <w:vMerge w:val="continue"/>
            <w:tcBorders>
              <w:top w:val="single" w:color="000000" w:sz="4" w:space="0"/>
              <w:left w:val="single" w:color="000000" w:sz="4" w:space="0"/>
              <w:bottom w:val="nil"/>
              <w:right w:val="single" w:color="000000" w:sz="4" w:space="0"/>
            </w:tcBorders>
            <w:shd w:val="clear" w:color="auto" w:fill="auto"/>
            <w:vAlign w:val="center"/>
          </w:tcPr>
          <w:p w14:paraId="39363CFB">
            <w:pPr>
              <w:jc w:val="center"/>
              <w:rPr>
                <w:rFonts w:hint="eastAsia" w:ascii="宋体" w:hAnsi="宋体" w:eastAsia="宋体" w:cs="宋体"/>
                <w:i w:val="0"/>
                <w:iCs w:val="0"/>
                <w:color w:val="000000"/>
                <w:sz w:val="24"/>
                <w:szCs w:val="24"/>
                <w:u w:val="none"/>
              </w:rPr>
            </w:pPr>
          </w:p>
        </w:tc>
        <w:tc>
          <w:tcPr>
            <w:tcW w:w="61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19F5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3、车载互联</w:t>
            </w:r>
          </w:p>
        </w:tc>
      </w:tr>
      <w:tr w14:paraId="3B618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525" w:type="dxa"/>
            <w:vMerge w:val="continue"/>
            <w:tcBorders>
              <w:top w:val="single" w:color="000000" w:sz="4" w:space="0"/>
              <w:left w:val="single" w:color="000000" w:sz="4" w:space="0"/>
              <w:bottom w:val="nil"/>
              <w:right w:val="single" w:color="000000" w:sz="4" w:space="0"/>
            </w:tcBorders>
            <w:shd w:val="clear" w:color="auto" w:fill="auto"/>
            <w:vAlign w:val="center"/>
          </w:tcPr>
          <w:p w14:paraId="3060814A">
            <w:pPr>
              <w:jc w:val="center"/>
              <w:rPr>
                <w:rFonts w:hint="eastAsia" w:ascii="宋体" w:hAnsi="宋体" w:eastAsia="宋体" w:cs="宋体"/>
                <w:i w:val="0"/>
                <w:iCs w:val="0"/>
                <w:color w:val="000000"/>
                <w:sz w:val="24"/>
                <w:szCs w:val="24"/>
                <w:u w:val="none"/>
              </w:rPr>
            </w:pPr>
          </w:p>
        </w:tc>
        <w:tc>
          <w:tcPr>
            <w:tcW w:w="61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DADE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4、自动冷暖空调，新风系统</w:t>
            </w:r>
          </w:p>
        </w:tc>
      </w:tr>
      <w:tr w14:paraId="1CB84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525" w:type="dxa"/>
            <w:vMerge w:val="continue"/>
            <w:tcBorders>
              <w:top w:val="single" w:color="000000" w:sz="4" w:space="0"/>
              <w:left w:val="single" w:color="000000" w:sz="4" w:space="0"/>
              <w:bottom w:val="nil"/>
              <w:right w:val="single" w:color="000000" w:sz="4" w:space="0"/>
            </w:tcBorders>
            <w:shd w:val="clear" w:color="auto" w:fill="auto"/>
            <w:vAlign w:val="center"/>
          </w:tcPr>
          <w:p w14:paraId="7E01FCD6">
            <w:pPr>
              <w:jc w:val="center"/>
              <w:rPr>
                <w:rFonts w:hint="eastAsia" w:ascii="宋体" w:hAnsi="宋体" w:eastAsia="宋体" w:cs="宋体"/>
                <w:i w:val="0"/>
                <w:iCs w:val="0"/>
                <w:color w:val="000000"/>
                <w:sz w:val="24"/>
                <w:szCs w:val="24"/>
                <w:u w:val="none"/>
              </w:rPr>
            </w:pPr>
          </w:p>
        </w:tc>
        <w:tc>
          <w:tcPr>
            <w:tcW w:w="61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1462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5、发动机自动除尘功能</w:t>
            </w:r>
          </w:p>
        </w:tc>
      </w:tr>
      <w:tr w14:paraId="3F8FF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525" w:type="dxa"/>
            <w:vMerge w:val="continue"/>
            <w:tcBorders>
              <w:top w:val="single" w:color="000000" w:sz="4" w:space="0"/>
              <w:left w:val="single" w:color="000000" w:sz="4" w:space="0"/>
              <w:bottom w:val="nil"/>
              <w:right w:val="single" w:color="000000" w:sz="4" w:space="0"/>
            </w:tcBorders>
            <w:shd w:val="clear" w:color="auto" w:fill="auto"/>
            <w:vAlign w:val="center"/>
          </w:tcPr>
          <w:p w14:paraId="000FFCC4">
            <w:pPr>
              <w:jc w:val="center"/>
              <w:rPr>
                <w:rFonts w:hint="eastAsia" w:ascii="宋体" w:hAnsi="宋体" w:eastAsia="宋体" w:cs="宋体"/>
                <w:i w:val="0"/>
                <w:iCs w:val="0"/>
                <w:color w:val="000000"/>
                <w:sz w:val="24"/>
                <w:szCs w:val="24"/>
                <w:u w:val="none"/>
              </w:rPr>
            </w:pPr>
          </w:p>
        </w:tc>
        <w:tc>
          <w:tcPr>
            <w:tcW w:w="61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0FD1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6、警示灯</w:t>
            </w:r>
          </w:p>
        </w:tc>
      </w:tr>
      <w:tr w14:paraId="722F5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525" w:type="dxa"/>
            <w:vMerge w:val="continue"/>
            <w:tcBorders>
              <w:top w:val="single" w:color="000000" w:sz="4" w:space="0"/>
              <w:left w:val="single" w:color="000000" w:sz="4" w:space="0"/>
              <w:bottom w:val="nil"/>
              <w:right w:val="single" w:color="000000" w:sz="4" w:space="0"/>
            </w:tcBorders>
            <w:shd w:val="clear" w:color="auto" w:fill="auto"/>
            <w:vAlign w:val="center"/>
          </w:tcPr>
          <w:p w14:paraId="35732740">
            <w:pPr>
              <w:jc w:val="center"/>
              <w:rPr>
                <w:rFonts w:hint="eastAsia" w:ascii="宋体" w:hAnsi="宋体" w:eastAsia="宋体" w:cs="宋体"/>
                <w:i w:val="0"/>
                <w:iCs w:val="0"/>
                <w:color w:val="000000"/>
                <w:sz w:val="24"/>
                <w:szCs w:val="24"/>
                <w:u w:val="none"/>
              </w:rPr>
            </w:pPr>
          </w:p>
        </w:tc>
        <w:tc>
          <w:tcPr>
            <w:tcW w:w="61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D268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7、集中润滑系统，各关节统一加注润滑油脂更高效</w:t>
            </w:r>
          </w:p>
        </w:tc>
      </w:tr>
      <w:tr w14:paraId="25CB7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799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价格（元）</w:t>
            </w:r>
          </w:p>
        </w:tc>
        <w:tc>
          <w:tcPr>
            <w:tcW w:w="61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F5C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36.5万元</w:t>
            </w:r>
          </w:p>
        </w:tc>
      </w:tr>
      <w:tr w14:paraId="6B204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8668" w:type="dxa"/>
            <w:gridSpan w:val="4"/>
            <w:tcBorders>
              <w:top w:val="nil"/>
              <w:left w:val="nil"/>
              <w:bottom w:val="nil"/>
              <w:right w:val="nil"/>
            </w:tcBorders>
            <w:shd w:val="clear" w:color="auto" w:fill="auto"/>
            <w:noWrap/>
            <w:vAlign w:val="center"/>
          </w:tcPr>
          <w:p w14:paraId="645D786D">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p>
          <w:p w14:paraId="045C1E4A">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p>
          <w:p w14:paraId="3E6E7374">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p>
          <w:p w14:paraId="4694951D">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p>
          <w:p w14:paraId="04535F1C">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3.5吨叉车报价清单明细</w:t>
            </w:r>
          </w:p>
        </w:tc>
      </w:tr>
      <w:tr w14:paraId="67008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70C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车型</w:t>
            </w:r>
          </w:p>
        </w:tc>
        <w:tc>
          <w:tcPr>
            <w:tcW w:w="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649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6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EFD3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3.5吨叉车</w:t>
            </w:r>
          </w:p>
        </w:tc>
      </w:tr>
      <w:tr w14:paraId="0D896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915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动力形式</w:t>
            </w:r>
          </w:p>
        </w:tc>
        <w:tc>
          <w:tcPr>
            <w:tcW w:w="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84C25">
            <w:pPr>
              <w:jc w:val="center"/>
              <w:rPr>
                <w:rFonts w:hint="eastAsia" w:ascii="宋体" w:hAnsi="宋体" w:eastAsia="宋体" w:cs="宋体"/>
                <w:i w:val="0"/>
                <w:iCs w:val="0"/>
                <w:color w:val="000000"/>
                <w:sz w:val="24"/>
                <w:szCs w:val="24"/>
                <w:u w:val="none"/>
              </w:rPr>
            </w:pPr>
          </w:p>
        </w:tc>
        <w:tc>
          <w:tcPr>
            <w:tcW w:w="6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B5E0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w:t>
            </w:r>
          </w:p>
        </w:tc>
      </w:tr>
      <w:tr w14:paraId="7660C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D2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额定载荷</w:t>
            </w:r>
          </w:p>
        </w:tc>
        <w:tc>
          <w:tcPr>
            <w:tcW w:w="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BD2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60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C2E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3500</w:t>
            </w:r>
          </w:p>
        </w:tc>
      </w:tr>
      <w:tr w14:paraId="2B135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A5D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载荷中心距</w:t>
            </w:r>
          </w:p>
        </w:tc>
        <w:tc>
          <w:tcPr>
            <w:tcW w:w="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74B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mm</w:t>
            </w:r>
          </w:p>
        </w:tc>
        <w:tc>
          <w:tcPr>
            <w:tcW w:w="6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9279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r>
      <w:tr w14:paraId="72F3B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219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最大起升高度</w:t>
            </w:r>
          </w:p>
        </w:tc>
        <w:tc>
          <w:tcPr>
            <w:tcW w:w="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A65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mm</w:t>
            </w:r>
          </w:p>
        </w:tc>
        <w:tc>
          <w:tcPr>
            <w:tcW w:w="6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AF32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w:t>
            </w:r>
          </w:p>
        </w:tc>
      </w:tr>
      <w:tr w14:paraId="17FBB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61E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自由起升高度</w:t>
            </w:r>
          </w:p>
        </w:tc>
        <w:tc>
          <w:tcPr>
            <w:tcW w:w="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64E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mm</w:t>
            </w:r>
          </w:p>
        </w:tc>
        <w:tc>
          <w:tcPr>
            <w:tcW w:w="6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2FAE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r>
      <w:tr w14:paraId="20545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887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货叉尺寸</w:t>
            </w:r>
          </w:p>
        </w:tc>
        <w:tc>
          <w:tcPr>
            <w:tcW w:w="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060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mm</w:t>
            </w:r>
          </w:p>
        </w:tc>
        <w:tc>
          <w:tcPr>
            <w:tcW w:w="60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A94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1070*122*50</w:t>
            </w:r>
          </w:p>
        </w:tc>
      </w:tr>
      <w:tr w14:paraId="2A4FB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FCB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门架倾角</w:t>
            </w:r>
          </w:p>
        </w:tc>
        <w:tc>
          <w:tcPr>
            <w:tcW w:w="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E59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deg</w:t>
            </w:r>
          </w:p>
        </w:tc>
        <w:tc>
          <w:tcPr>
            <w:tcW w:w="6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D4C1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前6后12</w:t>
            </w:r>
          </w:p>
        </w:tc>
      </w:tr>
      <w:tr w14:paraId="2161D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CD9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前悬距</w:t>
            </w:r>
          </w:p>
        </w:tc>
        <w:tc>
          <w:tcPr>
            <w:tcW w:w="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B45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mm</w:t>
            </w:r>
          </w:p>
        </w:tc>
        <w:tc>
          <w:tcPr>
            <w:tcW w:w="60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73C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490</w:t>
            </w:r>
          </w:p>
        </w:tc>
      </w:tr>
      <w:tr w14:paraId="51D12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A3E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后悬距</w:t>
            </w:r>
          </w:p>
        </w:tc>
        <w:tc>
          <w:tcPr>
            <w:tcW w:w="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D19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mm</w:t>
            </w:r>
          </w:p>
        </w:tc>
        <w:tc>
          <w:tcPr>
            <w:tcW w:w="60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A8B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610</w:t>
            </w:r>
          </w:p>
        </w:tc>
      </w:tr>
      <w:tr w14:paraId="503FB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109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总长</w:t>
            </w:r>
          </w:p>
        </w:tc>
        <w:tc>
          <w:tcPr>
            <w:tcW w:w="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867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mm</w:t>
            </w:r>
          </w:p>
        </w:tc>
        <w:tc>
          <w:tcPr>
            <w:tcW w:w="60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72B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3930</w:t>
            </w:r>
          </w:p>
        </w:tc>
      </w:tr>
      <w:tr w14:paraId="05C77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378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总宽</w:t>
            </w:r>
          </w:p>
        </w:tc>
        <w:tc>
          <w:tcPr>
            <w:tcW w:w="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A57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mm</w:t>
            </w:r>
          </w:p>
        </w:tc>
        <w:tc>
          <w:tcPr>
            <w:tcW w:w="60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118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1226</w:t>
            </w:r>
          </w:p>
        </w:tc>
      </w:tr>
      <w:tr w14:paraId="4F025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1E2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门架不起升高度</w:t>
            </w:r>
          </w:p>
        </w:tc>
        <w:tc>
          <w:tcPr>
            <w:tcW w:w="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3B0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mm</w:t>
            </w:r>
          </w:p>
        </w:tc>
        <w:tc>
          <w:tcPr>
            <w:tcW w:w="60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853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2170</w:t>
            </w:r>
          </w:p>
        </w:tc>
      </w:tr>
      <w:tr w14:paraId="3B6FB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12C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安全架高度</w:t>
            </w:r>
          </w:p>
        </w:tc>
        <w:tc>
          <w:tcPr>
            <w:tcW w:w="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32A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mm</w:t>
            </w:r>
          </w:p>
        </w:tc>
        <w:tc>
          <w:tcPr>
            <w:tcW w:w="60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904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2120</w:t>
            </w:r>
          </w:p>
        </w:tc>
      </w:tr>
      <w:tr w14:paraId="378F7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166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最小转弯半径</w:t>
            </w:r>
          </w:p>
        </w:tc>
        <w:tc>
          <w:tcPr>
            <w:tcW w:w="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38C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mm</w:t>
            </w:r>
          </w:p>
        </w:tc>
        <w:tc>
          <w:tcPr>
            <w:tcW w:w="60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3A6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2650</w:t>
            </w:r>
          </w:p>
        </w:tc>
      </w:tr>
      <w:tr w14:paraId="353FC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EA1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最小直角堆垛通道宽度</w:t>
            </w:r>
          </w:p>
        </w:tc>
        <w:tc>
          <w:tcPr>
            <w:tcW w:w="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E91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mm</w:t>
            </w:r>
          </w:p>
        </w:tc>
        <w:tc>
          <w:tcPr>
            <w:tcW w:w="60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95E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4410</w:t>
            </w:r>
          </w:p>
        </w:tc>
      </w:tr>
      <w:tr w14:paraId="3106E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A13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最大行驶速度（满/空）</w:t>
            </w:r>
          </w:p>
        </w:tc>
        <w:tc>
          <w:tcPr>
            <w:tcW w:w="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D46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km/h</w:t>
            </w:r>
          </w:p>
        </w:tc>
        <w:tc>
          <w:tcPr>
            <w:tcW w:w="60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12F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20.5/22</w:t>
            </w:r>
          </w:p>
        </w:tc>
      </w:tr>
      <w:tr w14:paraId="322E5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E88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最大起升速度（空/满）</w:t>
            </w:r>
          </w:p>
        </w:tc>
        <w:tc>
          <w:tcPr>
            <w:tcW w:w="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BF2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mm/s</w:t>
            </w:r>
          </w:p>
        </w:tc>
        <w:tc>
          <w:tcPr>
            <w:tcW w:w="60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D53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400/370</w:t>
            </w:r>
          </w:p>
        </w:tc>
      </w:tr>
      <w:tr w14:paraId="33EF4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97F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最大下降速度</w:t>
            </w:r>
          </w:p>
        </w:tc>
        <w:tc>
          <w:tcPr>
            <w:tcW w:w="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3A0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mm/s</w:t>
            </w:r>
          </w:p>
        </w:tc>
        <w:tc>
          <w:tcPr>
            <w:tcW w:w="6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1CD4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满载≦600/空载≥300</w:t>
            </w:r>
          </w:p>
        </w:tc>
      </w:tr>
      <w:tr w14:paraId="10F6C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8E7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最大牵引力</w:t>
            </w:r>
          </w:p>
        </w:tc>
        <w:tc>
          <w:tcPr>
            <w:tcW w:w="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1C4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KN</w:t>
            </w:r>
          </w:p>
        </w:tc>
        <w:tc>
          <w:tcPr>
            <w:tcW w:w="60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8BB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r>
      <w:tr w14:paraId="7E9D5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B05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最大爬坡度（空载/满载）</w:t>
            </w:r>
          </w:p>
        </w:tc>
        <w:tc>
          <w:tcPr>
            <w:tcW w:w="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785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0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298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w:t>
            </w:r>
          </w:p>
        </w:tc>
      </w:tr>
      <w:tr w14:paraId="49946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1B5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自重</w:t>
            </w:r>
          </w:p>
        </w:tc>
        <w:tc>
          <w:tcPr>
            <w:tcW w:w="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9D2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60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B24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4580</w:t>
            </w:r>
          </w:p>
        </w:tc>
      </w:tr>
      <w:tr w14:paraId="59423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76D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轮胎前轮</w:t>
            </w:r>
          </w:p>
        </w:tc>
        <w:tc>
          <w:tcPr>
            <w:tcW w:w="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1EF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mm</w:t>
            </w:r>
          </w:p>
        </w:tc>
        <w:tc>
          <w:tcPr>
            <w:tcW w:w="60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365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28*9-15-14PR</w:t>
            </w:r>
          </w:p>
        </w:tc>
      </w:tr>
      <w:tr w14:paraId="5CAD3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798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轮胎后轮</w:t>
            </w:r>
          </w:p>
        </w:tc>
        <w:tc>
          <w:tcPr>
            <w:tcW w:w="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7C3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mm</w:t>
            </w:r>
          </w:p>
        </w:tc>
        <w:tc>
          <w:tcPr>
            <w:tcW w:w="60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B93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650-10-10PR</w:t>
            </w:r>
          </w:p>
        </w:tc>
      </w:tr>
      <w:tr w14:paraId="14315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D03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轮距前轮</w:t>
            </w:r>
          </w:p>
        </w:tc>
        <w:tc>
          <w:tcPr>
            <w:tcW w:w="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CD8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mm</w:t>
            </w:r>
          </w:p>
        </w:tc>
        <w:tc>
          <w:tcPr>
            <w:tcW w:w="60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523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r>
      <w:tr w14:paraId="2627B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4EC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轮距后轮</w:t>
            </w:r>
          </w:p>
        </w:tc>
        <w:tc>
          <w:tcPr>
            <w:tcW w:w="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7A8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mm</w:t>
            </w:r>
          </w:p>
        </w:tc>
        <w:tc>
          <w:tcPr>
            <w:tcW w:w="60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57A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980</w:t>
            </w:r>
          </w:p>
        </w:tc>
      </w:tr>
      <w:tr w14:paraId="0E68A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46A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轴距</w:t>
            </w:r>
          </w:p>
        </w:tc>
        <w:tc>
          <w:tcPr>
            <w:tcW w:w="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40D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mm</w:t>
            </w:r>
          </w:p>
        </w:tc>
        <w:tc>
          <w:tcPr>
            <w:tcW w:w="60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A10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1760</w:t>
            </w:r>
          </w:p>
        </w:tc>
      </w:tr>
      <w:tr w14:paraId="3184C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CC5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最小离地间隙门架</w:t>
            </w:r>
          </w:p>
        </w:tc>
        <w:tc>
          <w:tcPr>
            <w:tcW w:w="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053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mm</w:t>
            </w:r>
          </w:p>
        </w:tc>
        <w:tc>
          <w:tcPr>
            <w:tcW w:w="60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BE7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r>
      <w:tr w14:paraId="713D2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853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最小离地间隙车架</w:t>
            </w:r>
          </w:p>
        </w:tc>
        <w:tc>
          <w:tcPr>
            <w:tcW w:w="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3FF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mm</w:t>
            </w:r>
          </w:p>
        </w:tc>
        <w:tc>
          <w:tcPr>
            <w:tcW w:w="60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B3B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w:t>
            </w:r>
          </w:p>
        </w:tc>
      </w:tr>
      <w:tr w14:paraId="52CEE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996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货叉调节范围外侧(最大-最小）</w:t>
            </w:r>
          </w:p>
        </w:tc>
        <w:tc>
          <w:tcPr>
            <w:tcW w:w="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FEE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mm</w:t>
            </w:r>
          </w:p>
        </w:tc>
        <w:tc>
          <w:tcPr>
            <w:tcW w:w="6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64FF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300-1350</w:t>
            </w:r>
          </w:p>
        </w:tc>
      </w:tr>
      <w:tr w14:paraId="0589B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7E0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发动机</w:t>
            </w:r>
          </w:p>
        </w:tc>
        <w:tc>
          <w:tcPr>
            <w:tcW w:w="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23256">
            <w:pPr>
              <w:jc w:val="center"/>
              <w:rPr>
                <w:rFonts w:hint="eastAsia" w:ascii="宋体" w:hAnsi="宋体" w:eastAsia="宋体" w:cs="宋体"/>
                <w:i w:val="0"/>
                <w:iCs w:val="0"/>
                <w:color w:val="000000"/>
                <w:sz w:val="24"/>
                <w:szCs w:val="24"/>
                <w:u w:val="none"/>
              </w:rPr>
            </w:pPr>
          </w:p>
        </w:tc>
        <w:tc>
          <w:tcPr>
            <w:tcW w:w="6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07C6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全柴/V29-50V42</w:t>
            </w:r>
          </w:p>
        </w:tc>
      </w:tr>
      <w:tr w14:paraId="0AAE5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5E1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额定功率</w:t>
            </w:r>
          </w:p>
        </w:tc>
        <w:tc>
          <w:tcPr>
            <w:tcW w:w="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DA7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kW/r</w:t>
            </w:r>
          </w:p>
        </w:tc>
        <w:tc>
          <w:tcPr>
            <w:tcW w:w="60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C57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36.8/2500</w:t>
            </w:r>
          </w:p>
        </w:tc>
      </w:tr>
      <w:tr w14:paraId="1A11B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25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549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配置</w:t>
            </w:r>
          </w:p>
        </w:tc>
        <w:tc>
          <w:tcPr>
            <w:tcW w:w="61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97C13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1、智能辅助</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：倒车影像、360°环影减少盲区倒车语音播报，全车雷达探测</w:t>
            </w:r>
          </w:p>
        </w:tc>
      </w:tr>
      <w:tr w14:paraId="51021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5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7E02B">
            <w:pPr>
              <w:jc w:val="center"/>
              <w:rPr>
                <w:rFonts w:hint="eastAsia" w:ascii="宋体" w:hAnsi="宋体" w:eastAsia="宋体" w:cs="宋体"/>
                <w:i w:val="0"/>
                <w:iCs w:val="0"/>
                <w:color w:val="000000"/>
                <w:sz w:val="24"/>
                <w:szCs w:val="24"/>
                <w:u w:val="none"/>
              </w:rPr>
            </w:pPr>
          </w:p>
        </w:tc>
        <w:tc>
          <w:tcPr>
            <w:tcW w:w="61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6F8A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2、座椅通风，悬浮座椅</w:t>
            </w:r>
          </w:p>
        </w:tc>
      </w:tr>
      <w:tr w14:paraId="6DA64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5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082D5">
            <w:pPr>
              <w:jc w:val="center"/>
              <w:rPr>
                <w:rFonts w:hint="eastAsia" w:ascii="宋体" w:hAnsi="宋体" w:eastAsia="宋体" w:cs="宋体"/>
                <w:i w:val="0"/>
                <w:iCs w:val="0"/>
                <w:color w:val="000000"/>
                <w:sz w:val="24"/>
                <w:szCs w:val="24"/>
                <w:u w:val="none"/>
              </w:rPr>
            </w:pPr>
          </w:p>
        </w:tc>
        <w:tc>
          <w:tcPr>
            <w:tcW w:w="61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3AFC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3、车载互联</w:t>
            </w:r>
          </w:p>
        </w:tc>
      </w:tr>
      <w:tr w14:paraId="5F46A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5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7D5DE">
            <w:pPr>
              <w:jc w:val="center"/>
              <w:rPr>
                <w:rFonts w:hint="eastAsia" w:ascii="宋体" w:hAnsi="宋体" w:eastAsia="宋体" w:cs="宋体"/>
                <w:i w:val="0"/>
                <w:iCs w:val="0"/>
                <w:color w:val="000000"/>
                <w:sz w:val="24"/>
                <w:szCs w:val="24"/>
                <w:u w:val="none"/>
              </w:rPr>
            </w:pPr>
          </w:p>
        </w:tc>
        <w:tc>
          <w:tcPr>
            <w:tcW w:w="61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D56A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4、发动机自动除尘功能</w:t>
            </w:r>
          </w:p>
        </w:tc>
      </w:tr>
      <w:tr w14:paraId="690CD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5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4BAB8">
            <w:pPr>
              <w:jc w:val="center"/>
              <w:rPr>
                <w:rFonts w:hint="eastAsia" w:ascii="宋体" w:hAnsi="宋体" w:eastAsia="宋体" w:cs="宋体"/>
                <w:i w:val="0"/>
                <w:iCs w:val="0"/>
                <w:color w:val="000000"/>
                <w:sz w:val="24"/>
                <w:szCs w:val="24"/>
                <w:u w:val="none"/>
              </w:rPr>
            </w:pPr>
          </w:p>
        </w:tc>
        <w:tc>
          <w:tcPr>
            <w:tcW w:w="61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D100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5、警示灯</w:t>
            </w:r>
          </w:p>
        </w:tc>
      </w:tr>
      <w:tr w14:paraId="06AEC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20E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价格（元）</w:t>
            </w:r>
          </w:p>
        </w:tc>
        <w:tc>
          <w:tcPr>
            <w:tcW w:w="61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0B5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8.5万元</w:t>
            </w:r>
          </w:p>
        </w:tc>
      </w:tr>
    </w:tbl>
    <w:p w14:paraId="13F3DC0D">
      <w:pPr>
        <w:pStyle w:val="18"/>
        <w:spacing w:line="520" w:lineRule="exact"/>
        <w:rPr>
          <w:rFonts w:hAnsi="宋体" w:cs="宋体"/>
          <w:color w:val="auto"/>
          <w:kern w:val="2"/>
          <w:sz w:val="21"/>
          <w:szCs w:val="21"/>
          <w:highlight w:val="none"/>
        </w:rPr>
      </w:pPr>
      <w:r>
        <w:rPr>
          <w:rFonts w:hint="eastAsia" w:hAnsi="宋体" w:cs="宋体"/>
          <w:color w:val="auto"/>
          <w:kern w:val="2"/>
          <w:sz w:val="21"/>
          <w:szCs w:val="21"/>
          <w:highlight w:val="none"/>
        </w:rPr>
        <w:t>二、</w:t>
      </w:r>
      <w:r>
        <w:rPr>
          <w:rFonts w:hint="eastAsia" w:hAnsi="宋体" w:cs="宋体"/>
          <w:color w:val="auto"/>
          <w:kern w:val="2"/>
          <w:sz w:val="21"/>
          <w:szCs w:val="21"/>
          <w:highlight w:val="none"/>
          <w:lang w:eastAsia="zh-CN"/>
        </w:rPr>
        <w:t>项目</w:t>
      </w:r>
      <w:r>
        <w:rPr>
          <w:rFonts w:hint="eastAsia" w:hAnsi="宋体" w:cs="宋体"/>
          <w:color w:val="auto"/>
          <w:kern w:val="2"/>
          <w:sz w:val="21"/>
          <w:szCs w:val="21"/>
          <w:highlight w:val="none"/>
        </w:rPr>
        <w:t>商务要求</w:t>
      </w:r>
    </w:p>
    <w:p w14:paraId="771C4E4B">
      <w:pPr>
        <w:pStyle w:val="18"/>
        <w:spacing w:line="520" w:lineRule="exact"/>
        <w:rPr>
          <w:rFonts w:hAnsi="宋体" w:cs="宋体"/>
          <w:color w:val="auto"/>
          <w:kern w:val="2"/>
          <w:sz w:val="21"/>
          <w:szCs w:val="21"/>
          <w:highlight w:val="none"/>
          <w:lang w:eastAsia="zh-CN"/>
        </w:rPr>
      </w:pPr>
      <w:r>
        <w:rPr>
          <w:rFonts w:hint="eastAsia" w:hAnsi="宋体" w:cs="宋体"/>
          <w:color w:val="auto"/>
          <w:kern w:val="2"/>
          <w:sz w:val="21"/>
          <w:szCs w:val="21"/>
          <w:highlight w:val="none"/>
        </w:rPr>
        <w:t>1.</w:t>
      </w:r>
      <w:r>
        <w:rPr>
          <w:rFonts w:hint="eastAsia" w:hAnsi="宋体" w:cs="宋体"/>
          <w:color w:val="auto"/>
          <w:kern w:val="2"/>
          <w:sz w:val="21"/>
          <w:szCs w:val="21"/>
          <w:highlight w:val="none"/>
          <w:lang w:eastAsia="zh-CN"/>
        </w:rPr>
        <w:t>交货要求</w:t>
      </w:r>
    </w:p>
    <w:p w14:paraId="50DEB1A8">
      <w:pPr>
        <w:pStyle w:val="18"/>
        <w:spacing w:line="520" w:lineRule="exact"/>
        <w:rPr>
          <w:rFonts w:hAnsi="宋体" w:cs="宋体"/>
          <w:color w:val="auto"/>
          <w:kern w:val="2"/>
          <w:sz w:val="21"/>
          <w:szCs w:val="21"/>
          <w:highlight w:val="none"/>
          <w:lang w:eastAsia="zh-CN"/>
        </w:rPr>
      </w:pPr>
      <w:r>
        <w:rPr>
          <w:rFonts w:hint="eastAsia" w:hAnsi="宋体" w:cs="宋体"/>
          <w:color w:val="auto"/>
          <w:kern w:val="2"/>
          <w:sz w:val="21"/>
          <w:szCs w:val="21"/>
          <w:highlight w:val="none"/>
          <w:lang w:eastAsia="zh-CN"/>
        </w:rPr>
        <w:t>1.1交货时间：合同签订后10日历天内；</w:t>
      </w:r>
    </w:p>
    <w:p w14:paraId="25CB639D">
      <w:pPr>
        <w:pStyle w:val="18"/>
        <w:spacing w:line="520" w:lineRule="exact"/>
        <w:rPr>
          <w:rFonts w:hAnsi="宋体" w:cs="宋体"/>
          <w:color w:val="auto"/>
          <w:kern w:val="2"/>
          <w:sz w:val="21"/>
          <w:szCs w:val="21"/>
          <w:highlight w:val="none"/>
          <w:lang w:eastAsia="zh-CN"/>
        </w:rPr>
      </w:pPr>
      <w:r>
        <w:rPr>
          <w:rFonts w:hint="eastAsia" w:hAnsi="宋体" w:cs="宋体"/>
          <w:color w:val="auto"/>
          <w:kern w:val="2"/>
          <w:sz w:val="21"/>
          <w:szCs w:val="21"/>
          <w:highlight w:val="none"/>
          <w:lang w:eastAsia="zh-CN"/>
        </w:rPr>
        <w:t>1.2交货地点：</w:t>
      </w:r>
      <w:r>
        <w:rPr>
          <w:rFonts w:hint="eastAsia" w:hAnsi="宋体" w:cs="宋体"/>
          <w:color w:val="auto"/>
          <w:kern w:val="2"/>
          <w:sz w:val="21"/>
          <w:szCs w:val="21"/>
          <w:highlight w:val="none"/>
          <w:lang w:val="en-US" w:eastAsia="zh-CN"/>
        </w:rPr>
        <w:t>采购人指定地点</w:t>
      </w:r>
      <w:r>
        <w:rPr>
          <w:rFonts w:hint="eastAsia" w:hAnsi="宋体" w:cs="宋体"/>
          <w:color w:val="auto"/>
          <w:kern w:val="2"/>
          <w:sz w:val="21"/>
          <w:szCs w:val="21"/>
          <w:highlight w:val="none"/>
          <w:lang w:eastAsia="zh-CN"/>
        </w:rPr>
        <w:t>；</w:t>
      </w:r>
    </w:p>
    <w:p w14:paraId="19ECA23D">
      <w:pPr>
        <w:pStyle w:val="18"/>
        <w:spacing w:line="520" w:lineRule="exact"/>
        <w:rPr>
          <w:rFonts w:hAnsi="宋体" w:cs="宋体"/>
          <w:color w:val="auto"/>
          <w:kern w:val="2"/>
          <w:sz w:val="21"/>
          <w:szCs w:val="21"/>
          <w:highlight w:val="none"/>
          <w:lang w:eastAsia="zh-CN"/>
        </w:rPr>
      </w:pPr>
      <w:r>
        <w:rPr>
          <w:rFonts w:hint="eastAsia" w:hAnsi="宋体" w:cs="宋体"/>
          <w:color w:val="auto"/>
          <w:kern w:val="2"/>
          <w:sz w:val="21"/>
          <w:szCs w:val="21"/>
          <w:highlight w:val="none"/>
          <w:lang w:eastAsia="zh-CN"/>
        </w:rPr>
        <w:t>2.付款方式：货物按照采购人指定地点安装调试完毕、验收检测合格后一次性支付全部货款。</w:t>
      </w:r>
    </w:p>
    <w:p w14:paraId="35F0A1B4">
      <w:pPr>
        <w:pStyle w:val="18"/>
        <w:spacing w:line="520" w:lineRule="exact"/>
        <w:rPr>
          <w:rFonts w:hAnsi="宋体" w:cs="宋体"/>
          <w:color w:val="auto"/>
          <w:kern w:val="2"/>
          <w:sz w:val="21"/>
          <w:szCs w:val="21"/>
          <w:highlight w:val="none"/>
          <w:lang w:eastAsia="zh-CN"/>
        </w:rPr>
      </w:pPr>
      <w:r>
        <w:rPr>
          <w:rFonts w:hint="eastAsia" w:hAnsi="宋体" w:cs="宋体"/>
          <w:color w:val="auto"/>
          <w:kern w:val="2"/>
          <w:sz w:val="21"/>
          <w:szCs w:val="21"/>
          <w:highlight w:val="none"/>
          <w:lang w:eastAsia="zh-CN"/>
        </w:rPr>
        <w:t>3.包装和运输（须满足财政部《关于印发〈商品包装政府采购需求标准（试行）〉、〈快递包装政府采购需求标准（试行）〉的通知》（财办库﹝2020﹞123号）。</w:t>
      </w:r>
    </w:p>
    <w:p w14:paraId="5D3AFABE">
      <w:pPr>
        <w:pStyle w:val="18"/>
        <w:spacing w:line="520" w:lineRule="exact"/>
        <w:rPr>
          <w:rFonts w:hAnsi="宋体" w:cs="宋体"/>
          <w:color w:val="auto"/>
          <w:kern w:val="2"/>
          <w:sz w:val="21"/>
          <w:szCs w:val="21"/>
          <w:highlight w:val="none"/>
          <w:lang w:eastAsia="zh-CN"/>
        </w:rPr>
      </w:pPr>
      <w:r>
        <w:rPr>
          <w:rFonts w:hint="eastAsia" w:hAnsi="宋体" w:cs="宋体"/>
          <w:color w:val="auto"/>
          <w:kern w:val="2"/>
          <w:sz w:val="21"/>
          <w:szCs w:val="21"/>
          <w:highlight w:val="none"/>
          <w:lang w:eastAsia="zh-CN"/>
        </w:rPr>
        <w:t>4.质保期</w:t>
      </w:r>
    </w:p>
    <w:p w14:paraId="291395EF">
      <w:pPr>
        <w:pStyle w:val="18"/>
        <w:spacing w:line="520" w:lineRule="exact"/>
        <w:rPr>
          <w:rFonts w:hAnsi="宋体" w:cs="宋体"/>
          <w:color w:val="auto"/>
          <w:kern w:val="2"/>
          <w:sz w:val="21"/>
          <w:szCs w:val="21"/>
          <w:highlight w:val="none"/>
          <w:lang w:eastAsia="zh-CN"/>
        </w:rPr>
      </w:pPr>
      <w:r>
        <w:rPr>
          <w:rFonts w:hint="eastAsia" w:hAnsi="宋体" w:cs="宋体"/>
          <w:color w:val="auto"/>
          <w:kern w:val="2"/>
          <w:sz w:val="21"/>
          <w:szCs w:val="21"/>
          <w:highlight w:val="none"/>
          <w:lang w:eastAsia="zh-CN"/>
        </w:rPr>
        <w:t>4.1质量保证期为</w:t>
      </w:r>
      <w:r>
        <w:rPr>
          <w:rFonts w:hint="eastAsia" w:hAnsi="宋体" w:cs="宋体"/>
          <w:color w:val="auto"/>
          <w:kern w:val="2"/>
          <w:sz w:val="21"/>
          <w:szCs w:val="21"/>
          <w:highlight w:val="none"/>
          <w:lang w:val="en-US" w:eastAsia="zh-CN"/>
        </w:rPr>
        <w:t>1</w:t>
      </w:r>
      <w:r>
        <w:rPr>
          <w:rFonts w:hint="eastAsia" w:hAnsi="宋体" w:cs="宋体"/>
          <w:color w:val="auto"/>
          <w:kern w:val="2"/>
          <w:sz w:val="21"/>
          <w:szCs w:val="21"/>
          <w:highlight w:val="none"/>
          <w:lang w:eastAsia="zh-CN"/>
        </w:rPr>
        <w:t>年。自验收合格之日起开始计算。</w:t>
      </w:r>
    </w:p>
    <w:p w14:paraId="08B77AAB">
      <w:pPr>
        <w:pStyle w:val="18"/>
        <w:spacing w:line="520" w:lineRule="exact"/>
        <w:rPr>
          <w:rFonts w:hAnsi="宋体" w:cs="宋体"/>
          <w:color w:val="auto"/>
          <w:kern w:val="2"/>
          <w:sz w:val="21"/>
          <w:szCs w:val="21"/>
          <w:highlight w:val="none"/>
          <w:lang w:eastAsia="zh-CN"/>
        </w:rPr>
      </w:pPr>
      <w:r>
        <w:rPr>
          <w:rFonts w:hint="eastAsia" w:hAnsi="宋体" w:cs="宋体"/>
          <w:color w:val="auto"/>
          <w:kern w:val="2"/>
          <w:sz w:val="21"/>
          <w:szCs w:val="21"/>
          <w:highlight w:val="none"/>
          <w:lang w:eastAsia="zh-CN"/>
        </w:rPr>
        <w:t>4.2质保期内投标人提供免费售后服务。服务期间，提供7*24小时服务响应热线电话，提供4小时故障响应，24小时解决故障服务；针对特殊故障在24小时内解决不了的，提供备用设备。</w:t>
      </w:r>
    </w:p>
    <w:p w14:paraId="7A1EBA2F">
      <w:pPr>
        <w:pStyle w:val="18"/>
        <w:spacing w:line="520" w:lineRule="exact"/>
        <w:rPr>
          <w:rFonts w:hint="default" w:hAnsi="宋体" w:cs="宋体"/>
          <w:color w:val="auto"/>
          <w:kern w:val="2"/>
          <w:sz w:val="21"/>
          <w:szCs w:val="21"/>
          <w:highlight w:val="none"/>
          <w:lang w:val="en-US" w:eastAsia="zh-CN"/>
        </w:rPr>
      </w:pPr>
      <w:r>
        <w:rPr>
          <w:rFonts w:hint="eastAsia" w:hAnsi="宋体" w:cs="宋体"/>
          <w:color w:val="auto"/>
          <w:kern w:val="2"/>
          <w:sz w:val="21"/>
          <w:szCs w:val="21"/>
          <w:highlight w:val="none"/>
          <w:lang w:eastAsia="zh-CN"/>
        </w:rPr>
        <w:t>5.关于强制节能产品的要求：</w:t>
      </w:r>
      <w:r>
        <w:rPr>
          <w:rFonts w:hint="eastAsia" w:hAnsi="宋体" w:cs="宋体"/>
          <w:color w:val="auto"/>
          <w:kern w:val="2"/>
          <w:sz w:val="21"/>
          <w:szCs w:val="21"/>
          <w:highlight w:val="none"/>
          <w:lang w:val="en-US" w:eastAsia="zh-CN"/>
        </w:rPr>
        <w:t>/</w:t>
      </w:r>
    </w:p>
    <w:p w14:paraId="70F883E0">
      <w:pPr>
        <w:pStyle w:val="18"/>
        <w:spacing w:line="520" w:lineRule="exact"/>
        <w:rPr>
          <w:rFonts w:hAnsi="宋体" w:cs="宋体"/>
          <w:color w:val="auto"/>
          <w:kern w:val="2"/>
          <w:sz w:val="21"/>
          <w:szCs w:val="21"/>
          <w:highlight w:val="none"/>
          <w:lang w:eastAsia="zh-CN"/>
        </w:rPr>
      </w:pPr>
      <w:r>
        <w:rPr>
          <w:rFonts w:hint="eastAsia" w:hAnsi="宋体" w:cs="宋体"/>
          <w:color w:val="auto"/>
          <w:kern w:val="2"/>
          <w:sz w:val="21"/>
          <w:szCs w:val="21"/>
          <w:highlight w:val="none"/>
          <w:lang w:eastAsia="zh-CN"/>
        </w:rPr>
        <w:t>6.验收标准及方式：</w:t>
      </w:r>
    </w:p>
    <w:p w14:paraId="118832F4">
      <w:pPr>
        <w:pStyle w:val="18"/>
        <w:spacing w:line="520" w:lineRule="exact"/>
        <w:rPr>
          <w:rFonts w:hAnsi="宋体" w:cs="宋体"/>
          <w:color w:val="auto"/>
          <w:kern w:val="2"/>
          <w:sz w:val="21"/>
          <w:szCs w:val="21"/>
          <w:highlight w:val="none"/>
          <w:lang w:eastAsia="zh-CN"/>
        </w:rPr>
      </w:pPr>
      <w:r>
        <w:rPr>
          <w:rFonts w:hint="eastAsia" w:hAnsi="宋体" w:cs="宋体"/>
          <w:color w:val="auto"/>
          <w:kern w:val="2"/>
          <w:sz w:val="21"/>
          <w:szCs w:val="21"/>
          <w:highlight w:val="none"/>
          <w:lang w:eastAsia="zh-CN"/>
        </w:rPr>
        <w:t>6.1验收小组应由采购人、使用单位、受邀的第三方组成。</w:t>
      </w:r>
    </w:p>
    <w:p w14:paraId="7FAF5734">
      <w:pPr>
        <w:pStyle w:val="18"/>
        <w:spacing w:line="520" w:lineRule="exact"/>
        <w:rPr>
          <w:rFonts w:hAnsi="宋体" w:cs="宋体"/>
          <w:color w:val="auto"/>
          <w:kern w:val="2"/>
          <w:sz w:val="21"/>
          <w:szCs w:val="21"/>
          <w:highlight w:val="none"/>
          <w:lang w:eastAsia="zh-CN"/>
        </w:rPr>
      </w:pPr>
      <w:r>
        <w:rPr>
          <w:rFonts w:hint="eastAsia" w:hAnsi="宋体" w:cs="宋体"/>
          <w:color w:val="auto"/>
          <w:kern w:val="2"/>
          <w:sz w:val="21"/>
          <w:szCs w:val="21"/>
          <w:highlight w:val="none"/>
          <w:lang w:eastAsia="zh-CN"/>
        </w:rPr>
        <w:t>6.2货物验收：</w:t>
      </w:r>
    </w:p>
    <w:p w14:paraId="562A32FC">
      <w:pPr>
        <w:pStyle w:val="18"/>
        <w:spacing w:line="520" w:lineRule="exact"/>
        <w:rPr>
          <w:rFonts w:hAnsi="宋体" w:cs="宋体"/>
          <w:color w:val="auto"/>
          <w:kern w:val="2"/>
          <w:sz w:val="21"/>
          <w:szCs w:val="21"/>
          <w:highlight w:val="none"/>
          <w:lang w:eastAsia="zh-CN"/>
        </w:rPr>
      </w:pPr>
      <w:r>
        <w:rPr>
          <w:rFonts w:hint="eastAsia" w:hAnsi="宋体" w:cs="宋体"/>
          <w:color w:val="auto"/>
          <w:kern w:val="2"/>
          <w:sz w:val="21"/>
          <w:szCs w:val="21"/>
          <w:highlight w:val="none"/>
          <w:lang w:eastAsia="zh-CN"/>
        </w:rPr>
        <w:t>货物到场后，中标人应向验收小组发出申请，验收小组依招投标文件及国家相关标准为依据，对货物进行验收。中标人应提供货物出厂合格证以及相关的检测报告、产品使用说明书等资料。验收小组对不符合验收条件的货物拒收，并限期提供合格货物。</w:t>
      </w:r>
    </w:p>
    <w:p w14:paraId="4C3C92B7">
      <w:pPr>
        <w:pStyle w:val="18"/>
        <w:spacing w:line="520" w:lineRule="exact"/>
        <w:rPr>
          <w:rFonts w:hAnsi="宋体" w:cs="宋体"/>
          <w:color w:val="auto"/>
          <w:kern w:val="2"/>
          <w:sz w:val="21"/>
          <w:szCs w:val="21"/>
          <w:highlight w:val="none"/>
          <w:lang w:eastAsia="zh-CN"/>
        </w:rPr>
      </w:pPr>
      <w:r>
        <w:rPr>
          <w:rFonts w:hint="eastAsia" w:hAnsi="宋体" w:cs="宋体"/>
          <w:color w:val="auto"/>
          <w:kern w:val="2"/>
          <w:sz w:val="21"/>
          <w:szCs w:val="21"/>
          <w:highlight w:val="none"/>
          <w:lang w:eastAsia="zh-CN"/>
        </w:rPr>
        <w:t>6.3安装验收：</w:t>
      </w:r>
    </w:p>
    <w:p w14:paraId="31F73D97">
      <w:pPr>
        <w:pStyle w:val="18"/>
        <w:spacing w:line="520" w:lineRule="exact"/>
        <w:rPr>
          <w:rFonts w:hAnsi="宋体" w:cs="宋体"/>
          <w:color w:val="auto"/>
          <w:kern w:val="2"/>
          <w:sz w:val="21"/>
          <w:szCs w:val="21"/>
          <w:highlight w:val="none"/>
          <w:lang w:eastAsia="zh-CN"/>
        </w:rPr>
      </w:pPr>
      <w:r>
        <w:rPr>
          <w:rFonts w:hint="eastAsia" w:hAnsi="宋体" w:cs="宋体"/>
          <w:color w:val="auto"/>
          <w:kern w:val="2"/>
          <w:sz w:val="21"/>
          <w:szCs w:val="21"/>
          <w:highlight w:val="none"/>
          <w:lang w:eastAsia="zh-CN"/>
        </w:rPr>
        <w:t>货物及组装材料验收合格后方可进行安装调试，安装调试应以达到采购人正常使用为标准。中标人向验收小组发出全面验收邀请。</w:t>
      </w:r>
    </w:p>
    <w:p w14:paraId="35BBFEE2">
      <w:pPr>
        <w:pStyle w:val="18"/>
        <w:spacing w:line="520" w:lineRule="exact"/>
        <w:rPr>
          <w:rFonts w:hAnsi="宋体" w:cs="宋体"/>
          <w:color w:val="auto"/>
          <w:kern w:val="2"/>
          <w:sz w:val="21"/>
          <w:szCs w:val="21"/>
          <w:highlight w:val="none"/>
          <w:lang w:eastAsia="zh-CN"/>
        </w:rPr>
      </w:pPr>
      <w:r>
        <w:rPr>
          <w:rFonts w:hint="eastAsia" w:hAnsi="宋体" w:cs="宋体"/>
          <w:color w:val="auto"/>
          <w:kern w:val="2"/>
          <w:sz w:val="21"/>
          <w:szCs w:val="21"/>
          <w:highlight w:val="none"/>
          <w:lang w:eastAsia="zh-CN"/>
        </w:rPr>
        <w:t>6.4中标人在要求期限内不能履行合同的，采购人有权终止合同，由此造成的经济损失及社会负面影响均有中标人承担，并依法报请南阳市政府采购监督管理部门处理。</w:t>
      </w:r>
    </w:p>
    <w:p w14:paraId="0FEBDAD6">
      <w:pPr>
        <w:pStyle w:val="18"/>
        <w:spacing w:line="520" w:lineRule="exact"/>
        <w:rPr>
          <w:rFonts w:hAnsi="宋体" w:cs="宋体"/>
          <w:color w:val="auto"/>
          <w:kern w:val="2"/>
          <w:sz w:val="21"/>
          <w:szCs w:val="21"/>
          <w:highlight w:val="none"/>
          <w:lang w:eastAsia="zh-CN"/>
        </w:rPr>
      </w:pPr>
      <w:r>
        <w:rPr>
          <w:rFonts w:hint="eastAsia" w:hAnsi="宋体" w:cs="宋体"/>
          <w:color w:val="auto"/>
          <w:kern w:val="2"/>
          <w:sz w:val="21"/>
          <w:szCs w:val="21"/>
          <w:highlight w:val="none"/>
          <w:lang w:eastAsia="zh-CN"/>
        </w:rPr>
        <w:t>7.□有样品，样品提供要求、方式、摆放时间及地点</w:t>
      </w:r>
    </w:p>
    <w:p w14:paraId="70224517">
      <w:pPr>
        <w:pStyle w:val="18"/>
        <w:spacing w:line="520" w:lineRule="exact"/>
        <w:rPr>
          <w:rFonts w:hAnsi="宋体" w:cs="宋体"/>
          <w:color w:val="auto"/>
          <w:kern w:val="2"/>
          <w:sz w:val="21"/>
          <w:szCs w:val="21"/>
          <w:highlight w:val="none"/>
          <w:lang w:eastAsia="zh-CN"/>
        </w:rPr>
      </w:pPr>
      <w:r>
        <w:rPr>
          <w:rFonts w:hint="eastAsia" w:hAnsi="宋体" w:cs="宋体"/>
          <w:color w:val="auto"/>
          <w:kern w:val="2"/>
          <w:sz w:val="21"/>
          <w:szCs w:val="21"/>
          <w:highlight w:val="none"/>
          <w:lang w:eastAsia="zh-CN"/>
        </w:rPr>
        <w:t>☑无样品。</w:t>
      </w:r>
    </w:p>
    <w:p w14:paraId="5075C306">
      <w:pPr>
        <w:pStyle w:val="18"/>
        <w:spacing w:line="520" w:lineRule="exact"/>
        <w:rPr>
          <w:rFonts w:hAnsi="宋体" w:cs="宋体"/>
          <w:color w:val="auto"/>
          <w:kern w:val="2"/>
          <w:sz w:val="21"/>
          <w:szCs w:val="21"/>
          <w:highlight w:val="none"/>
          <w:lang w:eastAsia="zh-CN"/>
        </w:rPr>
      </w:pPr>
      <w:r>
        <w:rPr>
          <w:rFonts w:hint="eastAsia" w:hAnsi="宋体" w:cs="宋体"/>
          <w:color w:val="auto"/>
          <w:kern w:val="2"/>
          <w:sz w:val="21"/>
          <w:szCs w:val="21"/>
          <w:highlight w:val="none"/>
          <w:lang w:eastAsia="zh-CN"/>
        </w:rPr>
        <w:t>8.□有演示，演示要求、内容、方式及地点。鼓励使用不见面演示。</w:t>
      </w:r>
    </w:p>
    <w:p w14:paraId="02A8D081">
      <w:pPr>
        <w:pStyle w:val="18"/>
        <w:spacing w:line="520" w:lineRule="exact"/>
        <w:rPr>
          <w:rFonts w:hAnsi="宋体" w:cs="宋体"/>
          <w:color w:val="auto"/>
          <w:kern w:val="2"/>
          <w:sz w:val="21"/>
          <w:szCs w:val="21"/>
          <w:highlight w:val="none"/>
          <w:lang w:eastAsia="zh-CN"/>
        </w:rPr>
      </w:pPr>
      <w:r>
        <w:rPr>
          <w:rFonts w:hint="eastAsia" w:hAnsi="宋体" w:cs="宋体"/>
          <w:color w:val="auto"/>
          <w:kern w:val="2"/>
          <w:sz w:val="21"/>
          <w:szCs w:val="21"/>
          <w:highlight w:val="none"/>
          <w:lang w:eastAsia="zh-CN"/>
        </w:rPr>
        <w:t>☑无演示。</w:t>
      </w:r>
    </w:p>
    <w:p w14:paraId="6CA96522">
      <w:pPr>
        <w:pStyle w:val="18"/>
        <w:spacing w:line="520" w:lineRule="exact"/>
        <w:rPr>
          <w:rFonts w:hAnsi="宋体" w:cs="宋体"/>
          <w:color w:val="auto"/>
          <w:kern w:val="2"/>
          <w:sz w:val="21"/>
          <w:szCs w:val="21"/>
          <w:highlight w:val="none"/>
          <w:lang w:eastAsia="zh-CN"/>
        </w:rPr>
      </w:pPr>
      <w:r>
        <w:rPr>
          <w:rFonts w:hint="eastAsia" w:hAnsi="宋体" w:cs="宋体"/>
          <w:color w:val="auto"/>
          <w:kern w:val="2"/>
          <w:sz w:val="21"/>
          <w:szCs w:val="21"/>
          <w:highlight w:val="none"/>
          <w:lang w:eastAsia="zh-CN"/>
        </w:rPr>
        <w:t>9.质量要求：</w:t>
      </w:r>
      <w:r>
        <w:rPr>
          <w:rFonts w:hint="eastAsia" w:hAnsi="宋体" w:cs="宋体"/>
          <w:color w:val="auto"/>
          <w:kern w:val="2"/>
          <w:sz w:val="22"/>
          <w:szCs w:val="22"/>
          <w:highlight w:val="none"/>
          <w:lang w:val="en-US" w:eastAsia="zh-CN"/>
        </w:rPr>
        <w:t>合格</w:t>
      </w:r>
      <w:r>
        <w:rPr>
          <w:rFonts w:hint="eastAsia"/>
          <w:color w:val="auto"/>
          <w:sz w:val="24"/>
          <w:szCs w:val="21"/>
          <w:highlight w:val="none"/>
        </w:rPr>
        <w:t>；</w:t>
      </w:r>
    </w:p>
    <w:p w14:paraId="4A78C1DF">
      <w:pPr>
        <w:pStyle w:val="18"/>
        <w:spacing w:line="520" w:lineRule="exact"/>
        <w:rPr>
          <w:rFonts w:hAnsi="宋体" w:cs="宋体"/>
          <w:color w:val="auto"/>
          <w:kern w:val="2"/>
          <w:sz w:val="21"/>
          <w:szCs w:val="21"/>
          <w:highlight w:val="none"/>
          <w:lang w:eastAsia="zh-CN"/>
        </w:rPr>
      </w:pPr>
      <w:r>
        <w:rPr>
          <w:rFonts w:hint="eastAsia" w:hAnsi="宋体" w:cs="宋体"/>
          <w:color w:val="auto"/>
          <w:kern w:val="2"/>
          <w:sz w:val="21"/>
          <w:szCs w:val="21"/>
          <w:highlight w:val="none"/>
          <w:lang w:eastAsia="zh-CN"/>
        </w:rPr>
        <w:t>10其他要求：中标人在供货安装调试过程中，如对采购人原设备、物品有损坏的应无偿恢复。</w:t>
      </w:r>
    </w:p>
    <w:p w14:paraId="0B6CB0CD">
      <w:pPr>
        <w:pStyle w:val="18"/>
        <w:spacing w:line="520" w:lineRule="exact"/>
        <w:rPr>
          <w:rFonts w:hAnsi="宋体" w:cs="宋体"/>
          <w:color w:val="auto"/>
          <w:kern w:val="2"/>
          <w:sz w:val="21"/>
          <w:szCs w:val="21"/>
          <w:highlight w:val="none"/>
        </w:rPr>
      </w:pPr>
    </w:p>
    <w:p w14:paraId="02324DA8">
      <w:pPr>
        <w:pStyle w:val="4"/>
        <w:rPr>
          <w:color w:val="auto"/>
          <w:highlight w:val="none"/>
        </w:rPr>
      </w:pPr>
    </w:p>
    <w:p w14:paraId="44176E2C">
      <w:pPr>
        <w:pStyle w:val="10"/>
        <w:ind w:firstLine="538"/>
        <w:rPr>
          <w:color w:val="auto"/>
          <w:highlight w:val="none"/>
        </w:rPr>
      </w:pPr>
    </w:p>
    <w:p w14:paraId="3C86CA6A">
      <w:pPr>
        <w:pStyle w:val="10"/>
        <w:ind w:firstLine="538"/>
        <w:rPr>
          <w:color w:val="auto"/>
          <w:highlight w:val="none"/>
        </w:rPr>
      </w:pPr>
    </w:p>
    <w:p w14:paraId="5B1B0309">
      <w:pPr>
        <w:pStyle w:val="10"/>
        <w:ind w:firstLine="538"/>
        <w:rPr>
          <w:color w:val="auto"/>
          <w:highlight w:val="none"/>
        </w:rPr>
      </w:pPr>
    </w:p>
    <w:p w14:paraId="5F09914E">
      <w:pPr>
        <w:pStyle w:val="10"/>
        <w:ind w:firstLine="538"/>
        <w:rPr>
          <w:color w:val="auto"/>
          <w:highlight w:val="none"/>
        </w:rPr>
      </w:pPr>
    </w:p>
    <w:p w14:paraId="575FDD0C">
      <w:pPr>
        <w:pStyle w:val="10"/>
        <w:ind w:firstLine="538"/>
        <w:rPr>
          <w:color w:val="auto"/>
          <w:highlight w:val="none"/>
        </w:rPr>
      </w:pPr>
    </w:p>
    <w:p w14:paraId="207B6830">
      <w:pPr>
        <w:pStyle w:val="10"/>
        <w:ind w:firstLine="538"/>
        <w:rPr>
          <w:color w:val="auto"/>
          <w:highlight w:val="none"/>
        </w:rPr>
      </w:pPr>
    </w:p>
    <w:p w14:paraId="3CB71B9E">
      <w:pPr>
        <w:pStyle w:val="10"/>
        <w:ind w:firstLine="538"/>
        <w:rPr>
          <w:color w:val="auto"/>
          <w:highlight w:val="none"/>
        </w:rPr>
      </w:pPr>
    </w:p>
    <w:p w14:paraId="351C7B8E">
      <w:pPr>
        <w:pStyle w:val="10"/>
        <w:ind w:firstLine="538"/>
        <w:rPr>
          <w:color w:val="auto"/>
          <w:highlight w:val="none"/>
        </w:rPr>
      </w:pPr>
    </w:p>
    <w:p w14:paraId="18EE200D">
      <w:pPr>
        <w:pStyle w:val="10"/>
        <w:ind w:firstLine="538"/>
        <w:rPr>
          <w:color w:val="auto"/>
          <w:highlight w:val="none"/>
        </w:rPr>
      </w:pPr>
    </w:p>
    <w:p w14:paraId="0F0DCE7E">
      <w:pPr>
        <w:pStyle w:val="10"/>
        <w:ind w:firstLine="538"/>
        <w:rPr>
          <w:color w:val="auto"/>
          <w:highlight w:val="none"/>
        </w:rPr>
      </w:pPr>
    </w:p>
    <w:p w14:paraId="010CD261">
      <w:pPr>
        <w:rPr>
          <w:color w:val="auto"/>
          <w:highlight w:val="none"/>
        </w:rPr>
      </w:pPr>
      <w:r>
        <w:rPr>
          <w:color w:val="auto"/>
          <w:highlight w:val="none"/>
        </w:rPr>
        <w:br w:type="page"/>
      </w:r>
    </w:p>
    <w:p w14:paraId="141D7A7E">
      <w:pPr>
        <w:pStyle w:val="10"/>
        <w:ind w:firstLine="538"/>
        <w:rPr>
          <w:color w:val="auto"/>
          <w:highlight w:val="none"/>
        </w:rPr>
      </w:pPr>
    </w:p>
    <w:p w14:paraId="15B53EEE">
      <w:pPr>
        <w:pStyle w:val="2"/>
        <w:keepNext/>
        <w:keepLines/>
        <w:numPr>
          <w:ilvl w:val="0"/>
          <w:numId w:val="1"/>
        </w:numPr>
        <w:autoSpaceDE/>
        <w:autoSpaceDN/>
        <w:snapToGrid w:val="0"/>
        <w:spacing w:before="0"/>
        <w:ind w:left="0"/>
        <w:jc w:val="center"/>
        <w:rPr>
          <w:rFonts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t>投标人须知</w:t>
      </w:r>
    </w:p>
    <w:p w14:paraId="2A78BF47">
      <w:pPr>
        <w:pStyle w:val="4"/>
        <w:rPr>
          <w:color w:val="auto"/>
          <w:highlight w:val="none"/>
        </w:rPr>
      </w:pPr>
      <w:r>
        <w:rPr>
          <w:rFonts w:hint="eastAsia"/>
          <w:color w:val="auto"/>
          <w:highlight w:val="none"/>
        </w:rPr>
        <w:t>投标人须知表</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14:paraId="78B6E4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noWrap/>
            <w:vAlign w:val="center"/>
          </w:tcPr>
          <w:p w14:paraId="5EF34F29">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条款名称</w:t>
            </w:r>
          </w:p>
        </w:tc>
        <w:tc>
          <w:tcPr>
            <w:tcW w:w="7305" w:type="dxa"/>
            <w:tcBorders>
              <w:top w:val="single" w:color="auto" w:sz="12" w:space="0"/>
              <w:left w:val="single" w:color="auto" w:sz="6" w:space="0"/>
              <w:bottom w:val="single" w:color="auto" w:sz="6" w:space="0"/>
              <w:right w:val="single" w:color="auto" w:sz="12" w:space="0"/>
            </w:tcBorders>
            <w:noWrap/>
            <w:vAlign w:val="center"/>
          </w:tcPr>
          <w:p w14:paraId="73615394">
            <w:pPr>
              <w:wordWrap w:val="0"/>
              <w:spacing w:line="240" w:lineRule="atLeast"/>
              <w:ind w:left="1105" w:leftChars="257" w:hanging="540"/>
              <w:jc w:val="both"/>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Cs/>
                <w:color w:val="auto"/>
                <w:sz w:val="24"/>
                <w:szCs w:val="24"/>
                <w:highlight w:val="none"/>
              </w:rPr>
              <w:t>内容</w:t>
            </w:r>
          </w:p>
        </w:tc>
      </w:tr>
      <w:tr w14:paraId="54769C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612F15B7">
            <w:pPr>
              <w:wordWrap w:val="0"/>
              <w:spacing w:before="78" w:line="221" w:lineRule="auto"/>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项目属性</w:t>
            </w:r>
          </w:p>
        </w:tc>
        <w:tc>
          <w:tcPr>
            <w:tcW w:w="7305" w:type="dxa"/>
            <w:tcBorders>
              <w:top w:val="single" w:color="auto" w:sz="6" w:space="0"/>
              <w:left w:val="single" w:color="auto" w:sz="6" w:space="0"/>
              <w:bottom w:val="single" w:color="auto" w:sz="6" w:space="0"/>
              <w:right w:val="single" w:color="auto" w:sz="12" w:space="0"/>
            </w:tcBorders>
            <w:noWrap/>
            <w:vAlign w:val="center"/>
          </w:tcPr>
          <w:p w14:paraId="17099850">
            <w:pPr>
              <w:pStyle w:val="20"/>
              <w:rPr>
                <w:color w:val="auto"/>
                <w:highlight w:val="none"/>
              </w:rPr>
            </w:pPr>
            <w:r>
              <w:rPr>
                <w:rFonts w:hint="eastAsia" w:ascii="Segoe UI Symbol" w:hAnsi="Segoe UI Symbol" w:eastAsia="仿宋_GB2312" w:cs="Segoe UI Symbol"/>
                <w:color w:val="auto"/>
                <w:spacing w:val="29"/>
                <w:sz w:val="22"/>
                <w:szCs w:val="28"/>
                <w:highlight w:val="none"/>
                <w:lang w:eastAsia="zh-CN"/>
              </w:rPr>
              <w:t>□</w:t>
            </w:r>
            <w:r>
              <w:rPr>
                <w:rFonts w:hint="eastAsia"/>
                <w:color w:val="auto"/>
                <w:highlight w:val="none"/>
              </w:rPr>
              <w:t>服务</w:t>
            </w:r>
          </w:p>
          <w:p w14:paraId="4C6B1871">
            <w:pPr>
              <w:pStyle w:val="20"/>
              <w:rPr>
                <w:color w:val="auto"/>
                <w:highlight w:val="none"/>
                <w:lang w:eastAsia="zh-CN"/>
              </w:rPr>
            </w:pPr>
            <w:r>
              <w:rPr>
                <w:rFonts w:hint="eastAsia"/>
                <w:color w:val="auto"/>
                <w:highlight w:val="none"/>
                <w:lang w:eastAsia="zh-CN"/>
              </w:rPr>
              <w:t>☑</w:t>
            </w:r>
            <w:r>
              <w:rPr>
                <w:rFonts w:hint="eastAsia"/>
                <w:color w:val="auto"/>
                <w:highlight w:val="none"/>
              </w:rPr>
              <w:t>货物</w:t>
            </w:r>
          </w:p>
        </w:tc>
      </w:tr>
      <w:tr w14:paraId="6610A9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756004C8">
            <w:pPr>
              <w:wordWrap w:val="0"/>
              <w:spacing w:before="78" w:line="219" w:lineRule="auto"/>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科研仪器设备</w:t>
            </w:r>
          </w:p>
        </w:tc>
        <w:tc>
          <w:tcPr>
            <w:tcW w:w="7305" w:type="dxa"/>
            <w:tcBorders>
              <w:top w:val="single" w:color="auto" w:sz="6" w:space="0"/>
              <w:left w:val="single" w:color="auto" w:sz="6" w:space="0"/>
              <w:bottom w:val="single" w:color="auto" w:sz="6" w:space="0"/>
              <w:right w:val="single" w:color="auto" w:sz="12" w:space="0"/>
            </w:tcBorders>
            <w:noWrap/>
          </w:tcPr>
          <w:p w14:paraId="45719E0F">
            <w:pPr>
              <w:wordWrap w:val="0"/>
              <w:spacing w:before="37" w:line="238" w:lineRule="auto"/>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是否属于科研仪器设备采购项目：</w:t>
            </w:r>
          </w:p>
          <w:p w14:paraId="514D96A5">
            <w:pPr>
              <w:pStyle w:val="20"/>
              <w:rPr>
                <w:color w:val="auto"/>
                <w:highlight w:val="none"/>
              </w:rPr>
            </w:pPr>
            <w:r>
              <w:rPr>
                <w:rFonts w:hint="eastAsia"/>
                <w:color w:val="auto"/>
                <w:highlight w:val="none"/>
              </w:rPr>
              <w:t>□是</w:t>
            </w:r>
          </w:p>
          <w:p w14:paraId="46F17BD1">
            <w:pPr>
              <w:pStyle w:val="20"/>
              <w:rPr>
                <w:color w:val="auto"/>
                <w:highlight w:val="none"/>
              </w:rPr>
            </w:pPr>
            <w:r>
              <w:rPr>
                <w:rFonts w:ascii="Segoe UI Symbol" w:hAnsi="Segoe UI Symbol" w:eastAsia="仿宋_GB2312" w:cs="Segoe UI Symbol"/>
                <w:color w:val="auto"/>
                <w:sz w:val="22"/>
                <w:szCs w:val="28"/>
                <w:highlight w:val="none"/>
              </w:rPr>
              <w:t>☑</w:t>
            </w:r>
            <w:r>
              <w:rPr>
                <w:rFonts w:hint="eastAsia"/>
                <w:color w:val="auto"/>
                <w:highlight w:val="none"/>
              </w:rPr>
              <w:t>否</w:t>
            </w:r>
          </w:p>
        </w:tc>
      </w:tr>
      <w:tr w14:paraId="581C20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tcPr>
          <w:p w14:paraId="39F12FFA">
            <w:pPr>
              <w:pStyle w:val="20"/>
              <w:rPr>
                <w:color w:val="auto"/>
                <w:highlight w:val="none"/>
              </w:rPr>
            </w:pPr>
          </w:p>
          <w:p w14:paraId="3D6B8F5E">
            <w:pPr>
              <w:wordWrap w:val="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现场考察</w:t>
            </w:r>
          </w:p>
        </w:tc>
        <w:tc>
          <w:tcPr>
            <w:tcW w:w="7305" w:type="dxa"/>
            <w:tcBorders>
              <w:top w:val="single" w:color="auto" w:sz="6" w:space="0"/>
              <w:left w:val="single" w:color="auto" w:sz="6" w:space="0"/>
              <w:bottom w:val="single" w:color="auto" w:sz="6" w:space="0"/>
              <w:right w:val="single" w:color="auto" w:sz="12" w:space="0"/>
            </w:tcBorders>
            <w:noWrap/>
          </w:tcPr>
          <w:p w14:paraId="033B4FF0">
            <w:pPr>
              <w:pStyle w:val="20"/>
              <w:rPr>
                <w:color w:val="auto"/>
                <w:highlight w:val="none"/>
              </w:rPr>
            </w:pPr>
            <w:r>
              <w:rPr>
                <w:rFonts w:ascii="Segoe UI Symbol" w:hAnsi="Segoe UI Symbol" w:eastAsia="仿宋_GB2312" w:cs="Segoe UI Symbol"/>
                <w:color w:val="auto"/>
                <w:spacing w:val="29"/>
                <w:sz w:val="22"/>
                <w:szCs w:val="28"/>
                <w:highlight w:val="none"/>
                <w:lang w:eastAsia="zh-CN"/>
              </w:rPr>
              <w:t>☑</w:t>
            </w:r>
            <w:r>
              <w:rPr>
                <w:rFonts w:hint="eastAsia"/>
                <w:color w:val="auto"/>
                <w:highlight w:val="none"/>
              </w:rPr>
              <w:t>不组织</w:t>
            </w:r>
          </w:p>
          <w:p w14:paraId="7F919432">
            <w:pPr>
              <w:pStyle w:val="20"/>
              <w:rPr>
                <w:color w:val="auto"/>
                <w:highlight w:val="none"/>
              </w:rPr>
            </w:pPr>
            <w:r>
              <w:rPr>
                <w:rFonts w:hint="eastAsia"/>
                <w:color w:val="auto"/>
                <w:highlight w:val="none"/>
              </w:rPr>
              <w:t>□组织，考察时间：年月日点分</w:t>
            </w:r>
          </w:p>
          <w:p w14:paraId="2B2CB7BF">
            <w:pPr>
              <w:wordWrap w:val="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5"/>
                <w:sz w:val="24"/>
                <w:szCs w:val="24"/>
                <w:highlight w:val="none"/>
              </w:rPr>
              <w:t>考察地点：。</w:t>
            </w:r>
          </w:p>
        </w:tc>
      </w:tr>
      <w:tr w14:paraId="7FD6D5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64AC0AF7">
            <w:pPr>
              <w:wordWrap w:val="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开标前答疑会</w:t>
            </w:r>
          </w:p>
        </w:tc>
        <w:tc>
          <w:tcPr>
            <w:tcW w:w="7305" w:type="dxa"/>
            <w:tcBorders>
              <w:top w:val="single" w:color="auto" w:sz="6" w:space="0"/>
              <w:left w:val="single" w:color="auto" w:sz="6" w:space="0"/>
              <w:bottom w:val="single" w:color="auto" w:sz="6" w:space="0"/>
              <w:right w:val="single" w:color="auto" w:sz="12" w:space="0"/>
            </w:tcBorders>
            <w:noWrap/>
          </w:tcPr>
          <w:p w14:paraId="20FD050D">
            <w:pPr>
              <w:pStyle w:val="20"/>
              <w:rPr>
                <w:color w:val="auto"/>
                <w:highlight w:val="none"/>
              </w:rPr>
            </w:pPr>
            <w:r>
              <w:rPr>
                <w:rFonts w:ascii="Segoe UI Symbol" w:hAnsi="Segoe UI Symbol" w:eastAsia="仿宋_GB2312" w:cs="Segoe UI Symbol"/>
                <w:color w:val="auto"/>
                <w:spacing w:val="29"/>
                <w:sz w:val="22"/>
                <w:szCs w:val="28"/>
                <w:highlight w:val="none"/>
                <w:lang w:eastAsia="zh-CN"/>
              </w:rPr>
              <w:t>☑</w:t>
            </w:r>
            <w:r>
              <w:rPr>
                <w:rFonts w:hint="eastAsia"/>
                <w:color w:val="auto"/>
                <w:highlight w:val="none"/>
              </w:rPr>
              <w:t>不召开</w:t>
            </w:r>
          </w:p>
          <w:p w14:paraId="52BFC7F9">
            <w:pPr>
              <w:pStyle w:val="20"/>
              <w:rPr>
                <w:color w:val="auto"/>
                <w:highlight w:val="none"/>
              </w:rPr>
            </w:pPr>
            <w:r>
              <w:rPr>
                <w:rFonts w:hint="eastAsia"/>
                <w:color w:val="auto"/>
                <w:highlight w:val="none"/>
              </w:rPr>
              <w:t>□召开，召开时间：年月日点分</w:t>
            </w:r>
          </w:p>
          <w:p w14:paraId="15A577B7">
            <w:pPr>
              <w:wordWrap w:val="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6"/>
                <w:sz w:val="24"/>
                <w:szCs w:val="24"/>
                <w:highlight w:val="none"/>
              </w:rPr>
              <w:t>召开地点：</w:t>
            </w:r>
            <w:r>
              <w:rPr>
                <w:rFonts w:hint="eastAsia" w:asciiTheme="minorEastAsia" w:hAnsiTheme="minorEastAsia" w:eastAsiaTheme="minorEastAsia" w:cstheme="minorEastAsia"/>
                <w:color w:val="auto"/>
                <w:spacing w:val="-25"/>
                <w:sz w:val="24"/>
                <w:szCs w:val="24"/>
                <w:highlight w:val="none"/>
              </w:rPr>
              <w:t>。</w:t>
            </w:r>
          </w:p>
        </w:tc>
      </w:tr>
      <w:tr w14:paraId="3EA333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168C27B8">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中小企业</w:t>
            </w:r>
          </w:p>
        </w:tc>
        <w:tc>
          <w:tcPr>
            <w:tcW w:w="7305" w:type="dxa"/>
            <w:tcBorders>
              <w:top w:val="single" w:color="auto" w:sz="6" w:space="0"/>
              <w:left w:val="single" w:color="auto" w:sz="6" w:space="0"/>
              <w:bottom w:val="single" w:color="auto" w:sz="6" w:space="0"/>
              <w:right w:val="single" w:color="auto" w:sz="12" w:space="0"/>
            </w:tcBorders>
            <w:noWrap/>
            <w:vAlign w:val="center"/>
          </w:tcPr>
          <w:p w14:paraId="50F9A480">
            <w:pPr>
              <w:pStyle w:val="20"/>
              <w:numPr>
                <w:ilvl w:val="0"/>
                <w:numId w:val="3"/>
              </w:numPr>
              <w:rPr>
                <w:color w:val="auto"/>
                <w:highlight w:val="none"/>
              </w:rPr>
            </w:pPr>
            <w:r>
              <w:rPr>
                <w:rFonts w:hint="eastAsia"/>
                <w:color w:val="auto"/>
                <w:highlight w:val="none"/>
              </w:rPr>
              <w:t>本项目采购标的按照中小企业划分标准属于：</w:t>
            </w:r>
            <w:r>
              <w:rPr>
                <w:rFonts w:hint="eastAsia"/>
                <w:color w:val="auto"/>
                <w:highlight w:val="none"/>
                <w:u w:val="single"/>
                <w:lang w:val="en-US" w:eastAsia="zh-CN"/>
              </w:rPr>
              <w:t>制造</w:t>
            </w:r>
            <w:r>
              <w:rPr>
                <w:rFonts w:hint="eastAsia"/>
                <w:color w:val="auto"/>
                <w:highlight w:val="none"/>
                <w:u w:val="single"/>
              </w:rPr>
              <w:t>业</w:t>
            </w:r>
            <w:r>
              <w:rPr>
                <w:rFonts w:hint="eastAsia"/>
                <w:color w:val="auto"/>
                <w:highlight w:val="none"/>
                <w:u w:val="single"/>
                <w:lang w:val="en-US" w:eastAsia="zh-CN"/>
              </w:rPr>
              <w:t xml:space="preserve">  </w:t>
            </w:r>
          </w:p>
          <w:p w14:paraId="02AF1B14">
            <w:pPr>
              <w:pStyle w:val="20"/>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41" w:line="360" w:lineRule="auto"/>
              <w:ind w:left="41" w:leftChars="0" w:right="793" w:rightChars="0" w:firstLine="214" w:firstLineChars="100"/>
              <w:textAlignment w:val="baseline"/>
              <w:rPr>
                <w:color w:val="auto"/>
                <w:highlight w:val="none"/>
              </w:rPr>
            </w:pPr>
            <w:r>
              <w:rPr>
                <w:rFonts w:hint="eastAsia" w:asciiTheme="minorEastAsia" w:hAnsiTheme="minorEastAsia" w:eastAsiaTheme="minorEastAsia" w:cstheme="minorEastAsia"/>
                <w:color w:val="auto"/>
                <w:spacing w:val="-13"/>
                <w:sz w:val="24"/>
                <w:szCs w:val="24"/>
                <w:highlight w:val="none"/>
                <w:lang w:eastAsia="zh-CN"/>
              </w:rPr>
              <w:t>☑</w:t>
            </w:r>
            <w:r>
              <w:rPr>
                <w:spacing w:val="7"/>
                <w:sz w:val="24"/>
                <w:szCs w:val="24"/>
              </w:rPr>
              <w:t>本项目专门面向中小企业采购。</w:t>
            </w:r>
          </w:p>
          <w:p w14:paraId="72E9EF8B">
            <w:pPr>
              <w:wordWrap w:val="0"/>
              <w:autoSpaceDE/>
              <w:autoSpaceDN/>
              <w:jc w:val="both"/>
              <w:rPr>
                <w:rFonts w:asciiTheme="minorEastAsia" w:hAnsiTheme="minorEastAsia" w:eastAsiaTheme="minorEastAsia" w:cstheme="minorEastAsia"/>
                <w:color w:val="auto"/>
                <w:spacing w:val="14"/>
                <w:sz w:val="24"/>
                <w:szCs w:val="24"/>
                <w:highlight w:val="none"/>
              </w:rPr>
            </w:pPr>
            <w:r>
              <w:rPr>
                <w:rFonts w:hint="eastAsia" w:ascii="Segoe UI Symbol" w:hAnsi="Segoe UI Symbol" w:eastAsia="仿宋_GB2312" w:cs="Segoe UI Symbol"/>
                <w:color w:val="0000FF"/>
                <w:spacing w:val="29"/>
                <w:sz w:val="22"/>
                <w:szCs w:val="28"/>
                <w:highlight w:val="none"/>
                <w:lang w:val="en-US" w:eastAsia="zh-CN"/>
              </w:rPr>
              <w:t xml:space="preserve">  </w:t>
            </w:r>
            <w:r>
              <w:rPr>
                <w:rFonts w:hint="eastAsia" w:asciiTheme="minorEastAsia" w:hAnsiTheme="minorEastAsia" w:eastAsiaTheme="minorEastAsia" w:cstheme="minorEastAsia"/>
                <w:color w:val="auto"/>
                <w:spacing w:val="-13"/>
                <w:sz w:val="24"/>
                <w:szCs w:val="24"/>
                <w:highlight w:val="none"/>
              </w:rPr>
              <w:t>□</w:t>
            </w:r>
            <w:r>
              <w:rPr>
                <w:rFonts w:hint="eastAsia" w:asciiTheme="minorEastAsia" w:hAnsiTheme="minorEastAsia" w:eastAsiaTheme="minorEastAsia" w:cstheme="minorEastAsia"/>
                <w:color w:val="auto"/>
                <w:spacing w:val="29"/>
                <w:sz w:val="24"/>
                <w:szCs w:val="24"/>
                <w:highlight w:val="none"/>
              </w:rPr>
              <w:t>本项目小微企业价格折扣比例%。</w:t>
            </w:r>
          </w:p>
          <w:p w14:paraId="167148B2">
            <w:pPr>
              <w:wordWrap w:val="0"/>
              <w:autoSpaceDE/>
              <w:autoSpaceDN/>
              <w:jc w:val="both"/>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pacing w:val="14"/>
                <w:sz w:val="24"/>
                <w:szCs w:val="24"/>
                <w:highlight w:val="none"/>
              </w:rPr>
              <w:t>2、中标供应商享受《政府采购促进中小企业发展管理办法》规定的中小企业扶持政策的，采购人、采购代理机构将随中标结果公开中标供应商的《中小企业声明函》。</w:t>
            </w:r>
          </w:p>
        </w:tc>
      </w:tr>
      <w:tr w14:paraId="7366FC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23" w:hRule="atLeast"/>
          <w:jc w:val="center"/>
        </w:trPr>
        <w:tc>
          <w:tcPr>
            <w:tcW w:w="1582" w:type="dxa"/>
            <w:tcBorders>
              <w:top w:val="single" w:color="auto" w:sz="6" w:space="0"/>
              <w:left w:val="single" w:color="auto" w:sz="12" w:space="0"/>
              <w:bottom w:val="single" w:color="auto" w:sz="6" w:space="0"/>
              <w:right w:val="single" w:color="auto" w:sz="6" w:space="0"/>
            </w:tcBorders>
            <w:noWrap/>
          </w:tcPr>
          <w:p w14:paraId="558BD529">
            <w:pPr>
              <w:pStyle w:val="20"/>
              <w:rPr>
                <w:color w:val="auto"/>
                <w:highlight w:val="none"/>
              </w:rPr>
            </w:pPr>
          </w:p>
          <w:p w14:paraId="3FFF9883">
            <w:pPr>
              <w:wordWrap w:val="0"/>
              <w:spacing w:before="78" w:line="219" w:lineRule="auto"/>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投标报价</w:t>
            </w:r>
          </w:p>
        </w:tc>
        <w:tc>
          <w:tcPr>
            <w:tcW w:w="7305" w:type="dxa"/>
            <w:tcBorders>
              <w:top w:val="single" w:color="auto" w:sz="6" w:space="0"/>
              <w:left w:val="single" w:color="auto" w:sz="6" w:space="0"/>
              <w:bottom w:val="single" w:color="auto" w:sz="6" w:space="0"/>
              <w:right w:val="single" w:color="auto" w:sz="12" w:space="0"/>
            </w:tcBorders>
            <w:noWrap/>
          </w:tcPr>
          <w:p w14:paraId="605DE4CB">
            <w:pPr>
              <w:wordWrap w:val="0"/>
              <w:spacing w:before="4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投标报价的特殊规定：</w:t>
            </w:r>
          </w:p>
          <w:p w14:paraId="7FF46BE5">
            <w:pPr>
              <w:pStyle w:val="20"/>
              <w:rPr>
                <w:color w:val="auto"/>
                <w:highlight w:val="none"/>
              </w:rPr>
            </w:pPr>
            <w:r>
              <w:rPr>
                <w:rFonts w:ascii="Segoe UI Symbol" w:hAnsi="Segoe UI Symbol" w:eastAsia="仿宋_GB2312" w:cs="Segoe UI Symbol"/>
                <w:color w:val="auto"/>
                <w:sz w:val="22"/>
                <w:szCs w:val="28"/>
                <w:highlight w:val="none"/>
                <w:lang w:eastAsia="zh-CN"/>
              </w:rPr>
              <w:t>☑</w:t>
            </w:r>
            <w:r>
              <w:rPr>
                <w:rFonts w:hint="eastAsia"/>
                <w:color w:val="auto"/>
                <w:highlight w:val="none"/>
              </w:rPr>
              <w:t>无</w:t>
            </w:r>
          </w:p>
          <w:p w14:paraId="239D37C6">
            <w:pPr>
              <w:pStyle w:val="20"/>
              <w:rPr>
                <w:color w:val="auto"/>
                <w:highlight w:val="none"/>
                <w:lang w:eastAsia="zh-CN"/>
              </w:rPr>
            </w:pPr>
            <w:r>
              <w:rPr>
                <w:rFonts w:hint="eastAsia"/>
                <w:color w:val="auto"/>
                <w:highlight w:val="none"/>
              </w:rPr>
              <w:t>□有，具体情形：</w:t>
            </w:r>
          </w:p>
        </w:tc>
      </w:tr>
      <w:tr w14:paraId="078170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351BBDBA">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招标控制价</w:t>
            </w:r>
          </w:p>
        </w:tc>
        <w:tc>
          <w:tcPr>
            <w:tcW w:w="7305" w:type="dxa"/>
            <w:tcBorders>
              <w:top w:val="single" w:color="auto" w:sz="6" w:space="0"/>
              <w:left w:val="single" w:color="auto" w:sz="6" w:space="0"/>
              <w:bottom w:val="single" w:color="auto" w:sz="6" w:space="0"/>
              <w:right w:val="single" w:color="auto" w:sz="12" w:space="0"/>
            </w:tcBorders>
            <w:noWrap/>
            <w:vAlign w:val="center"/>
          </w:tcPr>
          <w:p w14:paraId="10B3841F">
            <w:pPr>
              <w:wordWrap w:val="0"/>
              <w:spacing w:line="240" w:lineRule="atLeast"/>
              <w:jc w:val="both"/>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450000</w:t>
            </w:r>
            <w:r>
              <w:rPr>
                <w:rFonts w:hint="default" w:asciiTheme="minorEastAsia" w:hAnsiTheme="minorEastAsia" w:eastAsiaTheme="minorEastAsia" w:cstheme="minorEastAsia"/>
                <w:color w:val="auto"/>
                <w:sz w:val="24"/>
                <w:szCs w:val="24"/>
                <w:highlight w:val="none"/>
                <w:lang w:val="en-US" w:eastAsia="zh-CN"/>
              </w:rPr>
              <w:t>元</w:t>
            </w:r>
          </w:p>
        </w:tc>
      </w:tr>
      <w:tr w14:paraId="24BBF7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2296928A">
            <w:pPr>
              <w:wordWrap w:val="0"/>
              <w:spacing w:line="240" w:lineRule="atLeast"/>
              <w:jc w:val="both"/>
              <w:rPr>
                <w:rFonts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资金来源</w:t>
            </w:r>
          </w:p>
        </w:tc>
        <w:tc>
          <w:tcPr>
            <w:tcW w:w="7305" w:type="dxa"/>
            <w:tcBorders>
              <w:top w:val="single" w:color="auto" w:sz="6" w:space="0"/>
              <w:left w:val="single" w:color="auto" w:sz="6" w:space="0"/>
              <w:bottom w:val="single" w:color="auto" w:sz="6" w:space="0"/>
              <w:right w:val="single" w:color="auto" w:sz="12" w:space="0"/>
            </w:tcBorders>
            <w:noWrap/>
            <w:vAlign w:val="center"/>
          </w:tcPr>
          <w:p w14:paraId="204B9B37">
            <w:pPr>
              <w:wordWrap w:val="0"/>
              <w:spacing w:line="240" w:lineRule="atLeast"/>
              <w:jc w:val="both"/>
              <w:rPr>
                <w:rFonts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财政涉农统筹整合资金</w:t>
            </w:r>
          </w:p>
        </w:tc>
      </w:tr>
      <w:tr w14:paraId="357722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17B3D316">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投标有效期</w:t>
            </w:r>
          </w:p>
        </w:tc>
        <w:tc>
          <w:tcPr>
            <w:tcW w:w="7305" w:type="dxa"/>
            <w:tcBorders>
              <w:top w:val="single" w:color="auto" w:sz="6" w:space="0"/>
              <w:left w:val="single" w:color="auto" w:sz="6" w:space="0"/>
              <w:bottom w:val="single" w:color="auto" w:sz="6" w:space="0"/>
              <w:right w:val="single" w:color="auto" w:sz="12" w:space="0"/>
            </w:tcBorders>
            <w:noWrap/>
            <w:vAlign w:val="center"/>
          </w:tcPr>
          <w:p w14:paraId="7B948E65">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开标之日起60日历日</w:t>
            </w:r>
          </w:p>
        </w:tc>
      </w:tr>
      <w:tr w14:paraId="55004E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2C2E5DD4">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投标文件数量</w:t>
            </w:r>
          </w:p>
        </w:tc>
        <w:tc>
          <w:tcPr>
            <w:tcW w:w="7305" w:type="dxa"/>
            <w:tcBorders>
              <w:top w:val="single" w:color="auto" w:sz="6" w:space="0"/>
              <w:left w:val="single" w:color="auto" w:sz="6" w:space="0"/>
              <w:bottom w:val="single" w:color="auto" w:sz="6" w:space="0"/>
              <w:right w:val="single" w:color="auto" w:sz="12" w:space="0"/>
            </w:tcBorders>
            <w:noWrap/>
            <w:vAlign w:val="center"/>
          </w:tcPr>
          <w:p w14:paraId="2D4FBA25">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电子投标文件：1份</w:t>
            </w:r>
          </w:p>
        </w:tc>
      </w:tr>
      <w:tr w14:paraId="0C8D81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660B8EFA">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投标截止时间</w:t>
            </w:r>
          </w:p>
        </w:tc>
        <w:tc>
          <w:tcPr>
            <w:tcW w:w="7305" w:type="dxa"/>
            <w:tcBorders>
              <w:top w:val="single" w:color="auto" w:sz="6" w:space="0"/>
              <w:left w:val="single" w:color="auto" w:sz="6" w:space="0"/>
              <w:bottom w:val="single" w:color="auto" w:sz="6" w:space="0"/>
              <w:right w:val="single" w:color="auto" w:sz="12" w:space="0"/>
            </w:tcBorders>
            <w:shd w:val="clear" w:color="auto" w:fill="auto"/>
            <w:noWrap/>
            <w:vAlign w:val="center"/>
          </w:tcPr>
          <w:p w14:paraId="510DD086">
            <w:pPr>
              <w:wordWrap w:val="0"/>
              <w:spacing w:line="240" w:lineRule="atLeast"/>
              <w:jc w:val="both"/>
              <w:rPr>
                <w:rFonts w:asciiTheme="minorEastAsia" w:hAnsiTheme="minorEastAsia" w:eastAsiaTheme="minorEastAsia" w:cstheme="minorEastAsia"/>
                <w:color w:val="auto"/>
                <w:sz w:val="24"/>
                <w:szCs w:val="24"/>
                <w:highlight w:val="yellow"/>
                <w:lang w:val="zh-CN" w:eastAsia="zh-CN" w:bidi="zh-CN"/>
              </w:rPr>
            </w:pPr>
            <w:r>
              <w:rPr>
                <w:rFonts w:hint="eastAsia" w:eastAsiaTheme="minorEastAsia"/>
                <w:color w:val="auto"/>
                <w:sz w:val="24"/>
                <w:szCs w:val="21"/>
                <w:highlight w:val="none"/>
                <w:lang w:eastAsia="zh-CN"/>
              </w:rPr>
              <w:t>2025年</w:t>
            </w:r>
            <w:r>
              <w:rPr>
                <w:rFonts w:hint="eastAsia" w:eastAsiaTheme="minorEastAsia"/>
                <w:color w:val="auto"/>
                <w:sz w:val="24"/>
                <w:szCs w:val="21"/>
                <w:highlight w:val="none"/>
                <w:lang w:val="en-US" w:eastAsia="zh-CN"/>
              </w:rPr>
              <w:t>7</w:t>
            </w:r>
            <w:r>
              <w:rPr>
                <w:rFonts w:hint="eastAsia" w:eastAsiaTheme="minorEastAsia"/>
                <w:color w:val="auto"/>
                <w:sz w:val="24"/>
                <w:szCs w:val="21"/>
                <w:highlight w:val="none"/>
                <w:lang w:eastAsia="zh-CN"/>
              </w:rPr>
              <w:t>月</w:t>
            </w:r>
            <w:r>
              <w:rPr>
                <w:rFonts w:hint="eastAsia" w:eastAsiaTheme="minorEastAsia"/>
                <w:color w:val="auto"/>
                <w:sz w:val="24"/>
                <w:szCs w:val="21"/>
                <w:highlight w:val="none"/>
                <w:lang w:val="en-US" w:eastAsia="zh-CN"/>
              </w:rPr>
              <w:t>15</w:t>
            </w:r>
            <w:r>
              <w:rPr>
                <w:rFonts w:hint="eastAsia" w:eastAsiaTheme="minorEastAsia"/>
                <w:color w:val="auto"/>
                <w:sz w:val="24"/>
                <w:szCs w:val="21"/>
                <w:highlight w:val="none"/>
                <w:lang w:eastAsia="zh-CN"/>
              </w:rPr>
              <w:t>日</w:t>
            </w:r>
            <w:r>
              <w:rPr>
                <w:rFonts w:hint="eastAsia" w:eastAsiaTheme="minorEastAsia"/>
                <w:color w:val="auto"/>
                <w:sz w:val="24"/>
                <w:szCs w:val="21"/>
                <w:highlight w:val="none"/>
                <w:lang w:val="en-US" w:eastAsia="zh-CN"/>
              </w:rPr>
              <w:t>09</w:t>
            </w:r>
            <w:r>
              <w:rPr>
                <w:rFonts w:hint="eastAsia" w:eastAsiaTheme="minorEastAsia"/>
                <w:color w:val="auto"/>
                <w:sz w:val="24"/>
                <w:szCs w:val="21"/>
                <w:highlight w:val="none"/>
                <w:lang w:eastAsia="zh-CN"/>
              </w:rPr>
              <w:t>时00分</w:t>
            </w:r>
            <w:r>
              <w:rPr>
                <w:rFonts w:hint="eastAsia" w:asciiTheme="minorEastAsia" w:hAnsiTheme="minorEastAsia" w:eastAsiaTheme="minorEastAsia" w:cstheme="minorEastAsia"/>
                <w:color w:val="auto"/>
                <w:spacing w:val="14"/>
                <w:sz w:val="24"/>
                <w:szCs w:val="24"/>
                <w:highlight w:val="none"/>
              </w:rPr>
              <w:t>（北京时间）</w:t>
            </w:r>
          </w:p>
        </w:tc>
      </w:tr>
      <w:tr w14:paraId="3B74C0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638FBFA4">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开标时间</w:t>
            </w:r>
          </w:p>
        </w:tc>
        <w:tc>
          <w:tcPr>
            <w:tcW w:w="7305" w:type="dxa"/>
            <w:tcBorders>
              <w:top w:val="single" w:color="auto" w:sz="6" w:space="0"/>
              <w:left w:val="single" w:color="auto" w:sz="6" w:space="0"/>
              <w:bottom w:val="single" w:color="auto" w:sz="6" w:space="0"/>
              <w:right w:val="single" w:color="auto" w:sz="12" w:space="0"/>
            </w:tcBorders>
            <w:shd w:val="clear" w:color="auto" w:fill="auto"/>
            <w:noWrap/>
            <w:vAlign w:val="center"/>
          </w:tcPr>
          <w:p w14:paraId="315B0A42">
            <w:pPr>
              <w:wordWrap w:val="0"/>
              <w:spacing w:line="240" w:lineRule="atLeast"/>
              <w:jc w:val="both"/>
              <w:rPr>
                <w:rFonts w:asciiTheme="minorEastAsia" w:hAnsiTheme="minorEastAsia" w:eastAsiaTheme="minorEastAsia" w:cstheme="minorEastAsia"/>
                <w:color w:val="auto"/>
                <w:sz w:val="24"/>
                <w:szCs w:val="24"/>
                <w:highlight w:val="yellow"/>
                <w:u w:val="single"/>
                <w:lang w:val="zh-CN" w:eastAsia="zh-CN" w:bidi="zh-CN"/>
              </w:rPr>
            </w:pPr>
            <w:r>
              <w:rPr>
                <w:rFonts w:hint="eastAsia" w:eastAsiaTheme="minorEastAsia"/>
                <w:color w:val="auto"/>
                <w:sz w:val="24"/>
                <w:szCs w:val="21"/>
                <w:highlight w:val="none"/>
                <w:lang w:eastAsia="zh-CN"/>
              </w:rPr>
              <w:t>2025年</w:t>
            </w:r>
            <w:r>
              <w:rPr>
                <w:rFonts w:hint="eastAsia" w:eastAsiaTheme="minorEastAsia"/>
                <w:color w:val="auto"/>
                <w:sz w:val="24"/>
                <w:szCs w:val="21"/>
                <w:highlight w:val="none"/>
                <w:lang w:val="en-US" w:eastAsia="zh-CN"/>
              </w:rPr>
              <w:t>7</w:t>
            </w:r>
            <w:r>
              <w:rPr>
                <w:rFonts w:hint="eastAsia" w:eastAsiaTheme="minorEastAsia"/>
                <w:color w:val="auto"/>
                <w:sz w:val="24"/>
                <w:szCs w:val="21"/>
                <w:highlight w:val="none"/>
                <w:lang w:eastAsia="zh-CN"/>
              </w:rPr>
              <w:t>月</w:t>
            </w:r>
            <w:r>
              <w:rPr>
                <w:rFonts w:hint="eastAsia" w:eastAsiaTheme="minorEastAsia"/>
                <w:color w:val="auto"/>
                <w:sz w:val="24"/>
                <w:szCs w:val="21"/>
                <w:highlight w:val="none"/>
                <w:lang w:val="en-US" w:eastAsia="zh-CN"/>
              </w:rPr>
              <w:t>15</w:t>
            </w:r>
            <w:r>
              <w:rPr>
                <w:rFonts w:hint="eastAsia" w:eastAsiaTheme="minorEastAsia"/>
                <w:color w:val="auto"/>
                <w:sz w:val="24"/>
                <w:szCs w:val="21"/>
                <w:highlight w:val="none"/>
                <w:lang w:eastAsia="zh-CN"/>
              </w:rPr>
              <w:t>日09时00分</w:t>
            </w:r>
            <w:r>
              <w:rPr>
                <w:rFonts w:hint="eastAsia" w:asciiTheme="minorEastAsia" w:hAnsiTheme="minorEastAsia" w:eastAsiaTheme="minorEastAsia" w:cstheme="minorEastAsia"/>
                <w:color w:val="auto"/>
                <w:spacing w:val="14"/>
                <w:sz w:val="24"/>
                <w:szCs w:val="24"/>
                <w:highlight w:val="none"/>
              </w:rPr>
              <w:t>（北京时间）</w:t>
            </w:r>
          </w:p>
        </w:tc>
      </w:tr>
      <w:tr w14:paraId="512C87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0"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25DC7537">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履约保证金</w:t>
            </w:r>
          </w:p>
        </w:tc>
        <w:tc>
          <w:tcPr>
            <w:tcW w:w="7305" w:type="dxa"/>
            <w:tcBorders>
              <w:top w:val="single" w:color="auto" w:sz="6" w:space="0"/>
              <w:left w:val="single" w:color="auto" w:sz="6" w:space="0"/>
              <w:bottom w:val="single" w:color="auto" w:sz="6" w:space="0"/>
              <w:right w:val="single" w:color="auto" w:sz="12" w:space="0"/>
            </w:tcBorders>
            <w:noWrap/>
            <w:vAlign w:val="center"/>
          </w:tcPr>
          <w:p w14:paraId="660A8684">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2"/>
                <w:sz w:val="24"/>
                <w:szCs w:val="24"/>
                <w:highlight w:val="none"/>
              </w:rPr>
              <w:t>不收取</w:t>
            </w:r>
          </w:p>
        </w:tc>
      </w:tr>
      <w:tr w14:paraId="61DDA3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72274F4B">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评标方法</w:t>
            </w:r>
          </w:p>
        </w:tc>
        <w:tc>
          <w:tcPr>
            <w:tcW w:w="7305" w:type="dxa"/>
            <w:tcBorders>
              <w:top w:val="single" w:color="auto" w:sz="6" w:space="0"/>
              <w:left w:val="single" w:color="auto" w:sz="6" w:space="0"/>
              <w:bottom w:val="single" w:color="auto" w:sz="6" w:space="0"/>
              <w:right w:val="single" w:color="auto" w:sz="12" w:space="0"/>
            </w:tcBorders>
            <w:noWrap/>
            <w:vAlign w:val="center"/>
          </w:tcPr>
          <w:p w14:paraId="5DBEB42B">
            <w:pPr>
              <w:wordWrap w:val="0"/>
              <w:spacing w:line="240" w:lineRule="atLeast"/>
              <w:jc w:val="both"/>
              <w:rPr>
                <w:rFonts w:asciiTheme="minorEastAsia" w:hAnsiTheme="minorEastAsia" w:eastAsiaTheme="minorEastAsia" w:cstheme="minorEastAsia"/>
                <w:i/>
                <w:color w:val="auto"/>
                <w:sz w:val="24"/>
                <w:szCs w:val="24"/>
                <w:highlight w:val="none"/>
              </w:rPr>
            </w:pPr>
            <w:r>
              <w:rPr>
                <w:rFonts w:ascii="Segoe UI Symbol" w:hAnsi="Segoe UI Symbol" w:eastAsia="仿宋_GB2312" w:cs="Segoe UI Symbol"/>
                <w:color w:val="auto"/>
                <w:spacing w:val="29"/>
                <w:szCs w:val="28"/>
                <w:highlight w:val="none"/>
              </w:rPr>
              <w:t>☑</w:t>
            </w:r>
            <w:r>
              <w:rPr>
                <w:rFonts w:hint="eastAsia" w:asciiTheme="minorEastAsia" w:hAnsiTheme="minorEastAsia" w:eastAsiaTheme="minorEastAsia" w:cstheme="minorEastAsia"/>
                <w:color w:val="auto"/>
                <w:sz w:val="24"/>
                <w:szCs w:val="24"/>
                <w:highlight w:val="none"/>
              </w:rPr>
              <w:t>综合评分法</w:t>
            </w:r>
            <w:r>
              <w:rPr>
                <w:rFonts w:hint="eastAsia" w:asciiTheme="minorEastAsia" w:hAnsiTheme="minorEastAsia" w:eastAsiaTheme="minorEastAsia" w:cstheme="minorEastAsia"/>
                <w:color w:val="auto"/>
                <w:spacing w:val="14"/>
                <w:sz w:val="24"/>
                <w:szCs w:val="24"/>
                <w:highlight w:val="none"/>
              </w:rPr>
              <w:t>□</w:t>
            </w:r>
            <w:r>
              <w:rPr>
                <w:rFonts w:hint="eastAsia" w:asciiTheme="minorEastAsia" w:hAnsiTheme="minorEastAsia" w:eastAsiaTheme="minorEastAsia" w:cstheme="minorEastAsia"/>
                <w:color w:val="auto"/>
                <w:sz w:val="24"/>
                <w:szCs w:val="24"/>
                <w:highlight w:val="none"/>
              </w:rPr>
              <w:t>最低评标价法</w:t>
            </w:r>
          </w:p>
        </w:tc>
      </w:tr>
      <w:tr w14:paraId="067E3E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2C5BEA9E">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确定中标人</w:t>
            </w:r>
          </w:p>
        </w:tc>
        <w:tc>
          <w:tcPr>
            <w:tcW w:w="7305" w:type="dxa"/>
            <w:tcBorders>
              <w:top w:val="single" w:color="auto" w:sz="6" w:space="0"/>
              <w:left w:val="single" w:color="auto" w:sz="6" w:space="0"/>
              <w:bottom w:val="single" w:color="auto" w:sz="6" w:space="0"/>
              <w:right w:val="single" w:color="auto" w:sz="12" w:space="0"/>
            </w:tcBorders>
            <w:noWrap/>
            <w:vAlign w:val="center"/>
          </w:tcPr>
          <w:p w14:paraId="3C44144C">
            <w:pPr>
              <w:wordWrap w:val="0"/>
              <w:spacing w:line="240" w:lineRule="atLeast"/>
              <w:jc w:val="both"/>
              <w:rPr>
                <w:rFonts w:asciiTheme="minorEastAsia" w:hAnsiTheme="minorEastAsia" w:eastAsiaTheme="minorEastAsia" w:cstheme="minorEastAsia"/>
                <w:color w:val="auto"/>
                <w:spacing w:val="14"/>
                <w:sz w:val="24"/>
                <w:szCs w:val="24"/>
                <w:highlight w:val="none"/>
              </w:rPr>
            </w:pPr>
            <w:r>
              <w:rPr>
                <w:rFonts w:hint="eastAsia" w:asciiTheme="minorEastAsia" w:hAnsiTheme="minorEastAsia" w:eastAsiaTheme="minorEastAsia" w:cstheme="minorEastAsia"/>
                <w:color w:val="auto"/>
                <w:sz w:val="24"/>
                <w:szCs w:val="24"/>
                <w:highlight w:val="none"/>
              </w:rPr>
              <w:t>采购人是否委托评标委员会直接确定中标人：</w:t>
            </w:r>
            <w:r>
              <w:rPr>
                <w:rFonts w:hint="eastAsia" w:asciiTheme="minorEastAsia" w:hAnsiTheme="minorEastAsia" w:eastAsiaTheme="minorEastAsia" w:cstheme="minorEastAsia"/>
                <w:color w:val="auto"/>
                <w:spacing w:val="14"/>
                <w:sz w:val="24"/>
                <w:szCs w:val="24"/>
                <w:highlight w:val="none"/>
              </w:rPr>
              <w:t>□</w:t>
            </w:r>
            <w:r>
              <w:rPr>
                <w:rFonts w:hint="eastAsia" w:asciiTheme="minorEastAsia" w:hAnsiTheme="minorEastAsia" w:eastAsiaTheme="minorEastAsia" w:cstheme="minorEastAsia"/>
                <w:color w:val="auto"/>
                <w:sz w:val="24"/>
                <w:szCs w:val="24"/>
                <w:highlight w:val="none"/>
              </w:rPr>
              <w:t>是</w:t>
            </w:r>
            <w:r>
              <w:rPr>
                <w:rFonts w:ascii="Segoe UI Symbol" w:hAnsi="Segoe UI Symbol" w:eastAsia="仿宋_GB2312" w:cs="Segoe UI Symbol"/>
                <w:color w:val="auto"/>
                <w:spacing w:val="29"/>
                <w:szCs w:val="28"/>
                <w:highlight w:val="none"/>
              </w:rPr>
              <w:t>☑</w:t>
            </w:r>
            <w:r>
              <w:rPr>
                <w:rFonts w:hint="eastAsia" w:asciiTheme="minorEastAsia" w:hAnsiTheme="minorEastAsia" w:eastAsiaTheme="minorEastAsia" w:cstheme="minorEastAsia"/>
                <w:color w:val="auto"/>
                <w:spacing w:val="14"/>
                <w:sz w:val="24"/>
                <w:szCs w:val="24"/>
                <w:highlight w:val="none"/>
              </w:rPr>
              <w:t>否</w:t>
            </w:r>
          </w:p>
          <w:p w14:paraId="4EE5CE93">
            <w:pPr>
              <w:wordWrap w:val="0"/>
              <w:spacing w:line="240" w:lineRule="atLeast"/>
              <w:jc w:val="both"/>
              <w:rPr>
                <w:rFonts w:asciiTheme="minorEastAsia" w:hAnsiTheme="minorEastAsia" w:eastAsiaTheme="minorEastAsia" w:cstheme="minorEastAsia"/>
                <w:color w:val="auto"/>
                <w:spacing w:val="14"/>
                <w:sz w:val="24"/>
                <w:szCs w:val="24"/>
                <w:highlight w:val="none"/>
              </w:rPr>
            </w:pPr>
            <w:r>
              <w:rPr>
                <w:rFonts w:hint="eastAsia" w:asciiTheme="minorEastAsia" w:hAnsiTheme="minorEastAsia" w:eastAsiaTheme="minorEastAsia" w:cstheme="minorEastAsia"/>
                <w:color w:val="auto"/>
                <w:spacing w:val="14"/>
                <w:sz w:val="24"/>
                <w:szCs w:val="24"/>
                <w:highlight w:val="none"/>
              </w:rPr>
              <w:t>推荐的中标候选人数:3人</w:t>
            </w:r>
          </w:p>
        </w:tc>
      </w:tr>
      <w:tr w14:paraId="6784FF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1582" w:type="dxa"/>
            <w:tcBorders>
              <w:top w:val="single" w:color="auto" w:sz="6" w:space="0"/>
              <w:left w:val="single" w:color="auto" w:sz="12" w:space="0"/>
              <w:bottom w:val="single" w:color="auto" w:sz="12" w:space="0"/>
              <w:right w:val="single" w:color="auto" w:sz="6" w:space="0"/>
            </w:tcBorders>
            <w:noWrap/>
            <w:vAlign w:val="center"/>
          </w:tcPr>
          <w:p w14:paraId="171B8830">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代理费</w:t>
            </w:r>
          </w:p>
        </w:tc>
        <w:tc>
          <w:tcPr>
            <w:tcW w:w="7305" w:type="dxa"/>
            <w:tcBorders>
              <w:top w:val="single" w:color="auto" w:sz="6" w:space="0"/>
              <w:left w:val="single" w:color="auto" w:sz="6" w:space="0"/>
              <w:bottom w:val="single" w:color="auto" w:sz="12" w:space="0"/>
              <w:right w:val="single" w:color="auto" w:sz="12" w:space="0"/>
            </w:tcBorders>
            <w:noWrap/>
            <w:vAlign w:val="center"/>
          </w:tcPr>
          <w:p w14:paraId="52977767">
            <w:pPr>
              <w:pStyle w:val="20"/>
              <w:rPr>
                <w:color w:val="auto"/>
                <w:highlight w:val="none"/>
              </w:rPr>
            </w:pPr>
            <w:r>
              <w:rPr>
                <w:rFonts w:hint="eastAsia"/>
                <w:color w:val="auto"/>
                <w:spacing w:val="29"/>
                <w:highlight w:val="none"/>
              </w:rPr>
              <w:t>□</w:t>
            </w:r>
            <w:r>
              <w:rPr>
                <w:rFonts w:hint="eastAsia"/>
                <w:color w:val="auto"/>
                <w:highlight w:val="none"/>
              </w:rPr>
              <w:t>集中采购机构不收费</w:t>
            </w:r>
          </w:p>
          <w:p w14:paraId="449BADB8">
            <w:pPr>
              <w:pStyle w:val="20"/>
              <w:rPr>
                <w:color w:val="auto"/>
                <w:spacing w:val="-13"/>
                <w:highlight w:val="none"/>
              </w:rPr>
            </w:pPr>
            <w:r>
              <w:rPr>
                <w:rFonts w:hint="eastAsia"/>
                <w:color w:val="auto"/>
                <w:highlight w:val="none"/>
              </w:rPr>
              <w:t>收费对象：</w:t>
            </w:r>
            <w:r>
              <w:rPr>
                <w:rFonts w:hint="eastAsia"/>
                <w:color w:val="auto"/>
                <w:spacing w:val="29"/>
                <w:highlight w:val="none"/>
              </w:rPr>
              <w:t>□采购人</w:t>
            </w:r>
            <w:r>
              <w:rPr>
                <w:rFonts w:ascii="Segoe UI Symbol" w:hAnsi="Segoe UI Symbol" w:eastAsia="仿宋_GB2312" w:cs="Segoe UI Symbol"/>
                <w:color w:val="auto"/>
                <w:spacing w:val="29"/>
                <w:sz w:val="22"/>
                <w:szCs w:val="28"/>
                <w:highlight w:val="none"/>
              </w:rPr>
              <w:t>☑</w:t>
            </w:r>
            <w:r>
              <w:rPr>
                <w:rFonts w:hint="eastAsia"/>
                <w:color w:val="auto"/>
                <w:spacing w:val="-13"/>
                <w:highlight w:val="none"/>
              </w:rPr>
              <w:t>中标人</w:t>
            </w:r>
          </w:p>
          <w:p w14:paraId="560928BE">
            <w:pPr>
              <w:pStyle w:val="20"/>
              <w:rPr>
                <w:color w:val="auto"/>
                <w:spacing w:val="-13"/>
                <w:highlight w:val="none"/>
              </w:rPr>
            </w:pPr>
            <w:r>
              <w:rPr>
                <w:rFonts w:hint="eastAsia"/>
                <w:color w:val="auto"/>
                <w:spacing w:val="-13"/>
                <w:highlight w:val="none"/>
              </w:rPr>
              <w:t>收费标准：</w:t>
            </w:r>
            <w:r>
              <w:rPr>
                <w:rFonts w:hint="eastAsia"/>
                <w:color w:val="auto"/>
                <w:highlight w:val="none"/>
              </w:rPr>
              <w:t>项目代理服务费参照《河南省招标代理服务收费指导意见》豫招协〔2023〕002号文规定；由中标人在领取成交通知书时向本采购代理机构支付（并计入投标总报价），请响应人充分考虑这一因素</w:t>
            </w:r>
          </w:p>
        </w:tc>
      </w:tr>
    </w:tbl>
    <w:p w14:paraId="2E3CCE71">
      <w:pPr>
        <w:pStyle w:val="4"/>
        <w:rPr>
          <w:color w:val="auto"/>
          <w:highlight w:val="none"/>
        </w:rPr>
      </w:pPr>
    </w:p>
    <w:p w14:paraId="5A152DA9">
      <w:pPr>
        <w:pStyle w:val="4"/>
        <w:rPr>
          <w:color w:val="auto"/>
          <w:highlight w:val="none"/>
        </w:rPr>
      </w:pPr>
      <w:r>
        <w:rPr>
          <w:rFonts w:hint="eastAsia"/>
          <w:color w:val="auto"/>
          <w:highlight w:val="none"/>
        </w:rPr>
        <w:t>投标人须知</w:t>
      </w:r>
    </w:p>
    <w:p w14:paraId="4C0AE598">
      <w:pPr>
        <w:pStyle w:val="4"/>
        <w:rPr>
          <w:bCs/>
          <w:color w:val="auto"/>
          <w:spacing w:val="-1"/>
          <w:highlight w:val="none"/>
        </w:rPr>
      </w:pPr>
      <w:r>
        <w:rPr>
          <w:rFonts w:hint="eastAsia"/>
          <w:color w:val="auto"/>
          <w:highlight w:val="none"/>
        </w:rPr>
        <w:t>一、说明</w:t>
      </w:r>
    </w:p>
    <w:p w14:paraId="7FEB56A8">
      <w:pPr>
        <w:pStyle w:val="4"/>
        <w:ind w:firstLine="0" w:firstLineChars="0"/>
        <w:rPr>
          <w:color w:val="auto"/>
          <w:sz w:val="24"/>
          <w:szCs w:val="24"/>
          <w:highlight w:val="none"/>
        </w:rPr>
      </w:pPr>
      <w:r>
        <w:rPr>
          <w:rFonts w:hint="eastAsia"/>
          <w:color w:val="auto"/>
          <w:sz w:val="24"/>
          <w:szCs w:val="24"/>
          <w:highlight w:val="none"/>
        </w:rPr>
        <w:t>1.采购人、采购代理机构、投标人、联合体</w:t>
      </w:r>
    </w:p>
    <w:p w14:paraId="34E7346F">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1.1采购人、采购代理机构：指依法进行政府采购的国家机关、事业单位、团体组织及其委托的采购代理机构。本项目采购人、采购代理机构见第一章《公开招标公告》。</w:t>
      </w:r>
    </w:p>
    <w:p w14:paraId="2F09EF1C">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1.2投标人（也称供应商、申请人）：指向采购人提供货物、工程或者服务的法人、其他组织或者自然人。</w:t>
      </w:r>
    </w:p>
    <w:p w14:paraId="1BC59398">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1.3联合体：指两个以上的自然人、法人或者其他组织组成一个联合体，以一个供应商的身份共同参加政府采购。</w:t>
      </w:r>
    </w:p>
    <w:p w14:paraId="091E5391">
      <w:pPr>
        <w:pStyle w:val="4"/>
        <w:ind w:firstLine="0" w:firstLineChars="0"/>
        <w:rPr>
          <w:color w:val="auto"/>
          <w:sz w:val="24"/>
          <w:szCs w:val="24"/>
          <w:highlight w:val="none"/>
        </w:rPr>
      </w:pPr>
      <w:r>
        <w:rPr>
          <w:rFonts w:hint="eastAsia"/>
          <w:color w:val="auto"/>
          <w:sz w:val="24"/>
          <w:szCs w:val="24"/>
          <w:highlight w:val="none"/>
        </w:rPr>
        <w:t>2.资金来源、项目属性、科研仪器设备采购、核心产品</w:t>
      </w:r>
    </w:p>
    <w:p w14:paraId="1B051247">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2.1资金来源为财政</w:t>
      </w:r>
      <w:r>
        <w:rPr>
          <w:rFonts w:hint="eastAsia" w:ascii="宋体" w:hAnsi="宋体" w:eastAsia="宋体" w:cs="宋体"/>
          <w:color w:val="auto"/>
          <w:kern w:val="2"/>
          <w:sz w:val="21"/>
          <w:szCs w:val="21"/>
          <w:highlight w:val="none"/>
        </w:rPr>
        <w:t>性资金</w:t>
      </w:r>
      <w:r>
        <w:rPr>
          <w:rFonts w:hint="eastAsia" w:hAnsi="宋体" w:cs="宋体"/>
          <w:color w:val="auto"/>
          <w:kern w:val="2"/>
          <w:sz w:val="21"/>
          <w:szCs w:val="21"/>
          <w:highlight w:val="none"/>
          <w:lang w:val="en-US" w:eastAsia="zh-CN"/>
        </w:rPr>
        <w:t>448000</w:t>
      </w:r>
      <w:r>
        <w:rPr>
          <w:rFonts w:hint="eastAsia" w:ascii="宋体" w:hAnsi="宋体" w:eastAsia="宋体" w:cs="宋体"/>
          <w:color w:val="auto"/>
          <w:kern w:val="2"/>
          <w:sz w:val="21"/>
          <w:szCs w:val="21"/>
          <w:highlight w:val="none"/>
          <w:lang w:val="en-US" w:eastAsia="zh-CN"/>
        </w:rPr>
        <w:t>元</w:t>
      </w:r>
      <w:r>
        <w:rPr>
          <w:rFonts w:hint="eastAsia" w:ascii="宋体" w:hAnsi="宋体" w:eastAsia="宋体" w:cs="宋体"/>
          <w:color w:val="auto"/>
          <w:kern w:val="2"/>
          <w:sz w:val="21"/>
          <w:szCs w:val="21"/>
          <w:highlight w:val="none"/>
        </w:rPr>
        <w:t>。</w:t>
      </w:r>
    </w:p>
    <w:p w14:paraId="53EAE5BE">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2.2项目属性见《投标人须知表》。</w:t>
      </w:r>
    </w:p>
    <w:p w14:paraId="4FD76677">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2.3是否属于科研仪器设备采购见《投标人须知表》。</w:t>
      </w:r>
    </w:p>
    <w:p w14:paraId="2C4744B3">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2.4核心产品见《投标人须知表》。</w:t>
      </w:r>
    </w:p>
    <w:p w14:paraId="5FE22E43">
      <w:pPr>
        <w:pStyle w:val="4"/>
        <w:ind w:firstLine="0" w:firstLineChars="0"/>
        <w:rPr>
          <w:color w:val="auto"/>
          <w:sz w:val="24"/>
          <w:szCs w:val="24"/>
          <w:highlight w:val="none"/>
        </w:rPr>
      </w:pPr>
      <w:r>
        <w:rPr>
          <w:rFonts w:hint="eastAsia"/>
          <w:color w:val="auto"/>
          <w:sz w:val="24"/>
          <w:szCs w:val="24"/>
          <w:highlight w:val="none"/>
        </w:rPr>
        <w:t>3.现场考察、开标前答疑会</w:t>
      </w:r>
    </w:p>
    <w:p w14:paraId="1A9361DC">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3.1若《投标人须知表》中规定了组织现场考察、召开开标前答疑会，则投标人应按要求在规定的时间和地点参加。</w:t>
      </w:r>
    </w:p>
    <w:p w14:paraId="23119F82">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3.2由于未参加现场考察或开标前答疑会而导致对项目实际情况不了解，影响投标文件编制、投标报价准确性、综合因素响应不全面等问题的，由投标人自行承担不利评审后果。</w:t>
      </w:r>
    </w:p>
    <w:p w14:paraId="085EC75F">
      <w:pPr>
        <w:pStyle w:val="4"/>
        <w:ind w:firstLine="0" w:firstLineChars="0"/>
        <w:rPr>
          <w:color w:val="auto"/>
          <w:sz w:val="24"/>
          <w:szCs w:val="24"/>
          <w:highlight w:val="none"/>
        </w:rPr>
      </w:pPr>
      <w:r>
        <w:rPr>
          <w:rFonts w:hint="eastAsia"/>
          <w:color w:val="auto"/>
          <w:sz w:val="24"/>
          <w:szCs w:val="24"/>
          <w:highlight w:val="none"/>
        </w:rPr>
        <w:t>4.政府采购政策（包括但不限于下列具体政策要求）</w:t>
      </w:r>
    </w:p>
    <w:p w14:paraId="2276B68B">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4.1采购本国货物、工程和服务</w:t>
      </w:r>
    </w:p>
    <w:p w14:paraId="4665A6CE">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4.1.1政府采购应当采购本国货物、工程和服务。但有《中华人民共和国政府采购法》第十条规定情形的除外。</w:t>
      </w:r>
    </w:p>
    <w:p w14:paraId="6AF2CD07">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4.1.2本项目如接受非本国货物、工程、服务参与投标，则具体要求见第二章《采购需求》。</w:t>
      </w:r>
    </w:p>
    <w:p w14:paraId="53074687">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4.1.3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法》（财库〔2007〕119号文）、《关于政府采购进口产品管理有关问题的通知》（财办库〔2008〕248号文）以及南阳市财政局的具体规定。</w:t>
      </w:r>
    </w:p>
    <w:p w14:paraId="38EFB24A">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4.2中小企业、监狱企业及残疾人福利性单位</w:t>
      </w:r>
    </w:p>
    <w:p w14:paraId="4FAD288F">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4.2.1中小企业定义：</w:t>
      </w:r>
    </w:p>
    <w:p w14:paraId="0733BFC3">
      <w:pPr>
        <w:pStyle w:val="18"/>
        <w:spacing w:line="520" w:lineRule="exact"/>
        <w:ind w:left="440" w:firstLine="420" w:firstLineChars="200"/>
        <w:rPr>
          <w:rFonts w:hAnsi="宋体" w:cs="宋体"/>
          <w:color w:val="auto"/>
          <w:kern w:val="2"/>
          <w:sz w:val="21"/>
          <w:szCs w:val="21"/>
          <w:highlight w:val="none"/>
        </w:rPr>
      </w:pPr>
      <w:r>
        <w:rPr>
          <w:rFonts w:hint="eastAsia" w:hAnsi="宋体" w:cs="宋体"/>
          <w:color w:val="auto"/>
          <w:kern w:val="2"/>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执行。</w:t>
      </w:r>
    </w:p>
    <w:p w14:paraId="39034EF1">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供应商提供的货物、工程或者服务符合下列情形的，享受中小企业扶持政策：</w:t>
      </w:r>
    </w:p>
    <w:p w14:paraId="79574F7A">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（1）在货物采购项目中，货物由中小企业制造，即货物由中小企业生产且使用该中小企业商号或者注册商标；</w:t>
      </w:r>
    </w:p>
    <w:p w14:paraId="24075432">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（2）在工程采购项目中，工程由中小企业承建，即工程施工单位为中小企业；</w:t>
      </w:r>
    </w:p>
    <w:p w14:paraId="042DC70D">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（3）在服务采购项目中，服务由中小企业承接，即提供服务的人员为中小企业依照《中华人民共和国劳动合同法》订立劳动合同的从业人员。</w:t>
      </w:r>
    </w:p>
    <w:p w14:paraId="42B8F0CC">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在货物采购项目中，供应商提供的货物既有中小企业制造货物，也有大型企业制造货物的，不享受中小企业扶持政策。</w:t>
      </w:r>
    </w:p>
    <w:p w14:paraId="5E178644">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以联合体形式参加政府采购活动，联合体各方均为中小企业的，联合体视同中小企业。其中，联合体各方均为小微企业的，联合体视同小微企业。</w:t>
      </w:r>
    </w:p>
    <w:p w14:paraId="3E0B7EE2">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4.2.2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6545DBC">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4.2.3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6876A7CB">
      <w:pPr>
        <w:pStyle w:val="18"/>
        <w:spacing w:line="520" w:lineRule="exact"/>
        <w:ind w:left="440" w:firstLine="0"/>
        <w:rPr>
          <w:rFonts w:hAnsi="宋体" w:cs="宋体"/>
          <w:color w:val="auto"/>
          <w:kern w:val="2"/>
          <w:sz w:val="21"/>
          <w:szCs w:val="21"/>
          <w:highlight w:val="none"/>
        </w:rPr>
      </w:pPr>
      <w:r>
        <w:rPr>
          <w:color w:val="auto"/>
          <w:highlight w:val="none"/>
        </w:rPr>
        <w:fldChar w:fldCharType="begin"/>
      </w:r>
      <w:r>
        <w:rPr>
          <w:color w:val="auto"/>
          <w:highlight w:val="none"/>
        </w:rPr>
        <w:instrText xml:space="preserve"> HYPERLINK "file:///C:\\Users\\Administrator\\Desktop\\5.2.3.1" </w:instrText>
      </w:r>
      <w:r>
        <w:rPr>
          <w:color w:val="auto"/>
          <w:highlight w:val="none"/>
        </w:rPr>
        <w:fldChar w:fldCharType="separate"/>
      </w:r>
      <w:r>
        <w:rPr>
          <w:rFonts w:hint="eastAsia" w:hAnsi="宋体" w:cs="宋体"/>
          <w:color w:val="auto"/>
          <w:kern w:val="2"/>
          <w:sz w:val="21"/>
          <w:szCs w:val="21"/>
          <w:highlight w:val="none"/>
        </w:rPr>
        <w:t>4.2.3.1</w:t>
      </w:r>
      <w:r>
        <w:rPr>
          <w:rFonts w:hint="eastAsia" w:hAnsi="宋体" w:cs="宋体"/>
          <w:color w:val="auto"/>
          <w:kern w:val="2"/>
          <w:sz w:val="21"/>
          <w:szCs w:val="21"/>
          <w:highlight w:val="none"/>
        </w:rPr>
        <w:fldChar w:fldCharType="end"/>
      </w:r>
      <w:r>
        <w:rPr>
          <w:rFonts w:hint="eastAsia" w:hAnsi="宋体" w:cs="宋体"/>
          <w:color w:val="auto"/>
          <w:kern w:val="2"/>
          <w:sz w:val="21"/>
          <w:szCs w:val="21"/>
          <w:highlight w:val="none"/>
        </w:rPr>
        <w:t>安置的残疾人占本单位在职职工人数的比例不低于25%（含25%），并且安置的残疾人人数不少于10人（含10人）；</w:t>
      </w:r>
    </w:p>
    <w:p w14:paraId="3C103996">
      <w:pPr>
        <w:pStyle w:val="18"/>
        <w:spacing w:line="520" w:lineRule="exact"/>
        <w:ind w:left="440" w:firstLine="0"/>
        <w:rPr>
          <w:rFonts w:hAnsi="宋体" w:cs="宋体"/>
          <w:color w:val="auto"/>
          <w:kern w:val="2"/>
          <w:sz w:val="21"/>
          <w:szCs w:val="21"/>
          <w:highlight w:val="none"/>
        </w:rPr>
      </w:pPr>
      <w:r>
        <w:rPr>
          <w:color w:val="auto"/>
          <w:highlight w:val="none"/>
        </w:rPr>
        <w:fldChar w:fldCharType="begin"/>
      </w:r>
      <w:r>
        <w:rPr>
          <w:color w:val="auto"/>
          <w:highlight w:val="none"/>
        </w:rPr>
        <w:instrText xml:space="preserve"> HYPERLINK "file:///C:\\Users\\Administrator\\Desktop\\5.2.3.2" </w:instrText>
      </w:r>
      <w:r>
        <w:rPr>
          <w:color w:val="auto"/>
          <w:highlight w:val="none"/>
        </w:rPr>
        <w:fldChar w:fldCharType="separate"/>
      </w:r>
      <w:r>
        <w:rPr>
          <w:rFonts w:hint="eastAsia" w:hAnsi="宋体" w:cs="宋体"/>
          <w:color w:val="auto"/>
          <w:kern w:val="2"/>
          <w:sz w:val="21"/>
          <w:szCs w:val="21"/>
          <w:highlight w:val="none"/>
        </w:rPr>
        <w:t>4.2.3.2</w:t>
      </w:r>
      <w:r>
        <w:rPr>
          <w:rFonts w:hint="eastAsia" w:hAnsi="宋体" w:cs="宋体"/>
          <w:color w:val="auto"/>
          <w:kern w:val="2"/>
          <w:sz w:val="21"/>
          <w:szCs w:val="21"/>
          <w:highlight w:val="none"/>
        </w:rPr>
        <w:fldChar w:fldCharType="end"/>
      </w:r>
      <w:r>
        <w:rPr>
          <w:rFonts w:hint="eastAsia" w:hAnsi="宋体" w:cs="宋体"/>
          <w:color w:val="auto"/>
          <w:kern w:val="2"/>
          <w:sz w:val="21"/>
          <w:szCs w:val="21"/>
          <w:highlight w:val="none"/>
        </w:rPr>
        <w:t>依法与安置的每位残疾人签订了一年以上（含一年）的劳动合同或服务协议；</w:t>
      </w:r>
    </w:p>
    <w:p w14:paraId="45A0ABF0">
      <w:pPr>
        <w:pStyle w:val="18"/>
        <w:spacing w:line="520" w:lineRule="exact"/>
        <w:ind w:left="440" w:firstLine="0"/>
        <w:rPr>
          <w:rFonts w:hAnsi="宋体" w:cs="宋体"/>
          <w:color w:val="auto"/>
          <w:kern w:val="2"/>
          <w:sz w:val="21"/>
          <w:szCs w:val="21"/>
          <w:highlight w:val="none"/>
        </w:rPr>
      </w:pPr>
      <w:r>
        <w:rPr>
          <w:color w:val="auto"/>
          <w:highlight w:val="none"/>
        </w:rPr>
        <w:fldChar w:fldCharType="begin"/>
      </w:r>
      <w:r>
        <w:rPr>
          <w:color w:val="auto"/>
          <w:highlight w:val="none"/>
        </w:rPr>
        <w:instrText xml:space="preserve"> HYPERLINK "file:///C:\\Users\\Administrator\\Desktop\\5.2.3.3" </w:instrText>
      </w:r>
      <w:r>
        <w:rPr>
          <w:color w:val="auto"/>
          <w:highlight w:val="none"/>
        </w:rPr>
        <w:fldChar w:fldCharType="separate"/>
      </w:r>
      <w:r>
        <w:rPr>
          <w:rFonts w:hint="eastAsia" w:hAnsi="宋体" w:cs="宋体"/>
          <w:color w:val="auto"/>
          <w:kern w:val="2"/>
          <w:sz w:val="21"/>
          <w:szCs w:val="21"/>
          <w:highlight w:val="none"/>
        </w:rPr>
        <w:t>4.2.3.3</w:t>
      </w:r>
      <w:r>
        <w:rPr>
          <w:rFonts w:hint="eastAsia" w:hAnsi="宋体" w:cs="宋体"/>
          <w:color w:val="auto"/>
          <w:kern w:val="2"/>
          <w:sz w:val="21"/>
          <w:szCs w:val="21"/>
          <w:highlight w:val="none"/>
        </w:rPr>
        <w:fldChar w:fldCharType="end"/>
      </w:r>
      <w:r>
        <w:rPr>
          <w:rFonts w:hint="eastAsia" w:hAnsi="宋体" w:cs="宋体"/>
          <w:color w:val="auto"/>
          <w:kern w:val="2"/>
          <w:sz w:val="21"/>
          <w:szCs w:val="21"/>
          <w:highlight w:val="none"/>
        </w:rPr>
        <w:t>为安置的每位残疾人按月足额缴纳了基本养老、医疗、失业、工伤和生育等社会保险费；</w:t>
      </w:r>
    </w:p>
    <w:p w14:paraId="46BF1794">
      <w:pPr>
        <w:pStyle w:val="18"/>
        <w:spacing w:line="520" w:lineRule="exact"/>
        <w:ind w:left="440" w:firstLine="0"/>
        <w:rPr>
          <w:rFonts w:hAnsi="宋体" w:cs="宋体"/>
          <w:color w:val="auto"/>
          <w:kern w:val="2"/>
          <w:sz w:val="21"/>
          <w:szCs w:val="21"/>
          <w:highlight w:val="none"/>
        </w:rPr>
      </w:pPr>
      <w:r>
        <w:rPr>
          <w:color w:val="auto"/>
          <w:highlight w:val="none"/>
        </w:rPr>
        <w:fldChar w:fldCharType="begin"/>
      </w:r>
      <w:r>
        <w:rPr>
          <w:color w:val="auto"/>
          <w:highlight w:val="none"/>
        </w:rPr>
        <w:instrText xml:space="preserve"> HYPERLINK "file:///C:\\Users\\Administrator\\Desktop\\5.2.3.4" </w:instrText>
      </w:r>
      <w:r>
        <w:rPr>
          <w:color w:val="auto"/>
          <w:highlight w:val="none"/>
        </w:rPr>
        <w:fldChar w:fldCharType="separate"/>
      </w:r>
      <w:r>
        <w:rPr>
          <w:rFonts w:hint="eastAsia" w:hAnsi="宋体" w:cs="宋体"/>
          <w:color w:val="auto"/>
          <w:kern w:val="2"/>
          <w:sz w:val="21"/>
          <w:szCs w:val="21"/>
          <w:highlight w:val="none"/>
        </w:rPr>
        <w:t>4.2.3.4</w:t>
      </w:r>
      <w:r>
        <w:rPr>
          <w:rFonts w:hint="eastAsia" w:hAnsi="宋体" w:cs="宋体"/>
          <w:color w:val="auto"/>
          <w:kern w:val="2"/>
          <w:sz w:val="21"/>
          <w:szCs w:val="21"/>
          <w:highlight w:val="none"/>
        </w:rPr>
        <w:fldChar w:fldCharType="end"/>
      </w:r>
      <w:r>
        <w:rPr>
          <w:rFonts w:hint="eastAsia" w:hAnsi="宋体" w:cs="宋体"/>
          <w:color w:val="auto"/>
          <w:kern w:val="2"/>
          <w:sz w:val="21"/>
          <w:szCs w:val="21"/>
          <w:highlight w:val="none"/>
        </w:rPr>
        <w:t>通过银行等金融机构向安置的每位残疾人，按月支付了不低于单位所在区县的月最低工资标准的工资；</w:t>
      </w:r>
    </w:p>
    <w:p w14:paraId="1E5966F7">
      <w:pPr>
        <w:pStyle w:val="18"/>
        <w:spacing w:line="520" w:lineRule="exact"/>
        <w:ind w:left="440" w:firstLine="0"/>
        <w:rPr>
          <w:rFonts w:hAnsi="宋体" w:cs="宋体"/>
          <w:color w:val="auto"/>
          <w:kern w:val="2"/>
          <w:sz w:val="21"/>
          <w:szCs w:val="21"/>
          <w:highlight w:val="none"/>
        </w:rPr>
      </w:pPr>
      <w:r>
        <w:rPr>
          <w:color w:val="auto"/>
          <w:highlight w:val="none"/>
        </w:rPr>
        <w:fldChar w:fldCharType="begin"/>
      </w:r>
      <w:r>
        <w:rPr>
          <w:color w:val="auto"/>
          <w:highlight w:val="none"/>
        </w:rPr>
        <w:instrText xml:space="preserve"> HYPERLINK "file:///C:\\Users\\Administrator\\Desktop\\5.2.3.5" </w:instrText>
      </w:r>
      <w:r>
        <w:rPr>
          <w:color w:val="auto"/>
          <w:highlight w:val="none"/>
        </w:rPr>
        <w:fldChar w:fldCharType="separate"/>
      </w:r>
      <w:r>
        <w:rPr>
          <w:rFonts w:hint="eastAsia" w:hAnsi="宋体" w:cs="宋体"/>
          <w:color w:val="auto"/>
          <w:kern w:val="2"/>
          <w:sz w:val="21"/>
          <w:szCs w:val="21"/>
          <w:highlight w:val="none"/>
        </w:rPr>
        <w:t>4.2.3.5</w:t>
      </w:r>
      <w:r>
        <w:rPr>
          <w:rFonts w:hint="eastAsia" w:hAnsi="宋体" w:cs="宋体"/>
          <w:color w:val="auto"/>
          <w:kern w:val="2"/>
          <w:sz w:val="21"/>
          <w:szCs w:val="21"/>
          <w:highlight w:val="none"/>
        </w:rPr>
        <w:fldChar w:fldCharType="end"/>
      </w:r>
      <w:r>
        <w:rPr>
          <w:rFonts w:hint="eastAsia" w:hAnsi="宋体" w:cs="宋体"/>
          <w:color w:val="auto"/>
          <w:kern w:val="2"/>
          <w:sz w:val="21"/>
          <w:szCs w:val="21"/>
          <w:highlight w:val="none"/>
        </w:rPr>
        <w:t>提供本单位制造的货物、承担的工程或者服务（以下简称产品），或者提供其他残疾人福利性单位制造的货物（不包括使用非残疾人福利性单位注册商标的货物）；</w:t>
      </w:r>
    </w:p>
    <w:p w14:paraId="1756AD7F">
      <w:pPr>
        <w:pStyle w:val="18"/>
        <w:spacing w:line="520" w:lineRule="exact"/>
        <w:ind w:left="440" w:firstLine="0"/>
        <w:rPr>
          <w:rFonts w:hAnsi="宋体" w:cs="宋体"/>
          <w:color w:val="auto"/>
          <w:kern w:val="2"/>
          <w:sz w:val="21"/>
          <w:szCs w:val="21"/>
          <w:highlight w:val="none"/>
        </w:rPr>
      </w:pPr>
      <w:r>
        <w:rPr>
          <w:color w:val="auto"/>
          <w:highlight w:val="none"/>
        </w:rPr>
        <w:fldChar w:fldCharType="begin"/>
      </w:r>
      <w:r>
        <w:rPr>
          <w:color w:val="auto"/>
          <w:highlight w:val="none"/>
        </w:rPr>
        <w:instrText xml:space="preserve"> HYPERLINK "file:///C:\\Users\\Administrator\\Desktop\\5.2.3.6" </w:instrText>
      </w:r>
      <w:r>
        <w:rPr>
          <w:color w:val="auto"/>
          <w:highlight w:val="none"/>
        </w:rPr>
        <w:fldChar w:fldCharType="separate"/>
      </w:r>
      <w:r>
        <w:rPr>
          <w:rFonts w:hint="eastAsia" w:hAnsi="宋体" w:cs="宋体"/>
          <w:color w:val="auto"/>
          <w:kern w:val="2"/>
          <w:sz w:val="21"/>
          <w:szCs w:val="21"/>
          <w:highlight w:val="none"/>
        </w:rPr>
        <w:t>4.2.3.6</w:t>
      </w:r>
      <w:r>
        <w:rPr>
          <w:rFonts w:hint="eastAsia" w:hAnsi="宋体" w:cs="宋体"/>
          <w:color w:val="auto"/>
          <w:kern w:val="2"/>
          <w:sz w:val="21"/>
          <w:szCs w:val="21"/>
          <w:highlight w:val="none"/>
        </w:rPr>
        <w:fldChar w:fldCharType="end"/>
      </w:r>
      <w:r>
        <w:rPr>
          <w:rFonts w:hint="eastAsia" w:hAnsi="宋体" w:cs="宋体"/>
          <w:color w:val="auto"/>
          <w:kern w:val="2"/>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3EDE95BE">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4.2.4本项目是否专门面向中小企业预留采购份额见第一章《公开招标公告》。</w:t>
      </w:r>
    </w:p>
    <w:p w14:paraId="79BE0751">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4.2.5采购标的对应的中小企业划分标准所属行业见《投标人须知表》。</w:t>
      </w:r>
    </w:p>
    <w:p w14:paraId="6154B48F">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4.2.6小微企业价格评审优惠的政策调整：见第四章《开、评标程序、评标方法和评标标准》。</w:t>
      </w:r>
    </w:p>
    <w:p w14:paraId="73A46DF0">
      <w:pPr>
        <w:pStyle w:val="4"/>
        <w:ind w:firstLine="0" w:firstLineChars="0"/>
        <w:rPr>
          <w:rFonts w:ascii="宋体" w:hAnsi="宋体" w:eastAsia="宋体" w:cs="宋体"/>
          <w:b w:val="0"/>
          <w:color w:val="auto"/>
          <w:spacing w:val="0"/>
          <w:kern w:val="2"/>
          <w:sz w:val="21"/>
          <w:szCs w:val="21"/>
          <w:highlight w:val="none"/>
          <w:lang w:val="en-US" w:bidi="ar-SA"/>
        </w:rPr>
      </w:pPr>
      <w:r>
        <w:rPr>
          <w:rFonts w:hint="eastAsia" w:ascii="宋体" w:hAnsi="宋体" w:eastAsia="宋体" w:cs="宋体"/>
          <w:b w:val="0"/>
          <w:color w:val="auto"/>
          <w:spacing w:val="0"/>
          <w:kern w:val="2"/>
          <w:sz w:val="21"/>
          <w:szCs w:val="21"/>
          <w:highlight w:val="none"/>
          <w:lang w:val="en-US" w:bidi="ar-SA"/>
        </w:rPr>
        <w:t>4.3政府采购节能产品、环境标志产品</w:t>
      </w:r>
    </w:p>
    <w:p w14:paraId="4EB90FF1">
      <w:pPr>
        <w:pStyle w:val="18"/>
        <w:spacing w:line="520" w:lineRule="exact"/>
        <w:ind w:left="440" w:firstLine="0"/>
        <w:rPr>
          <w:rFonts w:hAnsi="宋体" w:cs="宋体"/>
          <w:color w:val="auto"/>
          <w:kern w:val="2"/>
          <w:sz w:val="21"/>
          <w:szCs w:val="21"/>
          <w:highlight w:val="none"/>
        </w:rPr>
      </w:pPr>
      <w:r>
        <w:rPr>
          <w:rFonts w:hAnsi="宋体" w:cs="宋体"/>
          <w:color w:val="auto"/>
          <w:kern w:val="2"/>
          <w:sz w:val="21"/>
          <w:szCs w:val="21"/>
          <w:highlight w:val="none"/>
        </w:rPr>
        <w:t>4.3.1政府采购节能产品、环境标志产品实施品目清单管理。财政部、</w:t>
      </w:r>
      <w:r>
        <w:rPr>
          <w:color w:val="auto"/>
          <w:highlight w:val="none"/>
        </w:rPr>
        <w:fldChar w:fldCharType="begin"/>
      </w:r>
      <w:r>
        <w:rPr>
          <w:color w:val="auto"/>
          <w:highlight w:val="none"/>
        </w:rPr>
        <w:instrText xml:space="preserve"> HYPERLINK "https://www.baidu.com/link?url=pV2gqlWQVIfLHb2GO1RMJVp24ETQ1a_TiqQ-2CHpcULsECvXubLhLHJTcTJbIedy&amp;wd=&amp;eqid=88c7d5f9006c2d6b0000000265780e74" \t "https://www.baidu.com/_blank" </w:instrText>
      </w:r>
      <w:r>
        <w:rPr>
          <w:color w:val="auto"/>
          <w:highlight w:val="none"/>
        </w:rPr>
        <w:fldChar w:fldCharType="separate"/>
      </w:r>
      <w:r>
        <w:rPr>
          <w:rFonts w:hAnsi="宋体" w:cs="宋体"/>
          <w:color w:val="auto"/>
          <w:kern w:val="2"/>
          <w:sz w:val="21"/>
          <w:szCs w:val="21"/>
          <w:highlight w:val="none"/>
        </w:rPr>
        <w:t>中华人民共和国国家发展和改革委员会</w:t>
      </w:r>
      <w:r>
        <w:rPr>
          <w:rFonts w:hAnsi="宋体" w:cs="宋体"/>
          <w:color w:val="auto"/>
          <w:kern w:val="2"/>
          <w:sz w:val="21"/>
          <w:szCs w:val="21"/>
          <w:highlight w:val="none"/>
        </w:rPr>
        <w:fldChar w:fldCharType="end"/>
      </w:r>
      <w:r>
        <w:rPr>
          <w:rFonts w:hAnsi="宋体" w:cs="宋体"/>
          <w:color w:val="auto"/>
          <w:kern w:val="2"/>
          <w:sz w:val="21"/>
          <w:szCs w:val="21"/>
          <w:highlight w:val="none"/>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3F7EC2EC">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4.3.2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273B3980">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4.3.3如本项目采购产品属于实施政府强制采购品目清单范围的节能产品，则投标人所报产品必须获得国家确定的认证机构出具的、处于有效期之内的节能产品认证证书，否则投标无效；</w:t>
      </w:r>
    </w:p>
    <w:p w14:paraId="2671688B">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4.3.4非政府强制采购的节能产品或环境标志产品，依据品目清单和认证证书实施政府优先采购。优先采购的具体规定见第四章《开、评标程序、评标方法和评标标准》（如涉及）。</w:t>
      </w:r>
    </w:p>
    <w:p w14:paraId="7772E37A">
      <w:pPr>
        <w:pStyle w:val="4"/>
        <w:ind w:firstLine="0" w:firstLineChars="0"/>
        <w:rPr>
          <w:rFonts w:ascii="宋体" w:hAnsi="宋体" w:eastAsia="宋体" w:cs="宋体"/>
          <w:b w:val="0"/>
          <w:color w:val="auto"/>
          <w:spacing w:val="0"/>
          <w:kern w:val="2"/>
          <w:sz w:val="21"/>
          <w:szCs w:val="21"/>
          <w:highlight w:val="none"/>
          <w:lang w:val="en-US" w:bidi="ar-SA"/>
        </w:rPr>
      </w:pPr>
      <w:r>
        <w:rPr>
          <w:rFonts w:hint="eastAsia" w:ascii="宋体" w:hAnsi="宋体" w:eastAsia="宋体" w:cs="宋体"/>
          <w:b w:val="0"/>
          <w:color w:val="auto"/>
          <w:spacing w:val="0"/>
          <w:kern w:val="2"/>
          <w:sz w:val="21"/>
          <w:szCs w:val="21"/>
          <w:highlight w:val="none"/>
          <w:lang w:val="en-US" w:bidi="ar-SA"/>
        </w:rPr>
        <w:t>4.4正版软件</w:t>
      </w:r>
    </w:p>
    <w:p w14:paraId="74DD9D6C">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4.4.1依据《财政部、</w:t>
      </w:r>
      <w:r>
        <w:rPr>
          <w:color w:val="auto"/>
          <w:highlight w:val="none"/>
        </w:rPr>
        <w:fldChar w:fldCharType="begin"/>
      </w:r>
      <w:r>
        <w:rPr>
          <w:color w:val="auto"/>
          <w:highlight w:val="none"/>
        </w:rPr>
        <w:instrText xml:space="preserve"> HYPERLINK "https://www.baidu.com/link?url=pV2gqlWQVIfLHb2GO1RMJVp24ETQ1a_TiqQ-2CHpcULsECvXubLhLHJTcTJbIedy&amp;wd=&amp;eqid=88c7d5f9006c2d6b0000000265780e74" \t "https://www.baidu.com/_blank" </w:instrText>
      </w:r>
      <w:r>
        <w:rPr>
          <w:color w:val="auto"/>
          <w:highlight w:val="none"/>
        </w:rPr>
        <w:fldChar w:fldCharType="separate"/>
      </w:r>
      <w:r>
        <w:rPr>
          <w:rFonts w:hAnsi="宋体" w:cs="宋体"/>
          <w:color w:val="auto"/>
          <w:kern w:val="2"/>
          <w:sz w:val="21"/>
          <w:szCs w:val="21"/>
          <w:highlight w:val="none"/>
        </w:rPr>
        <w:t>中华人民共和国国家发展和改革委员会</w:t>
      </w:r>
      <w:r>
        <w:rPr>
          <w:rFonts w:hAnsi="宋体" w:cs="宋体"/>
          <w:color w:val="auto"/>
          <w:kern w:val="2"/>
          <w:sz w:val="21"/>
          <w:szCs w:val="21"/>
          <w:highlight w:val="none"/>
        </w:rPr>
        <w:fldChar w:fldCharType="end"/>
      </w:r>
      <w:r>
        <w:rPr>
          <w:rFonts w:hint="eastAsia" w:hAnsi="宋体" w:cs="宋体"/>
          <w:color w:val="auto"/>
          <w:kern w:val="2"/>
          <w:sz w:val="21"/>
          <w:szCs w:val="21"/>
          <w:highlight w:val="none"/>
        </w:rPr>
        <w:t>、信息产业部关于印发无线局域网产品政府采购实施意见的通知》（财库〔2005〕366号），采购无线局域网产品和含有无线局域网功能的计算机、通信设备、打印机、复印机、投影仪等产品的，优先采购符合国家无线局域网安全标准（GB15629.11/1102）并通过国家产品认证的产品。财政部、</w:t>
      </w:r>
      <w:r>
        <w:rPr>
          <w:color w:val="auto"/>
          <w:highlight w:val="none"/>
        </w:rPr>
        <w:fldChar w:fldCharType="begin"/>
      </w:r>
      <w:r>
        <w:rPr>
          <w:color w:val="auto"/>
          <w:highlight w:val="none"/>
        </w:rPr>
        <w:instrText xml:space="preserve"> HYPERLINK "https://www.baidu.com/link?url=pV2gqlWQVIfLHb2GO1RMJVp24ETQ1a_TiqQ-2CHpcULsECvXubLhLHJTcTJbIedy&amp;wd=&amp;eqid=88c7d5f9006c2d6b0000000265780e74" \t "https://www.baidu.com/_blank" </w:instrText>
      </w:r>
      <w:r>
        <w:rPr>
          <w:color w:val="auto"/>
          <w:highlight w:val="none"/>
        </w:rPr>
        <w:fldChar w:fldCharType="separate"/>
      </w:r>
      <w:r>
        <w:rPr>
          <w:rFonts w:hAnsi="宋体" w:cs="宋体"/>
          <w:color w:val="auto"/>
          <w:kern w:val="2"/>
          <w:sz w:val="21"/>
          <w:szCs w:val="21"/>
          <w:highlight w:val="none"/>
        </w:rPr>
        <w:t>中华人民共和国国家发展和改革委员会</w:t>
      </w:r>
      <w:r>
        <w:rPr>
          <w:rFonts w:hAnsi="宋体" w:cs="宋体"/>
          <w:color w:val="auto"/>
          <w:kern w:val="2"/>
          <w:sz w:val="21"/>
          <w:szCs w:val="21"/>
          <w:highlight w:val="none"/>
        </w:rPr>
        <w:fldChar w:fldCharType="end"/>
      </w:r>
      <w:r>
        <w:rPr>
          <w:rFonts w:hint="eastAsia" w:hAnsi="宋体" w:cs="宋体"/>
          <w:color w:val="auto"/>
          <w:kern w:val="2"/>
          <w:sz w:val="21"/>
          <w:szCs w:val="21"/>
          <w:highlight w:val="none"/>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color w:val="auto"/>
          <w:highlight w:val="none"/>
        </w:rPr>
        <w:fldChar w:fldCharType="begin"/>
      </w:r>
      <w:r>
        <w:rPr>
          <w:color w:val="auto"/>
          <w:highlight w:val="none"/>
        </w:rPr>
        <w:instrText xml:space="preserve"> HYPERLINK "https://www.baidu.com/link?url=pV2gqlWQVIfLHb2GO1RMJVp24ETQ1a_TiqQ-2CHpcULsECvXubLhLHJTcTJbIedy&amp;wd=&amp;eqid=88c7d5f9006c2d6b0000000265780e74" \t "https://www.baidu.com/_blank" </w:instrText>
      </w:r>
      <w:r>
        <w:rPr>
          <w:color w:val="auto"/>
          <w:highlight w:val="none"/>
        </w:rPr>
        <w:fldChar w:fldCharType="separate"/>
      </w:r>
      <w:r>
        <w:rPr>
          <w:rFonts w:hAnsi="宋体" w:cs="宋体"/>
          <w:color w:val="auto"/>
          <w:kern w:val="2"/>
          <w:sz w:val="21"/>
          <w:szCs w:val="21"/>
          <w:highlight w:val="none"/>
        </w:rPr>
        <w:t>中华人民共和国国家发展和改革委员会</w:t>
      </w:r>
      <w:r>
        <w:rPr>
          <w:rFonts w:hAnsi="宋体" w:cs="宋体"/>
          <w:color w:val="auto"/>
          <w:kern w:val="2"/>
          <w:sz w:val="21"/>
          <w:szCs w:val="21"/>
          <w:highlight w:val="none"/>
        </w:rPr>
        <w:fldChar w:fldCharType="end"/>
      </w:r>
      <w:r>
        <w:rPr>
          <w:rFonts w:hint="eastAsia" w:hAnsi="宋体" w:cs="宋体"/>
          <w:color w:val="auto"/>
          <w:kern w:val="2"/>
          <w:sz w:val="21"/>
          <w:szCs w:val="21"/>
          <w:highlight w:val="none"/>
        </w:rPr>
        <w:t>、信息产业部以文件形式确定、公布并适时调整。</w:t>
      </w:r>
    </w:p>
    <w:p w14:paraId="0FB39C51">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4.4.2各级政府部门在购置计算机办公设备时，必须采购预装正版操作系统</w:t>
      </w:r>
    </w:p>
    <w:p w14:paraId="6948E2AB">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14:paraId="451BB79B">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4.5网络安全专用产品</w:t>
      </w:r>
    </w:p>
    <w:p w14:paraId="70906D11">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4.5.1所投产品属于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14:paraId="69C5CF4E">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4.6采购需求标准</w:t>
      </w:r>
    </w:p>
    <w:p w14:paraId="6DE3A749">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4.6.1商品包装、快递包装政府采购需求标准（试行）为助力打好污染防治攻坚战，推广使用绿色包装，根据财政部关于印发《商品包装政府采购需求标准（试行）》、《快递包装政府采购需求标准（试行）》的通知（财办库〔2020〕123号），本项目如涉及商品包装和快递包装的，则其具体要求见第二章《采购需求》。</w:t>
      </w:r>
    </w:p>
    <w:p w14:paraId="6D3150DD">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4.6.2绿色数据中心政府采购需求标准（试行）</w:t>
      </w:r>
    </w:p>
    <w:p w14:paraId="09923FEC">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为加快数据中心绿色转型，根据财政部、生态环境部、工业和信息化部关于印发《绿色数据中心政府采购需求标准（试行）》的通知（财库〔2023〕7号），本项目如涉及绿色数据中心，则具体要求见第二章《采购需求》。</w:t>
      </w:r>
    </w:p>
    <w:p w14:paraId="685D836D">
      <w:pPr>
        <w:pStyle w:val="4"/>
        <w:ind w:firstLine="0" w:firstLineChars="0"/>
        <w:rPr>
          <w:color w:val="auto"/>
          <w:sz w:val="24"/>
          <w:szCs w:val="24"/>
          <w:highlight w:val="none"/>
        </w:rPr>
      </w:pPr>
      <w:r>
        <w:rPr>
          <w:rFonts w:hint="eastAsia"/>
          <w:color w:val="auto"/>
          <w:sz w:val="24"/>
          <w:szCs w:val="24"/>
          <w:highlight w:val="none"/>
        </w:rPr>
        <w:t>5.投标费用</w:t>
      </w:r>
    </w:p>
    <w:p w14:paraId="2DEDB3B6">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投标人应自行承担所有与准备和招标有关的费用，无论招标的结果如何，采购人或采购代理机构在任何情况下均无承担这些费用的义务和责任。</w:t>
      </w:r>
    </w:p>
    <w:p w14:paraId="110D82BD">
      <w:pPr>
        <w:pStyle w:val="4"/>
        <w:ind w:firstLine="0" w:firstLineChars="0"/>
        <w:rPr>
          <w:color w:val="auto"/>
          <w:sz w:val="24"/>
          <w:szCs w:val="24"/>
          <w:highlight w:val="none"/>
        </w:rPr>
      </w:pPr>
      <w:r>
        <w:rPr>
          <w:rFonts w:hint="eastAsia"/>
          <w:color w:val="auto"/>
          <w:sz w:val="24"/>
          <w:szCs w:val="24"/>
          <w:highlight w:val="none"/>
        </w:rPr>
        <w:t>6.采购范围及适用法律</w:t>
      </w:r>
    </w:p>
    <w:p w14:paraId="57543B2D">
      <w:pPr>
        <w:pStyle w:val="18"/>
        <w:spacing w:line="520" w:lineRule="exact"/>
        <w:ind w:left="440" w:firstLine="0"/>
        <w:rPr>
          <w:rFonts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6.1本次招标适用的法律、法规为《中华人民共和国政府采购法》《中华人民共和国政府采购法实施条例》《政府采购货物和服务招标投标管理办法》《中华人民共和国民法典》以及其他相关政府采购法律法规。</w:t>
      </w:r>
    </w:p>
    <w:p w14:paraId="0D350BC4">
      <w:pPr>
        <w:keepNext w:val="0"/>
        <w:keepLines w:val="0"/>
        <w:pageBreakBefore w:val="0"/>
        <w:widowControl w:val="0"/>
        <w:kinsoku/>
        <w:wordWrap w:val="0"/>
        <w:overflowPunct/>
        <w:topLinePunct w:val="0"/>
        <w:autoSpaceDE w:val="0"/>
        <w:autoSpaceDN w:val="0"/>
        <w:bidi w:val="0"/>
        <w:adjustRightInd/>
        <w:snapToGrid/>
        <w:spacing w:line="240" w:lineRule="auto"/>
        <w:ind w:firstLine="567"/>
        <w:jc w:val="both"/>
        <w:textAlignment w:val="auto"/>
        <w:rPr>
          <w:rFonts w:hint="eastAsia" w:asciiTheme="minorEastAsia" w:hAnsiTheme="minorEastAsia" w:eastAsiaTheme="minorEastAsia" w:cstheme="minorEastAsia"/>
          <w:color w:val="auto"/>
          <w:spacing w:val="-4"/>
          <w:sz w:val="24"/>
          <w:szCs w:val="24"/>
          <w:highlight w:val="none"/>
        </w:rPr>
      </w:pPr>
    </w:p>
    <w:p w14:paraId="7475284B">
      <w:pPr>
        <w:wordWrap w:val="0"/>
        <w:spacing w:line="360" w:lineRule="auto"/>
        <w:ind w:firstLine="567"/>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4"/>
          <w:sz w:val="24"/>
          <w:szCs w:val="24"/>
          <w:highlight w:val="none"/>
        </w:rPr>
        <w:t>6.2“监督管理部门”是指</w:t>
      </w:r>
      <w:r>
        <w:rPr>
          <w:rFonts w:hint="eastAsia" w:asciiTheme="minorEastAsia" w:hAnsiTheme="minorEastAsia" w:eastAsiaTheme="minorEastAsia" w:cstheme="minorEastAsia"/>
          <w:color w:val="auto"/>
          <w:spacing w:val="-4"/>
          <w:sz w:val="24"/>
          <w:szCs w:val="24"/>
          <w:highlight w:val="none"/>
          <w:u w:val="single"/>
        </w:rPr>
        <w:t>淅川县财政局</w:t>
      </w:r>
      <w:r>
        <w:rPr>
          <w:rFonts w:hint="eastAsia" w:asciiTheme="minorEastAsia" w:hAnsiTheme="minorEastAsia" w:eastAsiaTheme="minorEastAsia" w:cstheme="minorEastAsia"/>
          <w:color w:val="auto"/>
          <w:spacing w:val="-2"/>
          <w:sz w:val="24"/>
          <w:szCs w:val="24"/>
          <w:highlight w:val="none"/>
        </w:rPr>
        <w:t>。</w:t>
      </w:r>
    </w:p>
    <w:p w14:paraId="3E256CF3">
      <w:pPr>
        <w:keepNext w:val="0"/>
        <w:keepLines w:val="0"/>
        <w:pageBreakBefore w:val="0"/>
        <w:widowControl w:val="0"/>
        <w:kinsoku/>
        <w:wordWrap/>
        <w:overflowPunct/>
        <w:topLinePunct w:val="0"/>
        <w:autoSpaceDE/>
        <w:autoSpaceDN/>
        <w:bidi w:val="0"/>
        <w:adjustRightInd/>
        <w:snapToGrid/>
        <w:spacing w:line="500" w:lineRule="exact"/>
        <w:ind w:firstLine="567"/>
        <w:textAlignment w:val="auto"/>
        <w:rPr>
          <w:rFonts w:asciiTheme="minorEastAsia" w:hAnsiTheme="minorEastAsia" w:eastAsiaTheme="minorEastAsia" w:cstheme="minorEastAsia"/>
          <w:color w:val="auto"/>
          <w:spacing w:val="-2"/>
          <w:sz w:val="24"/>
          <w:szCs w:val="24"/>
          <w:highlight w:val="none"/>
          <w:lang w:eastAsia="zh-CN"/>
        </w:rPr>
      </w:pPr>
      <w:r>
        <w:rPr>
          <w:rFonts w:hint="eastAsia" w:asciiTheme="minorEastAsia" w:hAnsiTheme="minorEastAsia" w:eastAsiaTheme="minorEastAsia" w:cstheme="minorEastAsia"/>
          <w:color w:val="auto"/>
          <w:spacing w:val="-2"/>
          <w:sz w:val="24"/>
          <w:szCs w:val="24"/>
          <w:highlight w:val="none"/>
          <w:lang w:eastAsia="zh-CN"/>
        </w:rPr>
        <w:t>6.3“货物”指投标人按招标文件规定，须向采购人提供的与本次招标相关的</w:t>
      </w:r>
      <w:r>
        <w:rPr>
          <w:rFonts w:hint="eastAsia" w:ascii="宋体" w:hAnsi="宋体" w:eastAsia="宋体" w:cs="宋体"/>
          <w:color w:val="auto"/>
          <w:sz w:val="24"/>
          <w:szCs w:val="24"/>
          <w:highlight w:val="none"/>
          <w:u w:val="single"/>
          <w:lang w:val="en-US" w:eastAsia="zh-CN"/>
        </w:rPr>
        <w:t>机械设备</w:t>
      </w:r>
      <w:r>
        <w:rPr>
          <w:rFonts w:hint="eastAsia" w:asciiTheme="minorEastAsia" w:hAnsiTheme="minorEastAsia" w:eastAsiaTheme="minorEastAsia" w:cstheme="minorEastAsia"/>
          <w:color w:val="auto"/>
          <w:spacing w:val="-2"/>
          <w:sz w:val="24"/>
          <w:szCs w:val="24"/>
          <w:highlight w:val="none"/>
          <w:lang w:eastAsia="zh-CN"/>
        </w:rPr>
        <w:t>。</w:t>
      </w:r>
    </w:p>
    <w:p w14:paraId="2928320B">
      <w:pPr>
        <w:keepNext w:val="0"/>
        <w:keepLines w:val="0"/>
        <w:pageBreakBefore w:val="0"/>
        <w:widowControl w:val="0"/>
        <w:kinsoku/>
        <w:wordWrap/>
        <w:overflowPunct/>
        <w:topLinePunct w:val="0"/>
        <w:autoSpaceDE/>
        <w:autoSpaceDN/>
        <w:bidi w:val="0"/>
        <w:adjustRightInd/>
        <w:snapToGrid/>
        <w:spacing w:line="500" w:lineRule="exact"/>
        <w:ind w:firstLine="567"/>
        <w:textAlignment w:val="auto"/>
        <w:rPr>
          <w:rFonts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2"/>
          <w:sz w:val="24"/>
          <w:szCs w:val="24"/>
          <w:highlight w:val="none"/>
          <w:lang w:eastAsia="zh-CN"/>
        </w:rPr>
        <w:t>6.4“服务”指招标文件规定投标人应承担的</w:t>
      </w:r>
      <w:r>
        <w:rPr>
          <w:rFonts w:hint="eastAsia" w:asciiTheme="minorEastAsia" w:hAnsiTheme="minorEastAsia" w:eastAsiaTheme="minorEastAsia" w:cstheme="minorEastAsia"/>
          <w:color w:val="auto"/>
          <w:spacing w:val="-2"/>
          <w:sz w:val="24"/>
          <w:szCs w:val="24"/>
          <w:highlight w:val="none"/>
          <w:u w:val="single"/>
          <w:lang w:eastAsia="zh-CN"/>
        </w:rPr>
        <w:t>送货安装、售后</w:t>
      </w:r>
      <w:r>
        <w:rPr>
          <w:rFonts w:hint="eastAsia" w:asciiTheme="minorEastAsia" w:hAnsiTheme="minorEastAsia" w:eastAsiaTheme="minorEastAsia" w:cstheme="minorEastAsia"/>
          <w:color w:val="auto"/>
          <w:spacing w:val="-2"/>
          <w:sz w:val="24"/>
          <w:szCs w:val="24"/>
          <w:highlight w:val="none"/>
          <w:lang w:eastAsia="zh-CN"/>
        </w:rPr>
        <w:t>服务。</w:t>
      </w:r>
    </w:p>
    <w:p w14:paraId="4E9769BB">
      <w:pPr>
        <w:pStyle w:val="4"/>
        <w:ind w:firstLine="0" w:firstLineChars="0"/>
        <w:rPr>
          <w:color w:val="auto"/>
          <w:spacing w:val="-2"/>
          <w:sz w:val="28"/>
          <w:szCs w:val="28"/>
          <w:highlight w:val="none"/>
        </w:rPr>
      </w:pPr>
      <w:r>
        <w:rPr>
          <w:rFonts w:hint="eastAsia"/>
          <w:color w:val="auto"/>
          <w:sz w:val="28"/>
          <w:szCs w:val="28"/>
          <w:highlight w:val="none"/>
        </w:rPr>
        <w:t>二</w:t>
      </w:r>
      <w:r>
        <w:rPr>
          <w:rFonts w:hint="eastAsia"/>
          <w:color w:val="auto"/>
          <w:spacing w:val="5"/>
          <w:sz w:val="28"/>
          <w:szCs w:val="28"/>
          <w:highlight w:val="none"/>
        </w:rPr>
        <w:t>、</w:t>
      </w:r>
      <w:r>
        <w:rPr>
          <w:rFonts w:hint="eastAsia"/>
          <w:color w:val="auto"/>
          <w:sz w:val="28"/>
          <w:szCs w:val="28"/>
          <w:highlight w:val="none"/>
        </w:rPr>
        <w:t>招标文件</w:t>
      </w:r>
    </w:p>
    <w:p w14:paraId="1A9CCBCB">
      <w:pPr>
        <w:pStyle w:val="4"/>
        <w:ind w:firstLine="0" w:firstLineChars="0"/>
        <w:rPr>
          <w:color w:val="auto"/>
          <w:sz w:val="24"/>
          <w:szCs w:val="24"/>
          <w:highlight w:val="none"/>
        </w:rPr>
      </w:pPr>
      <w:r>
        <w:rPr>
          <w:rFonts w:hint="eastAsia"/>
          <w:color w:val="auto"/>
          <w:sz w:val="24"/>
          <w:szCs w:val="24"/>
          <w:highlight w:val="none"/>
        </w:rPr>
        <w:t>7.招标文件构成</w:t>
      </w:r>
    </w:p>
    <w:p w14:paraId="77F0661A">
      <w:pPr>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7.1招标文件包括以下部分：</w:t>
      </w:r>
    </w:p>
    <w:p w14:paraId="65E720AA">
      <w:pPr>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第一章公开招标公告</w:t>
      </w:r>
    </w:p>
    <w:p w14:paraId="47B730D3">
      <w:pPr>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第二章采购需求</w:t>
      </w:r>
    </w:p>
    <w:p w14:paraId="51D38CFF">
      <w:pPr>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第三章投标人须知</w:t>
      </w:r>
    </w:p>
    <w:p w14:paraId="1CF5475D">
      <w:pPr>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第四章开、评标程序、评标方法和评标标准</w:t>
      </w:r>
    </w:p>
    <w:p w14:paraId="447614E6">
      <w:pPr>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第五章政府采购合同（草案）</w:t>
      </w:r>
    </w:p>
    <w:p w14:paraId="56FF4548">
      <w:pPr>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第六章投标文件格式</w:t>
      </w:r>
    </w:p>
    <w:p w14:paraId="28590687">
      <w:pPr>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7.2投标人应认真阅读招标文件的全部内容。投标人应按照招标文件要求提交投标文件并保证所提供的全部资料的真实性，并对招标文件做出实质性响应，否则投标无效。</w:t>
      </w:r>
    </w:p>
    <w:p w14:paraId="16DFE157">
      <w:pPr>
        <w:pStyle w:val="4"/>
        <w:ind w:firstLine="0" w:firstLineChars="0"/>
        <w:rPr>
          <w:color w:val="auto"/>
          <w:sz w:val="24"/>
          <w:szCs w:val="24"/>
          <w:highlight w:val="none"/>
        </w:rPr>
      </w:pPr>
      <w:r>
        <w:rPr>
          <w:rFonts w:hint="eastAsia"/>
          <w:color w:val="auto"/>
          <w:sz w:val="24"/>
          <w:szCs w:val="24"/>
          <w:highlight w:val="none"/>
        </w:rPr>
        <w:t>8.对招标文件的澄清或修改</w:t>
      </w:r>
    </w:p>
    <w:p w14:paraId="42DD258A">
      <w:pPr>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8.1采购人或采购代理机构对已发出的招标文件进行必要澄清或者修改的，将在原公告发布媒体上发布更正公告，不得改变采购标的和资格条件。</w:t>
      </w:r>
    </w:p>
    <w:p w14:paraId="14895B6F">
      <w:pPr>
        <w:wordWrap w:val="0"/>
        <w:spacing w:line="360" w:lineRule="auto"/>
        <w:ind w:firstLine="472" w:firstLineChars="200"/>
        <w:jc w:val="both"/>
        <w:rPr>
          <w:rFonts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2"/>
          <w:sz w:val="24"/>
          <w:szCs w:val="24"/>
          <w:highlight w:val="none"/>
        </w:rPr>
        <w:t>8.2澄清或者修改的内容为招标文件的组成部分，并对所有获取招标文件的潜在投标人具有约束力。澄清或者修改的内容可能影响投标文件编制的，将在投标截止时间至少15日前，以书面形式（必须在原公告发布媒体上发布公告）通知所有获取招标文件的潜在投标人；不足15日的，将顺延提交投</w:t>
      </w:r>
      <w:r>
        <w:rPr>
          <w:rFonts w:hint="eastAsia" w:asciiTheme="minorEastAsia" w:hAnsiTheme="minorEastAsia" w:eastAsiaTheme="minorEastAsia" w:cstheme="minorEastAsia"/>
          <w:color w:val="auto"/>
          <w:spacing w:val="-8"/>
          <w:sz w:val="24"/>
          <w:szCs w:val="24"/>
          <w:highlight w:val="none"/>
        </w:rPr>
        <w:t>标文件的截止时间和开标时间。</w:t>
      </w:r>
    </w:p>
    <w:p w14:paraId="18EDFD8E">
      <w:pPr>
        <w:pStyle w:val="4"/>
        <w:ind w:firstLine="0" w:firstLineChars="0"/>
        <w:rPr>
          <w:b w:val="0"/>
          <w:color w:val="auto"/>
          <w:spacing w:val="-8"/>
          <w:sz w:val="24"/>
          <w:szCs w:val="24"/>
          <w:highlight w:val="none"/>
        </w:rPr>
      </w:pPr>
      <w:r>
        <w:rPr>
          <w:rFonts w:hint="eastAsia"/>
          <w:b w:val="0"/>
          <w:color w:val="auto"/>
          <w:spacing w:val="-8"/>
          <w:sz w:val="24"/>
          <w:szCs w:val="24"/>
          <w:highlight w:val="none"/>
        </w:rPr>
        <w:t>8.3政府采购项目实行网上受理，开标前所有信息保密。因此，发布的一切公告信息（包括招标公告、更正公告、澄清公告、延期公告等）均在“河南省政府采购网”“南阳市公共资源交易中心网”发布，请潜在投标供应商随时查询有关公告信息。若因潜在投标供应商没有及时查看到公告信息而造成的投标失误，责任自负。</w:t>
      </w:r>
    </w:p>
    <w:p w14:paraId="4B48AC0A">
      <w:pPr>
        <w:pStyle w:val="4"/>
        <w:ind w:firstLine="0" w:firstLineChars="0"/>
        <w:rPr>
          <w:b w:val="0"/>
          <w:color w:val="auto"/>
          <w:spacing w:val="-8"/>
          <w:sz w:val="24"/>
          <w:szCs w:val="24"/>
          <w:highlight w:val="none"/>
        </w:rPr>
      </w:pPr>
      <w:r>
        <w:rPr>
          <w:rFonts w:hint="eastAsia"/>
          <w:b w:val="0"/>
          <w:color w:val="auto"/>
          <w:spacing w:val="-8"/>
          <w:sz w:val="24"/>
          <w:szCs w:val="24"/>
          <w:highlight w:val="none"/>
        </w:rPr>
        <w:t>8.4投标人应关注是否有发布最新的澄清更正公告和更正的最新招标文件（电子答疑文件），如有则需下载最新的招标文件，并在此基础上制作最新的投标文件并上传。</w:t>
      </w:r>
    </w:p>
    <w:p w14:paraId="16D6E6CF">
      <w:pPr>
        <w:pStyle w:val="4"/>
        <w:ind w:firstLine="2016"/>
        <w:rPr>
          <w:b w:val="0"/>
          <w:color w:val="auto"/>
          <w:spacing w:val="-8"/>
          <w:sz w:val="24"/>
          <w:szCs w:val="24"/>
          <w:highlight w:val="none"/>
        </w:rPr>
      </w:pPr>
    </w:p>
    <w:p w14:paraId="5321B63E">
      <w:pPr>
        <w:pStyle w:val="4"/>
        <w:ind w:firstLine="0" w:firstLineChars="0"/>
        <w:rPr>
          <w:color w:val="auto"/>
          <w:sz w:val="28"/>
          <w:szCs w:val="28"/>
          <w:highlight w:val="none"/>
        </w:rPr>
      </w:pPr>
      <w:r>
        <w:rPr>
          <w:rFonts w:hint="eastAsia"/>
          <w:color w:val="auto"/>
          <w:sz w:val="28"/>
          <w:szCs w:val="28"/>
          <w:highlight w:val="none"/>
        </w:rPr>
        <w:t>三、投标文件的编制</w:t>
      </w:r>
    </w:p>
    <w:p w14:paraId="1FD29743">
      <w:pPr>
        <w:pStyle w:val="4"/>
        <w:ind w:firstLine="0" w:firstLineChars="0"/>
        <w:rPr>
          <w:color w:val="auto"/>
          <w:sz w:val="24"/>
          <w:szCs w:val="24"/>
          <w:highlight w:val="none"/>
        </w:rPr>
      </w:pPr>
      <w:r>
        <w:rPr>
          <w:rFonts w:hint="eastAsia"/>
          <w:color w:val="auto"/>
          <w:sz w:val="24"/>
          <w:szCs w:val="24"/>
          <w:highlight w:val="none"/>
        </w:rPr>
        <w:t>9.投标范围、投标文件中计量单位的使用及投标语言</w:t>
      </w:r>
    </w:p>
    <w:p w14:paraId="75A6D140">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9.1本项目如划分采购包，投标人可以对本项目的其中一个采购包进行投标，也可同时对多个采购包进行投标。投标人应当对所投采购包对应第二章《采购需求》所列的全部内容进行投标，不得将一个采购包中的内容拆分投标，否则其对该采购包的投标将被认定为无效投标。</w:t>
      </w:r>
    </w:p>
    <w:p w14:paraId="6F967AB7">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9.2除招标文件有特殊要求外，本项目投标所使用的计量单位，应采用中华人民共和国法定计量单位。</w:t>
      </w:r>
    </w:p>
    <w:p w14:paraId="1596E12B">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9.3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5A1FD73B">
      <w:pPr>
        <w:wordWrap w:val="0"/>
        <w:spacing w:line="360" w:lineRule="auto"/>
        <w:ind w:firstLine="482" w:firstLineChars="200"/>
        <w:jc w:val="both"/>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10.投标文件构成</w:t>
      </w:r>
    </w:p>
    <w:p w14:paraId="39A7C45D">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10.1投标人应当按照招标文件的要求编制投标文件。投标文件应由《开标一览表及资格证明文件》、《商务技术文件》两部分构成。投标文件的部分格式要求，见第六章《投标文件格式》。如有漏项或评标委员会认为其投标文件有明显缺陷的，造成的后果由投标人自己承担。</w:t>
      </w:r>
    </w:p>
    <w:p w14:paraId="317E3D3C">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10.2对于招标文件中标记了实质性格式文件的，投标人不得改变格式中给定的文字所表达的含义，不得删减格式中的实质性内容，不得对应当填写的空格不填写或不实质性响应，否则投标无效。未标记实质性格式的文件和招标文件未提供格式的内容，可由投标人自行编写。</w:t>
      </w:r>
    </w:p>
    <w:p w14:paraId="25B0494D">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10.3电子投标文件应使用CA数字证书或企业电子营业执照生成并在截止时间前上传其加密版本，根据招标文件中规定的下载平台要求，具体详见《投标文件制作工具操作手册》或《电子营业执照应用平台系统操作手册-投标单位》。</w:t>
      </w:r>
      <w:r>
        <w:rPr>
          <w:rFonts w:hint="eastAsia" w:asciiTheme="minorEastAsia" w:hAnsiTheme="minorEastAsia" w:eastAsiaTheme="minorEastAsia" w:cstheme="minorEastAsia"/>
          <w:b/>
          <w:bCs/>
          <w:color w:val="auto"/>
          <w:sz w:val="24"/>
          <w:szCs w:val="24"/>
          <w:highlight w:val="none"/>
        </w:rPr>
        <w:t>否则，被视为无效投标文件，将被平台系统拒绝。</w:t>
      </w:r>
    </w:p>
    <w:p w14:paraId="6FC2DE2F">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10.4第四章《开评标程序、评标方法和评标标准》中涉及的证明文件。</w:t>
      </w:r>
    </w:p>
    <w:p w14:paraId="072B71E4">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10.5对照第二章《采购需求》，说明所提供货物和服务已对第二章《采购需求》做出了响应，或申明与第二章《采购需求》的偏差和例外。如第二章《采购需求》中要求提供证明文件的，投标人应当按具体要求提供证明文件。</w:t>
      </w:r>
    </w:p>
    <w:p w14:paraId="7365A072">
      <w:pPr>
        <w:wordWrap w:val="0"/>
        <w:spacing w:line="360" w:lineRule="auto"/>
        <w:ind w:firstLine="480" w:firstLineChars="200"/>
        <w:jc w:val="both"/>
        <w:rPr>
          <w:rFonts w:ascii="仿宋_GB2312" w:eastAsia="仿宋_GB2312"/>
          <w:b/>
          <w:color w:val="auto"/>
          <w:sz w:val="28"/>
          <w:szCs w:val="28"/>
          <w:highlight w:val="none"/>
        </w:rPr>
      </w:pPr>
      <w:r>
        <w:rPr>
          <w:rFonts w:hint="eastAsia" w:asciiTheme="minorEastAsia" w:hAnsiTheme="minorEastAsia" w:eastAsiaTheme="minorEastAsia" w:cstheme="minorEastAsia"/>
          <w:color w:val="auto"/>
          <w:sz w:val="24"/>
          <w:szCs w:val="24"/>
          <w:highlight w:val="none"/>
        </w:rPr>
        <w:t>10.6投标人编制投标文件时，涉及营业执照、资质、业绩、财务、社保、纳税及各类证书、报告等内容，必须是原件的扫描件。</w:t>
      </w:r>
    </w:p>
    <w:p w14:paraId="7F38A2C7">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10.7投标人认为应附的其他材料。</w:t>
      </w:r>
    </w:p>
    <w:p w14:paraId="18A4C930">
      <w:pPr>
        <w:wordWrap w:val="0"/>
        <w:spacing w:line="360" w:lineRule="auto"/>
        <w:ind w:firstLine="482" w:firstLineChars="200"/>
        <w:jc w:val="both"/>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11.投标报价</w:t>
      </w:r>
    </w:p>
    <w:p w14:paraId="7D5FE19D">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11.1所有投标均以人民币报价。</w:t>
      </w:r>
    </w:p>
    <w:p w14:paraId="228CBAA5">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11.2投标人的报价应包括为完成本项目所发生的一切费用和税费，采购人将不再支付报价以外的任何费用。投标人的报价应包括但不限于下列内容，招标文件中有特殊规定的，从其规定。</w:t>
      </w:r>
    </w:p>
    <w:p w14:paraId="3C0AE9C3">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报价时应详细列出所投产品的生产厂商、品牌、型号、单价、数量、总价等。</w:t>
      </w:r>
    </w:p>
    <w:p w14:paraId="4933B85E">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（2）服务项目按照招标文件要求完成本项目的全部相关费用。</w:t>
      </w:r>
    </w:p>
    <w:p w14:paraId="1B9A2CDB">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11.3采购人不得向供应商索要或者接受其给予的赠品、回扣或者与采购无关的其他商品、服务。</w:t>
      </w:r>
    </w:p>
    <w:p w14:paraId="3DFCC38F">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11.4投标人不能提供任何有选择性或可调整的报价（招标文件另有规定的除外），否则其投标无效。</w:t>
      </w:r>
    </w:p>
    <w:p w14:paraId="3968AFF5">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11.5本次招标设有预算，投标人报价超过预算的，评标委员会将不予评议。</w:t>
      </w:r>
    </w:p>
    <w:p w14:paraId="608F6480">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075535B">
      <w:pPr>
        <w:wordWrap w:val="0"/>
        <w:spacing w:line="360" w:lineRule="auto"/>
        <w:ind w:firstLine="482" w:firstLineChars="200"/>
        <w:jc w:val="both"/>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12.投标有效期</w:t>
      </w:r>
    </w:p>
    <w:p w14:paraId="752CD94F">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12.1投标文件应在本招标文件《投标人须知表》中规定的投标有效期内保持有效，投标有效期少于招标文件规定期限的，其投标无效。中标人的投标有效期延长至项目验收合格之日。</w:t>
      </w:r>
    </w:p>
    <w:p w14:paraId="3CD127B1">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12.2特别情况下，采购代理机构、采购人可于投标有效期满之前要求投标人同意延长有效期，要求与答复均为书面形式。投标人可以拒绝上述要求。对于同意该要求的投标人，既不要求也不允许其修改投标文件。</w:t>
      </w:r>
    </w:p>
    <w:p w14:paraId="4CDD6C4A">
      <w:pPr>
        <w:wordWrap w:val="0"/>
        <w:spacing w:line="360" w:lineRule="auto"/>
        <w:ind w:firstLine="482" w:firstLineChars="200"/>
        <w:jc w:val="both"/>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13.投标文件的签署、盖章</w:t>
      </w:r>
    </w:p>
    <w:p w14:paraId="5A838014">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13.1电子投标文件必须在规定签章处电子签章或手写签字后扫描上传进投标文件。</w:t>
      </w:r>
    </w:p>
    <w:p w14:paraId="3E2BFEB8">
      <w:pPr>
        <w:wordWrap w:val="0"/>
        <w:spacing w:line="360" w:lineRule="auto"/>
        <w:ind w:firstLine="480" w:firstLineChars="200"/>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13.2招标文件要求盖章的内容，一般通过CA或电子营业执照加盖电子签章。</w:t>
      </w:r>
    </w:p>
    <w:p w14:paraId="0397E3FF">
      <w:pPr>
        <w:pStyle w:val="4"/>
        <w:ind w:firstLine="0" w:firstLineChars="0"/>
        <w:rPr>
          <w:bCs/>
          <w:color w:val="auto"/>
          <w:spacing w:val="1"/>
          <w:sz w:val="28"/>
          <w:szCs w:val="28"/>
          <w:highlight w:val="none"/>
        </w:rPr>
      </w:pPr>
      <w:r>
        <w:rPr>
          <w:rFonts w:hint="eastAsia"/>
          <w:color w:val="auto"/>
          <w:sz w:val="28"/>
          <w:szCs w:val="28"/>
          <w:highlight w:val="none"/>
        </w:rPr>
        <w:t>四、投标文件的提交</w:t>
      </w:r>
    </w:p>
    <w:p w14:paraId="0CC72827">
      <w:pPr>
        <w:wordWrap w:val="0"/>
        <w:spacing w:line="360" w:lineRule="auto"/>
        <w:ind w:firstLine="486"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b/>
          <w:bCs/>
          <w:color w:val="auto"/>
          <w:spacing w:val="1"/>
          <w:sz w:val="24"/>
          <w:szCs w:val="24"/>
          <w:highlight w:val="none"/>
        </w:rPr>
        <w:t>14.投标文件的提交</w:t>
      </w:r>
    </w:p>
    <w:p w14:paraId="1D7FE118">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14.1电子投标文件的提交是指使用南阳市公共资源交易中心网上交易系统或南阳市公共资源电子营业执照应用平台系统在投标截止时间前完成制作软件生成的加密电子投标文件的上传。未在投标截止时间前完成上传的，视为逾期提交。逾期提交的投标文件，招标人不予受理。</w:t>
      </w:r>
    </w:p>
    <w:p w14:paraId="246F61EE">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14.2采购人及采购代理机构拒绝接受通过电子交易平台以外任何形式提交的投标文件。</w:t>
      </w:r>
    </w:p>
    <w:p w14:paraId="4CE3C5E1">
      <w:pPr>
        <w:wordWrap w:val="0"/>
        <w:spacing w:line="360" w:lineRule="auto"/>
        <w:ind w:firstLine="486" w:firstLineChars="200"/>
        <w:jc w:val="both"/>
        <w:rPr>
          <w:rFonts w:asciiTheme="minorEastAsia" w:hAnsiTheme="minorEastAsia" w:eastAsiaTheme="minorEastAsia" w:cstheme="minorEastAsia"/>
          <w:b/>
          <w:bCs/>
          <w:color w:val="auto"/>
          <w:spacing w:val="1"/>
          <w:sz w:val="24"/>
          <w:szCs w:val="24"/>
          <w:highlight w:val="none"/>
        </w:rPr>
      </w:pPr>
      <w:r>
        <w:rPr>
          <w:rFonts w:hint="eastAsia" w:asciiTheme="minorEastAsia" w:hAnsiTheme="minorEastAsia" w:eastAsiaTheme="minorEastAsia" w:cstheme="minorEastAsia"/>
          <w:b/>
          <w:bCs/>
          <w:color w:val="auto"/>
          <w:spacing w:val="1"/>
          <w:sz w:val="24"/>
          <w:szCs w:val="24"/>
          <w:highlight w:val="none"/>
        </w:rPr>
        <w:t>15.投标截止时间</w:t>
      </w:r>
    </w:p>
    <w:p w14:paraId="24BD7067">
      <w:pPr>
        <w:pStyle w:val="4"/>
        <w:ind w:firstLine="492" w:firstLineChars="200"/>
        <w:rPr>
          <w:b w:val="0"/>
          <w:color w:val="auto"/>
          <w:spacing w:val="3"/>
          <w:sz w:val="24"/>
          <w:szCs w:val="24"/>
          <w:highlight w:val="none"/>
        </w:rPr>
      </w:pPr>
      <w:r>
        <w:rPr>
          <w:rFonts w:hint="eastAsia"/>
          <w:b w:val="0"/>
          <w:color w:val="auto"/>
          <w:spacing w:val="3"/>
          <w:sz w:val="24"/>
          <w:szCs w:val="24"/>
          <w:highlight w:val="none"/>
        </w:rPr>
        <w:t>投标人应在招标文件要求的投标文件截止时间前，将电子投标文件提交至电子交易平台。</w:t>
      </w:r>
    </w:p>
    <w:p w14:paraId="1AE5618A">
      <w:pPr>
        <w:wordWrap w:val="0"/>
        <w:spacing w:line="360" w:lineRule="auto"/>
        <w:ind w:firstLine="486" w:firstLineChars="200"/>
        <w:jc w:val="both"/>
        <w:rPr>
          <w:rFonts w:asciiTheme="minorEastAsia" w:hAnsiTheme="minorEastAsia" w:eastAsiaTheme="minorEastAsia" w:cstheme="minorEastAsia"/>
          <w:b/>
          <w:bCs/>
          <w:color w:val="auto"/>
          <w:spacing w:val="1"/>
          <w:sz w:val="24"/>
          <w:szCs w:val="24"/>
          <w:highlight w:val="none"/>
        </w:rPr>
      </w:pPr>
      <w:r>
        <w:rPr>
          <w:rFonts w:hint="eastAsia" w:asciiTheme="minorEastAsia" w:hAnsiTheme="minorEastAsia" w:eastAsiaTheme="minorEastAsia" w:cstheme="minorEastAsia"/>
          <w:b/>
          <w:bCs/>
          <w:color w:val="auto"/>
          <w:spacing w:val="1"/>
          <w:sz w:val="24"/>
          <w:szCs w:val="24"/>
          <w:highlight w:val="none"/>
        </w:rPr>
        <w:t>16.投标文件的修改与撤回</w:t>
      </w:r>
    </w:p>
    <w:p w14:paraId="35034863">
      <w:pPr>
        <w:wordWrap w:val="0"/>
        <w:spacing w:line="360" w:lineRule="auto"/>
        <w:ind w:firstLine="492" w:firstLineChars="200"/>
        <w:jc w:val="both"/>
        <w:rPr>
          <w:color w:val="auto"/>
          <w:highlight w:val="none"/>
        </w:rPr>
      </w:pPr>
      <w:r>
        <w:rPr>
          <w:rFonts w:hint="eastAsia" w:asciiTheme="minorEastAsia" w:hAnsiTheme="minorEastAsia" w:eastAsiaTheme="minorEastAsia" w:cstheme="minorEastAsia"/>
          <w:color w:val="auto"/>
          <w:spacing w:val="3"/>
          <w:sz w:val="24"/>
          <w:szCs w:val="24"/>
          <w:highlight w:val="none"/>
        </w:rPr>
        <w:t>16.1在招标文件规定的投标截止时间前，投标人可以修改或撤回已上传的电子投标文件，最终电子投标文件以投标截止时间前完成上传至南阳市电子交易平台系统最后一份解密投标文件为准。投标截止时间之后，投标人不得修改或撤回电子投标文件。</w:t>
      </w:r>
    </w:p>
    <w:p w14:paraId="1F307ACA">
      <w:pPr>
        <w:pStyle w:val="4"/>
        <w:ind w:firstLine="739" w:firstLineChars="200"/>
        <w:rPr>
          <w:color w:val="auto"/>
          <w:highlight w:val="none"/>
        </w:rPr>
      </w:pPr>
      <w:r>
        <w:rPr>
          <w:rFonts w:hint="eastAsia"/>
          <w:color w:val="auto"/>
          <w:highlight w:val="none"/>
        </w:rPr>
        <w:t>第四章开、评标程序、评标方法和评标标准</w:t>
      </w:r>
    </w:p>
    <w:p w14:paraId="1122CD13">
      <w:pPr>
        <w:wordWrap w:val="0"/>
        <w:spacing w:line="360" w:lineRule="auto"/>
        <w:jc w:val="both"/>
        <w:rPr>
          <w:rFonts w:asciiTheme="minorEastAsia" w:hAnsiTheme="minorEastAsia" w:eastAsiaTheme="minorEastAsia" w:cstheme="minorEastAsia"/>
          <w:b/>
          <w:bCs/>
          <w:color w:val="auto"/>
          <w:spacing w:val="3"/>
          <w:sz w:val="24"/>
          <w:szCs w:val="24"/>
          <w:highlight w:val="none"/>
        </w:rPr>
      </w:pPr>
      <w:r>
        <w:rPr>
          <w:rFonts w:hint="eastAsia" w:asciiTheme="minorEastAsia" w:hAnsiTheme="minorEastAsia" w:eastAsiaTheme="minorEastAsia" w:cstheme="minorEastAsia"/>
          <w:b/>
          <w:bCs/>
          <w:color w:val="auto"/>
          <w:spacing w:val="3"/>
          <w:sz w:val="24"/>
          <w:szCs w:val="24"/>
          <w:highlight w:val="none"/>
        </w:rPr>
        <w:t>一、开标</w:t>
      </w:r>
    </w:p>
    <w:p w14:paraId="48887789">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1.采购人或采购代理机构按招标公告中规定的时间开标，本项目使用不见面开标，投标人无需到开标现场。</w:t>
      </w:r>
    </w:p>
    <w:p w14:paraId="28BB94A2">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2.开标：</w:t>
      </w:r>
    </w:p>
    <w:p w14:paraId="47055335">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2.1投标人解密：投标人制作电子投标文件时，必须使用本单位企业数字证书或电子营业执照进行加密，投标人在开标前须自行检查数字证书或电子营业执照的有效性。在解密时间到达后，系统做出解密提示，请各投标人自行解密即可。开标解密时未在规定时间（30分钟）内进行解密的视为撤销其投标文件（因电子开标系统原因除外）。</w:t>
      </w:r>
    </w:p>
    <w:p w14:paraId="4BD56429">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2.2唱标。查看唱标信息（系统不提供语音在线播放，该页面停留1分钟供投标人查看，如无异议视为同意）。招标（采购）人、监督人员需要关注开标过程中，投标人随时在线提出的异议、问题沟通等信息，并及时做好答复工作。</w:t>
      </w:r>
    </w:p>
    <w:p w14:paraId="204D3F9B">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2.3宣布开标结束。</w:t>
      </w:r>
    </w:p>
    <w:p w14:paraId="548EDE9E">
      <w:pPr>
        <w:rPr>
          <w:color w:val="auto"/>
          <w:highlight w:val="none"/>
        </w:rPr>
      </w:pPr>
    </w:p>
    <w:p w14:paraId="31293CD4">
      <w:pPr>
        <w:pStyle w:val="4"/>
        <w:rPr>
          <w:color w:val="auto"/>
          <w:highlight w:val="none"/>
        </w:rPr>
      </w:pPr>
      <w:r>
        <w:rPr>
          <w:rFonts w:hint="eastAsia"/>
          <w:color w:val="auto"/>
          <w:highlight w:val="none"/>
        </w:rPr>
        <w:t>二、资格审查</w:t>
      </w:r>
    </w:p>
    <w:p w14:paraId="6FF9976C">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1.开标结束后，采购人或采购代理机构将根据资格审查要求中的规定，对投标人进行资格审查，并形成资格审查结果。</w:t>
      </w:r>
    </w:p>
    <w:p w14:paraId="317F5FDE">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2.投标人《资格证明文件》有任何一项不符合《资格审查要求》的，资格审查不合格，其投标无效。</w:t>
      </w:r>
    </w:p>
    <w:p w14:paraId="235E5987">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3.资格审查合格的投标人不足3家的，不进行评标。</w:t>
      </w:r>
    </w:p>
    <w:p w14:paraId="5D6745EE">
      <w:pPr>
        <w:pStyle w:val="5"/>
        <w:rPr>
          <w:color w:val="auto"/>
          <w:highlight w:val="none"/>
        </w:rPr>
      </w:pPr>
    </w:p>
    <w:p w14:paraId="3F2C6969">
      <w:pPr>
        <w:pStyle w:val="4"/>
        <w:rPr>
          <w:color w:val="auto"/>
          <w:highlight w:val="none"/>
        </w:rPr>
      </w:pPr>
      <w:r>
        <w:rPr>
          <w:rFonts w:hint="eastAsia"/>
          <w:color w:val="auto"/>
          <w:highlight w:val="none"/>
        </w:rPr>
        <w:t>资格审查要求</w:t>
      </w:r>
    </w:p>
    <w:p w14:paraId="3EA55013">
      <w:pPr>
        <w:wordWrap w:val="0"/>
        <w:spacing w:line="146" w:lineRule="exact"/>
        <w:jc w:val="both"/>
        <w:rPr>
          <w:rFonts w:asciiTheme="minorEastAsia" w:hAnsiTheme="minorEastAsia" w:eastAsiaTheme="minorEastAsia" w:cstheme="minorEastAsia"/>
          <w:color w:val="auto"/>
          <w:highlight w:val="none"/>
        </w:rPr>
      </w:pPr>
    </w:p>
    <w:tbl>
      <w:tblPr>
        <w:tblStyle w:val="21"/>
        <w:tblW w:w="99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6"/>
        <w:gridCol w:w="944"/>
        <w:gridCol w:w="3600"/>
        <w:gridCol w:w="4528"/>
      </w:tblGrid>
      <w:tr w14:paraId="0D8F25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846" w:type="dxa"/>
          </w:tcPr>
          <w:p w14:paraId="131CF813">
            <w:pPr>
              <w:wordWrap w:val="0"/>
              <w:spacing w:before="119" w:line="222"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序号</w:t>
            </w:r>
          </w:p>
        </w:tc>
        <w:tc>
          <w:tcPr>
            <w:tcW w:w="944" w:type="dxa"/>
          </w:tcPr>
          <w:p w14:paraId="0CE16305">
            <w:pPr>
              <w:wordWrap w:val="0"/>
              <w:spacing w:before="119" w:line="22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审查因素</w:t>
            </w:r>
          </w:p>
        </w:tc>
        <w:tc>
          <w:tcPr>
            <w:tcW w:w="3600" w:type="dxa"/>
          </w:tcPr>
          <w:p w14:paraId="1F4BC9B4">
            <w:pPr>
              <w:wordWrap w:val="0"/>
              <w:spacing w:before="119" w:line="22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审查内容</w:t>
            </w:r>
          </w:p>
        </w:tc>
        <w:tc>
          <w:tcPr>
            <w:tcW w:w="4528" w:type="dxa"/>
          </w:tcPr>
          <w:p w14:paraId="455AA1D5">
            <w:pPr>
              <w:wordWrap w:val="0"/>
              <w:spacing w:before="119" w:line="22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备注</w:t>
            </w:r>
          </w:p>
        </w:tc>
      </w:tr>
      <w:tr w14:paraId="6F7543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846" w:type="dxa"/>
            <w:vAlign w:val="center"/>
          </w:tcPr>
          <w:p w14:paraId="5B1F97EC">
            <w:pPr>
              <w:pStyle w:val="20"/>
              <w:rPr>
                <w:color w:val="auto"/>
                <w:highlight w:val="none"/>
              </w:rPr>
            </w:pPr>
            <w:r>
              <w:rPr>
                <w:rFonts w:hint="eastAsia"/>
                <w:color w:val="auto"/>
                <w:highlight w:val="none"/>
              </w:rPr>
              <w:t>1</w:t>
            </w:r>
            <w:r>
              <w:rPr>
                <w:color w:val="auto"/>
                <w:highlight w:val="none"/>
              </w:rPr>
              <w:t>1</w:t>
            </w:r>
          </w:p>
          <w:p w14:paraId="3460ACCF">
            <w:pPr>
              <w:pStyle w:val="20"/>
              <w:rPr>
                <w:color w:val="auto"/>
                <w:highlight w:val="none"/>
              </w:rPr>
            </w:pPr>
            <w:r>
              <w:rPr>
                <w:rFonts w:hint="eastAsia"/>
                <w:color w:val="auto"/>
                <w:highlight w:val="none"/>
              </w:rPr>
              <w:t>1</w:t>
            </w:r>
          </w:p>
        </w:tc>
        <w:tc>
          <w:tcPr>
            <w:tcW w:w="944" w:type="dxa"/>
            <w:vAlign w:val="center"/>
          </w:tcPr>
          <w:p w14:paraId="2D697DE9">
            <w:pPr>
              <w:wordWrap w:val="0"/>
              <w:spacing w:before="32" w:line="232" w:lineRule="auto"/>
              <w:ind w:left="112" w:right="105"/>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满足第一章《公开招标公告》投标人具备的资格要求</w:t>
            </w:r>
          </w:p>
        </w:tc>
        <w:tc>
          <w:tcPr>
            <w:tcW w:w="3600" w:type="dxa"/>
          </w:tcPr>
          <w:p w14:paraId="594E3F4C">
            <w:pPr>
              <w:spacing w:line="520" w:lineRule="exact"/>
              <w:rPr>
                <w:color w:val="auto"/>
                <w:sz w:val="24"/>
                <w:szCs w:val="21"/>
                <w:highlight w:val="none"/>
              </w:rPr>
            </w:pPr>
            <w:r>
              <w:rPr>
                <w:rFonts w:hint="eastAsia"/>
                <w:color w:val="auto"/>
                <w:sz w:val="24"/>
                <w:szCs w:val="21"/>
                <w:highlight w:val="none"/>
              </w:rPr>
              <w:t>1、符合《政府采购法》第二十二条之规定；</w:t>
            </w:r>
          </w:p>
          <w:p w14:paraId="503F6313">
            <w:pPr>
              <w:spacing w:line="520" w:lineRule="exact"/>
              <w:rPr>
                <w:color w:val="auto"/>
                <w:sz w:val="24"/>
                <w:szCs w:val="21"/>
                <w:highlight w:val="none"/>
              </w:rPr>
            </w:pPr>
            <w:r>
              <w:rPr>
                <w:rFonts w:hint="eastAsia"/>
                <w:color w:val="auto"/>
                <w:sz w:val="24"/>
                <w:szCs w:val="21"/>
                <w:highlight w:val="none"/>
              </w:rPr>
              <w:t>2、落实政府采购政策需满足的资格要求：</w:t>
            </w:r>
          </w:p>
          <w:p w14:paraId="6F6E1BB6">
            <w:pPr>
              <w:spacing w:line="520" w:lineRule="exact"/>
              <w:rPr>
                <w:color w:val="auto"/>
                <w:sz w:val="24"/>
                <w:szCs w:val="21"/>
                <w:highlight w:val="none"/>
              </w:rPr>
            </w:pPr>
            <w:r>
              <w:rPr>
                <w:color w:val="auto"/>
                <w:sz w:val="24"/>
                <w:szCs w:val="21"/>
                <w:highlight w:val="none"/>
              </w:rPr>
              <w:t>2.</w:t>
            </w:r>
            <w:r>
              <w:rPr>
                <w:rFonts w:hint="eastAsia"/>
                <w:color w:val="auto"/>
                <w:sz w:val="24"/>
                <w:szCs w:val="21"/>
                <w:highlight w:val="none"/>
              </w:rPr>
              <w:t>1.中小企业政策</w:t>
            </w:r>
          </w:p>
          <w:p w14:paraId="3686D45A">
            <w:pPr>
              <w:spacing w:line="520" w:lineRule="exact"/>
              <w:rPr>
                <w:color w:val="auto"/>
                <w:sz w:val="24"/>
                <w:szCs w:val="21"/>
                <w:highlight w:val="none"/>
              </w:rPr>
            </w:pPr>
            <w:r>
              <w:rPr>
                <w:rFonts w:hint="eastAsia"/>
                <w:color w:val="auto"/>
                <w:sz w:val="24"/>
                <w:szCs w:val="21"/>
                <w:highlight w:val="none"/>
              </w:rPr>
              <w:t>本项目专门面向中小企业采购。即：提供的货物全部由符合政策要求的中小/微企业制造、服务全部由符合政策要求的中小/微企业承接。</w:t>
            </w:r>
          </w:p>
          <w:p w14:paraId="5A792CEB">
            <w:pPr>
              <w:spacing w:line="520" w:lineRule="exact"/>
              <w:rPr>
                <w:color w:val="auto"/>
                <w:sz w:val="24"/>
                <w:szCs w:val="21"/>
                <w:highlight w:val="none"/>
              </w:rPr>
            </w:pPr>
            <w:r>
              <w:rPr>
                <w:rFonts w:hint="eastAsia"/>
                <w:color w:val="auto"/>
                <w:sz w:val="24"/>
                <w:szCs w:val="21"/>
                <w:highlight w:val="none"/>
              </w:rPr>
              <w:t>2</w:t>
            </w:r>
            <w:r>
              <w:rPr>
                <w:color w:val="auto"/>
                <w:sz w:val="24"/>
                <w:szCs w:val="21"/>
                <w:highlight w:val="none"/>
              </w:rPr>
              <w:t>.2</w:t>
            </w:r>
            <w:r>
              <w:rPr>
                <w:rFonts w:hint="eastAsia"/>
                <w:color w:val="auto"/>
                <w:sz w:val="24"/>
                <w:szCs w:val="21"/>
                <w:highlight w:val="none"/>
              </w:rPr>
              <w:t>.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14:paraId="7AD083D7">
            <w:pPr>
              <w:spacing w:line="520" w:lineRule="exact"/>
              <w:rPr>
                <w:color w:val="auto"/>
                <w:sz w:val="24"/>
                <w:szCs w:val="21"/>
                <w:highlight w:val="none"/>
              </w:rPr>
            </w:pPr>
            <w:r>
              <w:rPr>
                <w:color w:val="auto"/>
                <w:sz w:val="24"/>
                <w:szCs w:val="21"/>
                <w:highlight w:val="none"/>
              </w:rPr>
              <w:t>2.</w:t>
            </w:r>
            <w:r>
              <w:rPr>
                <w:rFonts w:hint="eastAsia"/>
                <w:color w:val="auto"/>
                <w:sz w:val="24"/>
                <w:szCs w:val="21"/>
                <w:highlight w:val="none"/>
              </w:rPr>
              <w:t>3.本项目支持河南省政府采购合同融资政策和资格信用承诺制。</w:t>
            </w:r>
          </w:p>
          <w:p w14:paraId="47BDDF4C">
            <w:pPr>
              <w:spacing w:line="520" w:lineRule="exact"/>
              <w:rPr>
                <w:rFonts w:asciiTheme="minorEastAsia" w:hAnsiTheme="minorEastAsia" w:eastAsiaTheme="minorEastAsia" w:cstheme="minorEastAsia"/>
                <w:color w:val="auto"/>
                <w:sz w:val="24"/>
                <w:szCs w:val="24"/>
                <w:highlight w:val="none"/>
              </w:rPr>
            </w:pPr>
            <w:r>
              <w:rPr>
                <w:color w:val="auto"/>
                <w:sz w:val="24"/>
                <w:szCs w:val="21"/>
                <w:highlight w:val="none"/>
              </w:rPr>
              <w:t>2.</w:t>
            </w:r>
            <w:r>
              <w:rPr>
                <w:rFonts w:hint="eastAsia"/>
                <w:color w:val="auto"/>
                <w:sz w:val="24"/>
                <w:szCs w:val="21"/>
                <w:highlight w:val="none"/>
              </w:rPr>
              <w:t>4.本项目是否属于政府购买服务：否</w:t>
            </w:r>
          </w:p>
        </w:tc>
        <w:tc>
          <w:tcPr>
            <w:tcW w:w="4528" w:type="dxa"/>
          </w:tcPr>
          <w:p w14:paraId="312CCAA9">
            <w:pPr>
              <w:wordWrap w:val="0"/>
              <w:spacing w:before="32" w:line="232" w:lineRule="auto"/>
              <w:ind w:right="105"/>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投标人为企业（包括合伙企业、个体工商户）的，应提供有效的营业执照；</w:t>
            </w:r>
          </w:p>
          <w:p w14:paraId="556838A5">
            <w:pPr>
              <w:wordWrap w:val="0"/>
              <w:spacing w:before="32" w:line="232" w:lineRule="auto"/>
              <w:ind w:right="105"/>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投标人为事业单位的，应提供有效的事业单位法人证书；</w:t>
            </w:r>
          </w:p>
          <w:p w14:paraId="31C6AE4B">
            <w:pPr>
              <w:wordWrap w:val="0"/>
              <w:spacing w:before="32" w:line="232" w:lineRule="auto"/>
              <w:ind w:right="105"/>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投标人是非企业机构的，应提供有效的执业许可证、登记证书等证明文件；</w:t>
            </w:r>
          </w:p>
          <w:p w14:paraId="6CF1A95B">
            <w:pPr>
              <w:wordWrap w:val="0"/>
              <w:spacing w:before="32" w:line="232" w:lineRule="auto"/>
              <w:ind w:right="105"/>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投标人是自然人的，应提供有效的自然人身份证明。</w:t>
            </w:r>
          </w:p>
          <w:p w14:paraId="33BA785A">
            <w:pPr>
              <w:wordWrap w:val="0"/>
              <w:spacing w:before="32" w:line="232" w:lineRule="auto"/>
              <w:ind w:right="105"/>
              <w:jc w:val="both"/>
              <w:rPr>
                <w:rFonts w:asciiTheme="minorEastAsia" w:hAnsiTheme="minorEastAsia" w:eastAsiaTheme="minorEastAsia" w:cstheme="minorEastAsia"/>
                <w:color w:val="auto"/>
                <w:highlight w:val="none"/>
              </w:rPr>
            </w:pPr>
          </w:p>
        </w:tc>
      </w:tr>
      <w:tr w14:paraId="6EF41A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46" w:type="dxa"/>
          </w:tcPr>
          <w:p w14:paraId="1AB5AB9F">
            <w:pPr>
              <w:pStyle w:val="20"/>
              <w:rPr>
                <w:color w:val="auto"/>
                <w:highlight w:val="none"/>
              </w:rPr>
            </w:pPr>
            <w:r>
              <w:rPr>
                <w:color w:val="auto"/>
                <w:highlight w:val="none"/>
              </w:rPr>
              <w:t>2</w:t>
            </w:r>
            <w:r>
              <w:rPr>
                <w:rFonts w:hint="eastAsia"/>
                <w:color w:val="auto"/>
                <w:highlight w:val="none"/>
              </w:rPr>
              <w:t>2</w:t>
            </w:r>
          </w:p>
        </w:tc>
        <w:tc>
          <w:tcPr>
            <w:tcW w:w="944" w:type="dxa"/>
          </w:tcPr>
          <w:p w14:paraId="0B1B9DDB">
            <w:pPr>
              <w:wordWrap w:val="0"/>
              <w:spacing w:before="116" w:line="221" w:lineRule="auto"/>
              <w:ind w:left="136"/>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中小企业政策</w:t>
            </w:r>
          </w:p>
        </w:tc>
        <w:tc>
          <w:tcPr>
            <w:tcW w:w="3600" w:type="dxa"/>
          </w:tcPr>
          <w:p w14:paraId="72AD48EC">
            <w:pPr>
              <w:wordWrap w:val="0"/>
              <w:spacing w:before="116" w:line="219" w:lineRule="auto"/>
              <w:ind w:left="119"/>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具体要求见第一章《公开招标公告》</w:t>
            </w:r>
          </w:p>
        </w:tc>
        <w:tc>
          <w:tcPr>
            <w:tcW w:w="4528" w:type="dxa"/>
          </w:tcPr>
          <w:p w14:paraId="30826D56">
            <w:pPr>
              <w:pStyle w:val="20"/>
              <w:rPr>
                <w:color w:val="auto"/>
                <w:highlight w:val="none"/>
              </w:rPr>
            </w:pPr>
          </w:p>
        </w:tc>
      </w:tr>
      <w:tr w14:paraId="2CE55C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4" w:hRule="atLeast"/>
        </w:trPr>
        <w:tc>
          <w:tcPr>
            <w:tcW w:w="846" w:type="dxa"/>
          </w:tcPr>
          <w:p w14:paraId="012848CF">
            <w:pPr>
              <w:pStyle w:val="20"/>
              <w:rPr>
                <w:color w:val="auto"/>
                <w:highlight w:val="none"/>
              </w:rPr>
            </w:pPr>
          </w:p>
          <w:p w14:paraId="74BEDD28">
            <w:pPr>
              <w:pStyle w:val="20"/>
              <w:rPr>
                <w:color w:val="auto"/>
                <w:highlight w:val="none"/>
              </w:rPr>
            </w:pPr>
          </w:p>
          <w:p w14:paraId="3AECBF64">
            <w:pPr>
              <w:pStyle w:val="20"/>
              <w:rPr>
                <w:color w:val="auto"/>
                <w:highlight w:val="none"/>
              </w:rPr>
            </w:pPr>
          </w:p>
          <w:p w14:paraId="704E0D38">
            <w:pPr>
              <w:pStyle w:val="20"/>
              <w:rPr>
                <w:color w:val="auto"/>
                <w:highlight w:val="none"/>
              </w:rPr>
            </w:pPr>
          </w:p>
          <w:p w14:paraId="62725C1E">
            <w:pPr>
              <w:pStyle w:val="20"/>
              <w:rPr>
                <w:color w:val="auto"/>
                <w:highlight w:val="none"/>
              </w:rPr>
            </w:pPr>
          </w:p>
          <w:p w14:paraId="0D52B3B8">
            <w:pPr>
              <w:pStyle w:val="20"/>
              <w:ind w:left="0" w:firstLine="240" w:firstLineChars="100"/>
              <w:rPr>
                <w:color w:val="auto"/>
                <w:highlight w:val="none"/>
              </w:rPr>
            </w:pPr>
            <w:r>
              <w:rPr>
                <w:color w:val="auto"/>
                <w:highlight w:val="none"/>
              </w:rPr>
              <w:t>2</w:t>
            </w:r>
            <w:r>
              <w:rPr>
                <w:rFonts w:hint="eastAsia"/>
                <w:color w:val="auto"/>
                <w:highlight w:val="none"/>
              </w:rPr>
              <w:t>-1</w:t>
            </w:r>
          </w:p>
        </w:tc>
        <w:tc>
          <w:tcPr>
            <w:tcW w:w="944" w:type="dxa"/>
          </w:tcPr>
          <w:p w14:paraId="5F1FFE11">
            <w:pPr>
              <w:pStyle w:val="20"/>
              <w:rPr>
                <w:color w:val="auto"/>
                <w:highlight w:val="none"/>
              </w:rPr>
            </w:pPr>
          </w:p>
          <w:p w14:paraId="12CF0017">
            <w:pPr>
              <w:pStyle w:val="20"/>
              <w:rPr>
                <w:color w:val="auto"/>
                <w:highlight w:val="none"/>
              </w:rPr>
            </w:pPr>
          </w:p>
          <w:p w14:paraId="259394AB">
            <w:pPr>
              <w:pStyle w:val="20"/>
              <w:rPr>
                <w:color w:val="auto"/>
                <w:highlight w:val="none"/>
              </w:rPr>
            </w:pPr>
          </w:p>
          <w:p w14:paraId="3E7367C6">
            <w:pPr>
              <w:wordWrap w:val="0"/>
              <w:spacing w:before="78" w:line="229" w:lineRule="auto"/>
              <w:ind w:right="105"/>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中小企业证明文</w:t>
            </w:r>
            <w:r>
              <w:rPr>
                <w:rFonts w:hint="eastAsia" w:asciiTheme="minorEastAsia" w:hAnsiTheme="minorEastAsia" w:eastAsiaTheme="minorEastAsia" w:cstheme="minorEastAsia"/>
                <w:color w:val="auto"/>
                <w:sz w:val="24"/>
                <w:szCs w:val="24"/>
                <w:highlight w:val="none"/>
              </w:rPr>
              <w:t>件</w:t>
            </w:r>
          </w:p>
        </w:tc>
        <w:tc>
          <w:tcPr>
            <w:tcW w:w="3600" w:type="dxa"/>
          </w:tcPr>
          <w:p w14:paraId="5CD96103">
            <w:pPr>
              <w:wordWrap w:val="0"/>
              <w:spacing w:before="36" w:line="215" w:lineRule="auto"/>
              <w:ind w:left="115" w:right="102" w:firstLine="14"/>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当本项目（包）涉及预留份额专门面向中小企业采购，此时须在《资格证明文件》中</w:t>
            </w:r>
            <w:r>
              <w:rPr>
                <w:rFonts w:hint="eastAsia" w:asciiTheme="minorEastAsia" w:hAnsiTheme="minorEastAsia" w:eastAsiaTheme="minorEastAsia" w:cstheme="minorEastAsia"/>
                <w:color w:val="auto"/>
                <w:spacing w:val="15"/>
                <w:sz w:val="24"/>
                <w:szCs w:val="24"/>
                <w:highlight w:val="none"/>
              </w:rPr>
              <w:t>提</w:t>
            </w:r>
            <w:r>
              <w:rPr>
                <w:rFonts w:hint="eastAsia" w:asciiTheme="minorEastAsia" w:hAnsiTheme="minorEastAsia" w:eastAsiaTheme="minorEastAsia" w:cstheme="minorEastAsia"/>
                <w:color w:val="auto"/>
                <w:spacing w:val="-5"/>
                <w:sz w:val="24"/>
                <w:szCs w:val="24"/>
                <w:highlight w:val="none"/>
              </w:rPr>
              <w:t>供。</w:t>
            </w:r>
          </w:p>
          <w:p w14:paraId="092974B6">
            <w:pPr>
              <w:pStyle w:val="20"/>
              <w:rPr>
                <w:color w:val="auto"/>
                <w:highlight w:val="none"/>
              </w:rPr>
            </w:pPr>
            <w:r>
              <w:rPr>
                <w:rFonts w:hint="eastAsia"/>
                <w:color w:val="auto"/>
                <w:spacing w:val="-5"/>
                <w:highlight w:val="none"/>
              </w:rPr>
              <w:t>1、投标人单独投标的，应</w:t>
            </w:r>
            <w:r>
              <w:rPr>
                <w:rFonts w:hint="eastAsia"/>
                <w:color w:val="auto"/>
                <w:spacing w:val="-5"/>
                <w:highlight w:val="none"/>
                <w:lang w:eastAsia="zh-CN"/>
              </w:rPr>
              <w:t>提</w:t>
            </w:r>
            <w:r>
              <w:rPr>
                <w:rFonts w:hint="eastAsia"/>
                <w:color w:val="auto"/>
                <w:spacing w:val="-5"/>
                <w:highlight w:val="none"/>
              </w:rPr>
              <w:t>供《中小企业声</w:t>
            </w:r>
            <w:r>
              <w:rPr>
                <w:rFonts w:hint="eastAsia"/>
                <w:color w:val="auto"/>
                <w:highlight w:val="none"/>
              </w:rPr>
              <w:t>明函》或《残疾人福利性单位声明函》或由省级以上监狱管理局、戒毒管理局（含新疆生产建设兵团）出具的属于监狱企业的证明</w:t>
            </w:r>
            <w:r>
              <w:rPr>
                <w:rFonts w:hint="eastAsia"/>
                <w:color w:val="auto"/>
                <w:spacing w:val="-11"/>
                <w:highlight w:val="none"/>
              </w:rPr>
              <w:t>文件。</w:t>
            </w:r>
          </w:p>
        </w:tc>
        <w:tc>
          <w:tcPr>
            <w:tcW w:w="4528" w:type="dxa"/>
          </w:tcPr>
          <w:p w14:paraId="511E9063">
            <w:pPr>
              <w:pStyle w:val="20"/>
              <w:rPr>
                <w:color w:val="auto"/>
                <w:highlight w:val="none"/>
              </w:rPr>
            </w:pPr>
          </w:p>
          <w:p w14:paraId="03F7CD1F">
            <w:pPr>
              <w:pStyle w:val="20"/>
              <w:rPr>
                <w:color w:val="auto"/>
                <w:highlight w:val="none"/>
              </w:rPr>
            </w:pPr>
          </w:p>
          <w:p w14:paraId="28DF1A24">
            <w:pPr>
              <w:pStyle w:val="20"/>
              <w:rPr>
                <w:color w:val="auto"/>
                <w:highlight w:val="none"/>
              </w:rPr>
            </w:pPr>
          </w:p>
          <w:p w14:paraId="66C4E7B7">
            <w:pPr>
              <w:wordWrap w:val="0"/>
              <w:spacing w:before="78" w:line="229" w:lineRule="auto"/>
              <w:ind w:left="118" w:right="116" w:hanging="1"/>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格式见《投标</w:t>
            </w:r>
            <w:r>
              <w:rPr>
                <w:rFonts w:hint="eastAsia" w:asciiTheme="minorEastAsia" w:hAnsiTheme="minorEastAsia" w:eastAsiaTheme="minorEastAsia" w:cstheme="minorEastAsia"/>
                <w:color w:val="auto"/>
                <w:spacing w:val="-4"/>
                <w:sz w:val="24"/>
                <w:szCs w:val="24"/>
                <w:highlight w:val="none"/>
              </w:rPr>
              <w:t>文件格式》</w:t>
            </w:r>
          </w:p>
        </w:tc>
      </w:tr>
      <w:tr w14:paraId="560E9F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46" w:type="dxa"/>
          </w:tcPr>
          <w:p w14:paraId="1FBEDA4E">
            <w:pPr>
              <w:pStyle w:val="20"/>
              <w:rPr>
                <w:color w:val="auto"/>
                <w:highlight w:val="none"/>
              </w:rPr>
            </w:pPr>
            <w:r>
              <w:rPr>
                <w:color w:val="auto"/>
                <w:highlight w:val="none"/>
              </w:rPr>
              <w:t>3</w:t>
            </w:r>
            <w:r>
              <w:rPr>
                <w:rFonts w:hint="eastAsia"/>
                <w:color w:val="auto"/>
                <w:highlight w:val="none"/>
              </w:rPr>
              <w:t>3</w:t>
            </w:r>
          </w:p>
        </w:tc>
        <w:tc>
          <w:tcPr>
            <w:tcW w:w="944" w:type="dxa"/>
          </w:tcPr>
          <w:p w14:paraId="1B543B5C">
            <w:pPr>
              <w:wordWrap w:val="0"/>
              <w:spacing w:before="35" w:line="224" w:lineRule="auto"/>
              <w:ind w:left="113" w:right="105"/>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0"/>
                <w:sz w:val="24"/>
                <w:szCs w:val="24"/>
                <w:highlight w:val="none"/>
              </w:rPr>
              <w:t>本项目的其他资</w:t>
            </w:r>
            <w:r>
              <w:rPr>
                <w:rFonts w:hint="eastAsia" w:asciiTheme="minorEastAsia" w:hAnsiTheme="minorEastAsia" w:eastAsiaTheme="minorEastAsia" w:cstheme="minorEastAsia"/>
                <w:color w:val="auto"/>
                <w:spacing w:val="-3"/>
                <w:sz w:val="24"/>
                <w:szCs w:val="24"/>
                <w:highlight w:val="none"/>
              </w:rPr>
              <w:t>格要求</w:t>
            </w:r>
          </w:p>
        </w:tc>
        <w:tc>
          <w:tcPr>
            <w:tcW w:w="3600" w:type="dxa"/>
          </w:tcPr>
          <w:p w14:paraId="07CBF151">
            <w:pPr>
              <w:wordWrap w:val="0"/>
              <w:spacing w:before="192" w:line="219" w:lineRule="auto"/>
              <w:ind w:left="118"/>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见第一章《公开招标公告》</w:t>
            </w:r>
          </w:p>
        </w:tc>
        <w:tc>
          <w:tcPr>
            <w:tcW w:w="4528" w:type="dxa"/>
          </w:tcPr>
          <w:p w14:paraId="78C5A12D">
            <w:pPr>
              <w:pStyle w:val="20"/>
              <w:rPr>
                <w:color w:val="auto"/>
                <w:highlight w:val="none"/>
              </w:rPr>
            </w:pPr>
          </w:p>
        </w:tc>
      </w:tr>
    </w:tbl>
    <w:p w14:paraId="666D15AE">
      <w:pPr>
        <w:wordWrap w:val="0"/>
        <w:spacing w:line="360" w:lineRule="auto"/>
        <w:jc w:val="both"/>
        <w:rPr>
          <w:rFonts w:asciiTheme="minorEastAsia" w:hAnsiTheme="minorEastAsia" w:eastAsiaTheme="minorEastAsia" w:cstheme="minorEastAsia"/>
          <w:b/>
          <w:bCs/>
          <w:color w:val="auto"/>
          <w:spacing w:val="3"/>
          <w:sz w:val="24"/>
          <w:szCs w:val="24"/>
          <w:highlight w:val="none"/>
        </w:rPr>
      </w:pPr>
    </w:p>
    <w:p w14:paraId="1458E780">
      <w:pPr>
        <w:wordWrap w:val="0"/>
        <w:spacing w:line="360" w:lineRule="auto"/>
        <w:jc w:val="both"/>
        <w:rPr>
          <w:rFonts w:asciiTheme="minorEastAsia" w:hAnsiTheme="minorEastAsia" w:eastAsiaTheme="minorEastAsia" w:cstheme="minorEastAsia"/>
          <w:b/>
          <w:bCs/>
          <w:color w:val="auto"/>
          <w:spacing w:val="3"/>
          <w:sz w:val="24"/>
          <w:szCs w:val="24"/>
          <w:highlight w:val="none"/>
        </w:rPr>
      </w:pPr>
      <w:r>
        <w:rPr>
          <w:rFonts w:hint="eastAsia" w:asciiTheme="minorEastAsia" w:hAnsiTheme="minorEastAsia" w:eastAsiaTheme="minorEastAsia" w:cstheme="minorEastAsia"/>
          <w:b/>
          <w:bCs/>
          <w:color w:val="auto"/>
          <w:spacing w:val="3"/>
          <w:sz w:val="24"/>
          <w:szCs w:val="24"/>
          <w:highlight w:val="none"/>
        </w:rPr>
        <w:t>三、评标委员会</w:t>
      </w:r>
    </w:p>
    <w:p w14:paraId="12CCDADD">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1.采购人、采购代理机构将根据《中华人民共和国政府采购法》的规定和招标采购项目的特点组建评标委员会，评标委员会由采购人代表和评审专家组成，成员人数应当为5人，其中经济、技术类专家</w:t>
      </w:r>
      <w:r>
        <w:rPr>
          <w:rFonts w:asciiTheme="minorEastAsia" w:hAnsiTheme="minorEastAsia" w:eastAsiaTheme="minorEastAsia" w:cstheme="minorEastAsia"/>
          <w:color w:val="auto"/>
          <w:spacing w:val="3"/>
          <w:sz w:val="24"/>
          <w:szCs w:val="24"/>
          <w:highlight w:val="none"/>
        </w:rPr>
        <w:t>4人，采购人代表1人。评审专家应当从政府采购评审专家库内相关专业的专家名单中随机抽取。</w:t>
      </w:r>
    </w:p>
    <w:p w14:paraId="3C9B989E">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采购人应当从省级以上财政部门设立的政府采购评审专家库，通过随机方式抽取专家。对技术复杂、专业性强的采购项目，通过随机方式难以确定合适评审专家的，经主管预算单位同意，采购人可以自行选定相应领域的评审专家。但在中标结果公告评审专家名单时，对自行选定的评审专家做出标注。</w:t>
      </w:r>
    </w:p>
    <w:p w14:paraId="2E5E60D6">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3.评标委员会应当严格遵守评审纪律，现场签订评审委员会评审承诺书，并按照客观、公正、审慎的原则，根据采购文件规定的评审程序、评审方法和评审标准进行独立评审。</w:t>
      </w:r>
    </w:p>
    <w:p w14:paraId="2FB514EB">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4.评标委员会应当在评审报告上签字，对自己评审意见承担法律责任。</w:t>
      </w:r>
    </w:p>
    <w:p w14:paraId="3829E33B">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5.评审专家未完成评审工作擅自离开评审现场，或者在评审活动中有违法违规行为的，不得获取劳务报酬和报销异地评审差旅费。评审专家以外的其他人员不得获取评审劳务报酬。</w:t>
      </w:r>
    </w:p>
    <w:p w14:paraId="7E494D12">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6.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46D604EC">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7.评标委员会或者其成员存在下列情形导致评标结果无效的，采购人、采购代理机构可以重新组建评标委员会进行评标，并书面报告本级财政部门，但采购合同已经履行的除外：</w:t>
      </w:r>
    </w:p>
    <w:p w14:paraId="66A8CE42">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（1）评标委员会组成不符合本办法规定的;</w:t>
      </w:r>
    </w:p>
    <w:p w14:paraId="3F81D47E">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（2）政府采购货物和服务招标投标管理办法（87号令）第六十二条第一至五项情形的;</w:t>
      </w:r>
    </w:p>
    <w:p w14:paraId="5D6DCD72">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（3）评标委员会及其成员独立评标受到非法干预的;</w:t>
      </w:r>
    </w:p>
    <w:p w14:paraId="691B9BD3">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（4）有政府采购法实施条例第七十五条规定的违法行为的。</w:t>
      </w:r>
    </w:p>
    <w:p w14:paraId="1DDFA274">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有违法违规行为的原评标委员会成员不得参加重新组建的评标委员会。</w:t>
      </w:r>
    </w:p>
    <w:p w14:paraId="3994EDFD">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8.评审活动结束，按照《河南省政府采购评审专家劳务报酬支付标准》的通知(豫财购〔2017〕9号)的规定，发放劳务报酬。</w:t>
      </w:r>
    </w:p>
    <w:p w14:paraId="0F079DAB">
      <w:pPr>
        <w:wordWrap w:val="0"/>
        <w:spacing w:line="360" w:lineRule="auto"/>
        <w:jc w:val="both"/>
        <w:rPr>
          <w:rFonts w:asciiTheme="minorEastAsia" w:hAnsiTheme="minorEastAsia" w:eastAsiaTheme="minorEastAsia" w:cstheme="minorEastAsia"/>
          <w:b/>
          <w:bCs/>
          <w:color w:val="auto"/>
          <w:spacing w:val="3"/>
          <w:sz w:val="24"/>
          <w:szCs w:val="24"/>
          <w:highlight w:val="none"/>
        </w:rPr>
      </w:pPr>
      <w:r>
        <w:rPr>
          <w:rFonts w:hint="eastAsia" w:asciiTheme="minorEastAsia" w:hAnsiTheme="minorEastAsia" w:eastAsiaTheme="minorEastAsia" w:cstheme="minorEastAsia"/>
          <w:b/>
          <w:bCs/>
          <w:color w:val="auto"/>
          <w:spacing w:val="3"/>
          <w:sz w:val="24"/>
          <w:szCs w:val="24"/>
          <w:highlight w:val="none"/>
        </w:rPr>
        <w:t>四、投标文件的审查</w:t>
      </w:r>
    </w:p>
    <w:p w14:paraId="047A9241">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1.投标文件的符合性审查</w:t>
      </w:r>
    </w:p>
    <w:p w14:paraId="159DBCEB">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1.1评标委员会对资格审查合格的投标人的投标文件进行符合性审查，以确定其</w:t>
      </w:r>
    </w:p>
    <w:p w14:paraId="2CC87714">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是否满足招标文件的实质性要求。</w:t>
      </w:r>
    </w:p>
    <w:p w14:paraId="6C6A990D">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1.2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14:paraId="328326FF">
      <w:pPr>
        <w:pStyle w:val="4"/>
        <w:rPr>
          <w:rFonts w:hint="eastAsia"/>
          <w:color w:val="auto"/>
          <w:highlight w:val="none"/>
        </w:rPr>
      </w:pPr>
    </w:p>
    <w:p w14:paraId="5172A769">
      <w:pPr>
        <w:pStyle w:val="4"/>
        <w:rPr>
          <w:rFonts w:hint="eastAsia"/>
          <w:color w:val="auto"/>
          <w:highlight w:val="none"/>
        </w:rPr>
      </w:pPr>
    </w:p>
    <w:p w14:paraId="0AA27C24">
      <w:pPr>
        <w:pStyle w:val="4"/>
        <w:rPr>
          <w:rFonts w:hint="eastAsia"/>
          <w:color w:val="auto"/>
          <w:highlight w:val="none"/>
        </w:rPr>
      </w:pPr>
    </w:p>
    <w:p w14:paraId="0ADF7A3D">
      <w:pPr>
        <w:pStyle w:val="4"/>
        <w:rPr>
          <w:rFonts w:hint="eastAsia"/>
          <w:color w:val="auto"/>
          <w:highlight w:val="none"/>
        </w:rPr>
      </w:pPr>
    </w:p>
    <w:p w14:paraId="1175FD6A">
      <w:pPr>
        <w:pStyle w:val="4"/>
        <w:rPr>
          <w:color w:val="auto"/>
          <w:highlight w:val="none"/>
        </w:rPr>
      </w:pPr>
      <w:r>
        <w:rPr>
          <w:rFonts w:hint="eastAsia"/>
          <w:color w:val="auto"/>
          <w:highlight w:val="none"/>
        </w:rPr>
        <w:t>符合性审查要求</w:t>
      </w:r>
    </w:p>
    <w:p w14:paraId="3350816D">
      <w:pPr>
        <w:wordWrap w:val="0"/>
        <w:spacing w:line="145" w:lineRule="exact"/>
        <w:jc w:val="both"/>
        <w:rPr>
          <w:rFonts w:asciiTheme="minorEastAsia" w:hAnsiTheme="minorEastAsia" w:eastAsiaTheme="minorEastAsia" w:cstheme="minorEastAsia"/>
          <w:color w:val="auto"/>
          <w:highlight w:val="none"/>
        </w:rPr>
      </w:pPr>
    </w:p>
    <w:tbl>
      <w:tblPr>
        <w:tblStyle w:val="21"/>
        <w:tblW w:w="9446" w:type="dxa"/>
        <w:tblInd w:w="-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1685"/>
        <w:gridCol w:w="7076"/>
      </w:tblGrid>
      <w:tr w14:paraId="61366E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685" w:type="dxa"/>
          </w:tcPr>
          <w:p w14:paraId="465C9F63">
            <w:pPr>
              <w:spacing w:before="0" w:after="0"/>
              <w:ind w:left="143"/>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14:textOutline w14:w="1536" w14:cap="flat" w14:cmpd="sng" w14:algn="ctr">
                  <w14:solidFill>
                    <w14:srgbClr w14:val="000000"/>
                  </w14:solidFill>
                  <w14:prstDash w14:val="solid"/>
                  <w14:miter w14:val="0"/>
                </w14:textOutline>
              </w:rPr>
              <w:t>序号</w:t>
            </w:r>
          </w:p>
        </w:tc>
        <w:tc>
          <w:tcPr>
            <w:tcW w:w="1685" w:type="dxa"/>
          </w:tcPr>
          <w:p w14:paraId="58359B42">
            <w:pPr>
              <w:spacing w:before="0" w:after="0"/>
              <w:ind w:left="439"/>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14:textOutline w14:w="1536" w14:cap="flat" w14:cmpd="sng" w14:algn="ctr">
                  <w14:solidFill>
                    <w14:srgbClr w14:val="000000"/>
                  </w14:solidFill>
                  <w14:prstDash w14:val="solid"/>
                  <w14:miter w14:val="0"/>
                </w14:textOutline>
              </w:rPr>
              <w:t>审查因素</w:t>
            </w:r>
          </w:p>
        </w:tc>
        <w:tc>
          <w:tcPr>
            <w:tcW w:w="7076" w:type="dxa"/>
          </w:tcPr>
          <w:p w14:paraId="4494DB24">
            <w:pPr>
              <w:spacing w:before="0" w:after="0"/>
              <w:ind w:left="2894"/>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14:textOutline w14:w="1536" w14:cap="flat" w14:cmpd="sng" w14:algn="ctr">
                  <w14:solidFill>
                    <w14:srgbClr w14:val="000000"/>
                  </w14:solidFill>
                  <w14:prstDash w14:val="solid"/>
                  <w14:miter w14:val="0"/>
                </w14:textOutline>
              </w:rPr>
              <w:t>审查内容</w:t>
            </w:r>
          </w:p>
        </w:tc>
      </w:tr>
      <w:tr w14:paraId="05EBC2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685" w:type="dxa"/>
          </w:tcPr>
          <w:p w14:paraId="1A4ED041">
            <w:pPr>
              <w:pStyle w:val="20"/>
              <w:spacing w:before="0" w:after="0"/>
              <w:ind w:left="324"/>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685" w:type="dxa"/>
          </w:tcPr>
          <w:p w14:paraId="0D44CF29">
            <w:pPr>
              <w:spacing w:before="0" w:after="0"/>
              <w:ind w:left="111"/>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授权委托书</w:t>
            </w:r>
          </w:p>
        </w:tc>
        <w:tc>
          <w:tcPr>
            <w:tcW w:w="7076" w:type="dxa"/>
          </w:tcPr>
          <w:p w14:paraId="3AADE1F5">
            <w:pPr>
              <w:spacing w:before="0" w:after="0"/>
              <w:jc w:val="center"/>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按招标文件要求提供授权委托书。</w:t>
            </w:r>
          </w:p>
        </w:tc>
      </w:tr>
      <w:tr w14:paraId="38D328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85" w:type="dxa"/>
            <w:vAlign w:val="center"/>
          </w:tcPr>
          <w:p w14:paraId="7028FD71">
            <w:pPr>
              <w:pStyle w:val="20"/>
              <w:spacing w:before="0" w:after="0"/>
              <w:ind w:left="315"/>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2</w:t>
            </w:r>
          </w:p>
        </w:tc>
        <w:tc>
          <w:tcPr>
            <w:tcW w:w="1685" w:type="dxa"/>
            <w:vAlign w:val="center"/>
          </w:tcPr>
          <w:p w14:paraId="7BCEF9EB">
            <w:pPr>
              <w:spacing w:before="0" w:after="0"/>
              <w:ind w:left="115"/>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投标完整性</w:t>
            </w:r>
          </w:p>
        </w:tc>
        <w:tc>
          <w:tcPr>
            <w:tcW w:w="7076" w:type="dxa"/>
            <w:vAlign w:val="center"/>
          </w:tcPr>
          <w:p w14:paraId="594A1854">
            <w:pPr>
              <w:spacing w:before="0" w:after="0"/>
              <w:jc w:val="center"/>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未将一个采购包中的内容拆分投标；</w:t>
            </w:r>
          </w:p>
          <w:p w14:paraId="720200E2">
            <w:pPr>
              <w:spacing w:before="0" w:after="0"/>
              <w:jc w:val="center"/>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投标人对所投招标文件中所列的所有内容进行投标。</w:t>
            </w:r>
          </w:p>
        </w:tc>
      </w:tr>
      <w:tr w14:paraId="0E30A7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tcPr>
          <w:p w14:paraId="4C1EF9B0">
            <w:pPr>
              <w:pStyle w:val="20"/>
              <w:spacing w:before="0" w:after="0"/>
              <w:ind w:left="316"/>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1685" w:type="dxa"/>
          </w:tcPr>
          <w:p w14:paraId="745CD0CE">
            <w:pPr>
              <w:spacing w:before="0" w:after="0"/>
              <w:ind w:left="115"/>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投标报价</w:t>
            </w:r>
          </w:p>
        </w:tc>
        <w:tc>
          <w:tcPr>
            <w:tcW w:w="7076" w:type="dxa"/>
          </w:tcPr>
          <w:p w14:paraId="6EB76D86">
            <w:pPr>
              <w:spacing w:before="0" w:after="0"/>
              <w:jc w:val="center"/>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投标报价未超过招标文件中规定的项目预算金额或者项目最高限价。</w:t>
            </w:r>
          </w:p>
        </w:tc>
      </w:tr>
      <w:tr w14:paraId="191F38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tcPr>
          <w:p w14:paraId="607B4406">
            <w:pPr>
              <w:pStyle w:val="20"/>
              <w:spacing w:before="0" w:after="0"/>
              <w:ind w:left="309"/>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4</w:t>
            </w:r>
          </w:p>
        </w:tc>
        <w:tc>
          <w:tcPr>
            <w:tcW w:w="1685" w:type="dxa"/>
          </w:tcPr>
          <w:p w14:paraId="7AAE63D3">
            <w:pPr>
              <w:spacing w:before="0" w:after="0"/>
              <w:ind w:left="11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报价唯一性</w:t>
            </w:r>
          </w:p>
        </w:tc>
        <w:tc>
          <w:tcPr>
            <w:tcW w:w="7076" w:type="dxa"/>
          </w:tcPr>
          <w:p w14:paraId="18E5D391">
            <w:pPr>
              <w:spacing w:before="0" w:after="0"/>
              <w:jc w:val="center"/>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投标文件未出现可选择性或可调整的报价（招标文件另有规定的除外）。</w:t>
            </w:r>
          </w:p>
        </w:tc>
      </w:tr>
      <w:tr w14:paraId="0DEFC7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tcPr>
          <w:p w14:paraId="28D2525A">
            <w:pPr>
              <w:pStyle w:val="20"/>
              <w:spacing w:before="0" w:after="0"/>
              <w:ind w:left="316"/>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1685" w:type="dxa"/>
          </w:tcPr>
          <w:p w14:paraId="6DC061E4">
            <w:pPr>
              <w:spacing w:before="0" w:after="0"/>
              <w:ind w:left="115"/>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投标有效期</w:t>
            </w:r>
          </w:p>
        </w:tc>
        <w:tc>
          <w:tcPr>
            <w:tcW w:w="7076" w:type="dxa"/>
          </w:tcPr>
          <w:p w14:paraId="36F63926">
            <w:pPr>
              <w:spacing w:before="0" w:after="0"/>
              <w:jc w:val="center"/>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投标文件中承诺的投标有效期满足招标文件中载明的投标有效期的。</w:t>
            </w:r>
          </w:p>
        </w:tc>
      </w:tr>
      <w:tr w14:paraId="77D9D0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tcPr>
          <w:p w14:paraId="34E40E37">
            <w:pPr>
              <w:pStyle w:val="20"/>
              <w:spacing w:before="0" w:after="0"/>
              <w:ind w:left="314"/>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6</w:t>
            </w:r>
          </w:p>
        </w:tc>
        <w:tc>
          <w:tcPr>
            <w:tcW w:w="1685" w:type="dxa"/>
          </w:tcPr>
          <w:p w14:paraId="34E7105A">
            <w:pPr>
              <w:spacing w:before="0" w:after="0"/>
              <w:ind w:left="118"/>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实质性格式</w:t>
            </w:r>
          </w:p>
        </w:tc>
        <w:tc>
          <w:tcPr>
            <w:tcW w:w="7076" w:type="dxa"/>
          </w:tcPr>
          <w:p w14:paraId="7F6A9BF5">
            <w:pPr>
              <w:spacing w:before="0" w:after="0"/>
              <w:jc w:val="center"/>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标记为实质性格式的文件均按招标文件要求提供且签署、盖章的。</w:t>
            </w:r>
          </w:p>
        </w:tc>
      </w:tr>
      <w:tr w14:paraId="34A7E5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tcPr>
          <w:p w14:paraId="0799085F">
            <w:pPr>
              <w:pStyle w:val="20"/>
              <w:spacing w:before="0" w:after="0"/>
              <w:jc w:val="center"/>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5"/>
                <w:sz w:val="24"/>
                <w:szCs w:val="24"/>
                <w:highlight w:val="none"/>
                <w:lang w:eastAsia="zh-CN"/>
              </w:rPr>
              <w:t>7</w:t>
            </w:r>
          </w:p>
        </w:tc>
        <w:tc>
          <w:tcPr>
            <w:tcW w:w="1685" w:type="dxa"/>
          </w:tcPr>
          <w:p w14:paraId="6505B7E8">
            <w:pPr>
              <w:spacing w:before="0" w:after="0"/>
              <w:ind w:left="112" w:right="123" w:hanging="2"/>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6"/>
                <w:sz w:val="24"/>
                <w:szCs w:val="24"/>
                <w:highlight w:val="none"/>
              </w:rPr>
              <w:t>报价的修正（如</w:t>
            </w:r>
            <w:r>
              <w:rPr>
                <w:rFonts w:hint="eastAsia" w:asciiTheme="minorEastAsia" w:hAnsiTheme="minorEastAsia" w:eastAsiaTheme="minorEastAsia" w:cstheme="minorEastAsia"/>
                <w:color w:val="auto"/>
                <w:spacing w:val="-7"/>
                <w:sz w:val="24"/>
                <w:szCs w:val="24"/>
                <w:highlight w:val="none"/>
              </w:rPr>
              <w:t>有）</w:t>
            </w:r>
          </w:p>
        </w:tc>
        <w:tc>
          <w:tcPr>
            <w:tcW w:w="7076" w:type="dxa"/>
          </w:tcPr>
          <w:p w14:paraId="27CBE03C">
            <w:pPr>
              <w:spacing w:before="0" w:after="0"/>
              <w:jc w:val="center"/>
              <w:rPr>
                <w:rFonts w:ascii="宋体" w:hAnsi="宋体" w:cs="宋体"/>
                <w:color w:val="auto"/>
                <w:sz w:val="24"/>
                <w:szCs w:val="24"/>
                <w:highlight w:val="none"/>
              </w:rPr>
            </w:pPr>
            <w:r>
              <w:rPr>
                <w:rFonts w:hint="eastAsia" w:ascii="宋体" w:hAnsi="宋体" w:cs="宋体"/>
                <w:color w:val="auto"/>
                <w:sz w:val="24"/>
                <w:szCs w:val="24"/>
                <w:highlight w:val="none"/>
                <w:lang w:eastAsia="zh-CN"/>
              </w:rPr>
              <w:t>不涉及报价修正，或投标文件报价出现前后不一致时，投标人对修正后的报价予以确认。</w:t>
            </w:r>
            <w:r>
              <w:rPr>
                <w:rFonts w:hint="eastAsia" w:ascii="宋体" w:hAnsi="宋体" w:cs="宋体"/>
                <w:color w:val="auto"/>
                <w:sz w:val="24"/>
                <w:szCs w:val="24"/>
                <w:highlight w:val="none"/>
              </w:rPr>
              <w:t>（如有）</w:t>
            </w:r>
          </w:p>
        </w:tc>
      </w:tr>
      <w:tr w14:paraId="3ADFC5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tcPr>
          <w:p w14:paraId="55D64B31">
            <w:pPr>
              <w:pStyle w:val="20"/>
              <w:spacing w:before="0" w:after="0"/>
              <w:jc w:val="center"/>
              <w:rPr>
                <w:rFonts w:asciiTheme="minorEastAsia" w:hAnsiTheme="minorEastAsia" w:eastAsiaTheme="minorEastAsia" w:cstheme="minorEastAsia"/>
                <w:color w:val="auto"/>
                <w:sz w:val="24"/>
                <w:szCs w:val="24"/>
                <w:highlight w:val="none"/>
              </w:rPr>
            </w:pPr>
          </w:p>
          <w:p w14:paraId="2EDE1F89">
            <w:pPr>
              <w:pStyle w:val="20"/>
              <w:spacing w:before="0" w:after="0"/>
              <w:jc w:val="center"/>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5"/>
                <w:sz w:val="24"/>
                <w:szCs w:val="24"/>
                <w:highlight w:val="none"/>
                <w:lang w:eastAsia="zh-CN"/>
              </w:rPr>
              <w:t>8</w:t>
            </w:r>
          </w:p>
        </w:tc>
        <w:tc>
          <w:tcPr>
            <w:tcW w:w="1685" w:type="dxa"/>
          </w:tcPr>
          <w:p w14:paraId="4D69C12B">
            <w:pPr>
              <w:pStyle w:val="20"/>
              <w:spacing w:before="0" w:after="0"/>
              <w:jc w:val="center"/>
              <w:rPr>
                <w:rFonts w:asciiTheme="minorEastAsia" w:hAnsiTheme="minorEastAsia" w:eastAsiaTheme="minorEastAsia" w:cstheme="minorEastAsia"/>
                <w:color w:val="auto"/>
                <w:sz w:val="24"/>
                <w:szCs w:val="24"/>
                <w:highlight w:val="none"/>
              </w:rPr>
            </w:pPr>
          </w:p>
          <w:p w14:paraId="6D8F2D00">
            <w:pPr>
              <w:spacing w:before="0" w:after="0"/>
              <w:ind w:left="11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报价合理性</w:t>
            </w:r>
          </w:p>
        </w:tc>
        <w:tc>
          <w:tcPr>
            <w:tcW w:w="7076" w:type="dxa"/>
          </w:tcPr>
          <w:p w14:paraId="56DCC876">
            <w:pPr>
              <w:spacing w:before="0" w:after="0"/>
              <w:jc w:val="center"/>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报价合理，或投标人的报价明显低于其他通过符合性审查投标人的报价，有可能影响产品质量或者不能诚信履约的，能够应评标委员会要求在规定时间内证明其报价合理性的。</w:t>
            </w:r>
          </w:p>
        </w:tc>
      </w:tr>
      <w:tr w14:paraId="222B2B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685" w:type="dxa"/>
          </w:tcPr>
          <w:p w14:paraId="689152AE">
            <w:pPr>
              <w:pStyle w:val="20"/>
              <w:spacing w:before="0" w:after="0"/>
              <w:jc w:val="center"/>
              <w:rPr>
                <w:rFonts w:asciiTheme="minorEastAsia" w:hAnsiTheme="minorEastAsia" w:eastAsiaTheme="minorEastAsia" w:cstheme="minorEastAsia"/>
                <w:color w:val="auto"/>
                <w:spacing w:val="5"/>
                <w:sz w:val="24"/>
                <w:szCs w:val="24"/>
                <w:highlight w:val="none"/>
                <w:lang w:eastAsia="zh-CN"/>
              </w:rPr>
            </w:pPr>
            <w:r>
              <w:rPr>
                <w:rFonts w:hint="eastAsia" w:asciiTheme="minorEastAsia" w:hAnsiTheme="minorEastAsia" w:eastAsiaTheme="minorEastAsia" w:cstheme="minorEastAsia"/>
                <w:color w:val="auto"/>
                <w:spacing w:val="5"/>
                <w:sz w:val="24"/>
                <w:szCs w:val="24"/>
                <w:highlight w:val="none"/>
                <w:lang w:eastAsia="zh-CN"/>
              </w:rPr>
              <w:t>9</w:t>
            </w:r>
          </w:p>
        </w:tc>
        <w:tc>
          <w:tcPr>
            <w:tcW w:w="1685" w:type="dxa"/>
          </w:tcPr>
          <w:p w14:paraId="070A603B">
            <w:pPr>
              <w:spacing w:before="0" w:after="0"/>
              <w:ind w:left="122" w:right="129" w:hanging="7"/>
              <w:jc w:val="center"/>
              <w:rPr>
                <w:rFonts w:asciiTheme="minorEastAsia" w:hAnsiTheme="minorEastAsia" w:eastAsiaTheme="minorEastAsia" w:cstheme="minorEastAsia"/>
                <w:color w:val="auto"/>
                <w:spacing w:val="-1"/>
                <w:sz w:val="24"/>
                <w:szCs w:val="24"/>
                <w:highlight w:val="none"/>
                <w:lang w:eastAsia="zh-CN"/>
              </w:rPr>
            </w:pPr>
            <w:r>
              <w:rPr>
                <w:rFonts w:hint="eastAsia" w:asciiTheme="minorEastAsia" w:hAnsiTheme="minorEastAsia" w:eastAsiaTheme="minorEastAsia" w:cstheme="minorEastAsia"/>
                <w:color w:val="auto"/>
                <w:spacing w:val="-1"/>
                <w:sz w:val="24"/>
                <w:szCs w:val="24"/>
                <w:highlight w:val="none"/>
                <w:lang w:eastAsia="zh-CN"/>
              </w:rPr>
              <w:t>☑交货时间</w:t>
            </w:r>
          </w:p>
          <w:p w14:paraId="22955E46">
            <w:pPr>
              <w:spacing w:before="0" w:after="0"/>
              <w:ind w:left="122" w:right="129" w:hanging="7"/>
              <w:jc w:val="center"/>
              <w:rPr>
                <w:rFonts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lang w:eastAsia="zh-CN"/>
              </w:rPr>
              <w:t>□服务期限</w:t>
            </w:r>
          </w:p>
        </w:tc>
        <w:tc>
          <w:tcPr>
            <w:tcW w:w="7076" w:type="dxa"/>
            <w:vAlign w:val="center"/>
          </w:tcPr>
          <w:p w14:paraId="0B6FED27">
            <w:pPr>
              <w:spacing w:before="0" w:after="0"/>
              <w:jc w:val="center"/>
              <w:rPr>
                <w:rFonts w:ascii="宋体" w:hAnsi="宋体" w:cs="宋体"/>
                <w:color w:val="auto"/>
                <w:sz w:val="24"/>
                <w:szCs w:val="24"/>
                <w:highlight w:val="none"/>
                <w:lang w:eastAsia="zh-CN"/>
              </w:rPr>
            </w:pPr>
            <w:r>
              <w:rPr>
                <w:rFonts w:hint="eastAsia" w:ascii="宋体" w:hAnsi="宋体" w:cs="宋体"/>
                <w:color w:val="auto"/>
                <w:sz w:val="24"/>
                <w:szCs w:val="24"/>
                <w:highlight w:val="none"/>
              </w:rPr>
              <w:t>是否符合招标要求</w:t>
            </w:r>
            <w:r>
              <w:rPr>
                <w:rFonts w:hint="eastAsia" w:ascii="宋体" w:hAnsi="宋体" w:cs="宋体"/>
                <w:color w:val="auto"/>
                <w:sz w:val="24"/>
                <w:szCs w:val="24"/>
                <w:highlight w:val="none"/>
                <w:lang w:eastAsia="zh-CN"/>
              </w:rPr>
              <w:t>。</w:t>
            </w:r>
          </w:p>
        </w:tc>
      </w:tr>
      <w:tr w14:paraId="6C8BC3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center"/>
          </w:tcPr>
          <w:p w14:paraId="3EE32227">
            <w:pPr>
              <w:pStyle w:val="20"/>
              <w:spacing w:before="0" w:after="0"/>
              <w:jc w:val="center"/>
              <w:rPr>
                <w:rFonts w:asciiTheme="minorEastAsia" w:hAnsiTheme="minorEastAsia" w:eastAsiaTheme="minorEastAsia" w:cstheme="minorEastAsia"/>
                <w:color w:val="auto"/>
                <w:spacing w:val="5"/>
                <w:sz w:val="24"/>
                <w:szCs w:val="24"/>
                <w:highlight w:val="none"/>
                <w:lang w:eastAsia="zh-CN"/>
              </w:rPr>
            </w:pPr>
            <w:r>
              <w:rPr>
                <w:rFonts w:hint="eastAsia" w:asciiTheme="minorEastAsia" w:hAnsiTheme="minorEastAsia" w:eastAsiaTheme="minorEastAsia" w:cstheme="minorEastAsia"/>
                <w:color w:val="auto"/>
                <w:spacing w:val="5"/>
                <w:sz w:val="24"/>
                <w:szCs w:val="24"/>
                <w:highlight w:val="none"/>
                <w:lang w:eastAsia="zh-CN"/>
              </w:rPr>
              <w:t>10</w:t>
            </w:r>
          </w:p>
        </w:tc>
        <w:tc>
          <w:tcPr>
            <w:tcW w:w="1685" w:type="dxa"/>
            <w:vAlign w:val="center"/>
          </w:tcPr>
          <w:p w14:paraId="2ABA06A3">
            <w:pPr>
              <w:spacing w:before="0" w:after="0"/>
              <w:ind w:left="110"/>
              <w:jc w:val="center"/>
              <w:rPr>
                <w:rFonts w:asciiTheme="minorEastAsia" w:hAnsiTheme="minorEastAsia" w:eastAsiaTheme="minorEastAsia" w:cstheme="minorEastAsia"/>
                <w:color w:val="auto"/>
                <w:spacing w:val="-2"/>
                <w:sz w:val="24"/>
                <w:szCs w:val="24"/>
                <w:highlight w:val="none"/>
                <w:lang w:eastAsia="zh-CN"/>
              </w:rPr>
            </w:pP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2"/>
                <w:sz w:val="24"/>
                <w:szCs w:val="24"/>
                <w:highlight w:val="none"/>
                <w:lang w:eastAsia="zh-CN"/>
              </w:rPr>
              <w:t>质保期</w:t>
            </w:r>
          </w:p>
          <w:p w14:paraId="5402ED56">
            <w:pPr>
              <w:spacing w:before="0" w:after="0"/>
              <w:ind w:left="110"/>
              <w:jc w:val="center"/>
              <w:rPr>
                <w:rFonts w:asciiTheme="minorEastAsia" w:hAnsiTheme="minorEastAsia" w:eastAsiaTheme="minorEastAsia" w:cstheme="minorEastAsia"/>
                <w:color w:val="auto"/>
                <w:spacing w:val="-2"/>
                <w:sz w:val="24"/>
                <w:szCs w:val="24"/>
                <w:highlight w:val="none"/>
                <w:lang w:eastAsia="zh-CN"/>
              </w:rPr>
            </w:pPr>
            <w:r>
              <w:rPr>
                <w:rFonts w:hint="eastAsia" w:asciiTheme="minorEastAsia" w:hAnsiTheme="minorEastAsia" w:eastAsiaTheme="minorEastAsia" w:cstheme="minorEastAsia"/>
                <w:color w:val="auto"/>
                <w:spacing w:val="-1"/>
                <w:sz w:val="24"/>
                <w:szCs w:val="24"/>
                <w:highlight w:val="none"/>
              </w:rPr>
              <w:t>□</w:t>
            </w:r>
            <w:r>
              <w:rPr>
                <w:rFonts w:hint="eastAsia" w:asciiTheme="minorEastAsia" w:hAnsiTheme="minorEastAsia" w:eastAsiaTheme="minorEastAsia" w:cstheme="minorEastAsia"/>
                <w:color w:val="auto"/>
                <w:spacing w:val="-1"/>
                <w:sz w:val="24"/>
                <w:szCs w:val="24"/>
                <w:highlight w:val="none"/>
                <w:lang w:eastAsia="zh-CN"/>
              </w:rPr>
              <w:t>服务质量</w:t>
            </w:r>
          </w:p>
        </w:tc>
        <w:tc>
          <w:tcPr>
            <w:tcW w:w="7076" w:type="dxa"/>
            <w:vAlign w:val="center"/>
          </w:tcPr>
          <w:p w14:paraId="1AE0E4F2">
            <w:pPr>
              <w:spacing w:before="0" w:after="0"/>
              <w:jc w:val="center"/>
              <w:rPr>
                <w:rFonts w:ascii="宋体" w:hAnsi="宋体" w:cs="宋体"/>
                <w:color w:val="auto"/>
                <w:sz w:val="24"/>
                <w:szCs w:val="24"/>
                <w:highlight w:val="none"/>
                <w:lang w:eastAsia="zh-CN"/>
              </w:rPr>
            </w:pPr>
            <w:r>
              <w:rPr>
                <w:rFonts w:hint="eastAsia" w:ascii="宋体" w:hAnsi="宋体" w:cs="宋体"/>
                <w:color w:val="auto"/>
                <w:sz w:val="24"/>
                <w:szCs w:val="24"/>
                <w:highlight w:val="none"/>
              </w:rPr>
              <w:t>是否符合招标要求</w:t>
            </w:r>
            <w:r>
              <w:rPr>
                <w:rFonts w:hint="eastAsia" w:ascii="宋体" w:hAnsi="宋体" w:cs="宋体"/>
                <w:color w:val="auto"/>
                <w:sz w:val="24"/>
                <w:szCs w:val="24"/>
                <w:highlight w:val="none"/>
                <w:lang w:eastAsia="zh-CN"/>
              </w:rPr>
              <w:t>。</w:t>
            </w:r>
          </w:p>
        </w:tc>
      </w:tr>
      <w:tr w14:paraId="5CE1B1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5" w:hRule="atLeast"/>
        </w:trPr>
        <w:tc>
          <w:tcPr>
            <w:tcW w:w="685" w:type="dxa"/>
          </w:tcPr>
          <w:p w14:paraId="5AE29113">
            <w:pPr>
              <w:pStyle w:val="20"/>
              <w:spacing w:before="0" w:after="0"/>
              <w:jc w:val="center"/>
              <w:rPr>
                <w:rFonts w:asciiTheme="minorEastAsia" w:hAnsiTheme="minorEastAsia" w:eastAsiaTheme="minorEastAsia" w:cstheme="minorEastAsia"/>
                <w:color w:val="auto"/>
                <w:sz w:val="24"/>
                <w:szCs w:val="24"/>
                <w:highlight w:val="none"/>
              </w:rPr>
            </w:pPr>
          </w:p>
          <w:p w14:paraId="45B7B60A">
            <w:pPr>
              <w:pStyle w:val="20"/>
              <w:spacing w:before="0" w:after="0"/>
              <w:jc w:val="center"/>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5"/>
                <w:sz w:val="24"/>
                <w:szCs w:val="24"/>
                <w:highlight w:val="none"/>
                <w:lang w:eastAsia="zh-CN"/>
              </w:rPr>
              <w:t>11</w:t>
            </w:r>
          </w:p>
        </w:tc>
        <w:tc>
          <w:tcPr>
            <w:tcW w:w="1685" w:type="dxa"/>
          </w:tcPr>
          <w:p w14:paraId="44C6DE23">
            <w:pPr>
              <w:pStyle w:val="20"/>
              <w:spacing w:before="0" w:after="0"/>
              <w:rPr>
                <w:rFonts w:asciiTheme="minorEastAsia" w:hAnsiTheme="minorEastAsia" w:eastAsiaTheme="minorEastAsia" w:cstheme="minorEastAsia"/>
                <w:color w:val="auto"/>
                <w:sz w:val="24"/>
                <w:szCs w:val="24"/>
                <w:highlight w:val="none"/>
              </w:rPr>
            </w:pPr>
          </w:p>
          <w:p w14:paraId="2DE58B33">
            <w:pPr>
              <w:spacing w:before="0" w:after="0"/>
              <w:ind w:left="12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公平竞争</w:t>
            </w:r>
          </w:p>
        </w:tc>
        <w:tc>
          <w:tcPr>
            <w:tcW w:w="7076" w:type="dxa"/>
          </w:tcPr>
          <w:p w14:paraId="07A2AF21">
            <w:pPr>
              <w:spacing w:before="0" w:after="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投标人遵循公平竞争的原则，不存在恶意串通，妨碍其他投标人的竞争行为，不存在损害采购人或者其他投标人的合法权益情形的。</w:t>
            </w:r>
          </w:p>
        </w:tc>
      </w:tr>
      <w:tr w14:paraId="0969B4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85" w:type="dxa"/>
          </w:tcPr>
          <w:p w14:paraId="6E2A7697">
            <w:pPr>
              <w:pStyle w:val="20"/>
              <w:spacing w:before="0" w:after="0"/>
              <w:jc w:val="center"/>
              <w:rPr>
                <w:rFonts w:asciiTheme="minorEastAsia" w:hAnsiTheme="minorEastAsia" w:eastAsiaTheme="minorEastAsia" w:cstheme="minorEastAsia"/>
                <w:color w:val="auto"/>
                <w:sz w:val="24"/>
                <w:szCs w:val="24"/>
                <w:highlight w:val="none"/>
                <w:lang w:eastAsia="zh-CN"/>
              </w:rPr>
            </w:pPr>
          </w:p>
          <w:p w14:paraId="0EDE529D">
            <w:pPr>
              <w:pStyle w:val="20"/>
              <w:spacing w:before="0" w:after="0"/>
              <w:jc w:val="center"/>
              <w:rPr>
                <w:rFonts w:asciiTheme="minorEastAsia" w:hAnsiTheme="minorEastAsia" w:eastAsiaTheme="minorEastAsia" w:cstheme="minorEastAsia"/>
                <w:color w:val="auto"/>
                <w:sz w:val="24"/>
                <w:szCs w:val="24"/>
                <w:highlight w:val="none"/>
                <w:lang w:eastAsia="zh-CN"/>
              </w:rPr>
            </w:pPr>
          </w:p>
          <w:p w14:paraId="20EDEA40">
            <w:pPr>
              <w:pStyle w:val="20"/>
              <w:spacing w:before="0" w:after="0"/>
              <w:jc w:val="center"/>
              <w:rPr>
                <w:rFonts w:asciiTheme="minorEastAsia" w:hAnsiTheme="minorEastAsia" w:eastAsiaTheme="minorEastAsia" w:cstheme="minorEastAsia"/>
                <w:color w:val="auto"/>
                <w:sz w:val="24"/>
                <w:szCs w:val="24"/>
                <w:highlight w:val="none"/>
                <w:lang w:eastAsia="zh-CN"/>
              </w:rPr>
            </w:pPr>
          </w:p>
          <w:p w14:paraId="36EED214">
            <w:pPr>
              <w:pStyle w:val="20"/>
              <w:spacing w:before="0" w:after="0"/>
              <w:jc w:val="center"/>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5"/>
                <w:sz w:val="24"/>
                <w:szCs w:val="24"/>
                <w:highlight w:val="none"/>
                <w:lang w:eastAsia="zh-CN"/>
              </w:rPr>
              <w:t>12</w:t>
            </w:r>
          </w:p>
        </w:tc>
        <w:tc>
          <w:tcPr>
            <w:tcW w:w="1685" w:type="dxa"/>
          </w:tcPr>
          <w:p w14:paraId="4DB8F779">
            <w:pPr>
              <w:pStyle w:val="20"/>
              <w:spacing w:before="0" w:after="0"/>
              <w:rPr>
                <w:rFonts w:asciiTheme="minorEastAsia" w:hAnsiTheme="minorEastAsia" w:eastAsiaTheme="minorEastAsia" w:cstheme="minorEastAsia"/>
                <w:color w:val="auto"/>
                <w:sz w:val="24"/>
                <w:szCs w:val="24"/>
                <w:highlight w:val="none"/>
              </w:rPr>
            </w:pPr>
          </w:p>
          <w:p w14:paraId="24DA00FA">
            <w:pPr>
              <w:pStyle w:val="20"/>
              <w:spacing w:before="0" w:after="0"/>
              <w:rPr>
                <w:rFonts w:asciiTheme="minorEastAsia" w:hAnsiTheme="minorEastAsia" w:eastAsiaTheme="minorEastAsia" w:cstheme="minorEastAsia"/>
                <w:color w:val="auto"/>
                <w:sz w:val="24"/>
                <w:szCs w:val="24"/>
                <w:highlight w:val="none"/>
              </w:rPr>
            </w:pPr>
          </w:p>
          <w:p w14:paraId="0794D50A">
            <w:pPr>
              <w:pStyle w:val="20"/>
              <w:spacing w:before="0" w:after="0"/>
              <w:rPr>
                <w:rFonts w:asciiTheme="minorEastAsia" w:hAnsiTheme="minorEastAsia" w:eastAsiaTheme="minorEastAsia" w:cstheme="minorEastAsia"/>
                <w:color w:val="auto"/>
                <w:sz w:val="24"/>
                <w:szCs w:val="24"/>
                <w:highlight w:val="none"/>
              </w:rPr>
            </w:pPr>
          </w:p>
          <w:p w14:paraId="2FE5E827">
            <w:pPr>
              <w:spacing w:before="0" w:after="0"/>
              <w:ind w:left="134"/>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串通投标</w:t>
            </w:r>
          </w:p>
        </w:tc>
        <w:tc>
          <w:tcPr>
            <w:tcW w:w="7076" w:type="dxa"/>
          </w:tcPr>
          <w:p w14:paraId="4A7678E2">
            <w:pPr>
              <w:spacing w:before="0" w:after="0"/>
              <w:ind w:firstLine="480" w:firstLineChars="20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不存在《政府采购货物和服务招标投标管理办法》视为投标人串通投标的情形：</w:t>
            </w:r>
          </w:p>
          <w:p w14:paraId="3B702B39">
            <w:pPr>
              <w:spacing w:before="0" w:after="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（一）不同投标人的投标文件由同一单位或者同一个人编制；</w:t>
            </w:r>
          </w:p>
          <w:p w14:paraId="65B0523F">
            <w:pPr>
              <w:spacing w:before="0" w:after="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（二）不同投标人委托同一单位或者个人办理投标事宜；</w:t>
            </w:r>
          </w:p>
          <w:p w14:paraId="76785398">
            <w:pPr>
              <w:spacing w:before="0" w:after="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（三）不同投标人的投标文件载明的项目管理成员或者联系人员为同一人；</w:t>
            </w:r>
          </w:p>
          <w:p w14:paraId="35F98555">
            <w:pPr>
              <w:spacing w:before="0" w:after="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（四）不同投标人的投标文件异常一致或者投标报价呈规律性差异；</w:t>
            </w:r>
          </w:p>
          <w:p w14:paraId="324D976F">
            <w:pPr>
              <w:spacing w:before="0" w:after="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（五）不同投标人的投标文件相互混装；</w:t>
            </w:r>
          </w:p>
          <w:p w14:paraId="41BB07AA">
            <w:pPr>
              <w:spacing w:before="0" w:after="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（六）不同投标人的投标保证金从同一单位或者个人的账户转出；</w:t>
            </w:r>
          </w:p>
          <w:p w14:paraId="3319602B">
            <w:pPr>
              <w:spacing w:before="0" w:after="0"/>
              <w:ind w:firstLine="480" w:firstLineChars="20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不存在南阳市财政局关于防范供应商串通投标促进政府采购公平竞争的通知（宛财购〔2022〕3号）投标人串通投标的情形：</w:t>
            </w:r>
          </w:p>
          <w:p w14:paraId="50CC3E3E">
            <w:pPr>
              <w:spacing w:before="0" w:after="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（一）不同供应商的电子投标（响应）文件上传的计算机网卡MAC地址、CPU序列号和硬盘序列号等硬件信息相同的；</w:t>
            </w:r>
          </w:p>
          <w:p w14:paraId="56BA3C3C">
            <w:pPr>
              <w:spacing w:before="0" w:after="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（二）不同供应商的投标（响应）文件由同一电子设备编制、打印、加密或上传；</w:t>
            </w:r>
          </w:p>
          <w:p w14:paraId="3927C8B7">
            <w:pPr>
              <w:spacing w:before="0" w:after="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（三）不同供应商的投标（响应）文件由同一电子设备打印、复印；</w:t>
            </w:r>
          </w:p>
          <w:p w14:paraId="3EE8D82D">
            <w:pPr>
              <w:spacing w:before="0" w:after="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（四）不同供应商的投标（响应）文件由同一人送达或分发，或者不同供应商的联系人为同一人或不同联系人的联系电话一致的；</w:t>
            </w:r>
          </w:p>
          <w:p w14:paraId="4ADEE813">
            <w:pPr>
              <w:spacing w:before="0" w:after="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（五）不同供应商的投标（响应）文件内容存在两处以上细节错误一致；</w:t>
            </w:r>
          </w:p>
          <w:p w14:paraId="409E737E">
            <w:pPr>
              <w:spacing w:before="0" w:after="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（六）不同供应商的法定代表人、委托代理人、项目经理、项目负责人等由同一单位缴纳社会保险或者领取报酬的；</w:t>
            </w:r>
          </w:p>
          <w:p w14:paraId="5F9EF5C4">
            <w:pPr>
              <w:spacing w:before="0" w:after="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（七）不同供应商投标（响应）文件中的法定代表人或负责人签名出自同一人之手；</w:t>
            </w:r>
          </w:p>
          <w:p w14:paraId="36C50DD0">
            <w:pPr>
              <w:spacing w:before="0" w:after="0"/>
              <w:rPr>
                <w:rFonts w:asciiTheme="minorEastAsia" w:hAnsiTheme="minorEastAsia" w:eastAsiaTheme="minorEastAsia" w:cstheme="minorEastAsia"/>
                <w:color w:val="auto"/>
                <w:spacing w:val="-1"/>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八</w:t>
            </w:r>
            <w:r>
              <w:rPr>
                <w:rFonts w:hint="eastAsia" w:ascii="宋体" w:hAnsi="宋体" w:cs="宋体"/>
                <w:color w:val="auto"/>
                <w:sz w:val="24"/>
                <w:szCs w:val="24"/>
                <w:highlight w:val="none"/>
              </w:rPr>
              <w:t>）其他涉嫌串通的情形。</w:t>
            </w:r>
          </w:p>
        </w:tc>
      </w:tr>
      <w:tr w14:paraId="300019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tcPr>
          <w:p w14:paraId="591A46A0">
            <w:pPr>
              <w:pStyle w:val="20"/>
              <w:spacing w:before="0" w:after="0"/>
              <w:jc w:val="center"/>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5"/>
                <w:sz w:val="24"/>
                <w:szCs w:val="24"/>
                <w:highlight w:val="none"/>
              </w:rPr>
              <w:t>1</w:t>
            </w:r>
            <w:r>
              <w:rPr>
                <w:rFonts w:hint="eastAsia" w:asciiTheme="minorEastAsia" w:hAnsiTheme="minorEastAsia" w:eastAsiaTheme="minorEastAsia" w:cstheme="minorEastAsia"/>
                <w:color w:val="auto"/>
                <w:spacing w:val="5"/>
                <w:sz w:val="24"/>
                <w:szCs w:val="24"/>
                <w:highlight w:val="none"/>
                <w:lang w:eastAsia="zh-CN"/>
              </w:rPr>
              <w:t>3</w:t>
            </w:r>
          </w:p>
        </w:tc>
        <w:tc>
          <w:tcPr>
            <w:tcW w:w="1685" w:type="dxa"/>
          </w:tcPr>
          <w:p w14:paraId="62F643D2">
            <w:pPr>
              <w:spacing w:before="0" w:after="0"/>
              <w:ind w:left="131"/>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附加条件</w:t>
            </w:r>
          </w:p>
        </w:tc>
        <w:tc>
          <w:tcPr>
            <w:tcW w:w="7076" w:type="dxa"/>
          </w:tcPr>
          <w:p w14:paraId="7C853B55">
            <w:pPr>
              <w:spacing w:before="0" w:after="0"/>
              <w:rPr>
                <w:color w:val="auto"/>
                <w:sz w:val="24"/>
                <w:szCs w:val="24"/>
                <w:highlight w:val="none"/>
                <w:lang w:eastAsia="zh-CN"/>
              </w:rPr>
            </w:pPr>
            <w:r>
              <w:rPr>
                <w:rFonts w:hint="eastAsia"/>
                <w:color w:val="auto"/>
                <w:sz w:val="24"/>
                <w:szCs w:val="24"/>
                <w:highlight w:val="none"/>
                <w:lang w:eastAsia="zh-CN"/>
              </w:rPr>
              <w:t>投标文件未含有采购人不能接受的附加条件的。</w:t>
            </w:r>
          </w:p>
        </w:tc>
      </w:tr>
      <w:tr w14:paraId="2164FB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685" w:type="dxa"/>
          </w:tcPr>
          <w:p w14:paraId="30F93706">
            <w:pPr>
              <w:pStyle w:val="20"/>
              <w:spacing w:before="0" w:after="0"/>
              <w:jc w:val="center"/>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5"/>
                <w:sz w:val="24"/>
                <w:szCs w:val="24"/>
                <w:highlight w:val="none"/>
              </w:rPr>
              <w:t>1</w:t>
            </w:r>
            <w:r>
              <w:rPr>
                <w:rFonts w:hint="eastAsia" w:asciiTheme="minorEastAsia" w:hAnsiTheme="minorEastAsia" w:eastAsiaTheme="minorEastAsia" w:cstheme="minorEastAsia"/>
                <w:color w:val="auto"/>
                <w:spacing w:val="5"/>
                <w:sz w:val="24"/>
                <w:szCs w:val="24"/>
                <w:highlight w:val="none"/>
                <w:lang w:eastAsia="zh-CN"/>
              </w:rPr>
              <w:t>4</w:t>
            </w:r>
          </w:p>
        </w:tc>
        <w:tc>
          <w:tcPr>
            <w:tcW w:w="1685" w:type="dxa"/>
          </w:tcPr>
          <w:p w14:paraId="399E6767">
            <w:pPr>
              <w:spacing w:before="0" w:after="0"/>
              <w:ind w:left="113"/>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其他无效情形</w:t>
            </w:r>
          </w:p>
        </w:tc>
        <w:tc>
          <w:tcPr>
            <w:tcW w:w="7076" w:type="dxa"/>
          </w:tcPr>
          <w:p w14:paraId="7F4FB4AC">
            <w:pPr>
              <w:spacing w:before="0" w:after="0"/>
              <w:rPr>
                <w:color w:val="auto"/>
                <w:sz w:val="24"/>
                <w:szCs w:val="24"/>
                <w:highlight w:val="none"/>
                <w:lang w:eastAsia="zh-CN"/>
              </w:rPr>
            </w:pPr>
            <w:r>
              <w:rPr>
                <w:rFonts w:hint="eastAsia"/>
                <w:color w:val="auto"/>
                <w:sz w:val="24"/>
                <w:szCs w:val="24"/>
                <w:highlight w:val="none"/>
                <w:lang w:eastAsia="zh-CN"/>
              </w:rPr>
              <w:t>投标人、投标文件不存在不符合法律、法规和招标文件规定的其他无效情形。</w:t>
            </w:r>
          </w:p>
        </w:tc>
      </w:tr>
    </w:tbl>
    <w:p w14:paraId="46243268">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2.技术审查</w:t>
      </w:r>
    </w:p>
    <w:p w14:paraId="23F8FD24">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服务类，审查服务方案、人员配备方案及人员基本情况等是否符合招标要求。</w:t>
      </w:r>
    </w:p>
    <w:p w14:paraId="55D42E82">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3.评标委员会将通过审查确定每一投标人是否对招标文件做出了实质性响应</w:t>
      </w:r>
    </w:p>
    <w:p w14:paraId="047E3F80">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实质性响应的投标是指投标符合招标文件的所有条款、条件和要求，而无重大偏离和保留。重大偏离和保留是指影响到招标文件规定的范围、质量和性能，或限制了采购人的权利和投标人的义务的规定，而纠正这些偏差将影响到其它提交实质性响应投标的投标人的公平竞争地位。评标委员会判断投标文件的响应性仅基于投标文件本身内容而不靠外部证据。评标委员会将拒绝被确定为非实质性响应的投标人，投标人不得通过修正或撤销不符之处而使其投标成为实质性响应的投标。</w:t>
      </w:r>
    </w:p>
    <w:p w14:paraId="34B5E271">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4.投标文件的澄清</w:t>
      </w:r>
    </w:p>
    <w:p w14:paraId="1B81C5FA">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4.1为了有助于对投标文件进行审查、评估和比较，评标委员会有权向投标人质疑，请投标人澄清、说明或补正其投标内容。投标人须按照采购人或采购代理机构通知的时间、地点、方式指派法定代表人（负责人）或授权代表进行澄清、说明或补正。</w:t>
      </w:r>
    </w:p>
    <w:p w14:paraId="309BB0CA">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4.2澄清、说明或补正要求。对投标文件中含义不明确、同类问题表述不一致或者有明显文字和计算错误的内容，评标委员会应当以书面形式要求投标人作出必要的澄清、说明或补正。投标人的澄清、说明或者补正应当采用书面形式，由其法定代表人（负责人）或授权代表签字，并不得超出投标文件的范围或者改变投标文件的实质性内容。</w:t>
      </w:r>
    </w:p>
    <w:p w14:paraId="68EC3BA2">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4.3投标人的澄清、说明或补正文件是投标文件的组成部分，并取代投标文件中被澄清、说明或补正的部分。</w:t>
      </w:r>
    </w:p>
    <w:p w14:paraId="0D4ED9A8">
      <w:pPr>
        <w:wordWrap w:val="0"/>
        <w:spacing w:line="360" w:lineRule="auto"/>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五.评标方法和评标标准</w:t>
      </w:r>
    </w:p>
    <w:p w14:paraId="0A6A1040">
      <w:pPr>
        <w:wordWrap w:val="0"/>
        <w:spacing w:line="360" w:lineRule="auto"/>
        <w:ind w:firstLine="490"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1.本项目采用的评标方法为：</w:t>
      </w:r>
    </w:p>
    <w:p w14:paraId="794FDF3D">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065BE911">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多家投标人提供的核心产品品牌相同且通过资格审查、符合性审查的，按一家投标人计算，评审后得分最高的同品牌投标人获得中标人推荐。</w:t>
      </w:r>
    </w:p>
    <w:p w14:paraId="619C73C7">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2.非政府强制采购的节能产品或环境标志产品，依据品目清单和认证证书实施政府优先采购。优先采购的具体规定（如涉及）。</w:t>
      </w:r>
    </w:p>
    <w:p w14:paraId="7AD44DB2">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3.关于无线局域网认证产品政府采购清单中的产品，优先采购的具体规定（如涉及）。</w:t>
      </w:r>
    </w:p>
    <w:p w14:paraId="5903F0ED">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4.确定中标候选人名单</w:t>
      </w:r>
    </w:p>
    <w:p w14:paraId="074EC4E7">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4.1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2E68A8E7">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4.2采用综合评分法时，投标人的排名按得分顺序从高到低排列；得分相同的，按投标报价由低到高顺序排列；得分且投标报价相同的，按技术指标优劣顺序排列。</w:t>
      </w:r>
    </w:p>
    <w:p w14:paraId="5EBE758C">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4.3采用最低评标价法时，评标结果按照投标报价由低到高顺序排列。投标报价相同的并列。投标文件满足招标文件全部实质性要求且投标报价最低的投标人为排名第一的中标候选人。</w:t>
      </w:r>
    </w:p>
    <w:p w14:paraId="297801ED">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4.4评标委员会要对评分汇总情况进行复核，特别是对排名第一的、报价最低的、投标文件被认定为无效的情形进行重点复核。</w:t>
      </w:r>
    </w:p>
    <w:p w14:paraId="4E165A4E">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4.5评标委员会将根据各投标人的评标排序，依次推荐本项目（各采购包）的中标候选人，起草并签署评标报告。本项目（采购包）评标委员会共推荐3名中标候选人。</w:t>
      </w:r>
    </w:p>
    <w:p w14:paraId="65713D41">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5.报告违法行为</w:t>
      </w:r>
    </w:p>
    <w:p w14:paraId="216EBF85">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评标委员会在评标过程中发现投标人有行贿、提供虚假材料或者串通等违法行为时，有向采购人、采购代理机构或者有关部门报告的职责。</w:t>
      </w:r>
    </w:p>
    <w:p w14:paraId="2CC1F5F9">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6.确定中标人</w:t>
      </w:r>
    </w:p>
    <w:p w14:paraId="20C9EF3E">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采购人应当在收到评标报告之日起5个工作日内，在评标报告确定的中标候选人名单中按顺序确定中标人。</w:t>
      </w:r>
    </w:p>
    <w:p w14:paraId="01CD54A8">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7.投标人存在下列情况之一的，投标无效：</w:t>
      </w:r>
    </w:p>
    <w:p w14:paraId="0A0CB1D2">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（1）投标文件未按招标文件要求签署、盖章的；</w:t>
      </w:r>
    </w:p>
    <w:p w14:paraId="11ABFFC9">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（2）不具备招标文件中规定的资格要求的；</w:t>
      </w:r>
    </w:p>
    <w:p w14:paraId="79B89328">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（3）报价超过招标文件中规定的预算金额或者最高限价的；</w:t>
      </w:r>
    </w:p>
    <w:p w14:paraId="269B33D4">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（4）投标文件含有采购人不能接受的附加条件的；</w:t>
      </w:r>
    </w:p>
    <w:p w14:paraId="2E7D5DA9">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（5）不符合应提交投标文件资料数量要求的；</w:t>
      </w:r>
    </w:p>
    <w:p w14:paraId="27379C93">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（6）开标解密时未在规定时间（30分钟）内进行解密成功的视为撤销其投标文件（因电子开标系统原因除外）；</w:t>
      </w:r>
    </w:p>
    <w:p w14:paraId="5400C674">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（7）电子投标文件未使用电子营业执照认证并加密的；</w:t>
      </w:r>
    </w:p>
    <w:p w14:paraId="4B815851">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（8）未在投标截止时间前完成上传的；</w:t>
      </w:r>
    </w:p>
    <w:p w14:paraId="2EE9D7BE">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（9）法律、法规和招标文件规定的其他无效情形。</w:t>
      </w:r>
    </w:p>
    <w:p w14:paraId="2B9D2FD6">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8.在招标采购中，出现下列情形之一的，应予废标：</w:t>
      </w:r>
    </w:p>
    <w:p w14:paraId="678F6BD9">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（1）符合专业条件的供应商或者对招标文件作实质性响应的供应商不足三家的；</w:t>
      </w:r>
    </w:p>
    <w:p w14:paraId="388B6FE3">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（2）出现影响采购公正的违法、违规行为的；</w:t>
      </w:r>
    </w:p>
    <w:p w14:paraId="6D04B7A6">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（3）投标人的报价均超过了预算金额，采购人不能支付的；</w:t>
      </w:r>
    </w:p>
    <w:p w14:paraId="7DAD60AC">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（4）因重大变故，采购任务取消的。</w:t>
      </w:r>
    </w:p>
    <w:p w14:paraId="2E6029D0">
      <w:pPr>
        <w:wordWrap w:val="0"/>
        <w:spacing w:line="360" w:lineRule="auto"/>
        <w:ind w:firstLine="488"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废标后，应当在指定媒体发布公告，将废标理由通知所有投标人。</w:t>
      </w:r>
      <w:bookmarkEnd w:id="7"/>
    </w:p>
    <w:p w14:paraId="236843E1">
      <w:pPr>
        <w:pStyle w:val="4"/>
        <w:ind w:firstLine="0" w:firstLineChars="0"/>
        <w:rPr>
          <w:color w:val="auto"/>
          <w:highlight w:val="none"/>
        </w:rPr>
      </w:pPr>
    </w:p>
    <w:p w14:paraId="6E0DB916">
      <w:pPr>
        <w:rPr>
          <w:rFonts w:hint="eastAsia"/>
          <w:color w:val="auto"/>
          <w:highlight w:val="none"/>
        </w:rPr>
      </w:pPr>
      <w:bookmarkStart w:id="8" w:name="_Toc33217862"/>
      <w:bookmarkStart w:id="9" w:name="_Toc144974577"/>
      <w:r>
        <w:rPr>
          <w:rFonts w:hint="eastAsia"/>
          <w:color w:val="auto"/>
          <w:highlight w:val="none"/>
        </w:rPr>
        <w:br w:type="page"/>
      </w:r>
    </w:p>
    <w:p w14:paraId="6472D29D">
      <w:pPr>
        <w:pStyle w:val="4"/>
        <w:rPr>
          <w:color w:val="auto"/>
          <w:highlight w:val="none"/>
        </w:rPr>
      </w:pPr>
      <w:r>
        <w:rPr>
          <w:rFonts w:hint="eastAsia"/>
          <w:color w:val="auto"/>
          <w:highlight w:val="none"/>
        </w:rPr>
        <w:t>评分标准</w:t>
      </w:r>
    </w:p>
    <w:p w14:paraId="5197F0AC">
      <w:pPr>
        <w:spacing w:before="58" w:line="216" w:lineRule="auto"/>
        <w:ind w:left="1709"/>
        <w:rPr>
          <w:color w:val="auto"/>
          <w:highlight w:val="no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详细评审评标办法采用综合评分法,满分100分。</w:t>
      </w:r>
    </w:p>
    <w:p w14:paraId="77596757">
      <w:pPr>
        <w:spacing w:before="44"/>
        <w:rPr>
          <w:color w:val="auto"/>
          <w:highlight w:val="none"/>
        </w:rPr>
      </w:pPr>
    </w:p>
    <w:tbl>
      <w:tblPr>
        <w:tblStyle w:val="21"/>
        <w:tblW w:w="93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3"/>
        <w:gridCol w:w="1399"/>
        <w:gridCol w:w="2395"/>
        <w:gridCol w:w="4624"/>
      </w:tblGrid>
      <w:tr w14:paraId="46A396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2332" w:type="dxa"/>
            <w:gridSpan w:val="2"/>
          </w:tcPr>
          <w:p w14:paraId="2165CF03">
            <w:pPr>
              <w:pStyle w:val="20"/>
              <w:rPr>
                <w:color w:val="auto"/>
                <w:highlight w:val="none"/>
              </w:rPr>
            </w:pPr>
            <w:r>
              <w:rPr>
                <w:color w:val="auto"/>
                <w:highlight w:val="none"/>
              </w:rPr>
              <w:t>条款号</w:t>
            </w:r>
          </w:p>
        </w:tc>
        <w:tc>
          <w:tcPr>
            <w:tcW w:w="2395" w:type="dxa"/>
          </w:tcPr>
          <w:p w14:paraId="748ED41E">
            <w:pPr>
              <w:pStyle w:val="20"/>
              <w:rPr>
                <w:color w:val="auto"/>
                <w:highlight w:val="none"/>
              </w:rPr>
            </w:pPr>
            <w:r>
              <w:rPr>
                <w:color w:val="auto"/>
                <w:highlight w:val="none"/>
              </w:rPr>
              <w:t>评分因素</w:t>
            </w:r>
          </w:p>
        </w:tc>
        <w:tc>
          <w:tcPr>
            <w:tcW w:w="4624" w:type="dxa"/>
          </w:tcPr>
          <w:p w14:paraId="4BBBDC67">
            <w:pPr>
              <w:pStyle w:val="20"/>
              <w:rPr>
                <w:color w:val="auto"/>
                <w:highlight w:val="none"/>
              </w:rPr>
            </w:pPr>
            <w:r>
              <w:rPr>
                <w:color w:val="auto"/>
                <w:highlight w:val="none"/>
              </w:rPr>
              <w:t>评分标准</w:t>
            </w:r>
          </w:p>
        </w:tc>
      </w:tr>
      <w:tr w14:paraId="464740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0" w:hRule="atLeast"/>
        </w:trPr>
        <w:tc>
          <w:tcPr>
            <w:tcW w:w="933" w:type="dxa"/>
          </w:tcPr>
          <w:p w14:paraId="3A19BCAD">
            <w:pPr>
              <w:spacing w:line="269" w:lineRule="auto"/>
              <w:rPr>
                <w:rFonts w:asciiTheme="minorEastAsia" w:hAnsiTheme="minorEastAsia" w:eastAsiaTheme="minorEastAsia"/>
                <w:color w:val="auto"/>
                <w:highlight w:val="none"/>
              </w:rPr>
            </w:pPr>
          </w:p>
          <w:p w14:paraId="4A260AD9">
            <w:pPr>
              <w:spacing w:line="270" w:lineRule="auto"/>
              <w:rPr>
                <w:rFonts w:asciiTheme="minorEastAsia" w:hAnsiTheme="minorEastAsia" w:eastAsiaTheme="minorEastAsia"/>
                <w:color w:val="auto"/>
                <w:highlight w:val="none"/>
              </w:rPr>
            </w:pPr>
          </w:p>
          <w:p w14:paraId="20944C2B">
            <w:pPr>
              <w:spacing w:line="270" w:lineRule="auto"/>
              <w:rPr>
                <w:rFonts w:asciiTheme="minorEastAsia" w:hAnsiTheme="minorEastAsia" w:eastAsiaTheme="minorEastAsia"/>
                <w:color w:val="auto"/>
                <w:highlight w:val="none"/>
              </w:rPr>
            </w:pPr>
          </w:p>
          <w:p w14:paraId="695864D0">
            <w:pPr>
              <w:spacing w:line="270" w:lineRule="auto"/>
              <w:rPr>
                <w:rFonts w:asciiTheme="minorEastAsia" w:hAnsiTheme="minorEastAsia" w:eastAsiaTheme="minorEastAsia"/>
                <w:color w:val="auto"/>
                <w:highlight w:val="none"/>
              </w:rPr>
            </w:pPr>
          </w:p>
          <w:p w14:paraId="28FC2781">
            <w:pPr>
              <w:spacing w:line="270" w:lineRule="auto"/>
              <w:rPr>
                <w:rFonts w:asciiTheme="minorEastAsia" w:hAnsiTheme="minorEastAsia" w:eastAsiaTheme="minorEastAsia"/>
                <w:color w:val="auto"/>
                <w:highlight w:val="none"/>
              </w:rPr>
            </w:pPr>
          </w:p>
          <w:p w14:paraId="1773A2FF">
            <w:pPr>
              <w:spacing w:line="270" w:lineRule="auto"/>
              <w:rPr>
                <w:rFonts w:asciiTheme="minorEastAsia" w:hAnsiTheme="minorEastAsia" w:eastAsiaTheme="minorEastAsia"/>
                <w:color w:val="auto"/>
                <w:highlight w:val="none"/>
              </w:rPr>
            </w:pPr>
          </w:p>
          <w:p w14:paraId="0391BB2E">
            <w:pPr>
              <w:spacing w:line="270" w:lineRule="auto"/>
              <w:rPr>
                <w:rFonts w:asciiTheme="minorEastAsia" w:hAnsiTheme="minorEastAsia" w:eastAsiaTheme="minorEastAsia"/>
                <w:color w:val="auto"/>
                <w:highlight w:val="none"/>
              </w:rPr>
            </w:pPr>
          </w:p>
          <w:p w14:paraId="622E46AC">
            <w:pPr>
              <w:pStyle w:val="20"/>
              <w:ind w:left="0" w:leftChars="0" w:firstLine="0" w:firstLineChars="0"/>
              <w:rPr>
                <w:color w:val="auto"/>
                <w:highlight w:val="none"/>
              </w:rPr>
            </w:pPr>
            <w:r>
              <w:rPr>
                <w:rFonts w:hint="eastAsia"/>
                <w:color w:val="auto"/>
                <w:highlight w:val="none"/>
                <w:lang w:val="en-US" w:eastAsia="zh-CN"/>
              </w:rPr>
              <w:t>2</w:t>
            </w:r>
            <w:r>
              <w:rPr>
                <w:color w:val="auto"/>
                <w:highlight w:val="none"/>
              </w:rPr>
              <w:t>.2.4</w:t>
            </w:r>
            <w:r>
              <w:rPr>
                <w:color w:val="auto"/>
                <w:spacing w:val="1"/>
                <w:highlight w:val="none"/>
              </w:rPr>
              <w:t xml:space="preserve"> </w:t>
            </w:r>
            <w:r>
              <w:rPr>
                <w:color w:val="auto"/>
                <w:spacing w:val="-7"/>
                <w:highlight w:val="none"/>
              </w:rPr>
              <w:t>（1）</w:t>
            </w:r>
          </w:p>
        </w:tc>
        <w:tc>
          <w:tcPr>
            <w:tcW w:w="1399" w:type="dxa"/>
          </w:tcPr>
          <w:p w14:paraId="77836AE0">
            <w:pPr>
              <w:spacing w:line="246" w:lineRule="auto"/>
              <w:rPr>
                <w:rFonts w:asciiTheme="minorEastAsia" w:hAnsiTheme="minorEastAsia" w:eastAsiaTheme="minorEastAsia"/>
                <w:color w:val="auto"/>
                <w:highlight w:val="none"/>
              </w:rPr>
            </w:pPr>
          </w:p>
          <w:p w14:paraId="4676A9B7">
            <w:pPr>
              <w:spacing w:line="246" w:lineRule="auto"/>
              <w:rPr>
                <w:rFonts w:asciiTheme="minorEastAsia" w:hAnsiTheme="minorEastAsia" w:eastAsiaTheme="minorEastAsia"/>
                <w:color w:val="auto"/>
                <w:highlight w:val="none"/>
              </w:rPr>
            </w:pPr>
          </w:p>
          <w:p w14:paraId="5B25C169">
            <w:pPr>
              <w:spacing w:line="246" w:lineRule="auto"/>
              <w:rPr>
                <w:rFonts w:asciiTheme="minorEastAsia" w:hAnsiTheme="minorEastAsia" w:eastAsiaTheme="minorEastAsia"/>
                <w:color w:val="auto"/>
                <w:highlight w:val="none"/>
              </w:rPr>
            </w:pPr>
          </w:p>
          <w:p w14:paraId="55F72563">
            <w:pPr>
              <w:spacing w:line="246" w:lineRule="auto"/>
              <w:rPr>
                <w:rFonts w:asciiTheme="minorEastAsia" w:hAnsiTheme="minorEastAsia" w:eastAsiaTheme="minorEastAsia"/>
                <w:color w:val="auto"/>
                <w:highlight w:val="none"/>
              </w:rPr>
            </w:pPr>
          </w:p>
          <w:p w14:paraId="5E620E74">
            <w:pPr>
              <w:spacing w:line="246" w:lineRule="auto"/>
              <w:rPr>
                <w:rFonts w:asciiTheme="minorEastAsia" w:hAnsiTheme="minorEastAsia" w:eastAsiaTheme="minorEastAsia"/>
                <w:color w:val="auto"/>
                <w:highlight w:val="none"/>
              </w:rPr>
            </w:pPr>
          </w:p>
          <w:p w14:paraId="50D727CE">
            <w:pPr>
              <w:spacing w:line="246" w:lineRule="auto"/>
              <w:rPr>
                <w:rFonts w:asciiTheme="minorEastAsia" w:hAnsiTheme="minorEastAsia" w:eastAsiaTheme="minorEastAsia"/>
                <w:color w:val="auto"/>
                <w:highlight w:val="none"/>
              </w:rPr>
            </w:pPr>
          </w:p>
          <w:p w14:paraId="71F76FD5">
            <w:pPr>
              <w:spacing w:line="246" w:lineRule="auto"/>
              <w:rPr>
                <w:rFonts w:asciiTheme="minorEastAsia" w:hAnsiTheme="minorEastAsia" w:eastAsiaTheme="minorEastAsia"/>
                <w:color w:val="auto"/>
                <w:highlight w:val="none"/>
              </w:rPr>
            </w:pPr>
          </w:p>
          <w:p w14:paraId="7C0DB1F2">
            <w:pPr>
              <w:spacing w:line="246" w:lineRule="auto"/>
              <w:rPr>
                <w:rFonts w:asciiTheme="minorEastAsia" w:hAnsiTheme="minorEastAsia" w:eastAsiaTheme="minorEastAsia"/>
                <w:color w:val="auto"/>
                <w:highlight w:val="none"/>
              </w:rPr>
            </w:pPr>
          </w:p>
          <w:p w14:paraId="6AC0C96A">
            <w:pPr>
              <w:pStyle w:val="20"/>
              <w:ind w:left="440" w:leftChars="0" w:firstLine="0" w:firstLineChars="0"/>
              <w:jc w:val="left"/>
              <w:rPr>
                <w:color w:val="auto"/>
                <w:highlight w:val="none"/>
              </w:rPr>
            </w:pPr>
            <w:r>
              <w:rPr>
                <w:color w:val="auto"/>
                <w:spacing w:val="-4"/>
                <w:highlight w:val="none"/>
              </w:rPr>
              <w:t>投标报价</w:t>
            </w:r>
            <w:r>
              <w:rPr>
                <w:color w:val="auto"/>
                <w:spacing w:val="2"/>
                <w:highlight w:val="none"/>
              </w:rPr>
              <w:t xml:space="preserve"> </w:t>
            </w:r>
            <w:r>
              <w:rPr>
                <w:color w:val="auto"/>
                <w:highlight w:val="none"/>
              </w:rPr>
              <w:t>（满分30</w:t>
            </w:r>
            <w:r>
              <w:rPr>
                <w:color w:val="auto"/>
                <w:spacing w:val="1"/>
                <w:highlight w:val="none"/>
              </w:rPr>
              <w:t xml:space="preserve"> </w:t>
            </w:r>
            <w:r>
              <w:rPr>
                <w:color w:val="auto"/>
                <w:spacing w:val="-7"/>
                <w:highlight w:val="none"/>
              </w:rPr>
              <w:t>分）</w:t>
            </w:r>
          </w:p>
        </w:tc>
        <w:tc>
          <w:tcPr>
            <w:tcW w:w="2395" w:type="dxa"/>
          </w:tcPr>
          <w:p w14:paraId="743F0B7E">
            <w:pPr>
              <w:spacing w:line="253" w:lineRule="auto"/>
              <w:rPr>
                <w:rFonts w:asciiTheme="minorEastAsia" w:hAnsiTheme="minorEastAsia" w:eastAsiaTheme="minorEastAsia"/>
                <w:color w:val="auto"/>
                <w:highlight w:val="none"/>
              </w:rPr>
            </w:pPr>
          </w:p>
          <w:p w14:paraId="6E7547B1">
            <w:pPr>
              <w:spacing w:line="253" w:lineRule="auto"/>
              <w:rPr>
                <w:rFonts w:asciiTheme="minorEastAsia" w:hAnsiTheme="minorEastAsia" w:eastAsiaTheme="minorEastAsia"/>
                <w:color w:val="auto"/>
                <w:highlight w:val="none"/>
              </w:rPr>
            </w:pPr>
          </w:p>
          <w:p w14:paraId="6FB485A9">
            <w:pPr>
              <w:spacing w:line="253" w:lineRule="auto"/>
              <w:rPr>
                <w:rFonts w:asciiTheme="minorEastAsia" w:hAnsiTheme="minorEastAsia" w:eastAsiaTheme="minorEastAsia"/>
                <w:color w:val="auto"/>
                <w:highlight w:val="none"/>
              </w:rPr>
            </w:pPr>
          </w:p>
          <w:p w14:paraId="7FE1C156">
            <w:pPr>
              <w:spacing w:line="253" w:lineRule="auto"/>
              <w:rPr>
                <w:rFonts w:asciiTheme="minorEastAsia" w:hAnsiTheme="minorEastAsia" w:eastAsiaTheme="minorEastAsia"/>
                <w:color w:val="auto"/>
                <w:highlight w:val="none"/>
              </w:rPr>
            </w:pPr>
          </w:p>
          <w:p w14:paraId="3DFDBE26">
            <w:pPr>
              <w:spacing w:line="253" w:lineRule="auto"/>
              <w:rPr>
                <w:rFonts w:asciiTheme="minorEastAsia" w:hAnsiTheme="minorEastAsia" w:eastAsiaTheme="minorEastAsia"/>
                <w:color w:val="auto"/>
                <w:highlight w:val="none"/>
              </w:rPr>
            </w:pPr>
          </w:p>
          <w:p w14:paraId="4D7D39AE">
            <w:pPr>
              <w:spacing w:line="253" w:lineRule="auto"/>
              <w:rPr>
                <w:rFonts w:asciiTheme="minorEastAsia" w:hAnsiTheme="minorEastAsia" w:eastAsiaTheme="minorEastAsia"/>
                <w:color w:val="auto"/>
                <w:highlight w:val="none"/>
              </w:rPr>
            </w:pPr>
          </w:p>
          <w:p w14:paraId="086B262F">
            <w:pPr>
              <w:spacing w:line="253" w:lineRule="auto"/>
              <w:rPr>
                <w:rFonts w:asciiTheme="minorEastAsia" w:hAnsiTheme="minorEastAsia" w:eastAsiaTheme="minorEastAsia"/>
                <w:color w:val="auto"/>
                <w:highlight w:val="none"/>
              </w:rPr>
            </w:pPr>
          </w:p>
          <w:p w14:paraId="76425F27">
            <w:pPr>
              <w:spacing w:line="253" w:lineRule="auto"/>
              <w:rPr>
                <w:rFonts w:asciiTheme="minorEastAsia" w:hAnsiTheme="minorEastAsia" w:eastAsiaTheme="minorEastAsia"/>
                <w:color w:val="auto"/>
                <w:highlight w:val="none"/>
              </w:rPr>
            </w:pPr>
          </w:p>
          <w:p w14:paraId="61B0C738">
            <w:pPr>
              <w:spacing w:line="253" w:lineRule="auto"/>
              <w:rPr>
                <w:rFonts w:asciiTheme="minorEastAsia" w:hAnsiTheme="minorEastAsia" w:eastAsiaTheme="minorEastAsia"/>
                <w:color w:val="auto"/>
                <w:highlight w:val="none"/>
              </w:rPr>
            </w:pPr>
          </w:p>
          <w:p w14:paraId="45EB690C">
            <w:pPr>
              <w:pStyle w:val="20"/>
              <w:ind w:left="440" w:leftChars="0" w:firstLine="0" w:firstLineChars="0"/>
              <w:rPr>
                <w:color w:val="auto"/>
                <w:highlight w:val="none"/>
              </w:rPr>
            </w:pPr>
            <w:r>
              <w:rPr>
                <w:color w:val="auto"/>
                <w:highlight w:val="none"/>
              </w:rPr>
              <w:t>投标报价（30分）</w:t>
            </w:r>
          </w:p>
        </w:tc>
        <w:tc>
          <w:tcPr>
            <w:tcW w:w="4624" w:type="dxa"/>
          </w:tcPr>
          <w:p w14:paraId="06B2CEED">
            <w:pPr>
              <w:pStyle w:val="20"/>
              <w:numPr>
                <w:ilvl w:val="0"/>
                <w:numId w:val="4"/>
              </w:numPr>
              <w:ind w:left="220" w:leftChars="0" w:firstLine="0" w:firstLineChars="0"/>
              <w:rPr>
                <w:color w:val="auto"/>
                <w:highlight w:val="none"/>
              </w:rPr>
            </w:pPr>
            <w:r>
              <w:rPr>
                <w:color w:val="auto"/>
                <w:spacing w:val="-2"/>
                <w:highlight w:val="none"/>
              </w:rPr>
              <w:t>满足招标文件要求且投标价格最低的</w:t>
            </w:r>
            <w:r>
              <w:rPr>
                <w:color w:val="auto"/>
                <w:spacing w:val="7"/>
                <w:highlight w:val="none"/>
              </w:rPr>
              <w:t xml:space="preserve"> </w:t>
            </w:r>
            <w:r>
              <w:rPr>
                <w:color w:val="auto"/>
                <w:highlight w:val="none"/>
              </w:rPr>
              <w:t>投标报价为评标基准价,其价格分为满分</w:t>
            </w:r>
            <w:r>
              <w:rPr>
                <w:color w:val="auto"/>
                <w:spacing w:val="5"/>
                <w:highlight w:val="none"/>
              </w:rPr>
              <w:t xml:space="preserve"> </w:t>
            </w:r>
            <w:r>
              <w:rPr>
                <w:color w:val="auto"/>
                <w:highlight w:val="none"/>
              </w:rPr>
              <w:t>。其余各投标人的投标报价得分=评标基准价</w:t>
            </w:r>
            <w:r>
              <w:rPr>
                <w:rFonts w:hint="eastAsia"/>
                <w:color w:val="auto"/>
                <w:highlight w:val="none"/>
                <w:lang w:eastAsia="zh-CN"/>
              </w:rPr>
              <w:t>/</w:t>
            </w:r>
            <w:r>
              <w:rPr>
                <w:color w:val="auto"/>
                <w:highlight w:val="none"/>
              </w:rPr>
              <w:t>投标报价×30 分。2.价格扣除：供应商为小微企业的，则给</w:t>
            </w:r>
            <w:r>
              <w:rPr>
                <w:color w:val="auto"/>
                <w:spacing w:val="5"/>
                <w:highlight w:val="none"/>
              </w:rPr>
              <w:t xml:space="preserve"> </w:t>
            </w:r>
            <w:r>
              <w:rPr>
                <w:color w:val="auto"/>
                <w:highlight w:val="none"/>
              </w:rPr>
              <w:t>予总报价15%的扣除，用扣除后的价格参</w:t>
            </w:r>
            <w:r>
              <w:rPr>
                <w:color w:val="auto"/>
                <w:spacing w:val="4"/>
                <w:highlight w:val="none"/>
              </w:rPr>
              <w:t xml:space="preserve">  </w:t>
            </w:r>
            <w:r>
              <w:rPr>
                <w:color w:val="auto"/>
                <w:highlight w:val="none"/>
              </w:rPr>
              <w:t>与评审。参加投标的中小企业，应当按照</w:t>
            </w:r>
            <w:r>
              <w:rPr>
                <w:color w:val="auto"/>
                <w:spacing w:val="8"/>
                <w:highlight w:val="none"/>
              </w:rPr>
              <w:t xml:space="preserve"> </w:t>
            </w:r>
            <w:r>
              <w:rPr>
                <w:color w:val="auto"/>
                <w:highlight w:val="none"/>
              </w:rPr>
              <w:t>《政府采购促进中小企业发展管理办法》 （财库〔2020〕46号）的规定提供《中小</w:t>
            </w:r>
            <w:r>
              <w:rPr>
                <w:color w:val="auto"/>
                <w:spacing w:val="11"/>
                <w:highlight w:val="none"/>
              </w:rPr>
              <w:t xml:space="preserve"> </w:t>
            </w:r>
            <w:r>
              <w:rPr>
                <w:color w:val="auto"/>
                <w:highlight w:val="none"/>
              </w:rPr>
              <w:t>企业声明函》（依据国务院批准的中小企</w:t>
            </w:r>
            <w:r>
              <w:rPr>
                <w:color w:val="auto"/>
                <w:spacing w:val="8"/>
                <w:highlight w:val="none"/>
              </w:rPr>
              <w:t xml:space="preserve"> </w:t>
            </w:r>
            <w:r>
              <w:rPr>
                <w:color w:val="auto"/>
                <w:highlight w:val="none"/>
              </w:rPr>
              <w:t>业划分标准确定的中型企业、小型企业和</w:t>
            </w:r>
            <w:r>
              <w:rPr>
                <w:color w:val="auto"/>
                <w:spacing w:val="8"/>
                <w:highlight w:val="none"/>
              </w:rPr>
              <w:t xml:space="preserve"> </w:t>
            </w:r>
            <w:r>
              <w:rPr>
                <w:color w:val="auto"/>
                <w:highlight w:val="none"/>
              </w:rPr>
              <w:t>微型企业，但与大企业的负责人为同一人</w:t>
            </w:r>
            <w:r>
              <w:rPr>
                <w:color w:val="auto"/>
                <w:spacing w:val="8"/>
                <w:highlight w:val="none"/>
              </w:rPr>
              <w:t xml:space="preserve"> </w:t>
            </w:r>
            <w:r>
              <w:rPr>
                <w:color w:val="auto"/>
                <w:spacing w:val="-5"/>
                <w:highlight w:val="none"/>
              </w:rPr>
              <w:t>,</w:t>
            </w:r>
            <w:r>
              <w:rPr>
                <w:color w:val="auto"/>
                <w:spacing w:val="80"/>
                <w:highlight w:val="none"/>
              </w:rPr>
              <w:t xml:space="preserve"> </w:t>
            </w:r>
            <w:r>
              <w:rPr>
                <w:color w:val="auto"/>
                <w:spacing w:val="-5"/>
                <w:highlight w:val="none"/>
              </w:rPr>
              <w:t>或者与大企业存在直接控股、管理关系</w:t>
            </w:r>
            <w:r>
              <w:rPr>
                <w:color w:val="auto"/>
                <w:highlight w:val="none"/>
              </w:rPr>
              <w:t xml:space="preserve"> </w:t>
            </w:r>
            <w:r>
              <w:rPr>
                <w:color w:val="auto"/>
                <w:spacing w:val="-2"/>
                <w:highlight w:val="none"/>
              </w:rPr>
              <w:t>的除外）。</w:t>
            </w:r>
            <w:r>
              <w:rPr>
                <w:color w:val="auto"/>
                <w:highlight w:val="none"/>
              </w:rPr>
              <w:t>根据财政部司法部《关于政府采购支持监</w:t>
            </w:r>
            <w:r>
              <w:rPr>
                <w:color w:val="auto"/>
                <w:spacing w:val="7"/>
                <w:highlight w:val="none"/>
              </w:rPr>
              <w:t xml:space="preserve"> </w:t>
            </w:r>
            <w:r>
              <w:rPr>
                <w:color w:val="auto"/>
                <w:highlight w:val="none"/>
              </w:rPr>
              <w:t>狱企业发展有关问题的通知》（财库〔20</w:t>
            </w:r>
            <w:r>
              <w:rPr>
                <w:color w:val="auto"/>
                <w:spacing w:val="-2"/>
                <w:highlight w:val="none"/>
              </w:rPr>
              <w:t>14〕68号）和财政部民政部中国残疾人联</w:t>
            </w:r>
            <w:r>
              <w:rPr>
                <w:color w:val="auto"/>
                <w:spacing w:val="11"/>
                <w:highlight w:val="none"/>
              </w:rPr>
              <w:t xml:space="preserve"> </w:t>
            </w:r>
            <w:r>
              <w:rPr>
                <w:color w:val="auto"/>
                <w:highlight w:val="none"/>
              </w:rPr>
              <w:t>合会《关于促进残疾人就业政府采购政策</w:t>
            </w:r>
            <w:r>
              <w:rPr>
                <w:color w:val="auto"/>
                <w:spacing w:val="6"/>
                <w:highlight w:val="none"/>
              </w:rPr>
              <w:t xml:space="preserve"> </w:t>
            </w:r>
            <w:r>
              <w:rPr>
                <w:color w:val="auto"/>
                <w:highlight w:val="none"/>
              </w:rPr>
              <w:t>的通知》（财库〔2017〕141号）规定，本项目对监狱企业、残疾人福利企业作为</w:t>
            </w:r>
            <w:r>
              <w:rPr>
                <w:color w:val="auto"/>
                <w:spacing w:val="6"/>
                <w:highlight w:val="none"/>
              </w:rPr>
              <w:t xml:space="preserve"> </w:t>
            </w:r>
            <w:r>
              <w:rPr>
                <w:color w:val="auto"/>
                <w:highlight w:val="none"/>
              </w:rPr>
              <w:t>供应商所提供的服务的给予15%的扣除。【供应商需提供中小企业认定证书或监狱</w:t>
            </w:r>
            <w:r>
              <w:rPr>
                <w:color w:val="auto"/>
                <w:spacing w:val="13"/>
                <w:highlight w:val="none"/>
              </w:rPr>
              <w:t xml:space="preserve"> </w:t>
            </w:r>
            <w:r>
              <w:rPr>
                <w:color w:val="auto"/>
                <w:highlight w:val="none"/>
              </w:rPr>
              <w:t>企业、残疾人福利企业相关证明文件】，</w:t>
            </w:r>
            <w:r>
              <w:rPr>
                <w:color w:val="auto"/>
                <w:spacing w:val="3"/>
                <w:highlight w:val="none"/>
              </w:rPr>
              <w:t xml:space="preserve"> </w:t>
            </w:r>
            <w:r>
              <w:rPr>
                <w:color w:val="auto"/>
                <w:spacing w:val="-2"/>
                <w:highlight w:val="none"/>
              </w:rPr>
              <w:t>否则不予认可。</w:t>
            </w:r>
            <w:r>
              <w:rPr>
                <w:color w:val="auto"/>
                <w:spacing w:val="-4"/>
                <w:highlight w:val="none"/>
              </w:rPr>
              <w:t>同一供应商（包括联合体</w:t>
            </w:r>
            <w:r>
              <w:rPr>
                <w:color w:val="auto"/>
                <w:spacing w:val="15"/>
                <w:highlight w:val="none"/>
              </w:rPr>
              <w:t>），</w:t>
            </w:r>
            <w:r>
              <w:rPr>
                <w:color w:val="auto"/>
                <w:spacing w:val="-4"/>
                <w:highlight w:val="none"/>
              </w:rPr>
              <w:t>小微企业、</w:t>
            </w:r>
            <w:r>
              <w:rPr>
                <w:color w:val="auto"/>
                <w:highlight w:val="none"/>
              </w:rPr>
              <w:t xml:space="preserve"> 监狱、残疾人福利企业价格扣除优惠只享</w:t>
            </w:r>
            <w:r>
              <w:rPr>
                <w:color w:val="auto"/>
                <w:spacing w:val="6"/>
                <w:highlight w:val="none"/>
              </w:rPr>
              <w:t xml:space="preserve"> </w:t>
            </w:r>
            <w:r>
              <w:rPr>
                <w:color w:val="auto"/>
                <w:highlight w:val="none"/>
              </w:rPr>
              <w:t>受一次，不得重复享受。</w:t>
            </w:r>
          </w:p>
          <w:p w14:paraId="494E4038">
            <w:pPr>
              <w:pStyle w:val="20"/>
              <w:numPr>
                <w:ilvl w:val="0"/>
                <w:numId w:val="0"/>
              </w:numPr>
              <w:rPr>
                <w:rFonts w:hint="default" w:eastAsia="宋体"/>
                <w:color w:val="auto"/>
                <w:highlight w:val="none"/>
                <w:lang w:val="en-US" w:eastAsia="zh-CN"/>
              </w:rPr>
            </w:pPr>
            <w:r>
              <w:rPr>
                <w:rFonts w:hint="eastAsia"/>
                <w:b/>
                <w:bCs/>
                <w:color w:val="auto"/>
                <w:highlight w:val="none"/>
                <w:lang w:val="en-US" w:eastAsia="zh-CN"/>
              </w:rPr>
              <w:t>（专门面向中小企业的项目除外)</w:t>
            </w:r>
          </w:p>
        </w:tc>
      </w:tr>
    </w:tbl>
    <w:p w14:paraId="59B74A98">
      <w:pPr>
        <w:rPr>
          <w:rFonts w:asciiTheme="minorEastAsia" w:hAnsiTheme="minorEastAsia" w:eastAsiaTheme="minorEastAsia"/>
          <w:color w:val="auto"/>
          <w:highlight w:val="none"/>
        </w:rPr>
        <w:sectPr>
          <w:footerReference r:id="rId6" w:type="default"/>
          <w:pgSz w:w="11907" w:h="16840"/>
          <w:pgMar w:top="1426" w:right="841" w:bottom="1008" w:left="1129" w:header="0" w:footer="838" w:gutter="0"/>
          <w:cols w:space="720" w:num="1"/>
        </w:sectPr>
      </w:pPr>
    </w:p>
    <w:tbl>
      <w:tblPr>
        <w:tblStyle w:val="21"/>
        <w:tblpPr w:leftFromText="180" w:rightFromText="180" w:vertAnchor="text" w:horzAnchor="page" w:tblpXSpec="center" w:tblpY="6"/>
        <w:tblOverlap w:val="never"/>
        <w:tblW w:w="920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8"/>
        <w:gridCol w:w="878"/>
        <w:gridCol w:w="2349"/>
        <w:gridCol w:w="5061"/>
      </w:tblGrid>
      <w:tr w14:paraId="233ACB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jc w:val="center"/>
        </w:trPr>
        <w:tc>
          <w:tcPr>
            <w:tcW w:w="918" w:type="dxa"/>
            <w:vMerge w:val="restart"/>
          </w:tcPr>
          <w:p w14:paraId="22EFA5DA">
            <w:pPr>
              <w:spacing w:line="243" w:lineRule="auto"/>
              <w:rPr>
                <w:color w:val="auto"/>
                <w:highlight w:val="none"/>
              </w:rPr>
            </w:pPr>
          </w:p>
          <w:p w14:paraId="3195A129">
            <w:pPr>
              <w:spacing w:line="243" w:lineRule="auto"/>
              <w:rPr>
                <w:color w:val="auto"/>
                <w:highlight w:val="none"/>
              </w:rPr>
            </w:pPr>
          </w:p>
          <w:p w14:paraId="51740A80">
            <w:pPr>
              <w:spacing w:line="243" w:lineRule="auto"/>
              <w:rPr>
                <w:color w:val="auto"/>
                <w:highlight w:val="none"/>
              </w:rPr>
            </w:pPr>
          </w:p>
          <w:p w14:paraId="056440CC">
            <w:pPr>
              <w:spacing w:line="243" w:lineRule="auto"/>
              <w:rPr>
                <w:color w:val="auto"/>
                <w:highlight w:val="none"/>
              </w:rPr>
            </w:pPr>
          </w:p>
          <w:p w14:paraId="71DAA629">
            <w:pPr>
              <w:spacing w:line="243" w:lineRule="auto"/>
              <w:rPr>
                <w:color w:val="auto"/>
                <w:highlight w:val="none"/>
              </w:rPr>
            </w:pPr>
          </w:p>
          <w:p w14:paraId="2048E819">
            <w:pPr>
              <w:spacing w:line="243" w:lineRule="auto"/>
              <w:rPr>
                <w:color w:val="auto"/>
                <w:highlight w:val="none"/>
              </w:rPr>
            </w:pPr>
          </w:p>
          <w:p w14:paraId="1E015918">
            <w:pPr>
              <w:spacing w:line="243" w:lineRule="auto"/>
              <w:rPr>
                <w:color w:val="auto"/>
                <w:highlight w:val="none"/>
              </w:rPr>
            </w:pPr>
          </w:p>
          <w:p w14:paraId="1A95C6AE">
            <w:pPr>
              <w:spacing w:line="243" w:lineRule="auto"/>
              <w:rPr>
                <w:color w:val="auto"/>
                <w:highlight w:val="none"/>
              </w:rPr>
            </w:pPr>
          </w:p>
          <w:p w14:paraId="05C603AC">
            <w:pPr>
              <w:spacing w:line="243" w:lineRule="auto"/>
              <w:rPr>
                <w:color w:val="auto"/>
                <w:highlight w:val="none"/>
              </w:rPr>
            </w:pPr>
          </w:p>
          <w:p w14:paraId="356ABBF1">
            <w:pPr>
              <w:spacing w:line="243" w:lineRule="auto"/>
              <w:rPr>
                <w:color w:val="auto"/>
                <w:highlight w:val="none"/>
              </w:rPr>
            </w:pPr>
          </w:p>
          <w:p w14:paraId="047EFF1D">
            <w:pPr>
              <w:spacing w:line="243" w:lineRule="auto"/>
              <w:rPr>
                <w:color w:val="auto"/>
                <w:highlight w:val="none"/>
              </w:rPr>
            </w:pPr>
          </w:p>
          <w:p w14:paraId="5A1207AE">
            <w:pPr>
              <w:spacing w:line="243" w:lineRule="auto"/>
              <w:rPr>
                <w:color w:val="auto"/>
                <w:highlight w:val="none"/>
              </w:rPr>
            </w:pPr>
          </w:p>
          <w:p w14:paraId="5865FC33">
            <w:pPr>
              <w:spacing w:line="244" w:lineRule="auto"/>
              <w:rPr>
                <w:color w:val="auto"/>
                <w:highlight w:val="none"/>
              </w:rPr>
            </w:pPr>
          </w:p>
          <w:p w14:paraId="439D7215">
            <w:pPr>
              <w:spacing w:line="244" w:lineRule="auto"/>
              <w:rPr>
                <w:color w:val="auto"/>
                <w:highlight w:val="none"/>
              </w:rPr>
            </w:pPr>
          </w:p>
          <w:p w14:paraId="30445D56">
            <w:pPr>
              <w:spacing w:line="244" w:lineRule="auto"/>
              <w:rPr>
                <w:color w:val="auto"/>
                <w:highlight w:val="none"/>
              </w:rPr>
            </w:pPr>
          </w:p>
          <w:p w14:paraId="1FB87902">
            <w:pPr>
              <w:pStyle w:val="20"/>
              <w:ind w:left="0" w:leftChars="0" w:firstLine="0" w:firstLineChars="0"/>
              <w:rPr>
                <w:color w:val="auto"/>
                <w:highlight w:val="none"/>
              </w:rPr>
            </w:pPr>
            <w:r>
              <w:rPr>
                <w:rFonts w:hint="eastAsia"/>
                <w:color w:val="auto"/>
                <w:highlight w:val="none"/>
                <w:lang w:val="en-US" w:eastAsia="zh-CN"/>
              </w:rPr>
              <w:t>2.</w:t>
            </w:r>
            <w:r>
              <w:rPr>
                <w:color w:val="auto"/>
                <w:highlight w:val="none"/>
              </w:rPr>
              <w:t>2.4</w:t>
            </w:r>
            <w:r>
              <w:rPr>
                <w:color w:val="auto"/>
                <w:spacing w:val="1"/>
                <w:highlight w:val="none"/>
              </w:rPr>
              <w:t xml:space="preserve"> </w:t>
            </w:r>
            <w:r>
              <w:rPr>
                <w:color w:val="auto"/>
                <w:spacing w:val="-7"/>
                <w:highlight w:val="none"/>
              </w:rPr>
              <w:t>（2）</w:t>
            </w:r>
          </w:p>
        </w:tc>
        <w:tc>
          <w:tcPr>
            <w:tcW w:w="878" w:type="dxa"/>
            <w:vMerge w:val="restart"/>
          </w:tcPr>
          <w:p w14:paraId="7F73967E">
            <w:pPr>
              <w:spacing w:line="241" w:lineRule="auto"/>
              <w:rPr>
                <w:color w:val="auto"/>
                <w:highlight w:val="none"/>
              </w:rPr>
            </w:pPr>
          </w:p>
          <w:p w14:paraId="7CC337F5">
            <w:pPr>
              <w:spacing w:line="241" w:lineRule="auto"/>
              <w:rPr>
                <w:color w:val="auto"/>
                <w:highlight w:val="none"/>
              </w:rPr>
            </w:pPr>
          </w:p>
          <w:p w14:paraId="0AA94644">
            <w:pPr>
              <w:spacing w:line="241" w:lineRule="auto"/>
              <w:rPr>
                <w:color w:val="auto"/>
                <w:highlight w:val="none"/>
              </w:rPr>
            </w:pPr>
          </w:p>
          <w:p w14:paraId="3800FFF9">
            <w:pPr>
              <w:spacing w:line="241" w:lineRule="auto"/>
              <w:rPr>
                <w:color w:val="auto"/>
                <w:highlight w:val="none"/>
              </w:rPr>
            </w:pPr>
          </w:p>
          <w:p w14:paraId="71848BF5">
            <w:pPr>
              <w:spacing w:line="241" w:lineRule="auto"/>
              <w:rPr>
                <w:color w:val="auto"/>
                <w:highlight w:val="none"/>
              </w:rPr>
            </w:pPr>
          </w:p>
          <w:p w14:paraId="751267FB">
            <w:pPr>
              <w:spacing w:line="241" w:lineRule="auto"/>
              <w:rPr>
                <w:color w:val="auto"/>
                <w:highlight w:val="none"/>
              </w:rPr>
            </w:pPr>
          </w:p>
          <w:p w14:paraId="3194FB8E">
            <w:pPr>
              <w:spacing w:line="241" w:lineRule="auto"/>
              <w:rPr>
                <w:color w:val="auto"/>
                <w:highlight w:val="none"/>
              </w:rPr>
            </w:pPr>
          </w:p>
          <w:p w14:paraId="334BF731">
            <w:pPr>
              <w:spacing w:line="241" w:lineRule="auto"/>
              <w:rPr>
                <w:color w:val="auto"/>
                <w:highlight w:val="none"/>
              </w:rPr>
            </w:pPr>
          </w:p>
          <w:p w14:paraId="28ECBB41">
            <w:pPr>
              <w:spacing w:line="241" w:lineRule="auto"/>
              <w:rPr>
                <w:color w:val="auto"/>
                <w:highlight w:val="none"/>
              </w:rPr>
            </w:pPr>
          </w:p>
          <w:p w14:paraId="7454DD50">
            <w:pPr>
              <w:spacing w:line="241" w:lineRule="auto"/>
              <w:rPr>
                <w:color w:val="auto"/>
                <w:highlight w:val="none"/>
              </w:rPr>
            </w:pPr>
          </w:p>
          <w:p w14:paraId="6BCE7BB3">
            <w:pPr>
              <w:spacing w:line="242" w:lineRule="auto"/>
              <w:rPr>
                <w:color w:val="auto"/>
                <w:highlight w:val="none"/>
              </w:rPr>
            </w:pPr>
          </w:p>
          <w:p w14:paraId="5A44AD97">
            <w:pPr>
              <w:spacing w:line="242" w:lineRule="auto"/>
              <w:rPr>
                <w:color w:val="auto"/>
                <w:highlight w:val="none"/>
              </w:rPr>
            </w:pPr>
          </w:p>
          <w:p w14:paraId="56C1563B">
            <w:pPr>
              <w:spacing w:line="242" w:lineRule="auto"/>
              <w:rPr>
                <w:color w:val="auto"/>
                <w:highlight w:val="none"/>
              </w:rPr>
            </w:pPr>
          </w:p>
          <w:p w14:paraId="73B5E298">
            <w:pPr>
              <w:spacing w:line="242" w:lineRule="auto"/>
              <w:rPr>
                <w:color w:val="auto"/>
                <w:highlight w:val="none"/>
              </w:rPr>
            </w:pPr>
          </w:p>
          <w:p w14:paraId="12D598A0">
            <w:pPr>
              <w:spacing w:line="242" w:lineRule="auto"/>
              <w:rPr>
                <w:color w:val="auto"/>
                <w:highlight w:val="none"/>
              </w:rPr>
            </w:pPr>
          </w:p>
          <w:p w14:paraId="6464CD1D">
            <w:pPr>
              <w:spacing w:line="242" w:lineRule="auto"/>
              <w:rPr>
                <w:color w:val="auto"/>
                <w:highlight w:val="none"/>
              </w:rPr>
            </w:pPr>
          </w:p>
          <w:p w14:paraId="38630E1D">
            <w:pPr>
              <w:spacing w:line="242" w:lineRule="auto"/>
              <w:rPr>
                <w:color w:val="auto"/>
                <w:highlight w:val="none"/>
              </w:rPr>
            </w:pPr>
          </w:p>
          <w:p w14:paraId="4FEBF9A4">
            <w:pPr>
              <w:spacing w:line="242" w:lineRule="auto"/>
              <w:rPr>
                <w:color w:val="auto"/>
                <w:highlight w:val="none"/>
              </w:rPr>
            </w:pPr>
          </w:p>
          <w:p w14:paraId="5BB13002">
            <w:pPr>
              <w:spacing w:line="254" w:lineRule="auto"/>
              <w:rPr>
                <w:color w:val="auto"/>
                <w:highlight w:val="none"/>
              </w:rPr>
            </w:pPr>
          </w:p>
          <w:p w14:paraId="3AE826DF">
            <w:pPr>
              <w:spacing w:line="254" w:lineRule="auto"/>
              <w:rPr>
                <w:color w:val="auto"/>
                <w:highlight w:val="none"/>
              </w:rPr>
            </w:pPr>
          </w:p>
          <w:p w14:paraId="7E9777AC">
            <w:pPr>
              <w:spacing w:line="254" w:lineRule="auto"/>
              <w:ind w:left="220" w:leftChars="100" w:firstLine="0" w:firstLineChars="0"/>
              <w:rPr>
                <w:color w:val="auto"/>
                <w:highlight w:val="none"/>
              </w:rPr>
            </w:pPr>
            <w:r>
              <w:rPr>
                <w:rFonts w:hint="eastAsia" w:ascii="微软雅黑" w:hAnsi="微软雅黑" w:eastAsia="微软雅黑" w:cs="微软雅黑"/>
                <w:color w:val="auto"/>
                <w:highlight w:val="none"/>
              </w:rPr>
              <w:t>技术部分（</w:t>
            </w:r>
            <w:r>
              <w:rPr>
                <w:rFonts w:eastAsia="宋体"/>
                <w:color w:val="auto"/>
                <w:highlight w:val="none"/>
                <w:lang w:eastAsia="zh-CN"/>
              </w:rPr>
              <w:t>5</w:t>
            </w:r>
            <w:r>
              <w:rPr>
                <w:color w:val="auto"/>
                <w:highlight w:val="none"/>
              </w:rPr>
              <w:t>0</w:t>
            </w:r>
            <w:r>
              <w:rPr>
                <w:rFonts w:hint="eastAsia" w:ascii="微软雅黑" w:hAnsi="微软雅黑" w:eastAsia="微软雅黑" w:cs="微软雅黑"/>
                <w:color w:val="auto"/>
                <w:highlight w:val="none"/>
              </w:rPr>
              <w:t>分）</w:t>
            </w:r>
          </w:p>
        </w:tc>
        <w:tc>
          <w:tcPr>
            <w:tcW w:w="2349" w:type="dxa"/>
          </w:tcPr>
          <w:p w14:paraId="0439C447">
            <w:pPr>
              <w:spacing w:line="244" w:lineRule="auto"/>
              <w:jc w:val="center"/>
              <w:rPr>
                <w:color w:val="auto"/>
                <w:highlight w:val="none"/>
              </w:rPr>
            </w:pPr>
          </w:p>
          <w:p w14:paraId="795D8FEE">
            <w:pPr>
              <w:spacing w:line="244" w:lineRule="auto"/>
              <w:jc w:val="center"/>
              <w:rPr>
                <w:color w:val="auto"/>
                <w:highlight w:val="none"/>
              </w:rPr>
            </w:pPr>
          </w:p>
          <w:p w14:paraId="47760598">
            <w:pPr>
              <w:pStyle w:val="15"/>
              <w:rPr>
                <w:color w:val="auto"/>
                <w:highlight w:val="none"/>
              </w:rPr>
            </w:pPr>
          </w:p>
          <w:p w14:paraId="20DC90F6">
            <w:pPr>
              <w:pStyle w:val="20"/>
              <w:ind w:left="440" w:leftChars="0" w:firstLine="0" w:firstLineChars="0"/>
              <w:rPr>
                <w:color w:val="auto"/>
                <w:highlight w:val="none"/>
                <w:lang w:eastAsia="zh-CN"/>
              </w:rPr>
            </w:pPr>
            <w:r>
              <w:rPr>
                <w:rFonts w:hint="eastAsia"/>
                <w:color w:val="auto"/>
                <w:highlight w:val="none"/>
              </w:rPr>
              <w:t>履约能力与现有需求的配合能力</w:t>
            </w:r>
            <w:r>
              <w:rPr>
                <w:rFonts w:hint="eastAsia"/>
                <w:color w:val="auto"/>
                <w:highlight w:val="none"/>
                <w:lang w:eastAsia="zh-CN"/>
              </w:rPr>
              <w:t>（</w:t>
            </w:r>
            <w:r>
              <w:rPr>
                <w:color w:val="auto"/>
                <w:highlight w:val="none"/>
                <w:lang w:eastAsia="zh-CN"/>
              </w:rPr>
              <w:t>10</w:t>
            </w:r>
            <w:r>
              <w:rPr>
                <w:rFonts w:hint="eastAsia"/>
                <w:color w:val="auto"/>
                <w:highlight w:val="none"/>
                <w:lang w:eastAsia="zh-CN"/>
              </w:rPr>
              <w:t>分）</w:t>
            </w:r>
          </w:p>
        </w:tc>
        <w:tc>
          <w:tcPr>
            <w:tcW w:w="5061" w:type="dxa"/>
          </w:tcPr>
          <w:p w14:paraId="124D5ACA">
            <w:pPr>
              <w:pStyle w:val="20"/>
              <w:ind w:left="220" w:leftChars="0" w:firstLine="0" w:firstLineChars="0"/>
              <w:rPr>
                <w:color w:val="auto"/>
                <w:highlight w:val="none"/>
              </w:rPr>
            </w:pPr>
            <w:r>
              <w:rPr>
                <w:rFonts w:hint="eastAsia"/>
                <w:color w:val="auto"/>
                <w:highlight w:val="none"/>
              </w:rPr>
              <w:t>工作计划的效率性考查、对比各投标人履约能力与采购人的需求配合及工作计划的效率性等响应情况：投标人履约能力好，采购人的需求配合及工作计划的效率性高，得</w:t>
            </w:r>
            <w:r>
              <w:rPr>
                <w:color w:val="auto"/>
                <w:highlight w:val="none"/>
              </w:rPr>
              <w:t>10</w:t>
            </w:r>
            <w:r>
              <w:rPr>
                <w:rFonts w:hint="eastAsia"/>
                <w:color w:val="auto"/>
                <w:highlight w:val="none"/>
              </w:rPr>
              <w:t>分；投标人履约能力较好，采购人的需求配合及工作计划的效率性较高，得</w:t>
            </w:r>
            <w:r>
              <w:rPr>
                <w:color w:val="auto"/>
                <w:highlight w:val="none"/>
              </w:rPr>
              <w:t>8</w:t>
            </w:r>
            <w:r>
              <w:rPr>
                <w:rFonts w:hint="eastAsia"/>
                <w:color w:val="auto"/>
                <w:highlight w:val="none"/>
              </w:rPr>
              <w:t>分；投标人履约能力一般，采购人的需求配合及工作计划的效率性一般，得</w:t>
            </w:r>
            <w:r>
              <w:rPr>
                <w:color w:val="auto"/>
                <w:highlight w:val="none"/>
              </w:rPr>
              <w:t>3</w:t>
            </w:r>
            <w:r>
              <w:rPr>
                <w:rFonts w:hint="eastAsia"/>
                <w:color w:val="auto"/>
                <w:highlight w:val="none"/>
              </w:rPr>
              <w:t>分；投标人履约能力差，采购人的需求配合及工作计划的效率性差，得 0 分。</w:t>
            </w:r>
          </w:p>
        </w:tc>
      </w:tr>
      <w:tr w14:paraId="1F79B4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jc w:val="center"/>
        </w:trPr>
        <w:tc>
          <w:tcPr>
            <w:tcW w:w="918" w:type="dxa"/>
            <w:vMerge w:val="continue"/>
          </w:tcPr>
          <w:p w14:paraId="5BE5DA67">
            <w:pPr>
              <w:rPr>
                <w:color w:val="auto"/>
                <w:highlight w:val="none"/>
              </w:rPr>
            </w:pPr>
          </w:p>
        </w:tc>
        <w:tc>
          <w:tcPr>
            <w:tcW w:w="878" w:type="dxa"/>
            <w:vMerge w:val="continue"/>
          </w:tcPr>
          <w:p w14:paraId="6155A31F">
            <w:pPr>
              <w:rPr>
                <w:color w:val="auto"/>
                <w:highlight w:val="none"/>
              </w:rPr>
            </w:pPr>
          </w:p>
        </w:tc>
        <w:tc>
          <w:tcPr>
            <w:tcW w:w="2349" w:type="dxa"/>
          </w:tcPr>
          <w:p w14:paraId="4165FF2D">
            <w:pPr>
              <w:pStyle w:val="20"/>
              <w:rPr>
                <w:color w:val="auto"/>
                <w:highlight w:val="none"/>
              </w:rPr>
            </w:pPr>
          </w:p>
          <w:p w14:paraId="1EAFFBA5">
            <w:pPr>
              <w:pStyle w:val="20"/>
              <w:rPr>
                <w:color w:val="auto"/>
                <w:highlight w:val="none"/>
              </w:rPr>
            </w:pPr>
          </w:p>
          <w:p w14:paraId="3482B0D5">
            <w:pPr>
              <w:pStyle w:val="20"/>
              <w:ind w:left="440" w:leftChars="0" w:firstLine="0" w:firstLineChars="0"/>
              <w:rPr>
                <w:color w:val="auto"/>
                <w:highlight w:val="none"/>
                <w:lang w:eastAsia="zh-CN"/>
              </w:rPr>
            </w:pPr>
            <w:r>
              <w:rPr>
                <w:rFonts w:hint="eastAsia"/>
                <w:color w:val="auto"/>
                <w:highlight w:val="none"/>
              </w:rPr>
              <w:t>实施方案及技术</w:t>
            </w:r>
            <w:r>
              <w:rPr>
                <w:rFonts w:hint="eastAsia"/>
                <w:color w:val="auto"/>
                <w:highlight w:val="none"/>
                <w:lang w:eastAsia="zh-CN"/>
              </w:rPr>
              <w:t>(</w:t>
            </w:r>
            <w:r>
              <w:rPr>
                <w:color w:val="auto"/>
                <w:highlight w:val="none"/>
              </w:rPr>
              <w:t>10</w:t>
            </w:r>
            <w:r>
              <w:rPr>
                <w:rFonts w:hint="eastAsia"/>
                <w:color w:val="auto"/>
                <w:highlight w:val="none"/>
              </w:rPr>
              <w:t>分</w:t>
            </w:r>
            <w:r>
              <w:rPr>
                <w:rFonts w:hint="eastAsia"/>
                <w:color w:val="auto"/>
                <w:highlight w:val="none"/>
                <w:lang w:eastAsia="zh-CN"/>
              </w:rPr>
              <w:t>)</w:t>
            </w:r>
          </w:p>
        </w:tc>
        <w:tc>
          <w:tcPr>
            <w:tcW w:w="5061" w:type="dxa"/>
          </w:tcPr>
          <w:p w14:paraId="29EFF1DE">
            <w:pPr>
              <w:pStyle w:val="20"/>
              <w:ind w:left="220" w:leftChars="0" w:firstLine="0" w:firstLineChars="0"/>
              <w:rPr>
                <w:color w:val="auto"/>
                <w:highlight w:val="none"/>
                <w:lang w:eastAsia="zh-CN"/>
              </w:rPr>
            </w:pPr>
            <w:r>
              <w:rPr>
                <w:rFonts w:hint="eastAsia"/>
                <w:color w:val="auto"/>
                <w:highlight w:val="none"/>
              </w:rPr>
              <w:t>根据方案的完整性、合理性、可实施性等方面进行对比第一档：方案完整、逻辑清晰、全面，合理、规范，可行性强，完全满足采购人需求，得</w:t>
            </w:r>
            <w:r>
              <w:rPr>
                <w:color w:val="auto"/>
                <w:highlight w:val="none"/>
              </w:rPr>
              <w:t>10</w:t>
            </w:r>
            <w:r>
              <w:rPr>
                <w:rFonts w:hint="eastAsia"/>
                <w:color w:val="auto"/>
                <w:highlight w:val="none"/>
              </w:rPr>
              <w:t>分；第二档：实施方案基本完整、逻辑基本清晰、基本全面，合理、较为规范，基本完全满足采购人需求，得</w:t>
            </w:r>
            <w:r>
              <w:rPr>
                <w:color w:val="auto"/>
                <w:highlight w:val="none"/>
              </w:rPr>
              <w:t>8</w:t>
            </w:r>
            <w:r>
              <w:rPr>
                <w:rFonts w:hint="eastAsia"/>
                <w:color w:val="auto"/>
                <w:highlight w:val="none"/>
              </w:rPr>
              <w:t>分；第三档：实施方案基本完整、逻辑基本清晰、基本全面，合理、较为规范，方案不存在严重缺项得</w:t>
            </w:r>
            <w:r>
              <w:rPr>
                <w:color w:val="auto"/>
                <w:highlight w:val="none"/>
              </w:rPr>
              <w:t>5</w:t>
            </w:r>
            <w:r>
              <w:rPr>
                <w:rFonts w:hint="eastAsia"/>
                <w:color w:val="auto"/>
                <w:highlight w:val="none"/>
              </w:rPr>
              <w:t>分</w:t>
            </w:r>
            <w:r>
              <w:rPr>
                <w:color w:val="auto"/>
                <w:highlight w:val="none"/>
                <w:lang w:eastAsia="zh-CN"/>
              </w:rPr>
              <w:t>;</w:t>
            </w:r>
            <w:r>
              <w:rPr>
                <w:rFonts w:hint="eastAsia"/>
                <w:color w:val="auto"/>
                <w:highlight w:val="none"/>
                <w:lang w:eastAsia="zh-CN"/>
              </w:rPr>
              <w:t>第四档：</w:t>
            </w:r>
            <w:r>
              <w:rPr>
                <w:rFonts w:hint="eastAsia"/>
                <w:color w:val="auto"/>
                <w:highlight w:val="none"/>
              </w:rPr>
              <w:t>实施</w:t>
            </w:r>
            <w:r>
              <w:rPr>
                <w:rFonts w:hint="eastAsia"/>
                <w:color w:val="auto"/>
                <w:highlight w:val="none"/>
                <w:lang w:eastAsia="zh-CN"/>
              </w:rPr>
              <w:t>方案存在严重缺项或不提供，得</w:t>
            </w:r>
            <w:r>
              <w:rPr>
                <w:color w:val="auto"/>
                <w:highlight w:val="none"/>
                <w:lang w:eastAsia="zh-CN"/>
              </w:rPr>
              <w:t>0</w:t>
            </w:r>
            <w:r>
              <w:rPr>
                <w:rFonts w:hint="eastAsia"/>
                <w:color w:val="auto"/>
                <w:highlight w:val="none"/>
                <w:lang w:eastAsia="zh-CN"/>
              </w:rPr>
              <w:t>分</w:t>
            </w:r>
          </w:p>
        </w:tc>
      </w:tr>
      <w:tr w14:paraId="3DCFF0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918" w:type="dxa"/>
            <w:vMerge w:val="continue"/>
          </w:tcPr>
          <w:p w14:paraId="356D94A0">
            <w:pPr>
              <w:rPr>
                <w:color w:val="auto"/>
                <w:highlight w:val="none"/>
              </w:rPr>
            </w:pPr>
          </w:p>
        </w:tc>
        <w:tc>
          <w:tcPr>
            <w:tcW w:w="878" w:type="dxa"/>
            <w:vMerge w:val="continue"/>
          </w:tcPr>
          <w:p w14:paraId="4E527653">
            <w:pPr>
              <w:rPr>
                <w:color w:val="auto"/>
                <w:highlight w:val="none"/>
              </w:rPr>
            </w:pPr>
          </w:p>
        </w:tc>
        <w:tc>
          <w:tcPr>
            <w:tcW w:w="2349" w:type="dxa"/>
            <w:tcBorders>
              <w:bottom w:val="single" w:color="auto" w:sz="4" w:space="0"/>
            </w:tcBorders>
          </w:tcPr>
          <w:p w14:paraId="3C373DE2">
            <w:pPr>
              <w:spacing w:line="270" w:lineRule="auto"/>
              <w:jc w:val="center"/>
              <w:rPr>
                <w:color w:val="auto"/>
                <w:highlight w:val="none"/>
              </w:rPr>
            </w:pPr>
          </w:p>
          <w:p w14:paraId="6EC2B3B4">
            <w:pPr>
              <w:spacing w:line="271" w:lineRule="auto"/>
              <w:jc w:val="center"/>
              <w:rPr>
                <w:color w:val="auto"/>
                <w:highlight w:val="none"/>
              </w:rPr>
            </w:pPr>
          </w:p>
          <w:p w14:paraId="25B51A13">
            <w:pPr>
              <w:pStyle w:val="20"/>
              <w:ind w:left="440" w:leftChars="0" w:firstLine="0" w:firstLineChars="0"/>
              <w:rPr>
                <w:color w:val="auto"/>
                <w:highlight w:val="none"/>
                <w:lang w:eastAsia="zh-CN"/>
              </w:rPr>
            </w:pPr>
            <w:r>
              <w:rPr>
                <w:rFonts w:hint="eastAsia"/>
                <w:color w:val="auto"/>
                <w:highlight w:val="none"/>
              </w:rPr>
              <w:t>项目进度计划与措施</w:t>
            </w:r>
            <w:r>
              <w:rPr>
                <w:rFonts w:hint="eastAsia"/>
                <w:color w:val="auto"/>
                <w:highlight w:val="none"/>
                <w:lang w:eastAsia="zh-CN"/>
              </w:rPr>
              <w:t>(</w:t>
            </w:r>
            <w:r>
              <w:rPr>
                <w:color w:val="auto"/>
                <w:highlight w:val="none"/>
                <w:lang w:eastAsia="zh-CN"/>
              </w:rPr>
              <w:t>10</w:t>
            </w:r>
            <w:r>
              <w:rPr>
                <w:rFonts w:hint="eastAsia"/>
                <w:color w:val="auto"/>
                <w:highlight w:val="none"/>
                <w:lang w:eastAsia="zh-CN"/>
              </w:rPr>
              <w:t>分)</w:t>
            </w:r>
          </w:p>
        </w:tc>
        <w:tc>
          <w:tcPr>
            <w:tcW w:w="5061" w:type="dxa"/>
            <w:tcBorders>
              <w:bottom w:val="single" w:color="auto" w:sz="4" w:space="0"/>
            </w:tcBorders>
          </w:tcPr>
          <w:p w14:paraId="493EBA49">
            <w:pPr>
              <w:pStyle w:val="20"/>
              <w:ind w:left="220" w:leftChars="0" w:firstLine="0" w:firstLineChars="0"/>
              <w:rPr>
                <w:color w:val="auto"/>
                <w:highlight w:val="none"/>
              </w:rPr>
            </w:pPr>
            <w:r>
              <w:rPr>
                <w:rFonts w:hint="eastAsia"/>
                <w:color w:val="auto"/>
                <w:highlight w:val="none"/>
              </w:rPr>
              <w:t>根据计划与措施是否合理、科学等方面进行对比第一档：项目进度计划与措施方案完整、逻辑清晰、全面，合理、规范，可行性强，完全满足采购人需求，得</w:t>
            </w:r>
            <w:r>
              <w:rPr>
                <w:color w:val="auto"/>
                <w:highlight w:val="none"/>
              </w:rPr>
              <w:t>10</w:t>
            </w:r>
            <w:r>
              <w:rPr>
                <w:rFonts w:hint="eastAsia"/>
                <w:color w:val="auto"/>
                <w:highlight w:val="none"/>
              </w:rPr>
              <w:t>分；第二档：项目进度计划与措施方案基本完整、逻辑基本清晰、基本全面，合理、较为规范，基本满足采购人需求，得</w:t>
            </w:r>
            <w:r>
              <w:rPr>
                <w:color w:val="auto"/>
                <w:highlight w:val="none"/>
              </w:rPr>
              <w:t>8</w:t>
            </w:r>
            <w:r>
              <w:rPr>
                <w:rFonts w:hint="eastAsia"/>
                <w:color w:val="auto"/>
                <w:highlight w:val="none"/>
              </w:rPr>
              <w:t>分；第三档：项目进度计划与措施方案基本完整、逻辑基本清晰、基本全面，合理、较为规范，方案不存在严重缺项得</w:t>
            </w:r>
            <w:r>
              <w:rPr>
                <w:color w:val="auto"/>
                <w:highlight w:val="none"/>
              </w:rPr>
              <w:t>5</w:t>
            </w:r>
            <w:r>
              <w:rPr>
                <w:rFonts w:hint="eastAsia"/>
                <w:color w:val="auto"/>
                <w:highlight w:val="none"/>
              </w:rPr>
              <w:t>分；第四档：项目进度计划与措施方案存在严重缺项或不提供，得</w:t>
            </w:r>
            <w:r>
              <w:rPr>
                <w:color w:val="auto"/>
                <w:highlight w:val="none"/>
              </w:rPr>
              <w:t>0</w:t>
            </w:r>
            <w:r>
              <w:rPr>
                <w:rFonts w:hint="eastAsia"/>
                <w:color w:val="auto"/>
                <w:highlight w:val="none"/>
              </w:rPr>
              <w:t>分。</w:t>
            </w:r>
          </w:p>
        </w:tc>
      </w:tr>
      <w:tr w14:paraId="36230D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0" w:hRule="atLeast"/>
          <w:jc w:val="center"/>
        </w:trPr>
        <w:tc>
          <w:tcPr>
            <w:tcW w:w="918" w:type="dxa"/>
            <w:vMerge w:val="continue"/>
            <w:tcBorders>
              <w:bottom w:val="nil"/>
            </w:tcBorders>
          </w:tcPr>
          <w:p w14:paraId="179F0F40">
            <w:pPr>
              <w:rPr>
                <w:rFonts w:hint="eastAsia" w:eastAsia="宋体"/>
                <w:color w:val="auto"/>
                <w:highlight w:val="none"/>
                <w:lang w:val="en-US" w:eastAsia="zh-CN"/>
              </w:rPr>
            </w:pPr>
            <w:r>
              <w:rPr>
                <w:rFonts w:hint="eastAsia"/>
                <w:color w:val="auto"/>
                <w:highlight w:val="none"/>
                <w:lang w:val="en-US" w:eastAsia="zh-CN"/>
              </w:rPr>
              <w:t xml:space="preserve"> </w:t>
            </w:r>
          </w:p>
        </w:tc>
        <w:tc>
          <w:tcPr>
            <w:tcW w:w="878" w:type="dxa"/>
            <w:vMerge w:val="continue"/>
            <w:tcBorders>
              <w:bottom w:val="nil"/>
            </w:tcBorders>
          </w:tcPr>
          <w:p w14:paraId="71C012D6">
            <w:pPr>
              <w:rPr>
                <w:color w:val="auto"/>
                <w:highlight w:val="none"/>
              </w:rPr>
            </w:pPr>
          </w:p>
        </w:tc>
        <w:tc>
          <w:tcPr>
            <w:tcW w:w="2349" w:type="dxa"/>
          </w:tcPr>
          <w:p w14:paraId="7C8473B0">
            <w:pPr>
              <w:pStyle w:val="20"/>
              <w:rPr>
                <w:color w:val="auto"/>
                <w:highlight w:val="none"/>
              </w:rPr>
            </w:pPr>
          </w:p>
          <w:p w14:paraId="13E17194">
            <w:pPr>
              <w:pStyle w:val="20"/>
              <w:rPr>
                <w:color w:val="auto"/>
                <w:highlight w:val="none"/>
              </w:rPr>
            </w:pPr>
          </w:p>
          <w:p w14:paraId="33857DAC">
            <w:pPr>
              <w:pStyle w:val="20"/>
              <w:rPr>
                <w:color w:val="auto"/>
                <w:highlight w:val="none"/>
              </w:rPr>
            </w:pPr>
          </w:p>
          <w:p w14:paraId="777223A3">
            <w:pPr>
              <w:pStyle w:val="20"/>
              <w:ind w:left="440" w:leftChars="0" w:firstLine="0" w:firstLineChars="0"/>
              <w:rPr>
                <w:color w:val="auto"/>
                <w:highlight w:val="none"/>
                <w:lang w:eastAsia="zh-CN"/>
              </w:rPr>
            </w:pPr>
            <w:r>
              <w:rPr>
                <w:color w:val="auto"/>
                <w:highlight w:val="none"/>
                <w:lang w:eastAsia="zh-CN"/>
              </w:rPr>
              <w:t>质量管理体系与措施</w:t>
            </w:r>
            <w:r>
              <w:rPr>
                <w:rFonts w:hint="eastAsia"/>
                <w:color w:val="auto"/>
                <w:highlight w:val="none"/>
                <w:lang w:eastAsia="zh-CN"/>
              </w:rPr>
              <w:t>(</w:t>
            </w:r>
            <w:r>
              <w:rPr>
                <w:color w:val="auto"/>
                <w:highlight w:val="none"/>
                <w:lang w:eastAsia="zh-CN"/>
              </w:rPr>
              <w:t>10</w:t>
            </w:r>
            <w:r>
              <w:rPr>
                <w:rFonts w:hint="eastAsia"/>
                <w:color w:val="auto"/>
                <w:highlight w:val="none"/>
                <w:lang w:eastAsia="zh-CN"/>
              </w:rPr>
              <w:t>分)</w:t>
            </w:r>
          </w:p>
        </w:tc>
        <w:tc>
          <w:tcPr>
            <w:tcW w:w="5061" w:type="dxa"/>
          </w:tcPr>
          <w:p w14:paraId="0DA9A641">
            <w:pPr>
              <w:pStyle w:val="20"/>
              <w:ind w:left="220" w:leftChars="0" w:firstLine="0" w:firstLineChars="0"/>
              <w:rPr>
                <w:color w:val="auto"/>
                <w:highlight w:val="none"/>
              </w:rPr>
            </w:pPr>
            <w:r>
              <w:rPr>
                <w:rFonts w:hint="eastAsia"/>
                <w:color w:val="auto"/>
                <w:highlight w:val="none"/>
              </w:rPr>
              <w:t>根据质量管理体系和措施是否明确、合理可行、满足采购人需求等方面进行对比第一档：措施方案完整、逻辑清晰、全面，合理、规范，可行性强，完全满足采购人需求，得</w:t>
            </w:r>
            <w:r>
              <w:rPr>
                <w:color w:val="auto"/>
                <w:highlight w:val="none"/>
              </w:rPr>
              <w:t>10</w:t>
            </w:r>
            <w:r>
              <w:rPr>
                <w:rFonts w:hint="eastAsia"/>
                <w:color w:val="auto"/>
                <w:highlight w:val="none"/>
              </w:rPr>
              <w:t>分；第二档：措施方案基本完整、逻辑基本清晰、基本全面，合理、较为规范，基本满足采购人需求，得</w:t>
            </w:r>
            <w:r>
              <w:rPr>
                <w:color w:val="auto"/>
                <w:highlight w:val="none"/>
              </w:rPr>
              <w:t>8</w:t>
            </w:r>
            <w:r>
              <w:rPr>
                <w:rFonts w:hint="eastAsia"/>
                <w:color w:val="auto"/>
                <w:highlight w:val="none"/>
              </w:rPr>
              <w:t>分；第三档：措施方案基本完整、逻辑基本清晰、基本全面，合理、较为规范，方案不措施存在严重缺项得</w:t>
            </w:r>
            <w:r>
              <w:rPr>
                <w:color w:val="auto"/>
                <w:highlight w:val="none"/>
              </w:rPr>
              <w:t>5</w:t>
            </w:r>
            <w:r>
              <w:rPr>
                <w:rFonts w:hint="eastAsia"/>
                <w:color w:val="auto"/>
                <w:highlight w:val="none"/>
              </w:rPr>
              <w:t>分；第四档：措施方案存在严重缺项或不提供，得</w:t>
            </w:r>
            <w:r>
              <w:rPr>
                <w:color w:val="auto"/>
                <w:highlight w:val="none"/>
              </w:rPr>
              <w:t>0</w:t>
            </w:r>
            <w:r>
              <w:rPr>
                <w:rFonts w:hint="eastAsia"/>
                <w:color w:val="auto"/>
                <w:highlight w:val="none"/>
              </w:rPr>
              <w:t>分。</w:t>
            </w:r>
          </w:p>
        </w:tc>
      </w:tr>
      <w:tr w14:paraId="5596A0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5" w:hRule="atLeast"/>
          <w:jc w:val="center"/>
        </w:trPr>
        <w:tc>
          <w:tcPr>
            <w:tcW w:w="918" w:type="dxa"/>
            <w:tcBorders>
              <w:top w:val="nil"/>
              <w:bottom w:val="single" w:color="auto" w:sz="4" w:space="0"/>
            </w:tcBorders>
          </w:tcPr>
          <w:p w14:paraId="2B94B71F">
            <w:pPr>
              <w:rPr>
                <w:color w:val="auto"/>
                <w:highlight w:val="none"/>
              </w:rPr>
            </w:pPr>
          </w:p>
        </w:tc>
        <w:tc>
          <w:tcPr>
            <w:tcW w:w="878" w:type="dxa"/>
            <w:tcBorders>
              <w:top w:val="nil"/>
              <w:bottom w:val="single" w:color="auto" w:sz="4" w:space="0"/>
            </w:tcBorders>
          </w:tcPr>
          <w:p w14:paraId="34F8F7AF">
            <w:pPr>
              <w:rPr>
                <w:color w:val="auto"/>
                <w:highlight w:val="none"/>
              </w:rPr>
            </w:pPr>
          </w:p>
        </w:tc>
        <w:tc>
          <w:tcPr>
            <w:tcW w:w="2349" w:type="dxa"/>
          </w:tcPr>
          <w:p w14:paraId="16F91666">
            <w:pPr>
              <w:pStyle w:val="20"/>
              <w:rPr>
                <w:color w:val="auto"/>
                <w:highlight w:val="none"/>
              </w:rPr>
            </w:pPr>
          </w:p>
          <w:p w14:paraId="78968AFA">
            <w:pPr>
              <w:pStyle w:val="20"/>
              <w:rPr>
                <w:color w:val="auto"/>
                <w:highlight w:val="none"/>
              </w:rPr>
            </w:pPr>
          </w:p>
          <w:p w14:paraId="6925ABFE">
            <w:pPr>
              <w:pStyle w:val="20"/>
              <w:rPr>
                <w:color w:val="auto"/>
                <w:highlight w:val="none"/>
              </w:rPr>
            </w:pPr>
          </w:p>
          <w:p w14:paraId="3A486B62">
            <w:pPr>
              <w:pStyle w:val="20"/>
              <w:ind w:left="440" w:leftChars="0" w:firstLine="0" w:firstLineChars="0"/>
              <w:rPr>
                <w:color w:val="auto"/>
                <w:highlight w:val="none"/>
                <w:lang w:eastAsia="zh-CN"/>
              </w:rPr>
            </w:pPr>
            <w:r>
              <w:rPr>
                <w:rFonts w:hint="eastAsia"/>
                <w:color w:val="auto"/>
                <w:highlight w:val="none"/>
                <w:lang w:eastAsia="zh-CN"/>
              </w:rPr>
              <w:t>产品质量保证措施(</w:t>
            </w:r>
            <w:r>
              <w:rPr>
                <w:color w:val="auto"/>
                <w:highlight w:val="none"/>
                <w:lang w:eastAsia="zh-CN"/>
              </w:rPr>
              <w:t>10</w:t>
            </w:r>
            <w:r>
              <w:rPr>
                <w:rFonts w:hint="eastAsia"/>
                <w:color w:val="auto"/>
                <w:highlight w:val="none"/>
                <w:lang w:eastAsia="zh-CN"/>
              </w:rPr>
              <w:t>分)</w:t>
            </w:r>
          </w:p>
        </w:tc>
        <w:tc>
          <w:tcPr>
            <w:tcW w:w="5061" w:type="dxa"/>
          </w:tcPr>
          <w:p w14:paraId="716D5635">
            <w:pPr>
              <w:pStyle w:val="20"/>
              <w:ind w:left="220" w:leftChars="0" w:firstLine="0" w:firstLineChars="0"/>
              <w:rPr>
                <w:color w:val="auto"/>
                <w:highlight w:val="none"/>
              </w:rPr>
            </w:pPr>
            <w:r>
              <w:rPr>
                <w:rFonts w:hint="eastAsia"/>
                <w:color w:val="auto"/>
                <w:highlight w:val="none"/>
              </w:rPr>
              <w:t>产品质量保证措施。评委根据措施是否合理、可行等方面进行对比第一档：措施方案完整、逻辑清晰、全面，合理、规范，可行性强，完全满足采购人需求，得</w:t>
            </w:r>
            <w:r>
              <w:rPr>
                <w:color w:val="auto"/>
                <w:highlight w:val="none"/>
              </w:rPr>
              <w:t>10</w:t>
            </w:r>
            <w:r>
              <w:rPr>
                <w:rFonts w:hint="eastAsia"/>
                <w:color w:val="auto"/>
                <w:highlight w:val="none"/>
              </w:rPr>
              <w:t>分；第二档：措施方案基本完整、逻辑基本清晰、基本全面，合理、较为规范，基本满采购人需求，得</w:t>
            </w:r>
            <w:r>
              <w:rPr>
                <w:color w:val="auto"/>
                <w:highlight w:val="none"/>
              </w:rPr>
              <w:t>8分；</w:t>
            </w:r>
            <w:r>
              <w:rPr>
                <w:rFonts w:hint="eastAsia"/>
                <w:color w:val="auto"/>
                <w:highlight w:val="none"/>
              </w:rPr>
              <w:t>第三档：措施方案基本完整、逻辑基本清晰、基本全面，合理、较为规范，方案不存在严重缺项得</w:t>
            </w:r>
            <w:r>
              <w:rPr>
                <w:color w:val="auto"/>
                <w:highlight w:val="none"/>
              </w:rPr>
              <w:t>5</w:t>
            </w:r>
            <w:r>
              <w:rPr>
                <w:rFonts w:hint="eastAsia"/>
                <w:color w:val="auto"/>
                <w:highlight w:val="none"/>
              </w:rPr>
              <w:t>分；第四档：措施方案存在严重缺项或不提供，得</w:t>
            </w:r>
            <w:r>
              <w:rPr>
                <w:color w:val="auto"/>
                <w:highlight w:val="none"/>
              </w:rPr>
              <w:t>0</w:t>
            </w:r>
            <w:r>
              <w:rPr>
                <w:rFonts w:hint="eastAsia"/>
                <w:color w:val="auto"/>
                <w:highlight w:val="none"/>
              </w:rPr>
              <w:t>分。</w:t>
            </w:r>
          </w:p>
        </w:tc>
      </w:tr>
      <w:tr w14:paraId="5E86DB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918" w:type="dxa"/>
            <w:vMerge w:val="restart"/>
            <w:tcBorders>
              <w:top w:val="single" w:color="auto" w:sz="4" w:space="0"/>
              <w:left w:val="single" w:color="auto" w:sz="4" w:space="0"/>
              <w:right w:val="single" w:color="auto" w:sz="4" w:space="0"/>
            </w:tcBorders>
          </w:tcPr>
          <w:p w14:paraId="0F48B88B">
            <w:pPr>
              <w:rPr>
                <w:color w:val="auto"/>
                <w:highlight w:val="none"/>
              </w:rPr>
            </w:pPr>
          </w:p>
          <w:p w14:paraId="64C9378F">
            <w:pPr>
              <w:rPr>
                <w:color w:val="auto"/>
                <w:highlight w:val="none"/>
              </w:rPr>
            </w:pPr>
          </w:p>
          <w:p w14:paraId="1208C117">
            <w:pPr>
              <w:rPr>
                <w:color w:val="auto"/>
                <w:spacing w:val="-3"/>
                <w:highlight w:val="none"/>
              </w:rPr>
            </w:pPr>
          </w:p>
          <w:p w14:paraId="3149BC47">
            <w:pPr>
              <w:rPr>
                <w:color w:val="auto"/>
                <w:spacing w:val="-3"/>
                <w:highlight w:val="none"/>
              </w:rPr>
            </w:pPr>
          </w:p>
          <w:p w14:paraId="3865832B">
            <w:pPr>
              <w:rPr>
                <w:color w:val="auto"/>
                <w:spacing w:val="-3"/>
                <w:highlight w:val="none"/>
              </w:rPr>
            </w:pPr>
          </w:p>
          <w:p w14:paraId="591C3EBE">
            <w:pPr>
              <w:rPr>
                <w:color w:val="auto"/>
                <w:spacing w:val="-3"/>
                <w:highlight w:val="none"/>
              </w:rPr>
            </w:pPr>
          </w:p>
          <w:p w14:paraId="1B4F35D8">
            <w:pPr>
              <w:rPr>
                <w:color w:val="auto"/>
                <w:spacing w:val="-3"/>
                <w:highlight w:val="none"/>
              </w:rPr>
            </w:pPr>
          </w:p>
          <w:p w14:paraId="3DB8E309">
            <w:pPr>
              <w:rPr>
                <w:color w:val="auto"/>
                <w:spacing w:val="-3"/>
                <w:highlight w:val="none"/>
              </w:rPr>
            </w:pPr>
          </w:p>
          <w:p w14:paraId="42A53E68">
            <w:pPr>
              <w:rPr>
                <w:color w:val="auto"/>
                <w:spacing w:val="-3"/>
                <w:highlight w:val="none"/>
              </w:rPr>
            </w:pPr>
          </w:p>
          <w:p w14:paraId="33F7CE47">
            <w:pPr>
              <w:rPr>
                <w:color w:val="auto"/>
                <w:spacing w:val="-3"/>
                <w:highlight w:val="none"/>
              </w:rPr>
            </w:pPr>
          </w:p>
          <w:p w14:paraId="7ED7950F">
            <w:pPr>
              <w:rPr>
                <w:color w:val="auto"/>
                <w:spacing w:val="-3"/>
                <w:highlight w:val="none"/>
              </w:rPr>
            </w:pPr>
          </w:p>
          <w:p w14:paraId="1DB99016">
            <w:pPr>
              <w:rPr>
                <w:color w:val="auto"/>
                <w:spacing w:val="1"/>
                <w:highlight w:val="none"/>
              </w:rPr>
            </w:pPr>
            <w:r>
              <w:rPr>
                <w:color w:val="auto"/>
                <w:spacing w:val="-3"/>
                <w:highlight w:val="none"/>
              </w:rPr>
              <w:t>2.2.4</w:t>
            </w:r>
            <w:r>
              <w:rPr>
                <w:color w:val="auto"/>
                <w:spacing w:val="1"/>
                <w:highlight w:val="none"/>
              </w:rPr>
              <w:t xml:space="preserve"> </w:t>
            </w:r>
          </w:p>
          <w:p w14:paraId="1B014A9C">
            <w:pPr>
              <w:rPr>
                <w:color w:val="auto"/>
                <w:highlight w:val="none"/>
              </w:rPr>
            </w:pPr>
            <w:r>
              <w:rPr>
                <w:color w:val="auto"/>
                <w:spacing w:val="-7"/>
                <w:highlight w:val="none"/>
              </w:rPr>
              <w:t>（3）</w:t>
            </w:r>
          </w:p>
        </w:tc>
        <w:tc>
          <w:tcPr>
            <w:tcW w:w="878" w:type="dxa"/>
            <w:vMerge w:val="restart"/>
            <w:tcBorders>
              <w:top w:val="single" w:color="auto" w:sz="4" w:space="0"/>
              <w:left w:val="single" w:color="auto" w:sz="4" w:space="0"/>
              <w:right w:val="single" w:color="auto" w:sz="4" w:space="0"/>
            </w:tcBorders>
          </w:tcPr>
          <w:p w14:paraId="6EF13135">
            <w:pPr>
              <w:rPr>
                <w:color w:val="auto"/>
                <w:spacing w:val="-4"/>
                <w:highlight w:val="none"/>
              </w:rPr>
            </w:pPr>
          </w:p>
          <w:p w14:paraId="1E7046FF">
            <w:pPr>
              <w:rPr>
                <w:color w:val="auto"/>
                <w:spacing w:val="-4"/>
                <w:highlight w:val="none"/>
              </w:rPr>
            </w:pPr>
          </w:p>
          <w:p w14:paraId="3E90E6BE">
            <w:pPr>
              <w:rPr>
                <w:color w:val="auto"/>
                <w:spacing w:val="-4"/>
                <w:highlight w:val="none"/>
              </w:rPr>
            </w:pPr>
          </w:p>
          <w:p w14:paraId="4E0D46E2">
            <w:pPr>
              <w:rPr>
                <w:color w:val="auto"/>
                <w:spacing w:val="-4"/>
                <w:highlight w:val="none"/>
              </w:rPr>
            </w:pPr>
          </w:p>
          <w:p w14:paraId="22EEABF5">
            <w:pPr>
              <w:rPr>
                <w:color w:val="auto"/>
                <w:spacing w:val="-4"/>
                <w:highlight w:val="none"/>
              </w:rPr>
            </w:pPr>
          </w:p>
          <w:p w14:paraId="0171ACE2">
            <w:pPr>
              <w:rPr>
                <w:color w:val="auto"/>
                <w:spacing w:val="-4"/>
                <w:highlight w:val="none"/>
              </w:rPr>
            </w:pPr>
          </w:p>
          <w:p w14:paraId="2A32758C">
            <w:pPr>
              <w:rPr>
                <w:color w:val="auto"/>
                <w:spacing w:val="-4"/>
                <w:highlight w:val="none"/>
              </w:rPr>
            </w:pPr>
          </w:p>
          <w:p w14:paraId="2E749619">
            <w:pPr>
              <w:rPr>
                <w:color w:val="auto"/>
                <w:spacing w:val="-4"/>
                <w:highlight w:val="none"/>
              </w:rPr>
            </w:pPr>
          </w:p>
          <w:p w14:paraId="6ED6721F">
            <w:pPr>
              <w:rPr>
                <w:color w:val="auto"/>
                <w:spacing w:val="-4"/>
                <w:highlight w:val="none"/>
              </w:rPr>
            </w:pPr>
          </w:p>
          <w:p w14:paraId="029AB6A8">
            <w:pPr>
              <w:rPr>
                <w:color w:val="auto"/>
                <w:spacing w:val="-4"/>
                <w:highlight w:val="none"/>
              </w:rPr>
            </w:pPr>
          </w:p>
          <w:p w14:paraId="18A67839">
            <w:pPr>
              <w:rPr>
                <w:color w:val="auto"/>
                <w:spacing w:val="-4"/>
                <w:highlight w:val="none"/>
              </w:rPr>
            </w:pPr>
          </w:p>
          <w:p w14:paraId="0321AE02">
            <w:pPr>
              <w:rPr>
                <w:color w:val="auto"/>
                <w:spacing w:val="2"/>
                <w:highlight w:val="none"/>
              </w:rPr>
            </w:pPr>
            <w:r>
              <w:rPr>
                <w:color w:val="auto"/>
                <w:spacing w:val="-4"/>
                <w:highlight w:val="none"/>
              </w:rPr>
              <w:t>综合部分</w:t>
            </w:r>
            <w:r>
              <w:rPr>
                <w:color w:val="auto"/>
                <w:spacing w:val="2"/>
                <w:highlight w:val="none"/>
              </w:rPr>
              <w:t xml:space="preserve"> </w:t>
            </w:r>
          </w:p>
          <w:p w14:paraId="68AB69B2">
            <w:pPr>
              <w:rPr>
                <w:color w:val="auto"/>
                <w:spacing w:val="-5"/>
                <w:highlight w:val="none"/>
              </w:rPr>
            </w:pPr>
            <w:r>
              <w:rPr>
                <w:rFonts w:hint="eastAsia" w:ascii="微软雅黑" w:hAnsi="微软雅黑" w:eastAsia="微软雅黑" w:cs="微软雅黑"/>
                <w:color w:val="auto"/>
                <w:spacing w:val="-5"/>
                <w:highlight w:val="none"/>
              </w:rPr>
              <w:t>（</w:t>
            </w:r>
            <w:r>
              <w:rPr>
                <w:color w:val="auto"/>
                <w:spacing w:val="-5"/>
                <w:highlight w:val="none"/>
                <w:lang w:eastAsia="zh-CN"/>
              </w:rPr>
              <w:t>2</w:t>
            </w:r>
            <w:r>
              <w:rPr>
                <w:color w:val="auto"/>
                <w:spacing w:val="-5"/>
                <w:highlight w:val="none"/>
              </w:rPr>
              <w:t>0</w:t>
            </w:r>
            <w:r>
              <w:rPr>
                <w:rFonts w:hint="eastAsia" w:ascii="微软雅黑" w:hAnsi="微软雅黑" w:eastAsia="微软雅黑" w:cs="微软雅黑"/>
                <w:color w:val="auto"/>
                <w:spacing w:val="-5"/>
                <w:highlight w:val="none"/>
              </w:rPr>
              <w:t>分）</w:t>
            </w:r>
          </w:p>
        </w:tc>
        <w:tc>
          <w:tcPr>
            <w:tcW w:w="2349" w:type="dxa"/>
            <w:tcBorders>
              <w:left w:val="single" w:color="auto" w:sz="4" w:space="0"/>
            </w:tcBorders>
          </w:tcPr>
          <w:p w14:paraId="115AB9E8">
            <w:pPr>
              <w:spacing w:line="265" w:lineRule="auto"/>
              <w:jc w:val="center"/>
              <w:rPr>
                <w:color w:val="auto"/>
                <w:highlight w:val="none"/>
              </w:rPr>
            </w:pPr>
          </w:p>
          <w:p w14:paraId="3E326F55">
            <w:pPr>
              <w:pStyle w:val="20"/>
              <w:ind w:left="440" w:leftChars="0" w:firstLine="0" w:firstLineChars="0"/>
              <w:rPr>
                <w:color w:val="auto"/>
                <w:highlight w:val="none"/>
                <w:lang w:eastAsia="zh-CN"/>
              </w:rPr>
            </w:pPr>
            <w:r>
              <w:rPr>
                <w:rFonts w:hint="eastAsia"/>
                <w:color w:val="auto"/>
                <w:highlight w:val="none"/>
              </w:rPr>
              <w:t>业绩</w:t>
            </w:r>
            <w:r>
              <w:rPr>
                <w:rFonts w:hint="eastAsia"/>
                <w:color w:val="auto"/>
                <w:highlight w:val="none"/>
                <w:lang w:eastAsia="zh-CN"/>
              </w:rPr>
              <w:t>（6分）</w:t>
            </w:r>
          </w:p>
        </w:tc>
        <w:tc>
          <w:tcPr>
            <w:tcW w:w="5061" w:type="dxa"/>
          </w:tcPr>
          <w:p w14:paraId="2A219B2A">
            <w:pPr>
              <w:pStyle w:val="20"/>
              <w:ind w:left="220" w:leftChars="0" w:firstLine="0" w:firstLineChars="0"/>
              <w:rPr>
                <w:color w:val="auto"/>
                <w:highlight w:val="none"/>
              </w:rPr>
            </w:pPr>
            <w:r>
              <w:rPr>
                <w:rFonts w:hint="eastAsia"/>
                <w:color w:val="auto"/>
                <w:highlight w:val="none"/>
              </w:rPr>
              <w:t>供应商</w:t>
            </w:r>
            <w:r>
              <w:rPr>
                <w:color w:val="auto"/>
                <w:highlight w:val="none"/>
              </w:rPr>
              <w:t>202</w:t>
            </w:r>
            <w:r>
              <w:rPr>
                <w:rFonts w:hint="eastAsia"/>
                <w:color w:val="auto"/>
                <w:highlight w:val="none"/>
                <w:lang w:val="en-US" w:eastAsia="zh-CN"/>
              </w:rPr>
              <w:t>1</w:t>
            </w:r>
            <w:r>
              <w:rPr>
                <w:rFonts w:hint="eastAsia"/>
                <w:color w:val="auto"/>
                <w:highlight w:val="none"/>
              </w:rPr>
              <w:t>年</w:t>
            </w:r>
            <w:r>
              <w:rPr>
                <w:color w:val="auto"/>
                <w:highlight w:val="none"/>
              </w:rPr>
              <w:t>1</w:t>
            </w:r>
            <w:r>
              <w:rPr>
                <w:rFonts w:hint="eastAsia"/>
                <w:color w:val="auto"/>
                <w:highlight w:val="none"/>
              </w:rPr>
              <w:t>月</w:t>
            </w:r>
            <w:r>
              <w:rPr>
                <w:color w:val="auto"/>
                <w:highlight w:val="none"/>
              </w:rPr>
              <w:t>1</w:t>
            </w:r>
            <w:r>
              <w:rPr>
                <w:rFonts w:hint="eastAsia"/>
                <w:color w:val="auto"/>
                <w:highlight w:val="none"/>
              </w:rPr>
              <w:t>日以来有类似项目业绩的，每有一份得</w:t>
            </w:r>
            <w:r>
              <w:rPr>
                <w:color w:val="auto"/>
                <w:highlight w:val="none"/>
              </w:rPr>
              <w:t>2</w:t>
            </w:r>
            <w:r>
              <w:rPr>
                <w:rFonts w:hint="eastAsia"/>
                <w:color w:val="auto"/>
                <w:highlight w:val="none"/>
              </w:rPr>
              <w:t>分，本项最多得</w:t>
            </w:r>
            <w:r>
              <w:rPr>
                <w:color w:val="auto"/>
                <w:highlight w:val="none"/>
              </w:rPr>
              <w:t>6</w:t>
            </w:r>
            <w:r>
              <w:rPr>
                <w:rFonts w:hint="eastAsia"/>
                <w:color w:val="auto"/>
                <w:highlight w:val="none"/>
              </w:rPr>
              <w:t>分。注：诚信库需上传合同和中标通知书，二者缺一不可，否则不得分。（以合同签订时间为准）。</w:t>
            </w:r>
          </w:p>
        </w:tc>
      </w:tr>
      <w:tr w14:paraId="0134E2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8" w:hRule="atLeast"/>
          <w:jc w:val="center"/>
        </w:trPr>
        <w:tc>
          <w:tcPr>
            <w:tcW w:w="918" w:type="dxa"/>
            <w:vMerge w:val="continue"/>
            <w:tcBorders>
              <w:left w:val="single" w:color="auto" w:sz="4" w:space="0"/>
              <w:right w:val="single" w:color="auto" w:sz="4" w:space="0"/>
            </w:tcBorders>
          </w:tcPr>
          <w:p w14:paraId="01A784E3">
            <w:pPr>
              <w:rPr>
                <w:color w:val="auto"/>
                <w:spacing w:val="-7"/>
                <w:highlight w:val="none"/>
              </w:rPr>
            </w:pPr>
          </w:p>
        </w:tc>
        <w:tc>
          <w:tcPr>
            <w:tcW w:w="878" w:type="dxa"/>
            <w:vMerge w:val="continue"/>
            <w:tcBorders>
              <w:left w:val="single" w:color="auto" w:sz="4" w:space="0"/>
              <w:right w:val="single" w:color="auto" w:sz="4" w:space="0"/>
            </w:tcBorders>
          </w:tcPr>
          <w:p w14:paraId="502D9357">
            <w:pPr>
              <w:pStyle w:val="15"/>
              <w:rPr>
                <w:color w:val="auto"/>
                <w:spacing w:val="-5"/>
                <w:highlight w:val="none"/>
              </w:rPr>
            </w:pPr>
          </w:p>
        </w:tc>
        <w:tc>
          <w:tcPr>
            <w:tcW w:w="2349" w:type="dxa"/>
            <w:tcBorders>
              <w:left w:val="single" w:color="auto" w:sz="4" w:space="0"/>
            </w:tcBorders>
          </w:tcPr>
          <w:p w14:paraId="492C2566">
            <w:pPr>
              <w:pStyle w:val="20"/>
              <w:rPr>
                <w:color w:val="auto"/>
                <w:highlight w:val="none"/>
                <w:lang w:eastAsia="zh-CN"/>
              </w:rPr>
            </w:pPr>
          </w:p>
          <w:p w14:paraId="13512AFE">
            <w:pPr>
              <w:pStyle w:val="20"/>
              <w:rPr>
                <w:color w:val="auto"/>
                <w:highlight w:val="none"/>
                <w:lang w:eastAsia="zh-CN"/>
              </w:rPr>
            </w:pPr>
          </w:p>
          <w:p w14:paraId="796259D8">
            <w:pPr>
              <w:pStyle w:val="20"/>
              <w:ind w:left="440" w:leftChars="0" w:firstLine="0" w:firstLineChars="0"/>
              <w:rPr>
                <w:color w:val="auto"/>
                <w:highlight w:val="none"/>
                <w:lang w:eastAsia="zh-CN"/>
              </w:rPr>
            </w:pPr>
            <w:r>
              <w:rPr>
                <w:rFonts w:hint="eastAsia"/>
                <w:color w:val="auto"/>
                <w:highlight w:val="none"/>
                <w:lang w:eastAsia="zh-CN"/>
              </w:rPr>
              <w:t>售后服务及承诺</w:t>
            </w:r>
          </w:p>
          <w:p w14:paraId="72628A4C">
            <w:pPr>
              <w:pStyle w:val="20"/>
              <w:ind w:left="0" w:leftChars="0" w:firstLine="720" w:firstLineChars="300"/>
              <w:rPr>
                <w:color w:val="auto"/>
                <w:highlight w:val="none"/>
                <w:lang w:eastAsia="zh-CN"/>
              </w:rPr>
            </w:pPr>
            <w:r>
              <w:rPr>
                <w:rFonts w:hint="eastAsia"/>
                <w:color w:val="auto"/>
                <w:highlight w:val="none"/>
                <w:lang w:eastAsia="zh-CN"/>
              </w:rPr>
              <w:t>（</w:t>
            </w:r>
            <w:r>
              <w:rPr>
                <w:color w:val="auto"/>
                <w:highlight w:val="none"/>
                <w:lang w:eastAsia="zh-CN"/>
              </w:rPr>
              <w:t xml:space="preserve">12 </w:t>
            </w:r>
            <w:r>
              <w:rPr>
                <w:rFonts w:hint="eastAsia"/>
                <w:color w:val="auto"/>
                <w:highlight w:val="none"/>
                <w:lang w:eastAsia="zh-CN"/>
              </w:rPr>
              <w:t>分）</w:t>
            </w:r>
          </w:p>
        </w:tc>
        <w:tc>
          <w:tcPr>
            <w:tcW w:w="5061" w:type="dxa"/>
          </w:tcPr>
          <w:p w14:paraId="242BBD81">
            <w:pPr>
              <w:pStyle w:val="20"/>
              <w:ind w:left="220" w:leftChars="0" w:firstLine="0" w:firstLineChars="0"/>
              <w:rPr>
                <w:color w:val="auto"/>
                <w:highlight w:val="none"/>
              </w:rPr>
            </w:pPr>
            <w:r>
              <w:rPr>
                <w:color w:val="auto"/>
                <w:highlight w:val="none"/>
              </w:rPr>
              <w:t>1</w:t>
            </w:r>
            <w:r>
              <w:rPr>
                <w:rFonts w:hint="eastAsia"/>
                <w:color w:val="auto"/>
                <w:highlight w:val="none"/>
              </w:rPr>
              <w:t>、投标人就如何做好后续服务保障工作提供一套优秀的服务方案，评委根据方案的优劣进行对比，优得</w:t>
            </w:r>
            <w:r>
              <w:rPr>
                <w:color w:val="auto"/>
                <w:highlight w:val="none"/>
              </w:rPr>
              <w:t>4</w:t>
            </w:r>
            <w:r>
              <w:rPr>
                <w:rFonts w:hint="eastAsia"/>
                <w:color w:val="auto"/>
                <w:highlight w:val="none"/>
              </w:rPr>
              <w:t>分，良得</w:t>
            </w:r>
            <w:r>
              <w:rPr>
                <w:color w:val="auto"/>
                <w:highlight w:val="none"/>
              </w:rPr>
              <w:t>2</w:t>
            </w:r>
            <w:r>
              <w:rPr>
                <w:rFonts w:hint="eastAsia"/>
                <w:color w:val="auto"/>
                <w:highlight w:val="none"/>
              </w:rPr>
              <w:t>分，差得</w:t>
            </w:r>
            <w:r>
              <w:rPr>
                <w:color w:val="auto"/>
                <w:highlight w:val="none"/>
              </w:rPr>
              <w:t>1</w:t>
            </w:r>
            <w:r>
              <w:rPr>
                <w:rFonts w:hint="eastAsia"/>
                <w:color w:val="auto"/>
                <w:highlight w:val="none"/>
              </w:rPr>
              <w:t>分，缺项为</w:t>
            </w:r>
            <w:r>
              <w:rPr>
                <w:color w:val="auto"/>
                <w:highlight w:val="none"/>
              </w:rPr>
              <w:t>0</w:t>
            </w:r>
            <w:r>
              <w:rPr>
                <w:rFonts w:hint="eastAsia"/>
                <w:color w:val="auto"/>
                <w:highlight w:val="none"/>
              </w:rPr>
              <w:t>分。</w:t>
            </w:r>
            <w:r>
              <w:rPr>
                <w:color w:val="auto"/>
                <w:highlight w:val="none"/>
              </w:rPr>
              <w:t>2</w:t>
            </w:r>
            <w:r>
              <w:rPr>
                <w:rFonts w:hint="eastAsia"/>
                <w:color w:val="auto"/>
                <w:highlight w:val="none"/>
              </w:rPr>
              <w:t>、投标人在项目实施完成后所承诺的责任、服务内容是否合理完整，评委根据承诺内容进行对比，优得</w:t>
            </w:r>
            <w:r>
              <w:rPr>
                <w:color w:val="auto"/>
                <w:highlight w:val="none"/>
              </w:rPr>
              <w:t>4</w:t>
            </w:r>
            <w:r>
              <w:rPr>
                <w:rFonts w:hint="eastAsia"/>
                <w:color w:val="auto"/>
                <w:highlight w:val="none"/>
              </w:rPr>
              <w:t>分，良得</w:t>
            </w:r>
            <w:r>
              <w:rPr>
                <w:color w:val="auto"/>
                <w:highlight w:val="none"/>
              </w:rPr>
              <w:t>2</w:t>
            </w:r>
            <w:r>
              <w:rPr>
                <w:rFonts w:hint="eastAsia"/>
                <w:color w:val="auto"/>
                <w:highlight w:val="none"/>
              </w:rPr>
              <w:t>分，差得</w:t>
            </w:r>
            <w:r>
              <w:rPr>
                <w:color w:val="auto"/>
                <w:highlight w:val="none"/>
              </w:rPr>
              <w:t>1</w:t>
            </w:r>
            <w:r>
              <w:rPr>
                <w:rFonts w:hint="eastAsia"/>
                <w:color w:val="auto"/>
                <w:highlight w:val="none"/>
              </w:rPr>
              <w:t>分，缺项为</w:t>
            </w:r>
            <w:r>
              <w:rPr>
                <w:color w:val="auto"/>
                <w:highlight w:val="none"/>
              </w:rPr>
              <w:t>0</w:t>
            </w:r>
            <w:r>
              <w:rPr>
                <w:rFonts w:hint="eastAsia"/>
                <w:color w:val="auto"/>
                <w:highlight w:val="none"/>
              </w:rPr>
              <w:t>分。</w:t>
            </w:r>
            <w:r>
              <w:rPr>
                <w:color w:val="auto"/>
                <w:highlight w:val="none"/>
              </w:rPr>
              <w:t>3</w:t>
            </w:r>
            <w:r>
              <w:rPr>
                <w:rFonts w:hint="eastAsia"/>
                <w:color w:val="auto"/>
                <w:highlight w:val="none"/>
              </w:rPr>
              <w:t>、根据承诺内容及针对采购人排忧解难情况及其他承诺情况等进行对比，优得</w:t>
            </w:r>
            <w:r>
              <w:rPr>
                <w:color w:val="auto"/>
                <w:highlight w:val="none"/>
              </w:rPr>
              <w:t>4</w:t>
            </w:r>
            <w:r>
              <w:rPr>
                <w:rFonts w:hint="eastAsia"/>
                <w:color w:val="auto"/>
                <w:highlight w:val="none"/>
              </w:rPr>
              <w:t>分，良得</w:t>
            </w:r>
            <w:r>
              <w:rPr>
                <w:color w:val="auto"/>
                <w:highlight w:val="none"/>
              </w:rPr>
              <w:t>2</w:t>
            </w:r>
            <w:r>
              <w:rPr>
                <w:rFonts w:hint="eastAsia"/>
                <w:color w:val="auto"/>
                <w:highlight w:val="none"/>
              </w:rPr>
              <w:t>分，差得</w:t>
            </w:r>
            <w:r>
              <w:rPr>
                <w:color w:val="auto"/>
                <w:highlight w:val="none"/>
              </w:rPr>
              <w:t>1</w:t>
            </w:r>
            <w:r>
              <w:rPr>
                <w:rFonts w:hint="eastAsia"/>
                <w:color w:val="auto"/>
                <w:highlight w:val="none"/>
              </w:rPr>
              <w:t>分，缺项为</w:t>
            </w:r>
            <w:r>
              <w:rPr>
                <w:color w:val="auto"/>
                <w:highlight w:val="none"/>
              </w:rPr>
              <w:t>0</w:t>
            </w:r>
            <w:r>
              <w:rPr>
                <w:rFonts w:hint="eastAsia"/>
                <w:color w:val="auto"/>
                <w:highlight w:val="none"/>
              </w:rPr>
              <w:t>分。注：承诺内容必须具有可行性，一旦承诺必须兑现。</w:t>
            </w:r>
          </w:p>
        </w:tc>
      </w:tr>
      <w:tr w14:paraId="689879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1" w:hRule="atLeast"/>
          <w:jc w:val="center"/>
        </w:trPr>
        <w:tc>
          <w:tcPr>
            <w:tcW w:w="918" w:type="dxa"/>
            <w:vMerge w:val="continue"/>
            <w:tcBorders>
              <w:left w:val="single" w:color="auto" w:sz="4" w:space="0"/>
              <w:right w:val="single" w:color="auto" w:sz="4" w:space="0"/>
            </w:tcBorders>
          </w:tcPr>
          <w:p w14:paraId="227DDFFE">
            <w:pPr>
              <w:rPr>
                <w:color w:val="auto"/>
                <w:spacing w:val="-7"/>
                <w:highlight w:val="none"/>
              </w:rPr>
            </w:pPr>
          </w:p>
        </w:tc>
        <w:tc>
          <w:tcPr>
            <w:tcW w:w="878" w:type="dxa"/>
            <w:vMerge w:val="continue"/>
            <w:tcBorders>
              <w:left w:val="single" w:color="auto" w:sz="4" w:space="0"/>
              <w:right w:val="single" w:color="auto" w:sz="4" w:space="0"/>
            </w:tcBorders>
          </w:tcPr>
          <w:p w14:paraId="34496AAA">
            <w:pPr>
              <w:pStyle w:val="15"/>
              <w:rPr>
                <w:color w:val="auto"/>
                <w:spacing w:val="-5"/>
                <w:highlight w:val="none"/>
              </w:rPr>
            </w:pPr>
          </w:p>
        </w:tc>
        <w:tc>
          <w:tcPr>
            <w:tcW w:w="2349" w:type="dxa"/>
            <w:tcBorders>
              <w:left w:val="single" w:color="auto" w:sz="4" w:space="0"/>
            </w:tcBorders>
          </w:tcPr>
          <w:p w14:paraId="0E84D2DD">
            <w:pPr>
              <w:pStyle w:val="20"/>
              <w:rPr>
                <w:color w:val="auto"/>
                <w:highlight w:val="none"/>
                <w:lang w:eastAsia="zh-CN"/>
              </w:rPr>
            </w:pPr>
          </w:p>
          <w:p w14:paraId="1649D565">
            <w:pPr>
              <w:pStyle w:val="20"/>
              <w:ind w:left="440" w:leftChars="0" w:firstLine="0" w:firstLineChars="0"/>
              <w:rPr>
                <w:color w:val="auto"/>
                <w:highlight w:val="none"/>
              </w:rPr>
            </w:pPr>
            <w:r>
              <w:rPr>
                <w:rFonts w:hint="eastAsia"/>
                <w:color w:val="auto"/>
                <w:highlight w:val="none"/>
                <w:lang w:eastAsia="zh-CN"/>
              </w:rPr>
              <w:t>投标文件编制评价（2分）</w:t>
            </w:r>
          </w:p>
        </w:tc>
        <w:tc>
          <w:tcPr>
            <w:tcW w:w="5061" w:type="dxa"/>
          </w:tcPr>
          <w:p w14:paraId="0227BA95">
            <w:pPr>
              <w:pStyle w:val="20"/>
              <w:ind w:left="220" w:leftChars="0" w:firstLine="0" w:firstLineChars="0"/>
              <w:rPr>
                <w:color w:val="auto"/>
                <w:highlight w:val="none"/>
              </w:rPr>
            </w:pPr>
            <w:r>
              <w:rPr>
                <w:rFonts w:hint="eastAsia"/>
                <w:color w:val="auto"/>
                <w:highlight w:val="none"/>
              </w:rPr>
              <w:t>投标文件符合招标文件所有条款条件，制作规范最多得</w:t>
            </w:r>
            <w:r>
              <w:rPr>
                <w:color w:val="auto"/>
                <w:highlight w:val="none"/>
              </w:rPr>
              <w:t>2</w:t>
            </w:r>
            <w:r>
              <w:rPr>
                <w:rFonts w:hint="eastAsia"/>
                <w:color w:val="auto"/>
                <w:highlight w:val="none"/>
              </w:rPr>
              <w:t>分；若投标文件与招标文件要求有偏离，但不影响到实质性响应，有一项细微偏差扣</w:t>
            </w:r>
            <w:r>
              <w:rPr>
                <w:color w:val="auto"/>
                <w:highlight w:val="none"/>
              </w:rPr>
              <w:t>1</w:t>
            </w:r>
            <w:r>
              <w:rPr>
                <w:rFonts w:hint="eastAsia"/>
                <w:color w:val="auto"/>
                <w:highlight w:val="none"/>
              </w:rPr>
              <w:t>分，直至该项分值扣完为止。</w:t>
            </w:r>
          </w:p>
        </w:tc>
      </w:tr>
      <w:tr w14:paraId="3BA6C7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7" w:hRule="atLeast"/>
          <w:jc w:val="center"/>
        </w:trPr>
        <w:tc>
          <w:tcPr>
            <w:tcW w:w="9206" w:type="dxa"/>
            <w:gridSpan w:val="4"/>
            <w:tcBorders>
              <w:left w:val="single" w:color="auto" w:sz="4" w:space="0"/>
              <w:bottom w:val="single" w:color="auto" w:sz="4" w:space="0"/>
            </w:tcBorders>
          </w:tcPr>
          <w:p w14:paraId="552B3F5A">
            <w:pPr>
              <w:pStyle w:val="20"/>
              <w:rPr>
                <w:color w:val="auto"/>
                <w:highlight w:val="none"/>
              </w:rPr>
            </w:pPr>
            <w:r>
              <w:rPr>
                <w:color w:val="auto"/>
                <w:highlight w:val="none"/>
              </w:rPr>
              <w:t>备注：</w:t>
            </w:r>
          </w:p>
          <w:p w14:paraId="69F67D34">
            <w:pPr>
              <w:pStyle w:val="20"/>
              <w:rPr>
                <w:color w:val="auto"/>
                <w:highlight w:val="none"/>
              </w:rPr>
            </w:pPr>
            <w:r>
              <w:rPr>
                <w:color w:val="auto"/>
                <w:highlight w:val="none"/>
              </w:rPr>
              <w:t>投标人综合得分等于以上五项的汇总得分。</w:t>
            </w:r>
          </w:p>
          <w:p w14:paraId="4A47C11D">
            <w:pPr>
              <w:pStyle w:val="20"/>
              <w:rPr>
                <w:color w:val="auto"/>
                <w:sz w:val="22"/>
                <w:szCs w:val="20"/>
                <w:highlight w:val="none"/>
              </w:rPr>
            </w:pPr>
            <w:r>
              <w:rPr>
                <w:color w:val="auto"/>
                <w:highlight w:val="none"/>
              </w:rPr>
              <w:t>评标委员会对各投标人的得分进行汇总，计算过程中评委个人分值按</w:t>
            </w:r>
            <w:r>
              <w:rPr>
                <w:color w:val="auto"/>
                <w:spacing w:val="-1"/>
                <w:highlight w:val="none"/>
              </w:rPr>
              <w:t>四舍五入保留三位小数</w:t>
            </w:r>
            <w:r>
              <w:rPr>
                <w:color w:val="auto"/>
                <w:highlight w:val="none"/>
              </w:rPr>
              <w:t xml:space="preserve"> ,</w:t>
            </w:r>
            <w:r>
              <w:rPr>
                <w:color w:val="auto"/>
                <w:spacing w:val="65"/>
                <w:highlight w:val="none"/>
              </w:rPr>
              <w:t xml:space="preserve"> </w:t>
            </w:r>
            <w:r>
              <w:rPr>
                <w:color w:val="auto"/>
                <w:highlight w:val="none"/>
              </w:rPr>
              <w:t xml:space="preserve">最终结果按四舍五入保留两位小数。以各评标委员会打分的算术平均值作为该投标人的最 </w:t>
            </w:r>
            <w:r>
              <w:rPr>
                <w:color w:val="auto"/>
                <w:spacing w:val="-5"/>
                <w:highlight w:val="none"/>
              </w:rPr>
              <w:t>终得分</w:t>
            </w:r>
          </w:p>
        </w:tc>
      </w:tr>
    </w:tbl>
    <w:p w14:paraId="368844A4">
      <w:pPr>
        <w:pStyle w:val="20"/>
        <w:spacing w:before="265" w:line="240" w:lineRule="auto"/>
        <w:ind w:left="0" w:leftChars="0" w:firstLine="0" w:firstLineChars="0"/>
        <w:rPr>
          <w:rFonts w:ascii="宋体" w:hAnsi="宋体" w:eastAsia="宋体" w:cs="宋体"/>
          <w:color w:val="auto"/>
          <w:spacing w:val="9"/>
          <w:kern w:val="2"/>
          <w:sz w:val="20"/>
          <w:szCs w:val="20"/>
          <w:highlight w:val="none"/>
          <w:lang w:val="en-US" w:eastAsia="en-US" w:bidi="ar-SA"/>
        </w:rPr>
        <w:sectPr>
          <w:footerReference r:id="rId7" w:type="default"/>
          <w:pgSz w:w="11910" w:h="16840"/>
          <w:pgMar w:top="1326" w:right="915" w:bottom="1009" w:left="1060" w:header="0" w:footer="847" w:gutter="0"/>
          <w:cols w:space="720" w:num="1"/>
        </w:sectPr>
      </w:pPr>
    </w:p>
    <w:p w14:paraId="3946ECED">
      <w:pPr>
        <w:pStyle w:val="20"/>
        <w:spacing w:before="265" w:line="240" w:lineRule="auto"/>
        <w:ind w:left="0" w:leftChars="0" w:firstLine="0" w:firstLineChars="0"/>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六.中标通知及签订合同</w:t>
      </w:r>
    </w:p>
    <w:p w14:paraId="6DA1B875">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lang w:eastAsia="zh-CN"/>
        </w:rPr>
      </w:pPr>
      <w:r>
        <w:rPr>
          <w:rFonts w:hint="eastAsia" w:asciiTheme="minorEastAsia" w:hAnsiTheme="minorEastAsia" w:eastAsiaTheme="minorEastAsia" w:cstheme="minorEastAsia"/>
          <w:color w:val="auto"/>
          <w:spacing w:val="2"/>
          <w:position w:val="17"/>
          <w:sz w:val="24"/>
          <w:szCs w:val="24"/>
          <w:highlight w:val="none"/>
          <w:lang w:eastAsia="zh-CN"/>
        </w:rPr>
        <w:t>1.中标通知</w:t>
      </w:r>
    </w:p>
    <w:p w14:paraId="39FF9301">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1.1评标委员会推荐</w:t>
      </w:r>
      <w:r>
        <w:rPr>
          <w:rFonts w:hint="eastAsia" w:asciiTheme="minorEastAsia" w:hAnsiTheme="minorEastAsia" w:eastAsiaTheme="minorEastAsia" w:cstheme="minorEastAsia"/>
          <w:color w:val="auto"/>
          <w:spacing w:val="2"/>
          <w:position w:val="17"/>
          <w:sz w:val="24"/>
          <w:szCs w:val="24"/>
          <w:highlight w:val="none"/>
          <w:lang w:val="en-US" w:eastAsia="zh-CN"/>
        </w:rPr>
        <w:t>3</w:t>
      </w:r>
      <w:r>
        <w:rPr>
          <w:rFonts w:hint="eastAsia" w:asciiTheme="minorEastAsia" w:hAnsiTheme="minorEastAsia" w:eastAsiaTheme="minorEastAsia" w:cstheme="minorEastAsia"/>
          <w:color w:val="auto"/>
          <w:spacing w:val="2"/>
          <w:position w:val="17"/>
          <w:sz w:val="24"/>
          <w:szCs w:val="24"/>
          <w:highlight w:val="none"/>
        </w:rPr>
        <w:t>名中标候选人，并标明推荐顺序。招标人依据评标委员会推荐的中标候选人顺序确定中标人。排名第一的中标候选人放弃中标、因不可抗力提出不能履行合同，或者招标文件规定应当提交履约保证金而在规定期限内未能提交的，招标人可依据评标委员会推荐的中标候选人顺序以此确定其他中标候选人为中标人，或重新招标。</w:t>
      </w:r>
    </w:p>
    <w:p w14:paraId="6C247DD0">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1.2招标人将对</w:t>
      </w:r>
      <w:r>
        <w:rPr>
          <w:rFonts w:hint="eastAsia" w:asciiTheme="minorEastAsia" w:hAnsiTheme="minorEastAsia" w:eastAsiaTheme="minorEastAsia" w:cstheme="minorEastAsia"/>
          <w:color w:val="auto"/>
          <w:spacing w:val="2"/>
          <w:position w:val="17"/>
          <w:sz w:val="24"/>
          <w:szCs w:val="24"/>
          <w:highlight w:val="none"/>
          <w:lang w:val="en-US" w:eastAsia="zh-CN"/>
        </w:rPr>
        <w:t>中标结果</w:t>
      </w:r>
      <w:r>
        <w:rPr>
          <w:rFonts w:hint="eastAsia" w:asciiTheme="minorEastAsia" w:hAnsiTheme="minorEastAsia" w:eastAsiaTheme="minorEastAsia" w:cstheme="minorEastAsia"/>
          <w:color w:val="auto"/>
          <w:spacing w:val="2"/>
          <w:position w:val="17"/>
          <w:sz w:val="24"/>
          <w:szCs w:val="24"/>
          <w:highlight w:val="none"/>
        </w:rPr>
        <w:t>进行公示，同时向中标人发出《中标通知书》。</w:t>
      </w:r>
    </w:p>
    <w:p w14:paraId="0E0650DA">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2</w:t>
      </w:r>
      <w:r>
        <w:rPr>
          <w:rFonts w:hint="eastAsia" w:asciiTheme="minorEastAsia" w:hAnsiTheme="minorEastAsia" w:eastAsiaTheme="minorEastAsia" w:cstheme="minorEastAsia"/>
          <w:color w:val="auto"/>
          <w:spacing w:val="2"/>
          <w:position w:val="17"/>
          <w:sz w:val="24"/>
          <w:szCs w:val="24"/>
          <w:highlight w:val="none"/>
          <w:lang w:val="en-US" w:eastAsia="zh-CN"/>
        </w:rPr>
        <w:t>.</w:t>
      </w:r>
      <w:r>
        <w:rPr>
          <w:rFonts w:hint="eastAsia" w:asciiTheme="minorEastAsia" w:hAnsiTheme="minorEastAsia" w:eastAsiaTheme="minorEastAsia" w:cstheme="minorEastAsia"/>
          <w:color w:val="auto"/>
          <w:spacing w:val="2"/>
          <w:position w:val="17"/>
          <w:sz w:val="24"/>
          <w:szCs w:val="24"/>
          <w:highlight w:val="none"/>
        </w:rPr>
        <w:t>中标通知书</w:t>
      </w:r>
    </w:p>
    <w:p w14:paraId="387C6772">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2.1在公告</w:t>
      </w:r>
      <w:r>
        <w:rPr>
          <w:rFonts w:hint="eastAsia" w:asciiTheme="minorEastAsia" w:hAnsiTheme="minorEastAsia" w:eastAsiaTheme="minorEastAsia" w:cstheme="minorEastAsia"/>
          <w:color w:val="auto"/>
          <w:spacing w:val="2"/>
          <w:position w:val="17"/>
          <w:sz w:val="24"/>
          <w:szCs w:val="24"/>
          <w:highlight w:val="none"/>
          <w:lang w:val="en-US" w:eastAsia="zh-CN"/>
        </w:rPr>
        <w:t>中标</w:t>
      </w:r>
      <w:r>
        <w:rPr>
          <w:rFonts w:hint="eastAsia" w:asciiTheme="minorEastAsia" w:hAnsiTheme="minorEastAsia" w:eastAsiaTheme="minorEastAsia" w:cstheme="minorEastAsia"/>
          <w:color w:val="auto"/>
          <w:spacing w:val="2"/>
          <w:position w:val="17"/>
          <w:sz w:val="24"/>
          <w:szCs w:val="24"/>
          <w:highlight w:val="none"/>
        </w:rPr>
        <w:t>结果的同时，采购人与代理机构应通过淅川县公共资源交易平台在线签订</w:t>
      </w:r>
      <w:r>
        <w:rPr>
          <w:rFonts w:hint="eastAsia" w:asciiTheme="minorEastAsia" w:hAnsiTheme="minorEastAsia" w:eastAsiaTheme="minorEastAsia" w:cstheme="minorEastAsia"/>
          <w:color w:val="auto"/>
          <w:spacing w:val="2"/>
          <w:position w:val="17"/>
          <w:sz w:val="24"/>
          <w:szCs w:val="24"/>
          <w:highlight w:val="none"/>
          <w:lang w:val="en-US" w:eastAsia="zh-CN"/>
        </w:rPr>
        <w:t>中标</w:t>
      </w:r>
      <w:r>
        <w:rPr>
          <w:rFonts w:hint="eastAsia" w:asciiTheme="minorEastAsia" w:hAnsiTheme="minorEastAsia" w:eastAsiaTheme="minorEastAsia" w:cstheme="minorEastAsia"/>
          <w:color w:val="auto"/>
          <w:spacing w:val="2"/>
          <w:position w:val="17"/>
          <w:sz w:val="24"/>
          <w:szCs w:val="24"/>
          <w:highlight w:val="none"/>
        </w:rPr>
        <w:t>通知书，</w:t>
      </w:r>
      <w:r>
        <w:rPr>
          <w:rFonts w:hint="eastAsia" w:asciiTheme="minorEastAsia" w:hAnsiTheme="minorEastAsia" w:eastAsiaTheme="minorEastAsia" w:cstheme="minorEastAsia"/>
          <w:color w:val="auto"/>
          <w:spacing w:val="2"/>
          <w:position w:val="17"/>
          <w:sz w:val="24"/>
          <w:szCs w:val="24"/>
          <w:highlight w:val="none"/>
          <w:lang w:val="en-US" w:eastAsia="zh-CN"/>
        </w:rPr>
        <w:t>中标</w:t>
      </w:r>
      <w:r>
        <w:rPr>
          <w:rFonts w:hint="eastAsia" w:asciiTheme="minorEastAsia" w:hAnsiTheme="minorEastAsia" w:eastAsiaTheme="minorEastAsia" w:cstheme="minorEastAsia"/>
          <w:color w:val="auto"/>
          <w:spacing w:val="2"/>
          <w:position w:val="17"/>
          <w:sz w:val="24"/>
          <w:szCs w:val="24"/>
          <w:highlight w:val="none"/>
        </w:rPr>
        <w:t>通知书将作为进行合同签订的依据。</w:t>
      </w:r>
    </w:p>
    <w:p w14:paraId="5947D68F">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2.2中标通知书是合同的一个组成部分。</w:t>
      </w:r>
    </w:p>
    <w:p w14:paraId="0C08C8C6">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3</w:t>
      </w:r>
      <w:r>
        <w:rPr>
          <w:rFonts w:hint="eastAsia" w:asciiTheme="minorEastAsia" w:hAnsiTheme="minorEastAsia" w:eastAsiaTheme="minorEastAsia" w:cstheme="minorEastAsia"/>
          <w:color w:val="auto"/>
          <w:spacing w:val="2"/>
          <w:position w:val="17"/>
          <w:sz w:val="24"/>
          <w:szCs w:val="24"/>
          <w:highlight w:val="none"/>
          <w:lang w:val="en-US" w:eastAsia="zh-CN"/>
        </w:rPr>
        <w:t>.</w:t>
      </w:r>
      <w:r>
        <w:rPr>
          <w:rFonts w:hint="eastAsia" w:asciiTheme="minorEastAsia" w:hAnsiTheme="minorEastAsia" w:eastAsiaTheme="minorEastAsia" w:cstheme="minorEastAsia"/>
          <w:color w:val="auto"/>
          <w:spacing w:val="2"/>
          <w:position w:val="17"/>
          <w:sz w:val="24"/>
          <w:szCs w:val="24"/>
          <w:highlight w:val="none"/>
        </w:rPr>
        <w:t>签订合同</w:t>
      </w:r>
    </w:p>
    <w:p w14:paraId="05C31DC0">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3.1招标人和中标人应当自中标通知书发出之日起</w:t>
      </w:r>
      <w:r>
        <w:rPr>
          <w:rFonts w:hint="eastAsia" w:asciiTheme="minorEastAsia" w:hAnsiTheme="minorEastAsia" w:eastAsiaTheme="minorEastAsia" w:cstheme="minorEastAsia"/>
          <w:color w:val="auto"/>
          <w:spacing w:val="2"/>
          <w:position w:val="17"/>
          <w:sz w:val="24"/>
          <w:szCs w:val="24"/>
          <w:highlight w:val="none"/>
          <w:lang w:val="en-US" w:eastAsia="zh-CN"/>
        </w:rPr>
        <w:t>3</w:t>
      </w:r>
      <w:r>
        <w:rPr>
          <w:rFonts w:hint="eastAsia" w:asciiTheme="minorEastAsia" w:hAnsiTheme="minorEastAsia" w:eastAsiaTheme="minorEastAsia" w:cstheme="minorEastAsia"/>
          <w:color w:val="auto"/>
          <w:spacing w:val="2"/>
          <w:position w:val="17"/>
          <w:sz w:val="24"/>
          <w:szCs w:val="24"/>
          <w:highlight w:val="none"/>
        </w:rPr>
        <w:t>天内，根据招标文件和中标人的投标文件通过淅川县公共资源交易平台</w:t>
      </w:r>
      <w:r>
        <w:rPr>
          <w:rFonts w:hint="eastAsia" w:asciiTheme="minorEastAsia" w:hAnsiTheme="minorEastAsia" w:eastAsiaTheme="minorEastAsia" w:cstheme="minorEastAsia"/>
          <w:color w:val="auto"/>
          <w:spacing w:val="2"/>
          <w:position w:val="17"/>
          <w:sz w:val="24"/>
          <w:szCs w:val="24"/>
          <w:highlight w:val="none"/>
          <w:lang w:eastAsia="zh-CN"/>
        </w:rPr>
        <w:t>在线</w:t>
      </w:r>
      <w:r>
        <w:rPr>
          <w:rFonts w:hint="eastAsia" w:asciiTheme="minorEastAsia" w:hAnsiTheme="minorEastAsia" w:eastAsiaTheme="minorEastAsia" w:cstheme="minorEastAsia"/>
          <w:color w:val="auto"/>
          <w:spacing w:val="2"/>
          <w:position w:val="17"/>
          <w:sz w:val="24"/>
          <w:szCs w:val="24"/>
          <w:highlight w:val="none"/>
        </w:rPr>
        <w:t>签订合同。中标人无正当理由拒签合同的，招标人取消其中标资格，按照相关法律规定进行处罚。</w:t>
      </w:r>
    </w:p>
    <w:p w14:paraId="3DD28335">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3.2招标文件、中标供应商的投标文件及评标过程中有关澄清文件均为签订合同的依据。</w:t>
      </w:r>
    </w:p>
    <w:p w14:paraId="338939D5">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lang w:eastAsia="zh-CN"/>
        </w:rPr>
      </w:pPr>
      <w:r>
        <w:rPr>
          <w:rFonts w:hint="eastAsia" w:asciiTheme="minorEastAsia" w:hAnsiTheme="minorEastAsia" w:eastAsiaTheme="minorEastAsia" w:cstheme="minorEastAsia"/>
          <w:color w:val="auto"/>
          <w:spacing w:val="2"/>
          <w:position w:val="17"/>
          <w:sz w:val="24"/>
          <w:szCs w:val="24"/>
          <w:highlight w:val="none"/>
          <w:lang w:eastAsia="zh-CN"/>
        </w:rPr>
        <w:t>七.质疑与答复</w:t>
      </w:r>
    </w:p>
    <w:p w14:paraId="4C361BD9">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lang w:eastAsia="zh-CN"/>
        </w:rPr>
      </w:pPr>
      <w:r>
        <w:rPr>
          <w:rFonts w:hint="eastAsia" w:asciiTheme="minorEastAsia" w:hAnsiTheme="minorEastAsia" w:eastAsiaTheme="minorEastAsia" w:cstheme="minorEastAsia"/>
          <w:color w:val="auto"/>
          <w:spacing w:val="2"/>
          <w:position w:val="17"/>
          <w:sz w:val="24"/>
          <w:szCs w:val="24"/>
          <w:highlight w:val="none"/>
          <w:lang w:eastAsia="zh-CN"/>
        </w:rPr>
        <w:t>1.根据《政府采购质疑和投诉办法》（中华人民共和国财政部第94号令）的有关规定，供应商认为采购文件、采购过程、中标或者成交结果使自己的权益受到损害的，可以在知道或者应知其权益受到损害之日起7个工作日内，以书面形式</w:t>
      </w:r>
      <w:r>
        <w:rPr>
          <w:rFonts w:hint="eastAsia" w:asciiTheme="minorEastAsia" w:hAnsiTheme="minorEastAsia" w:eastAsiaTheme="minorEastAsia" w:cstheme="minorEastAsia"/>
          <w:color w:val="auto"/>
          <w:spacing w:val="2"/>
          <w:position w:val="17"/>
          <w:sz w:val="24"/>
          <w:szCs w:val="24"/>
          <w:highlight w:val="none"/>
          <w:lang w:val="en-US" w:eastAsia="zh-CN"/>
        </w:rPr>
        <w:t>或线上形式</w:t>
      </w:r>
      <w:r>
        <w:rPr>
          <w:rFonts w:hint="eastAsia" w:asciiTheme="minorEastAsia" w:hAnsiTheme="minorEastAsia" w:eastAsiaTheme="minorEastAsia" w:cstheme="minorEastAsia"/>
          <w:color w:val="auto"/>
          <w:spacing w:val="2"/>
          <w:position w:val="17"/>
          <w:sz w:val="24"/>
          <w:szCs w:val="24"/>
          <w:highlight w:val="none"/>
          <w:lang w:eastAsia="zh-CN"/>
        </w:rPr>
        <w:t>向采购人、采购代理机构提出质疑。供应商须在法定质疑期内一次性提出针对同一采购程序环节的质疑。</w:t>
      </w:r>
    </w:p>
    <w:p w14:paraId="65F365A7">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lang w:eastAsia="zh-CN"/>
        </w:rPr>
      </w:pPr>
      <w:r>
        <w:rPr>
          <w:rFonts w:hint="eastAsia" w:asciiTheme="minorEastAsia" w:hAnsiTheme="minorEastAsia" w:eastAsiaTheme="minorEastAsia" w:cstheme="minorEastAsia"/>
          <w:color w:val="auto"/>
          <w:spacing w:val="2"/>
          <w:position w:val="17"/>
          <w:sz w:val="24"/>
          <w:szCs w:val="24"/>
          <w:highlight w:val="none"/>
          <w:lang w:eastAsia="zh-CN"/>
        </w:rPr>
        <w:t>2.质疑函须按照财政部门发布的质疑函范本格式编制，质疑事项应具体、明确，并有必要的事实依据和法律依据。</w:t>
      </w:r>
    </w:p>
    <w:p w14:paraId="1DEAFE46">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lang w:eastAsia="zh-CN"/>
        </w:rPr>
      </w:pPr>
      <w:r>
        <w:rPr>
          <w:rFonts w:hint="eastAsia" w:asciiTheme="minorEastAsia" w:hAnsiTheme="minorEastAsia" w:eastAsiaTheme="minorEastAsia" w:cstheme="minorEastAsia"/>
          <w:color w:val="auto"/>
          <w:spacing w:val="2"/>
          <w:position w:val="17"/>
          <w:sz w:val="24"/>
          <w:szCs w:val="24"/>
          <w:highlight w:val="none"/>
          <w:lang w:eastAsia="zh-CN"/>
        </w:rPr>
        <w:t>3.接收质疑的方式：</w:t>
      </w:r>
    </w:p>
    <w:p w14:paraId="3A0A2828">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lang w:eastAsia="zh-CN"/>
        </w:rPr>
      </w:pPr>
      <w:r>
        <w:rPr>
          <w:rFonts w:hint="eastAsia" w:asciiTheme="minorEastAsia" w:hAnsiTheme="minorEastAsia" w:eastAsiaTheme="minorEastAsia" w:cstheme="minorEastAsia"/>
          <w:color w:val="auto"/>
          <w:spacing w:val="2"/>
          <w:position w:val="17"/>
          <w:sz w:val="24"/>
          <w:szCs w:val="24"/>
          <w:highlight w:val="none"/>
          <w:lang w:eastAsia="zh-CN"/>
        </w:rPr>
        <w:t>3.1在线接收，请质疑人上传质疑函原件扫描件到南阳市公共资源电子营业执照应用平台并电话通知到项目负责人。</w:t>
      </w:r>
    </w:p>
    <w:p w14:paraId="05C41635">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lang w:eastAsia="zh-CN"/>
        </w:rPr>
      </w:pPr>
      <w:r>
        <w:rPr>
          <w:rFonts w:hint="eastAsia" w:asciiTheme="minorEastAsia" w:hAnsiTheme="minorEastAsia" w:eastAsiaTheme="minorEastAsia" w:cstheme="minorEastAsia"/>
          <w:color w:val="auto"/>
          <w:spacing w:val="2"/>
          <w:position w:val="17"/>
          <w:sz w:val="24"/>
          <w:szCs w:val="24"/>
          <w:highlight w:val="none"/>
          <w:lang w:eastAsia="zh-CN"/>
        </w:rPr>
        <w:t>3.2书面提交，请质疑人将质疑函原件送达或邮寄至采购单位联系人和采购代理机构项目负责人，联系方式及地址详见采购公告。</w:t>
      </w:r>
    </w:p>
    <w:p w14:paraId="4F97AEE9">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lang w:eastAsia="zh-CN"/>
        </w:rPr>
      </w:pPr>
      <w:r>
        <w:rPr>
          <w:rFonts w:hint="eastAsia" w:asciiTheme="minorEastAsia" w:hAnsiTheme="minorEastAsia" w:eastAsiaTheme="minorEastAsia" w:cstheme="minorEastAsia"/>
          <w:color w:val="auto"/>
          <w:spacing w:val="2"/>
          <w:position w:val="17"/>
          <w:sz w:val="24"/>
          <w:szCs w:val="24"/>
          <w:highlight w:val="none"/>
          <w:lang w:eastAsia="zh-CN"/>
        </w:rPr>
        <w:t>4.超出法定质疑期的、重复提出的、分次提出的或内容、形式不符合《政府采购质疑和投诉办法》的，采购人和采购代理机构可以拒收，质疑供应商将依法承担不利后果。</w:t>
      </w:r>
    </w:p>
    <w:p w14:paraId="32D06939">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lang w:eastAsia="zh-CN"/>
        </w:rPr>
      </w:pPr>
      <w:r>
        <w:rPr>
          <w:rFonts w:hint="eastAsia" w:asciiTheme="minorEastAsia" w:hAnsiTheme="minorEastAsia" w:eastAsiaTheme="minorEastAsia" w:cstheme="minorEastAsia"/>
          <w:color w:val="auto"/>
          <w:spacing w:val="2"/>
          <w:position w:val="17"/>
          <w:sz w:val="24"/>
          <w:szCs w:val="24"/>
          <w:highlight w:val="none"/>
          <w:lang w:eastAsia="zh-CN"/>
        </w:rPr>
        <w:t>5.采购人和采购代理机构在收到质疑函后7个工作日内作出答复，并以书面形式通知质疑供应商和其他有关供应商。</w:t>
      </w:r>
    </w:p>
    <w:p w14:paraId="19F76797">
      <w:pPr>
        <w:wordWrap w:val="0"/>
        <w:spacing w:line="360" w:lineRule="auto"/>
        <w:ind w:firstLine="490" w:firstLineChars="200"/>
        <w:jc w:val="both"/>
        <w:rPr>
          <w:rFonts w:hint="eastAsia"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八、相关注意事项</w:t>
      </w:r>
    </w:p>
    <w:p w14:paraId="6FAF822F">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1.开标及询标时，投标人法定代表人（负责人）或授权代表务必携带有效的身份证明，否则产生的不利后果由投标人自行承担。</w:t>
      </w:r>
    </w:p>
    <w:p w14:paraId="218A6A15">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2.各投标人应保证：投标文件中涉及到的所有内容，不会出现因第三方提出侵权而引发法律及经济纠纷，不论何种情况下若发生此类情况，其相应责任由投标人自行承担。</w:t>
      </w:r>
    </w:p>
    <w:p w14:paraId="690E6D8F">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3.3开标、评标期间，投标人不得向评委询问评标情况，不得进行旨在影响评标结果的活动。</w:t>
      </w:r>
    </w:p>
    <w:p w14:paraId="77BCC0E8">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4.为了保证评标的公正性，除询标外，评委不得与投标人交换意见。无论评标工作结束与否，参与评标的任何人均不得私下向外透露评标中的任何情况。</w:t>
      </w:r>
    </w:p>
    <w:p w14:paraId="110DDFE0">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5.投标人应本着公平竞争的原则参与投标，不得用任何方式对其它投标人恶意攻击。</w:t>
      </w:r>
    </w:p>
    <w:p w14:paraId="1CB77AA2">
      <w:pPr>
        <w:rPr>
          <w:color w:val="auto"/>
          <w:highlight w:val="none"/>
        </w:rPr>
      </w:pPr>
      <w:r>
        <w:rPr>
          <w:rFonts w:hint="eastAsia" w:asciiTheme="minorEastAsia" w:hAnsiTheme="minorEastAsia" w:eastAsiaTheme="minorEastAsia" w:cstheme="minorEastAsia"/>
          <w:color w:val="auto"/>
          <w:spacing w:val="2"/>
          <w:position w:val="17"/>
          <w:sz w:val="24"/>
          <w:szCs w:val="24"/>
          <w:highlight w:val="none"/>
        </w:rPr>
        <w:t>6.投标人如有违反上述要求或违反国家法律、法规的行为，无论评标结果如何，其投标资格将被取消。</w:t>
      </w:r>
    </w:p>
    <w:p w14:paraId="20B1759A">
      <w:pPr>
        <w:wordWrap w:val="0"/>
        <w:spacing w:line="360" w:lineRule="auto"/>
        <w:jc w:val="center"/>
        <w:rPr>
          <w:rFonts w:asciiTheme="minorEastAsia" w:hAnsiTheme="minorEastAsia" w:eastAsiaTheme="minorEastAsia" w:cstheme="minorEastAsia"/>
          <w:color w:val="auto"/>
          <w:spacing w:val="2"/>
          <w:position w:val="17"/>
          <w:sz w:val="32"/>
          <w:szCs w:val="32"/>
          <w:highlight w:val="none"/>
        </w:rPr>
      </w:pPr>
      <w:r>
        <w:rPr>
          <w:rFonts w:hint="eastAsia" w:asciiTheme="minorEastAsia" w:hAnsiTheme="minorEastAsia" w:eastAsiaTheme="minorEastAsia" w:cstheme="minorEastAsia"/>
          <w:b/>
          <w:bCs/>
          <w:color w:val="auto"/>
          <w:spacing w:val="2"/>
          <w:position w:val="17"/>
          <w:sz w:val="32"/>
          <w:szCs w:val="32"/>
          <w:highlight w:val="none"/>
        </w:rPr>
        <w:t>河南省政府采购合同融资政策告知函</w:t>
      </w:r>
    </w:p>
    <w:p w14:paraId="0142741E">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p>
    <w:p w14:paraId="2E8BDD76">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各供应商：</w:t>
      </w:r>
    </w:p>
    <w:p w14:paraId="131275EC">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欢迎贵公司参与河南省政府采购活动!</w:t>
      </w:r>
    </w:p>
    <w:p w14:paraId="52BB81AF">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3C0A1A42">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贷款渠道和提供贷款的金融机构，可在河南省政府采购网“河南省政府采购合同融资平台”查询联系。</w:t>
      </w:r>
    </w:p>
    <w:p w14:paraId="4C286EF7">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为更大力度激发市场活力和社会创造力，增强发展动力，进一步加强政府采购合同线上融资一站式服务（简称“政采贷”），有需求的供应商，可按上述通知要求办理政采贷。</w:t>
      </w:r>
    </w:p>
    <w:p w14:paraId="7F341D26">
      <w:pPr>
        <w:pStyle w:val="5"/>
        <w:wordWrap w:val="0"/>
        <w:jc w:val="both"/>
        <w:rPr>
          <w:color w:val="auto"/>
          <w:highlight w:val="none"/>
        </w:rPr>
        <w:sectPr>
          <w:footerReference r:id="rId8" w:type="default"/>
          <w:pgSz w:w="11907" w:h="16840"/>
          <w:pgMar w:top="1440" w:right="1800" w:bottom="1440" w:left="1800" w:header="878" w:footer="886" w:gutter="0"/>
          <w:pgNumType w:start="1"/>
          <w:cols w:space="720" w:num="1"/>
        </w:sectPr>
      </w:pPr>
    </w:p>
    <w:p w14:paraId="6E04AC31">
      <w:pPr>
        <w:pStyle w:val="4"/>
        <w:ind w:firstLine="1846" w:firstLineChars="500"/>
        <w:rPr>
          <w:color w:val="auto"/>
          <w:highlight w:val="none"/>
        </w:rPr>
      </w:pPr>
      <w:r>
        <w:rPr>
          <w:rFonts w:hint="eastAsia"/>
          <w:color w:val="auto"/>
          <w:highlight w:val="none"/>
        </w:rPr>
        <w:t>第五章政府采购合同（草案）</w:t>
      </w:r>
    </w:p>
    <w:p w14:paraId="72C62804">
      <w:pPr>
        <w:pStyle w:val="5"/>
        <w:jc w:val="both"/>
        <w:rPr>
          <w:color w:val="auto"/>
          <w:highlight w:val="none"/>
        </w:rPr>
      </w:pPr>
    </w:p>
    <w:p w14:paraId="3FB85970">
      <w:pPr>
        <w:pageBreakBefore w:val="0"/>
        <w:kinsoku/>
        <w:overflowPunct/>
        <w:bidi w:val="0"/>
        <w:adjustRightInd w:val="0"/>
        <w:snapToGrid w:val="0"/>
        <w:spacing w:after="0" w:line="360" w:lineRule="auto"/>
        <w:ind w:firstLine="3006"/>
        <w:textAlignment w:val="auto"/>
        <w:outlineLvl w:val="9"/>
        <w:rPr>
          <w:rFonts w:ascii="宋体" w:hAnsi="宋体" w:eastAsia="宋体" w:cs="宋体"/>
          <w:color w:val="auto"/>
          <w:sz w:val="36"/>
          <w:szCs w:val="36"/>
          <w:highlight w:val="none"/>
        </w:rPr>
      </w:pPr>
      <w:r>
        <w:rPr>
          <w:rFonts w:ascii="宋体" w:hAnsi="宋体" w:eastAsia="宋体" w:cs="宋体"/>
          <w:color w:val="auto"/>
          <w:spacing w:val="-4"/>
          <w:sz w:val="36"/>
          <w:szCs w:val="36"/>
          <w:highlight w:val="none"/>
        </w:rPr>
        <w:t>合同格式（仅供参考）</w:t>
      </w:r>
    </w:p>
    <w:p w14:paraId="0BC7F37D">
      <w:pPr>
        <w:pageBreakBefore w:val="0"/>
        <w:kinsoku/>
        <w:overflowPunct/>
        <w:bidi w:val="0"/>
        <w:adjustRightInd w:val="0"/>
        <w:snapToGrid w:val="0"/>
        <w:spacing w:after="0" w:line="360" w:lineRule="auto"/>
        <w:ind w:firstLine="6772"/>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pacing w:val="-22"/>
          <w:w w:val="94"/>
          <w:sz w:val="24"/>
          <w:szCs w:val="24"/>
          <w:highlight w:val="none"/>
        </w:rPr>
        <w:t>合同编号：</w:t>
      </w:r>
    </w:p>
    <w:p w14:paraId="386FA659">
      <w:pPr>
        <w:pageBreakBefore w:val="0"/>
        <w:kinsoku/>
        <w:overflowPunct/>
        <w:bidi w:val="0"/>
        <w:adjustRightInd w:val="0"/>
        <w:snapToGrid w:val="0"/>
        <w:spacing w:after="0" w:line="360" w:lineRule="auto"/>
        <w:ind w:firstLine="16"/>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pacing w:val="-19"/>
          <w:position w:val="14"/>
          <w:sz w:val="24"/>
          <w:szCs w:val="24"/>
          <w:highlight w:val="none"/>
        </w:rPr>
        <w:t>供方（中标人全称</w:t>
      </w:r>
      <w:r>
        <w:rPr>
          <w:rFonts w:ascii="宋体" w:hAnsi="宋体" w:eastAsia="宋体" w:cs="宋体"/>
          <w:color w:val="auto"/>
          <w:spacing w:val="-17"/>
          <w:position w:val="14"/>
          <w:sz w:val="24"/>
          <w:szCs w:val="24"/>
          <w:highlight w:val="none"/>
        </w:rPr>
        <w:t>）：</w:t>
      </w:r>
    </w:p>
    <w:p w14:paraId="4F77C0F7">
      <w:pPr>
        <w:pageBreakBefore w:val="0"/>
        <w:kinsoku/>
        <w:overflowPunct/>
        <w:bidi w:val="0"/>
        <w:adjustRightInd w:val="0"/>
        <w:snapToGrid w:val="0"/>
        <w:spacing w:after="0" w:line="360" w:lineRule="auto"/>
        <w:ind w:firstLine="27"/>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pacing w:val="-20"/>
          <w:sz w:val="24"/>
          <w:szCs w:val="24"/>
          <w:highlight w:val="none"/>
        </w:rPr>
        <w:t>需方（采购人全称</w:t>
      </w:r>
      <w:r>
        <w:rPr>
          <w:rFonts w:ascii="宋体" w:hAnsi="宋体" w:eastAsia="宋体" w:cs="宋体"/>
          <w:color w:val="auto"/>
          <w:spacing w:val="-18"/>
          <w:sz w:val="24"/>
          <w:szCs w:val="24"/>
          <w:highlight w:val="none"/>
        </w:rPr>
        <w:t>）：</w:t>
      </w:r>
    </w:p>
    <w:p w14:paraId="4120B65B">
      <w:pPr>
        <w:pageBreakBefore w:val="0"/>
        <w:kinsoku/>
        <w:overflowPunct/>
        <w:bidi w:val="0"/>
        <w:adjustRightInd w:val="0"/>
        <w:snapToGrid w:val="0"/>
        <w:spacing w:after="0" w:line="360" w:lineRule="auto"/>
        <w:ind w:left="16" w:right="209" w:firstLine="646"/>
        <w:textAlignment w:val="auto"/>
        <w:outlineLvl w:val="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供方持签发的中标/成交通知书，根据招标文件、供方的投标/报价等文件[项目编</w:t>
      </w:r>
      <w:r>
        <w:rPr>
          <w:rFonts w:ascii="宋体" w:hAnsi="宋体" w:eastAsia="宋体" w:cs="宋体"/>
          <w:color w:val="auto"/>
          <w:spacing w:val="-6"/>
          <w:sz w:val="24"/>
          <w:szCs w:val="24"/>
          <w:highlight w:val="none"/>
        </w:rPr>
        <w:t>号：]，按照《政府采购法》、《合同法》等有关法律、法规，供需双方经协商一致，达成以下合同条款：</w:t>
      </w:r>
    </w:p>
    <w:p w14:paraId="68AFC486">
      <w:pPr>
        <w:pageBreakBefore w:val="0"/>
        <w:kinsoku/>
        <w:overflowPunct/>
        <w:bidi w:val="0"/>
        <w:adjustRightInd w:val="0"/>
        <w:snapToGrid w:val="0"/>
        <w:spacing w:after="0" w:line="360" w:lineRule="auto"/>
        <w:ind w:left="554" w:right="1731" w:firstLine="3"/>
        <w:textAlignment w:val="auto"/>
        <w:outlineLvl w:val="9"/>
        <w:rPr>
          <w:rFonts w:ascii="宋体" w:hAnsi="宋体" w:eastAsia="宋体" w:cs="宋体"/>
          <w:color w:val="auto"/>
          <w:sz w:val="24"/>
          <w:szCs w:val="24"/>
          <w:highlight w:val="none"/>
        </w:rPr>
      </w:pPr>
      <w:r>
        <w:rPr>
          <w:rFonts w:ascii="宋体" w:hAnsi="宋体" w:eastAsia="宋体" w:cs="宋体"/>
          <w:color w:val="auto"/>
          <w:spacing w:val="-21"/>
          <w:sz w:val="24"/>
          <w:szCs w:val="24"/>
          <w:highlight w:val="none"/>
        </w:rPr>
        <w:t>一、本合同名称：。</w:t>
      </w:r>
      <w:r>
        <w:rPr>
          <w:rFonts w:ascii="宋体" w:hAnsi="宋体" w:eastAsia="宋体" w:cs="宋体"/>
          <w:color w:val="auto"/>
          <w:spacing w:val="-12"/>
          <w:sz w:val="24"/>
          <w:szCs w:val="24"/>
          <w:highlight w:val="none"/>
        </w:rPr>
        <w:t>二、本合同总价为人民币元（大写</w:t>
      </w:r>
      <w:r>
        <w:rPr>
          <w:rFonts w:ascii="宋体" w:hAnsi="宋体" w:eastAsia="宋体" w:cs="宋体"/>
          <w:color w:val="auto"/>
          <w:spacing w:val="-32"/>
          <w:sz w:val="24"/>
          <w:szCs w:val="24"/>
          <w:highlight w:val="none"/>
        </w:rPr>
        <w:t>：）</w:t>
      </w:r>
      <w:r>
        <w:rPr>
          <w:rFonts w:ascii="宋体" w:hAnsi="宋体" w:eastAsia="宋体" w:cs="宋体"/>
          <w:color w:val="auto"/>
          <w:spacing w:val="-12"/>
          <w:sz w:val="24"/>
          <w:szCs w:val="24"/>
          <w:highlight w:val="none"/>
        </w:rPr>
        <w:t>。</w:t>
      </w:r>
      <w:r>
        <w:rPr>
          <w:rFonts w:ascii="宋体" w:hAnsi="宋体" w:eastAsia="宋体" w:cs="宋体"/>
          <w:color w:val="auto"/>
          <w:spacing w:val="-4"/>
          <w:sz w:val="24"/>
          <w:szCs w:val="24"/>
          <w:highlight w:val="none"/>
        </w:rPr>
        <w:t>供货范围、技术规格、及分项价格如下：</w:t>
      </w:r>
    </w:p>
    <w:p w14:paraId="3E1694A0">
      <w:pPr>
        <w:pageBreakBefore w:val="0"/>
        <w:kinsoku/>
        <w:overflowPunct/>
        <w:bidi w:val="0"/>
        <w:adjustRightInd w:val="0"/>
        <w:snapToGrid w:val="0"/>
        <w:spacing w:after="0" w:line="360" w:lineRule="auto"/>
        <w:ind w:firstLine="7699"/>
        <w:textAlignment w:val="auto"/>
        <w:outlineLvl w:val="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单位：人民币元</w:t>
      </w:r>
    </w:p>
    <w:p w14:paraId="6BC7CCEE">
      <w:pPr>
        <w:pageBreakBefore w:val="0"/>
        <w:kinsoku/>
        <w:overflowPunct/>
        <w:bidi w:val="0"/>
        <w:adjustRightInd w:val="0"/>
        <w:snapToGrid w:val="0"/>
        <w:spacing w:after="0" w:line="360" w:lineRule="auto"/>
        <w:textAlignment w:val="auto"/>
        <w:outlineLvl w:val="9"/>
        <w:rPr>
          <w:color w:val="auto"/>
          <w:highlight w:val="none"/>
        </w:rPr>
      </w:pPr>
    </w:p>
    <w:tbl>
      <w:tblPr>
        <w:tblStyle w:val="21"/>
        <w:tblW w:w="915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9"/>
        <w:gridCol w:w="1261"/>
        <w:gridCol w:w="2356"/>
        <w:gridCol w:w="571"/>
        <w:gridCol w:w="571"/>
        <w:gridCol w:w="762"/>
        <w:gridCol w:w="762"/>
        <w:gridCol w:w="858"/>
        <w:gridCol w:w="766"/>
      </w:tblGrid>
      <w:tr w14:paraId="7DC90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8" w:hRule="atLeast"/>
        </w:trPr>
        <w:tc>
          <w:tcPr>
            <w:tcW w:w="1249" w:type="dxa"/>
            <w:vAlign w:val="top"/>
          </w:tcPr>
          <w:p w14:paraId="33D8B2B7">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4477E5F5">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0B3853AD">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269C9F38">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33063E83">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3EB653F3">
            <w:pPr>
              <w:pageBreakBefore w:val="0"/>
              <w:kinsoku/>
              <w:overflowPunct/>
              <w:bidi w:val="0"/>
              <w:adjustRightInd w:val="0"/>
              <w:snapToGrid w:val="0"/>
              <w:spacing w:after="0" w:line="360" w:lineRule="auto"/>
              <w:ind w:firstLine="355"/>
              <w:textAlignment w:val="auto"/>
              <w:outlineLvl w:val="9"/>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名称</w:t>
            </w:r>
          </w:p>
        </w:tc>
        <w:tc>
          <w:tcPr>
            <w:tcW w:w="1261" w:type="dxa"/>
            <w:vAlign w:val="top"/>
          </w:tcPr>
          <w:p w14:paraId="725E097A">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7E2D0753">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4C7392D0">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6FDB5F74">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2867CB7F">
            <w:pPr>
              <w:pageBreakBefore w:val="0"/>
              <w:kinsoku/>
              <w:overflowPunct/>
              <w:bidi w:val="0"/>
              <w:adjustRightInd w:val="0"/>
              <w:snapToGrid w:val="0"/>
              <w:spacing w:after="0" w:line="360" w:lineRule="auto"/>
              <w:ind w:left="175" w:right="175" w:firstLine="19"/>
              <w:textAlignment w:val="auto"/>
              <w:outlineLvl w:val="9"/>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品牌/规</w:t>
            </w:r>
            <w:r>
              <w:rPr>
                <w:rFonts w:ascii="宋体" w:hAnsi="宋体" w:eastAsia="宋体" w:cs="宋体"/>
                <w:color w:val="auto"/>
                <w:spacing w:val="-3"/>
                <w:sz w:val="24"/>
                <w:szCs w:val="24"/>
                <w:highlight w:val="none"/>
              </w:rPr>
              <w:t>格/型号</w:t>
            </w:r>
          </w:p>
        </w:tc>
        <w:tc>
          <w:tcPr>
            <w:tcW w:w="2356" w:type="dxa"/>
            <w:vAlign w:val="top"/>
          </w:tcPr>
          <w:p w14:paraId="588EC998">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5709F0B3">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72D6A2E1">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25193C49">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5FC7601A">
            <w:pPr>
              <w:pageBreakBefore w:val="0"/>
              <w:kinsoku/>
              <w:overflowPunct/>
              <w:bidi w:val="0"/>
              <w:adjustRightInd w:val="0"/>
              <w:snapToGrid w:val="0"/>
              <w:spacing w:after="0" w:line="360" w:lineRule="auto"/>
              <w:ind w:firstLine="636"/>
              <w:textAlignment w:val="auto"/>
              <w:outlineLvl w:val="9"/>
              <w:rPr>
                <w:rFonts w:ascii="宋体" w:hAnsi="宋体" w:eastAsia="宋体" w:cs="宋体"/>
                <w:color w:val="auto"/>
                <w:sz w:val="24"/>
                <w:szCs w:val="24"/>
                <w:highlight w:val="none"/>
              </w:rPr>
            </w:pPr>
            <w:r>
              <w:rPr>
                <w:rFonts w:ascii="宋体" w:hAnsi="宋体" w:eastAsia="宋体" w:cs="宋体"/>
                <w:color w:val="auto"/>
                <w:spacing w:val="-2"/>
                <w:position w:val="14"/>
                <w:sz w:val="24"/>
                <w:szCs w:val="24"/>
                <w:highlight w:val="none"/>
              </w:rPr>
              <w:t>技术参数</w:t>
            </w:r>
          </w:p>
          <w:p w14:paraId="63CF5754">
            <w:pPr>
              <w:pageBreakBefore w:val="0"/>
              <w:kinsoku/>
              <w:overflowPunct/>
              <w:bidi w:val="0"/>
              <w:adjustRightInd w:val="0"/>
              <w:snapToGrid w:val="0"/>
              <w:spacing w:after="0" w:line="360" w:lineRule="auto"/>
              <w:ind w:firstLine="557"/>
              <w:textAlignment w:val="auto"/>
              <w:outlineLvl w:val="9"/>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(详细配置)</w:t>
            </w:r>
          </w:p>
        </w:tc>
        <w:tc>
          <w:tcPr>
            <w:tcW w:w="571" w:type="dxa"/>
            <w:textDirection w:val="tbRlV"/>
            <w:vAlign w:val="top"/>
          </w:tcPr>
          <w:p w14:paraId="7CFE76C4">
            <w:pPr>
              <w:pageBreakBefore w:val="0"/>
              <w:kinsoku/>
              <w:overflowPunct/>
              <w:bidi w:val="0"/>
              <w:adjustRightInd w:val="0"/>
              <w:snapToGrid w:val="0"/>
              <w:spacing w:after="0" w:line="360" w:lineRule="auto"/>
              <w:ind w:firstLine="1252"/>
              <w:textAlignment w:val="auto"/>
              <w:outlineLvl w:val="9"/>
              <w:rPr>
                <w:rFonts w:ascii="宋体" w:hAnsi="宋体" w:eastAsia="宋体" w:cs="宋体"/>
                <w:color w:val="auto"/>
                <w:sz w:val="24"/>
                <w:szCs w:val="24"/>
                <w:highlight w:val="none"/>
              </w:rPr>
            </w:pPr>
            <w:r>
              <w:rPr>
                <w:rFonts w:ascii="宋体" w:hAnsi="宋体" w:eastAsia="宋体" w:cs="宋体"/>
                <w:color w:val="auto"/>
                <w:sz w:val="24"/>
                <w:szCs w:val="24"/>
                <w:highlight w:val="none"/>
              </w:rPr>
              <w:t>单位</w:t>
            </w:r>
          </w:p>
        </w:tc>
        <w:tc>
          <w:tcPr>
            <w:tcW w:w="571" w:type="dxa"/>
            <w:textDirection w:val="tbRlV"/>
            <w:vAlign w:val="top"/>
          </w:tcPr>
          <w:p w14:paraId="3FA7C9D3">
            <w:pPr>
              <w:pageBreakBefore w:val="0"/>
              <w:kinsoku/>
              <w:overflowPunct/>
              <w:bidi w:val="0"/>
              <w:adjustRightInd w:val="0"/>
              <w:snapToGrid w:val="0"/>
              <w:spacing w:after="0" w:line="360" w:lineRule="auto"/>
              <w:ind w:firstLine="1252"/>
              <w:textAlignment w:val="auto"/>
              <w:outlineLvl w:val="9"/>
              <w:rPr>
                <w:rFonts w:ascii="宋体" w:hAnsi="宋体" w:eastAsia="宋体" w:cs="宋体"/>
                <w:color w:val="auto"/>
                <w:sz w:val="24"/>
                <w:szCs w:val="24"/>
                <w:highlight w:val="none"/>
              </w:rPr>
            </w:pPr>
            <w:r>
              <w:rPr>
                <w:rFonts w:ascii="宋体" w:hAnsi="宋体" w:eastAsia="宋体" w:cs="宋体"/>
                <w:color w:val="auto"/>
                <w:sz w:val="24"/>
                <w:szCs w:val="24"/>
                <w:highlight w:val="none"/>
              </w:rPr>
              <w:t>数量</w:t>
            </w:r>
          </w:p>
        </w:tc>
        <w:tc>
          <w:tcPr>
            <w:tcW w:w="762" w:type="dxa"/>
            <w:vAlign w:val="top"/>
          </w:tcPr>
          <w:p w14:paraId="64F0089E">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7E240219">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44F1F769">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6FD78368">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07A088D9">
            <w:pPr>
              <w:pageBreakBefore w:val="0"/>
              <w:kinsoku/>
              <w:overflowPunct/>
              <w:bidi w:val="0"/>
              <w:adjustRightInd w:val="0"/>
              <w:snapToGrid w:val="0"/>
              <w:spacing w:after="0" w:line="360" w:lineRule="auto"/>
              <w:ind w:firstLine="124"/>
              <w:textAlignment w:val="auto"/>
              <w:outlineLvl w:val="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合计</w:t>
            </w:r>
          </w:p>
        </w:tc>
        <w:tc>
          <w:tcPr>
            <w:tcW w:w="762" w:type="dxa"/>
            <w:tcBorders>
              <w:right w:val="single" w:color="000000" w:sz="2" w:space="0"/>
            </w:tcBorders>
            <w:vAlign w:val="top"/>
          </w:tcPr>
          <w:p w14:paraId="43043AA3">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6590632D">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17FFBE51">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5CEA8868">
            <w:pPr>
              <w:pageBreakBefore w:val="0"/>
              <w:kinsoku/>
              <w:overflowPunct/>
              <w:bidi w:val="0"/>
              <w:adjustRightInd w:val="0"/>
              <w:snapToGrid w:val="0"/>
              <w:spacing w:after="0" w:line="360" w:lineRule="auto"/>
              <w:ind w:firstLine="129"/>
              <w:textAlignment w:val="auto"/>
              <w:outlineLvl w:val="9"/>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免费</w:t>
            </w:r>
          </w:p>
          <w:p w14:paraId="32D53151">
            <w:pPr>
              <w:pageBreakBefore w:val="0"/>
              <w:kinsoku/>
              <w:overflowPunct/>
              <w:bidi w:val="0"/>
              <w:adjustRightInd w:val="0"/>
              <w:snapToGrid w:val="0"/>
              <w:spacing w:after="0" w:line="360" w:lineRule="auto"/>
              <w:ind w:firstLine="124"/>
              <w:textAlignment w:val="auto"/>
              <w:outlineLvl w:val="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质保</w:t>
            </w:r>
          </w:p>
          <w:p w14:paraId="7A80EF69">
            <w:pPr>
              <w:pageBreakBefore w:val="0"/>
              <w:kinsoku/>
              <w:overflowPunct/>
              <w:bidi w:val="0"/>
              <w:adjustRightInd w:val="0"/>
              <w:snapToGrid w:val="0"/>
              <w:spacing w:after="0" w:line="360" w:lineRule="auto"/>
              <w:ind w:firstLine="246"/>
              <w:textAlignment w:val="auto"/>
              <w:outlineLvl w:val="9"/>
              <w:rPr>
                <w:rFonts w:ascii="宋体" w:hAnsi="宋体" w:eastAsia="宋体" w:cs="宋体"/>
                <w:color w:val="auto"/>
                <w:sz w:val="24"/>
                <w:szCs w:val="24"/>
                <w:highlight w:val="none"/>
              </w:rPr>
            </w:pPr>
            <w:r>
              <w:rPr>
                <w:rFonts w:ascii="宋体" w:hAnsi="宋体" w:eastAsia="宋体" w:cs="宋体"/>
                <w:color w:val="auto"/>
                <w:sz w:val="24"/>
                <w:szCs w:val="24"/>
                <w:highlight w:val="none"/>
              </w:rPr>
              <w:t>期</w:t>
            </w:r>
          </w:p>
        </w:tc>
        <w:tc>
          <w:tcPr>
            <w:tcW w:w="858" w:type="dxa"/>
            <w:tcBorders>
              <w:left w:val="single" w:color="000000" w:sz="2" w:space="0"/>
              <w:right w:val="single" w:color="000000" w:sz="2" w:space="0"/>
            </w:tcBorders>
            <w:vAlign w:val="top"/>
          </w:tcPr>
          <w:p w14:paraId="150EB28B">
            <w:pPr>
              <w:pageBreakBefore w:val="0"/>
              <w:kinsoku/>
              <w:overflowPunct/>
              <w:bidi w:val="0"/>
              <w:adjustRightInd w:val="0"/>
              <w:snapToGrid w:val="0"/>
              <w:spacing w:after="0" w:line="360" w:lineRule="auto"/>
              <w:ind w:firstLine="174"/>
              <w:textAlignment w:val="auto"/>
              <w:outlineLvl w:val="9"/>
              <w:rPr>
                <w:rFonts w:ascii="宋体" w:hAnsi="宋体" w:eastAsia="宋体" w:cs="宋体"/>
                <w:color w:val="auto"/>
                <w:spacing w:val="-4"/>
                <w:sz w:val="24"/>
                <w:szCs w:val="24"/>
                <w:highlight w:val="none"/>
              </w:rPr>
            </w:pPr>
          </w:p>
          <w:p w14:paraId="38D190F7">
            <w:pPr>
              <w:pageBreakBefore w:val="0"/>
              <w:kinsoku/>
              <w:overflowPunct/>
              <w:bidi w:val="0"/>
              <w:adjustRightInd w:val="0"/>
              <w:snapToGrid w:val="0"/>
              <w:spacing w:after="0" w:line="360" w:lineRule="auto"/>
              <w:ind w:firstLine="174"/>
              <w:textAlignment w:val="auto"/>
              <w:outlineLvl w:val="9"/>
              <w:rPr>
                <w:rFonts w:ascii="宋体" w:hAnsi="宋体" w:eastAsia="宋体" w:cs="宋体"/>
                <w:color w:val="auto"/>
                <w:spacing w:val="-4"/>
                <w:sz w:val="24"/>
                <w:szCs w:val="24"/>
                <w:highlight w:val="none"/>
              </w:rPr>
            </w:pPr>
          </w:p>
          <w:p w14:paraId="2A392DEE">
            <w:pPr>
              <w:pageBreakBefore w:val="0"/>
              <w:kinsoku/>
              <w:overflowPunct/>
              <w:bidi w:val="0"/>
              <w:adjustRightInd w:val="0"/>
              <w:snapToGrid w:val="0"/>
              <w:spacing w:after="0" w:line="360" w:lineRule="auto"/>
              <w:ind w:firstLine="174"/>
              <w:textAlignment w:val="auto"/>
              <w:outlineLvl w:val="9"/>
              <w:rPr>
                <w:rFonts w:ascii="宋体" w:hAnsi="宋体" w:eastAsia="宋体" w:cs="宋体"/>
                <w:color w:val="auto"/>
                <w:spacing w:val="-4"/>
                <w:sz w:val="24"/>
                <w:szCs w:val="24"/>
                <w:highlight w:val="none"/>
              </w:rPr>
            </w:pPr>
          </w:p>
          <w:p w14:paraId="22B8FFCE">
            <w:pPr>
              <w:pageBreakBefore w:val="0"/>
              <w:kinsoku/>
              <w:overflowPunct/>
              <w:bidi w:val="0"/>
              <w:adjustRightInd w:val="0"/>
              <w:snapToGrid w:val="0"/>
              <w:spacing w:after="0" w:line="360" w:lineRule="auto"/>
              <w:ind w:firstLine="174"/>
              <w:textAlignment w:val="auto"/>
              <w:outlineLvl w:val="9"/>
              <w:rPr>
                <w:rFonts w:ascii="宋体" w:hAnsi="宋体" w:eastAsia="宋体" w:cs="宋体"/>
                <w:color w:val="auto"/>
                <w:spacing w:val="-4"/>
                <w:sz w:val="24"/>
                <w:szCs w:val="24"/>
                <w:highlight w:val="none"/>
              </w:rPr>
            </w:pPr>
          </w:p>
          <w:p w14:paraId="01E75A6C">
            <w:pPr>
              <w:pageBreakBefore w:val="0"/>
              <w:kinsoku/>
              <w:overflowPunct/>
              <w:bidi w:val="0"/>
              <w:adjustRightInd w:val="0"/>
              <w:snapToGrid w:val="0"/>
              <w:spacing w:after="0" w:line="360" w:lineRule="auto"/>
              <w:ind w:firstLine="174"/>
              <w:textAlignment w:val="auto"/>
              <w:outlineLvl w:val="9"/>
              <w:rPr>
                <w:rFonts w:ascii="宋体" w:hAnsi="宋体" w:eastAsia="宋体" w:cs="宋体"/>
                <w:color w:val="auto"/>
                <w:spacing w:val="-4"/>
                <w:sz w:val="24"/>
                <w:szCs w:val="24"/>
                <w:highlight w:val="none"/>
              </w:rPr>
            </w:pPr>
          </w:p>
          <w:p w14:paraId="2BB3E114">
            <w:pPr>
              <w:pageBreakBefore w:val="0"/>
              <w:kinsoku/>
              <w:overflowPunct/>
              <w:bidi w:val="0"/>
              <w:adjustRightInd w:val="0"/>
              <w:snapToGrid w:val="0"/>
              <w:spacing w:after="0" w:line="360" w:lineRule="auto"/>
              <w:ind w:firstLine="174"/>
              <w:textAlignment w:val="auto"/>
              <w:outlineLvl w:val="9"/>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备注</w:t>
            </w:r>
          </w:p>
        </w:tc>
        <w:tc>
          <w:tcPr>
            <w:tcW w:w="766" w:type="dxa"/>
            <w:tcBorders>
              <w:left w:val="single" w:color="000000" w:sz="2" w:space="0"/>
            </w:tcBorders>
            <w:vAlign w:val="top"/>
          </w:tcPr>
          <w:p w14:paraId="07ADA9FC">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27F6561B">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01D88275">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1744E372">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0C51B810">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5DFD421B">
            <w:pPr>
              <w:pageBreakBefore w:val="0"/>
              <w:kinsoku/>
              <w:overflowPunct/>
              <w:bidi w:val="0"/>
              <w:adjustRightInd w:val="0"/>
              <w:snapToGrid w:val="0"/>
              <w:spacing w:after="0" w:line="360" w:lineRule="auto"/>
              <w:ind w:firstLine="132"/>
              <w:textAlignment w:val="auto"/>
              <w:outlineLvl w:val="9"/>
              <w:rPr>
                <w:rFonts w:ascii="宋体" w:hAnsi="宋体" w:eastAsia="宋体" w:cs="宋体"/>
                <w:color w:val="auto"/>
                <w:sz w:val="24"/>
                <w:szCs w:val="24"/>
                <w:highlight w:val="none"/>
              </w:rPr>
            </w:pPr>
          </w:p>
        </w:tc>
      </w:tr>
      <w:tr w14:paraId="01D92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249" w:type="dxa"/>
            <w:vAlign w:val="top"/>
          </w:tcPr>
          <w:p w14:paraId="6A4AD8BA">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1261" w:type="dxa"/>
            <w:vAlign w:val="top"/>
          </w:tcPr>
          <w:p w14:paraId="5830F54F">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2356" w:type="dxa"/>
            <w:vAlign w:val="top"/>
          </w:tcPr>
          <w:p w14:paraId="2FD0F9BC">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571" w:type="dxa"/>
            <w:vAlign w:val="top"/>
          </w:tcPr>
          <w:p w14:paraId="52309DE8">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571" w:type="dxa"/>
            <w:vAlign w:val="top"/>
          </w:tcPr>
          <w:p w14:paraId="5A350D9A">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762" w:type="dxa"/>
            <w:vAlign w:val="top"/>
          </w:tcPr>
          <w:p w14:paraId="3D7CC646">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762" w:type="dxa"/>
            <w:tcBorders>
              <w:right w:val="single" w:color="000000" w:sz="2" w:space="0"/>
            </w:tcBorders>
            <w:vAlign w:val="top"/>
          </w:tcPr>
          <w:p w14:paraId="7A4DF79E">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858" w:type="dxa"/>
            <w:tcBorders>
              <w:left w:val="single" w:color="000000" w:sz="2" w:space="0"/>
              <w:right w:val="single" w:color="000000" w:sz="2" w:space="0"/>
            </w:tcBorders>
            <w:vAlign w:val="top"/>
          </w:tcPr>
          <w:p w14:paraId="0F92EE55">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766" w:type="dxa"/>
            <w:tcBorders>
              <w:left w:val="single" w:color="000000" w:sz="2" w:space="0"/>
            </w:tcBorders>
            <w:vAlign w:val="top"/>
          </w:tcPr>
          <w:p w14:paraId="3FAA9DEC">
            <w:pPr>
              <w:pageBreakBefore w:val="0"/>
              <w:kinsoku/>
              <w:overflowPunct/>
              <w:bidi w:val="0"/>
              <w:adjustRightInd w:val="0"/>
              <w:snapToGrid w:val="0"/>
              <w:spacing w:after="0" w:line="360" w:lineRule="auto"/>
              <w:textAlignment w:val="auto"/>
              <w:outlineLvl w:val="9"/>
              <w:rPr>
                <w:rFonts w:ascii="宋体"/>
                <w:color w:val="auto"/>
                <w:sz w:val="21"/>
                <w:highlight w:val="none"/>
              </w:rPr>
            </w:pPr>
          </w:p>
        </w:tc>
      </w:tr>
      <w:tr w14:paraId="66A85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249" w:type="dxa"/>
            <w:vAlign w:val="top"/>
          </w:tcPr>
          <w:p w14:paraId="5AA6198D">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1261" w:type="dxa"/>
            <w:vAlign w:val="top"/>
          </w:tcPr>
          <w:p w14:paraId="58DA1F46">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2356" w:type="dxa"/>
            <w:vAlign w:val="top"/>
          </w:tcPr>
          <w:p w14:paraId="360DF547">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571" w:type="dxa"/>
            <w:vAlign w:val="top"/>
          </w:tcPr>
          <w:p w14:paraId="093584ED">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571" w:type="dxa"/>
            <w:vAlign w:val="top"/>
          </w:tcPr>
          <w:p w14:paraId="483EEBE0">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762" w:type="dxa"/>
            <w:vAlign w:val="top"/>
          </w:tcPr>
          <w:p w14:paraId="4174BC45">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762" w:type="dxa"/>
            <w:tcBorders>
              <w:right w:val="single" w:color="000000" w:sz="2" w:space="0"/>
            </w:tcBorders>
            <w:vAlign w:val="top"/>
          </w:tcPr>
          <w:p w14:paraId="299F7E0E">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858" w:type="dxa"/>
            <w:tcBorders>
              <w:left w:val="single" w:color="000000" w:sz="2" w:space="0"/>
              <w:right w:val="single" w:color="000000" w:sz="2" w:space="0"/>
            </w:tcBorders>
            <w:vAlign w:val="top"/>
          </w:tcPr>
          <w:p w14:paraId="4C7CDD1C">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766" w:type="dxa"/>
            <w:tcBorders>
              <w:left w:val="single" w:color="000000" w:sz="2" w:space="0"/>
            </w:tcBorders>
            <w:vAlign w:val="top"/>
          </w:tcPr>
          <w:p w14:paraId="6AEE45F9">
            <w:pPr>
              <w:pageBreakBefore w:val="0"/>
              <w:kinsoku/>
              <w:overflowPunct/>
              <w:bidi w:val="0"/>
              <w:adjustRightInd w:val="0"/>
              <w:snapToGrid w:val="0"/>
              <w:spacing w:after="0" w:line="360" w:lineRule="auto"/>
              <w:textAlignment w:val="auto"/>
              <w:outlineLvl w:val="9"/>
              <w:rPr>
                <w:rFonts w:ascii="宋体"/>
                <w:color w:val="auto"/>
                <w:sz w:val="21"/>
                <w:highlight w:val="none"/>
              </w:rPr>
            </w:pPr>
          </w:p>
        </w:tc>
      </w:tr>
      <w:tr w14:paraId="26A1D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249" w:type="dxa"/>
            <w:vAlign w:val="top"/>
          </w:tcPr>
          <w:p w14:paraId="5C9340C0">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1261" w:type="dxa"/>
            <w:tcBorders>
              <w:bottom w:val="single" w:color="auto" w:sz="4" w:space="0"/>
            </w:tcBorders>
            <w:vAlign w:val="top"/>
          </w:tcPr>
          <w:p w14:paraId="1E8582DD">
            <w:pPr>
              <w:pageBreakBefore w:val="0"/>
              <w:kinsoku/>
              <w:overflowPunct/>
              <w:bidi w:val="0"/>
              <w:adjustRightInd w:val="0"/>
              <w:snapToGrid w:val="0"/>
              <w:spacing w:after="0" w:line="360" w:lineRule="auto"/>
              <w:ind w:firstLine="115" w:firstLineChars="0"/>
              <w:textAlignment w:val="auto"/>
              <w:outlineLvl w:val="9"/>
              <w:rPr>
                <w:rFonts w:ascii="宋体" w:hAnsi="宋体" w:eastAsia="宋体" w:cs="宋体"/>
                <w:color w:val="auto"/>
                <w:kern w:val="2"/>
                <w:sz w:val="22"/>
                <w:szCs w:val="22"/>
                <w:highlight w:val="none"/>
                <w:lang w:val="en-US" w:eastAsia="zh-CN" w:bidi="ar-SA"/>
              </w:rPr>
            </w:pPr>
          </w:p>
        </w:tc>
        <w:tc>
          <w:tcPr>
            <w:tcW w:w="2356" w:type="dxa"/>
            <w:tcBorders>
              <w:bottom w:val="single" w:color="auto" w:sz="4" w:space="0"/>
            </w:tcBorders>
            <w:vAlign w:val="top"/>
          </w:tcPr>
          <w:p w14:paraId="32220491">
            <w:pPr>
              <w:pageBreakBefore w:val="0"/>
              <w:kinsoku/>
              <w:overflowPunct/>
              <w:bidi w:val="0"/>
              <w:adjustRightInd w:val="0"/>
              <w:snapToGrid w:val="0"/>
              <w:spacing w:after="0" w:line="360" w:lineRule="auto"/>
              <w:textAlignment w:val="auto"/>
              <w:outlineLvl w:val="9"/>
              <w:rPr>
                <w:rFonts w:ascii="宋体" w:hAnsiTheme="minorAscii" w:eastAsiaTheme="minorEastAsia" w:cstheme="minorBidi"/>
                <w:color w:val="auto"/>
                <w:kern w:val="2"/>
                <w:sz w:val="20"/>
                <w:szCs w:val="22"/>
                <w:highlight w:val="none"/>
                <w:lang w:val="en-US" w:eastAsia="zh-CN" w:bidi="ar-SA"/>
              </w:rPr>
            </w:pPr>
          </w:p>
        </w:tc>
        <w:tc>
          <w:tcPr>
            <w:tcW w:w="571" w:type="dxa"/>
            <w:tcBorders>
              <w:bottom w:val="single" w:color="auto" w:sz="4" w:space="0"/>
            </w:tcBorders>
            <w:vAlign w:val="top"/>
          </w:tcPr>
          <w:p w14:paraId="169A1E26">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571" w:type="dxa"/>
            <w:tcBorders>
              <w:bottom w:val="single" w:color="auto" w:sz="4" w:space="0"/>
            </w:tcBorders>
            <w:vAlign w:val="top"/>
          </w:tcPr>
          <w:p w14:paraId="1F2021A9">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762" w:type="dxa"/>
            <w:tcBorders>
              <w:bottom w:val="single" w:color="auto" w:sz="4" w:space="0"/>
            </w:tcBorders>
            <w:vAlign w:val="top"/>
          </w:tcPr>
          <w:p w14:paraId="74681484">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762" w:type="dxa"/>
            <w:tcBorders>
              <w:bottom w:val="single" w:color="auto" w:sz="4" w:space="0"/>
              <w:right w:val="single" w:color="000000" w:sz="2" w:space="0"/>
            </w:tcBorders>
            <w:vAlign w:val="top"/>
          </w:tcPr>
          <w:p w14:paraId="63F77590">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858" w:type="dxa"/>
            <w:tcBorders>
              <w:left w:val="single" w:color="000000" w:sz="2" w:space="0"/>
              <w:bottom w:val="single" w:color="auto" w:sz="4" w:space="0"/>
              <w:right w:val="single" w:color="000000" w:sz="2" w:space="0"/>
            </w:tcBorders>
            <w:vAlign w:val="top"/>
          </w:tcPr>
          <w:p w14:paraId="3CC9E498">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766" w:type="dxa"/>
            <w:tcBorders>
              <w:left w:val="single" w:color="000000" w:sz="2" w:space="0"/>
              <w:bottom w:val="single" w:color="auto" w:sz="4" w:space="0"/>
            </w:tcBorders>
            <w:vAlign w:val="top"/>
          </w:tcPr>
          <w:p w14:paraId="1E590637">
            <w:pPr>
              <w:pageBreakBefore w:val="0"/>
              <w:kinsoku/>
              <w:overflowPunct/>
              <w:bidi w:val="0"/>
              <w:adjustRightInd w:val="0"/>
              <w:snapToGrid w:val="0"/>
              <w:spacing w:after="0" w:line="360" w:lineRule="auto"/>
              <w:textAlignment w:val="auto"/>
              <w:outlineLvl w:val="9"/>
              <w:rPr>
                <w:rFonts w:ascii="宋体"/>
                <w:color w:val="auto"/>
                <w:sz w:val="21"/>
                <w:highlight w:val="none"/>
              </w:rPr>
            </w:pPr>
          </w:p>
        </w:tc>
      </w:tr>
      <w:tr w14:paraId="0A863C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249" w:type="dxa"/>
            <w:tcBorders>
              <w:right w:val="single" w:color="auto" w:sz="4" w:space="0"/>
            </w:tcBorders>
            <w:vAlign w:val="top"/>
          </w:tcPr>
          <w:p w14:paraId="1652249C">
            <w:pPr>
              <w:pageBreakBefore w:val="0"/>
              <w:kinsoku/>
              <w:overflowPunct/>
              <w:bidi w:val="0"/>
              <w:adjustRightInd w:val="0"/>
              <w:snapToGrid w:val="0"/>
              <w:spacing w:after="0" w:line="360" w:lineRule="auto"/>
              <w:textAlignment w:val="auto"/>
              <w:outlineLvl w:val="9"/>
              <w:rPr>
                <w:rFonts w:ascii="宋体" w:hAnsi="宋体" w:eastAsia="宋体" w:cs="宋体"/>
                <w:color w:val="auto"/>
                <w:spacing w:val="-4"/>
                <w:position w:val="14"/>
                <w:sz w:val="22"/>
                <w:szCs w:val="22"/>
                <w:highlight w:val="none"/>
              </w:rPr>
            </w:pPr>
            <w:r>
              <w:rPr>
                <w:rFonts w:ascii="宋体" w:hAnsi="宋体" w:eastAsia="宋体" w:cs="宋体"/>
                <w:color w:val="auto"/>
                <w:spacing w:val="-4"/>
                <w:position w:val="14"/>
                <w:sz w:val="22"/>
                <w:szCs w:val="22"/>
                <w:highlight w:val="none"/>
              </w:rPr>
              <w:t>总价（人民</w:t>
            </w:r>
          </w:p>
          <w:p w14:paraId="7C9F411B">
            <w:pPr>
              <w:pageBreakBefore w:val="0"/>
              <w:kinsoku/>
              <w:overflowPunct/>
              <w:bidi w:val="0"/>
              <w:adjustRightInd w:val="0"/>
              <w:snapToGrid w:val="0"/>
              <w:spacing w:after="0" w:line="360" w:lineRule="auto"/>
              <w:textAlignment w:val="auto"/>
              <w:outlineLvl w:val="9"/>
              <w:rPr>
                <w:rFonts w:ascii="宋体"/>
                <w:color w:val="auto"/>
                <w:sz w:val="21"/>
                <w:highlight w:val="none"/>
              </w:rPr>
            </w:pPr>
            <w:r>
              <w:rPr>
                <w:rFonts w:ascii="宋体" w:hAnsi="宋体" w:eastAsia="宋体" w:cs="宋体"/>
                <w:color w:val="auto"/>
                <w:spacing w:val="-4"/>
                <w:position w:val="14"/>
                <w:sz w:val="22"/>
                <w:szCs w:val="22"/>
                <w:highlight w:val="none"/>
              </w:rPr>
              <w:t>币）</w:t>
            </w:r>
          </w:p>
        </w:tc>
        <w:tc>
          <w:tcPr>
            <w:tcW w:w="7907" w:type="dxa"/>
            <w:gridSpan w:val="8"/>
            <w:tcBorders>
              <w:top w:val="single" w:color="auto" w:sz="4" w:space="0"/>
              <w:left w:val="single" w:color="auto" w:sz="4" w:space="0"/>
              <w:bottom w:val="single" w:color="auto" w:sz="4" w:space="0"/>
              <w:right w:val="single" w:color="auto" w:sz="4" w:space="0"/>
            </w:tcBorders>
            <w:vAlign w:val="top"/>
          </w:tcPr>
          <w:p w14:paraId="245BC256">
            <w:pPr>
              <w:pageBreakBefore w:val="0"/>
              <w:kinsoku/>
              <w:overflowPunct/>
              <w:bidi w:val="0"/>
              <w:adjustRightInd w:val="0"/>
              <w:snapToGrid w:val="0"/>
              <w:spacing w:after="0" w:line="360" w:lineRule="auto"/>
              <w:textAlignment w:val="auto"/>
              <w:outlineLvl w:val="9"/>
              <w:rPr>
                <w:rFonts w:hint="eastAsia" w:ascii="宋体" w:eastAsiaTheme="minorEastAsia"/>
                <w:color w:val="auto"/>
                <w:sz w:val="21"/>
                <w:highlight w:val="none"/>
                <w:lang w:val="en-US" w:eastAsia="zh-CN"/>
              </w:rPr>
            </w:pPr>
          </w:p>
        </w:tc>
      </w:tr>
    </w:tbl>
    <w:p w14:paraId="4EA8101C">
      <w:pPr>
        <w:pageBreakBefore w:val="0"/>
        <w:kinsoku/>
        <w:overflowPunct/>
        <w:bidi w:val="0"/>
        <w:adjustRightInd w:val="0"/>
        <w:snapToGrid w:val="0"/>
        <w:spacing w:after="0" w:line="360" w:lineRule="auto"/>
        <w:textAlignment w:val="auto"/>
        <w:outlineLvl w:val="9"/>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三、</w:t>
      </w:r>
      <w:r>
        <w:rPr>
          <w:rFonts w:hint="eastAsia" w:ascii="宋体" w:hAnsi="宋体" w:eastAsia="宋体" w:cs="宋体"/>
          <w:color w:val="auto"/>
          <w:spacing w:val="-4"/>
          <w:sz w:val="24"/>
          <w:szCs w:val="24"/>
          <w:highlight w:val="none"/>
          <w:lang w:eastAsia="zh-CN"/>
        </w:rPr>
        <w:t>质保期</w:t>
      </w:r>
      <w:r>
        <w:rPr>
          <w:rFonts w:ascii="宋体" w:hAnsi="宋体" w:eastAsia="宋体" w:cs="宋体"/>
          <w:color w:val="auto"/>
          <w:spacing w:val="-4"/>
          <w:sz w:val="24"/>
          <w:szCs w:val="24"/>
          <w:highlight w:val="none"/>
        </w:rPr>
        <w:t>要求及供方对</w:t>
      </w:r>
      <w:r>
        <w:rPr>
          <w:rFonts w:hint="eastAsia" w:ascii="宋体" w:hAnsi="宋体" w:eastAsia="宋体" w:cs="宋体"/>
          <w:color w:val="auto"/>
          <w:spacing w:val="-4"/>
          <w:sz w:val="24"/>
          <w:szCs w:val="24"/>
          <w:highlight w:val="none"/>
          <w:lang w:eastAsia="zh-CN"/>
        </w:rPr>
        <w:t>质保期</w:t>
      </w:r>
      <w:r>
        <w:rPr>
          <w:rFonts w:ascii="宋体" w:hAnsi="宋体" w:eastAsia="宋体" w:cs="宋体"/>
          <w:color w:val="auto"/>
          <w:spacing w:val="-4"/>
          <w:sz w:val="24"/>
          <w:szCs w:val="24"/>
          <w:highlight w:val="none"/>
        </w:rPr>
        <w:t>负责条件和期限：</w:t>
      </w:r>
    </w:p>
    <w:p w14:paraId="3763490D">
      <w:pPr>
        <w:pageBreakBefore w:val="0"/>
        <w:kinsoku/>
        <w:overflowPunct/>
        <w:bidi w:val="0"/>
        <w:adjustRightInd w:val="0"/>
        <w:snapToGrid w:val="0"/>
        <w:spacing w:after="0" w:line="360" w:lineRule="auto"/>
        <w:ind w:left="15" w:right="195" w:firstLine="481"/>
        <w:textAlignment w:val="auto"/>
        <w:outlineLvl w:val="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所供货物必须首先符合有关国家强制性规定、国家（行业）标准或相关法律法规要求，同时符合招标文件规定的</w:t>
      </w:r>
      <w:r>
        <w:rPr>
          <w:rFonts w:hint="eastAsia" w:ascii="宋体" w:hAnsi="宋体" w:eastAsia="宋体" w:cs="宋体"/>
          <w:color w:val="auto"/>
          <w:spacing w:val="-1"/>
          <w:sz w:val="24"/>
          <w:szCs w:val="24"/>
          <w:highlight w:val="none"/>
          <w:lang w:eastAsia="zh-CN"/>
        </w:rPr>
        <w:t>质保期</w:t>
      </w:r>
      <w:r>
        <w:rPr>
          <w:rFonts w:ascii="宋体" w:hAnsi="宋体" w:eastAsia="宋体" w:cs="宋体"/>
          <w:color w:val="auto"/>
          <w:spacing w:val="-1"/>
          <w:sz w:val="24"/>
          <w:szCs w:val="24"/>
          <w:highlight w:val="none"/>
        </w:rPr>
        <w:t>要求。供方应提供全新未拆封产品（包括零部件、附件、备品备件</w:t>
      </w:r>
      <w:r>
        <w:rPr>
          <w:rFonts w:ascii="宋体" w:hAnsi="宋体" w:eastAsia="宋体" w:cs="宋体"/>
          <w:color w:val="auto"/>
          <w:spacing w:val="14"/>
          <w:sz w:val="24"/>
          <w:szCs w:val="24"/>
          <w:highlight w:val="none"/>
        </w:rPr>
        <w:t>），</w:t>
      </w:r>
      <w:r>
        <w:rPr>
          <w:rFonts w:ascii="宋体" w:hAnsi="宋体" w:eastAsia="宋体" w:cs="宋体"/>
          <w:color w:val="auto"/>
          <w:spacing w:val="-1"/>
          <w:sz w:val="24"/>
          <w:szCs w:val="24"/>
          <w:highlight w:val="none"/>
        </w:rPr>
        <w:t>如确需拆封的，应在供货前征得采购人同意，否则视为不能交货。供方保证全部按照合同规定的时间和方式向需方提供货物和服务，并负责可能的弥补缺陷。需</w:t>
      </w:r>
      <w:r>
        <w:rPr>
          <w:rFonts w:ascii="宋体" w:hAnsi="宋体" w:eastAsia="宋体" w:cs="宋体"/>
          <w:color w:val="auto"/>
          <w:spacing w:val="-2"/>
          <w:sz w:val="24"/>
          <w:szCs w:val="24"/>
          <w:highlight w:val="none"/>
        </w:rPr>
        <w:t>方对货物规格、型号、</w:t>
      </w:r>
      <w:r>
        <w:rPr>
          <w:rFonts w:hint="eastAsia" w:ascii="宋体" w:hAnsi="宋体" w:eastAsia="宋体" w:cs="宋体"/>
          <w:color w:val="auto"/>
          <w:spacing w:val="-2"/>
          <w:sz w:val="24"/>
          <w:szCs w:val="24"/>
          <w:highlight w:val="none"/>
          <w:lang w:eastAsia="zh-CN"/>
        </w:rPr>
        <w:t>质保期</w:t>
      </w:r>
      <w:r>
        <w:rPr>
          <w:rFonts w:ascii="宋体" w:hAnsi="宋体" w:eastAsia="宋体" w:cs="宋体"/>
          <w:color w:val="auto"/>
          <w:spacing w:val="-2"/>
          <w:sz w:val="24"/>
          <w:szCs w:val="24"/>
          <w:highlight w:val="none"/>
        </w:rPr>
        <w:t>有异议的应在收到货物后15日内以书面形式向供方提出，需安</w:t>
      </w:r>
      <w:r>
        <w:rPr>
          <w:rFonts w:ascii="宋体" w:hAnsi="宋体" w:eastAsia="宋体" w:cs="宋体"/>
          <w:color w:val="auto"/>
          <w:spacing w:val="-3"/>
          <w:sz w:val="24"/>
          <w:szCs w:val="24"/>
          <w:highlight w:val="none"/>
        </w:rPr>
        <w:t>装调试成套设备的提出异议的期限为180日。</w:t>
      </w:r>
    </w:p>
    <w:p w14:paraId="16FAD206">
      <w:pPr>
        <w:pageBreakBefore w:val="0"/>
        <w:kinsoku/>
        <w:overflowPunct/>
        <w:bidi w:val="0"/>
        <w:adjustRightInd w:val="0"/>
        <w:snapToGrid w:val="0"/>
        <w:spacing w:after="0" w:line="360" w:lineRule="auto"/>
        <w:ind w:firstLine="519"/>
        <w:textAlignment w:val="auto"/>
        <w:outlineLvl w:val="9"/>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四、售后服务承诺：</w:t>
      </w:r>
    </w:p>
    <w:p w14:paraId="29AB2307">
      <w:pPr>
        <w:pageBreakBefore w:val="0"/>
        <w:kinsoku/>
        <w:overflowPunct/>
        <w:bidi w:val="0"/>
        <w:adjustRightInd w:val="0"/>
        <w:snapToGrid w:val="0"/>
        <w:spacing w:after="0" w:line="360" w:lineRule="auto"/>
        <w:ind w:firstLine="514"/>
        <w:textAlignment w:val="auto"/>
        <w:outlineLvl w:val="9"/>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1．售后服务响应时间：</w:t>
      </w:r>
    </w:p>
    <w:p w14:paraId="065EC231">
      <w:pPr>
        <w:pageBreakBefore w:val="0"/>
        <w:kinsoku/>
        <w:overflowPunct/>
        <w:bidi w:val="0"/>
        <w:adjustRightInd w:val="0"/>
        <w:snapToGrid w:val="0"/>
        <w:spacing w:after="0" w:line="360" w:lineRule="auto"/>
        <w:ind w:firstLine="499"/>
        <w:textAlignment w:val="auto"/>
        <w:outlineLvl w:val="9"/>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2．解决问题时间：</w:t>
      </w:r>
    </w:p>
    <w:p w14:paraId="2BE01325">
      <w:pPr>
        <w:pageBreakBefore w:val="0"/>
        <w:kinsoku/>
        <w:overflowPunct/>
        <w:bidi w:val="0"/>
        <w:adjustRightInd w:val="0"/>
        <w:snapToGrid w:val="0"/>
        <w:spacing w:after="0" w:line="360" w:lineRule="auto"/>
        <w:ind w:firstLine="501"/>
        <w:textAlignment w:val="auto"/>
        <w:outlineLvl w:val="9"/>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3．售后服务机构名称、地址及联系方式：</w:t>
      </w:r>
    </w:p>
    <w:p w14:paraId="6B392FEF">
      <w:pPr>
        <w:pageBreakBefore w:val="0"/>
        <w:kinsoku/>
        <w:overflowPunct/>
        <w:bidi w:val="0"/>
        <w:adjustRightInd w:val="0"/>
        <w:snapToGrid w:val="0"/>
        <w:spacing w:after="0" w:line="360" w:lineRule="auto"/>
        <w:ind w:firstLine="496"/>
        <w:textAlignment w:val="auto"/>
        <w:outlineLvl w:val="9"/>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4．其他服务承诺：</w:t>
      </w:r>
    </w:p>
    <w:p w14:paraId="6928EF78">
      <w:pPr>
        <w:pageBreakBefore w:val="0"/>
        <w:kinsoku/>
        <w:overflowPunct/>
        <w:bidi w:val="0"/>
        <w:adjustRightInd w:val="0"/>
        <w:snapToGrid w:val="0"/>
        <w:spacing w:after="0" w:line="360" w:lineRule="auto"/>
        <w:ind w:firstLine="572"/>
        <w:textAlignment w:val="auto"/>
        <w:outlineLvl w:val="9"/>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五、合同履行地点及进度：</w:t>
      </w:r>
    </w:p>
    <w:p w14:paraId="16F133FB">
      <w:pPr>
        <w:pageBreakBefore w:val="0"/>
        <w:kinsoku/>
        <w:overflowPunct/>
        <w:bidi w:val="0"/>
        <w:adjustRightInd w:val="0"/>
        <w:snapToGrid w:val="0"/>
        <w:spacing w:after="0" w:line="360" w:lineRule="auto"/>
        <w:ind w:firstLine="586"/>
        <w:textAlignment w:val="auto"/>
        <w:outlineLvl w:val="9"/>
        <w:rPr>
          <w:rFonts w:ascii="宋体" w:hAnsi="宋体" w:eastAsia="宋体" w:cs="宋体"/>
          <w:color w:val="auto"/>
          <w:sz w:val="24"/>
          <w:szCs w:val="24"/>
          <w:highlight w:val="none"/>
        </w:rPr>
      </w:pPr>
      <w:r>
        <w:rPr>
          <w:rFonts w:ascii="宋体" w:hAnsi="宋体" w:eastAsia="宋体" w:cs="宋体"/>
          <w:color w:val="auto"/>
          <w:spacing w:val="-12"/>
          <w:sz w:val="24"/>
          <w:szCs w:val="24"/>
          <w:highlight w:val="none"/>
        </w:rPr>
        <w:t>1、供方自本项目采购合同签订之日起日（日历日）完成。</w:t>
      </w:r>
    </w:p>
    <w:p w14:paraId="32668438">
      <w:pPr>
        <w:pageBreakBefore w:val="0"/>
        <w:kinsoku/>
        <w:overflowPunct/>
        <w:bidi w:val="0"/>
        <w:adjustRightInd w:val="0"/>
        <w:snapToGrid w:val="0"/>
        <w:spacing w:after="0" w:line="360" w:lineRule="auto"/>
        <w:ind w:left="90" w:right="135" w:firstLine="481"/>
        <w:textAlignment w:val="auto"/>
        <w:outlineLvl w:val="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2、按需方要求在</w:t>
      </w:r>
      <w:r>
        <w:rPr>
          <w:rFonts w:ascii="宋体" w:hAnsi="宋体" w:eastAsia="宋体" w:cs="宋体"/>
          <w:color w:val="auto"/>
          <w:spacing w:val="-1"/>
          <w:sz w:val="24"/>
          <w:szCs w:val="24"/>
          <w:highlight w:val="none"/>
          <w:u w:val="single" w:color="auto"/>
        </w:rPr>
        <w:t>（</w:t>
      </w:r>
      <w:r>
        <w:rPr>
          <w:rFonts w:ascii="宋体" w:hAnsi="宋体" w:eastAsia="宋体" w:cs="宋体"/>
          <w:color w:val="auto"/>
          <w:spacing w:val="-1"/>
          <w:sz w:val="24"/>
          <w:szCs w:val="24"/>
          <w:highlight w:val="none"/>
        </w:rPr>
        <w:t>需方指定的地点）完成本项目的交货、安装、调试（或施工）。货物运送的费用由供方负责。需方应在货物到达指定地点后，提供符合安装</w:t>
      </w:r>
      <w:r>
        <w:rPr>
          <w:rFonts w:ascii="宋体" w:hAnsi="宋体" w:eastAsia="宋体" w:cs="宋体"/>
          <w:color w:val="auto"/>
          <w:spacing w:val="-4"/>
          <w:sz w:val="24"/>
          <w:szCs w:val="24"/>
          <w:highlight w:val="none"/>
        </w:rPr>
        <w:t>条件的场地、电源、环境等。</w:t>
      </w:r>
    </w:p>
    <w:p w14:paraId="2593D043">
      <w:pPr>
        <w:pageBreakBefore w:val="0"/>
        <w:kinsoku/>
        <w:overflowPunct/>
        <w:bidi w:val="0"/>
        <w:adjustRightInd w:val="0"/>
        <w:snapToGrid w:val="0"/>
        <w:spacing w:after="0" w:line="360" w:lineRule="auto"/>
        <w:ind w:left="21" w:right="195" w:firstLine="477"/>
        <w:textAlignment w:val="auto"/>
        <w:outlineLvl w:val="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六、供方在交付货物时应向需方提供货物的使用说明、合格证书及其它相关资料，否</w:t>
      </w:r>
      <w:r>
        <w:rPr>
          <w:rFonts w:ascii="宋体" w:hAnsi="宋体" w:eastAsia="宋体" w:cs="宋体"/>
          <w:color w:val="auto"/>
          <w:spacing w:val="-5"/>
          <w:sz w:val="24"/>
          <w:szCs w:val="24"/>
          <w:highlight w:val="none"/>
        </w:rPr>
        <w:t>则按不能交货对待。</w:t>
      </w:r>
    </w:p>
    <w:p w14:paraId="0CA602C3">
      <w:pPr>
        <w:pageBreakBefore w:val="0"/>
        <w:kinsoku/>
        <w:overflowPunct/>
        <w:bidi w:val="0"/>
        <w:adjustRightInd w:val="0"/>
        <w:snapToGrid w:val="0"/>
        <w:spacing w:after="0" w:line="360" w:lineRule="auto"/>
        <w:ind w:left="18" w:right="195" w:firstLine="477"/>
        <w:textAlignment w:val="auto"/>
        <w:outlineLvl w:val="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七、人员培训：供方免费对需方人员进行技术培训，直到需方人员熟练操作或掌握为</w:t>
      </w:r>
      <w:r>
        <w:rPr>
          <w:rFonts w:ascii="宋体" w:hAnsi="宋体" w:eastAsia="宋体" w:cs="宋体"/>
          <w:color w:val="auto"/>
          <w:spacing w:val="-12"/>
          <w:sz w:val="24"/>
          <w:szCs w:val="24"/>
          <w:highlight w:val="none"/>
        </w:rPr>
        <w:t>准。</w:t>
      </w:r>
    </w:p>
    <w:p w14:paraId="7CE98731">
      <w:pPr>
        <w:pageBreakBefore w:val="0"/>
        <w:kinsoku/>
        <w:overflowPunct/>
        <w:bidi w:val="0"/>
        <w:adjustRightInd w:val="0"/>
        <w:snapToGrid w:val="0"/>
        <w:spacing w:after="0" w:line="360" w:lineRule="auto"/>
        <w:ind w:firstLine="497"/>
        <w:textAlignment w:val="auto"/>
        <w:outlineLvl w:val="9"/>
        <w:rPr>
          <w:rFonts w:ascii="宋体" w:hAnsi="宋体" w:eastAsia="宋体" w:cs="宋体"/>
          <w:color w:val="auto"/>
          <w:sz w:val="24"/>
          <w:szCs w:val="24"/>
          <w:highlight w:val="none"/>
        </w:rPr>
      </w:pPr>
      <w:r>
        <w:rPr>
          <w:rFonts w:ascii="宋体" w:hAnsi="宋体" w:eastAsia="宋体" w:cs="宋体"/>
          <w:color w:val="auto"/>
          <w:spacing w:val="-23"/>
          <w:sz w:val="24"/>
          <w:szCs w:val="24"/>
          <w:highlight w:val="none"/>
        </w:rPr>
        <w:t>培训地点</w:t>
      </w:r>
      <w:r>
        <w:rPr>
          <w:rFonts w:ascii="宋体" w:hAnsi="宋体" w:eastAsia="宋体" w:cs="宋体"/>
          <w:color w:val="auto"/>
          <w:spacing w:val="-24"/>
          <w:sz w:val="24"/>
          <w:szCs w:val="24"/>
          <w:highlight w:val="none"/>
        </w:rPr>
        <w:t>：；</w:t>
      </w:r>
      <w:r>
        <w:rPr>
          <w:rFonts w:ascii="宋体" w:hAnsi="宋体" w:eastAsia="宋体" w:cs="宋体"/>
          <w:color w:val="auto"/>
          <w:spacing w:val="-23"/>
          <w:sz w:val="24"/>
          <w:szCs w:val="24"/>
          <w:highlight w:val="none"/>
        </w:rPr>
        <w:t>培训时间</w:t>
      </w:r>
      <w:r>
        <w:rPr>
          <w:rFonts w:ascii="宋体" w:hAnsi="宋体" w:eastAsia="宋体" w:cs="宋体"/>
          <w:color w:val="auto"/>
          <w:spacing w:val="-50"/>
          <w:sz w:val="24"/>
          <w:szCs w:val="24"/>
          <w:highlight w:val="none"/>
        </w:rPr>
        <w:t>：；</w:t>
      </w:r>
    </w:p>
    <w:p w14:paraId="3A2C50ED">
      <w:pPr>
        <w:pageBreakBefore w:val="0"/>
        <w:kinsoku/>
        <w:overflowPunct/>
        <w:bidi w:val="0"/>
        <w:adjustRightInd w:val="0"/>
        <w:snapToGrid w:val="0"/>
        <w:spacing w:after="0" w:line="360" w:lineRule="auto"/>
        <w:ind w:firstLine="497"/>
        <w:textAlignment w:val="auto"/>
        <w:outlineLvl w:val="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培训方式</w:t>
      </w:r>
      <w:r>
        <w:rPr>
          <w:rFonts w:ascii="宋体" w:hAnsi="宋体" w:eastAsia="宋体" w:cs="宋体"/>
          <w:color w:val="auto"/>
          <w:spacing w:val="-47"/>
          <w:sz w:val="24"/>
          <w:szCs w:val="24"/>
          <w:highlight w:val="none"/>
        </w:rPr>
        <w:t>：；</w:t>
      </w:r>
    </w:p>
    <w:p w14:paraId="7187E85C">
      <w:pPr>
        <w:pageBreakBefore w:val="0"/>
        <w:kinsoku/>
        <w:overflowPunct/>
        <w:bidi w:val="0"/>
        <w:adjustRightInd w:val="0"/>
        <w:snapToGrid w:val="0"/>
        <w:spacing w:after="0" w:line="360" w:lineRule="auto"/>
        <w:ind w:firstLine="500"/>
        <w:textAlignment w:val="auto"/>
        <w:outlineLvl w:val="9"/>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八、验收要求。</w:t>
      </w:r>
    </w:p>
    <w:p w14:paraId="3E639F21">
      <w:pPr>
        <w:pageBreakBefore w:val="0"/>
        <w:kinsoku/>
        <w:overflowPunct/>
        <w:bidi w:val="0"/>
        <w:adjustRightInd w:val="0"/>
        <w:snapToGrid w:val="0"/>
        <w:spacing w:after="0" w:line="360" w:lineRule="auto"/>
        <w:ind w:firstLine="594"/>
        <w:textAlignment w:val="auto"/>
        <w:outlineLvl w:val="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1．供方履约完毕及时向需方提出验收申请。</w:t>
      </w:r>
    </w:p>
    <w:p w14:paraId="546E5330">
      <w:pPr>
        <w:pageBreakBefore w:val="0"/>
        <w:kinsoku/>
        <w:overflowPunct/>
        <w:bidi w:val="0"/>
        <w:adjustRightInd w:val="0"/>
        <w:snapToGrid w:val="0"/>
        <w:spacing w:after="0" w:line="360" w:lineRule="auto"/>
        <w:ind w:left="16" w:right="75" w:firstLine="562"/>
        <w:textAlignment w:val="auto"/>
        <w:outlineLvl w:val="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2．需方在收到供方验收申请后5个工作日内组织验收。需方成立3人以上验收工作组（合同金额在50万以上的验收工作组不少于5人</w:t>
      </w:r>
      <w:r>
        <w:rPr>
          <w:rFonts w:ascii="宋体" w:hAnsi="宋体" w:eastAsia="宋体" w:cs="宋体"/>
          <w:color w:val="auto"/>
          <w:spacing w:val="15"/>
          <w:sz w:val="24"/>
          <w:szCs w:val="24"/>
          <w:highlight w:val="none"/>
        </w:rPr>
        <w:t>），</w:t>
      </w:r>
      <w:r>
        <w:rPr>
          <w:rFonts w:ascii="宋体" w:hAnsi="宋体" w:eastAsia="宋体" w:cs="宋体"/>
          <w:color w:val="auto"/>
          <w:spacing w:val="-1"/>
          <w:sz w:val="24"/>
          <w:szCs w:val="24"/>
          <w:highlight w:val="none"/>
        </w:rPr>
        <w:t>按照招标文件规定、中标人投标文件承诺，及国家有关规定认真组织验收工作。大型或者复杂的政府采购项目以及需方认为必要的项目，应当邀请国家认可的</w:t>
      </w:r>
      <w:r>
        <w:rPr>
          <w:rFonts w:hint="eastAsia" w:ascii="宋体" w:hAnsi="宋体" w:eastAsia="宋体" w:cs="宋体"/>
          <w:color w:val="auto"/>
          <w:spacing w:val="-1"/>
          <w:sz w:val="24"/>
          <w:szCs w:val="24"/>
          <w:highlight w:val="none"/>
          <w:lang w:eastAsia="zh-CN"/>
        </w:rPr>
        <w:t>质保期</w:t>
      </w:r>
      <w:r>
        <w:rPr>
          <w:rFonts w:ascii="宋体" w:hAnsi="宋体" w:eastAsia="宋体" w:cs="宋体"/>
          <w:color w:val="auto"/>
          <w:spacing w:val="-1"/>
          <w:sz w:val="24"/>
          <w:szCs w:val="24"/>
          <w:highlight w:val="none"/>
        </w:rPr>
        <w:t>检测机构参加验收工作。如本项目属国家规定的强制性</w:t>
      </w:r>
      <w:r>
        <w:rPr>
          <w:rFonts w:ascii="宋体" w:hAnsi="宋体" w:eastAsia="宋体" w:cs="宋体"/>
          <w:color w:val="auto"/>
          <w:spacing w:val="-2"/>
          <w:sz w:val="24"/>
          <w:szCs w:val="24"/>
          <w:highlight w:val="none"/>
        </w:rPr>
        <w:t>检测项目，需方必须委托国家认可的专业检测机构验收。</w:t>
      </w:r>
    </w:p>
    <w:p w14:paraId="10450A7B">
      <w:pPr>
        <w:pageBreakBefore w:val="0"/>
        <w:kinsoku/>
        <w:overflowPunct/>
        <w:bidi w:val="0"/>
        <w:adjustRightInd w:val="0"/>
        <w:snapToGrid w:val="0"/>
        <w:spacing w:after="0" w:line="360" w:lineRule="auto"/>
        <w:ind w:firstLine="487"/>
        <w:textAlignment w:val="auto"/>
        <w:outlineLvl w:val="9"/>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九、付款程序、方式及期限：</w:t>
      </w:r>
    </w:p>
    <w:p w14:paraId="11481909">
      <w:pPr>
        <w:pageBreakBefore w:val="0"/>
        <w:kinsoku/>
        <w:overflowPunct/>
        <w:bidi w:val="0"/>
        <w:adjustRightInd w:val="0"/>
        <w:snapToGrid w:val="0"/>
        <w:spacing w:after="0" w:line="360" w:lineRule="auto"/>
        <w:ind w:firstLine="499"/>
        <w:textAlignment w:val="auto"/>
        <w:outlineLvl w:val="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1．供方开具以需方单位名称为抬头的发票。</w:t>
      </w:r>
    </w:p>
    <w:p w14:paraId="4088543A">
      <w:pPr>
        <w:pageBreakBefore w:val="0"/>
        <w:kinsoku/>
        <w:overflowPunct/>
        <w:bidi w:val="0"/>
        <w:adjustRightInd w:val="0"/>
        <w:snapToGrid w:val="0"/>
        <w:spacing w:after="0" w:line="360" w:lineRule="auto"/>
        <w:ind w:firstLine="484"/>
        <w:textAlignment w:val="auto"/>
        <w:outlineLvl w:val="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2．付款方式：中标方与招标方协商</w:t>
      </w:r>
    </w:p>
    <w:p w14:paraId="639A88E2">
      <w:pPr>
        <w:pageBreakBefore w:val="0"/>
        <w:kinsoku/>
        <w:overflowPunct/>
        <w:bidi w:val="0"/>
        <w:adjustRightInd w:val="0"/>
        <w:snapToGrid w:val="0"/>
        <w:spacing w:after="0" w:line="360" w:lineRule="auto"/>
        <w:ind w:firstLine="482"/>
        <w:textAlignment w:val="auto"/>
        <w:outlineLvl w:val="9"/>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十、违约责任：</w:t>
      </w:r>
    </w:p>
    <w:p w14:paraId="1E43475A">
      <w:pPr>
        <w:pageBreakBefore w:val="0"/>
        <w:kinsoku/>
        <w:overflowPunct/>
        <w:bidi w:val="0"/>
        <w:adjustRightInd w:val="0"/>
        <w:snapToGrid w:val="0"/>
        <w:spacing w:after="0" w:line="360" w:lineRule="auto"/>
        <w:ind w:right="184" w:firstLine="480"/>
        <w:textAlignment w:val="auto"/>
        <w:outlineLvl w:val="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供方所交付的货物品种、型号、规格、</w:t>
      </w:r>
      <w:r>
        <w:rPr>
          <w:rFonts w:hint="eastAsia" w:ascii="宋体" w:hAnsi="宋体" w:eastAsia="宋体" w:cs="宋体"/>
          <w:color w:val="auto"/>
          <w:spacing w:val="-1"/>
          <w:sz w:val="24"/>
          <w:szCs w:val="24"/>
          <w:highlight w:val="none"/>
          <w:lang w:eastAsia="zh-CN"/>
        </w:rPr>
        <w:t>质保期</w:t>
      </w:r>
      <w:r>
        <w:rPr>
          <w:rFonts w:ascii="宋体" w:hAnsi="宋体" w:eastAsia="宋体" w:cs="宋体"/>
          <w:color w:val="auto"/>
          <w:spacing w:val="-1"/>
          <w:sz w:val="24"/>
          <w:szCs w:val="24"/>
          <w:highlight w:val="none"/>
        </w:rPr>
        <w:t>不符合国家规定标准及合同要求的，或者供方不能交付货物或完成系统安装、调试的，供方应向需方支付合同金额总值%的违约金，需方有权解除合同，并要求赔偿损失。供方如逾期完成的，每逾期一日供方应向需</w:t>
      </w:r>
      <w:r>
        <w:rPr>
          <w:rFonts w:ascii="宋体" w:hAnsi="宋体" w:eastAsia="宋体" w:cs="宋体"/>
          <w:color w:val="auto"/>
          <w:spacing w:val="-3"/>
          <w:sz w:val="24"/>
          <w:szCs w:val="24"/>
          <w:highlight w:val="none"/>
        </w:rPr>
        <w:t>方支付合同金额的%违约金。</w:t>
      </w:r>
    </w:p>
    <w:p w14:paraId="5BB12FAB">
      <w:pPr>
        <w:pageBreakBefore w:val="0"/>
        <w:kinsoku/>
        <w:overflowPunct/>
        <w:bidi w:val="0"/>
        <w:adjustRightInd w:val="0"/>
        <w:snapToGrid w:val="0"/>
        <w:spacing w:after="0" w:line="360" w:lineRule="auto"/>
        <w:ind w:right="426" w:firstLine="491"/>
        <w:textAlignment w:val="auto"/>
        <w:outlineLvl w:val="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需方无正当理由拒收货物、拒付货款，需方应向供方偿付拒收拒付部分设备款总额%的违约金；需方如逾期付款的，每逾期付款一日的需方应向供方偿付所欠合同金</w:t>
      </w:r>
      <w:r>
        <w:rPr>
          <w:rFonts w:ascii="宋体" w:hAnsi="宋体" w:eastAsia="宋体" w:cs="宋体"/>
          <w:color w:val="auto"/>
          <w:spacing w:val="-6"/>
          <w:sz w:val="24"/>
          <w:szCs w:val="24"/>
          <w:highlight w:val="none"/>
        </w:rPr>
        <w:t>额%的违约金。</w:t>
      </w:r>
    </w:p>
    <w:p w14:paraId="04AD28EE">
      <w:pPr>
        <w:pageBreakBefore w:val="0"/>
        <w:kinsoku/>
        <w:overflowPunct/>
        <w:bidi w:val="0"/>
        <w:adjustRightInd w:val="0"/>
        <w:snapToGrid w:val="0"/>
        <w:spacing w:after="0" w:line="360" w:lineRule="auto"/>
        <w:ind w:left="482" w:right="339"/>
        <w:textAlignment w:val="auto"/>
        <w:outlineLvl w:val="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十一、供需双方应严格遵守招标文件要求，如有违反，按招标文件的规定处理。十二、因货物的</w:t>
      </w:r>
      <w:r>
        <w:rPr>
          <w:rFonts w:hint="eastAsia" w:ascii="宋体" w:hAnsi="宋体" w:eastAsia="宋体" w:cs="宋体"/>
          <w:color w:val="auto"/>
          <w:spacing w:val="-2"/>
          <w:sz w:val="24"/>
          <w:szCs w:val="24"/>
          <w:highlight w:val="none"/>
          <w:lang w:eastAsia="zh-CN"/>
        </w:rPr>
        <w:t>质保期</w:t>
      </w:r>
      <w:r>
        <w:rPr>
          <w:rFonts w:ascii="宋体" w:hAnsi="宋体" w:eastAsia="宋体" w:cs="宋体"/>
          <w:color w:val="auto"/>
          <w:spacing w:val="-2"/>
          <w:sz w:val="24"/>
          <w:szCs w:val="24"/>
          <w:highlight w:val="none"/>
        </w:rPr>
        <w:t>问题发生争议，由法定的</w:t>
      </w:r>
      <w:r>
        <w:rPr>
          <w:rFonts w:hint="eastAsia" w:ascii="宋体" w:hAnsi="宋体" w:eastAsia="宋体" w:cs="宋体"/>
          <w:color w:val="auto"/>
          <w:spacing w:val="-2"/>
          <w:sz w:val="24"/>
          <w:szCs w:val="24"/>
          <w:highlight w:val="none"/>
          <w:lang w:eastAsia="zh-CN"/>
        </w:rPr>
        <w:t>质保期</w:t>
      </w:r>
      <w:r>
        <w:rPr>
          <w:rFonts w:ascii="宋体" w:hAnsi="宋体" w:eastAsia="宋体" w:cs="宋体"/>
          <w:color w:val="auto"/>
          <w:spacing w:val="-2"/>
          <w:sz w:val="24"/>
          <w:szCs w:val="24"/>
          <w:highlight w:val="none"/>
        </w:rPr>
        <w:t>检测机构进行</w:t>
      </w:r>
      <w:r>
        <w:rPr>
          <w:rFonts w:hint="eastAsia" w:ascii="宋体" w:hAnsi="宋体" w:eastAsia="宋体" w:cs="宋体"/>
          <w:color w:val="auto"/>
          <w:spacing w:val="-2"/>
          <w:sz w:val="24"/>
          <w:szCs w:val="24"/>
          <w:highlight w:val="none"/>
          <w:lang w:eastAsia="zh-CN"/>
        </w:rPr>
        <w:t>质保期</w:t>
      </w:r>
      <w:r>
        <w:rPr>
          <w:rFonts w:ascii="宋体" w:hAnsi="宋体" w:eastAsia="宋体" w:cs="宋体"/>
          <w:color w:val="auto"/>
          <w:spacing w:val="-2"/>
          <w:sz w:val="24"/>
          <w:szCs w:val="24"/>
          <w:highlight w:val="none"/>
        </w:rPr>
        <w:t>检测或鉴定。</w:t>
      </w:r>
    </w:p>
    <w:p w14:paraId="62E85E1A">
      <w:pPr>
        <w:pageBreakBefore w:val="0"/>
        <w:kinsoku/>
        <w:overflowPunct/>
        <w:bidi w:val="0"/>
        <w:adjustRightInd w:val="0"/>
        <w:snapToGrid w:val="0"/>
        <w:spacing w:after="0" w:line="360" w:lineRule="auto"/>
        <w:ind w:left="5" w:right="186" w:firstLine="476"/>
        <w:textAlignment w:val="auto"/>
        <w:outlineLvl w:val="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十三、项目招标文件及其修改和澄清、及供方投标文件、供方在投标中的有关承诺及</w:t>
      </w:r>
      <w:r>
        <w:rPr>
          <w:rFonts w:ascii="宋体" w:hAnsi="宋体" w:eastAsia="宋体" w:cs="宋体"/>
          <w:color w:val="auto"/>
          <w:spacing w:val="-4"/>
          <w:sz w:val="24"/>
          <w:szCs w:val="24"/>
          <w:highlight w:val="none"/>
        </w:rPr>
        <w:t>声明均为本合同的组成部分。</w:t>
      </w:r>
    </w:p>
    <w:p w14:paraId="448B9AC3">
      <w:pPr>
        <w:pageBreakBefore w:val="0"/>
        <w:kinsoku/>
        <w:overflowPunct/>
        <w:bidi w:val="0"/>
        <w:adjustRightInd w:val="0"/>
        <w:snapToGrid w:val="0"/>
        <w:spacing w:after="0" w:line="360" w:lineRule="auto"/>
        <w:ind w:right="186" w:firstLine="481"/>
        <w:textAlignment w:val="auto"/>
        <w:outlineLvl w:val="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十四、本合同签订和履行适用中华人民共和国法律，因履行合同发生的争议，由供需</w:t>
      </w:r>
      <w:r>
        <w:rPr>
          <w:rFonts w:ascii="宋体" w:hAnsi="宋体" w:eastAsia="宋体" w:cs="宋体"/>
          <w:color w:val="auto"/>
          <w:spacing w:val="-2"/>
          <w:sz w:val="24"/>
          <w:szCs w:val="24"/>
          <w:highlight w:val="none"/>
        </w:rPr>
        <w:t>双方友好协商解决，如协商不成的，任何一方均可向签订合同地人民法院提起诉讼。</w:t>
      </w:r>
    </w:p>
    <w:p w14:paraId="168FBFD8">
      <w:pPr>
        <w:pageBreakBefore w:val="0"/>
        <w:kinsoku/>
        <w:overflowPunct/>
        <w:bidi w:val="0"/>
        <w:adjustRightInd w:val="0"/>
        <w:snapToGrid w:val="0"/>
        <w:spacing w:after="0" w:line="360" w:lineRule="auto"/>
        <w:ind w:left="4" w:right="186" w:firstLine="477"/>
        <w:textAlignment w:val="auto"/>
        <w:outlineLvl w:val="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十五、本合同未尽事宜，供需双方可签订补充协议，与本合同具有同等法律效力，但</w:t>
      </w:r>
      <w:r>
        <w:rPr>
          <w:rFonts w:ascii="宋体" w:hAnsi="宋体" w:eastAsia="宋体" w:cs="宋体"/>
          <w:color w:val="auto"/>
          <w:spacing w:val="-2"/>
          <w:sz w:val="24"/>
          <w:szCs w:val="24"/>
          <w:highlight w:val="none"/>
        </w:rPr>
        <w:t>不能违反招标文件及供方的投标或报价文件所规定的实质性条款。</w:t>
      </w:r>
    </w:p>
    <w:p w14:paraId="39595C71">
      <w:pPr>
        <w:pageBreakBefore w:val="0"/>
        <w:kinsoku/>
        <w:overflowPunct/>
        <w:bidi w:val="0"/>
        <w:adjustRightInd w:val="0"/>
        <w:snapToGrid w:val="0"/>
        <w:spacing w:after="0" w:line="360" w:lineRule="auto"/>
        <w:ind w:firstLine="482"/>
        <w:textAlignment w:val="auto"/>
        <w:outlineLvl w:val="9"/>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十六、知识产权：</w:t>
      </w:r>
    </w:p>
    <w:p w14:paraId="7C31A415">
      <w:pPr>
        <w:pageBreakBefore w:val="0"/>
        <w:kinsoku/>
        <w:overflowPunct/>
        <w:bidi w:val="0"/>
        <w:adjustRightInd w:val="0"/>
        <w:snapToGrid w:val="0"/>
        <w:spacing w:after="0" w:line="360" w:lineRule="auto"/>
        <w:ind w:right="186" w:firstLine="481"/>
        <w:textAlignment w:val="auto"/>
        <w:outlineLvl w:val="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供方须保障需方在使用该项目或其任何一部分时不受到第三方关于侵犯专利权、商标权或工业设计权的指控。如果任何第三方提出侵权指控，供方须与第三方交涉并承担可能</w:t>
      </w:r>
      <w:r>
        <w:rPr>
          <w:rFonts w:ascii="宋体" w:hAnsi="宋体" w:eastAsia="宋体" w:cs="宋体"/>
          <w:color w:val="auto"/>
          <w:spacing w:val="-2"/>
          <w:sz w:val="24"/>
          <w:szCs w:val="24"/>
          <w:highlight w:val="none"/>
        </w:rPr>
        <w:t>发生的一切费用。如需方因此而遭致损失的，供方应赔偿该损失。</w:t>
      </w:r>
    </w:p>
    <w:p w14:paraId="2CBB5100">
      <w:pPr>
        <w:pageBreakBefore w:val="0"/>
        <w:kinsoku/>
        <w:overflowPunct/>
        <w:bidi w:val="0"/>
        <w:adjustRightInd w:val="0"/>
        <w:snapToGrid w:val="0"/>
        <w:spacing w:after="0" w:line="360" w:lineRule="auto"/>
        <w:ind w:firstLine="482"/>
        <w:textAlignment w:val="auto"/>
        <w:outlineLvl w:val="9"/>
        <w:rPr>
          <w:rFonts w:ascii="宋体" w:hAnsi="宋体" w:eastAsia="宋体" w:cs="宋体"/>
          <w:color w:val="auto"/>
          <w:sz w:val="24"/>
          <w:szCs w:val="24"/>
          <w:highlight w:val="none"/>
        </w:rPr>
      </w:pPr>
      <w:r>
        <w:rPr>
          <w:rFonts w:ascii="宋体" w:hAnsi="宋体" w:eastAsia="宋体" w:cs="宋体"/>
          <w:color w:val="auto"/>
          <w:spacing w:val="-1"/>
          <w:position w:val="14"/>
          <w:sz w:val="24"/>
          <w:szCs w:val="24"/>
          <w:highlight w:val="none"/>
        </w:rPr>
        <w:t>十七、合同生效、备案及其它</w:t>
      </w:r>
    </w:p>
    <w:p w14:paraId="3735A603">
      <w:pPr>
        <w:pageBreakBefore w:val="0"/>
        <w:kinsoku/>
        <w:overflowPunct/>
        <w:bidi w:val="0"/>
        <w:adjustRightInd w:val="0"/>
        <w:snapToGrid w:val="0"/>
        <w:spacing w:after="0" w:line="360" w:lineRule="auto"/>
        <w:ind w:firstLine="499"/>
        <w:textAlignment w:val="auto"/>
        <w:outlineLvl w:val="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1．本合同经双方代表签字并加盖公章后生效。</w:t>
      </w:r>
    </w:p>
    <w:p w14:paraId="3F23E639">
      <w:pPr>
        <w:pStyle w:val="4"/>
        <w:pageBreakBefore w:val="0"/>
        <w:tabs>
          <w:tab w:val="left" w:pos="4603"/>
        </w:tabs>
        <w:kinsoku/>
        <w:overflowPunct/>
        <w:bidi w:val="0"/>
        <w:adjustRightInd w:val="0"/>
        <w:snapToGrid w:val="0"/>
        <w:spacing w:after="0" w:line="360" w:lineRule="auto"/>
        <w:ind w:firstLine="466" w:firstLineChars="200"/>
        <w:textAlignment w:val="auto"/>
        <w:outlineLvl w:val="9"/>
        <w:rPr>
          <w:rFonts w:hint="eastAsia" w:ascii="宋体" w:hAnsi="宋体" w:eastAsia="宋体" w:cs="宋体"/>
          <w:color w:val="auto"/>
          <w:sz w:val="24"/>
          <w:szCs w:val="24"/>
          <w:highlight w:val="none"/>
        </w:rPr>
      </w:pPr>
      <w:r>
        <w:rPr>
          <w:rFonts w:ascii="宋体" w:hAnsi="宋体" w:eastAsia="宋体" w:cs="宋体"/>
          <w:color w:val="auto"/>
          <w:spacing w:val="-4"/>
          <w:sz w:val="24"/>
          <w:szCs w:val="24"/>
          <w:highlight w:val="none"/>
        </w:rPr>
        <w:t>2．本合同一式份，供需双方各持份。</w:t>
      </w:r>
    </w:p>
    <w:p w14:paraId="4694D064">
      <w:pPr>
        <w:pStyle w:val="4"/>
        <w:pageBreakBefore w:val="0"/>
        <w:tabs>
          <w:tab w:val="left" w:pos="4603"/>
        </w:tabs>
        <w:kinsoku/>
        <w:overflowPunct/>
        <w:bidi w:val="0"/>
        <w:adjustRightInd w:val="0"/>
        <w:snapToGrid w:val="0"/>
        <w:spacing w:after="0" w:line="360" w:lineRule="auto"/>
        <w:ind w:left="928"/>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甲方（公章）：</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乙方（公章）：</w:t>
      </w:r>
    </w:p>
    <w:p w14:paraId="03CD77BF">
      <w:pPr>
        <w:pStyle w:val="4"/>
        <w:pageBreakBefore w:val="0"/>
        <w:tabs>
          <w:tab w:val="left" w:pos="4497"/>
        </w:tabs>
        <w:kinsoku/>
        <w:overflowPunct/>
        <w:bidi w:val="0"/>
        <w:adjustRightInd w:val="0"/>
        <w:snapToGrid w:val="0"/>
        <w:spacing w:after="0" w:line="360" w:lineRule="auto"/>
        <w:ind w:left="928"/>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单位地址：</w:t>
      </w:r>
    </w:p>
    <w:p w14:paraId="7E3A53FB">
      <w:pPr>
        <w:pStyle w:val="4"/>
        <w:pageBreakBefore w:val="0"/>
        <w:tabs>
          <w:tab w:val="left" w:pos="4497"/>
        </w:tabs>
        <w:kinsoku/>
        <w:overflowPunct/>
        <w:bidi w:val="0"/>
        <w:adjustRightInd w:val="0"/>
        <w:snapToGrid w:val="0"/>
        <w:spacing w:after="0" w:line="360" w:lineRule="auto"/>
        <w:ind w:left="928"/>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法人或被授权人：</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法人或被授权人：</w:t>
      </w:r>
    </w:p>
    <w:p w14:paraId="4F21186E">
      <w:pPr>
        <w:pStyle w:val="4"/>
        <w:pageBreakBefore w:val="0"/>
        <w:tabs>
          <w:tab w:val="left" w:pos="4497"/>
        </w:tabs>
        <w:kinsoku/>
        <w:overflowPunct/>
        <w:bidi w:val="0"/>
        <w:adjustRightInd w:val="0"/>
        <w:snapToGrid w:val="0"/>
        <w:spacing w:after="0" w:line="360" w:lineRule="auto"/>
        <w:ind w:left="928"/>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联系电话：</w:t>
      </w:r>
    </w:p>
    <w:p w14:paraId="180A3429">
      <w:pPr>
        <w:pStyle w:val="4"/>
        <w:pageBreakBefore w:val="0"/>
        <w:tabs>
          <w:tab w:val="left" w:pos="1871"/>
          <w:tab w:val="left" w:pos="2503"/>
          <w:tab w:val="left" w:pos="4811"/>
          <w:tab w:val="left" w:pos="5443"/>
          <w:tab w:val="left" w:pos="6071"/>
        </w:tabs>
        <w:kinsoku/>
        <w:overflowPunct/>
        <w:bidi w:val="0"/>
        <w:adjustRightInd w:val="0"/>
        <w:snapToGrid w:val="0"/>
        <w:spacing w:after="0" w:line="360" w:lineRule="auto"/>
        <w:ind w:left="1243"/>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日</w:t>
      </w:r>
    </w:p>
    <w:p w14:paraId="2C2A13F0">
      <w:pPr>
        <w:pageBreakBefore w:val="0"/>
        <w:kinsoku/>
        <w:overflowPunct/>
        <w:bidi w:val="0"/>
        <w:adjustRightInd w:val="0"/>
        <w:snapToGrid w:val="0"/>
        <w:spacing w:after="0" w:line="360" w:lineRule="auto"/>
        <w:textAlignment w:val="auto"/>
        <w:outlineLvl w:val="9"/>
        <w:rPr>
          <w:rFonts w:hint="eastAsia" w:ascii="宋体" w:hAnsi="宋体" w:eastAsia="宋体" w:cs="宋体"/>
          <w:color w:val="auto"/>
          <w:highlight w:val="none"/>
        </w:rPr>
        <w:sectPr>
          <w:footerReference r:id="rId9" w:type="default"/>
          <w:pgSz w:w="11910" w:h="16840"/>
          <w:pgMar w:top="1440" w:right="1080" w:bottom="1440" w:left="1080" w:header="1072" w:footer="1194" w:gutter="0"/>
          <w:pgNumType w:fmt="numberInDash"/>
          <w:cols w:space="720" w:num="1"/>
        </w:sectPr>
      </w:pPr>
    </w:p>
    <w:p w14:paraId="35EF5BB5">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投标人编制文件须知</w:t>
      </w:r>
    </w:p>
    <w:p w14:paraId="26E1CFB7">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1.投标人按照本部分的顺序编制投标文件（资格证明文件）、投标文件（商务技术文件），编制中涉及格式资料的，应按照本部分提供的内容和格式（所有表格的格式可扩展）填写提交。</w:t>
      </w:r>
    </w:p>
    <w:p w14:paraId="3D23AC7E">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2.全部声明和问题的回答及所附材料必须是真实的、准确的和完整的。</w:t>
      </w:r>
    </w:p>
    <w:p w14:paraId="571EA6CF">
      <w:pPr>
        <w:pStyle w:val="4"/>
        <w:ind w:firstLine="0" w:firstLineChars="0"/>
        <w:rPr>
          <w:b w:val="0"/>
          <w:color w:val="auto"/>
          <w:spacing w:val="2"/>
          <w:position w:val="17"/>
          <w:sz w:val="24"/>
          <w:szCs w:val="24"/>
          <w:highlight w:val="none"/>
        </w:rPr>
      </w:pPr>
    </w:p>
    <w:bookmarkEnd w:id="8"/>
    <w:bookmarkEnd w:id="9"/>
    <w:p w14:paraId="132AC9E6">
      <w:pPr>
        <w:rPr>
          <w:rStyle w:val="22"/>
          <w:rFonts w:hint="eastAsia"/>
          <w:color w:val="auto"/>
          <w:sz w:val="36"/>
          <w:szCs w:val="36"/>
          <w:highlight w:val="none"/>
        </w:rPr>
      </w:pPr>
      <w:bookmarkStart w:id="10" w:name="_Toc33217864"/>
      <w:bookmarkEnd w:id="10"/>
      <w:bookmarkStart w:id="11" w:name="_Toc12036"/>
      <w:bookmarkEnd w:id="11"/>
      <w:r>
        <w:rPr>
          <w:rStyle w:val="22"/>
          <w:rFonts w:hint="eastAsia"/>
          <w:color w:val="auto"/>
          <w:sz w:val="36"/>
          <w:szCs w:val="36"/>
          <w:highlight w:val="none"/>
        </w:rPr>
        <w:br w:type="page"/>
      </w:r>
    </w:p>
    <w:p w14:paraId="5F9D4E06">
      <w:pPr>
        <w:pStyle w:val="4"/>
        <w:ind w:firstLine="2456" w:firstLineChars="600"/>
        <w:rPr>
          <w:rStyle w:val="22"/>
          <w:color w:val="auto"/>
          <w:highlight w:val="none"/>
        </w:rPr>
      </w:pPr>
      <w:r>
        <w:rPr>
          <w:rStyle w:val="22"/>
          <w:rFonts w:hint="eastAsia"/>
          <w:color w:val="auto"/>
          <w:sz w:val="36"/>
          <w:szCs w:val="36"/>
          <w:highlight w:val="none"/>
        </w:rPr>
        <w:t>第六章投标文件格式</w:t>
      </w:r>
    </w:p>
    <w:p w14:paraId="201BC6E7">
      <w:pPr>
        <w:wordWrap w:val="0"/>
        <w:spacing w:line="253" w:lineRule="auto"/>
        <w:jc w:val="both"/>
        <w:rPr>
          <w:rFonts w:asciiTheme="minorEastAsia" w:hAnsiTheme="minorEastAsia" w:eastAsiaTheme="minorEastAsia" w:cstheme="minorEastAsia"/>
          <w:color w:val="auto"/>
          <w:highlight w:val="none"/>
        </w:rPr>
      </w:pPr>
    </w:p>
    <w:p w14:paraId="67CFD445">
      <w:pPr>
        <w:jc w:val="center"/>
        <w:rPr>
          <w:rFonts w:hint="eastAsia" w:eastAsia="宋体"/>
          <w:b/>
          <w:color w:val="auto"/>
          <w:sz w:val="28"/>
          <w:highlight w:val="none"/>
          <w:lang w:eastAsia="zh-CN"/>
        </w:rPr>
      </w:pPr>
    </w:p>
    <w:p w14:paraId="7B2B211F">
      <w:pPr>
        <w:pageBreakBefore w:val="0"/>
        <w:kinsoku/>
        <w:overflowPunct/>
        <w:bidi w:val="0"/>
        <w:adjustRightInd w:val="0"/>
        <w:snapToGrid w:val="0"/>
        <w:spacing w:after="0" w:line="360" w:lineRule="auto"/>
        <w:jc w:val="center"/>
        <w:textAlignment w:val="auto"/>
        <w:rPr>
          <w:rFonts w:ascii="宋体" w:hAnsi="宋体" w:eastAsia="宋体" w:cs="宋体"/>
          <w:b/>
          <w:color w:val="auto"/>
          <w:sz w:val="52"/>
          <w:szCs w:val="52"/>
          <w:highlight w:val="none"/>
        </w:rPr>
      </w:pPr>
      <w:r>
        <w:rPr>
          <w:rFonts w:hint="eastAsia" w:ascii="宋体" w:hAnsi="宋体" w:eastAsia="宋体" w:cs="宋体"/>
          <w:b/>
          <w:color w:val="auto"/>
          <w:sz w:val="52"/>
          <w:szCs w:val="52"/>
          <w:highlight w:val="none"/>
          <w:lang w:val="en-US" w:eastAsia="zh-CN"/>
        </w:rPr>
        <w:t>投标</w:t>
      </w:r>
      <w:r>
        <w:rPr>
          <w:rFonts w:hint="eastAsia" w:ascii="宋体" w:hAnsi="宋体" w:eastAsia="宋体" w:cs="宋体"/>
          <w:b/>
          <w:color w:val="auto"/>
          <w:sz w:val="52"/>
          <w:szCs w:val="52"/>
          <w:highlight w:val="none"/>
        </w:rPr>
        <w:t>文件</w:t>
      </w:r>
    </w:p>
    <w:p w14:paraId="3DB027A7">
      <w:pPr>
        <w:pageBreakBefore w:val="0"/>
        <w:kinsoku/>
        <w:overflowPunct/>
        <w:bidi w:val="0"/>
        <w:adjustRightInd w:val="0"/>
        <w:snapToGrid w:val="0"/>
        <w:spacing w:after="0" w:line="360" w:lineRule="auto"/>
        <w:jc w:val="center"/>
        <w:textAlignment w:val="auto"/>
        <w:rPr>
          <w:rFonts w:hint="default"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项目编号：</w:t>
      </w:r>
    </w:p>
    <w:p w14:paraId="694C253B">
      <w:pPr>
        <w:pageBreakBefore w:val="0"/>
        <w:kinsoku/>
        <w:overflowPunct/>
        <w:bidi w:val="0"/>
        <w:adjustRightInd w:val="0"/>
        <w:snapToGrid w:val="0"/>
        <w:spacing w:after="0" w:line="360" w:lineRule="auto"/>
        <w:jc w:val="center"/>
        <w:textAlignment w:val="auto"/>
        <w:rPr>
          <w:rFonts w:ascii="宋体" w:hAnsi="宋体" w:eastAsia="宋体" w:cs="宋体"/>
          <w:b/>
          <w:color w:val="auto"/>
          <w:sz w:val="28"/>
          <w:highlight w:val="none"/>
        </w:rPr>
      </w:pPr>
    </w:p>
    <w:p w14:paraId="5F3466A0">
      <w:pPr>
        <w:pageBreakBefore w:val="0"/>
        <w:kinsoku/>
        <w:overflowPunct/>
        <w:bidi w:val="0"/>
        <w:adjustRightInd w:val="0"/>
        <w:snapToGrid w:val="0"/>
        <w:spacing w:after="0" w:line="360" w:lineRule="auto"/>
        <w:jc w:val="center"/>
        <w:textAlignment w:val="auto"/>
        <w:rPr>
          <w:rFonts w:ascii="宋体" w:hAnsi="宋体" w:eastAsia="宋体" w:cs="宋体"/>
          <w:b/>
          <w:color w:val="auto"/>
          <w:sz w:val="28"/>
          <w:highlight w:val="none"/>
        </w:rPr>
      </w:pPr>
    </w:p>
    <w:p w14:paraId="553BA26E">
      <w:pPr>
        <w:pageBreakBefore w:val="0"/>
        <w:kinsoku/>
        <w:overflowPunct/>
        <w:bidi w:val="0"/>
        <w:adjustRightInd w:val="0"/>
        <w:snapToGrid w:val="0"/>
        <w:spacing w:after="0" w:line="360" w:lineRule="auto"/>
        <w:jc w:val="center"/>
        <w:textAlignment w:val="auto"/>
        <w:rPr>
          <w:rFonts w:ascii="宋体" w:hAnsi="宋体" w:eastAsia="宋体" w:cs="宋体"/>
          <w:b/>
          <w:color w:val="auto"/>
          <w:sz w:val="28"/>
          <w:highlight w:val="none"/>
        </w:rPr>
      </w:pPr>
    </w:p>
    <w:p w14:paraId="193196CE">
      <w:pPr>
        <w:pageBreakBefore w:val="0"/>
        <w:kinsoku/>
        <w:overflowPunct/>
        <w:bidi w:val="0"/>
        <w:adjustRightInd w:val="0"/>
        <w:snapToGrid w:val="0"/>
        <w:spacing w:after="0" w:line="360" w:lineRule="auto"/>
        <w:jc w:val="center"/>
        <w:textAlignment w:val="auto"/>
        <w:rPr>
          <w:rFonts w:ascii="宋体" w:hAnsi="宋体" w:eastAsia="宋体" w:cs="宋体"/>
          <w:b/>
          <w:color w:val="auto"/>
          <w:sz w:val="28"/>
          <w:highlight w:val="none"/>
        </w:rPr>
      </w:pPr>
    </w:p>
    <w:p w14:paraId="02350B3E">
      <w:pPr>
        <w:pageBreakBefore w:val="0"/>
        <w:kinsoku/>
        <w:overflowPunct/>
        <w:bidi w:val="0"/>
        <w:adjustRightInd w:val="0"/>
        <w:snapToGrid w:val="0"/>
        <w:spacing w:after="0" w:line="360" w:lineRule="auto"/>
        <w:textAlignment w:val="auto"/>
        <w:rPr>
          <w:rFonts w:ascii="宋体" w:hAnsi="宋体" w:eastAsia="宋体" w:cs="宋体"/>
          <w:b/>
          <w:color w:val="auto"/>
          <w:sz w:val="28"/>
          <w:highlight w:val="none"/>
        </w:rPr>
      </w:pPr>
    </w:p>
    <w:p w14:paraId="49604DEE">
      <w:pPr>
        <w:pageBreakBefore w:val="0"/>
        <w:kinsoku/>
        <w:overflowPunct/>
        <w:bidi w:val="0"/>
        <w:adjustRightInd w:val="0"/>
        <w:snapToGrid w:val="0"/>
        <w:spacing w:after="0" w:line="360" w:lineRule="auto"/>
        <w:jc w:val="center"/>
        <w:textAlignment w:val="auto"/>
        <w:rPr>
          <w:rFonts w:ascii="宋体" w:hAnsi="宋体" w:eastAsia="宋体" w:cs="宋体"/>
          <w:b/>
          <w:color w:val="auto"/>
          <w:sz w:val="28"/>
          <w:highlight w:val="none"/>
        </w:rPr>
      </w:pPr>
      <w:r>
        <w:rPr>
          <w:rFonts w:hint="eastAsia" w:ascii="宋体" w:hAnsi="宋体" w:eastAsia="宋体" w:cs="宋体"/>
          <w:b/>
          <w:color w:val="auto"/>
          <w:sz w:val="28"/>
          <w:highlight w:val="none"/>
        </w:rPr>
        <w:t>投标人：</w:t>
      </w:r>
      <w:r>
        <w:rPr>
          <w:rFonts w:hint="eastAsia" w:ascii="宋体" w:hAnsi="宋体" w:eastAsia="宋体" w:cs="宋体"/>
          <w:b/>
          <w:color w:val="auto"/>
          <w:sz w:val="28"/>
          <w:highlight w:val="none"/>
          <w:u w:val="single"/>
        </w:rPr>
        <w:t>（电子签章）</w:t>
      </w:r>
    </w:p>
    <w:p w14:paraId="5E77AD96">
      <w:pPr>
        <w:pageBreakBefore w:val="0"/>
        <w:kinsoku/>
        <w:overflowPunct/>
        <w:bidi w:val="0"/>
        <w:adjustRightInd w:val="0"/>
        <w:snapToGrid w:val="0"/>
        <w:spacing w:after="0" w:line="360" w:lineRule="auto"/>
        <w:jc w:val="center"/>
        <w:textAlignment w:val="auto"/>
        <w:rPr>
          <w:rFonts w:ascii="宋体" w:hAnsi="宋体" w:eastAsia="宋体" w:cs="宋体"/>
          <w:b/>
          <w:color w:val="auto"/>
          <w:sz w:val="28"/>
          <w:highlight w:val="none"/>
        </w:rPr>
      </w:pPr>
      <w:r>
        <w:rPr>
          <w:rFonts w:hint="eastAsia" w:ascii="宋体" w:hAnsi="宋体" w:eastAsia="宋体" w:cs="宋体"/>
          <w:b/>
          <w:color w:val="auto"/>
          <w:sz w:val="28"/>
          <w:highlight w:val="none"/>
        </w:rPr>
        <w:t>法人代表或授权代表人：</w:t>
      </w:r>
      <w:r>
        <w:rPr>
          <w:rFonts w:hint="eastAsia" w:ascii="宋体" w:hAnsi="宋体" w:eastAsia="宋体" w:cs="宋体"/>
          <w:b/>
          <w:color w:val="auto"/>
          <w:sz w:val="28"/>
          <w:highlight w:val="none"/>
          <w:u w:val="single"/>
        </w:rPr>
        <w:t>(签字或盖章)</w:t>
      </w:r>
    </w:p>
    <w:p w14:paraId="66DED36D">
      <w:pPr>
        <w:pageBreakBefore w:val="0"/>
        <w:kinsoku/>
        <w:overflowPunct/>
        <w:bidi w:val="0"/>
        <w:adjustRightInd w:val="0"/>
        <w:snapToGrid w:val="0"/>
        <w:spacing w:after="0" w:line="360" w:lineRule="auto"/>
        <w:ind w:firstLine="2811" w:firstLineChars="1000"/>
        <w:jc w:val="both"/>
        <w:textAlignment w:val="auto"/>
        <w:rPr>
          <w:rFonts w:ascii="宋体" w:hAnsi="宋体" w:eastAsia="宋体" w:cs="宋体"/>
          <w:b/>
          <w:color w:val="auto"/>
          <w:sz w:val="28"/>
          <w:highlight w:val="none"/>
          <w:u w:val="single"/>
        </w:rPr>
      </w:pPr>
      <w:r>
        <w:rPr>
          <w:rFonts w:hint="eastAsia" w:ascii="宋体" w:hAnsi="宋体" w:eastAsia="宋体" w:cs="宋体"/>
          <w:b/>
          <w:color w:val="auto"/>
          <w:sz w:val="28"/>
          <w:highlight w:val="none"/>
        </w:rPr>
        <w:t>日期：________________</w:t>
      </w:r>
    </w:p>
    <w:p w14:paraId="3076A6CC">
      <w:pPr>
        <w:pageBreakBefore w:val="0"/>
        <w:kinsoku/>
        <w:overflowPunct/>
        <w:bidi w:val="0"/>
        <w:adjustRightInd w:val="0"/>
        <w:snapToGrid w:val="0"/>
        <w:spacing w:after="0" w:line="360" w:lineRule="auto"/>
        <w:textAlignment w:val="auto"/>
        <w:rPr>
          <w:rFonts w:ascii="宋体" w:hAnsi="宋体" w:eastAsia="宋体" w:cs="宋体"/>
          <w:b/>
          <w:color w:val="auto"/>
          <w:sz w:val="28"/>
          <w:highlight w:val="none"/>
          <w:u w:val="single"/>
        </w:rPr>
      </w:pPr>
    </w:p>
    <w:p w14:paraId="643D6463">
      <w:pPr>
        <w:pageBreakBefore w:val="0"/>
        <w:kinsoku/>
        <w:overflowPunct/>
        <w:bidi w:val="0"/>
        <w:adjustRightInd w:val="0"/>
        <w:snapToGrid w:val="0"/>
        <w:spacing w:after="0" w:line="360" w:lineRule="auto"/>
        <w:textAlignment w:val="auto"/>
        <w:rPr>
          <w:rFonts w:ascii="宋体" w:hAnsi="宋体" w:eastAsia="宋体" w:cs="宋体"/>
          <w:b/>
          <w:color w:val="auto"/>
          <w:sz w:val="28"/>
          <w:highlight w:val="none"/>
          <w:u w:val="single"/>
        </w:rPr>
      </w:pPr>
    </w:p>
    <w:p w14:paraId="7B6D3BE6">
      <w:pPr>
        <w:pageBreakBefore w:val="0"/>
        <w:kinsoku/>
        <w:overflowPunct/>
        <w:bidi w:val="0"/>
        <w:adjustRightInd w:val="0"/>
        <w:snapToGrid w:val="0"/>
        <w:spacing w:after="0" w:line="360" w:lineRule="auto"/>
        <w:textAlignment w:val="auto"/>
        <w:rPr>
          <w:rFonts w:ascii="宋体" w:hAnsi="宋体" w:eastAsia="宋体" w:cs="宋体"/>
          <w:b/>
          <w:color w:val="auto"/>
          <w:sz w:val="28"/>
          <w:highlight w:val="none"/>
          <w:u w:val="single"/>
        </w:rPr>
      </w:pPr>
    </w:p>
    <w:p w14:paraId="6E00C812">
      <w:pPr>
        <w:pageBreakBefore w:val="0"/>
        <w:kinsoku/>
        <w:overflowPunct/>
        <w:bidi w:val="0"/>
        <w:adjustRightInd w:val="0"/>
        <w:snapToGrid w:val="0"/>
        <w:spacing w:after="0" w:line="360" w:lineRule="auto"/>
        <w:textAlignment w:val="auto"/>
        <w:rPr>
          <w:color w:val="auto"/>
          <w:highlight w:val="none"/>
        </w:rPr>
      </w:pPr>
    </w:p>
    <w:p w14:paraId="2032D72A">
      <w:pPr>
        <w:pageBreakBefore w:val="0"/>
        <w:kinsoku/>
        <w:overflowPunct/>
        <w:bidi w:val="0"/>
        <w:adjustRightInd w:val="0"/>
        <w:snapToGrid w:val="0"/>
        <w:spacing w:after="0" w:line="360" w:lineRule="auto"/>
        <w:jc w:val="center"/>
        <w:textAlignment w:val="auto"/>
        <w:rPr>
          <w:rFonts w:ascii="宋体" w:hAnsi="宋体" w:eastAsia="宋体" w:cs="宋体"/>
          <w:b/>
          <w:color w:val="auto"/>
          <w:sz w:val="28"/>
          <w:highlight w:val="none"/>
        </w:rPr>
      </w:pPr>
    </w:p>
    <w:p w14:paraId="116B0CF3">
      <w:pPr>
        <w:rPr>
          <w:rFonts w:hint="eastAsia" w:asciiTheme="minorEastAsia" w:hAnsiTheme="minorEastAsia" w:eastAsiaTheme="minorEastAsia" w:cstheme="minorEastAsia"/>
          <w:color w:val="auto"/>
          <w:spacing w:val="24"/>
          <w:sz w:val="24"/>
          <w:szCs w:val="24"/>
          <w:highlight w:val="none"/>
        </w:rPr>
      </w:pPr>
      <w:r>
        <w:rPr>
          <w:rFonts w:hint="eastAsia" w:asciiTheme="minorEastAsia" w:hAnsiTheme="minorEastAsia" w:eastAsiaTheme="minorEastAsia" w:cstheme="minorEastAsia"/>
          <w:color w:val="auto"/>
          <w:spacing w:val="24"/>
          <w:sz w:val="24"/>
          <w:szCs w:val="24"/>
          <w:highlight w:val="none"/>
        </w:rPr>
        <w:br w:type="page"/>
      </w:r>
    </w:p>
    <w:p w14:paraId="580D0DCD">
      <w:pPr>
        <w:pStyle w:val="4"/>
        <w:kinsoku/>
        <w:wordWrap w:val="0"/>
        <w:spacing w:before="78" w:line="360" w:lineRule="auto"/>
        <w:ind w:left="13"/>
        <w:jc w:val="both"/>
        <w:outlineLvl w:val="2"/>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pacing w:val="24"/>
          <w:sz w:val="24"/>
          <w:szCs w:val="24"/>
          <w:highlight w:val="none"/>
        </w:rPr>
        <w:t>一、资格证明文件格式</w:t>
      </w:r>
    </w:p>
    <w:p w14:paraId="2B098B66">
      <w:pPr>
        <w:kinsoku/>
        <w:wordWrap w:val="0"/>
        <w:spacing w:line="360" w:lineRule="auto"/>
        <w:jc w:val="both"/>
        <w:rPr>
          <w:rFonts w:asciiTheme="minorEastAsia" w:hAnsiTheme="minorEastAsia" w:eastAsiaTheme="minorEastAsia" w:cstheme="minorEastAsia"/>
          <w:color w:val="auto"/>
          <w:spacing w:val="24"/>
          <w:sz w:val="24"/>
          <w:szCs w:val="24"/>
          <w:highlight w:val="none"/>
          <w:lang w:eastAsia="zh-CN"/>
        </w:rPr>
      </w:pPr>
      <w:r>
        <w:rPr>
          <w:rFonts w:hint="eastAsia" w:asciiTheme="minorEastAsia" w:hAnsiTheme="minorEastAsia" w:eastAsiaTheme="minorEastAsia" w:cstheme="minorEastAsia"/>
          <w:color w:val="auto"/>
          <w:spacing w:val="24"/>
          <w:sz w:val="24"/>
          <w:szCs w:val="24"/>
          <w:highlight w:val="none"/>
          <w:lang w:eastAsia="zh-CN"/>
        </w:rPr>
        <w:t>1.开标一览表</w:t>
      </w:r>
    </w:p>
    <w:p w14:paraId="212829B2">
      <w:pPr>
        <w:kinsoku/>
        <w:wordWrap w:val="0"/>
        <w:spacing w:line="360" w:lineRule="auto"/>
        <w:jc w:val="center"/>
        <w:rPr>
          <w:rFonts w:asciiTheme="minorEastAsia" w:hAnsiTheme="minorEastAsia" w:eastAsiaTheme="minorEastAsia" w:cstheme="minorEastAsia"/>
          <w:color w:val="auto"/>
          <w:spacing w:val="24"/>
          <w:sz w:val="24"/>
          <w:szCs w:val="24"/>
          <w:highlight w:val="none"/>
          <w:lang w:eastAsia="zh-CN"/>
        </w:rPr>
      </w:pPr>
    </w:p>
    <w:p w14:paraId="56950376">
      <w:pPr>
        <w:kinsoku/>
        <w:wordWrap w:val="0"/>
        <w:spacing w:line="360" w:lineRule="auto"/>
        <w:jc w:val="center"/>
        <w:rPr>
          <w:rFonts w:asciiTheme="minorEastAsia" w:hAnsiTheme="minorEastAsia" w:eastAsiaTheme="minorEastAsia" w:cstheme="minorEastAsia"/>
          <w:color w:val="auto"/>
          <w:spacing w:val="24"/>
          <w:sz w:val="24"/>
          <w:szCs w:val="24"/>
          <w:highlight w:val="none"/>
          <w:lang w:eastAsia="zh-CN"/>
        </w:rPr>
      </w:pPr>
      <w:r>
        <w:rPr>
          <w:rFonts w:hint="eastAsia" w:asciiTheme="minorEastAsia" w:hAnsiTheme="minorEastAsia" w:eastAsiaTheme="minorEastAsia" w:cstheme="minorEastAsia"/>
          <w:color w:val="auto"/>
          <w:spacing w:val="24"/>
          <w:sz w:val="24"/>
          <w:szCs w:val="24"/>
          <w:highlight w:val="none"/>
          <w:lang w:eastAsia="zh-CN"/>
        </w:rPr>
        <w:t>开标一览表</w:t>
      </w:r>
    </w:p>
    <w:tbl>
      <w:tblPr>
        <w:tblStyle w:val="12"/>
        <w:tblW w:w="8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6926"/>
      </w:tblGrid>
      <w:tr w14:paraId="1B312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3BBD7155">
            <w:pPr>
              <w:kinsoku/>
              <w:wordWrap w:val="0"/>
              <w:spacing w:line="360" w:lineRule="auto"/>
              <w:jc w:val="both"/>
              <w:rPr>
                <w:rFonts w:asciiTheme="minorEastAsia" w:hAnsiTheme="minorEastAsia" w:eastAsiaTheme="minorEastAsia" w:cstheme="minorEastAsia"/>
                <w:b/>
                <w:bCs/>
                <w:color w:val="auto"/>
                <w:spacing w:val="-8"/>
                <w:sz w:val="24"/>
                <w:szCs w:val="24"/>
                <w:highlight w:val="none"/>
                <w:lang w:eastAsia="zh-CN"/>
              </w:rPr>
            </w:pPr>
            <w:r>
              <w:rPr>
                <w:rFonts w:hint="eastAsia" w:asciiTheme="minorEastAsia" w:hAnsiTheme="minorEastAsia" w:eastAsiaTheme="minorEastAsia" w:cstheme="minorEastAsia"/>
                <w:b/>
                <w:bCs/>
                <w:color w:val="auto"/>
                <w:spacing w:val="-8"/>
                <w:sz w:val="24"/>
                <w:szCs w:val="24"/>
                <w:highlight w:val="none"/>
                <w:lang w:eastAsia="zh-CN"/>
              </w:rPr>
              <w:t>项目名称</w:t>
            </w:r>
          </w:p>
        </w:tc>
        <w:tc>
          <w:tcPr>
            <w:tcW w:w="6926" w:type="dxa"/>
            <w:tcBorders>
              <w:top w:val="single" w:color="auto" w:sz="4" w:space="0"/>
              <w:left w:val="single" w:color="auto" w:sz="4" w:space="0"/>
              <w:bottom w:val="single" w:color="auto" w:sz="4" w:space="0"/>
              <w:right w:val="single" w:color="auto" w:sz="4" w:space="0"/>
            </w:tcBorders>
            <w:noWrap/>
            <w:vAlign w:val="center"/>
          </w:tcPr>
          <w:p w14:paraId="0EF61155">
            <w:pPr>
              <w:kinsoku/>
              <w:wordWrap w:val="0"/>
              <w:spacing w:line="360" w:lineRule="auto"/>
              <w:jc w:val="both"/>
              <w:rPr>
                <w:rFonts w:asciiTheme="minorEastAsia" w:hAnsiTheme="minorEastAsia" w:eastAsiaTheme="minorEastAsia" w:cstheme="minorEastAsia"/>
                <w:color w:val="auto"/>
                <w:spacing w:val="-8"/>
                <w:sz w:val="24"/>
                <w:szCs w:val="24"/>
                <w:highlight w:val="none"/>
                <w:lang w:eastAsia="zh-CN"/>
              </w:rPr>
            </w:pPr>
          </w:p>
        </w:tc>
      </w:tr>
      <w:tr w14:paraId="5A414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693DDDE8">
            <w:pPr>
              <w:kinsoku/>
              <w:wordWrap w:val="0"/>
              <w:spacing w:line="360" w:lineRule="auto"/>
              <w:jc w:val="both"/>
              <w:rPr>
                <w:rFonts w:asciiTheme="minorEastAsia" w:hAnsiTheme="minorEastAsia" w:eastAsiaTheme="minorEastAsia" w:cstheme="minorEastAsia"/>
                <w:b/>
                <w:bCs/>
                <w:color w:val="auto"/>
                <w:spacing w:val="-8"/>
                <w:sz w:val="24"/>
                <w:szCs w:val="24"/>
                <w:highlight w:val="none"/>
                <w:lang w:eastAsia="zh-CN"/>
              </w:rPr>
            </w:pPr>
            <w:r>
              <w:rPr>
                <w:rFonts w:hint="eastAsia" w:asciiTheme="minorEastAsia" w:hAnsiTheme="minorEastAsia" w:eastAsiaTheme="minorEastAsia" w:cstheme="minorEastAsia"/>
                <w:b/>
                <w:bCs/>
                <w:color w:val="auto"/>
                <w:spacing w:val="-8"/>
                <w:sz w:val="24"/>
                <w:szCs w:val="24"/>
                <w:highlight w:val="none"/>
                <w:lang w:eastAsia="zh-CN"/>
              </w:rPr>
              <w:t>项目编号</w:t>
            </w:r>
          </w:p>
        </w:tc>
        <w:tc>
          <w:tcPr>
            <w:tcW w:w="6926" w:type="dxa"/>
            <w:tcBorders>
              <w:top w:val="single" w:color="auto" w:sz="4" w:space="0"/>
              <w:left w:val="single" w:color="auto" w:sz="4" w:space="0"/>
              <w:bottom w:val="single" w:color="auto" w:sz="4" w:space="0"/>
              <w:right w:val="single" w:color="auto" w:sz="4" w:space="0"/>
            </w:tcBorders>
            <w:noWrap/>
            <w:vAlign w:val="center"/>
          </w:tcPr>
          <w:p w14:paraId="3109A363">
            <w:pPr>
              <w:kinsoku/>
              <w:wordWrap w:val="0"/>
              <w:spacing w:line="360" w:lineRule="auto"/>
              <w:jc w:val="both"/>
              <w:rPr>
                <w:rFonts w:asciiTheme="minorEastAsia" w:hAnsiTheme="minorEastAsia" w:eastAsiaTheme="minorEastAsia" w:cstheme="minorEastAsia"/>
                <w:color w:val="auto"/>
                <w:spacing w:val="-8"/>
                <w:sz w:val="24"/>
                <w:szCs w:val="24"/>
                <w:highlight w:val="none"/>
                <w:lang w:eastAsia="zh-CN"/>
              </w:rPr>
            </w:pPr>
          </w:p>
        </w:tc>
      </w:tr>
      <w:tr w14:paraId="25D01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2FB0298B">
            <w:pPr>
              <w:kinsoku/>
              <w:wordWrap w:val="0"/>
              <w:spacing w:line="360" w:lineRule="auto"/>
              <w:jc w:val="both"/>
              <w:rPr>
                <w:rFonts w:asciiTheme="minorEastAsia" w:hAnsiTheme="minorEastAsia" w:eastAsiaTheme="minorEastAsia" w:cstheme="minorEastAsia"/>
                <w:b/>
                <w:bCs/>
                <w:color w:val="auto"/>
                <w:spacing w:val="-8"/>
                <w:sz w:val="24"/>
                <w:szCs w:val="24"/>
                <w:highlight w:val="none"/>
                <w:lang w:eastAsia="zh-CN"/>
              </w:rPr>
            </w:pPr>
            <w:r>
              <w:rPr>
                <w:rFonts w:hint="eastAsia" w:asciiTheme="minorEastAsia" w:hAnsiTheme="minorEastAsia" w:eastAsiaTheme="minorEastAsia" w:cstheme="minorEastAsia"/>
                <w:b/>
                <w:bCs/>
                <w:color w:val="auto"/>
                <w:spacing w:val="-8"/>
                <w:sz w:val="24"/>
                <w:szCs w:val="24"/>
                <w:highlight w:val="none"/>
                <w:lang w:eastAsia="zh-CN"/>
              </w:rPr>
              <w:t>投标人</w:t>
            </w:r>
          </w:p>
        </w:tc>
        <w:tc>
          <w:tcPr>
            <w:tcW w:w="6926" w:type="dxa"/>
            <w:tcBorders>
              <w:top w:val="single" w:color="auto" w:sz="4" w:space="0"/>
              <w:left w:val="single" w:color="auto" w:sz="4" w:space="0"/>
              <w:bottom w:val="single" w:color="auto" w:sz="4" w:space="0"/>
              <w:right w:val="single" w:color="auto" w:sz="4" w:space="0"/>
            </w:tcBorders>
            <w:noWrap/>
            <w:vAlign w:val="center"/>
          </w:tcPr>
          <w:p w14:paraId="6F9E5138">
            <w:pPr>
              <w:kinsoku/>
              <w:wordWrap w:val="0"/>
              <w:spacing w:line="360" w:lineRule="auto"/>
              <w:jc w:val="both"/>
              <w:rPr>
                <w:rFonts w:asciiTheme="minorEastAsia" w:hAnsiTheme="minorEastAsia" w:eastAsiaTheme="minorEastAsia" w:cstheme="minorEastAsia"/>
                <w:color w:val="auto"/>
                <w:spacing w:val="-8"/>
                <w:sz w:val="24"/>
                <w:szCs w:val="24"/>
                <w:highlight w:val="none"/>
                <w:lang w:eastAsia="zh-CN"/>
              </w:rPr>
            </w:pPr>
          </w:p>
        </w:tc>
      </w:tr>
      <w:tr w14:paraId="39CD2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185585AD">
            <w:pPr>
              <w:kinsoku/>
              <w:wordWrap w:val="0"/>
              <w:spacing w:line="360" w:lineRule="auto"/>
              <w:jc w:val="both"/>
              <w:rPr>
                <w:rFonts w:asciiTheme="minorEastAsia" w:hAnsiTheme="minorEastAsia" w:eastAsiaTheme="minorEastAsia" w:cstheme="minorEastAsia"/>
                <w:b/>
                <w:bCs/>
                <w:color w:val="auto"/>
                <w:spacing w:val="-8"/>
                <w:sz w:val="24"/>
                <w:szCs w:val="24"/>
                <w:highlight w:val="none"/>
                <w:lang w:eastAsia="zh-CN"/>
              </w:rPr>
            </w:pPr>
            <w:r>
              <w:rPr>
                <w:rFonts w:hint="eastAsia" w:asciiTheme="minorEastAsia" w:hAnsiTheme="minorEastAsia" w:eastAsiaTheme="minorEastAsia" w:cstheme="minorEastAsia"/>
                <w:b/>
                <w:bCs/>
                <w:color w:val="auto"/>
                <w:spacing w:val="-8"/>
                <w:sz w:val="24"/>
                <w:szCs w:val="24"/>
                <w:highlight w:val="none"/>
                <w:lang w:eastAsia="zh-CN"/>
              </w:rPr>
              <w:t>投标报价</w:t>
            </w:r>
          </w:p>
        </w:tc>
        <w:tc>
          <w:tcPr>
            <w:tcW w:w="6926" w:type="dxa"/>
            <w:tcBorders>
              <w:top w:val="single" w:color="auto" w:sz="4" w:space="0"/>
              <w:left w:val="single" w:color="auto" w:sz="4" w:space="0"/>
              <w:bottom w:val="single" w:color="auto" w:sz="4" w:space="0"/>
              <w:right w:val="single" w:color="auto" w:sz="4" w:space="0"/>
            </w:tcBorders>
            <w:noWrap/>
            <w:vAlign w:val="center"/>
          </w:tcPr>
          <w:p w14:paraId="34EDAD04">
            <w:pPr>
              <w:kinsoku/>
              <w:wordWrap w:val="0"/>
              <w:spacing w:line="360" w:lineRule="auto"/>
              <w:jc w:val="both"/>
              <w:rPr>
                <w:rFonts w:asciiTheme="minorEastAsia" w:hAnsiTheme="minorEastAsia" w:eastAsiaTheme="minorEastAsia" w:cstheme="minorEastAsia"/>
                <w:color w:val="auto"/>
                <w:spacing w:val="-8"/>
                <w:sz w:val="24"/>
                <w:szCs w:val="24"/>
                <w:highlight w:val="none"/>
                <w:lang w:eastAsia="zh-CN"/>
              </w:rPr>
            </w:pPr>
            <w:r>
              <w:rPr>
                <w:rFonts w:hint="eastAsia" w:asciiTheme="minorEastAsia" w:hAnsiTheme="minorEastAsia" w:eastAsiaTheme="minorEastAsia" w:cstheme="minorEastAsia"/>
                <w:color w:val="auto"/>
                <w:spacing w:val="-8"/>
                <w:sz w:val="24"/>
                <w:szCs w:val="24"/>
                <w:highlight w:val="none"/>
                <w:lang w:eastAsia="zh-CN"/>
              </w:rPr>
              <w:t>大写：（￥：）</w:t>
            </w:r>
          </w:p>
        </w:tc>
      </w:tr>
      <w:tr w14:paraId="49D12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4C2D7FBE">
            <w:pPr>
              <w:kinsoku/>
              <w:wordWrap w:val="0"/>
              <w:spacing w:line="360" w:lineRule="auto"/>
              <w:jc w:val="both"/>
              <w:rPr>
                <w:rFonts w:asciiTheme="minorEastAsia" w:hAnsiTheme="minorEastAsia" w:eastAsiaTheme="minorEastAsia" w:cstheme="minorEastAsia"/>
                <w:b/>
                <w:bCs/>
                <w:color w:val="auto"/>
                <w:spacing w:val="-8"/>
                <w:sz w:val="24"/>
                <w:szCs w:val="24"/>
                <w:highlight w:val="none"/>
                <w:lang w:eastAsia="zh-CN"/>
              </w:rPr>
            </w:pPr>
            <w:r>
              <w:rPr>
                <w:rFonts w:hint="eastAsia" w:asciiTheme="minorEastAsia" w:hAnsiTheme="minorEastAsia" w:eastAsiaTheme="minorEastAsia" w:cstheme="minorEastAsia"/>
                <w:b/>
                <w:bCs/>
                <w:color w:val="auto"/>
                <w:spacing w:val="-8"/>
                <w:sz w:val="24"/>
                <w:szCs w:val="24"/>
                <w:highlight w:val="none"/>
                <w:lang w:eastAsia="zh-CN"/>
              </w:rPr>
              <w:t>交货安装时间</w:t>
            </w:r>
          </w:p>
        </w:tc>
        <w:tc>
          <w:tcPr>
            <w:tcW w:w="6926" w:type="dxa"/>
            <w:tcBorders>
              <w:top w:val="single" w:color="auto" w:sz="4" w:space="0"/>
              <w:left w:val="single" w:color="auto" w:sz="4" w:space="0"/>
              <w:bottom w:val="single" w:color="auto" w:sz="4" w:space="0"/>
              <w:right w:val="single" w:color="auto" w:sz="4" w:space="0"/>
            </w:tcBorders>
            <w:noWrap/>
            <w:vAlign w:val="center"/>
          </w:tcPr>
          <w:p w14:paraId="7788108B">
            <w:pPr>
              <w:kinsoku/>
              <w:wordWrap w:val="0"/>
              <w:spacing w:line="360" w:lineRule="auto"/>
              <w:jc w:val="both"/>
              <w:rPr>
                <w:rFonts w:asciiTheme="minorEastAsia" w:hAnsiTheme="minorEastAsia" w:eastAsiaTheme="minorEastAsia" w:cstheme="minorEastAsia"/>
                <w:color w:val="auto"/>
                <w:spacing w:val="-8"/>
                <w:sz w:val="24"/>
                <w:szCs w:val="24"/>
                <w:highlight w:val="none"/>
                <w:lang w:eastAsia="zh-CN"/>
              </w:rPr>
            </w:pPr>
          </w:p>
        </w:tc>
      </w:tr>
      <w:tr w14:paraId="34BC9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5932A68F">
            <w:pPr>
              <w:kinsoku/>
              <w:wordWrap w:val="0"/>
              <w:spacing w:line="360" w:lineRule="auto"/>
              <w:jc w:val="both"/>
              <w:rPr>
                <w:rFonts w:asciiTheme="minorEastAsia" w:hAnsiTheme="minorEastAsia" w:eastAsiaTheme="minorEastAsia" w:cstheme="minorEastAsia"/>
                <w:b/>
                <w:bCs/>
                <w:color w:val="auto"/>
                <w:spacing w:val="-8"/>
                <w:sz w:val="24"/>
                <w:szCs w:val="24"/>
                <w:highlight w:val="none"/>
                <w:lang w:eastAsia="zh-CN"/>
              </w:rPr>
            </w:pPr>
            <w:r>
              <w:rPr>
                <w:rFonts w:hint="eastAsia" w:asciiTheme="minorEastAsia" w:hAnsiTheme="minorEastAsia" w:eastAsiaTheme="minorEastAsia" w:cstheme="minorEastAsia"/>
                <w:b/>
                <w:bCs/>
                <w:color w:val="auto"/>
                <w:spacing w:val="-8"/>
                <w:sz w:val="24"/>
                <w:szCs w:val="24"/>
                <w:highlight w:val="none"/>
                <w:lang w:eastAsia="zh-CN"/>
              </w:rPr>
              <w:t>免费质保期</w:t>
            </w:r>
          </w:p>
        </w:tc>
        <w:tc>
          <w:tcPr>
            <w:tcW w:w="6926" w:type="dxa"/>
            <w:tcBorders>
              <w:top w:val="single" w:color="auto" w:sz="4" w:space="0"/>
              <w:left w:val="single" w:color="auto" w:sz="4" w:space="0"/>
              <w:bottom w:val="single" w:color="auto" w:sz="4" w:space="0"/>
              <w:right w:val="single" w:color="auto" w:sz="4" w:space="0"/>
            </w:tcBorders>
            <w:noWrap/>
            <w:vAlign w:val="center"/>
          </w:tcPr>
          <w:p w14:paraId="67A772C2">
            <w:pPr>
              <w:kinsoku/>
              <w:wordWrap w:val="0"/>
              <w:spacing w:line="360" w:lineRule="auto"/>
              <w:jc w:val="both"/>
              <w:rPr>
                <w:rFonts w:asciiTheme="minorEastAsia" w:hAnsiTheme="minorEastAsia" w:eastAsiaTheme="minorEastAsia" w:cstheme="minorEastAsia"/>
                <w:color w:val="auto"/>
                <w:spacing w:val="-8"/>
                <w:sz w:val="24"/>
                <w:szCs w:val="24"/>
                <w:highlight w:val="none"/>
                <w:lang w:eastAsia="zh-CN"/>
              </w:rPr>
            </w:pPr>
            <w:r>
              <w:rPr>
                <w:rFonts w:hint="eastAsia" w:asciiTheme="minorEastAsia" w:hAnsiTheme="minorEastAsia" w:eastAsiaTheme="minorEastAsia" w:cstheme="minorEastAsia"/>
                <w:color w:val="auto"/>
                <w:spacing w:val="-8"/>
                <w:sz w:val="24"/>
                <w:szCs w:val="24"/>
                <w:highlight w:val="none"/>
                <w:lang w:eastAsia="zh-CN"/>
              </w:rPr>
              <w:t>年</w:t>
            </w:r>
          </w:p>
        </w:tc>
      </w:tr>
      <w:tr w14:paraId="2AB23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28A6134E">
            <w:pPr>
              <w:kinsoku/>
              <w:wordWrap w:val="0"/>
              <w:spacing w:line="360" w:lineRule="auto"/>
              <w:jc w:val="both"/>
              <w:rPr>
                <w:rFonts w:asciiTheme="minorEastAsia" w:hAnsiTheme="minorEastAsia" w:eastAsiaTheme="minorEastAsia" w:cstheme="minorEastAsia"/>
                <w:b/>
                <w:bCs/>
                <w:color w:val="auto"/>
                <w:spacing w:val="-8"/>
                <w:sz w:val="24"/>
                <w:szCs w:val="24"/>
                <w:highlight w:val="none"/>
                <w:lang w:eastAsia="zh-CN"/>
              </w:rPr>
            </w:pPr>
            <w:r>
              <w:rPr>
                <w:rFonts w:hint="eastAsia" w:asciiTheme="minorEastAsia" w:hAnsiTheme="minorEastAsia" w:eastAsiaTheme="minorEastAsia" w:cstheme="minorEastAsia"/>
                <w:b/>
                <w:bCs/>
                <w:color w:val="auto"/>
                <w:spacing w:val="-8"/>
                <w:sz w:val="24"/>
                <w:szCs w:val="24"/>
                <w:highlight w:val="none"/>
                <w:lang w:eastAsia="zh-CN"/>
              </w:rPr>
              <w:t>备注</w:t>
            </w:r>
          </w:p>
        </w:tc>
        <w:tc>
          <w:tcPr>
            <w:tcW w:w="6926" w:type="dxa"/>
            <w:tcBorders>
              <w:top w:val="single" w:color="auto" w:sz="4" w:space="0"/>
              <w:left w:val="single" w:color="auto" w:sz="4" w:space="0"/>
              <w:bottom w:val="single" w:color="auto" w:sz="4" w:space="0"/>
              <w:right w:val="single" w:color="auto" w:sz="4" w:space="0"/>
            </w:tcBorders>
            <w:noWrap/>
            <w:vAlign w:val="center"/>
          </w:tcPr>
          <w:p w14:paraId="597F9A53">
            <w:pPr>
              <w:kinsoku/>
              <w:wordWrap w:val="0"/>
              <w:spacing w:line="360" w:lineRule="auto"/>
              <w:jc w:val="both"/>
              <w:rPr>
                <w:rFonts w:asciiTheme="minorEastAsia" w:hAnsiTheme="minorEastAsia" w:eastAsiaTheme="minorEastAsia" w:cstheme="minorEastAsia"/>
                <w:color w:val="auto"/>
                <w:spacing w:val="-8"/>
                <w:sz w:val="24"/>
                <w:szCs w:val="24"/>
                <w:highlight w:val="none"/>
                <w:lang w:eastAsia="zh-CN"/>
              </w:rPr>
            </w:pPr>
          </w:p>
          <w:p w14:paraId="46538146">
            <w:pPr>
              <w:kinsoku/>
              <w:wordWrap w:val="0"/>
              <w:spacing w:line="360" w:lineRule="auto"/>
              <w:jc w:val="both"/>
              <w:rPr>
                <w:rFonts w:asciiTheme="minorEastAsia" w:hAnsiTheme="minorEastAsia" w:eastAsiaTheme="minorEastAsia" w:cstheme="minorEastAsia"/>
                <w:color w:val="auto"/>
                <w:spacing w:val="-8"/>
                <w:sz w:val="24"/>
                <w:szCs w:val="24"/>
                <w:highlight w:val="none"/>
                <w:lang w:eastAsia="zh-CN"/>
              </w:rPr>
            </w:pPr>
          </w:p>
        </w:tc>
      </w:tr>
    </w:tbl>
    <w:p w14:paraId="5A36C59A">
      <w:pPr>
        <w:kinsoku/>
        <w:wordWrap w:val="0"/>
        <w:spacing w:line="360" w:lineRule="auto"/>
        <w:jc w:val="both"/>
        <w:rPr>
          <w:rFonts w:asciiTheme="minorEastAsia" w:hAnsiTheme="minorEastAsia" w:eastAsiaTheme="minorEastAsia" w:cstheme="minorEastAsia"/>
          <w:b/>
          <w:bCs/>
          <w:color w:val="auto"/>
          <w:spacing w:val="-8"/>
          <w:sz w:val="24"/>
          <w:szCs w:val="24"/>
          <w:highlight w:val="none"/>
          <w:lang w:eastAsia="zh-CN"/>
        </w:rPr>
      </w:pPr>
      <w:r>
        <w:rPr>
          <w:rFonts w:hint="eastAsia" w:asciiTheme="minorEastAsia" w:hAnsiTheme="minorEastAsia" w:eastAsiaTheme="minorEastAsia" w:cstheme="minorEastAsia"/>
          <w:b/>
          <w:bCs/>
          <w:color w:val="auto"/>
          <w:spacing w:val="-8"/>
          <w:sz w:val="24"/>
          <w:szCs w:val="24"/>
          <w:highlight w:val="none"/>
          <w:lang w:eastAsia="zh-CN"/>
        </w:rPr>
        <w:t>注：“开标一览表”报总价。</w:t>
      </w:r>
    </w:p>
    <w:p w14:paraId="5AB40413">
      <w:pPr>
        <w:kinsoku/>
        <w:wordWrap w:val="0"/>
        <w:spacing w:line="360" w:lineRule="auto"/>
        <w:jc w:val="both"/>
        <w:rPr>
          <w:rFonts w:asciiTheme="minorEastAsia" w:hAnsiTheme="minorEastAsia" w:eastAsiaTheme="minorEastAsia" w:cstheme="minorEastAsia"/>
          <w:b/>
          <w:bCs/>
          <w:color w:val="auto"/>
          <w:spacing w:val="-8"/>
          <w:sz w:val="24"/>
          <w:szCs w:val="24"/>
          <w:highlight w:val="none"/>
          <w:lang w:eastAsia="zh-CN"/>
        </w:rPr>
      </w:pPr>
      <w:r>
        <w:rPr>
          <w:rFonts w:hint="eastAsia" w:asciiTheme="minorEastAsia" w:hAnsiTheme="minorEastAsia" w:eastAsiaTheme="minorEastAsia" w:cstheme="minorEastAsia"/>
          <w:b/>
          <w:bCs/>
          <w:color w:val="auto"/>
          <w:spacing w:val="-8"/>
          <w:sz w:val="24"/>
          <w:szCs w:val="24"/>
          <w:highlight w:val="none"/>
          <w:lang w:eastAsia="zh-CN"/>
        </w:rPr>
        <w:t>投标人（公章）：法定代表人（负责人）或授权代表（签字）：</w:t>
      </w:r>
    </w:p>
    <w:p w14:paraId="22EB0546">
      <w:pPr>
        <w:kinsoku/>
        <w:wordWrap w:val="0"/>
        <w:spacing w:line="360" w:lineRule="auto"/>
        <w:jc w:val="both"/>
        <w:rPr>
          <w:rFonts w:asciiTheme="minorEastAsia" w:hAnsiTheme="minorEastAsia" w:eastAsiaTheme="minorEastAsia" w:cstheme="minorEastAsia"/>
          <w:b/>
          <w:bCs/>
          <w:color w:val="auto"/>
          <w:spacing w:val="-8"/>
          <w:sz w:val="24"/>
          <w:szCs w:val="24"/>
          <w:highlight w:val="none"/>
          <w:lang w:eastAsia="zh-CN"/>
        </w:rPr>
      </w:pPr>
      <w:r>
        <w:rPr>
          <w:rFonts w:hint="eastAsia" w:asciiTheme="minorEastAsia" w:hAnsiTheme="minorEastAsia" w:eastAsiaTheme="minorEastAsia" w:cstheme="minorEastAsia"/>
          <w:b/>
          <w:bCs/>
          <w:color w:val="auto"/>
          <w:spacing w:val="-8"/>
          <w:sz w:val="24"/>
          <w:szCs w:val="24"/>
          <w:highlight w:val="none"/>
          <w:lang w:eastAsia="zh-CN"/>
        </w:rPr>
        <w:t>日期：年月日</w:t>
      </w:r>
    </w:p>
    <w:p w14:paraId="4DF9E8AE">
      <w:pPr>
        <w:kinsoku/>
        <w:wordWrap w:val="0"/>
        <w:spacing w:line="360" w:lineRule="auto"/>
        <w:jc w:val="both"/>
        <w:rPr>
          <w:rFonts w:asciiTheme="minorEastAsia" w:hAnsiTheme="minorEastAsia" w:eastAsiaTheme="minorEastAsia" w:cstheme="minorEastAsia"/>
          <w:b/>
          <w:bCs/>
          <w:color w:val="auto"/>
          <w:spacing w:val="-8"/>
          <w:sz w:val="24"/>
          <w:szCs w:val="24"/>
          <w:highlight w:val="none"/>
          <w:lang w:eastAsia="zh-CN"/>
        </w:rPr>
        <w:sectPr>
          <w:pgSz w:w="11907" w:h="16840"/>
          <w:pgMar w:top="1440" w:right="1800" w:bottom="1440" w:left="1800" w:header="851" w:footer="992" w:gutter="0"/>
          <w:cols w:space="720" w:num="1"/>
        </w:sectPr>
      </w:pPr>
    </w:p>
    <w:p w14:paraId="03D781A7">
      <w:pPr>
        <w:kinsoku/>
        <w:wordWrap w:val="0"/>
        <w:spacing w:line="360" w:lineRule="auto"/>
        <w:jc w:val="both"/>
        <w:rPr>
          <w:rFonts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2.授权书格式</w:t>
      </w:r>
    </w:p>
    <w:p w14:paraId="5D41307B">
      <w:pPr>
        <w:kinsoku/>
        <w:wordWrap w:val="0"/>
        <w:spacing w:line="360" w:lineRule="auto"/>
        <w:ind w:firstLine="567"/>
        <w:jc w:val="center"/>
        <w:rPr>
          <w:rFonts w:asciiTheme="minorEastAsia" w:hAnsiTheme="minorEastAsia" w:eastAsiaTheme="minorEastAsia" w:cstheme="minorEastAsia"/>
          <w:b/>
          <w:color w:val="auto"/>
          <w:sz w:val="24"/>
          <w:szCs w:val="24"/>
          <w:highlight w:val="none"/>
          <w:lang w:eastAsia="zh-CN"/>
        </w:rPr>
      </w:pPr>
    </w:p>
    <w:p w14:paraId="4D63712B">
      <w:pPr>
        <w:kinsoku/>
        <w:wordWrap w:val="0"/>
        <w:spacing w:line="360" w:lineRule="auto"/>
        <w:ind w:firstLine="567"/>
        <w:jc w:val="center"/>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法定代表人（负责人）授权委托书</w:t>
      </w:r>
    </w:p>
    <w:p w14:paraId="3A610A76">
      <w:pPr>
        <w:kinsoku/>
        <w:wordWrap w:val="0"/>
        <w:spacing w:line="360" w:lineRule="auto"/>
        <w:ind w:firstLine="567"/>
        <w:jc w:val="both"/>
        <w:rPr>
          <w:rFonts w:asciiTheme="minorEastAsia" w:hAnsiTheme="minorEastAsia" w:eastAsiaTheme="minorEastAsia" w:cstheme="minorEastAsia"/>
          <w:color w:val="auto"/>
          <w:sz w:val="24"/>
          <w:szCs w:val="24"/>
          <w:highlight w:val="none"/>
          <w:lang w:eastAsia="zh-CN"/>
        </w:rPr>
      </w:pPr>
    </w:p>
    <w:p w14:paraId="00BEACA0">
      <w:pPr>
        <w:kinsoku/>
        <w:wordWrap w:val="0"/>
        <w:spacing w:line="360" w:lineRule="auto"/>
        <w:ind w:firstLine="567"/>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委托单位：</w:t>
      </w:r>
    </w:p>
    <w:p w14:paraId="36941316">
      <w:pPr>
        <w:kinsoku/>
        <w:wordWrap w:val="0"/>
        <w:spacing w:line="360" w:lineRule="auto"/>
        <w:ind w:firstLine="567"/>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地址：法定代表人（负责人）：</w:t>
      </w:r>
    </w:p>
    <w:p w14:paraId="3D04937B">
      <w:pPr>
        <w:kinsoku/>
        <w:wordWrap w:val="0"/>
        <w:spacing w:line="360" w:lineRule="auto"/>
        <w:ind w:firstLine="567"/>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授权代表姓名：性别：出生日期：年月日</w:t>
      </w:r>
    </w:p>
    <w:p w14:paraId="2D3833F0">
      <w:pPr>
        <w:kinsoku/>
        <w:wordWrap w:val="0"/>
        <w:spacing w:line="360" w:lineRule="auto"/>
        <w:ind w:firstLine="567"/>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所在单位：职务：</w:t>
      </w:r>
    </w:p>
    <w:p w14:paraId="0A648452">
      <w:pPr>
        <w:kinsoku/>
        <w:wordWrap w:val="0"/>
        <w:spacing w:line="360" w:lineRule="auto"/>
        <w:ind w:firstLine="567"/>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身份证：现住：</w:t>
      </w:r>
    </w:p>
    <w:p w14:paraId="1C3F8C06">
      <w:pPr>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兹委托参加项目事宜，并授权其全权办理以下事宜：</w:t>
      </w:r>
    </w:p>
    <w:p w14:paraId="349E5074">
      <w:pPr>
        <w:kinsoku/>
        <w:wordWrap w:val="0"/>
        <w:spacing w:line="360" w:lineRule="auto"/>
        <w:ind w:firstLine="567"/>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1、参加投标活动；</w:t>
      </w:r>
    </w:p>
    <w:p w14:paraId="2E2BE104">
      <w:pPr>
        <w:kinsoku/>
        <w:wordWrap w:val="0"/>
        <w:spacing w:line="360" w:lineRule="auto"/>
        <w:ind w:firstLine="567"/>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2、签订与中标事宜有关的合同。</w:t>
      </w:r>
    </w:p>
    <w:p w14:paraId="7199EC31">
      <w:pPr>
        <w:kinsoku/>
        <w:wordWrap w:val="0"/>
        <w:spacing w:line="360" w:lineRule="auto"/>
        <w:ind w:firstLine="567"/>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授权代表在办理上述事宜过程中以其自己的名义所签署的所有文件我均予以承认。</w:t>
      </w:r>
    </w:p>
    <w:p w14:paraId="0BCFEE3F">
      <w:pPr>
        <w:kinsoku/>
        <w:wordWrap w:val="0"/>
        <w:spacing w:line="360" w:lineRule="auto"/>
        <w:ind w:firstLine="567"/>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授权代表无转委权。</w:t>
      </w:r>
    </w:p>
    <w:p w14:paraId="63B901C1">
      <w:pPr>
        <w:kinsoku/>
        <w:wordWrap w:val="0"/>
        <w:spacing w:line="360" w:lineRule="auto"/>
        <w:ind w:firstLine="567"/>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委托期限：至上述事宜处理完毕止。</w:t>
      </w:r>
    </w:p>
    <w:p w14:paraId="67472A86">
      <w:pPr>
        <w:pStyle w:val="11"/>
        <w:kinsoku/>
        <w:wordWrap w:val="0"/>
        <w:ind w:firstLine="480"/>
        <w:jc w:val="both"/>
        <w:rPr>
          <w:rFonts w:asciiTheme="minorEastAsia" w:hAnsiTheme="minorEastAsia" w:eastAsiaTheme="minorEastAsia" w:cstheme="minorEastAsia"/>
          <w:color w:val="auto"/>
          <w:sz w:val="24"/>
          <w:szCs w:val="24"/>
          <w:highlight w:val="none"/>
        </w:rPr>
      </w:pPr>
    </w:p>
    <w:p w14:paraId="2B4F7BFE">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委托单位（公章）：</w:t>
      </w:r>
    </w:p>
    <w:p w14:paraId="5CCBD65E">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法定代表人（负责人）（签字）：</w:t>
      </w:r>
    </w:p>
    <w:p w14:paraId="1ED7C3ED">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授权代表（签字）：</w:t>
      </w:r>
    </w:p>
    <w:p w14:paraId="56E7EE22">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日期：</w:t>
      </w:r>
      <w:r>
        <w:rPr>
          <w:rFonts w:hint="eastAsia" w:asciiTheme="minorEastAsia" w:hAnsiTheme="minorEastAsia" w:eastAsiaTheme="minorEastAsia" w:cstheme="minorEastAsia"/>
          <w:color w:val="auto"/>
          <w:spacing w:val="-8"/>
          <w:sz w:val="24"/>
          <w:szCs w:val="24"/>
          <w:highlight w:val="none"/>
          <w:lang w:eastAsia="zh-CN"/>
        </w:rPr>
        <w:t>年月日</w:t>
      </w:r>
    </w:p>
    <w:p w14:paraId="4E446141">
      <w:pPr>
        <w:kinsoku/>
        <w:wordWrap w:val="0"/>
        <w:spacing w:line="360" w:lineRule="auto"/>
        <w:ind w:firstLine="567"/>
        <w:jc w:val="both"/>
        <w:rPr>
          <w:rFonts w:asciiTheme="minorEastAsia" w:hAnsiTheme="minorEastAsia" w:eastAsiaTheme="minorEastAsia" w:cstheme="minorEastAsia"/>
          <w:color w:val="auto"/>
          <w:sz w:val="24"/>
          <w:szCs w:val="24"/>
          <w:highlight w:val="none"/>
          <w:lang w:eastAsia="zh-CN"/>
        </w:rPr>
      </w:pPr>
    </w:p>
    <w:p w14:paraId="54671E94">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附：法定代表人（负责人）的身份证及授权代表的身份证</w:t>
      </w:r>
    </w:p>
    <w:p w14:paraId="73700819">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p>
    <w:p w14:paraId="06D50A8F">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p>
    <w:p w14:paraId="16FD7789">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p>
    <w:p w14:paraId="26D9494B">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p>
    <w:p w14:paraId="1C2090B3">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p>
    <w:p w14:paraId="132E7486">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p>
    <w:p w14:paraId="4FEB2F3D">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p>
    <w:p w14:paraId="5EE9BF45">
      <w:pPr>
        <w:kinsoku/>
        <w:wordWrap w:val="0"/>
        <w:spacing w:line="360" w:lineRule="auto"/>
        <w:jc w:val="both"/>
        <w:rPr>
          <w:rFonts w:ascii="仿宋_GB2312" w:hAnsi="宋体" w:eastAsia="仿宋_GB2312"/>
          <w:color w:val="auto"/>
          <w:sz w:val="28"/>
          <w:szCs w:val="28"/>
          <w:highlight w:val="none"/>
          <w:lang w:eastAsia="zh-CN"/>
        </w:rPr>
      </w:pPr>
      <w:r>
        <w:rPr>
          <w:rFonts w:hint="eastAsia" w:asciiTheme="minorEastAsia" w:hAnsiTheme="minorEastAsia" w:eastAsiaTheme="minorEastAsia" w:cstheme="minorEastAsia"/>
          <w:b/>
          <w:color w:val="auto"/>
          <w:sz w:val="24"/>
          <w:szCs w:val="24"/>
          <w:highlight w:val="none"/>
          <w:lang w:eastAsia="zh-CN"/>
        </w:rPr>
        <w:t>3.资格声明函格式</w:t>
      </w:r>
    </w:p>
    <w:p w14:paraId="529002EF">
      <w:pPr>
        <w:kinsoku/>
        <w:wordWrap w:val="0"/>
        <w:spacing w:line="360" w:lineRule="auto"/>
        <w:jc w:val="center"/>
        <w:rPr>
          <w:rFonts w:asciiTheme="minorEastAsia" w:hAnsiTheme="minorEastAsia" w:eastAsiaTheme="minorEastAsia" w:cstheme="minorEastAsia"/>
          <w:b/>
          <w:color w:val="auto"/>
          <w:sz w:val="24"/>
          <w:szCs w:val="24"/>
          <w:highlight w:val="none"/>
          <w:lang w:eastAsia="zh-CN"/>
        </w:rPr>
      </w:pPr>
    </w:p>
    <w:p w14:paraId="3400B558">
      <w:pPr>
        <w:kinsoku/>
        <w:wordWrap w:val="0"/>
        <w:spacing w:line="360" w:lineRule="auto"/>
        <w:jc w:val="center"/>
        <w:rPr>
          <w:rFonts w:ascii="仿宋_GB2312" w:hAnsi="宋体" w:eastAsia="仿宋_GB2312"/>
          <w:color w:val="auto"/>
          <w:sz w:val="28"/>
          <w:szCs w:val="28"/>
          <w:highlight w:val="none"/>
          <w:lang w:eastAsia="zh-CN"/>
        </w:rPr>
      </w:pPr>
      <w:r>
        <w:rPr>
          <w:rFonts w:hint="eastAsia" w:asciiTheme="minorEastAsia" w:hAnsiTheme="minorEastAsia" w:eastAsiaTheme="minorEastAsia" w:cstheme="minorEastAsia"/>
          <w:b/>
          <w:color w:val="auto"/>
          <w:sz w:val="24"/>
          <w:szCs w:val="24"/>
          <w:highlight w:val="none"/>
          <w:lang w:eastAsia="zh-CN"/>
        </w:rPr>
        <w:t>关于资格的声明函</w:t>
      </w:r>
    </w:p>
    <w:p w14:paraId="3A156BE5">
      <w:pPr>
        <w:pStyle w:val="4"/>
        <w:kinsoku/>
        <w:wordWrap w:val="0"/>
        <w:spacing w:line="360" w:lineRule="auto"/>
        <w:jc w:val="both"/>
        <w:rPr>
          <w:rFonts w:asciiTheme="minorEastAsia" w:hAnsiTheme="minorEastAsia" w:eastAsiaTheme="minorEastAsia" w:cstheme="minorEastAsia"/>
          <w:color w:val="auto"/>
          <w:spacing w:val="-3"/>
          <w:sz w:val="24"/>
          <w:szCs w:val="24"/>
          <w:highlight w:val="none"/>
          <w:lang w:eastAsia="zh-CN"/>
        </w:rPr>
      </w:pPr>
    </w:p>
    <w:p w14:paraId="75DC629C">
      <w:pPr>
        <w:pStyle w:val="4"/>
        <w:kinsoku/>
        <w:wordWrap w:val="0"/>
        <w:spacing w:line="360" w:lineRule="auto"/>
        <w:jc w:val="both"/>
        <w:rPr>
          <w:rFonts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采购人或代理机构名称：</w:t>
      </w:r>
    </w:p>
    <w:p w14:paraId="056A7C7C">
      <w:pPr>
        <w:pStyle w:val="4"/>
        <w:kinsoku/>
        <w:wordWrap w:val="0"/>
        <w:spacing w:line="360" w:lineRule="auto"/>
        <w:ind w:firstLine="470" w:firstLineChars="200"/>
        <w:jc w:val="both"/>
        <w:rPr>
          <w:rFonts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关于贵方编号为公开招标，本签字人愿意参加投标，提供“采购内容及要求”中规定的服务，并证明提交的下列文件和说明是准确的真实的。</w:t>
      </w:r>
    </w:p>
    <w:p w14:paraId="76015F67">
      <w:pPr>
        <w:pStyle w:val="4"/>
        <w:kinsoku/>
        <w:wordWrap w:val="0"/>
        <w:spacing w:line="360" w:lineRule="auto"/>
        <w:ind w:firstLine="470" w:firstLineChars="200"/>
        <w:jc w:val="both"/>
        <w:rPr>
          <w:rFonts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1、由市场监管局签发的我方工商营业执照副本。</w:t>
      </w:r>
    </w:p>
    <w:p w14:paraId="2BBBC0F5">
      <w:pPr>
        <w:pStyle w:val="4"/>
        <w:kinsoku/>
        <w:wordWrap w:val="0"/>
        <w:spacing w:line="360" w:lineRule="auto"/>
        <w:ind w:firstLine="470" w:firstLineChars="200"/>
        <w:jc w:val="both"/>
        <w:rPr>
          <w:rFonts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2、法定代表人授权书。</w:t>
      </w:r>
    </w:p>
    <w:p w14:paraId="1846D5D3">
      <w:pPr>
        <w:pStyle w:val="4"/>
        <w:kinsoku/>
        <w:wordWrap w:val="0"/>
        <w:spacing w:line="360" w:lineRule="auto"/>
        <w:ind w:firstLine="470" w:firstLineChars="200"/>
        <w:jc w:val="both"/>
        <w:rPr>
          <w:rFonts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3、法定代表人或授权代表身份证。</w:t>
      </w:r>
    </w:p>
    <w:p w14:paraId="3812630D">
      <w:pPr>
        <w:pStyle w:val="4"/>
        <w:kinsoku/>
        <w:wordWrap w:val="0"/>
        <w:spacing w:line="360" w:lineRule="auto"/>
        <w:ind w:firstLine="470" w:firstLineChars="200"/>
        <w:jc w:val="both"/>
        <w:rPr>
          <w:rFonts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4、公司地址、联系电话、传真等。</w:t>
      </w:r>
    </w:p>
    <w:p w14:paraId="4D8AF2A5">
      <w:pPr>
        <w:pStyle w:val="4"/>
        <w:kinsoku/>
        <w:wordWrap w:val="0"/>
        <w:spacing w:line="360" w:lineRule="auto"/>
        <w:ind w:firstLine="470" w:firstLineChars="200"/>
        <w:jc w:val="both"/>
        <w:rPr>
          <w:rFonts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5、法定代表人或授权代表的联系电话。</w:t>
      </w:r>
    </w:p>
    <w:p w14:paraId="6581EB31">
      <w:pPr>
        <w:pStyle w:val="4"/>
        <w:kinsoku/>
        <w:wordWrap w:val="0"/>
        <w:spacing w:line="360" w:lineRule="auto"/>
        <w:ind w:firstLine="470" w:firstLineChars="200"/>
        <w:jc w:val="both"/>
        <w:rPr>
          <w:rFonts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6、招标项目要求的其他文件。</w:t>
      </w:r>
    </w:p>
    <w:p w14:paraId="0A160CE4">
      <w:pPr>
        <w:pStyle w:val="4"/>
        <w:kinsoku/>
        <w:wordWrap w:val="0"/>
        <w:spacing w:line="360" w:lineRule="auto"/>
        <w:ind w:firstLine="470" w:firstLineChars="200"/>
        <w:jc w:val="both"/>
        <w:rPr>
          <w:rFonts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7、本签字人确认资格文件中的说明是真实的、准确的。</w:t>
      </w:r>
    </w:p>
    <w:p w14:paraId="6FBC9C18">
      <w:pPr>
        <w:pStyle w:val="4"/>
        <w:kinsoku/>
        <w:wordWrap w:val="0"/>
        <w:spacing w:line="360" w:lineRule="auto"/>
        <w:ind w:firstLine="470" w:firstLineChars="200"/>
        <w:jc w:val="both"/>
        <w:rPr>
          <w:rFonts w:asciiTheme="minorEastAsia" w:hAnsiTheme="minorEastAsia" w:eastAsiaTheme="minorEastAsia" w:cstheme="minorEastAsia"/>
          <w:color w:val="auto"/>
          <w:spacing w:val="-3"/>
          <w:sz w:val="24"/>
          <w:szCs w:val="24"/>
          <w:highlight w:val="none"/>
          <w:lang w:eastAsia="zh-CN"/>
        </w:rPr>
      </w:pPr>
    </w:p>
    <w:p w14:paraId="663D85EF">
      <w:pPr>
        <w:pStyle w:val="4"/>
        <w:kinsoku/>
        <w:wordWrap w:val="0"/>
        <w:spacing w:line="360" w:lineRule="auto"/>
        <w:ind w:firstLine="470" w:firstLineChars="200"/>
        <w:jc w:val="both"/>
        <w:rPr>
          <w:rFonts w:asciiTheme="minorEastAsia" w:hAnsiTheme="minorEastAsia" w:eastAsiaTheme="minorEastAsia" w:cstheme="minorEastAsia"/>
          <w:color w:val="auto"/>
          <w:spacing w:val="-3"/>
          <w:sz w:val="24"/>
          <w:szCs w:val="24"/>
          <w:highlight w:val="none"/>
          <w:lang w:eastAsia="zh-CN"/>
        </w:rPr>
      </w:pPr>
    </w:p>
    <w:p w14:paraId="144556E8">
      <w:pPr>
        <w:pStyle w:val="4"/>
        <w:kinsoku/>
        <w:wordWrap w:val="0"/>
        <w:spacing w:line="360" w:lineRule="auto"/>
        <w:ind w:firstLine="470" w:firstLineChars="200"/>
        <w:jc w:val="both"/>
        <w:rPr>
          <w:rFonts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投标人（公章）：法定代表人（负责人）或授权代表（签字）：</w:t>
      </w:r>
    </w:p>
    <w:p w14:paraId="2D9571CE">
      <w:pPr>
        <w:pStyle w:val="4"/>
        <w:kinsoku/>
        <w:wordWrap w:val="0"/>
        <w:spacing w:line="360" w:lineRule="auto"/>
        <w:ind w:firstLine="470" w:firstLineChars="200"/>
        <w:jc w:val="both"/>
        <w:rPr>
          <w:rFonts w:asciiTheme="minorEastAsia" w:hAnsiTheme="minorEastAsia" w:eastAsiaTheme="minorEastAsia" w:cstheme="minorEastAsia"/>
          <w:color w:val="auto"/>
          <w:spacing w:val="-3"/>
          <w:sz w:val="24"/>
          <w:szCs w:val="24"/>
          <w:highlight w:val="none"/>
          <w:lang w:eastAsia="zh-CN"/>
        </w:rPr>
      </w:pPr>
    </w:p>
    <w:p w14:paraId="295F5B53">
      <w:pPr>
        <w:pStyle w:val="4"/>
        <w:kinsoku/>
        <w:wordWrap w:val="0"/>
        <w:spacing w:line="360" w:lineRule="auto"/>
        <w:ind w:firstLine="470" w:firstLineChars="200"/>
        <w:jc w:val="both"/>
        <w:rPr>
          <w:rFonts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日期：</w:t>
      </w:r>
      <w:r>
        <w:rPr>
          <w:rFonts w:hint="eastAsia" w:asciiTheme="minorEastAsia" w:hAnsiTheme="minorEastAsia" w:eastAsiaTheme="minorEastAsia" w:cstheme="minorEastAsia"/>
          <w:color w:val="auto"/>
          <w:spacing w:val="-8"/>
          <w:sz w:val="24"/>
          <w:szCs w:val="24"/>
          <w:highlight w:val="none"/>
          <w:lang w:eastAsia="zh-CN"/>
        </w:rPr>
        <w:t>年月日</w:t>
      </w:r>
    </w:p>
    <w:p w14:paraId="41B27E2F">
      <w:pPr>
        <w:pStyle w:val="4"/>
        <w:kinsoku/>
        <w:wordWrap w:val="0"/>
        <w:spacing w:line="360" w:lineRule="auto"/>
        <w:ind w:firstLine="470" w:firstLineChars="200"/>
        <w:jc w:val="both"/>
        <w:rPr>
          <w:rFonts w:asciiTheme="minorEastAsia" w:hAnsiTheme="minorEastAsia" w:eastAsiaTheme="minorEastAsia" w:cstheme="minorEastAsia"/>
          <w:color w:val="auto"/>
          <w:spacing w:val="-3"/>
          <w:sz w:val="24"/>
          <w:szCs w:val="24"/>
          <w:highlight w:val="none"/>
        </w:rPr>
      </w:pPr>
    </w:p>
    <w:p w14:paraId="22206946">
      <w:pPr>
        <w:pStyle w:val="4"/>
        <w:kinsoku/>
        <w:wordWrap w:val="0"/>
        <w:spacing w:line="360" w:lineRule="auto"/>
        <w:ind w:firstLine="470" w:firstLineChars="200"/>
        <w:jc w:val="both"/>
        <w:rPr>
          <w:rFonts w:asciiTheme="minorEastAsia" w:hAnsiTheme="minorEastAsia" w:eastAsiaTheme="minorEastAsia" w:cstheme="minorEastAsia"/>
          <w:color w:val="auto"/>
          <w:sz w:val="24"/>
          <w:szCs w:val="24"/>
          <w:highlight w:val="none"/>
          <w:lang w:eastAsia="zh-CN"/>
        </w:rPr>
        <w:sectPr>
          <w:headerReference r:id="rId10" w:type="default"/>
          <w:footerReference r:id="rId11" w:type="default"/>
          <w:pgSz w:w="11907" w:h="16840"/>
          <w:pgMar w:top="1440" w:right="1800" w:bottom="1440" w:left="1800" w:header="878" w:footer="886" w:gutter="0"/>
          <w:cols w:space="720" w:num="1"/>
        </w:sectPr>
      </w:pPr>
      <w:r>
        <w:rPr>
          <w:rFonts w:hint="eastAsia" w:asciiTheme="minorEastAsia" w:hAnsiTheme="minorEastAsia" w:eastAsiaTheme="minorEastAsia" w:cstheme="minorEastAsia"/>
          <w:b/>
          <w:bCs/>
          <w:color w:val="auto"/>
          <w:spacing w:val="-3"/>
          <w:sz w:val="24"/>
          <w:szCs w:val="24"/>
          <w:highlight w:val="none"/>
        </w:rPr>
        <w:t>说明：供应商承诺不实的，依据《</w:t>
      </w:r>
      <w:r>
        <w:rPr>
          <w:rFonts w:hint="eastAsia" w:asciiTheme="minorEastAsia" w:hAnsiTheme="minorEastAsia" w:eastAsiaTheme="minorEastAsia" w:cstheme="minorEastAsia"/>
          <w:b/>
          <w:bCs/>
          <w:color w:val="auto"/>
          <w:spacing w:val="-3"/>
          <w:sz w:val="24"/>
          <w:szCs w:val="24"/>
          <w:highlight w:val="none"/>
          <w:lang w:eastAsia="zh-CN"/>
        </w:rPr>
        <w:t>中华人民共和国</w:t>
      </w:r>
      <w:r>
        <w:rPr>
          <w:rFonts w:hint="eastAsia" w:asciiTheme="minorEastAsia" w:hAnsiTheme="minorEastAsia" w:eastAsiaTheme="minorEastAsia" w:cstheme="minorEastAsia"/>
          <w:b/>
          <w:bCs/>
          <w:color w:val="auto"/>
          <w:spacing w:val="-3"/>
          <w:sz w:val="24"/>
          <w:szCs w:val="24"/>
          <w:highlight w:val="none"/>
        </w:rPr>
        <w:t>政府采购法》第七十七条</w:t>
      </w:r>
      <w:r>
        <w:rPr>
          <w:rFonts w:hint="eastAsia" w:asciiTheme="minorEastAsia" w:hAnsiTheme="minorEastAsia" w:eastAsiaTheme="minorEastAsia" w:cstheme="minorEastAsia"/>
          <w:b/>
          <w:bCs/>
          <w:color w:val="auto"/>
          <w:spacing w:val="8"/>
          <w:sz w:val="24"/>
          <w:szCs w:val="24"/>
          <w:highlight w:val="none"/>
        </w:rPr>
        <w:t>供虚假材料谋取中标、</w:t>
      </w:r>
      <w:r>
        <w:rPr>
          <w:rFonts w:hint="eastAsia" w:asciiTheme="minorEastAsia" w:hAnsiTheme="minorEastAsia" w:eastAsiaTheme="minorEastAsia" w:cstheme="minorEastAsia"/>
          <w:b/>
          <w:bCs/>
          <w:color w:val="auto"/>
          <w:spacing w:val="-4"/>
          <w:sz w:val="24"/>
          <w:szCs w:val="24"/>
          <w:highlight w:val="none"/>
        </w:rPr>
        <w:t>成交的</w:t>
      </w:r>
      <w:r>
        <w:rPr>
          <w:rFonts w:hint="eastAsia" w:asciiTheme="minorEastAsia" w:hAnsiTheme="minorEastAsia" w:eastAsiaTheme="minorEastAsia" w:cstheme="minorEastAsia"/>
          <w:b/>
          <w:bCs/>
          <w:color w:val="auto"/>
          <w:position w:val="11"/>
          <w:sz w:val="24"/>
          <w:szCs w:val="24"/>
          <w:highlight w:val="none"/>
          <w:lang w:eastAsia="zh-CN"/>
        </w:rPr>
        <w:drawing>
          <wp:inline distT="0" distB="0" distL="0" distR="0">
            <wp:extent cx="65405" cy="38100"/>
            <wp:effectExtent l="0" t="0" r="10795" b="0"/>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17"/>
                    <a:stretch>
                      <a:fillRect/>
                    </a:stretch>
                  </pic:blipFill>
                  <pic:spPr>
                    <a:xfrm>
                      <a:off x="0" y="0"/>
                      <a:ext cx="65992" cy="38254"/>
                    </a:xfrm>
                    <a:prstGeom prst="rect">
                      <a:avLst/>
                    </a:prstGeom>
                  </pic:spPr>
                </pic:pic>
              </a:graphicData>
            </a:graphic>
          </wp:inline>
        </w:drawing>
      </w:r>
      <w:r>
        <w:rPr>
          <w:rFonts w:hint="eastAsia" w:asciiTheme="minorEastAsia" w:hAnsiTheme="minorEastAsia" w:eastAsiaTheme="minorEastAsia" w:cstheme="minorEastAsia"/>
          <w:b/>
          <w:bCs/>
          <w:color w:val="auto"/>
          <w:spacing w:val="-4"/>
          <w:sz w:val="24"/>
          <w:szCs w:val="24"/>
          <w:highlight w:val="none"/>
        </w:rPr>
        <w:t>有关规定予以</w:t>
      </w:r>
      <w:r>
        <w:rPr>
          <w:rFonts w:hint="eastAsia" w:asciiTheme="minorEastAsia" w:hAnsiTheme="minorEastAsia" w:eastAsiaTheme="minorEastAsia" w:cstheme="minorEastAsia"/>
          <w:b/>
          <w:bCs/>
          <w:color w:val="auto"/>
          <w:spacing w:val="-4"/>
          <w:sz w:val="24"/>
          <w:szCs w:val="24"/>
          <w:highlight w:val="none"/>
          <w:lang w:eastAsia="zh-CN"/>
        </w:rPr>
        <w:t>处理。</w:t>
      </w:r>
    </w:p>
    <w:p w14:paraId="0FE38361">
      <w:pPr>
        <w:kinsoku/>
        <w:wordWrap w:val="0"/>
        <w:spacing w:line="256" w:lineRule="auto"/>
        <w:jc w:val="both"/>
        <w:rPr>
          <w:rFonts w:asciiTheme="minorEastAsia" w:hAnsiTheme="minorEastAsia" w:eastAsiaTheme="minorEastAsia" w:cstheme="minorEastAsia"/>
          <w:color w:val="auto"/>
          <w:highlight w:val="none"/>
        </w:rPr>
      </w:pPr>
    </w:p>
    <w:p w14:paraId="64C9E6EE">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4.承诺函格式</w:t>
      </w:r>
    </w:p>
    <w:p w14:paraId="4BA26DBF">
      <w:pPr>
        <w:kinsoku/>
        <w:wordWrap w:val="0"/>
        <w:spacing w:line="360" w:lineRule="auto"/>
        <w:jc w:val="center"/>
        <w:rPr>
          <w:rFonts w:asciiTheme="minorEastAsia" w:hAnsiTheme="minorEastAsia" w:eastAsiaTheme="minorEastAsia" w:cstheme="minorEastAsia"/>
          <w:b/>
          <w:bCs/>
          <w:color w:val="auto"/>
          <w:sz w:val="24"/>
          <w:szCs w:val="24"/>
          <w:highlight w:val="none"/>
          <w:lang w:eastAsia="zh-CN"/>
        </w:rPr>
      </w:pPr>
    </w:p>
    <w:p w14:paraId="6B1EEFC4">
      <w:pPr>
        <w:kinsoku/>
        <w:wordWrap w:val="0"/>
        <w:spacing w:line="360" w:lineRule="auto"/>
        <w:jc w:val="center"/>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投标人承诺函</w:t>
      </w:r>
    </w:p>
    <w:p w14:paraId="625B0E18">
      <w:pPr>
        <w:pStyle w:val="4"/>
        <w:kinsoku/>
        <w:wordWrap w:val="0"/>
        <w:spacing w:line="360" w:lineRule="auto"/>
        <w:jc w:val="both"/>
        <w:rPr>
          <w:rFonts w:asciiTheme="minorEastAsia" w:hAnsiTheme="minorEastAsia" w:eastAsiaTheme="minorEastAsia" w:cstheme="minorEastAsia"/>
          <w:color w:val="auto"/>
          <w:spacing w:val="-3"/>
          <w:sz w:val="24"/>
          <w:szCs w:val="24"/>
          <w:highlight w:val="none"/>
          <w:lang w:eastAsia="zh-CN"/>
        </w:rPr>
      </w:pPr>
    </w:p>
    <w:p w14:paraId="473F5A46">
      <w:pPr>
        <w:pStyle w:val="4"/>
        <w:kinsoku/>
        <w:wordWrap w:val="0"/>
        <w:spacing w:line="360" w:lineRule="auto"/>
        <w:jc w:val="both"/>
        <w:rPr>
          <w:rFonts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采购人或代理机构名称：</w:t>
      </w:r>
    </w:p>
    <w:p w14:paraId="1DC8D48B">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很荣幸能参与项目编号为项目的投标。</w:t>
      </w:r>
    </w:p>
    <w:p w14:paraId="761DD3D8">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我代表（投标人名称），在此作如下承诺：</w:t>
      </w:r>
    </w:p>
    <w:p w14:paraId="04FE5F3D">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1、完全理解和接受本项目招标文件的一切规定和要求；</w:t>
      </w:r>
    </w:p>
    <w:p w14:paraId="577180D4">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2、我方递交的投标文件中所有的资料均为真实的、准确的，无任何虚假内容。若存在有虚假内容，我方愿意承担法律责任。</w:t>
      </w:r>
    </w:p>
    <w:p w14:paraId="01B0E26D">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3、若中标，我方将按照招标文件的具体规定与采购人签订供货安装调试或服务合同，并且严格按合同履行义务，按时交付使用，保证设备或服务质量符合招标文件要求，并提供优质服务。如果在合同执行过程中，发现问题，我方一定尽快对其进行调整，并承担相应的经济责任；</w:t>
      </w:r>
    </w:p>
    <w:p w14:paraId="42287DE4">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4、若中标，本承诺将成为合同不可分割的一部分，与合同具有同等的法律效力。</w:t>
      </w:r>
    </w:p>
    <w:p w14:paraId="0FA77963">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5、我方同意招标文件所附的合同文本作为与采购方签约的合同文本，非经双方一致同意，不得改变原合同文本的条款。</w:t>
      </w:r>
    </w:p>
    <w:p w14:paraId="341143F8">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6、我方保证，严格遵守《中华人民共和国政府采购法》《中华人民共和国政府采购法实施条例》《政府采购货物和服务招标投标管理办法》及其他相关法律法规的规定，若有违反上述法律法规的行为，愿意接受处罚并承担相应的法律责任。</w:t>
      </w:r>
    </w:p>
    <w:p w14:paraId="74E87719">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p>
    <w:p w14:paraId="3DFDA6B3">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投标人（公章）：法定代表人（负责人）或授权代表（签字）：</w:t>
      </w:r>
    </w:p>
    <w:p w14:paraId="23B414FA">
      <w:pPr>
        <w:kinsoku/>
        <w:wordWrap w:val="0"/>
        <w:spacing w:line="360" w:lineRule="auto"/>
        <w:ind w:firstLine="720" w:firstLineChars="300"/>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日期：</w:t>
      </w:r>
      <w:r>
        <w:rPr>
          <w:rFonts w:hint="eastAsia" w:asciiTheme="minorEastAsia" w:hAnsiTheme="minorEastAsia" w:eastAsiaTheme="minorEastAsia" w:cstheme="minorEastAsia"/>
          <w:color w:val="auto"/>
          <w:spacing w:val="-8"/>
          <w:sz w:val="24"/>
          <w:szCs w:val="24"/>
          <w:highlight w:val="none"/>
          <w:lang w:eastAsia="zh-CN"/>
        </w:rPr>
        <w:t>年月日</w:t>
      </w:r>
    </w:p>
    <w:p w14:paraId="6D8FAFCC">
      <w:pPr>
        <w:kinsoku/>
        <w:wordWrap w:val="0"/>
        <w:spacing w:line="256" w:lineRule="auto"/>
        <w:jc w:val="both"/>
        <w:rPr>
          <w:rFonts w:asciiTheme="minorEastAsia" w:hAnsiTheme="minorEastAsia" w:eastAsiaTheme="minorEastAsia" w:cstheme="minorEastAsia"/>
          <w:color w:val="auto"/>
          <w:highlight w:val="none"/>
        </w:rPr>
      </w:pPr>
    </w:p>
    <w:p w14:paraId="0C4214B5">
      <w:pPr>
        <w:kinsoku/>
        <w:wordWrap w:val="0"/>
        <w:spacing w:line="256" w:lineRule="auto"/>
        <w:jc w:val="both"/>
        <w:rPr>
          <w:rFonts w:asciiTheme="minorEastAsia" w:hAnsiTheme="minorEastAsia" w:eastAsiaTheme="minorEastAsia" w:cstheme="minorEastAsia"/>
          <w:color w:val="auto"/>
          <w:highlight w:val="none"/>
        </w:rPr>
      </w:pPr>
    </w:p>
    <w:p w14:paraId="372B8CC8">
      <w:pPr>
        <w:kinsoku/>
        <w:wordWrap w:val="0"/>
        <w:spacing w:line="256" w:lineRule="auto"/>
        <w:jc w:val="both"/>
        <w:rPr>
          <w:rFonts w:asciiTheme="minorEastAsia" w:hAnsiTheme="minorEastAsia" w:eastAsiaTheme="minorEastAsia" w:cstheme="minorEastAsia"/>
          <w:color w:val="auto"/>
          <w:highlight w:val="none"/>
        </w:rPr>
      </w:pPr>
    </w:p>
    <w:p w14:paraId="0E5745BD">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5D009A34">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5D3604AE">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5.营业执照副本或其他资格证明文件</w:t>
      </w:r>
    </w:p>
    <w:p w14:paraId="3E6962CF">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6.具有履行合同所必需的设备和专业技术能力的承诺</w:t>
      </w:r>
    </w:p>
    <w:p w14:paraId="4AFB8C2E">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7.依法缴纳税收和社会保障资金的缴费凭证(提供近半年内任意三个月的有效凭证)</w:t>
      </w:r>
    </w:p>
    <w:p w14:paraId="547D0275">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8.良好的商业信誉和健全的财务会计制度的证明文件</w:t>
      </w:r>
    </w:p>
    <w:p w14:paraId="4410197A">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说明：（1）提供本单位上年度经会计师事务所出具的审计报告或本公司出具的财务报表或提供银行出具的证明文件。银行出具的证明文件应能说明该投标人与银行之间业务往来正常，企业信誉良好等。（2）投标人提供企业有关财务会计制度。</w:t>
      </w:r>
    </w:p>
    <w:p w14:paraId="3303C185">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9.投标人出具参加政府采购活动前三年内，在经营活动中没有重大违法记录的书面声明（加盖单位公章）</w:t>
      </w:r>
    </w:p>
    <w:p w14:paraId="05100A43">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6EF7C616">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704B45B0">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402BBCAC">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744F761E">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2BB22CDA">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199C28D4">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2F5659C2">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525C2BFB">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7DDAD164">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5B87ADAA">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40F9C917">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691480C7">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584B04DF">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0F1AB788">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29644AA4">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53C32C60">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2A831D86">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2AB22A08">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40155D16">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10</w:t>
      </w:r>
      <w:r>
        <w:rPr>
          <w:rFonts w:hint="eastAsia" w:asciiTheme="minorEastAsia" w:hAnsiTheme="minorEastAsia" w:eastAsiaTheme="minorEastAsia" w:cstheme="minorEastAsia"/>
          <w:b/>
          <w:bCs/>
          <w:color w:val="auto"/>
          <w:sz w:val="24"/>
          <w:szCs w:val="24"/>
          <w:highlight w:val="none"/>
          <w:lang w:eastAsia="zh-CN"/>
        </w:rPr>
        <w:t>投标人诚信承诺书</w:t>
      </w:r>
    </w:p>
    <w:p w14:paraId="5D0C9F8B">
      <w:pPr>
        <w:kinsoku/>
        <w:wordWrap w:val="0"/>
        <w:spacing w:line="360" w:lineRule="auto"/>
        <w:jc w:val="center"/>
        <w:rPr>
          <w:rFonts w:asciiTheme="minorEastAsia" w:hAnsiTheme="minorEastAsia" w:eastAsiaTheme="minorEastAsia" w:cstheme="minorEastAsia"/>
          <w:b/>
          <w:bCs/>
          <w:color w:val="auto"/>
          <w:sz w:val="24"/>
          <w:szCs w:val="24"/>
          <w:highlight w:val="none"/>
          <w:lang w:eastAsia="zh-CN"/>
        </w:rPr>
      </w:pPr>
    </w:p>
    <w:p w14:paraId="0BED275D">
      <w:pPr>
        <w:kinsoku/>
        <w:wordWrap w:val="0"/>
        <w:spacing w:line="360" w:lineRule="auto"/>
        <w:jc w:val="center"/>
        <w:rPr>
          <w:rFonts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诚信承诺书</w:t>
      </w:r>
    </w:p>
    <w:p w14:paraId="7006B9C8">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p>
    <w:p w14:paraId="70B3653F">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为维护市场公平竞争，营造诚实守信的公共资源交易环境，本公司郑重承诺：</w:t>
      </w:r>
    </w:p>
    <w:p w14:paraId="5C087352">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本次投标在电子投标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04AFC3AB">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2、本公司在参加本项目过程中严格遵守各项诚信廉洁规定，如有违反，自愿按规定接受处罚。</w:t>
      </w:r>
    </w:p>
    <w:p w14:paraId="4463DA9E">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p>
    <w:p w14:paraId="5D367E3B">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承诺人法定名称（盖章）：</w:t>
      </w:r>
    </w:p>
    <w:p w14:paraId="6EBDDE34">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承诺人法定地址：</w:t>
      </w:r>
    </w:p>
    <w:p w14:paraId="651F386E">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授权代表（签字或盖章）：</w:t>
      </w:r>
    </w:p>
    <w:p w14:paraId="2BF28969">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电话：</w:t>
      </w:r>
    </w:p>
    <w:p w14:paraId="7FEE4DD3">
      <w:pPr>
        <w:kinsoku/>
        <w:wordWrap w:val="0"/>
        <w:spacing w:line="360" w:lineRule="auto"/>
        <w:ind w:firstLine="672" w:firstLineChars="300"/>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8"/>
          <w:sz w:val="24"/>
          <w:szCs w:val="24"/>
          <w:highlight w:val="none"/>
          <w:lang w:eastAsia="zh-CN"/>
        </w:rPr>
        <w:t>日期：年月日</w:t>
      </w:r>
    </w:p>
    <w:p w14:paraId="35E3CB7B">
      <w:pPr>
        <w:kinsoku/>
        <w:wordWrap w:val="0"/>
        <w:spacing w:line="360" w:lineRule="auto"/>
        <w:ind w:firstLine="607" w:firstLineChars="252"/>
        <w:jc w:val="both"/>
        <w:rPr>
          <w:rFonts w:asciiTheme="minorEastAsia" w:hAnsiTheme="minorEastAsia" w:eastAsiaTheme="minorEastAsia" w:cstheme="minorEastAsia"/>
          <w:b/>
          <w:bCs/>
          <w:color w:val="auto"/>
          <w:sz w:val="24"/>
          <w:szCs w:val="24"/>
          <w:highlight w:val="none"/>
          <w:lang w:eastAsia="zh-CN"/>
        </w:rPr>
      </w:pPr>
    </w:p>
    <w:p w14:paraId="14A8BD72">
      <w:pPr>
        <w:kinsoku/>
        <w:wordWrap w:val="0"/>
        <w:spacing w:line="360" w:lineRule="auto"/>
        <w:ind w:firstLine="607" w:firstLineChars="252"/>
        <w:jc w:val="both"/>
        <w:rPr>
          <w:rFonts w:asciiTheme="minorEastAsia" w:hAnsiTheme="minorEastAsia" w:eastAsiaTheme="minorEastAsia" w:cstheme="minorEastAsia"/>
          <w:b/>
          <w:bCs/>
          <w:color w:val="auto"/>
          <w:sz w:val="24"/>
          <w:szCs w:val="24"/>
          <w:highlight w:val="none"/>
          <w:lang w:eastAsia="zh-CN"/>
        </w:rPr>
      </w:pPr>
    </w:p>
    <w:p w14:paraId="70264FBE">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11.投标人出具信用记录查询结果网页截图</w:t>
      </w:r>
    </w:p>
    <w:p w14:paraId="3629E267">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12.其他资格证明</w:t>
      </w:r>
    </w:p>
    <w:p w14:paraId="3C641277">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352E45BF">
      <w:pPr>
        <w:kinsoku/>
        <w:wordWrap w:val="0"/>
        <w:spacing w:line="360" w:lineRule="auto"/>
        <w:ind w:firstLine="482" w:firstLineChars="200"/>
        <w:jc w:val="both"/>
        <w:rPr>
          <w:rFonts w:hint="eastAsia" w:asciiTheme="minorEastAsia" w:hAnsiTheme="minorEastAsia" w:eastAsiaTheme="minorEastAsia" w:cstheme="minorEastAsia"/>
          <w:color w:val="auto"/>
          <w:spacing w:val="24"/>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按照南阳市财政局《关于在政府采购活动中施行供应商资格信用承诺制的通知》宛财购〔2023〕4号的要求，对于市本级政府采购项目，全部实施供应商资格信用承诺，投标人在投标时，按照规定提供“南阳市政府采购供应商信用承诺函”（详见附件）的，无需再提交上述5-9项证明材料”。投标人</w:t>
      </w:r>
      <w:r>
        <w:rPr>
          <w:rFonts w:hint="eastAsia" w:asciiTheme="minorEastAsia" w:hAnsiTheme="minorEastAsia" w:eastAsiaTheme="minorEastAsia" w:cstheme="minorEastAsia"/>
          <w:b/>
          <w:bCs/>
          <w:color w:val="auto"/>
          <w:sz w:val="24"/>
          <w:szCs w:val="24"/>
          <w:highlight w:val="none"/>
          <w:lang w:val="zh-CN" w:eastAsia="zh-CN"/>
        </w:rPr>
        <w:t>在中标后，应将上述由信用承诺书替代的证明材料提交采购人或采购代理机构，证明材料将随公告一并公示。</w:t>
      </w:r>
      <w:r>
        <w:rPr>
          <w:rFonts w:hint="eastAsia" w:asciiTheme="minorEastAsia" w:hAnsiTheme="minorEastAsia" w:eastAsiaTheme="minorEastAsia" w:cstheme="minorEastAsia"/>
          <w:color w:val="auto"/>
          <w:spacing w:val="24"/>
          <w:sz w:val="24"/>
          <w:szCs w:val="24"/>
          <w:highlight w:val="none"/>
        </w:rPr>
        <w:br w:type="page"/>
      </w:r>
    </w:p>
    <w:p w14:paraId="2C2E052C">
      <w:pPr>
        <w:pStyle w:val="4"/>
        <w:kinsoku/>
        <w:wordWrap w:val="0"/>
        <w:spacing w:line="360" w:lineRule="auto"/>
        <w:ind w:left="0" w:leftChars="0" w:firstLine="0" w:firstLineChars="0"/>
        <w:jc w:val="center"/>
        <w:rPr>
          <w:rFonts w:asciiTheme="minorEastAsia" w:hAnsiTheme="minorEastAsia" w:eastAsiaTheme="minorEastAsia" w:cstheme="minorEastAsia"/>
          <w:color w:val="auto"/>
          <w:sz w:val="32"/>
          <w:szCs w:val="32"/>
          <w:highlight w:val="none"/>
          <w:lang w:val="zh-CN" w:eastAsia="zh-CN"/>
        </w:rPr>
      </w:pPr>
      <w:r>
        <w:rPr>
          <w:rFonts w:hint="eastAsia" w:asciiTheme="minorEastAsia" w:hAnsiTheme="minorEastAsia" w:eastAsiaTheme="minorEastAsia" w:cstheme="minorEastAsia"/>
          <w:color w:val="auto"/>
          <w:sz w:val="32"/>
          <w:szCs w:val="32"/>
          <w:highlight w:val="none"/>
          <w:lang w:val="zh-CN" w:eastAsia="zh-CN"/>
        </w:rPr>
        <w:t>南阳市政府采购供应商信用承诺函（格式）</w:t>
      </w:r>
    </w:p>
    <w:p w14:paraId="7B7E850A">
      <w:pPr>
        <w:widowControl w:val="0"/>
        <w:kinsoku/>
        <w:wordWrap w:val="0"/>
        <w:spacing w:line="360" w:lineRule="auto"/>
        <w:jc w:val="both"/>
        <w:rPr>
          <w:rFonts w:asciiTheme="minorEastAsia" w:hAnsiTheme="minorEastAsia" w:eastAsiaTheme="minorEastAsia" w:cstheme="minorEastAsia"/>
          <w:b/>
          <w:bCs/>
          <w:color w:val="auto"/>
          <w:sz w:val="24"/>
          <w:szCs w:val="24"/>
          <w:highlight w:val="none"/>
          <w:lang w:val="zh-CN" w:eastAsia="zh-CN"/>
        </w:rPr>
      </w:pPr>
    </w:p>
    <w:p w14:paraId="707E6E0C">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zh-CN" w:eastAsia="zh-CN"/>
        </w:rPr>
        <w:t>致（采购人或</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lang w:val="zh-CN" w:eastAsia="zh-CN"/>
        </w:rPr>
        <w:t>）：</w:t>
      </w:r>
    </w:p>
    <w:p w14:paraId="6DFBF115">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单位名称：</w:t>
      </w:r>
    </w:p>
    <w:p w14:paraId="5CBAE4D5">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统一社会信用代码：</w:t>
      </w:r>
    </w:p>
    <w:p w14:paraId="52839CED">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法定代表人：</w:t>
      </w:r>
    </w:p>
    <w:p w14:paraId="2BAC872A">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联系地址和电话：</w:t>
      </w:r>
    </w:p>
    <w:p w14:paraId="3812A755">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14:paraId="17F98A3E">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（一）具有独立承担民事责任的能力；</w:t>
      </w:r>
    </w:p>
    <w:p w14:paraId="1414DEFE">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（二）具有良好的商业信誉和健全的财务会计制度；</w:t>
      </w:r>
    </w:p>
    <w:p w14:paraId="44469723">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（三）具有履行合同所必需的设备和专业技术能力；</w:t>
      </w:r>
    </w:p>
    <w:p w14:paraId="411CAEBC">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（四）有依法缴纳税收和社会保障资金的良好记录；</w:t>
      </w:r>
    </w:p>
    <w:p w14:paraId="7FBF68B5">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（五）参加政府采购活动前三年内，在经营活动中没有重大违法记录；</w:t>
      </w:r>
    </w:p>
    <w:p w14:paraId="08E9BD27">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（六）法律、行政法规规定的其他条件。</w:t>
      </w:r>
    </w:p>
    <w:p w14:paraId="204F5810">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我单位保证上述承诺事项的真实性，如有弄虚作假或其他违法违规行为，愿意承担一切法律责任，并承担因此所造成的一切损失。</w:t>
      </w:r>
    </w:p>
    <w:p w14:paraId="3C6F4D8C">
      <w:pPr>
        <w:widowControl w:val="0"/>
        <w:kinsoku/>
        <w:wordWrap w:val="0"/>
        <w:spacing w:line="360" w:lineRule="auto"/>
        <w:jc w:val="both"/>
        <w:rPr>
          <w:rFonts w:asciiTheme="minorEastAsia" w:hAnsiTheme="minorEastAsia" w:eastAsiaTheme="minorEastAsia" w:cstheme="minorEastAsia"/>
          <w:color w:val="auto"/>
          <w:sz w:val="24"/>
          <w:szCs w:val="24"/>
          <w:highlight w:val="none"/>
          <w:lang w:val="zh-CN" w:eastAsia="zh-CN"/>
        </w:rPr>
      </w:pPr>
    </w:p>
    <w:p w14:paraId="194CFAA8">
      <w:pPr>
        <w:widowControl w:val="0"/>
        <w:kinsoku/>
        <w:wordWrap w:val="0"/>
        <w:spacing w:line="360" w:lineRule="auto"/>
        <w:ind w:firstLine="5280" w:firstLineChars="2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投标人（企业电子章）：</w:t>
      </w:r>
    </w:p>
    <w:p w14:paraId="5F489863">
      <w:pPr>
        <w:widowControl w:val="0"/>
        <w:kinsoku/>
        <w:wordWrap w:val="0"/>
        <w:spacing w:line="360" w:lineRule="auto"/>
        <w:ind w:firstLine="3360" w:firstLineChars="14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法定代表人或授权代表（签字或电子印章）：</w:t>
      </w:r>
    </w:p>
    <w:p w14:paraId="65B821AD">
      <w:pPr>
        <w:kinsoku/>
        <w:wordWrap w:val="0"/>
        <w:spacing w:line="360" w:lineRule="auto"/>
        <w:ind w:firstLine="5040" w:firstLineChars="21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bCs/>
          <w:color w:val="auto"/>
          <w:sz w:val="24"/>
          <w:szCs w:val="24"/>
          <w:highlight w:val="none"/>
          <w:lang w:eastAsia="zh-CN"/>
        </w:rPr>
        <w:t>日期：</w:t>
      </w:r>
      <w:r>
        <w:rPr>
          <w:rFonts w:hint="eastAsia" w:asciiTheme="minorEastAsia" w:hAnsiTheme="minorEastAsia" w:eastAsiaTheme="minorEastAsia" w:cstheme="minorEastAsia"/>
          <w:color w:val="auto"/>
          <w:spacing w:val="-8"/>
          <w:sz w:val="24"/>
          <w:szCs w:val="24"/>
          <w:highlight w:val="none"/>
          <w:lang w:eastAsia="zh-CN"/>
        </w:rPr>
        <w:t>年月日</w:t>
      </w:r>
    </w:p>
    <w:p w14:paraId="56842D76">
      <w:pPr>
        <w:widowControl w:val="0"/>
        <w:kinsoku/>
        <w:wordWrap w:val="0"/>
        <w:spacing w:line="360" w:lineRule="auto"/>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注：</w:t>
      </w:r>
    </w:p>
    <w:p w14:paraId="70D2940A">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1、投标人须在投标文件中按此模板提供承诺函，未提供视为未实质性响应招标文件要求，按无效投标处理。</w:t>
      </w:r>
    </w:p>
    <w:p w14:paraId="248DD80E">
      <w:pPr>
        <w:kinsoku/>
        <w:wordWrap w:val="0"/>
        <w:spacing w:line="360" w:lineRule="auto"/>
        <w:ind w:firstLine="480"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z w:val="24"/>
          <w:szCs w:val="24"/>
          <w:highlight w:val="none"/>
          <w:lang w:val="zh-CN" w:eastAsia="zh-CN"/>
        </w:rPr>
        <w:t>2、投标人的法定代表人或者授权代表的签字或盖章应真实、有效，如由授权代表签字或盖章的，应提供“法定代表人授权书”。</w:t>
      </w:r>
    </w:p>
    <w:p w14:paraId="45F98BB0">
      <w:pPr>
        <w:pStyle w:val="5"/>
        <w:rPr>
          <w:rFonts w:hint="eastAsia"/>
          <w:color w:val="auto"/>
          <w:highlight w:val="none"/>
        </w:rPr>
      </w:pPr>
    </w:p>
    <w:p w14:paraId="1EF2D152">
      <w:pPr>
        <w:rPr>
          <w:rFonts w:hint="eastAsia" w:cstheme="minorEastAsia"/>
          <w:color w:val="auto"/>
          <w:spacing w:val="24"/>
          <w:sz w:val="24"/>
          <w:szCs w:val="24"/>
          <w:highlight w:val="none"/>
          <w:lang w:val="en-US" w:eastAsia="zh-CN"/>
        </w:rPr>
      </w:pPr>
    </w:p>
    <w:p w14:paraId="501B1CD0">
      <w:pPr>
        <w:jc w:val="center"/>
        <w:rPr>
          <w:rFonts w:asciiTheme="minorEastAsia" w:hAnsiTheme="minorEastAsia" w:eastAsiaTheme="minorEastAsia" w:cstheme="minorEastAsia"/>
          <w:b/>
          <w:bCs/>
          <w:color w:val="auto"/>
          <w:sz w:val="32"/>
          <w:szCs w:val="32"/>
          <w:highlight w:val="none"/>
          <w:lang w:eastAsia="zh-CN"/>
        </w:rPr>
      </w:pPr>
      <w:r>
        <w:rPr>
          <w:rFonts w:hint="eastAsia" w:asciiTheme="minorEastAsia" w:hAnsiTheme="minorEastAsia" w:eastAsiaTheme="minorEastAsia" w:cstheme="minorEastAsia"/>
          <w:b/>
          <w:bCs/>
          <w:color w:val="auto"/>
          <w:spacing w:val="24"/>
          <w:sz w:val="32"/>
          <w:szCs w:val="32"/>
          <w:highlight w:val="none"/>
        </w:rPr>
        <w:t>二、商务技术文件格式</w:t>
      </w:r>
    </w:p>
    <w:p w14:paraId="54B0B79D">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pacing w:val="24"/>
          <w:sz w:val="24"/>
          <w:szCs w:val="24"/>
          <w:highlight w:val="none"/>
          <w:lang w:eastAsia="zh-CN"/>
        </w:rPr>
        <w:t>1.投标书格式</w:t>
      </w:r>
    </w:p>
    <w:p w14:paraId="7B40AEBC">
      <w:pPr>
        <w:kinsoku/>
        <w:wordWrap w:val="0"/>
        <w:spacing w:line="360" w:lineRule="auto"/>
        <w:ind w:firstLine="607" w:firstLineChars="252"/>
        <w:jc w:val="center"/>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投标书</w:t>
      </w:r>
    </w:p>
    <w:p w14:paraId="4EDCA865">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p>
    <w:p w14:paraId="11F3DF35">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致：采购人或采购代理机构</w:t>
      </w:r>
    </w:p>
    <w:p w14:paraId="5A718253">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根据贵方招标编号为（）的公开招标公告，签字代表（全名、职务）经正式授权并代表投标人（投标人名称、地址）提交电子投标文件一份，并对之负法律责任。</w:t>
      </w:r>
    </w:p>
    <w:p w14:paraId="797C5951">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投标文件组成资格证明文件第1至项，商务技术文件第1至项。</w:t>
      </w:r>
    </w:p>
    <w:p w14:paraId="0E19381E">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据此函，签字代表宣布同意如下：</w:t>
      </w:r>
    </w:p>
    <w:p w14:paraId="6C6AE4AC">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1、所附服务报价为以开标一览表为准。</w:t>
      </w:r>
    </w:p>
    <w:p w14:paraId="3E24544B">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2、如果我们的投标书被接受，我们将履行招标文件中规定的每一项要求，按期、按质、按量履行合同。</w:t>
      </w:r>
    </w:p>
    <w:p w14:paraId="0574A370">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3、我方愿按《中华人民共和国政府采购法》和《中华人民共和国民法典》履行我方的全部责任。</w:t>
      </w:r>
    </w:p>
    <w:p w14:paraId="4342B5E3">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4、我方已详细审查全部招标文件，包括修改文件以及全部参考资料和有关附件。我们完全理解并同意放弃对这方面有不明白及误解的权力。</w:t>
      </w:r>
    </w:p>
    <w:p w14:paraId="09F5D7BC">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5、本投标自开标之日起有效期为60天。</w:t>
      </w:r>
    </w:p>
    <w:p w14:paraId="11B92BDC">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地址：</w:t>
      </w:r>
    </w:p>
    <w:p w14:paraId="611CA242">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电话（传真）：</w:t>
      </w:r>
    </w:p>
    <w:p w14:paraId="4C620E6A">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法定代表人（负责人）或授权代表（签字）：</w:t>
      </w:r>
    </w:p>
    <w:p w14:paraId="10053646">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投标人名称（公章）：</w:t>
      </w:r>
    </w:p>
    <w:p w14:paraId="1EF12B19">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sectPr>
          <w:headerReference r:id="rId12" w:type="default"/>
          <w:footerReference r:id="rId13" w:type="default"/>
          <w:pgSz w:w="11907" w:h="16840"/>
          <w:pgMar w:top="1440" w:right="1800" w:bottom="1440" w:left="1800" w:header="878" w:footer="886" w:gutter="0"/>
          <w:cols w:space="720" w:num="1"/>
        </w:sectPr>
      </w:pPr>
      <w:r>
        <w:rPr>
          <w:rFonts w:hint="eastAsia" w:asciiTheme="minorEastAsia" w:hAnsiTheme="minorEastAsia" w:eastAsiaTheme="minorEastAsia" w:cstheme="minorEastAsia"/>
          <w:color w:val="auto"/>
          <w:sz w:val="24"/>
          <w:szCs w:val="24"/>
          <w:highlight w:val="none"/>
          <w:lang w:eastAsia="zh-CN"/>
        </w:rPr>
        <w:t>日期：</w:t>
      </w:r>
      <w:r>
        <w:rPr>
          <w:rFonts w:hint="eastAsia" w:asciiTheme="minorEastAsia" w:hAnsiTheme="minorEastAsia" w:eastAsiaTheme="minorEastAsia" w:cstheme="minorEastAsia"/>
          <w:color w:val="auto"/>
          <w:spacing w:val="-8"/>
          <w:sz w:val="24"/>
          <w:szCs w:val="24"/>
          <w:highlight w:val="none"/>
          <w:lang w:eastAsia="zh-CN"/>
        </w:rPr>
        <w:t>年月日</w:t>
      </w:r>
    </w:p>
    <w:p w14:paraId="28A31F99">
      <w:pPr>
        <w:kinsoku/>
        <w:wordWrap w:val="0"/>
        <w:jc w:val="both"/>
        <w:rPr>
          <w:rFonts w:ascii="宋体" w:hAnsi="宋体"/>
          <w:b/>
          <w:color w:val="auto"/>
          <w:sz w:val="24"/>
          <w:szCs w:val="24"/>
          <w:highlight w:val="none"/>
          <w:lang w:eastAsia="zh-CN"/>
        </w:rPr>
      </w:pPr>
      <w:r>
        <w:rPr>
          <w:rFonts w:hint="eastAsia" w:ascii="宋体" w:hAnsi="宋体"/>
          <w:b/>
          <w:color w:val="auto"/>
          <w:sz w:val="24"/>
          <w:szCs w:val="24"/>
          <w:highlight w:val="none"/>
          <w:lang w:eastAsia="zh-CN"/>
        </w:rPr>
        <w:t>2、投标分项报价一览表（适用于货物）</w:t>
      </w:r>
    </w:p>
    <w:p w14:paraId="13FC4782">
      <w:pPr>
        <w:kinsoku/>
        <w:wordWrap w:val="0"/>
        <w:jc w:val="both"/>
        <w:rPr>
          <w:rFonts w:ascii="宋体" w:hAnsi="宋体"/>
          <w:b/>
          <w:color w:val="auto"/>
          <w:sz w:val="24"/>
          <w:szCs w:val="24"/>
          <w:highlight w:val="none"/>
        </w:rPr>
      </w:pPr>
    </w:p>
    <w:p w14:paraId="00231E4D">
      <w:pPr>
        <w:kinsoku/>
        <w:wordWrap w:val="0"/>
        <w:jc w:val="center"/>
        <w:rPr>
          <w:rFonts w:asciiTheme="minorEastAsia" w:hAnsiTheme="minorEastAsia" w:eastAsiaTheme="minorEastAsia" w:cstheme="minorEastAsia"/>
          <w:b/>
          <w:color w:val="auto"/>
          <w:sz w:val="28"/>
          <w:szCs w:val="28"/>
          <w:highlight w:val="none"/>
          <w:lang w:eastAsia="zh-CN"/>
        </w:rPr>
      </w:pPr>
      <w:r>
        <w:rPr>
          <w:rFonts w:hint="eastAsia" w:asciiTheme="minorEastAsia" w:hAnsiTheme="minorEastAsia" w:eastAsiaTheme="minorEastAsia" w:cstheme="minorEastAsia"/>
          <w:b/>
          <w:color w:val="auto"/>
          <w:sz w:val="24"/>
          <w:szCs w:val="24"/>
          <w:highlight w:val="none"/>
        </w:rPr>
        <w:t>投标</w:t>
      </w:r>
      <w:r>
        <w:rPr>
          <w:rFonts w:hint="eastAsia" w:asciiTheme="minorEastAsia" w:hAnsiTheme="minorEastAsia" w:eastAsiaTheme="minorEastAsia" w:cstheme="minorEastAsia"/>
          <w:b/>
          <w:color w:val="auto"/>
          <w:sz w:val="24"/>
          <w:szCs w:val="24"/>
          <w:highlight w:val="none"/>
          <w:lang w:eastAsia="zh-CN"/>
        </w:rPr>
        <w:t>分项</w:t>
      </w:r>
      <w:r>
        <w:rPr>
          <w:rFonts w:hint="eastAsia" w:asciiTheme="minorEastAsia" w:hAnsiTheme="minorEastAsia" w:eastAsiaTheme="minorEastAsia" w:cstheme="minorEastAsia"/>
          <w:b/>
          <w:color w:val="auto"/>
          <w:sz w:val="24"/>
          <w:szCs w:val="24"/>
          <w:highlight w:val="none"/>
        </w:rPr>
        <w:t>报价一览表</w:t>
      </w:r>
    </w:p>
    <w:tbl>
      <w:tblPr>
        <w:tblStyle w:val="12"/>
        <w:tblpPr w:leftFromText="180" w:rightFromText="180" w:vertAnchor="text" w:horzAnchor="page" w:tblpX="1670" w:tblpY="348"/>
        <w:tblOverlap w:val="never"/>
        <w:tblW w:w="13217" w:type="dxa"/>
        <w:tblInd w:w="0" w:type="dxa"/>
        <w:tblLayout w:type="fixed"/>
        <w:tblCellMar>
          <w:top w:w="0" w:type="dxa"/>
          <w:left w:w="108" w:type="dxa"/>
          <w:bottom w:w="0" w:type="dxa"/>
          <w:right w:w="108" w:type="dxa"/>
        </w:tblCellMar>
      </w:tblPr>
      <w:tblGrid>
        <w:gridCol w:w="1451"/>
        <w:gridCol w:w="1794"/>
        <w:gridCol w:w="191"/>
        <w:gridCol w:w="2775"/>
        <w:gridCol w:w="1487"/>
        <w:gridCol w:w="1402"/>
        <w:gridCol w:w="1438"/>
        <w:gridCol w:w="1384"/>
        <w:gridCol w:w="1295"/>
      </w:tblGrid>
      <w:tr w14:paraId="1A7FC694">
        <w:tblPrEx>
          <w:tblCellMar>
            <w:top w:w="0" w:type="dxa"/>
            <w:left w:w="108" w:type="dxa"/>
            <w:bottom w:w="0" w:type="dxa"/>
            <w:right w:w="108" w:type="dxa"/>
          </w:tblCellMar>
        </w:tblPrEx>
        <w:trPr>
          <w:trHeight w:val="491" w:hRule="exact"/>
        </w:trPr>
        <w:tc>
          <w:tcPr>
            <w:tcW w:w="3245" w:type="dxa"/>
            <w:gridSpan w:val="2"/>
            <w:tcBorders>
              <w:top w:val="nil"/>
              <w:left w:val="nil"/>
              <w:bottom w:val="single" w:color="auto" w:sz="4" w:space="0"/>
              <w:right w:val="nil"/>
            </w:tcBorders>
            <w:noWrap/>
            <w:vAlign w:val="center"/>
          </w:tcPr>
          <w:p w14:paraId="412D1843">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投标人名称（公章）：</w:t>
            </w:r>
          </w:p>
        </w:tc>
        <w:tc>
          <w:tcPr>
            <w:tcW w:w="2966" w:type="dxa"/>
            <w:gridSpan w:val="2"/>
            <w:tcBorders>
              <w:top w:val="nil"/>
              <w:left w:val="nil"/>
              <w:bottom w:val="single" w:color="auto" w:sz="4" w:space="0"/>
              <w:right w:val="nil"/>
            </w:tcBorders>
            <w:noWrap/>
            <w:vAlign w:val="center"/>
          </w:tcPr>
          <w:p w14:paraId="40707326">
            <w:pPr>
              <w:kinsoku/>
              <w:wordWrap w:val="0"/>
              <w:spacing w:line="360" w:lineRule="auto"/>
              <w:ind w:firstLine="567"/>
              <w:jc w:val="both"/>
              <w:rPr>
                <w:rFonts w:asciiTheme="minorEastAsia" w:hAnsiTheme="minorEastAsia" w:eastAsiaTheme="minorEastAsia" w:cstheme="minorEastAsia"/>
                <w:color w:val="auto"/>
                <w:sz w:val="24"/>
                <w:szCs w:val="24"/>
                <w:highlight w:val="none"/>
                <w:lang w:eastAsia="zh-CN"/>
              </w:rPr>
            </w:pPr>
          </w:p>
        </w:tc>
        <w:tc>
          <w:tcPr>
            <w:tcW w:w="1487" w:type="dxa"/>
            <w:tcBorders>
              <w:top w:val="nil"/>
              <w:left w:val="nil"/>
              <w:bottom w:val="single" w:color="auto" w:sz="4" w:space="0"/>
              <w:right w:val="nil"/>
            </w:tcBorders>
            <w:noWrap/>
            <w:vAlign w:val="center"/>
          </w:tcPr>
          <w:p w14:paraId="5CD40F76">
            <w:pPr>
              <w:kinsoku/>
              <w:wordWrap w:val="0"/>
              <w:spacing w:line="360" w:lineRule="auto"/>
              <w:ind w:firstLine="567"/>
              <w:jc w:val="both"/>
              <w:rPr>
                <w:rFonts w:asciiTheme="minorEastAsia" w:hAnsiTheme="minorEastAsia" w:eastAsiaTheme="minorEastAsia" w:cstheme="minorEastAsia"/>
                <w:color w:val="auto"/>
                <w:sz w:val="24"/>
                <w:szCs w:val="24"/>
                <w:highlight w:val="none"/>
                <w:lang w:eastAsia="zh-CN"/>
              </w:rPr>
            </w:pPr>
          </w:p>
        </w:tc>
        <w:tc>
          <w:tcPr>
            <w:tcW w:w="1402" w:type="dxa"/>
            <w:tcBorders>
              <w:top w:val="nil"/>
              <w:left w:val="nil"/>
              <w:bottom w:val="single" w:color="auto" w:sz="4" w:space="0"/>
              <w:right w:val="nil"/>
            </w:tcBorders>
            <w:noWrap/>
            <w:vAlign w:val="center"/>
          </w:tcPr>
          <w:p w14:paraId="171E7381">
            <w:pPr>
              <w:kinsoku/>
              <w:wordWrap w:val="0"/>
              <w:spacing w:line="360" w:lineRule="auto"/>
              <w:ind w:firstLine="567"/>
              <w:jc w:val="both"/>
              <w:rPr>
                <w:rFonts w:asciiTheme="minorEastAsia" w:hAnsiTheme="minorEastAsia" w:eastAsiaTheme="minorEastAsia" w:cstheme="minorEastAsia"/>
                <w:color w:val="auto"/>
                <w:sz w:val="24"/>
                <w:szCs w:val="24"/>
                <w:highlight w:val="none"/>
                <w:lang w:eastAsia="zh-CN"/>
              </w:rPr>
            </w:pPr>
          </w:p>
        </w:tc>
        <w:tc>
          <w:tcPr>
            <w:tcW w:w="2822" w:type="dxa"/>
            <w:gridSpan w:val="2"/>
            <w:tcBorders>
              <w:top w:val="nil"/>
              <w:left w:val="nil"/>
              <w:bottom w:val="single" w:color="auto" w:sz="4" w:space="0"/>
              <w:right w:val="nil"/>
            </w:tcBorders>
            <w:noWrap/>
            <w:vAlign w:val="center"/>
          </w:tcPr>
          <w:p w14:paraId="5C6F9391">
            <w:pPr>
              <w:kinsoku/>
              <w:wordWrap w:val="0"/>
              <w:spacing w:line="360" w:lineRule="auto"/>
              <w:ind w:firstLine="360" w:firstLineChars="150"/>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项目编号：</w:t>
            </w:r>
          </w:p>
        </w:tc>
        <w:tc>
          <w:tcPr>
            <w:tcW w:w="1295" w:type="dxa"/>
            <w:tcBorders>
              <w:top w:val="nil"/>
              <w:left w:val="nil"/>
              <w:bottom w:val="single" w:color="auto" w:sz="4" w:space="0"/>
              <w:right w:val="nil"/>
            </w:tcBorders>
            <w:noWrap/>
            <w:vAlign w:val="center"/>
          </w:tcPr>
          <w:p w14:paraId="3505A881">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p>
        </w:tc>
      </w:tr>
      <w:tr w14:paraId="636B3613">
        <w:tblPrEx>
          <w:tblCellMar>
            <w:top w:w="0" w:type="dxa"/>
            <w:left w:w="108" w:type="dxa"/>
            <w:bottom w:w="0" w:type="dxa"/>
            <w:right w:w="108" w:type="dxa"/>
          </w:tblCellMar>
        </w:tblPrEx>
        <w:trPr>
          <w:trHeight w:val="709" w:hRule="exact"/>
        </w:trPr>
        <w:tc>
          <w:tcPr>
            <w:tcW w:w="1451" w:type="dxa"/>
            <w:tcBorders>
              <w:top w:val="single" w:color="auto" w:sz="4" w:space="0"/>
              <w:left w:val="single" w:color="auto" w:sz="4" w:space="0"/>
              <w:bottom w:val="single" w:color="auto" w:sz="4" w:space="0"/>
              <w:right w:val="single" w:color="auto" w:sz="4" w:space="0"/>
            </w:tcBorders>
            <w:noWrap/>
            <w:vAlign w:val="center"/>
          </w:tcPr>
          <w:p w14:paraId="56CDBD57">
            <w:pPr>
              <w:kinsoku/>
              <w:wordWrap w:val="0"/>
              <w:spacing w:line="360" w:lineRule="auto"/>
              <w:jc w:val="both"/>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序号</w:t>
            </w:r>
          </w:p>
        </w:tc>
        <w:tc>
          <w:tcPr>
            <w:tcW w:w="1985" w:type="dxa"/>
            <w:gridSpan w:val="2"/>
            <w:tcBorders>
              <w:top w:val="single" w:color="auto" w:sz="4" w:space="0"/>
              <w:left w:val="single" w:color="auto" w:sz="4" w:space="0"/>
              <w:bottom w:val="single" w:color="auto" w:sz="4" w:space="0"/>
              <w:right w:val="single" w:color="auto" w:sz="4" w:space="0"/>
            </w:tcBorders>
            <w:noWrap/>
            <w:vAlign w:val="center"/>
          </w:tcPr>
          <w:p w14:paraId="49013348">
            <w:pPr>
              <w:kinsoku/>
              <w:wordWrap w:val="0"/>
              <w:spacing w:line="360" w:lineRule="auto"/>
              <w:jc w:val="both"/>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设备名称</w:t>
            </w:r>
          </w:p>
        </w:tc>
        <w:tc>
          <w:tcPr>
            <w:tcW w:w="2775" w:type="dxa"/>
            <w:tcBorders>
              <w:top w:val="single" w:color="auto" w:sz="4" w:space="0"/>
              <w:left w:val="single" w:color="auto" w:sz="4" w:space="0"/>
              <w:bottom w:val="single" w:color="auto" w:sz="4" w:space="0"/>
              <w:right w:val="single" w:color="auto" w:sz="4" w:space="0"/>
            </w:tcBorders>
            <w:noWrap/>
            <w:vAlign w:val="center"/>
          </w:tcPr>
          <w:p w14:paraId="232BEECF">
            <w:pPr>
              <w:kinsoku/>
              <w:wordWrap w:val="0"/>
              <w:spacing w:line="360" w:lineRule="auto"/>
              <w:jc w:val="both"/>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生产厂家</w:t>
            </w:r>
          </w:p>
        </w:tc>
        <w:tc>
          <w:tcPr>
            <w:tcW w:w="1487" w:type="dxa"/>
            <w:tcBorders>
              <w:top w:val="single" w:color="auto" w:sz="4" w:space="0"/>
              <w:left w:val="single" w:color="auto" w:sz="4" w:space="0"/>
              <w:bottom w:val="single" w:color="auto" w:sz="4" w:space="0"/>
              <w:right w:val="single" w:color="auto" w:sz="4" w:space="0"/>
            </w:tcBorders>
            <w:noWrap/>
            <w:vAlign w:val="center"/>
          </w:tcPr>
          <w:p w14:paraId="4CB87BEB">
            <w:pPr>
              <w:kinsoku/>
              <w:wordWrap w:val="0"/>
              <w:spacing w:line="360" w:lineRule="auto"/>
              <w:jc w:val="both"/>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单位</w:t>
            </w:r>
          </w:p>
        </w:tc>
        <w:tc>
          <w:tcPr>
            <w:tcW w:w="1402" w:type="dxa"/>
            <w:tcBorders>
              <w:top w:val="single" w:color="auto" w:sz="4" w:space="0"/>
              <w:left w:val="single" w:color="auto" w:sz="4" w:space="0"/>
              <w:bottom w:val="single" w:color="auto" w:sz="4" w:space="0"/>
              <w:right w:val="single" w:color="auto" w:sz="4" w:space="0"/>
            </w:tcBorders>
            <w:noWrap/>
            <w:vAlign w:val="center"/>
          </w:tcPr>
          <w:p w14:paraId="403F721A">
            <w:pPr>
              <w:kinsoku/>
              <w:wordWrap w:val="0"/>
              <w:spacing w:line="360" w:lineRule="auto"/>
              <w:jc w:val="both"/>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数量</w:t>
            </w:r>
          </w:p>
        </w:tc>
        <w:tc>
          <w:tcPr>
            <w:tcW w:w="1438" w:type="dxa"/>
            <w:tcBorders>
              <w:top w:val="single" w:color="auto" w:sz="4" w:space="0"/>
              <w:left w:val="single" w:color="auto" w:sz="4" w:space="0"/>
              <w:bottom w:val="single" w:color="auto" w:sz="4" w:space="0"/>
              <w:right w:val="single" w:color="auto" w:sz="4" w:space="0"/>
            </w:tcBorders>
            <w:noWrap/>
            <w:vAlign w:val="center"/>
          </w:tcPr>
          <w:p w14:paraId="52DEAA84">
            <w:pPr>
              <w:kinsoku/>
              <w:wordWrap w:val="0"/>
              <w:spacing w:line="360" w:lineRule="auto"/>
              <w:jc w:val="both"/>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投标单价</w:t>
            </w:r>
          </w:p>
        </w:tc>
        <w:tc>
          <w:tcPr>
            <w:tcW w:w="1384" w:type="dxa"/>
            <w:tcBorders>
              <w:top w:val="single" w:color="auto" w:sz="4" w:space="0"/>
              <w:left w:val="single" w:color="auto" w:sz="4" w:space="0"/>
              <w:bottom w:val="single" w:color="auto" w:sz="4" w:space="0"/>
              <w:right w:val="single" w:color="auto" w:sz="4" w:space="0"/>
            </w:tcBorders>
            <w:noWrap/>
            <w:vAlign w:val="center"/>
          </w:tcPr>
          <w:p w14:paraId="612F2800">
            <w:pPr>
              <w:kinsoku/>
              <w:wordWrap w:val="0"/>
              <w:spacing w:line="360" w:lineRule="auto"/>
              <w:jc w:val="both"/>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小计（元）</w:t>
            </w:r>
          </w:p>
        </w:tc>
        <w:tc>
          <w:tcPr>
            <w:tcW w:w="1295" w:type="dxa"/>
            <w:tcBorders>
              <w:top w:val="single" w:color="auto" w:sz="4" w:space="0"/>
              <w:left w:val="single" w:color="auto" w:sz="4" w:space="0"/>
              <w:bottom w:val="single" w:color="auto" w:sz="4" w:space="0"/>
              <w:right w:val="single" w:color="auto" w:sz="4" w:space="0"/>
            </w:tcBorders>
            <w:noWrap/>
            <w:vAlign w:val="center"/>
          </w:tcPr>
          <w:p w14:paraId="74E5E9BA">
            <w:pPr>
              <w:kinsoku/>
              <w:wordWrap w:val="0"/>
              <w:spacing w:line="360" w:lineRule="auto"/>
              <w:jc w:val="both"/>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交货安装时间</w:t>
            </w:r>
          </w:p>
        </w:tc>
      </w:tr>
      <w:tr w14:paraId="48FFA8CE">
        <w:tblPrEx>
          <w:tblCellMar>
            <w:top w:w="0" w:type="dxa"/>
            <w:left w:w="108" w:type="dxa"/>
            <w:bottom w:w="0" w:type="dxa"/>
            <w:right w:w="108" w:type="dxa"/>
          </w:tblCellMar>
        </w:tblPrEx>
        <w:trPr>
          <w:trHeight w:val="533" w:hRule="exact"/>
        </w:trPr>
        <w:tc>
          <w:tcPr>
            <w:tcW w:w="1451" w:type="dxa"/>
            <w:tcBorders>
              <w:top w:val="single" w:color="auto" w:sz="4" w:space="0"/>
              <w:left w:val="single" w:color="auto" w:sz="4" w:space="0"/>
              <w:bottom w:val="single" w:color="auto" w:sz="4" w:space="0"/>
              <w:right w:val="single" w:color="auto" w:sz="4" w:space="0"/>
            </w:tcBorders>
            <w:noWrap/>
            <w:vAlign w:val="center"/>
          </w:tcPr>
          <w:p w14:paraId="1D49864C">
            <w:pPr>
              <w:kinsoku/>
              <w:wordWrap w:val="0"/>
              <w:spacing w:line="360" w:lineRule="auto"/>
              <w:jc w:val="both"/>
              <w:rPr>
                <w:rFonts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1</w:t>
            </w:r>
          </w:p>
        </w:tc>
        <w:tc>
          <w:tcPr>
            <w:tcW w:w="1985" w:type="dxa"/>
            <w:gridSpan w:val="2"/>
            <w:tcBorders>
              <w:top w:val="single" w:color="auto" w:sz="4" w:space="0"/>
              <w:left w:val="single" w:color="auto" w:sz="4" w:space="0"/>
              <w:bottom w:val="single" w:color="auto" w:sz="4" w:space="0"/>
              <w:right w:val="single" w:color="auto" w:sz="4" w:space="0"/>
            </w:tcBorders>
            <w:noWrap/>
            <w:vAlign w:val="bottom"/>
          </w:tcPr>
          <w:p w14:paraId="030FEFCF">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2775" w:type="dxa"/>
            <w:tcBorders>
              <w:top w:val="single" w:color="auto" w:sz="4" w:space="0"/>
              <w:left w:val="single" w:color="auto" w:sz="4" w:space="0"/>
              <w:bottom w:val="single" w:color="auto" w:sz="4" w:space="0"/>
              <w:right w:val="single" w:color="auto" w:sz="4" w:space="0"/>
            </w:tcBorders>
            <w:noWrap/>
            <w:vAlign w:val="bottom"/>
          </w:tcPr>
          <w:p w14:paraId="24FF3F73">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87" w:type="dxa"/>
            <w:tcBorders>
              <w:top w:val="single" w:color="auto" w:sz="4" w:space="0"/>
              <w:left w:val="single" w:color="auto" w:sz="4" w:space="0"/>
              <w:bottom w:val="single" w:color="auto" w:sz="4" w:space="0"/>
              <w:right w:val="single" w:color="auto" w:sz="4" w:space="0"/>
            </w:tcBorders>
            <w:noWrap/>
            <w:vAlign w:val="bottom"/>
          </w:tcPr>
          <w:p w14:paraId="2C1D5DC4">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02" w:type="dxa"/>
            <w:tcBorders>
              <w:top w:val="single" w:color="auto" w:sz="4" w:space="0"/>
              <w:left w:val="single" w:color="auto" w:sz="4" w:space="0"/>
              <w:bottom w:val="single" w:color="auto" w:sz="4" w:space="0"/>
              <w:right w:val="single" w:color="auto" w:sz="4" w:space="0"/>
            </w:tcBorders>
            <w:noWrap/>
            <w:vAlign w:val="bottom"/>
          </w:tcPr>
          <w:p w14:paraId="556ED23C">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38" w:type="dxa"/>
            <w:tcBorders>
              <w:top w:val="single" w:color="auto" w:sz="4" w:space="0"/>
              <w:left w:val="single" w:color="auto" w:sz="4" w:space="0"/>
              <w:bottom w:val="single" w:color="auto" w:sz="4" w:space="0"/>
              <w:right w:val="single" w:color="auto" w:sz="4" w:space="0"/>
            </w:tcBorders>
            <w:noWrap/>
            <w:vAlign w:val="bottom"/>
          </w:tcPr>
          <w:p w14:paraId="757FD236">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384" w:type="dxa"/>
            <w:tcBorders>
              <w:top w:val="single" w:color="auto" w:sz="4" w:space="0"/>
              <w:left w:val="single" w:color="auto" w:sz="4" w:space="0"/>
              <w:bottom w:val="single" w:color="auto" w:sz="4" w:space="0"/>
              <w:right w:val="single" w:color="auto" w:sz="4" w:space="0"/>
            </w:tcBorders>
            <w:noWrap/>
            <w:vAlign w:val="bottom"/>
          </w:tcPr>
          <w:p w14:paraId="74C029FD">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295" w:type="dxa"/>
            <w:tcBorders>
              <w:top w:val="single" w:color="auto" w:sz="4" w:space="0"/>
              <w:left w:val="single" w:color="auto" w:sz="4" w:space="0"/>
              <w:bottom w:val="single" w:color="auto" w:sz="4" w:space="0"/>
              <w:right w:val="single" w:color="auto" w:sz="4" w:space="0"/>
            </w:tcBorders>
            <w:noWrap/>
            <w:vAlign w:val="bottom"/>
          </w:tcPr>
          <w:p w14:paraId="17B2AEEB">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p w14:paraId="57964429">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r>
      <w:tr w14:paraId="63A589DE">
        <w:tblPrEx>
          <w:tblCellMar>
            <w:top w:w="0" w:type="dxa"/>
            <w:left w:w="108" w:type="dxa"/>
            <w:bottom w:w="0" w:type="dxa"/>
            <w:right w:w="108" w:type="dxa"/>
          </w:tblCellMar>
        </w:tblPrEx>
        <w:trPr>
          <w:trHeight w:val="533" w:hRule="exact"/>
        </w:trPr>
        <w:tc>
          <w:tcPr>
            <w:tcW w:w="1451" w:type="dxa"/>
            <w:tcBorders>
              <w:top w:val="single" w:color="auto" w:sz="4" w:space="0"/>
              <w:left w:val="single" w:color="auto" w:sz="4" w:space="0"/>
              <w:bottom w:val="single" w:color="auto" w:sz="4" w:space="0"/>
              <w:right w:val="single" w:color="auto" w:sz="4" w:space="0"/>
            </w:tcBorders>
            <w:noWrap/>
            <w:vAlign w:val="center"/>
          </w:tcPr>
          <w:p w14:paraId="78786961">
            <w:pPr>
              <w:kinsoku/>
              <w:wordWrap w:val="0"/>
              <w:spacing w:line="360" w:lineRule="auto"/>
              <w:jc w:val="both"/>
              <w:rPr>
                <w:rFonts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2</w:t>
            </w:r>
          </w:p>
        </w:tc>
        <w:tc>
          <w:tcPr>
            <w:tcW w:w="1985" w:type="dxa"/>
            <w:gridSpan w:val="2"/>
            <w:tcBorders>
              <w:top w:val="single" w:color="auto" w:sz="4" w:space="0"/>
              <w:left w:val="single" w:color="auto" w:sz="4" w:space="0"/>
              <w:bottom w:val="single" w:color="auto" w:sz="4" w:space="0"/>
              <w:right w:val="single" w:color="auto" w:sz="4" w:space="0"/>
            </w:tcBorders>
            <w:noWrap/>
            <w:vAlign w:val="bottom"/>
          </w:tcPr>
          <w:p w14:paraId="4E806849">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2775" w:type="dxa"/>
            <w:tcBorders>
              <w:top w:val="single" w:color="auto" w:sz="4" w:space="0"/>
              <w:left w:val="single" w:color="auto" w:sz="4" w:space="0"/>
              <w:bottom w:val="single" w:color="auto" w:sz="4" w:space="0"/>
              <w:right w:val="single" w:color="auto" w:sz="4" w:space="0"/>
            </w:tcBorders>
            <w:noWrap/>
            <w:vAlign w:val="bottom"/>
          </w:tcPr>
          <w:p w14:paraId="2F0E0FF3">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87" w:type="dxa"/>
            <w:tcBorders>
              <w:top w:val="single" w:color="auto" w:sz="4" w:space="0"/>
              <w:left w:val="single" w:color="auto" w:sz="4" w:space="0"/>
              <w:bottom w:val="single" w:color="auto" w:sz="4" w:space="0"/>
              <w:right w:val="single" w:color="auto" w:sz="4" w:space="0"/>
            </w:tcBorders>
            <w:noWrap/>
            <w:vAlign w:val="bottom"/>
          </w:tcPr>
          <w:p w14:paraId="2861ED44">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02" w:type="dxa"/>
            <w:tcBorders>
              <w:top w:val="single" w:color="auto" w:sz="4" w:space="0"/>
              <w:left w:val="single" w:color="auto" w:sz="4" w:space="0"/>
              <w:bottom w:val="single" w:color="auto" w:sz="4" w:space="0"/>
              <w:right w:val="single" w:color="auto" w:sz="4" w:space="0"/>
            </w:tcBorders>
            <w:noWrap/>
            <w:vAlign w:val="bottom"/>
          </w:tcPr>
          <w:p w14:paraId="3B40542A">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38" w:type="dxa"/>
            <w:tcBorders>
              <w:top w:val="single" w:color="auto" w:sz="4" w:space="0"/>
              <w:left w:val="single" w:color="auto" w:sz="4" w:space="0"/>
              <w:bottom w:val="single" w:color="auto" w:sz="4" w:space="0"/>
              <w:right w:val="single" w:color="auto" w:sz="4" w:space="0"/>
            </w:tcBorders>
            <w:noWrap/>
            <w:vAlign w:val="bottom"/>
          </w:tcPr>
          <w:p w14:paraId="0DB391B6">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384" w:type="dxa"/>
            <w:tcBorders>
              <w:top w:val="single" w:color="auto" w:sz="4" w:space="0"/>
              <w:left w:val="single" w:color="auto" w:sz="4" w:space="0"/>
              <w:bottom w:val="single" w:color="auto" w:sz="4" w:space="0"/>
              <w:right w:val="single" w:color="auto" w:sz="4" w:space="0"/>
            </w:tcBorders>
            <w:noWrap/>
            <w:vAlign w:val="bottom"/>
          </w:tcPr>
          <w:p w14:paraId="3B19A6CD">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295" w:type="dxa"/>
            <w:tcBorders>
              <w:top w:val="single" w:color="auto" w:sz="4" w:space="0"/>
              <w:left w:val="single" w:color="auto" w:sz="4" w:space="0"/>
              <w:bottom w:val="single" w:color="auto" w:sz="4" w:space="0"/>
              <w:right w:val="single" w:color="auto" w:sz="4" w:space="0"/>
            </w:tcBorders>
            <w:noWrap/>
            <w:vAlign w:val="bottom"/>
          </w:tcPr>
          <w:p w14:paraId="0DDBF75A">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p w14:paraId="5C67A131">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r>
      <w:tr w14:paraId="23486D2B">
        <w:tblPrEx>
          <w:tblCellMar>
            <w:top w:w="0" w:type="dxa"/>
            <w:left w:w="108" w:type="dxa"/>
            <w:bottom w:w="0" w:type="dxa"/>
            <w:right w:w="108" w:type="dxa"/>
          </w:tblCellMar>
        </w:tblPrEx>
        <w:trPr>
          <w:trHeight w:val="533" w:hRule="exact"/>
        </w:trPr>
        <w:tc>
          <w:tcPr>
            <w:tcW w:w="1451" w:type="dxa"/>
            <w:tcBorders>
              <w:top w:val="single" w:color="auto" w:sz="4" w:space="0"/>
              <w:left w:val="single" w:color="auto" w:sz="4" w:space="0"/>
              <w:bottom w:val="single" w:color="auto" w:sz="4" w:space="0"/>
              <w:right w:val="single" w:color="auto" w:sz="4" w:space="0"/>
            </w:tcBorders>
            <w:noWrap/>
            <w:vAlign w:val="center"/>
          </w:tcPr>
          <w:p w14:paraId="02D359C5">
            <w:pPr>
              <w:kinsoku/>
              <w:wordWrap w:val="0"/>
              <w:spacing w:line="360" w:lineRule="auto"/>
              <w:jc w:val="both"/>
              <w:rPr>
                <w:rFonts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3</w:t>
            </w:r>
          </w:p>
        </w:tc>
        <w:tc>
          <w:tcPr>
            <w:tcW w:w="1985" w:type="dxa"/>
            <w:gridSpan w:val="2"/>
            <w:tcBorders>
              <w:top w:val="single" w:color="auto" w:sz="4" w:space="0"/>
              <w:left w:val="single" w:color="auto" w:sz="4" w:space="0"/>
              <w:bottom w:val="single" w:color="auto" w:sz="4" w:space="0"/>
              <w:right w:val="single" w:color="auto" w:sz="4" w:space="0"/>
            </w:tcBorders>
            <w:noWrap/>
            <w:vAlign w:val="bottom"/>
          </w:tcPr>
          <w:p w14:paraId="1D6BF3BD">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2775" w:type="dxa"/>
            <w:tcBorders>
              <w:top w:val="single" w:color="auto" w:sz="4" w:space="0"/>
              <w:left w:val="single" w:color="auto" w:sz="4" w:space="0"/>
              <w:bottom w:val="single" w:color="auto" w:sz="4" w:space="0"/>
              <w:right w:val="single" w:color="auto" w:sz="4" w:space="0"/>
            </w:tcBorders>
            <w:noWrap/>
            <w:vAlign w:val="bottom"/>
          </w:tcPr>
          <w:p w14:paraId="3F838BD1">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87" w:type="dxa"/>
            <w:tcBorders>
              <w:top w:val="single" w:color="auto" w:sz="4" w:space="0"/>
              <w:left w:val="single" w:color="auto" w:sz="4" w:space="0"/>
              <w:bottom w:val="single" w:color="auto" w:sz="4" w:space="0"/>
              <w:right w:val="single" w:color="auto" w:sz="4" w:space="0"/>
            </w:tcBorders>
            <w:noWrap/>
            <w:vAlign w:val="bottom"/>
          </w:tcPr>
          <w:p w14:paraId="7FE60ADE">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02" w:type="dxa"/>
            <w:tcBorders>
              <w:top w:val="single" w:color="auto" w:sz="4" w:space="0"/>
              <w:left w:val="single" w:color="auto" w:sz="4" w:space="0"/>
              <w:bottom w:val="single" w:color="auto" w:sz="4" w:space="0"/>
              <w:right w:val="single" w:color="auto" w:sz="4" w:space="0"/>
            </w:tcBorders>
            <w:noWrap/>
            <w:vAlign w:val="bottom"/>
          </w:tcPr>
          <w:p w14:paraId="07980101">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38" w:type="dxa"/>
            <w:tcBorders>
              <w:top w:val="single" w:color="auto" w:sz="4" w:space="0"/>
              <w:left w:val="single" w:color="auto" w:sz="4" w:space="0"/>
              <w:bottom w:val="single" w:color="auto" w:sz="4" w:space="0"/>
              <w:right w:val="single" w:color="auto" w:sz="4" w:space="0"/>
            </w:tcBorders>
            <w:noWrap/>
            <w:vAlign w:val="bottom"/>
          </w:tcPr>
          <w:p w14:paraId="78C337CA">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384" w:type="dxa"/>
            <w:tcBorders>
              <w:top w:val="single" w:color="auto" w:sz="4" w:space="0"/>
              <w:left w:val="single" w:color="auto" w:sz="4" w:space="0"/>
              <w:bottom w:val="single" w:color="auto" w:sz="4" w:space="0"/>
              <w:right w:val="single" w:color="auto" w:sz="4" w:space="0"/>
            </w:tcBorders>
            <w:noWrap/>
            <w:vAlign w:val="bottom"/>
          </w:tcPr>
          <w:p w14:paraId="1BD55A43">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295" w:type="dxa"/>
            <w:tcBorders>
              <w:top w:val="single" w:color="auto" w:sz="4" w:space="0"/>
              <w:left w:val="single" w:color="auto" w:sz="4" w:space="0"/>
              <w:bottom w:val="single" w:color="auto" w:sz="4" w:space="0"/>
              <w:right w:val="single" w:color="auto" w:sz="4" w:space="0"/>
            </w:tcBorders>
            <w:noWrap/>
            <w:vAlign w:val="bottom"/>
          </w:tcPr>
          <w:p w14:paraId="41E9B187">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p w14:paraId="3E502F1E">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r>
      <w:tr w14:paraId="2DE2DCA3">
        <w:tblPrEx>
          <w:tblCellMar>
            <w:top w:w="0" w:type="dxa"/>
            <w:left w:w="108" w:type="dxa"/>
            <w:bottom w:w="0" w:type="dxa"/>
            <w:right w:w="108" w:type="dxa"/>
          </w:tblCellMar>
        </w:tblPrEx>
        <w:trPr>
          <w:trHeight w:val="533" w:hRule="exact"/>
        </w:trPr>
        <w:tc>
          <w:tcPr>
            <w:tcW w:w="1451" w:type="dxa"/>
            <w:tcBorders>
              <w:top w:val="single" w:color="auto" w:sz="4" w:space="0"/>
              <w:left w:val="single" w:color="auto" w:sz="4" w:space="0"/>
              <w:bottom w:val="single" w:color="auto" w:sz="4" w:space="0"/>
              <w:right w:val="single" w:color="auto" w:sz="4" w:space="0"/>
            </w:tcBorders>
            <w:noWrap/>
            <w:vAlign w:val="center"/>
          </w:tcPr>
          <w:p w14:paraId="311A4EDD">
            <w:pPr>
              <w:kinsoku/>
              <w:wordWrap w:val="0"/>
              <w:spacing w:line="360" w:lineRule="auto"/>
              <w:jc w:val="both"/>
              <w:rPr>
                <w:rFonts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4</w:t>
            </w:r>
          </w:p>
        </w:tc>
        <w:tc>
          <w:tcPr>
            <w:tcW w:w="1985" w:type="dxa"/>
            <w:gridSpan w:val="2"/>
            <w:tcBorders>
              <w:top w:val="single" w:color="auto" w:sz="4" w:space="0"/>
              <w:left w:val="single" w:color="auto" w:sz="4" w:space="0"/>
              <w:bottom w:val="single" w:color="auto" w:sz="4" w:space="0"/>
              <w:right w:val="single" w:color="auto" w:sz="4" w:space="0"/>
            </w:tcBorders>
            <w:noWrap/>
            <w:vAlign w:val="bottom"/>
          </w:tcPr>
          <w:p w14:paraId="247CDD75">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2775" w:type="dxa"/>
            <w:tcBorders>
              <w:top w:val="single" w:color="auto" w:sz="4" w:space="0"/>
              <w:left w:val="single" w:color="auto" w:sz="4" w:space="0"/>
              <w:bottom w:val="single" w:color="auto" w:sz="4" w:space="0"/>
              <w:right w:val="single" w:color="auto" w:sz="4" w:space="0"/>
            </w:tcBorders>
            <w:noWrap/>
            <w:vAlign w:val="bottom"/>
          </w:tcPr>
          <w:p w14:paraId="773AAB8A">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87" w:type="dxa"/>
            <w:tcBorders>
              <w:top w:val="single" w:color="auto" w:sz="4" w:space="0"/>
              <w:left w:val="single" w:color="auto" w:sz="4" w:space="0"/>
              <w:bottom w:val="single" w:color="auto" w:sz="4" w:space="0"/>
              <w:right w:val="single" w:color="auto" w:sz="4" w:space="0"/>
            </w:tcBorders>
            <w:noWrap/>
            <w:vAlign w:val="bottom"/>
          </w:tcPr>
          <w:p w14:paraId="0CC79D6C">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02" w:type="dxa"/>
            <w:tcBorders>
              <w:top w:val="single" w:color="auto" w:sz="4" w:space="0"/>
              <w:left w:val="single" w:color="auto" w:sz="4" w:space="0"/>
              <w:bottom w:val="single" w:color="auto" w:sz="4" w:space="0"/>
              <w:right w:val="single" w:color="auto" w:sz="4" w:space="0"/>
            </w:tcBorders>
            <w:noWrap/>
            <w:vAlign w:val="bottom"/>
          </w:tcPr>
          <w:p w14:paraId="4859894B">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38" w:type="dxa"/>
            <w:tcBorders>
              <w:top w:val="single" w:color="auto" w:sz="4" w:space="0"/>
              <w:left w:val="single" w:color="auto" w:sz="4" w:space="0"/>
              <w:bottom w:val="single" w:color="auto" w:sz="4" w:space="0"/>
              <w:right w:val="single" w:color="auto" w:sz="4" w:space="0"/>
            </w:tcBorders>
            <w:noWrap/>
            <w:vAlign w:val="bottom"/>
          </w:tcPr>
          <w:p w14:paraId="0DD2DC9E">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384" w:type="dxa"/>
            <w:tcBorders>
              <w:top w:val="single" w:color="auto" w:sz="4" w:space="0"/>
              <w:left w:val="single" w:color="auto" w:sz="4" w:space="0"/>
              <w:bottom w:val="single" w:color="auto" w:sz="4" w:space="0"/>
              <w:right w:val="single" w:color="auto" w:sz="4" w:space="0"/>
            </w:tcBorders>
            <w:noWrap/>
            <w:vAlign w:val="bottom"/>
          </w:tcPr>
          <w:p w14:paraId="1E0C3DED">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295" w:type="dxa"/>
            <w:tcBorders>
              <w:top w:val="single" w:color="auto" w:sz="4" w:space="0"/>
              <w:left w:val="single" w:color="auto" w:sz="4" w:space="0"/>
              <w:bottom w:val="single" w:color="auto" w:sz="4" w:space="0"/>
              <w:right w:val="single" w:color="auto" w:sz="4" w:space="0"/>
            </w:tcBorders>
            <w:noWrap/>
            <w:vAlign w:val="bottom"/>
          </w:tcPr>
          <w:p w14:paraId="0E624B0E">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p w14:paraId="35A24F36">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r>
      <w:tr w14:paraId="1E842EFE">
        <w:tblPrEx>
          <w:tblCellMar>
            <w:top w:w="0" w:type="dxa"/>
            <w:left w:w="108" w:type="dxa"/>
            <w:bottom w:w="0" w:type="dxa"/>
            <w:right w:w="108" w:type="dxa"/>
          </w:tblCellMar>
        </w:tblPrEx>
        <w:trPr>
          <w:trHeight w:val="533" w:hRule="exact"/>
        </w:trPr>
        <w:tc>
          <w:tcPr>
            <w:tcW w:w="1451" w:type="dxa"/>
            <w:tcBorders>
              <w:top w:val="single" w:color="auto" w:sz="4" w:space="0"/>
              <w:left w:val="single" w:color="auto" w:sz="4" w:space="0"/>
              <w:bottom w:val="single" w:color="auto" w:sz="4" w:space="0"/>
              <w:right w:val="single" w:color="auto" w:sz="4" w:space="0"/>
            </w:tcBorders>
            <w:noWrap/>
            <w:vAlign w:val="center"/>
          </w:tcPr>
          <w:p w14:paraId="40B59724">
            <w:pPr>
              <w:kinsoku/>
              <w:wordWrap w:val="0"/>
              <w:spacing w:line="360" w:lineRule="auto"/>
              <w:jc w:val="both"/>
              <w:rPr>
                <w:rFonts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w:t>
            </w:r>
          </w:p>
        </w:tc>
        <w:tc>
          <w:tcPr>
            <w:tcW w:w="1985" w:type="dxa"/>
            <w:gridSpan w:val="2"/>
            <w:tcBorders>
              <w:top w:val="single" w:color="auto" w:sz="4" w:space="0"/>
              <w:left w:val="single" w:color="auto" w:sz="4" w:space="0"/>
              <w:bottom w:val="single" w:color="auto" w:sz="4" w:space="0"/>
              <w:right w:val="single" w:color="auto" w:sz="4" w:space="0"/>
            </w:tcBorders>
            <w:noWrap/>
            <w:vAlign w:val="bottom"/>
          </w:tcPr>
          <w:p w14:paraId="6C641C44">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2775" w:type="dxa"/>
            <w:tcBorders>
              <w:top w:val="single" w:color="auto" w:sz="4" w:space="0"/>
              <w:left w:val="single" w:color="auto" w:sz="4" w:space="0"/>
              <w:bottom w:val="single" w:color="auto" w:sz="4" w:space="0"/>
              <w:right w:val="single" w:color="auto" w:sz="4" w:space="0"/>
            </w:tcBorders>
            <w:noWrap/>
            <w:vAlign w:val="bottom"/>
          </w:tcPr>
          <w:p w14:paraId="15CB8948">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87" w:type="dxa"/>
            <w:tcBorders>
              <w:top w:val="single" w:color="auto" w:sz="4" w:space="0"/>
              <w:left w:val="single" w:color="auto" w:sz="4" w:space="0"/>
              <w:bottom w:val="single" w:color="auto" w:sz="4" w:space="0"/>
              <w:right w:val="single" w:color="auto" w:sz="4" w:space="0"/>
            </w:tcBorders>
            <w:noWrap/>
            <w:vAlign w:val="bottom"/>
          </w:tcPr>
          <w:p w14:paraId="06F8FD75">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02" w:type="dxa"/>
            <w:tcBorders>
              <w:top w:val="single" w:color="auto" w:sz="4" w:space="0"/>
              <w:left w:val="single" w:color="auto" w:sz="4" w:space="0"/>
              <w:bottom w:val="single" w:color="auto" w:sz="4" w:space="0"/>
              <w:right w:val="single" w:color="auto" w:sz="4" w:space="0"/>
            </w:tcBorders>
            <w:noWrap/>
            <w:vAlign w:val="bottom"/>
          </w:tcPr>
          <w:p w14:paraId="4C7CFA0F">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38" w:type="dxa"/>
            <w:tcBorders>
              <w:top w:val="single" w:color="auto" w:sz="4" w:space="0"/>
              <w:left w:val="single" w:color="auto" w:sz="4" w:space="0"/>
              <w:bottom w:val="single" w:color="auto" w:sz="4" w:space="0"/>
              <w:right w:val="single" w:color="auto" w:sz="4" w:space="0"/>
            </w:tcBorders>
            <w:noWrap/>
            <w:vAlign w:val="bottom"/>
          </w:tcPr>
          <w:p w14:paraId="0C584168">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384" w:type="dxa"/>
            <w:tcBorders>
              <w:top w:val="single" w:color="auto" w:sz="4" w:space="0"/>
              <w:left w:val="single" w:color="auto" w:sz="4" w:space="0"/>
              <w:bottom w:val="single" w:color="auto" w:sz="4" w:space="0"/>
              <w:right w:val="single" w:color="auto" w:sz="4" w:space="0"/>
            </w:tcBorders>
            <w:noWrap/>
            <w:vAlign w:val="bottom"/>
          </w:tcPr>
          <w:p w14:paraId="246D4FA9">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295" w:type="dxa"/>
            <w:tcBorders>
              <w:top w:val="single" w:color="auto" w:sz="4" w:space="0"/>
              <w:left w:val="single" w:color="auto" w:sz="4" w:space="0"/>
              <w:bottom w:val="single" w:color="auto" w:sz="4" w:space="0"/>
              <w:right w:val="single" w:color="auto" w:sz="4" w:space="0"/>
            </w:tcBorders>
            <w:noWrap/>
            <w:vAlign w:val="bottom"/>
          </w:tcPr>
          <w:p w14:paraId="7EB34DC9">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r>
      <w:tr w14:paraId="497BB0EE">
        <w:tblPrEx>
          <w:tblCellMar>
            <w:top w:w="0" w:type="dxa"/>
            <w:left w:w="108" w:type="dxa"/>
            <w:bottom w:w="0" w:type="dxa"/>
            <w:right w:w="108" w:type="dxa"/>
          </w:tblCellMar>
        </w:tblPrEx>
        <w:trPr>
          <w:trHeight w:val="533" w:hRule="exact"/>
        </w:trPr>
        <w:tc>
          <w:tcPr>
            <w:tcW w:w="1451" w:type="dxa"/>
            <w:tcBorders>
              <w:top w:val="single" w:color="auto" w:sz="4" w:space="0"/>
              <w:left w:val="single" w:color="auto" w:sz="4" w:space="0"/>
              <w:bottom w:val="single" w:color="auto" w:sz="4" w:space="0"/>
              <w:right w:val="single" w:color="auto" w:sz="4" w:space="0"/>
            </w:tcBorders>
            <w:noWrap/>
            <w:vAlign w:val="center"/>
          </w:tcPr>
          <w:p w14:paraId="33DA804D">
            <w:pPr>
              <w:kinsoku/>
              <w:wordWrap w:val="0"/>
              <w:spacing w:line="360" w:lineRule="auto"/>
              <w:jc w:val="both"/>
              <w:rPr>
                <w:rFonts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w:t>
            </w:r>
          </w:p>
        </w:tc>
        <w:tc>
          <w:tcPr>
            <w:tcW w:w="1985" w:type="dxa"/>
            <w:gridSpan w:val="2"/>
            <w:tcBorders>
              <w:top w:val="single" w:color="auto" w:sz="4" w:space="0"/>
              <w:left w:val="single" w:color="auto" w:sz="4" w:space="0"/>
              <w:bottom w:val="single" w:color="auto" w:sz="4" w:space="0"/>
              <w:right w:val="single" w:color="auto" w:sz="4" w:space="0"/>
            </w:tcBorders>
            <w:noWrap/>
            <w:vAlign w:val="bottom"/>
          </w:tcPr>
          <w:p w14:paraId="136D374E">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2775" w:type="dxa"/>
            <w:tcBorders>
              <w:top w:val="single" w:color="auto" w:sz="4" w:space="0"/>
              <w:left w:val="single" w:color="auto" w:sz="4" w:space="0"/>
              <w:bottom w:val="single" w:color="auto" w:sz="4" w:space="0"/>
              <w:right w:val="single" w:color="auto" w:sz="4" w:space="0"/>
            </w:tcBorders>
            <w:noWrap/>
            <w:vAlign w:val="bottom"/>
          </w:tcPr>
          <w:p w14:paraId="611281CF">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87" w:type="dxa"/>
            <w:tcBorders>
              <w:top w:val="single" w:color="auto" w:sz="4" w:space="0"/>
              <w:left w:val="single" w:color="auto" w:sz="4" w:space="0"/>
              <w:bottom w:val="single" w:color="auto" w:sz="4" w:space="0"/>
              <w:right w:val="single" w:color="auto" w:sz="4" w:space="0"/>
            </w:tcBorders>
            <w:noWrap/>
            <w:vAlign w:val="bottom"/>
          </w:tcPr>
          <w:p w14:paraId="79017586">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02" w:type="dxa"/>
            <w:tcBorders>
              <w:top w:val="single" w:color="auto" w:sz="4" w:space="0"/>
              <w:left w:val="single" w:color="auto" w:sz="4" w:space="0"/>
              <w:bottom w:val="single" w:color="auto" w:sz="4" w:space="0"/>
              <w:right w:val="single" w:color="auto" w:sz="4" w:space="0"/>
            </w:tcBorders>
            <w:noWrap/>
            <w:vAlign w:val="bottom"/>
          </w:tcPr>
          <w:p w14:paraId="22F4E1FC">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38" w:type="dxa"/>
            <w:tcBorders>
              <w:top w:val="single" w:color="auto" w:sz="4" w:space="0"/>
              <w:left w:val="single" w:color="auto" w:sz="4" w:space="0"/>
              <w:bottom w:val="single" w:color="auto" w:sz="4" w:space="0"/>
              <w:right w:val="single" w:color="auto" w:sz="4" w:space="0"/>
            </w:tcBorders>
            <w:noWrap/>
            <w:vAlign w:val="bottom"/>
          </w:tcPr>
          <w:p w14:paraId="2117A345">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384" w:type="dxa"/>
            <w:tcBorders>
              <w:top w:val="single" w:color="auto" w:sz="4" w:space="0"/>
              <w:left w:val="single" w:color="auto" w:sz="4" w:space="0"/>
              <w:bottom w:val="single" w:color="auto" w:sz="4" w:space="0"/>
              <w:right w:val="single" w:color="auto" w:sz="4" w:space="0"/>
            </w:tcBorders>
            <w:noWrap/>
            <w:vAlign w:val="bottom"/>
          </w:tcPr>
          <w:p w14:paraId="72774B0F">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295" w:type="dxa"/>
            <w:tcBorders>
              <w:top w:val="single" w:color="auto" w:sz="4" w:space="0"/>
              <w:left w:val="single" w:color="auto" w:sz="4" w:space="0"/>
              <w:bottom w:val="single" w:color="auto" w:sz="4" w:space="0"/>
              <w:right w:val="single" w:color="auto" w:sz="4" w:space="0"/>
            </w:tcBorders>
            <w:noWrap/>
            <w:vAlign w:val="bottom"/>
          </w:tcPr>
          <w:p w14:paraId="28FAC567">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p w14:paraId="3D1D3801">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r>
      <w:tr w14:paraId="3417A974">
        <w:tblPrEx>
          <w:tblCellMar>
            <w:top w:w="0" w:type="dxa"/>
            <w:left w:w="108" w:type="dxa"/>
            <w:bottom w:w="0" w:type="dxa"/>
            <w:right w:w="108" w:type="dxa"/>
          </w:tblCellMar>
        </w:tblPrEx>
        <w:trPr>
          <w:trHeight w:val="533" w:hRule="exact"/>
        </w:trPr>
        <w:tc>
          <w:tcPr>
            <w:tcW w:w="1451" w:type="dxa"/>
            <w:tcBorders>
              <w:top w:val="single" w:color="auto" w:sz="4" w:space="0"/>
              <w:left w:val="single" w:color="auto" w:sz="4" w:space="0"/>
              <w:bottom w:val="single" w:color="auto" w:sz="4" w:space="0"/>
              <w:right w:val="single" w:color="auto" w:sz="4" w:space="0"/>
            </w:tcBorders>
            <w:noWrap/>
            <w:vAlign w:val="center"/>
          </w:tcPr>
          <w:p w14:paraId="0139C556">
            <w:pPr>
              <w:kinsoku/>
              <w:wordWrap w:val="0"/>
              <w:spacing w:line="360" w:lineRule="auto"/>
              <w:jc w:val="both"/>
              <w:rPr>
                <w:rFonts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w:t>
            </w:r>
          </w:p>
        </w:tc>
        <w:tc>
          <w:tcPr>
            <w:tcW w:w="1985" w:type="dxa"/>
            <w:gridSpan w:val="2"/>
            <w:tcBorders>
              <w:top w:val="single" w:color="auto" w:sz="4" w:space="0"/>
              <w:left w:val="single" w:color="auto" w:sz="4" w:space="0"/>
              <w:bottom w:val="single" w:color="auto" w:sz="4" w:space="0"/>
              <w:right w:val="single" w:color="auto" w:sz="4" w:space="0"/>
            </w:tcBorders>
            <w:noWrap/>
            <w:vAlign w:val="bottom"/>
          </w:tcPr>
          <w:p w14:paraId="3446D5C6">
            <w:pPr>
              <w:kinsoku/>
              <w:wordWrap w:val="0"/>
              <w:spacing w:line="360" w:lineRule="auto"/>
              <w:ind w:firstLine="567"/>
              <w:jc w:val="both"/>
              <w:rPr>
                <w:rFonts w:hint="default" w:asciiTheme="minorEastAsia" w:hAnsiTheme="minorEastAsia" w:eastAsiaTheme="minorEastAsia" w:cstheme="minorEastAsia"/>
                <w:color w:val="auto"/>
                <w:sz w:val="28"/>
                <w:szCs w:val="28"/>
                <w:highlight w:val="none"/>
                <w:lang w:val="en-US" w:eastAsia="zh-CN"/>
              </w:rPr>
            </w:pPr>
          </w:p>
        </w:tc>
        <w:tc>
          <w:tcPr>
            <w:tcW w:w="2775" w:type="dxa"/>
            <w:tcBorders>
              <w:top w:val="single" w:color="auto" w:sz="4" w:space="0"/>
              <w:left w:val="single" w:color="auto" w:sz="4" w:space="0"/>
              <w:bottom w:val="single" w:color="auto" w:sz="4" w:space="0"/>
              <w:right w:val="single" w:color="auto" w:sz="4" w:space="0"/>
            </w:tcBorders>
            <w:noWrap/>
            <w:vAlign w:val="bottom"/>
          </w:tcPr>
          <w:p w14:paraId="47B89B7A">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87" w:type="dxa"/>
            <w:tcBorders>
              <w:top w:val="single" w:color="auto" w:sz="4" w:space="0"/>
              <w:left w:val="single" w:color="auto" w:sz="4" w:space="0"/>
              <w:bottom w:val="single" w:color="auto" w:sz="4" w:space="0"/>
              <w:right w:val="single" w:color="auto" w:sz="4" w:space="0"/>
            </w:tcBorders>
            <w:noWrap/>
            <w:vAlign w:val="bottom"/>
          </w:tcPr>
          <w:p w14:paraId="2E31475C">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02" w:type="dxa"/>
            <w:tcBorders>
              <w:top w:val="single" w:color="auto" w:sz="4" w:space="0"/>
              <w:left w:val="single" w:color="auto" w:sz="4" w:space="0"/>
              <w:bottom w:val="single" w:color="auto" w:sz="4" w:space="0"/>
              <w:right w:val="single" w:color="auto" w:sz="4" w:space="0"/>
            </w:tcBorders>
            <w:noWrap/>
            <w:vAlign w:val="bottom"/>
          </w:tcPr>
          <w:p w14:paraId="01FCFFDD">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38" w:type="dxa"/>
            <w:tcBorders>
              <w:top w:val="single" w:color="auto" w:sz="4" w:space="0"/>
              <w:left w:val="single" w:color="auto" w:sz="4" w:space="0"/>
              <w:bottom w:val="single" w:color="auto" w:sz="4" w:space="0"/>
              <w:right w:val="single" w:color="auto" w:sz="4" w:space="0"/>
            </w:tcBorders>
            <w:noWrap/>
            <w:vAlign w:val="bottom"/>
          </w:tcPr>
          <w:p w14:paraId="2F10EBF3">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384" w:type="dxa"/>
            <w:tcBorders>
              <w:top w:val="single" w:color="auto" w:sz="4" w:space="0"/>
              <w:left w:val="single" w:color="auto" w:sz="4" w:space="0"/>
              <w:bottom w:val="single" w:color="auto" w:sz="4" w:space="0"/>
              <w:right w:val="single" w:color="auto" w:sz="4" w:space="0"/>
            </w:tcBorders>
            <w:noWrap/>
            <w:vAlign w:val="bottom"/>
          </w:tcPr>
          <w:p w14:paraId="6FA2798A">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295" w:type="dxa"/>
            <w:tcBorders>
              <w:top w:val="single" w:color="auto" w:sz="4" w:space="0"/>
              <w:left w:val="single" w:color="auto" w:sz="4" w:space="0"/>
              <w:bottom w:val="single" w:color="auto" w:sz="4" w:space="0"/>
              <w:right w:val="single" w:color="auto" w:sz="4" w:space="0"/>
            </w:tcBorders>
            <w:noWrap/>
            <w:vAlign w:val="bottom"/>
          </w:tcPr>
          <w:p w14:paraId="5777DA6E">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r>
      <w:tr w14:paraId="3F23FBFC">
        <w:tblPrEx>
          <w:tblCellMar>
            <w:top w:w="0" w:type="dxa"/>
            <w:left w:w="108" w:type="dxa"/>
            <w:bottom w:w="0" w:type="dxa"/>
            <w:right w:w="108" w:type="dxa"/>
          </w:tblCellMar>
        </w:tblPrEx>
        <w:trPr>
          <w:trHeight w:val="552" w:hRule="atLeast"/>
        </w:trPr>
        <w:tc>
          <w:tcPr>
            <w:tcW w:w="13217" w:type="dxa"/>
            <w:gridSpan w:val="9"/>
            <w:tcBorders>
              <w:top w:val="single" w:color="auto" w:sz="4" w:space="0"/>
              <w:left w:val="single" w:color="auto" w:sz="4" w:space="0"/>
              <w:bottom w:val="single" w:color="auto" w:sz="4" w:space="0"/>
              <w:right w:val="single" w:color="auto" w:sz="4" w:space="0"/>
            </w:tcBorders>
            <w:noWrap/>
            <w:vAlign w:val="center"/>
          </w:tcPr>
          <w:p w14:paraId="64A52607">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投标报价金额合计（大写）：</w:t>
            </w:r>
          </w:p>
        </w:tc>
      </w:tr>
    </w:tbl>
    <w:p w14:paraId="46865D8E">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p>
    <w:p w14:paraId="3F7679A9">
      <w:pPr>
        <w:kinsoku/>
        <w:wordWrap w:val="0"/>
        <w:spacing w:line="360" w:lineRule="auto"/>
        <w:ind w:firstLine="240" w:firstLineChars="100"/>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法定代表人（负责人）或授权代表（签字）：日期：</w:t>
      </w:r>
      <w:r>
        <w:rPr>
          <w:rFonts w:hint="eastAsia" w:asciiTheme="minorEastAsia" w:hAnsiTheme="minorEastAsia" w:eastAsiaTheme="minorEastAsia" w:cstheme="minorEastAsia"/>
          <w:color w:val="auto"/>
          <w:spacing w:val="-8"/>
          <w:sz w:val="24"/>
          <w:szCs w:val="24"/>
          <w:highlight w:val="none"/>
          <w:lang w:eastAsia="zh-CN"/>
        </w:rPr>
        <w:t>年月日</w:t>
      </w:r>
    </w:p>
    <w:p w14:paraId="251F18E6">
      <w:pPr>
        <w:kinsoku/>
        <w:wordWrap w:val="0"/>
        <w:spacing w:line="360" w:lineRule="auto"/>
        <w:ind w:firstLine="240" w:firstLineChars="100"/>
        <w:jc w:val="both"/>
        <w:rPr>
          <w:rFonts w:asciiTheme="minorEastAsia" w:hAnsiTheme="minorEastAsia" w:eastAsiaTheme="minorEastAsia" w:cstheme="minorEastAsia"/>
          <w:color w:val="auto"/>
          <w:sz w:val="24"/>
          <w:szCs w:val="24"/>
          <w:highlight w:val="none"/>
          <w:lang w:eastAsia="zh-CN"/>
        </w:rPr>
      </w:pPr>
    </w:p>
    <w:p w14:paraId="616F5BDF">
      <w:pPr>
        <w:kinsoku/>
        <w:wordWrap w:val="0"/>
        <w:spacing w:line="360" w:lineRule="auto"/>
        <w:ind w:firstLine="240" w:firstLineChars="100"/>
        <w:jc w:val="both"/>
        <w:rPr>
          <w:rFonts w:asciiTheme="minorEastAsia" w:hAnsiTheme="minorEastAsia" w:eastAsiaTheme="minorEastAsia" w:cstheme="minorEastAsia"/>
          <w:color w:val="auto"/>
          <w:sz w:val="24"/>
          <w:szCs w:val="24"/>
          <w:highlight w:val="none"/>
          <w:lang w:eastAsia="zh-CN"/>
        </w:rPr>
        <w:sectPr>
          <w:pgSz w:w="16840" w:h="11907" w:orient="landscape"/>
          <w:pgMar w:top="1440" w:right="1800" w:bottom="1440" w:left="1800" w:header="851" w:footer="992" w:gutter="0"/>
          <w:cols w:space="720" w:num="1"/>
          <w:docGrid w:linePitch="332" w:charSpace="0"/>
        </w:sectPr>
      </w:pPr>
    </w:p>
    <w:p w14:paraId="0A4D6D5D">
      <w:pPr>
        <w:kinsoku/>
        <w:wordWrap w:val="0"/>
        <w:jc w:val="both"/>
        <w:rPr>
          <w:rFonts w:asciiTheme="minorEastAsia" w:hAnsiTheme="minorEastAsia" w:eastAsiaTheme="minorEastAsia" w:cstheme="minorEastAsia"/>
          <w:b/>
          <w:color w:val="auto"/>
          <w:sz w:val="24"/>
          <w:szCs w:val="24"/>
          <w:highlight w:val="none"/>
          <w:lang w:eastAsia="zh-CN"/>
        </w:rPr>
      </w:pPr>
    </w:p>
    <w:p w14:paraId="7E809A94">
      <w:pPr>
        <w:kinsoku/>
        <w:wordWrap w:val="0"/>
        <w:spacing w:line="360" w:lineRule="auto"/>
        <w:jc w:val="both"/>
        <w:rPr>
          <w:rFonts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3.主要设备技术指标及技术性能说明</w:t>
      </w:r>
    </w:p>
    <w:p w14:paraId="72BE1BBA">
      <w:pPr>
        <w:kinsoku/>
        <w:wordWrap w:val="0"/>
        <w:spacing w:line="360" w:lineRule="auto"/>
        <w:jc w:val="both"/>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4.项目供货方案、培训计划等</w:t>
      </w:r>
    </w:p>
    <w:p w14:paraId="31FECED5">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5.技术偏差情况</w:t>
      </w:r>
    </w:p>
    <w:p w14:paraId="71574705">
      <w:pPr>
        <w:pStyle w:val="4"/>
        <w:kinsoku/>
        <w:wordWrap w:val="0"/>
        <w:jc w:val="both"/>
        <w:rPr>
          <w:rFonts w:asciiTheme="minorEastAsia" w:hAnsiTheme="minorEastAsia" w:eastAsiaTheme="minorEastAsia" w:cstheme="minorEastAsia"/>
          <w:color w:val="auto"/>
          <w:sz w:val="24"/>
          <w:szCs w:val="24"/>
          <w:highlight w:val="none"/>
          <w:lang w:bidi="en-US"/>
        </w:rPr>
      </w:pPr>
    </w:p>
    <w:p w14:paraId="1E323810">
      <w:pPr>
        <w:kinsoku/>
        <w:wordWrap w:val="0"/>
        <w:spacing w:line="240" w:lineRule="atLeast"/>
        <w:jc w:val="both"/>
        <w:rPr>
          <w:rFonts w:asciiTheme="minorEastAsia" w:hAnsiTheme="minorEastAsia" w:eastAsiaTheme="minorEastAsia" w:cstheme="minorEastAsia"/>
          <w:b/>
          <w:bCs/>
          <w:color w:val="auto"/>
          <w:sz w:val="24"/>
          <w:szCs w:val="24"/>
          <w:highlight w:val="none"/>
          <w:lang w:eastAsia="zh-CN"/>
        </w:rPr>
      </w:pPr>
    </w:p>
    <w:p w14:paraId="3A58665C">
      <w:pPr>
        <w:kinsoku/>
        <w:wordWrap w:val="0"/>
        <w:spacing w:line="240" w:lineRule="atLeast"/>
        <w:jc w:val="center"/>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技术规格偏离表</w:t>
      </w:r>
    </w:p>
    <w:p w14:paraId="0D27429A">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p w14:paraId="0D1245DB">
      <w:pPr>
        <w:kinsoku/>
        <w:wordWrap w:val="0"/>
        <w:spacing w:line="240" w:lineRule="atLeast"/>
        <w:ind w:left="1203" w:leftChars="485" w:hanging="136" w:hangingChars="57"/>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项目名称:项目编号:</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81"/>
        <w:gridCol w:w="1418"/>
        <w:gridCol w:w="1337"/>
        <w:gridCol w:w="1276"/>
        <w:gridCol w:w="1214"/>
      </w:tblGrid>
      <w:tr w14:paraId="1F2E1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ign w:val="center"/>
          </w:tcPr>
          <w:p w14:paraId="08448106">
            <w:pPr>
              <w:kinsoku/>
              <w:wordWrap w:val="0"/>
              <w:spacing w:line="240" w:lineRule="atLeast"/>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序号</w:t>
            </w:r>
          </w:p>
        </w:tc>
        <w:tc>
          <w:tcPr>
            <w:tcW w:w="1381" w:type="dxa"/>
            <w:tcBorders>
              <w:top w:val="single" w:color="auto" w:sz="4" w:space="0"/>
              <w:left w:val="single" w:color="auto" w:sz="4" w:space="0"/>
              <w:bottom w:val="single" w:color="auto" w:sz="4" w:space="0"/>
              <w:right w:val="single" w:color="auto" w:sz="4" w:space="0"/>
            </w:tcBorders>
            <w:noWrap/>
            <w:vAlign w:val="center"/>
          </w:tcPr>
          <w:p w14:paraId="7EB6DDFE">
            <w:pPr>
              <w:kinsoku/>
              <w:wordWrap w:val="0"/>
              <w:spacing w:line="240" w:lineRule="atLeast"/>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货物名称</w:t>
            </w:r>
          </w:p>
        </w:tc>
        <w:tc>
          <w:tcPr>
            <w:tcW w:w="1418" w:type="dxa"/>
            <w:tcBorders>
              <w:top w:val="single" w:color="auto" w:sz="4" w:space="0"/>
              <w:left w:val="single" w:color="auto" w:sz="4" w:space="0"/>
              <w:bottom w:val="single" w:color="auto" w:sz="4" w:space="0"/>
              <w:right w:val="single" w:color="auto" w:sz="4" w:space="0"/>
            </w:tcBorders>
            <w:noWrap/>
            <w:vAlign w:val="center"/>
          </w:tcPr>
          <w:p w14:paraId="5E034C26">
            <w:pPr>
              <w:kinsoku/>
              <w:wordWrap w:val="0"/>
              <w:spacing w:line="240" w:lineRule="atLeast"/>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招标规格</w:t>
            </w:r>
          </w:p>
        </w:tc>
        <w:tc>
          <w:tcPr>
            <w:tcW w:w="1337" w:type="dxa"/>
            <w:tcBorders>
              <w:top w:val="single" w:color="auto" w:sz="4" w:space="0"/>
              <w:left w:val="single" w:color="auto" w:sz="4" w:space="0"/>
              <w:bottom w:val="single" w:color="auto" w:sz="4" w:space="0"/>
              <w:right w:val="single" w:color="auto" w:sz="4" w:space="0"/>
            </w:tcBorders>
            <w:noWrap/>
            <w:vAlign w:val="center"/>
          </w:tcPr>
          <w:p w14:paraId="066684AC">
            <w:pPr>
              <w:kinsoku/>
              <w:wordWrap w:val="0"/>
              <w:spacing w:line="240" w:lineRule="atLeast"/>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投标规格</w:t>
            </w:r>
          </w:p>
        </w:tc>
        <w:tc>
          <w:tcPr>
            <w:tcW w:w="1276" w:type="dxa"/>
            <w:tcBorders>
              <w:top w:val="single" w:color="auto" w:sz="4" w:space="0"/>
              <w:left w:val="single" w:color="auto" w:sz="4" w:space="0"/>
              <w:bottom w:val="single" w:color="auto" w:sz="4" w:space="0"/>
              <w:right w:val="single" w:color="auto" w:sz="4" w:space="0"/>
            </w:tcBorders>
            <w:noWrap/>
            <w:vAlign w:val="center"/>
          </w:tcPr>
          <w:p w14:paraId="76504C26">
            <w:pPr>
              <w:kinsoku/>
              <w:wordWrap w:val="0"/>
              <w:spacing w:line="240" w:lineRule="atLeast"/>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偏离</w:t>
            </w:r>
          </w:p>
        </w:tc>
        <w:tc>
          <w:tcPr>
            <w:tcW w:w="1214" w:type="dxa"/>
            <w:tcBorders>
              <w:top w:val="single" w:color="auto" w:sz="4" w:space="0"/>
              <w:left w:val="single" w:color="auto" w:sz="4" w:space="0"/>
              <w:bottom w:val="single" w:color="auto" w:sz="4" w:space="0"/>
              <w:right w:val="single" w:color="auto" w:sz="4" w:space="0"/>
            </w:tcBorders>
            <w:noWrap/>
            <w:vAlign w:val="center"/>
          </w:tcPr>
          <w:p w14:paraId="16F2CED5">
            <w:pPr>
              <w:kinsoku/>
              <w:wordWrap w:val="0"/>
              <w:spacing w:line="240" w:lineRule="atLeast"/>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说明</w:t>
            </w:r>
          </w:p>
        </w:tc>
      </w:tr>
      <w:tr w14:paraId="4033E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4E94B72A">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3DC40EF4">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6CB222E0">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714A30D2">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4B48169E">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2921EC71">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r>
      <w:tr w14:paraId="7ABF0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227F1BCA">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27AAF85E">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1C9E4BBE">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511A4186">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19C46B1D">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1F65EB12">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r>
      <w:tr w14:paraId="58A1E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140367BD">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369BC63E">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2506E950">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420D4364">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624FC6AC">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55E606CA">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r>
      <w:tr w14:paraId="0118B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166B3754">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457D6A31">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3815D13A">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472A1BC0">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1A41A354">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2B85DC8B">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r>
      <w:tr w14:paraId="7D787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0F287712">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34E32DF8">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61495ACA">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7EE4739A">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4ACEADED">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29E182D4">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r>
      <w:tr w14:paraId="63899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6B50DCAF">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5B17A5D0">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25F200AD">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0DBBAD4E">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5E2D38CB">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6B63CB47">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r>
      <w:tr w14:paraId="4E419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1D33115E">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0C676E5C">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1663CFC0">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19A36C9C">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584F763C">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11F92BFE">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r>
      <w:tr w14:paraId="246FE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7BDBF34A">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2EB7BEDD">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64948929">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3CA5A0BF">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1907457F">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1D738A9A">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r>
      <w:tr w14:paraId="5B582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53E7CB0F">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3AB638B5">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36385114">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0B991AC6">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328E9A0E">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5B4DF278">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r>
      <w:tr w14:paraId="5A90E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6EF82521">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500C6FA2">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4F780AB9">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1E4BB933">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01577867">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7CD72FB4">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r>
      <w:tr w14:paraId="59E41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6391DE2E">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2A5D2DD1">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1CE42F20">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253F140F">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041ACE2F">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0C2D006C">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r>
      <w:tr w14:paraId="4D390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3A2142BD">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6AB4ED1C">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3168EDF4">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1E4DB704">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28E81F11">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0D499A82">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r>
      <w:tr w14:paraId="5F128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57CFACF2">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751AA38D">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4676D3C7">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5F307341">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427FE269">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779DE412">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r>
      <w:tr w14:paraId="5AC2F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43769123">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0AD32F41">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69AE7643">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56D138D1">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42260718">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69BA77E9">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r>
      <w:tr w14:paraId="5E3CA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2C90A402">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2DD2246D">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170E8BD2">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4106A1CD">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7BF07D98">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46284CAA">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r>
    </w:tbl>
    <w:p w14:paraId="4BD1FA41">
      <w:pPr>
        <w:kinsoku/>
        <w:wordWrap w:val="0"/>
        <w:spacing w:line="360" w:lineRule="auto"/>
        <w:ind w:firstLine="482" w:firstLineChars="200"/>
        <w:jc w:val="both"/>
        <w:rPr>
          <w:rFonts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投标人（公章）：法定代表人（负责人）或授权代表（签字）：</w:t>
      </w:r>
    </w:p>
    <w:p w14:paraId="714A79CC">
      <w:pPr>
        <w:kinsoku/>
        <w:wordWrap w:val="0"/>
        <w:spacing w:line="360" w:lineRule="auto"/>
        <w:ind w:firstLine="482" w:firstLineChars="200"/>
        <w:jc w:val="both"/>
        <w:rPr>
          <w:rFonts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日期：</w:t>
      </w:r>
      <w:r>
        <w:rPr>
          <w:rFonts w:hint="eastAsia" w:asciiTheme="minorEastAsia" w:hAnsiTheme="minorEastAsia" w:eastAsiaTheme="minorEastAsia" w:cstheme="minorEastAsia"/>
          <w:b/>
          <w:bCs/>
          <w:color w:val="auto"/>
          <w:spacing w:val="-8"/>
          <w:sz w:val="24"/>
          <w:szCs w:val="24"/>
          <w:highlight w:val="none"/>
          <w:lang w:eastAsia="zh-CN"/>
        </w:rPr>
        <w:t>年月日</w:t>
      </w:r>
    </w:p>
    <w:p w14:paraId="09BDDA47">
      <w:pPr>
        <w:kinsoku/>
        <w:wordWrap w:val="0"/>
        <w:spacing w:line="360" w:lineRule="auto"/>
        <w:jc w:val="both"/>
        <w:rPr>
          <w:rFonts w:asciiTheme="minorEastAsia" w:hAnsiTheme="minorEastAsia" w:eastAsiaTheme="minorEastAsia" w:cstheme="minorEastAsia"/>
          <w:b/>
          <w:color w:val="auto"/>
          <w:sz w:val="24"/>
          <w:szCs w:val="24"/>
          <w:highlight w:val="none"/>
          <w:lang w:eastAsia="zh-CN"/>
        </w:rPr>
      </w:pPr>
    </w:p>
    <w:p w14:paraId="5693EC91">
      <w:pPr>
        <w:kinsoku/>
        <w:wordWrap w:val="0"/>
        <w:spacing w:line="360" w:lineRule="auto"/>
        <w:jc w:val="both"/>
        <w:rPr>
          <w:rFonts w:asciiTheme="minorEastAsia" w:hAnsiTheme="minorEastAsia" w:eastAsiaTheme="minorEastAsia" w:cstheme="minorEastAsia"/>
          <w:b/>
          <w:color w:val="auto"/>
          <w:sz w:val="24"/>
          <w:szCs w:val="24"/>
          <w:highlight w:val="none"/>
          <w:lang w:eastAsia="zh-CN"/>
        </w:rPr>
      </w:pPr>
    </w:p>
    <w:p w14:paraId="3BCA4C2A">
      <w:pPr>
        <w:kinsoku/>
        <w:wordWrap w:val="0"/>
        <w:spacing w:line="360" w:lineRule="auto"/>
        <w:jc w:val="both"/>
        <w:rPr>
          <w:rFonts w:asciiTheme="minorEastAsia" w:hAnsiTheme="minorEastAsia" w:eastAsiaTheme="minorEastAsia" w:cstheme="minorEastAsia"/>
          <w:b/>
          <w:color w:val="auto"/>
          <w:sz w:val="24"/>
          <w:szCs w:val="24"/>
          <w:highlight w:val="none"/>
          <w:lang w:eastAsia="zh-CN"/>
        </w:rPr>
      </w:pPr>
    </w:p>
    <w:p w14:paraId="4B9C4282">
      <w:pPr>
        <w:kinsoku/>
        <w:wordWrap w:val="0"/>
        <w:spacing w:line="360" w:lineRule="auto"/>
        <w:jc w:val="both"/>
        <w:rPr>
          <w:rFonts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6.商务偏差表格式</w:t>
      </w:r>
    </w:p>
    <w:p w14:paraId="77FEFD2B">
      <w:pPr>
        <w:kinsoku/>
        <w:wordWrap w:val="0"/>
        <w:ind w:firstLine="482"/>
        <w:jc w:val="both"/>
        <w:rPr>
          <w:rFonts w:asciiTheme="minorEastAsia" w:hAnsiTheme="minorEastAsia" w:eastAsiaTheme="minorEastAsia" w:cstheme="minorEastAsia"/>
          <w:b/>
          <w:color w:val="auto"/>
          <w:sz w:val="24"/>
          <w:szCs w:val="24"/>
          <w:highlight w:val="none"/>
          <w:lang w:eastAsia="zh-CN"/>
        </w:rPr>
      </w:pPr>
    </w:p>
    <w:p w14:paraId="2E463B48">
      <w:pPr>
        <w:kinsoku/>
        <w:wordWrap w:val="0"/>
        <w:jc w:val="center"/>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商务偏差表</w:t>
      </w:r>
    </w:p>
    <w:p w14:paraId="486BF198">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p>
    <w:p w14:paraId="08F62360">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项目名称：项目编号：</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974"/>
        <w:gridCol w:w="1853"/>
        <w:gridCol w:w="1690"/>
        <w:gridCol w:w="1276"/>
      </w:tblGrid>
      <w:tr w14:paraId="024A5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trPr>
        <w:tc>
          <w:tcPr>
            <w:tcW w:w="827" w:type="dxa"/>
            <w:tcBorders>
              <w:top w:val="single" w:color="auto" w:sz="4" w:space="0"/>
              <w:left w:val="single" w:color="auto" w:sz="4" w:space="0"/>
              <w:bottom w:val="single" w:color="auto" w:sz="4" w:space="0"/>
              <w:right w:val="single" w:color="auto" w:sz="4" w:space="0"/>
            </w:tcBorders>
            <w:noWrap/>
            <w:vAlign w:val="center"/>
          </w:tcPr>
          <w:p w14:paraId="6407A40A">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序号</w:t>
            </w:r>
          </w:p>
        </w:tc>
        <w:tc>
          <w:tcPr>
            <w:tcW w:w="1974" w:type="dxa"/>
            <w:tcBorders>
              <w:top w:val="single" w:color="auto" w:sz="4" w:space="0"/>
              <w:left w:val="single" w:color="auto" w:sz="4" w:space="0"/>
              <w:bottom w:val="single" w:color="auto" w:sz="4" w:space="0"/>
              <w:right w:val="single" w:color="auto" w:sz="4" w:space="0"/>
            </w:tcBorders>
            <w:noWrap/>
            <w:vAlign w:val="bottom"/>
          </w:tcPr>
          <w:p w14:paraId="65E1D856">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招标文件</w:t>
            </w:r>
          </w:p>
          <w:p w14:paraId="0902FEC2">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商务条款</w:t>
            </w:r>
          </w:p>
        </w:tc>
        <w:tc>
          <w:tcPr>
            <w:tcW w:w="1853" w:type="dxa"/>
            <w:tcBorders>
              <w:top w:val="single" w:color="auto" w:sz="4" w:space="0"/>
              <w:left w:val="single" w:color="auto" w:sz="4" w:space="0"/>
              <w:bottom w:val="single" w:color="auto" w:sz="4" w:space="0"/>
              <w:right w:val="single" w:color="auto" w:sz="4" w:space="0"/>
            </w:tcBorders>
            <w:noWrap/>
            <w:vAlign w:val="bottom"/>
          </w:tcPr>
          <w:p w14:paraId="3EB4F269">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投标文件商务条款</w:t>
            </w:r>
          </w:p>
        </w:tc>
        <w:tc>
          <w:tcPr>
            <w:tcW w:w="1690" w:type="dxa"/>
            <w:tcBorders>
              <w:top w:val="single" w:color="auto" w:sz="4" w:space="0"/>
              <w:left w:val="single" w:color="auto" w:sz="4" w:space="0"/>
              <w:bottom w:val="single" w:color="auto" w:sz="4" w:space="0"/>
              <w:right w:val="single" w:color="auto" w:sz="4" w:space="0"/>
            </w:tcBorders>
            <w:noWrap/>
            <w:vAlign w:val="center"/>
          </w:tcPr>
          <w:p w14:paraId="2CA5DE65">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偏差描述</w:t>
            </w:r>
          </w:p>
        </w:tc>
        <w:tc>
          <w:tcPr>
            <w:tcW w:w="1276" w:type="dxa"/>
            <w:tcBorders>
              <w:top w:val="single" w:color="auto" w:sz="4" w:space="0"/>
              <w:left w:val="single" w:color="auto" w:sz="4" w:space="0"/>
              <w:bottom w:val="single" w:color="auto" w:sz="4" w:space="0"/>
              <w:right w:val="single" w:color="auto" w:sz="4" w:space="0"/>
            </w:tcBorders>
            <w:noWrap/>
            <w:vAlign w:val="center"/>
          </w:tcPr>
          <w:p w14:paraId="6AD82849">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结论</w:t>
            </w:r>
          </w:p>
        </w:tc>
      </w:tr>
      <w:tr w14:paraId="59301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5827A389">
            <w:pPr>
              <w:kinsoku/>
              <w:wordWrap w:val="0"/>
              <w:jc w:val="both"/>
              <w:rPr>
                <w:rFonts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tcPr>
          <w:p w14:paraId="7D501B0B">
            <w:pPr>
              <w:kinsoku/>
              <w:wordWrap w:val="0"/>
              <w:jc w:val="both"/>
              <w:rPr>
                <w:rFonts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tcPr>
          <w:p w14:paraId="47CC3FE8">
            <w:pPr>
              <w:kinsoku/>
              <w:wordWrap w:val="0"/>
              <w:jc w:val="both"/>
              <w:rPr>
                <w:rFonts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tcPr>
          <w:p w14:paraId="52D675E8">
            <w:pPr>
              <w:kinsoku/>
              <w:wordWrap w:val="0"/>
              <w:jc w:val="both"/>
              <w:rPr>
                <w:rFonts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tcPr>
          <w:p w14:paraId="2BD1BCE6">
            <w:pPr>
              <w:kinsoku/>
              <w:wordWrap w:val="0"/>
              <w:jc w:val="both"/>
              <w:rPr>
                <w:rFonts w:asciiTheme="minorEastAsia" w:hAnsiTheme="minorEastAsia" w:eastAsiaTheme="minorEastAsia" w:cstheme="minorEastAsia"/>
                <w:color w:val="auto"/>
                <w:sz w:val="24"/>
                <w:szCs w:val="24"/>
                <w:highlight w:val="none"/>
              </w:rPr>
            </w:pPr>
          </w:p>
        </w:tc>
      </w:tr>
      <w:tr w14:paraId="61EE1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4E33F868">
            <w:pPr>
              <w:kinsoku/>
              <w:wordWrap w:val="0"/>
              <w:jc w:val="both"/>
              <w:rPr>
                <w:rFonts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tcPr>
          <w:p w14:paraId="6590115C">
            <w:pPr>
              <w:kinsoku/>
              <w:wordWrap w:val="0"/>
              <w:jc w:val="both"/>
              <w:rPr>
                <w:rFonts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tcPr>
          <w:p w14:paraId="776CCD6D">
            <w:pPr>
              <w:kinsoku/>
              <w:wordWrap w:val="0"/>
              <w:jc w:val="both"/>
              <w:rPr>
                <w:rFonts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tcPr>
          <w:p w14:paraId="03387D80">
            <w:pPr>
              <w:kinsoku/>
              <w:wordWrap w:val="0"/>
              <w:jc w:val="both"/>
              <w:rPr>
                <w:rFonts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tcPr>
          <w:p w14:paraId="46CC92DF">
            <w:pPr>
              <w:kinsoku/>
              <w:wordWrap w:val="0"/>
              <w:jc w:val="both"/>
              <w:rPr>
                <w:rFonts w:asciiTheme="minorEastAsia" w:hAnsiTheme="minorEastAsia" w:eastAsiaTheme="minorEastAsia" w:cstheme="minorEastAsia"/>
                <w:color w:val="auto"/>
                <w:sz w:val="24"/>
                <w:szCs w:val="24"/>
                <w:highlight w:val="none"/>
              </w:rPr>
            </w:pPr>
          </w:p>
        </w:tc>
      </w:tr>
      <w:tr w14:paraId="4722E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7E8B04CD">
            <w:pPr>
              <w:kinsoku/>
              <w:wordWrap w:val="0"/>
              <w:jc w:val="both"/>
              <w:rPr>
                <w:rFonts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tcPr>
          <w:p w14:paraId="588B1903">
            <w:pPr>
              <w:kinsoku/>
              <w:wordWrap w:val="0"/>
              <w:jc w:val="both"/>
              <w:rPr>
                <w:rFonts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tcPr>
          <w:p w14:paraId="7EA60258">
            <w:pPr>
              <w:kinsoku/>
              <w:wordWrap w:val="0"/>
              <w:jc w:val="both"/>
              <w:rPr>
                <w:rFonts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tcPr>
          <w:p w14:paraId="4CB00F4A">
            <w:pPr>
              <w:kinsoku/>
              <w:wordWrap w:val="0"/>
              <w:jc w:val="both"/>
              <w:rPr>
                <w:rFonts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tcPr>
          <w:p w14:paraId="2F48A4B5">
            <w:pPr>
              <w:kinsoku/>
              <w:wordWrap w:val="0"/>
              <w:jc w:val="both"/>
              <w:rPr>
                <w:rFonts w:asciiTheme="minorEastAsia" w:hAnsiTheme="minorEastAsia" w:eastAsiaTheme="minorEastAsia" w:cstheme="minorEastAsia"/>
                <w:color w:val="auto"/>
                <w:sz w:val="24"/>
                <w:szCs w:val="24"/>
                <w:highlight w:val="none"/>
              </w:rPr>
            </w:pPr>
          </w:p>
        </w:tc>
      </w:tr>
      <w:tr w14:paraId="719D1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2E584A3A">
            <w:pPr>
              <w:kinsoku/>
              <w:wordWrap w:val="0"/>
              <w:jc w:val="both"/>
              <w:rPr>
                <w:rFonts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tcPr>
          <w:p w14:paraId="1DDE3314">
            <w:pPr>
              <w:kinsoku/>
              <w:wordWrap w:val="0"/>
              <w:jc w:val="both"/>
              <w:rPr>
                <w:rFonts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tcPr>
          <w:p w14:paraId="77B65B1F">
            <w:pPr>
              <w:kinsoku/>
              <w:wordWrap w:val="0"/>
              <w:jc w:val="both"/>
              <w:rPr>
                <w:rFonts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tcPr>
          <w:p w14:paraId="6303653A">
            <w:pPr>
              <w:kinsoku/>
              <w:wordWrap w:val="0"/>
              <w:jc w:val="both"/>
              <w:rPr>
                <w:rFonts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tcPr>
          <w:p w14:paraId="089E12D9">
            <w:pPr>
              <w:kinsoku/>
              <w:wordWrap w:val="0"/>
              <w:jc w:val="both"/>
              <w:rPr>
                <w:rFonts w:asciiTheme="minorEastAsia" w:hAnsiTheme="minorEastAsia" w:eastAsiaTheme="minorEastAsia" w:cstheme="minorEastAsia"/>
                <w:color w:val="auto"/>
                <w:sz w:val="24"/>
                <w:szCs w:val="24"/>
                <w:highlight w:val="none"/>
              </w:rPr>
            </w:pPr>
          </w:p>
        </w:tc>
      </w:tr>
      <w:tr w14:paraId="22E1F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6EAE9199">
            <w:pPr>
              <w:kinsoku/>
              <w:wordWrap w:val="0"/>
              <w:jc w:val="both"/>
              <w:rPr>
                <w:rFonts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tcPr>
          <w:p w14:paraId="27A4665A">
            <w:pPr>
              <w:kinsoku/>
              <w:wordWrap w:val="0"/>
              <w:jc w:val="both"/>
              <w:rPr>
                <w:rFonts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tcPr>
          <w:p w14:paraId="38253A61">
            <w:pPr>
              <w:kinsoku/>
              <w:wordWrap w:val="0"/>
              <w:jc w:val="both"/>
              <w:rPr>
                <w:rFonts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tcPr>
          <w:p w14:paraId="11A79094">
            <w:pPr>
              <w:kinsoku/>
              <w:wordWrap w:val="0"/>
              <w:jc w:val="both"/>
              <w:rPr>
                <w:rFonts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tcPr>
          <w:p w14:paraId="049E90A9">
            <w:pPr>
              <w:kinsoku/>
              <w:wordWrap w:val="0"/>
              <w:jc w:val="both"/>
              <w:rPr>
                <w:rFonts w:asciiTheme="minorEastAsia" w:hAnsiTheme="minorEastAsia" w:eastAsiaTheme="minorEastAsia" w:cstheme="minorEastAsia"/>
                <w:color w:val="auto"/>
                <w:sz w:val="24"/>
                <w:szCs w:val="24"/>
                <w:highlight w:val="none"/>
              </w:rPr>
            </w:pPr>
          </w:p>
        </w:tc>
      </w:tr>
      <w:tr w14:paraId="3B8E9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1E69F249">
            <w:pPr>
              <w:kinsoku/>
              <w:wordWrap w:val="0"/>
              <w:jc w:val="both"/>
              <w:rPr>
                <w:rFonts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tcPr>
          <w:p w14:paraId="18291311">
            <w:pPr>
              <w:kinsoku/>
              <w:wordWrap w:val="0"/>
              <w:jc w:val="both"/>
              <w:rPr>
                <w:rFonts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tcPr>
          <w:p w14:paraId="36C64710">
            <w:pPr>
              <w:kinsoku/>
              <w:wordWrap w:val="0"/>
              <w:jc w:val="both"/>
              <w:rPr>
                <w:rFonts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tcPr>
          <w:p w14:paraId="3C02DD0E">
            <w:pPr>
              <w:kinsoku/>
              <w:wordWrap w:val="0"/>
              <w:jc w:val="both"/>
              <w:rPr>
                <w:rFonts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tcPr>
          <w:p w14:paraId="55C08668">
            <w:pPr>
              <w:kinsoku/>
              <w:wordWrap w:val="0"/>
              <w:jc w:val="both"/>
              <w:rPr>
                <w:rFonts w:asciiTheme="minorEastAsia" w:hAnsiTheme="minorEastAsia" w:eastAsiaTheme="minorEastAsia" w:cstheme="minorEastAsia"/>
                <w:color w:val="auto"/>
                <w:sz w:val="24"/>
                <w:szCs w:val="24"/>
                <w:highlight w:val="none"/>
              </w:rPr>
            </w:pPr>
          </w:p>
        </w:tc>
      </w:tr>
      <w:tr w14:paraId="08776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0482D3C6">
            <w:pPr>
              <w:kinsoku/>
              <w:wordWrap w:val="0"/>
              <w:jc w:val="both"/>
              <w:rPr>
                <w:rFonts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tcPr>
          <w:p w14:paraId="16E706C9">
            <w:pPr>
              <w:kinsoku/>
              <w:wordWrap w:val="0"/>
              <w:jc w:val="both"/>
              <w:rPr>
                <w:rFonts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tcPr>
          <w:p w14:paraId="5908419B">
            <w:pPr>
              <w:kinsoku/>
              <w:wordWrap w:val="0"/>
              <w:jc w:val="both"/>
              <w:rPr>
                <w:rFonts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tcPr>
          <w:p w14:paraId="0441A910">
            <w:pPr>
              <w:kinsoku/>
              <w:wordWrap w:val="0"/>
              <w:jc w:val="both"/>
              <w:rPr>
                <w:rFonts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tcPr>
          <w:p w14:paraId="286D4425">
            <w:pPr>
              <w:kinsoku/>
              <w:wordWrap w:val="0"/>
              <w:jc w:val="both"/>
              <w:rPr>
                <w:rFonts w:asciiTheme="minorEastAsia" w:hAnsiTheme="minorEastAsia" w:eastAsiaTheme="minorEastAsia" w:cstheme="minorEastAsia"/>
                <w:color w:val="auto"/>
                <w:sz w:val="24"/>
                <w:szCs w:val="24"/>
                <w:highlight w:val="none"/>
              </w:rPr>
            </w:pPr>
          </w:p>
        </w:tc>
      </w:tr>
      <w:tr w14:paraId="057E4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10AEF572">
            <w:pPr>
              <w:kinsoku/>
              <w:wordWrap w:val="0"/>
              <w:jc w:val="both"/>
              <w:rPr>
                <w:rFonts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tcPr>
          <w:p w14:paraId="2DE41541">
            <w:pPr>
              <w:kinsoku/>
              <w:wordWrap w:val="0"/>
              <w:jc w:val="both"/>
              <w:rPr>
                <w:rFonts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tcPr>
          <w:p w14:paraId="40BD33CE">
            <w:pPr>
              <w:kinsoku/>
              <w:wordWrap w:val="0"/>
              <w:jc w:val="both"/>
              <w:rPr>
                <w:rFonts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tcPr>
          <w:p w14:paraId="2CD6E3FC">
            <w:pPr>
              <w:kinsoku/>
              <w:wordWrap w:val="0"/>
              <w:jc w:val="both"/>
              <w:rPr>
                <w:rFonts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tcPr>
          <w:p w14:paraId="69AC24B8">
            <w:pPr>
              <w:kinsoku/>
              <w:wordWrap w:val="0"/>
              <w:jc w:val="both"/>
              <w:rPr>
                <w:rFonts w:asciiTheme="minorEastAsia" w:hAnsiTheme="minorEastAsia" w:eastAsiaTheme="minorEastAsia" w:cstheme="minorEastAsia"/>
                <w:color w:val="auto"/>
                <w:sz w:val="24"/>
                <w:szCs w:val="24"/>
                <w:highlight w:val="none"/>
              </w:rPr>
            </w:pPr>
          </w:p>
        </w:tc>
      </w:tr>
      <w:tr w14:paraId="0D77E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1AC9F057">
            <w:pPr>
              <w:kinsoku/>
              <w:wordWrap w:val="0"/>
              <w:jc w:val="both"/>
              <w:rPr>
                <w:rFonts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tcPr>
          <w:p w14:paraId="15AB6EBA">
            <w:pPr>
              <w:kinsoku/>
              <w:wordWrap w:val="0"/>
              <w:jc w:val="both"/>
              <w:rPr>
                <w:rFonts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tcPr>
          <w:p w14:paraId="672FDB09">
            <w:pPr>
              <w:kinsoku/>
              <w:wordWrap w:val="0"/>
              <w:jc w:val="both"/>
              <w:rPr>
                <w:rFonts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tcPr>
          <w:p w14:paraId="6C5356D7">
            <w:pPr>
              <w:kinsoku/>
              <w:wordWrap w:val="0"/>
              <w:jc w:val="both"/>
              <w:rPr>
                <w:rFonts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tcPr>
          <w:p w14:paraId="7A985E14">
            <w:pPr>
              <w:kinsoku/>
              <w:wordWrap w:val="0"/>
              <w:jc w:val="both"/>
              <w:rPr>
                <w:rFonts w:asciiTheme="minorEastAsia" w:hAnsiTheme="minorEastAsia" w:eastAsiaTheme="minorEastAsia" w:cstheme="minorEastAsia"/>
                <w:color w:val="auto"/>
                <w:sz w:val="24"/>
                <w:szCs w:val="24"/>
                <w:highlight w:val="none"/>
              </w:rPr>
            </w:pPr>
          </w:p>
        </w:tc>
      </w:tr>
      <w:tr w14:paraId="765B9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0822128E">
            <w:pPr>
              <w:kinsoku/>
              <w:wordWrap w:val="0"/>
              <w:jc w:val="both"/>
              <w:rPr>
                <w:rFonts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tcPr>
          <w:p w14:paraId="2B4AC8EE">
            <w:pPr>
              <w:kinsoku/>
              <w:wordWrap w:val="0"/>
              <w:jc w:val="both"/>
              <w:rPr>
                <w:rFonts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tcPr>
          <w:p w14:paraId="621D900A">
            <w:pPr>
              <w:kinsoku/>
              <w:wordWrap w:val="0"/>
              <w:jc w:val="both"/>
              <w:rPr>
                <w:rFonts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tcPr>
          <w:p w14:paraId="0955FD12">
            <w:pPr>
              <w:kinsoku/>
              <w:wordWrap w:val="0"/>
              <w:jc w:val="both"/>
              <w:rPr>
                <w:rFonts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tcPr>
          <w:p w14:paraId="2B5A1C2E">
            <w:pPr>
              <w:kinsoku/>
              <w:wordWrap w:val="0"/>
              <w:jc w:val="both"/>
              <w:rPr>
                <w:rFonts w:asciiTheme="minorEastAsia" w:hAnsiTheme="minorEastAsia" w:eastAsiaTheme="minorEastAsia" w:cstheme="minorEastAsia"/>
                <w:color w:val="auto"/>
                <w:sz w:val="24"/>
                <w:szCs w:val="24"/>
                <w:highlight w:val="none"/>
              </w:rPr>
            </w:pPr>
          </w:p>
        </w:tc>
      </w:tr>
      <w:tr w14:paraId="0061C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75E4D6D7">
            <w:pPr>
              <w:kinsoku/>
              <w:wordWrap w:val="0"/>
              <w:jc w:val="both"/>
              <w:rPr>
                <w:rFonts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tcPr>
          <w:p w14:paraId="60264A21">
            <w:pPr>
              <w:kinsoku/>
              <w:wordWrap w:val="0"/>
              <w:jc w:val="both"/>
              <w:rPr>
                <w:rFonts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tcPr>
          <w:p w14:paraId="71B1D4E2">
            <w:pPr>
              <w:kinsoku/>
              <w:wordWrap w:val="0"/>
              <w:jc w:val="both"/>
              <w:rPr>
                <w:rFonts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tcPr>
          <w:p w14:paraId="48A1EF4D">
            <w:pPr>
              <w:kinsoku/>
              <w:wordWrap w:val="0"/>
              <w:jc w:val="both"/>
              <w:rPr>
                <w:rFonts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tcPr>
          <w:p w14:paraId="5780FDF2">
            <w:pPr>
              <w:kinsoku/>
              <w:wordWrap w:val="0"/>
              <w:jc w:val="both"/>
              <w:rPr>
                <w:rFonts w:asciiTheme="minorEastAsia" w:hAnsiTheme="minorEastAsia" w:eastAsiaTheme="minorEastAsia" w:cstheme="minorEastAsia"/>
                <w:color w:val="auto"/>
                <w:sz w:val="24"/>
                <w:szCs w:val="24"/>
                <w:highlight w:val="none"/>
              </w:rPr>
            </w:pPr>
          </w:p>
        </w:tc>
      </w:tr>
    </w:tbl>
    <w:p w14:paraId="33B35A70">
      <w:pPr>
        <w:kinsoku/>
        <w:wordWrap w:val="0"/>
        <w:spacing w:line="360" w:lineRule="auto"/>
        <w:jc w:val="both"/>
        <w:rPr>
          <w:rFonts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投标人（公章）：法定代表人（负责人）或授权代表（签字）：</w:t>
      </w:r>
    </w:p>
    <w:p w14:paraId="2D39A8F4">
      <w:pPr>
        <w:kinsoku/>
        <w:wordWrap w:val="0"/>
        <w:spacing w:line="360" w:lineRule="auto"/>
        <w:jc w:val="both"/>
        <w:rPr>
          <w:rFonts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日期：</w:t>
      </w:r>
      <w:r>
        <w:rPr>
          <w:rFonts w:hint="eastAsia" w:asciiTheme="minorEastAsia" w:hAnsiTheme="minorEastAsia" w:eastAsiaTheme="minorEastAsia" w:cstheme="minorEastAsia"/>
          <w:b/>
          <w:bCs/>
          <w:color w:val="auto"/>
          <w:spacing w:val="-8"/>
          <w:sz w:val="24"/>
          <w:szCs w:val="24"/>
          <w:highlight w:val="none"/>
          <w:lang w:eastAsia="zh-CN"/>
        </w:rPr>
        <w:t>年月日</w:t>
      </w:r>
    </w:p>
    <w:p w14:paraId="6E6E2366">
      <w:pPr>
        <w:kinsoku/>
        <w:wordWrap w:val="0"/>
        <w:spacing w:line="360" w:lineRule="auto"/>
        <w:jc w:val="both"/>
        <w:rPr>
          <w:rFonts w:asciiTheme="minorEastAsia" w:hAnsiTheme="minorEastAsia" w:eastAsiaTheme="minorEastAsia" w:cstheme="minorEastAsia"/>
          <w:b/>
          <w:color w:val="auto"/>
          <w:sz w:val="24"/>
          <w:szCs w:val="24"/>
          <w:highlight w:val="none"/>
          <w:lang w:eastAsia="zh-CN"/>
        </w:rPr>
      </w:pPr>
    </w:p>
    <w:p w14:paraId="338FA999">
      <w:pPr>
        <w:kinsoku/>
        <w:wordWrap w:val="0"/>
        <w:spacing w:line="360" w:lineRule="auto"/>
        <w:jc w:val="both"/>
        <w:rPr>
          <w:rFonts w:asciiTheme="minorEastAsia" w:hAnsiTheme="minorEastAsia" w:eastAsiaTheme="minorEastAsia" w:cstheme="minorEastAsia"/>
          <w:b/>
          <w:color w:val="auto"/>
          <w:sz w:val="24"/>
          <w:szCs w:val="24"/>
          <w:highlight w:val="none"/>
          <w:lang w:eastAsia="zh-CN"/>
        </w:rPr>
      </w:pPr>
    </w:p>
    <w:p w14:paraId="256A985D">
      <w:pPr>
        <w:kinsoku/>
        <w:wordWrap w:val="0"/>
        <w:spacing w:line="360" w:lineRule="auto"/>
        <w:jc w:val="both"/>
        <w:rPr>
          <w:rFonts w:ascii="宋体" w:hAnsi="宋体"/>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7.售后服务计划</w:t>
      </w:r>
      <w:r>
        <w:rPr>
          <w:rFonts w:hint="eastAsia" w:ascii="宋体" w:hAnsi="宋体"/>
          <w:b/>
          <w:color w:val="auto"/>
          <w:sz w:val="24"/>
          <w:szCs w:val="24"/>
          <w:highlight w:val="none"/>
          <w:lang w:eastAsia="zh-CN"/>
        </w:rPr>
        <w:t>（适用于货物）</w:t>
      </w:r>
    </w:p>
    <w:p w14:paraId="5B5C2F71">
      <w:pPr>
        <w:kinsoku/>
        <w:wordWrap w:val="0"/>
        <w:spacing w:line="360" w:lineRule="auto"/>
        <w:jc w:val="both"/>
        <w:rPr>
          <w:rFonts w:asciiTheme="minorEastAsia" w:hAnsiTheme="minorEastAsia" w:eastAsiaTheme="minorEastAsia" w:cstheme="minorEastAsia"/>
          <w:b/>
          <w:color w:val="auto"/>
          <w:sz w:val="24"/>
          <w:szCs w:val="24"/>
          <w:highlight w:val="none"/>
          <w:lang w:eastAsia="zh-CN"/>
        </w:rPr>
      </w:pPr>
      <w:r>
        <w:rPr>
          <w:rFonts w:hint="eastAsia" w:asciiTheme="minorEastAsia" w:hAnsiTheme="minorEastAsia" w:cstheme="minorEastAsia"/>
          <w:b/>
          <w:color w:val="auto"/>
          <w:sz w:val="24"/>
          <w:szCs w:val="24"/>
          <w:highlight w:val="none"/>
          <w:lang w:val="en-US" w:eastAsia="zh-CN"/>
        </w:rPr>
        <w:t>8</w:t>
      </w:r>
      <w:r>
        <w:rPr>
          <w:rFonts w:hint="eastAsia" w:asciiTheme="minorEastAsia" w:hAnsiTheme="minorEastAsia" w:eastAsiaTheme="minorEastAsia" w:cstheme="minorEastAsia"/>
          <w:b/>
          <w:color w:val="auto"/>
          <w:sz w:val="24"/>
          <w:szCs w:val="24"/>
          <w:highlight w:val="none"/>
          <w:lang w:eastAsia="zh-CN"/>
        </w:rPr>
        <w:t>.投标人业绩</w:t>
      </w:r>
    </w:p>
    <w:p w14:paraId="6BE323E0">
      <w:pPr>
        <w:rPr>
          <w:rFonts w:hint="eastAsia" w:eastAsia="Arial" w:cs="Arial"/>
          <w:b/>
          <w:color w:val="auto"/>
          <w:sz w:val="24"/>
          <w:szCs w:val="24"/>
          <w:highlight w:val="none"/>
          <w:lang w:val="en-US" w:eastAsia="zh-CN"/>
        </w:rPr>
      </w:pPr>
    </w:p>
    <w:p w14:paraId="3D437390">
      <w:pPr>
        <w:rPr>
          <w:rFonts w:hint="eastAsia" w:eastAsia="Arial" w:cs="Arial"/>
          <w:b/>
          <w:color w:val="auto"/>
          <w:sz w:val="24"/>
          <w:szCs w:val="24"/>
          <w:highlight w:val="none"/>
          <w:lang w:val="en-US" w:eastAsia="zh-CN"/>
        </w:rPr>
      </w:pPr>
    </w:p>
    <w:p w14:paraId="17FF369C">
      <w:pPr>
        <w:rPr>
          <w:rFonts w:hint="eastAsia" w:eastAsia="Arial" w:cs="Arial"/>
          <w:b/>
          <w:color w:val="auto"/>
          <w:sz w:val="24"/>
          <w:szCs w:val="24"/>
          <w:highlight w:val="none"/>
          <w:lang w:val="en-US" w:eastAsia="zh-CN"/>
        </w:rPr>
      </w:pPr>
    </w:p>
    <w:p w14:paraId="78EFE499">
      <w:pPr>
        <w:rPr>
          <w:rFonts w:hint="eastAsia" w:eastAsia="Arial" w:cs="Arial"/>
          <w:b/>
          <w:color w:val="auto"/>
          <w:sz w:val="24"/>
          <w:szCs w:val="24"/>
          <w:highlight w:val="none"/>
          <w:lang w:val="en-US" w:eastAsia="zh-CN"/>
        </w:rPr>
      </w:pPr>
    </w:p>
    <w:p w14:paraId="05554925">
      <w:pPr>
        <w:numPr>
          <w:ilvl w:val="0"/>
          <w:numId w:val="5"/>
        </w:numPr>
        <w:rPr>
          <w:rFonts w:hint="eastAsia" w:eastAsia="Arial" w:cs="Arial"/>
          <w:b/>
          <w:color w:val="auto"/>
          <w:sz w:val="24"/>
          <w:szCs w:val="24"/>
          <w:highlight w:val="none"/>
          <w:lang w:eastAsia="zh-CN"/>
        </w:rPr>
      </w:pPr>
      <w:r>
        <w:rPr>
          <w:rFonts w:hint="eastAsia" w:eastAsia="Arial" w:cs="Arial"/>
          <w:b/>
          <w:color w:val="auto"/>
          <w:sz w:val="24"/>
          <w:szCs w:val="24"/>
          <w:highlight w:val="none"/>
          <w:lang w:eastAsia="zh-CN"/>
        </w:rPr>
        <w:t>中小企业、监狱企业或残疾人福利性单位声明函</w:t>
      </w:r>
    </w:p>
    <w:p w14:paraId="2275258F">
      <w:pPr>
        <w:numPr>
          <w:ilvl w:val="0"/>
          <w:numId w:val="0"/>
        </w:numPr>
        <w:rPr>
          <w:rFonts w:eastAsia="Arial" w:cs="Arial"/>
          <w:b/>
          <w:color w:val="auto"/>
          <w:sz w:val="24"/>
          <w:szCs w:val="24"/>
          <w:highlight w:val="none"/>
          <w:lang w:eastAsia="zh-CN"/>
        </w:rPr>
      </w:pPr>
      <w:r>
        <w:rPr>
          <w:rFonts w:hint="eastAsia" w:eastAsia="Arial" w:cs="Arial"/>
          <w:b w:val="0"/>
          <w:bCs/>
          <w:color w:val="auto"/>
          <w:sz w:val="24"/>
          <w:szCs w:val="24"/>
          <w:highlight w:val="none"/>
          <w:lang w:eastAsia="zh-CN"/>
        </w:rPr>
        <w:t>（对于专门面向中小企业采购的项目必须提供，不专门面向的项目可选择提供）</w:t>
      </w:r>
    </w:p>
    <w:p w14:paraId="54237359">
      <w:pPr>
        <w:pStyle w:val="4"/>
        <w:kinsoku/>
        <w:wordWrap w:val="0"/>
        <w:spacing w:line="360" w:lineRule="auto"/>
        <w:ind w:left="0" w:leftChars="0" w:firstLine="0" w:firstLineChars="0"/>
        <w:jc w:val="center"/>
        <w:rPr>
          <w:rFonts w:hint="eastAsia" w:asciiTheme="minorEastAsia" w:hAnsiTheme="minorEastAsia" w:eastAsiaTheme="minorEastAsia" w:cstheme="minorEastAsia"/>
          <w:color w:val="auto"/>
          <w:spacing w:val="-3"/>
          <w:sz w:val="36"/>
          <w:szCs w:val="36"/>
          <w:highlight w:val="none"/>
        </w:rPr>
      </w:pPr>
    </w:p>
    <w:p w14:paraId="2F9C7A4E">
      <w:pPr>
        <w:pStyle w:val="4"/>
        <w:kinsoku/>
        <w:wordWrap w:val="0"/>
        <w:spacing w:line="360" w:lineRule="auto"/>
        <w:ind w:left="0" w:leftChars="0" w:firstLine="0" w:firstLineChars="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3"/>
          <w:sz w:val="36"/>
          <w:szCs w:val="36"/>
          <w:highlight w:val="none"/>
        </w:rPr>
        <w:t>中小企业声明函（货物）格式</w:t>
      </w:r>
    </w:p>
    <w:p w14:paraId="66FBCD19">
      <w:pPr>
        <w:pStyle w:val="4"/>
        <w:kinsoku/>
        <w:wordWrap w:val="0"/>
        <w:spacing w:line="360" w:lineRule="auto"/>
        <w:ind w:left="0" w:leftChars="0" w:firstLine="498"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本公司（联合体）郑重声明，根据《政府采购促进中小企业发展管理办法》（财</w:t>
      </w:r>
      <w:r>
        <w:rPr>
          <w:rFonts w:hint="eastAsia" w:asciiTheme="minorEastAsia" w:hAnsiTheme="minorEastAsia" w:eastAsiaTheme="minorEastAsia" w:cstheme="minorEastAsia"/>
          <w:color w:val="auto"/>
          <w:spacing w:val="10"/>
          <w:sz w:val="24"/>
          <w:szCs w:val="24"/>
          <w:highlight w:val="none"/>
        </w:rPr>
        <w:t>库﹝2020﹞46号）的规定，本公司（联合体）参加（单位名称）的（项目</w:t>
      </w:r>
      <w:r>
        <w:rPr>
          <w:rFonts w:hint="eastAsia" w:asciiTheme="minorEastAsia" w:hAnsiTheme="minorEastAsia" w:eastAsiaTheme="minorEastAsia" w:cstheme="minorEastAsia"/>
          <w:color w:val="auto"/>
          <w:spacing w:val="9"/>
          <w:sz w:val="24"/>
          <w:szCs w:val="24"/>
          <w:highlight w:val="none"/>
        </w:rPr>
        <w:t>名称）</w:t>
      </w:r>
      <w:r>
        <w:rPr>
          <w:rFonts w:hint="eastAsia" w:asciiTheme="minorEastAsia" w:hAnsiTheme="minorEastAsia" w:eastAsiaTheme="minorEastAsia" w:cstheme="minorEastAsia"/>
          <w:color w:val="auto"/>
          <w:spacing w:val="14"/>
          <w:sz w:val="24"/>
          <w:szCs w:val="24"/>
          <w:highlight w:val="none"/>
        </w:rPr>
        <w:t>采购活动，</w:t>
      </w:r>
      <w:r>
        <w:rPr>
          <w:rFonts w:hint="eastAsia" w:asciiTheme="minorEastAsia" w:hAnsiTheme="minorEastAsia" w:eastAsiaTheme="minorEastAsia" w:cstheme="minorEastAsia"/>
          <w:color w:val="auto"/>
          <w:spacing w:val="-86"/>
          <w:sz w:val="24"/>
          <w:szCs w:val="24"/>
          <w:highlight w:val="none"/>
          <w:lang w:eastAsia="zh-CN"/>
        </w:rPr>
        <w:t>提</w:t>
      </w:r>
      <w:r>
        <w:rPr>
          <w:rFonts w:hint="eastAsia" w:asciiTheme="minorEastAsia" w:hAnsiTheme="minorEastAsia" w:eastAsiaTheme="minorEastAsia" w:cstheme="minorEastAsia"/>
          <w:color w:val="auto"/>
          <w:spacing w:val="14"/>
          <w:sz w:val="24"/>
          <w:szCs w:val="24"/>
          <w:highlight w:val="none"/>
        </w:rPr>
        <w:t>供的货物全部由符合政策要求的</w:t>
      </w:r>
      <w:r>
        <w:rPr>
          <w:rFonts w:hint="eastAsia" w:asciiTheme="minorEastAsia" w:hAnsiTheme="minorEastAsia" w:eastAsiaTheme="minorEastAsia" w:cstheme="minorEastAsia"/>
          <w:color w:val="auto"/>
          <w:spacing w:val="13"/>
          <w:sz w:val="24"/>
          <w:szCs w:val="24"/>
          <w:highlight w:val="none"/>
        </w:rPr>
        <w:t>中小企业制造。相关企业（含联合体</w:t>
      </w:r>
      <w:r>
        <w:rPr>
          <w:rFonts w:hint="eastAsia" w:asciiTheme="minorEastAsia" w:hAnsiTheme="minorEastAsia" w:eastAsiaTheme="minorEastAsia" w:cstheme="minorEastAsia"/>
          <w:color w:val="auto"/>
          <w:spacing w:val="8"/>
          <w:sz w:val="24"/>
          <w:szCs w:val="24"/>
          <w:highlight w:val="none"/>
        </w:rPr>
        <w:t>中的中小企业、签订分包意向协议的中小企业）的具体情况如下：</w:t>
      </w:r>
    </w:p>
    <w:p w14:paraId="51DACA26">
      <w:pPr>
        <w:pStyle w:val="4"/>
        <w:kinsoku/>
        <w:wordWrap w:val="0"/>
        <w:spacing w:line="360" w:lineRule="auto"/>
        <w:ind w:left="0" w:leftChars="0" w:firstLine="51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1.</w:t>
      </w:r>
      <w:r>
        <w:rPr>
          <w:rFonts w:hint="eastAsia" w:asciiTheme="minorEastAsia" w:hAnsiTheme="minorEastAsia" w:eastAsiaTheme="minorEastAsia" w:cstheme="minorEastAsia"/>
          <w:color w:val="auto"/>
          <w:spacing w:val="7"/>
          <w:sz w:val="24"/>
          <w:szCs w:val="24"/>
          <w:highlight w:val="none"/>
          <w:u w:val="single"/>
        </w:rPr>
        <w:t>（标的名称</w:t>
      </w:r>
      <w:r>
        <w:rPr>
          <w:rFonts w:hint="eastAsia" w:asciiTheme="minorEastAsia" w:hAnsiTheme="minorEastAsia" w:eastAsiaTheme="minorEastAsia" w:cstheme="minorEastAsia"/>
          <w:color w:val="auto"/>
          <w:spacing w:val="-41"/>
          <w:sz w:val="24"/>
          <w:szCs w:val="24"/>
          <w:highlight w:val="none"/>
          <w:u w:val="single"/>
        </w:rPr>
        <w:t>）</w:t>
      </w:r>
      <w:r>
        <w:rPr>
          <w:rFonts w:hint="eastAsia" w:asciiTheme="minorEastAsia" w:hAnsiTheme="minorEastAsia" w:eastAsiaTheme="minorEastAsia" w:cstheme="minorEastAsia"/>
          <w:color w:val="auto"/>
          <w:spacing w:val="-41"/>
          <w:sz w:val="24"/>
          <w:szCs w:val="24"/>
          <w:highlight w:val="none"/>
        </w:rPr>
        <w:t>，</w:t>
      </w:r>
      <w:r>
        <w:rPr>
          <w:rFonts w:hint="eastAsia" w:asciiTheme="minorEastAsia" w:hAnsiTheme="minorEastAsia" w:eastAsiaTheme="minorEastAsia" w:cstheme="minorEastAsia"/>
          <w:color w:val="auto"/>
          <w:spacing w:val="7"/>
          <w:sz w:val="24"/>
          <w:szCs w:val="24"/>
          <w:highlight w:val="none"/>
        </w:rPr>
        <w:t>属于</w:t>
      </w:r>
      <w:r>
        <w:rPr>
          <w:rFonts w:hint="eastAsia" w:asciiTheme="minorEastAsia" w:hAnsiTheme="minorEastAsia" w:eastAsiaTheme="minorEastAsia" w:cstheme="minorEastAsia"/>
          <w:color w:val="auto"/>
          <w:spacing w:val="7"/>
          <w:sz w:val="24"/>
          <w:szCs w:val="24"/>
          <w:highlight w:val="none"/>
          <w:u w:val="single"/>
        </w:rPr>
        <w:t>（采购文件中明确的所属行业）</w:t>
      </w:r>
      <w:r>
        <w:rPr>
          <w:rFonts w:hint="eastAsia" w:asciiTheme="minorEastAsia" w:hAnsiTheme="minorEastAsia" w:eastAsiaTheme="minorEastAsia" w:cstheme="minorEastAsia"/>
          <w:color w:val="auto"/>
          <w:spacing w:val="7"/>
          <w:sz w:val="24"/>
          <w:szCs w:val="24"/>
          <w:highlight w:val="none"/>
        </w:rPr>
        <w:t>行业；制造商为</w:t>
      </w:r>
      <w:r>
        <w:rPr>
          <w:rFonts w:hint="eastAsia" w:asciiTheme="minorEastAsia" w:hAnsiTheme="minorEastAsia" w:eastAsiaTheme="minorEastAsia" w:cstheme="minorEastAsia"/>
          <w:color w:val="auto"/>
          <w:spacing w:val="7"/>
          <w:sz w:val="24"/>
          <w:szCs w:val="24"/>
          <w:highlight w:val="none"/>
          <w:u w:val="single"/>
        </w:rPr>
        <w:t>（企业名</w:t>
      </w:r>
      <w:r>
        <w:rPr>
          <w:rFonts w:hint="eastAsia" w:asciiTheme="minorEastAsia" w:hAnsiTheme="minorEastAsia" w:eastAsiaTheme="minorEastAsia" w:cstheme="minorEastAsia"/>
          <w:color w:val="auto"/>
          <w:spacing w:val="3"/>
          <w:sz w:val="24"/>
          <w:szCs w:val="24"/>
          <w:highlight w:val="none"/>
          <w:u w:val="single"/>
        </w:rPr>
        <w:t>称</w:t>
      </w:r>
      <w:r>
        <w:rPr>
          <w:rFonts w:hint="eastAsia" w:asciiTheme="minorEastAsia" w:hAnsiTheme="minorEastAsia" w:eastAsiaTheme="minorEastAsia" w:cstheme="minorEastAsia"/>
          <w:color w:val="auto"/>
          <w:spacing w:val="-40"/>
          <w:sz w:val="24"/>
          <w:szCs w:val="24"/>
          <w:highlight w:val="none"/>
          <w:u w:val="single"/>
        </w:rPr>
        <w:t>）</w:t>
      </w:r>
      <w:r>
        <w:rPr>
          <w:rFonts w:hint="eastAsia" w:asciiTheme="minorEastAsia" w:hAnsiTheme="minorEastAsia" w:eastAsiaTheme="minorEastAsia" w:cstheme="minorEastAsia"/>
          <w:color w:val="auto"/>
          <w:spacing w:val="-40"/>
          <w:sz w:val="24"/>
          <w:szCs w:val="24"/>
          <w:highlight w:val="none"/>
        </w:rPr>
        <w:t>，</w:t>
      </w:r>
      <w:r>
        <w:rPr>
          <w:rFonts w:hint="eastAsia" w:asciiTheme="minorEastAsia" w:hAnsiTheme="minorEastAsia" w:eastAsiaTheme="minorEastAsia" w:cstheme="minorEastAsia"/>
          <w:color w:val="auto"/>
          <w:spacing w:val="3"/>
          <w:sz w:val="24"/>
          <w:szCs w:val="24"/>
          <w:highlight w:val="none"/>
        </w:rPr>
        <w:t>从业人员人，</w:t>
      </w:r>
      <w:r>
        <w:rPr>
          <w:rFonts w:hint="eastAsia" w:asciiTheme="minorEastAsia" w:hAnsiTheme="minorEastAsia" w:eastAsiaTheme="minorEastAsia" w:cstheme="minorEastAsia"/>
          <w:color w:val="auto"/>
          <w:spacing w:val="7"/>
          <w:sz w:val="24"/>
          <w:szCs w:val="24"/>
          <w:highlight w:val="none"/>
        </w:rPr>
        <w:t>营业收入为万元，资产总额为</w:t>
      </w:r>
      <w:r>
        <w:rPr>
          <w:rFonts w:hint="eastAsia" w:asciiTheme="minorEastAsia" w:hAnsiTheme="minorEastAsia" w:eastAsiaTheme="minorEastAsia" w:cstheme="minorEastAsia"/>
          <w:color w:val="auto"/>
          <w:spacing w:val="3"/>
          <w:sz w:val="24"/>
          <w:szCs w:val="24"/>
          <w:highlight w:val="none"/>
        </w:rPr>
        <w:t>，属于</w:t>
      </w:r>
      <w:r>
        <w:rPr>
          <w:rFonts w:hint="eastAsia" w:asciiTheme="minorEastAsia" w:hAnsiTheme="minorEastAsia" w:eastAsiaTheme="minorEastAsia" w:cstheme="minorEastAsia"/>
          <w:color w:val="auto"/>
          <w:spacing w:val="2"/>
          <w:sz w:val="24"/>
          <w:szCs w:val="24"/>
          <w:highlight w:val="none"/>
          <w:u w:val="single"/>
        </w:rPr>
        <w:t>（中型企业、小型企业、微型企业</w:t>
      </w:r>
      <w:r>
        <w:rPr>
          <w:rFonts w:hint="eastAsia" w:asciiTheme="minorEastAsia" w:hAnsiTheme="minorEastAsia" w:eastAsiaTheme="minorEastAsia" w:cstheme="minorEastAsia"/>
          <w:color w:val="auto"/>
          <w:spacing w:val="-51"/>
          <w:sz w:val="24"/>
          <w:szCs w:val="24"/>
          <w:highlight w:val="none"/>
          <w:u w:val="single"/>
        </w:rPr>
        <w:t>）</w:t>
      </w:r>
      <w:r>
        <w:rPr>
          <w:rFonts w:hint="eastAsia" w:asciiTheme="minorEastAsia" w:hAnsiTheme="minorEastAsia" w:eastAsiaTheme="minorEastAsia" w:cstheme="minorEastAsia"/>
          <w:color w:val="auto"/>
          <w:spacing w:val="-51"/>
          <w:sz w:val="24"/>
          <w:szCs w:val="24"/>
          <w:highlight w:val="none"/>
        </w:rPr>
        <w:t>；</w:t>
      </w:r>
    </w:p>
    <w:p w14:paraId="473D5167">
      <w:pPr>
        <w:pStyle w:val="4"/>
        <w:kinsoku/>
        <w:wordWrap w:val="0"/>
        <w:spacing w:line="360" w:lineRule="auto"/>
        <w:ind w:left="0" w:leftChars="0" w:firstLine="510" w:firstLineChars="200"/>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7"/>
          <w:sz w:val="24"/>
          <w:szCs w:val="24"/>
          <w:highlight w:val="none"/>
        </w:rPr>
        <w:t>2.</w:t>
      </w:r>
      <w:r>
        <w:rPr>
          <w:rFonts w:hint="eastAsia" w:asciiTheme="minorEastAsia" w:hAnsiTheme="minorEastAsia" w:eastAsiaTheme="minorEastAsia" w:cstheme="minorEastAsia"/>
          <w:color w:val="auto"/>
          <w:spacing w:val="7"/>
          <w:sz w:val="24"/>
          <w:szCs w:val="24"/>
          <w:highlight w:val="none"/>
          <w:u w:val="single"/>
        </w:rPr>
        <w:t>（标的名称</w:t>
      </w:r>
      <w:r>
        <w:rPr>
          <w:rFonts w:hint="eastAsia" w:asciiTheme="minorEastAsia" w:hAnsiTheme="minorEastAsia" w:eastAsiaTheme="minorEastAsia" w:cstheme="minorEastAsia"/>
          <w:color w:val="auto"/>
          <w:spacing w:val="-43"/>
          <w:sz w:val="24"/>
          <w:szCs w:val="24"/>
          <w:highlight w:val="none"/>
          <w:u w:val="single"/>
        </w:rPr>
        <w:t>）</w:t>
      </w:r>
      <w:r>
        <w:rPr>
          <w:rFonts w:hint="eastAsia" w:asciiTheme="minorEastAsia" w:hAnsiTheme="minorEastAsia" w:eastAsiaTheme="minorEastAsia" w:cstheme="minorEastAsia"/>
          <w:color w:val="auto"/>
          <w:spacing w:val="-43"/>
          <w:sz w:val="24"/>
          <w:szCs w:val="24"/>
          <w:highlight w:val="none"/>
        </w:rPr>
        <w:t>，</w:t>
      </w:r>
      <w:r>
        <w:rPr>
          <w:rFonts w:hint="eastAsia" w:asciiTheme="minorEastAsia" w:hAnsiTheme="minorEastAsia" w:eastAsiaTheme="minorEastAsia" w:cstheme="minorEastAsia"/>
          <w:color w:val="auto"/>
          <w:spacing w:val="7"/>
          <w:sz w:val="24"/>
          <w:szCs w:val="24"/>
          <w:highlight w:val="none"/>
        </w:rPr>
        <w:t>属于</w:t>
      </w:r>
      <w:r>
        <w:rPr>
          <w:rFonts w:hint="eastAsia" w:asciiTheme="minorEastAsia" w:hAnsiTheme="minorEastAsia" w:eastAsiaTheme="minorEastAsia" w:cstheme="minorEastAsia"/>
          <w:color w:val="auto"/>
          <w:spacing w:val="7"/>
          <w:sz w:val="24"/>
          <w:szCs w:val="24"/>
          <w:highlight w:val="none"/>
          <w:u w:val="single"/>
        </w:rPr>
        <w:t>（采购文件中明确的所属行业）</w:t>
      </w:r>
      <w:r>
        <w:rPr>
          <w:rFonts w:hint="eastAsia" w:asciiTheme="minorEastAsia" w:hAnsiTheme="minorEastAsia" w:eastAsiaTheme="minorEastAsia" w:cstheme="minorEastAsia"/>
          <w:color w:val="auto"/>
          <w:spacing w:val="7"/>
          <w:sz w:val="24"/>
          <w:szCs w:val="24"/>
          <w:highlight w:val="none"/>
        </w:rPr>
        <w:t>行业；制造商为</w:t>
      </w:r>
      <w:r>
        <w:rPr>
          <w:rFonts w:hint="eastAsia" w:asciiTheme="minorEastAsia" w:hAnsiTheme="minorEastAsia" w:eastAsiaTheme="minorEastAsia" w:cstheme="minorEastAsia"/>
          <w:color w:val="auto"/>
          <w:spacing w:val="7"/>
          <w:sz w:val="24"/>
          <w:szCs w:val="24"/>
          <w:highlight w:val="none"/>
          <w:u w:val="single"/>
        </w:rPr>
        <w:t>（企业名</w:t>
      </w:r>
      <w:r>
        <w:rPr>
          <w:rFonts w:hint="eastAsia" w:asciiTheme="minorEastAsia" w:hAnsiTheme="minorEastAsia" w:eastAsiaTheme="minorEastAsia" w:cstheme="minorEastAsia"/>
          <w:color w:val="auto"/>
          <w:spacing w:val="-5"/>
          <w:sz w:val="24"/>
          <w:szCs w:val="24"/>
          <w:highlight w:val="none"/>
          <w:u w:val="single"/>
        </w:rPr>
        <w:t>称</w:t>
      </w:r>
      <w:r>
        <w:rPr>
          <w:rFonts w:hint="eastAsia" w:asciiTheme="minorEastAsia" w:hAnsiTheme="minorEastAsia" w:eastAsiaTheme="minorEastAsia" w:cstheme="minorEastAsia"/>
          <w:color w:val="auto"/>
          <w:spacing w:val="-59"/>
          <w:w w:val="94"/>
          <w:sz w:val="24"/>
          <w:szCs w:val="24"/>
          <w:highlight w:val="none"/>
          <w:u w:val="single"/>
        </w:rPr>
        <w:t>）</w:t>
      </w:r>
      <w:r>
        <w:rPr>
          <w:rFonts w:hint="eastAsia" w:asciiTheme="minorEastAsia" w:hAnsiTheme="minorEastAsia" w:eastAsiaTheme="minorEastAsia" w:cstheme="minorEastAsia"/>
          <w:color w:val="auto"/>
          <w:spacing w:val="-59"/>
          <w:w w:val="94"/>
          <w:sz w:val="24"/>
          <w:szCs w:val="24"/>
          <w:highlight w:val="none"/>
        </w:rPr>
        <w:t>，</w:t>
      </w:r>
      <w:r>
        <w:rPr>
          <w:rFonts w:hint="eastAsia" w:asciiTheme="minorEastAsia" w:hAnsiTheme="minorEastAsia" w:eastAsiaTheme="minorEastAsia" w:cstheme="minorEastAsia"/>
          <w:color w:val="auto"/>
          <w:spacing w:val="-5"/>
          <w:sz w:val="24"/>
          <w:szCs w:val="24"/>
          <w:highlight w:val="none"/>
        </w:rPr>
        <w:t>从业人员人，营业收入为万元，资产总额为万元，属于</w:t>
      </w:r>
      <w:r>
        <w:rPr>
          <w:rFonts w:hint="eastAsia" w:asciiTheme="minorEastAsia" w:hAnsiTheme="minorEastAsia" w:eastAsiaTheme="minorEastAsia" w:cstheme="minorEastAsia"/>
          <w:color w:val="auto"/>
          <w:spacing w:val="-5"/>
          <w:sz w:val="24"/>
          <w:szCs w:val="24"/>
          <w:highlight w:val="none"/>
          <w:u w:val="single"/>
        </w:rPr>
        <w:t>（中</w:t>
      </w:r>
      <w:r>
        <w:rPr>
          <w:rFonts w:hint="eastAsia" w:asciiTheme="minorEastAsia" w:hAnsiTheme="minorEastAsia" w:eastAsiaTheme="minorEastAsia" w:cstheme="minorEastAsia"/>
          <w:color w:val="auto"/>
          <w:spacing w:val="9"/>
          <w:sz w:val="24"/>
          <w:szCs w:val="24"/>
          <w:highlight w:val="none"/>
          <w:u w:val="single"/>
        </w:rPr>
        <w:t>型企业、小型企业、微型企业</w:t>
      </w:r>
      <w:r>
        <w:rPr>
          <w:rFonts w:hint="eastAsia" w:asciiTheme="minorEastAsia" w:hAnsiTheme="minorEastAsia" w:eastAsiaTheme="minorEastAsia" w:cstheme="minorEastAsia"/>
          <w:color w:val="auto"/>
          <w:spacing w:val="-48"/>
          <w:sz w:val="24"/>
          <w:szCs w:val="24"/>
          <w:highlight w:val="none"/>
          <w:u w:val="single"/>
        </w:rPr>
        <w:t>）</w:t>
      </w:r>
      <w:r>
        <w:rPr>
          <w:rFonts w:hint="eastAsia" w:asciiTheme="minorEastAsia" w:hAnsiTheme="minorEastAsia" w:eastAsiaTheme="minorEastAsia" w:cstheme="minorEastAsia"/>
          <w:color w:val="auto"/>
          <w:spacing w:val="-48"/>
          <w:sz w:val="24"/>
          <w:szCs w:val="24"/>
          <w:highlight w:val="none"/>
        </w:rPr>
        <w:t>；</w:t>
      </w:r>
    </w:p>
    <w:p w14:paraId="10D45F06">
      <w:pPr>
        <w:kinsoku/>
        <w:wordWrap w:val="0"/>
        <w:spacing w:line="360" w:lineRule="auto"/>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2"/>
          <w:position w:val="1"/>
          <w:sz w:val="24"/>
          <w:szCs w:val="24"/>
          <w:highlight w:val="none"/>
        </w:rPr>
        <w:t>……</w:t>
      </w:r>
    </w:p>
    <w:p w14:paraId="46A394A3">
      <w:pPr>
        <w:pStyle w:val="4"/>
        <w:kinsoku/>
        <w:wordWrap w:val="0"/>
        <w:spacing w:line="360" w:lineRule="auto"/>
        <w:ind w:firstLine="498" w:firstLineChars="200"/>
        <w:jc w:val="both"/>
        <w:rPr>
          <w:rFonts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以上企业，不属于大企业的分支机构，不存在控股股东为大企业的情形，也不存在与大企业的负责人为同一人的情形。</w:t>
      </w:r>
    </w:p>
    <w:p w14:paraId="0538F3DA">
      <w:pPr>
        <w:pStyle w:val="4"/>
        <w:kinsoku/>
        <w:wordWrap w:val="0"/>
        <w:spacing w:line="360" w:lineRule="auto"/>
        <w:ind w:firstLine="498" w:firstLineChars="200"/>
        <w:jc w:val="both"/>
        <w:rPr>
          <w:rFonts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本企业对上述声明内容的真实性负责。如有虚假，将依法承担相应责任。</w:t>
      </w:r>
    </w:p>
    <w:p w14:paraId="4002E3A8">
      <w:pPr>
        <w:pStyle w:val="4"/>
        <w:kinsoku/>
        <w:wordWrap w:val="0"/>
        <w:spacing w:line="360" w:lineRule="auto"/>
        <w:ind w:firstLine="498" w:firstLineChars="200"/>
        <w:jc w:val="both"/>
        <w:rPr>
          <w:rFonts w:asciiTheme="minorEastAsia" w:hAnsiTheme="minorEastAsia" w:eastAsiaTheme="minorEastAsia" w:cstheme="minorEastAsia"/>
          <w:color w:val="auto"/>
          <w:spacing w:val="4"/>
          <w:sz w:val="24"/>
          <w:szCs w:val="24"/>
          <w:highlight w:val="none"/>
        </w:rPr>
      </w:pPr>
    </w:p>
    <w:p w14:paraId="3073E485">
      <w:pPr>
        <w:kinsoku/>
        <w:wordWrap w:val="0"/>
        <w:spacing w:line="360" w:lineRule="auto"/>
        <w:jc w:val="both"/>
        <w:rPr>
          <w:rFonts w:asciiTheme="minorEastAsia" w:hAnsiTheme="minorEastAsia" w:eastAsiaTheme="minorEastAsia" w:cstheme="minorEastAsia"/>
          <w:color w:val="auto"/>
          <w:highlight w:val="none"/>
        </w:rPr>
      </w:pPr>
    </w:p>
    <w:p w14:paraId="6DB3BFDF">
      <w:pPr>
        <w:pStyle w:val="4"/>
        <w:kinsoku/>
        <w:wordWrap w:val="0"/>
        <w:spacing w:line="360" w:lineRule="auto"/>
        <w:ind w:firstLine="3856" w:firstLineChars="19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9"/>
          <w:sz w:val="24"/>
          <w:szCs w:val="24"/>
          <w:highlight w:val="none"/>
        </w:rPr>
        <w:t>企业名称（盖章</w:t>
      </w:r>
      <w:r>
        <w:rPr>
          <w:rFonts w:hint="eastAsia" w:asciiTheme="minorEastAsia" w:hAnsiTheme="minorEastAsia" w:eastAsiaTheme="minorEastAsia" w:cstheme="minorEastAsia"/>
          <w:color w:val="auto"/>
          <w:spacing w:val="-2"/>
          <w:sz w:val="24"/>
          <w:szCs w:val="24"/>
          <w:highlight w:val="none"/>
        </w:rPr>
        <w:t>）：</w:t>
      </w:r>
    </w:p>
    <w:p w14:paraId="5FE986D6">
      <w:pPr>
        <w:kinsoku/>
        <w:wordWrap w:val="0"/>
        <w:spacing w:line="360" w:lineRule="auto"/>
        <w:ind w:firstLine="3600" w:firstLineChars="1500"/>
        <w:jc w:val="both"/>
        <w:rPr>
          <w:rFonts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日期：</w:t>
      </w:r>
      <w:r>
        <w:rPr>
          <w:rFonts w:hint="eastAsia" w:asciiTheme="minorEastAsia" w:hAnsiTheme="minorEastAsia" w:eastAsiaTheme="minorEastAsia" w:cstheme="minorEastAsia"/>
          <w:color w:val="auto"/>
          <w:spacing w:val="-8"/>
          <w:sz w:val="24"/>
          <w:szCs w:val="24"/>
          <w:highlight w:val="none"/>
          <w:lang w:eastAsia="zh-CN"/>
        </w:rPr>
        <w:t>年月日</w:t>
      </w:r>
    </w:p>
    <w:p w14:paraId="402DC388">
      <w:pPr>
        <w:pStyle w:val="4"/>
        <w:kinsoku/>
        <w:wordWrap w:val="0"/>
        <w:spacing w:line="360" w:lineRule="auto"/>
        <w:ind w:firstLine="12135" w:firstLineChars="4200"/>
        <w:jc w:val="both"/>
        <w:rPr>
          <w:rFonts w:asciiTheme="minorEastAsia" w:hAnsiTheme="minorEastAsia" w:eastAsiaTheme="minorEastAsia" w:cstheme="minorEastAsia"/>
          <w:color w:val="auto"/>
          <w:sz w:val="24"/>
          <w:szCs w:val="24"/>
          <w:highlight w:val="none"/>
        </w:rPr>
      </w:pPr>
    </w:p>
    <w:p w14:paraId="525F4F1B">
      <w:pPr>
        <w:kinsoku/>
        <w:wordWrap w:val="0"/>
        <w:spacing w:line="360" w:lineRule="auto"/>
        <w:jc w:val="both"/>
        <w:rPr>
          <w:rFonts w:asciiTheme="minorEastAsia" w:hAnsiTheme="minorEastAsia" w:eastAsiaTheme="minorEastAsia" w:cstheme="minorEastAsia"/>
          <w:color w:val="auto"/>
          <w:highlight w:val="none"/>
        </w:rPr>
      </w:pPr>
    </w:p>
    <w:p w14:paraId="0D5692FC">
      <w:pPr>
        <w:pStyle w:val="4"/>
        <w:kinsoku/>
        <w:wordWrap w:val="0"/>
        <w:spacing w:line="360" w:lineRule="auto"/>
        <w:ind w:left="0" w:leftChars="0" w:firstLine="0" w:firstLineChars="0"/>
        <w:jc w:val="both"/>
        <w:rPr>
          <w:rFonts w:asciiTheme="minorEastAsia" w:hAnsiTheme="minorEastAsia" w:eastAsiaTheme="minorEastAsia" w:cstheme="minorEastAsia"/>
          <w:color w:val="auto"/>
          <w:spacing w:val="9"/>
          <w:highlight w:val="none"/>
        </w:rPr>
        <w:sectPr>
          <w:pgSz w:w="11907" w:h="16840"/>
          <w:pgMar w:top="1440" w:right="1800" w:bottom="1440" w:left="1800" w:header="878" w:footer="886" w:gutter="0"/>
          <w:cols w:space="720" w:num="1"/>
        </w:sectPr>
      </w:pPr>
      <w:r>
        <w:rPr>
          <w:rFonts w:hint="eastAsia" w:asciiTheme="minorEastAsia" w:hAnsiTheme="minorEastAsia" w:eastAsiaTheme="minorEastAsia" w:cstheme="minorEastAsia"/>
          <w:color w:val="auto"/>
          <w:spacing w:val="9"/>
          <w:sz w:val="24"/>
          <w:szCs w:val="24"/>
          <w:highlight w:val="none"/>
          <w:lang w:eastAsia="zh-CN"/>
        </w:rPr>
        <w:t>备注：</w:t>
      </w:r>
      <w:r>
        <w:rPr>
          <w:rFonts w:hint="eastAsia" w:asciiTheme="minorEastAsia" w:hAnsiTheme="minorEastAsia" w:eastAsiaTheme="minorEastAsia" w:cstheme="minorEastAsia"/>
          <w:color w:val="auto"/>
          <w:spacing w:val="9"/>
          <w:sz w:val="24"/>
          <w:szCs w:val="24"/>
          <w:highlight w:val="none"/>
        </w:rPr>
        <w:t>从业人员、营业收入、资产总额填报上一年度数据，无上一年度数据的新成立企业可不填报</w:t>
      </w:r>
      <w:r>
        <w:rPr>
          <w:rFonts w:hint="eastAsia" w:asciiTheme="minorEastAsia" w:hAnsiTheme="minorEastAsia" w:eastAsiaTheme="minorEastAsia" w:cstheme="minorEastAsia"/>
          <w:color w:val="auto"/>
          <w:spacing w:val="9"/>
          <w:sz w:val="24"/>
          <w:szCs w:val="24"/>
          <w:highlight w:val="none"/>
          <w:lang w:eastAsia="zh-CN"/>
        </w:rPr>
        <w:t>。</w:t>
      </w:r>
    </w:p>
    <w:p w14:paraId="129A4DD7">
      <w:pPr>
        <w:pStyle w:val="4"/>
        <w:kinsoku/>
        <w:wordWrap w:val="0"/>
        <w:spacing w:line="360" w:lineRule="auto"/>
        <w:jc w:val="both"/>
        <w:rPr>
          <w:rFonts w:asciiTheme="minorEastAsia" w:hAnsiTheme="minorEastAsia" w:eastAsiaTheme="minorEastAsia" w:cstheme="minorEastAsia"/>
          <w:color w:val="auto"/>
          <w:sz w:val="32"/>
          <w:szCs w:val="32"/>
          <w:highlight w:val="none"/>
        </w:rPr>
      </w:pPr>
    </w:p>
    <w:p w14:paraId="09A85684">
      <w:pPr>
        <w:kinsoku/>
        <w:wordWrap w:val="0"/>
        <w:spacing w:line="360" w:lineRule="auto"/>
        <w:jc w:val="center"/>
        <w:rPr>
          <w:rFonts w:hint="eastAsia" w:asciiTheme="minorEastAsia" w:hAnsiTheme="minorEastAsia" w:eastAsiaTheme="minorEastAsia" w:cstheme="minorEastAsia"/>
          <w:b/>
          <w:color w:val="auto"/>
          <w:spacing w:val="4"/>
          <w:sz w:val="36"/>
          <w:szCs w:val="36"/>
          <w:highlight w:val="none"/>
          <w:lang w:val="zh-CN" w:eastAsia="zh-CN" w:bidi="zh-CN"/>
        </w:rPr>
      </w:pPr>
      <w:r>
        <w:rPr>
          <w:rFonts w:hint="eastAsia" w:asciiTheme="minorEastAsia" w:hAnsiTheme="minorEastAsia" w:eastAsiaTheme="minorEastAsia" w:cstheme="minorEastAsia"/>
          <w:b/>
          <w:color w:val="auto"/>
          <w:spacing w:val="4"/>
          <w:sz w:val="36"/>
          <w:szCs w:val="36"/>
          <w:highlight w:val="none"/>
          <w:lang w:val="zh-CN" w:eastAsia="zh-CN" w:bidi="zh-CN"/>
        </w:rPr>
        <w:t>残疾人福利性单位声明函格式</w:t>
      </w:r>
    </w:p>
    <w:p w14:paraId="698E0E40">
      <w:pPr>
        <w:kinsoku/>
        <w:wordWrap w:val="0"/>
        <w:spacing w:line="360" w:lineRule="auto"/>
        <w:jc w:val="center"/>
        <w:rPr>
          <w:rFonts w:hint="eastAsia" w:asciiTheme="minorEastAsia" w:hAnsiTheme="minorEastAsia" w:eastAsiaTheme="minorEastAsia" w:cstheme="minorEastAsia"/>
          <w:b/>
          <w:color w:val="auto"/>
          <w:spacing w:val="4"/>
          <w:sz w:val="24"/>
          <w:szCs w:val="24"/>
          <w:highlight w:val="none"/>
          <w:lang w:val="zh-CN" w:eastAsia="zh-CN" w:bidi="zh-CN"/>
        </w:rPr>
      </w:pPr>
    </w:p>
    <w:p w14:paraId="532B6278">
      <w:pPr>
        <w:kinsoku/>
        <w:wordWrap w:val="0"/>
        <w:spacing w:line="360" w:lineRule="auto"/>
        <w:jc w:val="left"/>
        <w:rPr>
          <w:rFonts w:hint="eastAsia" w:asciiTheme="minorEastAsia" w:hAnsiTheme="minorEastAsia" w:eastAsiaTheme="minorEastAsia" w:cstheme="minorEastAsia"/>
          <w:b/>
          <w:color w:val="auto"/>
          <w:spacing w:val="4"/>
          <w:sz w:val="24"/>
          <w:szCs w:val="24"/>
          <w:highlight w:val="none"/>
          <w:lang w:val="zh-CN" w:eastAsia="zh-CN" w:bidi="zh-CN"/>
        </w:rPr>
      </w:pPr>
      <w:r>
        <w:rPr>
          <w:rFonts w:hint="eastAsia" w:asciiTheme="minorEastAsia" w:hAnsiTheme="minorEastAsia" w:eastAsiaTheme="minorEastAsia" w:cstheme="minorEastAsia"/>
          <w:b/>
          <w:color w:val="auto"/>
          <w:spacing w:val="4"/>
          <w:sz w:val="24"/>
          <w:szCs w:val="24"/>
          <w:highlight w:val="none"/>
          <w:lang w:val="en-US" w:eastAsia="zh-CN" w:bidi="zh-CN"/>
        </w:rPr>
        <w:t xml:space="preserve">    </w:t>
      </w:r>
      <w:r>
        <w:rPr>
          <w:rFonts w:hint="eastAsia" w:asciiTheme="minorEastAsia" w:hAnsiTheme="minorEastAsia" w:eastAsiaTheme="minorEastAsia" w:cstheme="minorEastAsia"/>
          <w:b/>
          <w:color w:val="auto"/>
          <w:spacing w:val="4"/>
          <w:sz w:val="24"/>
          <w:szCs w:val="24"/>
          <w:highlight w:val="none"/>
          <w:lang w:val="zh-CN" w:eastAsia="zh-CN" w:bidi="zh-CN"/>
        </w:rPr>
        <w:t>本单位郑重声明，根据《财政部民政部中国残疾人联合会关于促进残疾人就业政府采购政策的通知》（财库〔2017〕141号）的规定，本单位（请进行选择）：□不属于符合条件的残疾人福利性单位。□属于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19B43D23">
      <w:pPr>
        <w:kinsoku/>
        <w:wordWrap w:val="0"/>
        <w:spacing w:line="360" w:lineRule="auto"/>
        <w:ind w:firstLine="498" w:firstLineChars="200"/>
        <w:jc w:val="both"/>
        <w:rPr>
          <w:rFonts w:hint="eastAsia" w:asciiTheme="minorEastAsia" w:hAnsiTheme="minorEastAsia" w:eastAsiaTheme="minorEastAsia" w:cstheme="minorEastAsia"/>
          <w:b/>
          <w:color w:val="auto"/>
          <w:spacing w:val="4"/>
          <w:sz w:val="24"/>
          <w:szCs w:val="24"/>
          <w:highlight w:val="none"/>
          <w:lang w:val="zh-CN" w:eastAsia="zh-CN" w:bidi="zh-CN"/>
        </w:rPr>
      </w:pPr>
      <w:r>
        <w:rPr>
          <w:rFonts w:hint="eastAsia" w:asciiTheme="minorEastAsia" w:hAnsiTheme="minorEastAsia" w:eastAsiaTheme="minorEastAsia" w:cstheme="minorEastAsia"/>
          <w:b/>
          <w:color w:val="auto"/>
          <w:spacing w:val="4"/>
          <w:sz w:val="24"/>
          <w:szCs w:val="24"/>
          <w:highlight w:val="none"/>
          <w:lang w:val="zh-CN" w:eastAsia="zh-CN" w:bidi="zh-CN"/>
        </w:rPr>
        <w:t>本单位对上述声明的真实性负责。如有虚假，将依法承担相应责任。</w:t>
      </w:r>
    </w:p>
    <w:p w14:paraId="36B84FAC">
      <w:pPr>
        <w:kinsoku/>
        <w:wordWrap w:val="0"/>
        <w:spacing w:line="360" w:lineRule="auto"/>
        <w:jc w:val="both"/>
        <w:rPr>
          <w:rFonts w:asciiTheme="minorEastAsia" w:hAnsiTheme="minorEastAsia" w:eastAsiaTheme="minorEastAsia" w:cstheme="minorEastAsia"/>
          <w:color w:val="auto"/>
          <w:highlight w:val="none"/>
        </w:rPr>
      </w:pPr>
    </w:p>
    <w:p w14:paraId="1A836F17">
      <w:pPr>
        <w:kinsoku/>
        <w:wordWrap w:val="0"/>
        <w:spacing w:line="360" w:lineRule="auto"/>
        <w:jc w:val="both"/>
        <w:rPr>
          <w:rFonts w:asciiTheme="minorEastAsia" w:hAnsiTheme="minorEastAsia" w:eastAsiaTheme="minorEastAsia" w:cstheme="minorEastAsia"/>
          <w:color w:val="auto"/>
          <w:highlight w:val="none"/>
        </w:rPr>
      </w:pPr>
    </w:p>
    <w:p w14:paraId="4D0BA3A4">
      <w:pPr>
        <w:pStyle w:val="4"/>
        <w:kinsoku/>
        <w:wordWrap w:val="0"/>
        <w:spacing w:line="360" w:lineRule="auto"/>
        <w:ind w:firstLine="5139" w:firstLineChars="20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position w:val="26"/>
          <w:sz w:val="24"/>
          <w:szCs w:val="24"/>
          <w:highlight w:val="none"/>
        </w:rPr>
        <w:t>单位名称（盖章</w:t>
      </w:r>
      <w:r>
        <w:rPr>
          <w:rFonts w:hint="eastAsia" w:asciiTheme="minorEastAsia" w:hAnsiTheme="minorEastAsia" w:eastAsiaTheme="minorEastAsia" w:cstheme="minorEastAsia"/>
          <w:color w:val="auto"/>
          <w:spacing w:val="-60"/>
          <w:position w:val="26"/>
          <w:sz w:val="24"/>
          <w:szCs w:val="24"/>
          <w:highlight w:val="none"/>
        </w:rPr>
        <w:t>）：</w:t>
      </w:r>
    </w:p>
    <w:p w14:paraId="2CC72693">
      <w:pPr>
        <w:widowControl w:val="0"/>
        <w:kinsoku/>
        <w:wordWrap w:val="0"/>
        <w:spacing w:line="360" w:lineRule="auto"/>
        <w:ind w:firstLine="5152" w:firstLineChars="2300"/>
        <w:jc w:val="both"/>
        <w:rPr>
          <w:rFonts w:asciiTheme="minorEastAsia" w:hAnsiTheme="minorEastAsia" w:eastAsiaTheme="minorEastAsia" w:cstheme="minorEastAsia"/>
          <w:color w:val="auto"/>
          <w:sz w:val="36"/>
          <w:szCs w:val="36"/>
          <w:highlight w:val="none"/>
          <w:lang w:eastAsia="zh-CN"/>
        </w:rPr>
      </w:pPr>
      <w:r>
        <w:rPr>
          <w:rFonts w:hint="eastAsia" w:asciiTheme="minorEastAsia" w:hAnsiTheme="minorEastAsia" w:eastAsiaTheme="minorEastAsia" w:cstheme="minorEastAsia"/>
          <w:color w:val="auto"/>
          <w:spacing w:val="-8"/>
          <w:sz w:val="24"/>
          <w:szCs w:val="24"/>
          <w:highlight w:val="none"/>
          <w:lang w:eastAsia="zh-CN"/>
        </w:rPr>
        <w:t>日期：年月日</w:t>
      </w:r>
    </w:p>
    <w:p w14:paraId="58BF559E">
      <w:pPr>
        <w:kinsoku/>
        <w:wordWrap w:val="0"/>
        <w:spacing w:line="360" w:lineRule="auto"/>
        <w:jc w:val="center"/>
        <w:rPr>
          <w:rFonts w:ascii="宋体" w:hAnsi="宋体"/>
          <w:b/>
          <w:color w:val="auto"/>
          <w:sz w:val="28"/>
          <w:szCs w:val="28"/>
          <w:highlight w:val="none"/>
          <w:lang w:eastAsia="zh-CN"/>
        </w:rPr>
      </w:pPr>
      <w:r>
        <w:rPr>
          <w:rFonts w:hint="eastAsia" w:asciiTheme="minorEastAsia" w:hAnsiTheme="minorEastAsia" w:eastAsiaTheme="minorEastAsia" w:cstheme="minorEastAsia"/>
          <w:color w:val="auto"/>
          <w:sz w:val="36"/>
          <w:szCs w:val="36"/>
          <w:highlight w:val="none"/>
          <w:lang w:eastAsia="zh-CN"/>
        </w:rPr>
        <w:t>监狱企业声明函格式</w:t>
      </w:r>
    </w:p>
    <w:p w14:paraId="75389221">
      <w:pPr>
        <w:kinsoku/>
        <w:wordWrap w:val="0"/>
        <w:spacing w:line="360" w:lineRule="auto"/>
        <w:ind w:firstLine="508" w:firstLineChars="200"/>
        <w:jc w:val="both"/>
        <w:rPr>
          <w:rFonts w:asciiTheme="minorEastAsia" w:hAnsiTheme="minorEastAsia" w:eastAsiaTheme="minorEastAsia" w:cstheme="minorEastAsia"/>
          <w:color w:val="auto"/>
          <w:spacing w:val="7"/>
          <w:sz w:val="24"/>
          <w:szCs w:val="24"/>
          <w:highlight w:val="none"/>
          <w:lang w:eastAsia="zh-CN"/>
        </w:rPr>
      </w:pPr>
      <w:r>
        <w:rPr>
          <w:rFonts w:hint="eastAsia" w:asciiTheme="minorEastAsia" w:hAnsiTheme="minorEastAsia" w:eastAsiaTheme="minorEastAsia" w:cstheme="minorEastAsia"/>
          <w:color w:val="auto"/>
          <w:spacing w:val="7"/>
          <w:sz w:val="24"/>
          <w:szCs w:val="24"/>
          <w:highlight w:val="none"/>
          <w:lang w:eastAsia="zh-CN"/>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7DB9CF37">
      <w:pPr>
        <w:kinsoku/>
        <w:wordWrap w:val="0"/>
        <w:spacing w:line="360" w:lineRule="auto"/>
        <w:ind w:firstLine="508" w:firstLineChars="200"/>
        <w:jc w:val="both"/>
        <w:rPr>
          <w:rFonts w:asciiTheme="minorEastAsia" w:hAnsiTheme="minorEastAsia" w:eastAsiaTheme="minorEastAsia" w:cstheme="minorEastAsia"/>
          <w:color w:val="auto"/>
          <w:spacing w:val="7"/>
          <w:sz w:val="24"/>
          <w:szCs w:val="24"/>
          <w:highlight w:val="none"/>
          <w:lang w:eastAsia="zh-CN"/>
        </w:rPr>
      </w:pPr>
      <w:r>
        <w:rPr>
          <w:rFonts w:hint="eastAsia" w:asciiTheme="minorEastAsia" w:hAnsiTheme="minorEastAsia" w:eastAsiaTheme="minorEastAsia" w:cstheme="minorEastAsia"/>
          <w:color w:val="auto"/>
          <w:spacing w:val="7"/>
          <w:sz w:val="24"/>
          <w:szCs w:val="24"/>
          <w:highlight w:val="none"/>
          <w:lang w:eastAsia="zh-CN"/>
        </w:rPr>
        <w:t>本企业对上述声明的真实性负责。如有虚假，将依法承担相应责任。</w:t>
      </w:r>
    </w:p>
    <w:p w14:paraId="31963C94">
      <w:pPr>
        <w:tabs>
          <w:tab w:val="left" w:pos="4860"/>
        </w:tabs>
        <w:kinsoku/>
        <w:wordWrap w:val="0"/>
        <w:spacing w:line="360" w:lineRule="auto"/>
        <w:ind w:firstLine="508" w:firstLineChars="200"/>
        <w:jc w:val="both"/>
        <w:rPr>
          <w:rFonts w:asciiTheme="minorEastAsia" w:hAnsiTheme="minorEastAsia" w:eastAsiaTheme="minorEastAsia" w:cstheme="minorEastAsia"/>
          <w:color w:val="auto"/>
          <w:spacing w:val="7"/>
          <w:sz w:val="24"/>
          <w:szCs w:val="24"/>
          <w:highlight w:val="none"/>
          <w:lang w:eastAsia="zh-CN"/>
        </w:rPr>
      </w:pPr>
    </w:p>
    <w:p w14:paraId="2962129C">
      <w:pPr>
        <w:tabs>
          <w:tab w:val="left" w:pos="4860"/>
        </w:tabs>
        <w:kinsoku/>
        <w:wordWrap w:val="0"/>
        <w:spacing w:line="360" w:lineRule="auto"/>
        <w:ind w:firstLine="508" w:firstLineChars="200"/>
        <w:jc w:val="both"/>
        <w:rPr>
          <w:rFonts w:asciiTheme="minorEastAsia" w:hAnsiTheme="minorEastAsia" w:eastAsiaTheme="minorEastAsia" w:cstheme="minorEastAsia"/>
          <w:color w:val="auto"/>
          <w:spacing w:val="7"/>
          <w:sz w:val="24"/>
          <w:szCs w:val="24"/>
          <w:highlight w:val="none"/>
          <w:lang w:eastAsia="zh-CN"/>
        </w:rPr>
      </w:pPr>
      <w:r>
        <w:rPr>
          <w:rFonts w:hint="eastAsia" w:asciiTheme="minorEastAsia" w:hAnsiTheme="minorEastAsia" w:eastAsiaTheme="minorEastAsia" w:cstheme="minorEastAsia"/>
          <w:color w:val="auto"/>
          <w:spacing w:val="7"/>
          <w:sz w:val="24"/>
          <w:szCs w:val="24"/>
          <w:highlight w:val="none"/>
          <w:lang w:eastAsia="zh-CN"/>
        </w:rPr>
        <w:t>企业名称（盖章）：</w:t>
      </w:r>
    </w:p>
    <w:p w14:paraId="78F53CB0">
      <w:pPr>
        <w:kinsoku/>
        <w:wordWrap w:val="0"/>
        <w:spacing w:line="360" w:lineRule="auto"/>
        <w:ind w:firstLine="4320" w:firstLineChars="1800"/>
        <w:jc w:val="both"/>
        <w:rPr>
          <w:rFonts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日期：</w:t>
      </w:r>
      <w:r>
        <w:rPr>
          <w:rFonts w:hint="eastAsia" w:asciiTheme="minorEastAsia" w:hAnsiTheme="minorEastAsia" w:eastAsiaTheme="minorEastAsia" w:cstheme="minorEastAsia"/>
          <w:color w:val="auto"/>
          <w:spacing w:val="-8"/>
          <w:sz w:val="24"/>
          <w:szCs w:val="24"/>
          <w:highlight w:val="none"/>
          <w:lang w:eastAsia="zh-CN"/>
        </w:rPr>
        <w:t>年月日</w:t>
      </w:r>
    </w:p>
    <w:p w14:paraId="1B909D3C">
      <w:pPr>
        <w:kinsoku/>
        <w:wordWrap w:val="0"/>
        <w:spacing w:line="360" w:lineRule="auto"/>
        <w:jc w:val="both"/>
        <w:rPr>
          <w:rFonts w:asciiTheme="minorEastAsia" w:hAnsiTheme="minorEastAsia" w:eastAsiaTheme="minorEastAsia" w:cstheme="minorEastAsia"/>
          <w:b/>
          <w:bCs/>
          <w:color w:val="auto"/>
          <w:spacing w:val="8"/>
          <w:position w:val="26"/>
          <w:sz w:val="24"/>
          <w:szCs w:val="24"/>
          <w:highlight w:val="none"/>
        </w:rPr>
      </w:pPr>
      <w:r>
        <w:rPr>
          <w:rFonts w:hint="eastAsia" w:asciiTheme="minorEastAsia" w:hAnsiTheme="minorEastAsia" w:eastAsiaTheme="minorEastAsia" w:cstheme="minorEastAsia"/>
          <w:b/>
          <w:bCs/>
          <w:color w:val="auto"/>
          <w:spacing w:val="8"/>
          <w:position w:val="26"/>
          <w:sz w:val="24"/>
          <w:szCs w:val="24"/>
          <w:highlight w:val="none"/>
          <w:lang w:eastAsia="zh-CN"/>
        </w:rPr>
        <w:t>1</w:t>
      </w:r>
      <w:r>
        <w:rPr>
          <w:rFonts w:hint="eastAsia" w:asciiTheme="minorEastAsia" w:hAnsiTheme="minorEastAsia" w:cstheme="minorEastAsia"/>
          <w:b/>
          <w:bCs/>
          <w:color w:val="auto"/>
          <w:spacing w:val="8"/>
          <w:position w:val="26"/>
          <w:sz w:val="24"/>
          <w:szCs w:val="24"/>
          <w:highlight w:val="none"/>
          <w:lang w:val="en-US" w:eastAsia="zh-CN"/>
        </w:rPr>
        <w:t>0</w:t>
      </w:r>
      <w:r>
        <w:rPr>
          <w:rFonts w:hint="eastAsia" w:asciiTheme="minorEastAsia" w:hAnsiTheme="minorEastAsia" w:eastAsiaTheme="minorEastAsia" w:cstheme="minorEastAsia"/>
          <w:b/>
          <w:bCs/>
          <w:color w:val="auto"/>
          <w:spacing w:val="8"/>
          <w:position w:val="26"/>
          <w:sz w:val="24"/>
          <w:szCs w:val="24"/>
          <w:highlight w:val="none"/>
          <w:lang w:eastAsia="zh-CN"/>
        </w:rPr>
        <w:t>.招标文件要求的其它材料及投标人认为有必要提供的材料</w:t>
      </w:r>
    </w:p>
    <w:p w14:paraId="3D50328C">
      <w:pPr>
        <w:rPr>
          <w:color w:val="auto"/>
          <w:highlight w:val="none"/>
        </w:rPr>
      </w:pPr>
    </w:p>
    <w:p w14:paraId="0C90F8FB">
      <w:pPr>
        <w:rPr>
          <w:color w:val="auto"/>
          <w:highlight w:val="none"/>
        </w:rPr>
      </w:pPr>
    </w:p>
    <w:sectPr>
      <w:headerReference r:id="rId14" w:type="default"/>
      <w:footerReference r:id="rId15" w:type="default"/>
      <w:pgSz w:w="12240" w:h="15840"/>
      <w:pgMar w:top="1440" w:right="1080" w:bottom="1440" w:left="1080" w:header="825" w:footer="83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Symbol">
    <w:panose1 w:val="020B0502040204020203"/>
    <w:charset w:val="00"/>
    <w:family w:val="swiss"/>
    <w:pitch w:val="default"/>
    <w:sig w:usb0="800001E3" w:usb1="1200FFEF" w:usb2="00040000" w:usb3="04000000" w:csb0="00000001" w:csb1="4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3248A">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9BA2B">
    <w:pPr>
      <w:pStyle w:val="8"/>
    </w:pPr>
    <w:r>
      <w:rPr>
        <w:lang w:val="en-US" w:bidi="ar-S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53C7BD">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5553C7BD">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5F214">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483E7">
    <w:pPr>
      <w:spacing w:line="176" w:lineRule="auto"/>
      <w:ind w:left="4826"/>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D0A17">
    <w:pPr>
      <w:spacing w:line="189" w:lineRule="auto"/>
      <w:ind w:left="4547"/>
      <w:rPr>
        <w:sz w:val="18"/>
        <w:szCs w:val="18"/>
      </w:rPr>
    </w:pPr>
    <w:r>
      <w:rPr>
        <w:snapToGrid w:val="0"/>
        <w:sz w:val="18"/>
        <w:szCs w:val="21"/>
        <w:lang w:eastAsia="en-US"/>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D617832">
                          <w:pPr>
                            <w:pStyle w:val="8"/>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0kBJ9tIBAACiAwAADgAAAAAAAAABACAAAAAfAQAA&#10;ZHJzL2Uyb0RvYy54bWxQSwUGAAAAAAYABgBZAQAAYwUAAAAA&#10;">
              <v:fill on="f" focussize="0,0"/>
              <v:stroke on="f" weight="0.5pt"/>
              <v:imagedata o:title=""/>
              <o:lock v:ext="edit" aspectratio="f"/>
              <v:textbox inset="0mm,0mm,0mm,0mm" style="mso-fit-shape-to-text:t;">
                <w:txbxContent>
                  <w:p w14:paraId="5D617832">
                    <w:pPr>
                      <w:pStyle w:val="8"/>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9FE5C">
    <w:pPr>
      <w:spacing w:line="154" w:lineRule="exact"/>
      <w:rPr>
        <w:rFonts w:ascii="Arial" w:hAnsi="Arial" w:eastAsia="Arial" w:cs="Arial"/>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939651">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1939651">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69687">
    <w:pPr>
      <w:spacing w:line="189" w:lineRule="auto"/>
      <w:ind w:left="4435"/>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BD61E43">
                          <w:pPr>
                            <w:pStyle w:val="8"/>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38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ohXI5AgAAc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DohXI5AgAAcQQAAA4AAAAAAAAAAQAgAAAAHwEAAGRycy9lMm9Eb2Mu&#10;eG1sUEsFBgAAAAAGAAYAWQEAAMoFAAAAAA==&#10;">
              <v:fill on="f" focussize="0,0"/>
              <v:stroke on="f" weight="0.5pt"/>
              <v:imagedata o:title=""/>
              <o:lock v:ext="edit" aspectratio="f"/>
              <v:textbox inset="0mm,0mm,0mm,0mm" style="mso-fit-shape-to-text:t;">
                <w:txbxContent>
                  <w:p w14:paraId="5BD61E43">
                    <w:pPr>
                      <w:pStyle w:val="8"/>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38</w:t>
                    </w:r>
                    <w:r>
                      <w:rPr>
                        <w:rFonts w:hint="eastAsia" w:eastAsia="宋体"/>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17FFE">
    <w:pPr>
      <w:spacing w:line="189" w:lineRule="auto"/>
      <w:ind w:left="4538"/>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1CBD60F">
                          <w:pPr>
                            <w:pStyle w:val="8"/>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41CBD60F">
                    <w:pPr>
                      <w:pStyle w:val="8"/>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49</w:t>
                    </w:r>
                    <w:r>
                      <w:rPr>
                        <w:rFonts w:hint="eastAsia" w:eastAsia="宋体"/>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DD999">
    <w:pPr>
      <w:pStyle w:val="4"/>
      <w:ind w:firstLine="2891"/>
      <w:rPr>
        <w:sz w:val="20"/>
      </w:rPr>
    </w:pPr>
    <w:r>
      <w:rPr>
        <w:lang w:val="en-US" w:bidi="ar-SA"/>
      </w:rPr>
      <mc:AlternateContent>
        <mc:Choice Requires="wps">
          <w:drawing>
            <wp:anchor distT="0" distB="0" distL="114300" distR="114300" simplePos="0" relativeHeight="251661312" behindDoc="1" locked="0" layoutInCell="1" allowOverlap="1">
              <wp:simplePos x="0" y="0"/>
              <wp:positionH relativeFrom="page">
                <wp:posOffset>1226185</wp:posOffset>
              </wp:positionH>
              <wp:positionV relativeFrom="page">
                <wp:posOffset>9389110</wp:posOffset>
              </wp:positionV>
              <wp:extent cx="92710" cy="160020"/>
              <wp:effectExtent l="0" t="0" r="0" b="0"/>
              <wp:wrapNone/>
              <wp:docPr id="23" name="文本框 20"/>
              <wp:cNvGraphicFramePr/>
              <a:graphic xmlns:a="http://schemas.openxmlformats.org/drawingml/2006/main">
                <a:graphicData uri="http://schemas.microsoft.com/office/word/2010/wordprocessingShape">
                  <wps:wsp>
                    <wps:cNvSpPr txBox="1"/>
                    <wps:spPr>
                      <a:xfrm>
                        <a:off x="0" y="0"/>
                        <a:ext cx="92710" cy="160020"/>
                      </a:xfrm>
                      <a:prstGeom prst="rect">
                        <a:avLst/>
                      </a:prstGeom>
                      <a:noFill/>
                      <a:ln>
                        <a:noFill/>
                      </a:ln>
                    </wps:spPr>
                    <wps:txbx>
                      <w:txbxContent>
                        <w:p w14:paraId="4AB4F8F6">
                          <w:pPr>
                            <w:spacing w:line="251" w:lineRule="exact"/>
                            <w:ind w:left="20"/>
                            <w:rPr>
                              <w:rFonts w:hint="eastAsia" w:eastAsia="宋体"/>
                              <w:sz w:val="21"/>
                              <w:lang w:eastAsia="zh-CN"/>
                            </w:rPr>
                          </w:pPr>
                        </w:p>
                      </w:txbxContent>
                    </wps:txbx>
                    <wps:bodyPr lIns="0" tIns="0" rIns="0" bIns="0" upright="1"/>
                  </wps:wsp>
                </a:graphicData>
              </a:graphic>
            </wp:anchor>
          </w:drawing>
        </mc:Choice>
        <mc:Fallback>
          <w:pict>
            <v:shape id="文本框 20" o:spid="_x0000_s1026" o:spt="202" type="#_x0000_t202" style="position:absolute;left:0pt;margin-left:96.55pt;margin-top:739.3pt;height:12.6pt;width:7.3pt;mso-position-horizontal-relative:page;mso-position-vertical-relative:page;z-index:-251655168;mso-width-relative:page;mso-height-relative:page;" filled="f" stroked="f" coordsize="21600,21600" o:gfxdata="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StvYg2wAAAA0BAAAPAAAAAAAAAAEAIAAAACIAAABkcnMvZG93bnJldi54bWxQSwEC&#10;FAAUAAAACACHTuJAmHUq57gBAAByAwAADgAAAAAAAAABACAAAAAqAQAAZHJzL2Uyb0RvYy54bWxQ&#10;SwUGAAAAAAYABgBZAQAAVAUAAAAA&#10;">
              <v:fill on="f" focussize="0,0"/>
              <v:stroke on="f"/>
              <v:imagedata o:title=""/>
              <o:lock v:ext="edit" aspectratio="f"/>
              <v:textbox inset="0mm,0mm,0mm,0mm">
                <w:txbxContent>
                  <w:p w14:paraId="4AB4F8F6">
                    <w:pPr>
                      <w:spacing w:line="251" w:lineRule="exact"/>
                      <w:ind w:left="20"/>
                      <w:rPr>
                        <w:rFonts w:hint="eastAsia" w:eastAsia="宋体"/>
                        <w:sz w:val="21"/>
                        <w:lang w:eastAsia="zh-CN"/>
                      </w:rPr>
                    </w:pPr>
                  </w:p>
                </w:txbxContent>
              </v:textbox>
            </v:shape>
          </w:pict>
        </mc:Fallback>
      </mc:AlternateContent>
    </w:r>
    <w:r>
      <w:rPr>
        <w:lang w:val="en-US"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67005" cy="139700"/>
              <wp:effectExtent l="0" t="0" r="0" b="0"/>
              <wp:wrapNone/>
              <wp:docPr id="24" name="文本框 21"/>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79F97A50">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46</w:t>
                          </w:r>
                          <w:r>
                            <w:fldChar w:fldCharType="end"/>
                          </w:r>
                        </w:p>
                      </w:txbxContent>
                    </wps:txbx>
                    <wps:bodyPr lIns="0" tIns="0" rIns="0" bIns="0" upright="1"/>
                  </wps:wsp>
                </a:graphicData>
              </a:graphic>
            </wp:anchor>
          </w:drawing>
        </mc:Choice>
        <mc:Fallback>
          <w:pict>
            <v:shape id="文本框 21" o:spid="_x0000_s1026" o:spt="202" type="#_x0000_t202" style="position:absolute;left:0pt;margin-top:0pt;height:11pt;width:13.15pt;mso-position-horizontal:center;mso-position-horizontal-relative:margin;z-index:251663360;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bJP2jTAAAAAwEAAA8AAAAAAAAAAQAgAAAAIgAAAGRycy9kb3ducmV2LnhtbFBLAQIUABQAAAAI&#10;AIdO4kBsfNCeuQEAAHMDAAAOAAAAAAAAAAEAIAAAACIBAABkcnMvZTJvRG9jLnhtbFBLBQYAAAAA&#10;BgAGAFkBAABNBQAAAAA=&#10;">
              <v:fill on="f" focussize="0,0"/>
              <v:stroke on="f"/>
              <v:imagedata o:title=""/>
              <o:lock v:ext="edit" aspectratio="f"/>
              <v:textbox inset="0mm,0mm,0mm,0mm">
                <w:txbxContent>
                  <w:p w14:paraId="79F97A50">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46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94519">
    <w:pPr>
      <w:pStyle w:val="4"/>
      <w:ind w:firstLine="2891"/>
      <w:rPr>
        <w:sz w:val="20"/>
      </w:rPr>
    </w:pPr>
    <w:r>
      <w:rPr>
        <w:lang w:val="en-US" w:bidi="ar-SA"/>
      </w:rPr>
      <mc:AlternateContent>
        <mc:Choice Requires="wps">
          <w:drawing>
            <wp:anchor distT="0" distB="0" distL="114300" distR="114300" simplePos="0" relativeHeight="251662336" behindDoc="1" locked="0" layoutInCell="1" allowOverlap="1">
              <wp:simplePos x="0" y="0"/>
              <wp:positionH relativeFrom="page">
                <wp:posOffset>1017270</wp:posOffset>
              </wp:positionH>
              <wp:positionV relativeFrom="page">
                <wp:posOffset>510540</wp:posOffset>
              </wp:positionV>
              <wp:extent cx="81280" cy="1524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81280" cy="152400"/>
                      </a:xfrm>
                      <a:prstGeom prst="rect">
                        <a:avLst/>
                      </a:prstGeom>
                      <a:noFill/>
                      <a:ln>
                        <a:noFill/>
                      </a:ln>
                    </wps:spPr>
                    <wps:txbx>
                      <w:txbxContent>
                        <w:p w14:paraId="50F31063">
                          <w:pPr>
                            <w:spacing w:line="239" w:lineRule="exact"/>
                            <w:ind w:left="20"/>
                            <w:rPr>
                              <w:rFonts w:hint="eastAsia" w:eastAsia="宋体"/>
                              <w:sz w:val="20"/>
                              <w:lang w:eastAsia="zh-CN"/>
                            </w:rPr>
                          </w:pPr>
                        </w:p>
                      </w:txbxContent>
                    </wps:txbx>
                    <wps:bodyPr lIns="0" tIns="0" rIns="0" bIns="0" upright="1"/>
                  </wps:wsp>
                </a:graphicData>
              </a:graphic>
            </wp:anchor>
          </w:drawing>
        </mc:Choice>
        <mc:Fallback>
          <w:pict>
            <v:shape id="_x0000_s1026" o:spid="_x0000_s1026" o:spt="202" type="#_x0000_t202" style="position:absolute;left:0pt;margin-left:80.1pt;margin-top:40.2pt;height:12pt;width:6.4pt;mso-position-horizontal-relative:page;mso-position-vertical-relative:page;z-index:-251654144;mso-width-relative:page;mso-height-relative:page;" filled="f" stroked="f" coordsize="21600,21600" o:gfxdata="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3rbsB1wAAAAoBAAAPAAAAAAAAAAEAIAAAACIAAABkcnMvZG93bnJldi54bWxQSwECFAAU&#10;AAAACACHTuJAa1Vo5rkBAABwAwAADgAAAAAAAAABACAAAAAmAQAAZHJzL2Uyb0RvYy54bWxQSwUG&#10;AAAAAAYABgBZAQAAUQUAAAAA&#10;">
              <v:fill on="f" focussize="0,0"/>
              <v:stroke on="f"/>
              <v:imagedata o:title=""/>
              <o:lock v:ext="edit" aspectratio="f"/>
              <v:textbox inset="0mm,0mm,0mm,0mm">
                <w:txbxContent>
                  <w:p w14:paraId="50F31063">
                    <w:pPr>
                      <w:spacing w:line="239" w:lineRule="exact"/>
                      <w:ind w:left="20"/>
                      <w:rPr>
                        <w:rFonts w:hint="eastAsia" w:eastAsia="宋体"/>
                        <w:sz w:val="20"/>
                        <w:lang w:eastAsia="zh-CN"/>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C4BD8">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6543E">
    <w:pPr>
      <w:pStyle w:val="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5AB78">
    <w:pPr>
      <w:pStyle w:val="4"/>
      <w:ind w:firstLine="2891"/>
      <w:rPr>
        <w:sz w:val="20"/>
      </w:rP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953770</wp:posOffset>
              </wp:positionH>
              <wp:positionV relativeFrom="page">
                <wp:posOffset>685800</wp:posOffset>
              </wp:positionV>
              <wp:extent cx="5936615" cy="0"/>
              <wp:effectExtent l="0" t="5080" r="0" b="4445"/>
              <wp:wrapNone/>
              <wp:docPr id="21" name="直线 18"/>
              <wp:cNvGraphicFramePr/>
              <a:graphic xmlns:a="http://schemas.openxmlformats.org/drawingml/2006/main">
                <a:graphicData uri="http://schemas.microsoft.com/office/word/2010/wordprocessingShape">
                  <wps:wsp>
                    <wps:cNvCnPr/>
                    <wps:spPr>
                      <a:xfrm>
                        <a:off x="0" y="0"/>
                        <a:ext cx="593661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18" o:spid="_x0000_s1026" o:spt="20" style="position:absolute;left:0pt;margin-left:75.1pt;margin-top:54pt;height:0pt;width:467.45pt;mso-position-horizontal-relative:page;mso-position-vertical-relative:page;z-index:-251657216;mso-width-relative:page;mso-height-relative:page;" filled="f" stroked="t" coordsize="21600,21600" o:gfxdata="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QATNYAAAAMAQAA&#10;DwAAAAAAAAABACAAAAAiAAAAZHJzL2Rvd25yZXYueG1sUEsBAhQAFAAAAAgAh07iQKg/vATiAQAA&#10;0QMAAA4AAAAAAAAAAQAgAAAAJQEAAGRycy9lMm9Eb2MueG1sUEsFBgAAAAAGAAYAWQEAAHkFAAAA&#10;AA==&#10;">
              <v:fill on="f" focussize="0,0"/>
              <v:stroke weight="0.72pt" color="#000000" joinstyle="round"/>
              <v:imagedata o:title=""/>
              <o:lock v:ext="edit" aspectratio="f"/>
            </v:line>
          </w:pict>
        </mc:Fallback>
      </mc:AlternateContent>
    </w:r>
    <w:r>
      <w:rPr>
        <w:lang w:val="en-US" w:bidi="ar-SA"/>
      </w:rPr>
      <mc:AlternateContent>
        <mc:Choice Requires="wps">
          <w:drawing>
            <wp:anchor distT="0" distB="0" distL="114300" distR="114300" simplePos="0" relativeHeight="251660288" behindDoc="1" locked="0" layoutInCell="1" allowOverlap="1">
              <wp:simplePos x="0" y="0"/>
              <wp:positionH relativeFrom="page">
                <wp:posOffset>959485</wp:posOffset>
              </wp:positionH>
              <wp:positionV relativeFrom="page">
                <wp:posOffset>510540</wp:posOffset>
              </wp:positionV>
              <wp:extent cx="81280" cy="152400"/>
              <wp:effectExtent l="0" t="0" r="0" b="0"/>
              <wp:wrapNone/>
              <wp:docPr id="22" name="文本框 19"/>
              <wp:cNvGraphicFramePr/>
              <a:graphic xmlns:a="http://schemas.openxmlformats.org/drawingml/2006/main">
                <a:graphicData uri="http://schemas.microsoft.com/office/word/2010/wordprocessingShape">
                  <wps:wsp>
                    <wps:cNvSpPr txBox="1"/>
                    <wps:spPr>
                      <a:xfrm>
                        <a:off x="0" y="0"/>
                        <a:ext cx="81280" cy="152400"/>
                      </a:xfrm>
                      <a:prstGeom prst="rect">
                        <a:avLst/>
                      </a:prstGeom>
                      <a:noFill/>
                      <a:ln>
                        <a:noFill/>
                      </a:ln>
                    </wps:spPr>
                    <wps:txbx>
                      <w:txbxContent>
                        <w:p w14:paraId="099DD7E1">
                          <w:pPr>
                            <w:spacing w:line="239" w:lineRule="exact"/>
                            <w:ind w:left="20"/>
                            <w:rPr>
                              <w:rFonts w:hint="eastAsia" w:eastAsia="宋体"/>
                              <w:sz w:val="20"/>
                              <w:lang w:eastAsia="zh-CN"/>
                            </w:rPr>
                          </w:pPr>
                        </w:p>
                      </w:txbxContent>
                    </wps:txbx>
                    <wps:bodyPr lIns="0" tIns="0" rIns="0" bIns="0" upright="1"/>
                  </wps:wsp>
                </a:graphicData>
              </a:graphic>
            </wp:anchor>
          </w:drawing>
        </mc:Choice>
        <mc:Fallback>
          <w:pict>
            <v:shape id="文本框 19" o:spid="_x0000_s1026" o:spt="202" type="#_x0000_t202" style="position:absolute;left:0pt;margin-left:75.55pt;margin-top:40.2pt;height:12pt;width:6.4pt;mso-position-horizontal-relative:page;mso-position-vertical-relative:page;z-index:-251656192;mso-width-relative:page;mso-height-relative:page;" filled="f" stroked="f" coordsize="21600,21600" o:gfxdata="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COjSMrYAAAACgEAAA8AAAAAAAAAAQAgAAAAIgAAAGRycy9kb3ducmV2LnhtbFBLAQIU&#10;ABQAAAAIAIdO4kB9djKKugEAAHIDAAAOAAAAAAAAAAEAIAAAACcBAABkcnMvZTJvRG9jLnhtbFBL&#10;BQYAAAAABgAGAFkBAABTBQAAAAA=&#10;">
              <v:fill on="f" focussize="0,0"/>
              <v:stroke on="f"/>
              <v:imagedata o:title=""/>
              <o:lock v:ext="edit" aspectratio="f"/>
              <v:textbox inset="0mm,0mm,0mm,0mm">
                <w:txbxContent>
                  <w:p w14:paraId="099DD7E1">
                    <w:pPr>
                      <w:spacing w:line="239" w:lineRule="exact"/>
                      <w:ind w:left="20"/>
                      <w:rPr>
                        <w:rFonts w:hint="eastAsia" w:eastAsia="宋体"/>
                        <w:sz w:val="20"/>
                        <w:lang w:eastAsia="zh-CN"/>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78CE3"/>
    <w:multiLevelType w:val="singleLevel"/>
    <w:tmpl w:val="91578CE3"/>
    <w:lvl w:ilvl="0" w:tentative="0">
      <w:start w:val="1"/>
      <w:numFmt w:val="chineseCounting"/>
      <w:suff w:val="space"/>
      <w:lvlText w:val="第%1章"/>
      <w:lvlJc w:val="left"/>
      <w:rPr>
        <w:rFonts w:hint="eastAsia"/>
      </w:rPr>
    </w:lvl>
  </w:abstractNum>
  <w:abstractNum w:abstractNumId="1">
    <w:nsid w:val="F610D259"/>
    <w:multiLevelType w:val="singleLevel"/>
    <w:tmpl w:val="F610D259"/>
    <w:lvl w:ilvl="0" w:tentative="0">
      <w:start w:val="1"/>
      <w:numFmt w:val="decimal"/>
      <w:suff w:val="nothing"/>
      <w:lvlText w:val="%1、"/>
      <w:lvlJc w:val="left"/>
    </w:lvl>
  </w:abstractNum>
  <w:abstractNum w:abstractNumId="2">
    <w:nsid w:val="12215689"/>
    <w:multiLevelType w:val="singleLevel"/>
    <w:tmpl w:val="12215689"/>
    <w:lvl w:ilvl="0" w:tentative="0">
      <w:start w:val="9"/>
      <w:numFmt w:val="decimal"/>
      <w:lvlText w:val="%1."/>
      <w:lvlJc w:val="left"/>
      <w:pPr>
        <w:tabs>
          <w:tab w:val="left" w:pos="312"/>
        </w:tabs>
      </w:pPr>
    </w:lvl>
  </w:abstractNum>
  <w:abstractNum w:abstractNumId="3">
    <w:nsid w:val="32BE5CA8"/>
    <w:multiLevelType w:val="singleLevel"/>
    <w:tmpl w:val="32BE5CA8"/>
    <w:lvl w:ilvl="0" w:tentative="0">
      <w:start w:val="1"/>
      <w:numFmt w:val="chineseCounting"/>
      <w:suff w:val="nothing"/>
      <w:lvlText w:val="%1、"/>
      <w:lvlJc w:val="left"/>
      <w:rPr>
        <w:rFonts w:hint="eastAsia"/>
      </w:rPr>
    </w:lvl>
  </w:abstractNum>
  <w:abstractNum w:abstractNumId="4">
    <w:nsid w:val="5D7BE5FA"/>
    <w:multiLevelType w:val="singleLevel"/>
    <w:tmpl w:val="5D7BE5FA"/>
    <w:lvl w:ilvl="0" w:tentative="0">
      <w:start w:val="1"/>
      <w:numFmt w:val="decimal"/>
      <w:suff w:val="nothing"/>
      <w:lvlText w:val="%1、"/>
      <w:lvlJc w:val="left"/>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1YzcxYWRiMGY4N2NjZDE1YTc5MDM1MTAyNDQwNDEifQ=="/>
  </w:docVars>
  <w:rsids>
    <w:rsidRoot w:val="00000000"/>
    <w:rsid w:val="025A6926"/>
    <w:rsid w:val="037D28CB"/>
    <w:rsid w:val="053A3FFD"/>
    <w:rsid w:val="05CA5219"/>
    <w:rsid w:val="06E63EE1"/>
    <w:rsid w:val="07EE4796"/>
    <w:rsid w:val="0B1C57E6"/>
    <w:rsid w:val="0F337B2B"/>
    <w:rsid w:val="102D5894"/>
    <w:rsid w:val="11BD7372"/>
    <w:rsid w:val="12211934"/>
    <w:rsid w:val="13086F26"/>
    <w:rsid w:val="13E0137B"/>
    <w:rsid w:val="17681898"/>
    <w:rsid w:val="1BE51C24"/>
    <w:rsid w:val="1C6C01E8"/>
    <w:rsid w:val="1F687C6B"/>
    <w:rsid w:val="21F15758"/>
    <w:rsid w:val="27080182"/>
    <w:rsid w:val="2A8E3400"/>
    <w:rsid w:val="2B6A5CA2"/>
    <w:rsid w:val="2CFA3055"/>
    <w:rsid w:val="2DD85145"/>
    <w:rsid w:val="2E2F6D2F"/>
    <w:rsid w:val="2FDE0C56"/>
    <w:rsid w:val="31671525"/>
    <w:rsid w:val="317063B9"/>
    <w:rsid w:val="33BD2089"/>
    <w:rsid w:val="3639699D"/>
    <w:rsid w:val="38173A64"/>
    <w:rsid w:val="3D001FC2"/>
    <w:rsid w:val="45616C2B"/>
    <w:rsid w:val="4C310EB0"/>
    <w:rsid w:val="4F96024A"/>
    <w:rsid w:val="5BBC4120"/>
    <w:rsid w:val="67892A30"/>
    <w:rsid w:val="6AA85252"/>
    <w:rsid w:val="70082160"/>
    <w:rsid w:val="70176FD3"/>
    <w:rsid w:val="77F953AA"/>
    <w:rsid w:val="7A792C44"/>
    <w:rsid w:val="7B7E4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0"/>
    <w:pPr>
      <w:spacing w:before="38"/>
      <w:ind w:left="20"/>
      <w:outlineLvl w:val="0"/>
    </w:pPr>
    <w:rPr>
      <w:b/>
      <w:bCs/>
      <w:sz w:val="44"/>
      <w:szCs w:val="44"/>
    </w:rPr>
  </w:style>
  <w:style w:type="paragraph" w:styleId="3">
    <w:name w:val="heading 2"/>
    <w:basedOn w:val="1"/>
    <w:next w:val="1"/>
    <w:qFormat/>
    <w:uiPriority w:val="0"/>
    <w:pPr>
      <w:ind w:left="2266"/>
      <w:outlineLvl w:val="1"/>
    </w:pPr>
    <w:rPr>
      <w:b/>
      <w:bCs/>
      <w:sz w:val="32"/>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pPr>
      <w:wordWrap w:val="0"/>
      <w:spacing w:before="78" w:line="360" w:lineRule="auto"/>
      <w:ind w:firstLine="3323" w:firstLineChars="900"/>
      <w:jc w:val="both"/>
      <w:outlineLvl w:val="2"/>
    </w:pPr>
    <w:rPr>
      <w:rFonts w:asciiTheme="minorEastAsia" w:hAnsiTheme="minorEastAsia" w:eastAsiaTheme="minorEastAsia" w:cstheme="minorEastAsia"/>
      <w:b/>
      <w:spacing w:val="24"/>
      <w:sz w:val="32"/>
      <w:szCs w:val="32"/>
    </w:rPr>
  </w:style>
  <w:style w:type="paragraph" w:customStyle="1" w:styleId="5">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paragraph" w:styleId="6">
    <w:name w:val="Body Text Indent"/>
    <w:basedOn w:val="1"/>
    <w:next w:val="7"/>
    <w:unhideWhenUsed/>
    <w:qFormat/>
    <w:uiPriority w:val="0"/>
    <w:pPr>
      <w:autoSpaceDE/>
      <w:autoSpaceDN/>
      <w:spacing w:after="120"/>
      <w:ind w:left="420" w:leftChars="200"/>
      <w:jc w:val="both"/>
    </w:pPr>
    <w:rPr>
      <w:rFonts w:ascii="Times New Roman" w:hAnsi="Times New Roman" w:cs="Times New Roman"/>
      <w:szCs w:val="20"/>
      <w:lang w:val="en-US" w:bidi="ar-SA"/>
    </w:rPr>
  </w:style>
  <w:style w:type="paragraph" w:styleId="7">
    <w:name w:val="envelope return"/>
    <w:basedOn w:val="1"/>
    <w:qFormat/>
    <w:uiPriority w:val="0"/>
  </w:style>
  <w:style w:type="paragraph" w:styleId="8">
    <w:name w:val="footer"/>
    <w:basedOn w:val="1"/>
    <w:qFormat/>
    <w:uiPriority w:val="0"/>
    <w:pPr>
      <w:tabs>
        <w:tab w:val="center" w:pos="4153"/>
        <w:tab w:val="right" w:pos="8306"/>
      </w:tabs>
      <w:snapToGrid w:val="0"/>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First Indent"/>
    <w:basedOn w:val="4"/>
    <w:next w:val="11"/>
    <w:qFormat/>
    <w:uiPriority w:val="0"/>
    <w:pPr>
      <w:autoSpaceDE/>
      <w:autoSpaceDN/>
      <w:spacing w:line="480" w:lineRule="exact"/>
      <w:ind w:firstLine="440" w:firstLineChars="200"/>
    </w:pPr>
    <w:rPr>
      <w:rFonts w:ascii="Times New Roman" w:hAnsi="Times New Roman" w:cs="Times New Roman"/>
      <w:sz w:val="22"/>
      <w:szCs w:val="20"/>
      <w:lang w:val="en-US" w:bidi="ar-SA"/>
    </w:rPr>
  </w:style>
  <w:style w:type="paragraph" w:styleId="11">
    <w:name w:val="Body Text First Indent 2"/>
    <w:basedOn w:val="6"/>
    <w:next w:val="1"/>
    <w:qFormat/>
    <w:uiPriority w:val="0"/>
    <w:pPr>
      <w:ind w:firstLine="420" w:firstLineChars="200"/>
    </w:pPr>
  </w:style>
  <w:style w:type="character" w:styleId="14">
    <w:name w:val="Emphasis"/>
    <w:basedOn w:val="13"/>
    <w:qFormat/>
    <w:uiPriority w:val="0"/>
    <w:rPr>
      <w:i/>
    </w:rPr>
  </w:style>
  <w:style w:type="paragraph" w:customStyle="1" w:styleId="15">
    <w:name w:val="正文格式"/>
    <w:basedOn w:val="1"/>
    <w:autoRedefine/>
    <w:qFormat/>
    <w:uiPriority w:val="0"/>
    <w:pPr>
      <w:spacing w:line="400" w:lineRule="atLeast"/>
      <w:ind w:firstLine="482"/>
    </w:pPr>
    <w:rPr>
      <w:sz w:val="24"/>
    </w:rPr>
  </w:style>
  <w:style w:type="paragraph" w:customStyle="1" w:styleId="16">
    <w:name w:val="Default"/>
    <w:next w:val="1"/>
    <w:autoRedefine/>
    <w:qFormat/>
    <w:uiPriority w:val="0"/>
    <w:pPr>
      <w:widowControl w:val="0"/>
      <w:autoSpaceDE w:val="0"/>
      <w:autoSpaceDN w:val="0"/>
      <w:adjustRightInd w:val="0"/>
      <w:spacing w:after="200" w:line="276" w:lineRule="auto"/>
    </w:pPr>
    <w:rPr>
      <w:rFonts w:ascii="宋体" w:hAnsi="Times New Roman" w:eastAsia="宋体" w:cs="宋体"/>
      <w:color w:val="000000"/>
      <w:sz w:val="24"/>
      <w:szCs w:val="24"/>
      <w:lang w:val="en-US" w:eastAsia="zh-CN" w:bidi="ar-SA"/>
    </w:rPr>
  </w:style>
  <w:style w:type="paragraph" w:customStyle="1" w:styleId="17">
    <w:name w:val="Table Paragraph"/>
    <w:basedOn w:val="1"/>
    <w:autoRedefine/>
    <w:qFormat/>
    <w:uiPriority w:val="1"/>
  </w:style>
  <w:style w:type="paragraph" w:customStyle="1" w:styleId="18">
    <w:name w:val="文档正文"/>
    <w:basedOn w:val="1"/>
    <w:autoRedefine/>
    <w:qFormat/>
    <w:uiPriority w:val="0"/>
    <w:pPr>
      <w:autoSpaceDE/>
      <w:autoSpaceDN/>
      <w:adjustRightInd w:val="0"/>
      <w:spacing w:line="480" w:lineRule="atLeast"/>
      <w:ind w:firstLine="567"/>
      <w:jc w:val="both"/>
      <w:textAlignment w:val="baseline"/>
    </w:pPr>
    <w:rPr>
      <w:rFonts w:hAnsi="Times New Roman" w:cs="Times New Roman"/>
      <w:sz w:val="28"/>
      <w:szCs w:val="20"/>
      <w:lang w:val="en-US" w:bidi="ar-SA"/>
    </w:rPr>
  </w:style>
  <w:style w:type="paragraph" w:customStyle="1" w:styleId="19">
    <w:name w:val="表格内容"/>
    <w:autoRedefine/>
    <w:qFormat/>
    <w:uiPriority w:val="0"/>
    <w:pPr>
      <w:widowControl w:val="0"/>
      <w:spacing w:line="240" w:lineRule="auto"/>
      <w:jc w:val="center"/>
    </w:pPr>
    <w:rPr>
      <w:rFonts w:ascii="宋体" w:hAnsi="宋体" w:eastAsia="宋体" w:cs="宋体"/>
      <w:sz w:val="21"/>
      <w:szCs w:val="21"/>
    </w:rPr>
  </w:style>
  <w:style w:type="paragraph" w:customStyle="1" w:styleId="20">
    <w:name w:val="Table Text"/>
    <w:basedOn w:val="1"/>
    <w:autoRedefine/>
    <w:semiHidden/>
    <w:qFormat/>
    <w:uiPriority w:val="0"/>
    <w:pPr>
      <w:autoSpaceDE/>
      <w:autoSpaceDN/>
      <w:spacing w:before="49" w:line="199" w:lineRule="auto"/>
      <w:ind w:left="440" w:firstLine="512"/>
    </w:pPr>
    <w:rPr>
      <w:kern w:val="2"/>
      <w:sz w:val="24"/>
      <w:szCs w:val="24"/>
      <w:lang w:val="en-US" w:eastAsia="en-US" w:bidi="ar-SA"/>
    </w:rPr>
  </w:style>
  <w:style w:type="table" w:customStyle="1" w:styleId="21">
    <w:name w:val="Table Normal"/>
    <w:autoRedefine/>
    <w:unhideWhenUsed/>
    <w:qFormat/>
    <w:uiPriority w:val="0"/>
    <w:tblPr>
      <w:tblCellMar>
        <w:top w:w="0" w:type="dxa"/>
        <w:left w:w="0" w:type="dxa"/>
        <w:bottom w:w="0" w:type="dxa"/>
        <w:right w:w="0" w:type="dxa"/>
      </w:tblCellMar>
    </w:tblPr>
  </w:style>
  <w:style w:type="character" w:customStyle="1" w:styleId="22">
    <w:name w:val="down"/>
    <w:basedOn w:val="13"/>
    <w:autoRedefine/>
    <w:qFormat/>
    <w:uiPriority w:val="0"/>
  </w:style>
  <w:style w:type="character" w:customStyle="1" w:styleId="23">
    <w:name w:val="font31"/>
    <w:basedOn w:val="13"/>
    <w:qFormat/>
    <w:uiPriority w:val="0"/>
    <w:rPr>
      <w:rFonts w:hint="eastAsia" w:ascii="宋体" w:hAnsi="宋体" w:eastAsia="宋体" w:cs="宋体"/>
      <w:color w:val="000000"/>
      <w:sz w:val="24"/>
      <w:szCs w:val="24"/>
      <w:u w:val="none"/>
    </w:rPr>
  </w:style>
  <w:style w:type="character" w:customStyle="1" w:styleId="24">
    <w:name w:val="font41"/>
    <w:basedOn w:val="13"/>
    <w:qFormat/>
    <w:uiPriority w:val="0"/>
    <w:rPr>
      <w:rFonts w:hint="eastAsia" w:ascii="宋体" w:hAnsi="宋体" w:eastAsia="宋体" w:cs="宋体"/>
      <w:color w:val="000000"/>
      <w:sz w:val="24"/>
      <w:szCs w:val="24"/>
      <w:u w:val="none"/>
      <w:vertAlign w:val="superscript"/>
    </w:rPr>
  </w:style>
  <w:style w:type="character" w:customStyle="1" w:styleId="25">
    <w:name w:val="font11"/>
    <w:basedOn w:val="13"/>
    <w:qFormat/>
    <w:uiPriority w:val="0"/>
    <w:rPr>
      <w:rFonts w:hint="eastAsia" w:ascii="宋体" w:hAnsi="宋体" w:eastAsia="宋体" w:cs="宋体"/>
      <w:color w:val="000000"/>
      <w:sz w:val="24"/>
      <w:szCs w:val="24"/>
      <w:u w:val="none"/>
    </w:rPr>
  </w:style>
  <w:style w:type="character" w:customStyle="1" w:styleId="26">
    <w:name w:val="font51"/>
    <w:basedOn w:val="13"/>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3207</Words>
  <Characters>3976</Characters>
  <Lines>0</Lines>
  <Paragraphs>0</Paragraphs>
  <TotalTime>57</TotalTime>
  <ScaleCrop>false</ScaleCrop>
  <LinksUpToDate>false</LinksUpToDate>
  <CharactersWithSpaces>4006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2024-10-30T00:23:00Z</dcterms:created>
  <dc:creator>Admin</dc:creator>
  <cp:lastModifiedBy>NTKO</cp:lastModifiedBy>
  <dcterms:modified xsi:type="dcterms:W3CDTF">2025-06-18T07:43:07Z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5A2D5AC7297F4AE3AAFDAF16FD561A37_12</vt:lpwstr>
  </property>
  <property fmtid="{D5CDD505-2E9C-101B-9397-08002B2CF9AE}" pid="4" name="KSOTemplateDocerSaveRecord">
    <vt:lpwstr>eyJoZGlkIjoiYzI3ZjkzZWZkZTY5NjI0NDQ4NjFhZDgzNGIwYjhmN2IiLCJ1c2VySWQiOiI1NzQ4Njg3NjIifQ==</vt:lpwstr>
  </property>
</Properties>
</file>