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FBF92">
      <w:pPr>
        <w:kinsoku/>
        <w:wordWrap w:val="0"/>
        <w:spacing w:line="360" w:lineRule="auto"/>
        <w:jc w:val="both"/>
        <w:rPr>
          <w:rFonts w:hint="eastAsia" w:asciiTheme="minorEastAsia" w:hAnsiTheme="minorEastAsia" w:eastAsiaTheme="minorEastAsia" w:cstheme="minorEastAsia"/>
          <w:spacing w:val="-17"/>
          <w:sz w:val="48"/>
          <w:szCs w:val="48"/>
          <w:lang w:val="zh-CN" w:eastAsia="zh-CN"/>
        </w:rPr>
      </w:pPr>
    </w:p>
    <w:p w14:paraId="665DA71B">
      <w:pPr>
        <w:kinsoku/>
        <w:wordWrap w:val="0"/>
        <w:spacing w:line="360" w:lineRule="auto"/>
        <w:jc w:val="center"/>
        <w:rPr>
          <w:rFonts w:asciiTheme="minorEastAsia" w:hAnsiTheme="minorEastAsia" w:eastAsiaTheme="minorEastAsia" w:cstheme="minorEastAsia"/>
          <w:spacing w:val="-17"/>
          <w:sz w:val="48"/>
          <w:szCs w:val="48"/>
          <w:lang w:val="zh-CN" w:eastAsia="zh-CN"/>
        </w:rPr>
      </w:pPr>
      <w:r>
        <w:rPr>
          <w:rFonts w:hint="eastAsia" w:asciiTheme="minorEastAsia" w:hAnsiTheme="minorEastAsia" w:eastAsiaTheme="minorEastAsia" w:cstheme="minorEastAsia"/>
          <w:spacing w:val="-17"/>
          <w:sz w:val="48"/>
          <w:szCs w:val="48"/>
          <w:lang w:val="zh-CN" w:eastAsia="zh-CN"/>
        </w:rPr>
        <w:t>淅川县九重镇人民政府2025淅川县九重镇邹庄村、张河村、武店村、陶岔村垃圾中转设备采购项目</w:t>
      </w:r>
    </w:p>
    <w:p w14:paraId="42BA8512">
      <w:pPr>
        <w:kinsoku/>
        <w:wordWrap w:val="0"/>
        <w:spacing w:line="360" w:lineRule="auto"/>
        <w:jc w:val="center"/>
        <w:rPr>
          <w:rFonts w:asciiTheme="minorEastAsia" w:hAnsiTheme="minorEastAsia" w:eastAsiaTheme="minorEastAsia" w:cstheme="minorEastAsia"/>
          <w:spacing w:val="-3"/>
          <w:sz w:val="52"/>
          <w:szCs w:val="52"/>
          <w:lang w:eastAsia="zh-CN"/>
        </w:rPr>
      </w:pPr>
    </w:p>
    <w:p w14:paraId="1611287E">
      <w:pPr>
        <w:kinsoku/>
        <w:wordWrap w:val="0"/>
        <w:spacing w:line="316"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sz w:val="52"/>
          <w:szCs w:val="52"/>
          <w:lang w:val="en-US" w:eastAsia="zh-CN"/>
        </w:rPr>
        <w:t>采购文件</w:t>
      </w:r>
    </w:p>
    <w:p w14:paraId="3F9E5208">
      <w:pPr>
        <w:kinsoku/>
        <w:wordWrap w:val="0"/>
        <w:spacing w:line="316" w:lineRule="auto"/>
        <w:jc w:val="both"/>
        <w:rPr>
          <w:rFonts w:asciiTheme="minorEastAsia" w:hAnsiTheme="minorEastAsia" w:eastAsiaTheme="minorEastAsia" w:cstheme="minorEastAsia"/>
          <w:lang w:eastAsia="zh-CN"/>
        </w:rPr>
      </w:pPr>
    </w:p>
    <w:p w14:paraId="1AC69849">
      <w:pPr>
        <w:kinsoku/>
        <w:wordWrap w:val="0"/>
        <w:spacing w:line="317" w:lineRule="auto"/>
        <w:jc w:val="both"/>
        <w:rPr>
          <w:rFonts w:asciiTheme="minorEastAsia" w:hAnsiTheme="minorEastAsia" w:eastAsiaTheme="minorEastAsia" w:cstheme="minorEastAsia"/>
          <w:lang w:eastAsia="zh-CN"/>
        </w:rPr>
      </w:pPr>
    </w:p>
    <w:p w14:paraId="6730910F">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23983753">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379EF5D3">
      <w:pPr>
        <w:pStyle w:val="17"/>
        <w:ind w:left="0" w:leftChars="0" w:firstLine="0" w:firstLineChars="0"/>
        <w:rPr>
          <w:rFonts w:asciiTheme="minorEastAsia" w:hAnsiTheme="minorEastAsia" w:eastAsiaTheme="minorEastAsia" w:cstheme="minorEastAsia"/>
          <w:b/>
          <w:bCs/>
          <w:spacing w:val="-17"/>
          <w:sz w:val="36"/>
          <w:szCs w:val="36"/>
        </w:rPr>
      </w:pPr>
    </w:p>
    <w:p w14:paraId="62658BB7">
      <w:pPr>
        <w:rPr>
          <w:rFonts w:asciiTheme="minorEastAsia" w:hAnsiTheme="minorEastAsia" w:eastAsiaTheme="minorEastAsia" w:cstheme="minorEastAsia"/>
          <w:b/>
          <w:bCs/>
          <w:spacing w:val="-17"/>
          <w:sz w:val="36"/>
          <w:szCs w:val="36"/>
          <w:lang w:eastAsia="zh-CN"/>
        </w:rPr>
      </w:pPr>
    </w:p>
    <w:p w14:paraId="65B6153D">
      <w:pPr>
        <w:pStyle w:val="2"/>
        <w:ind w:firstLine="310"/>
        <w:rPr>
          <w:lang w:eastAsia="zh-CN"/>
        </w:rPr>
      </w:pPr>
    </w:p>
    <w:p w14:paraId="0C927178">
      <w:pPr>
        <w:kinsoku/>
        <w:wordWrap w:val="0"/>
        <w:spacing w:line="360" w:lineRule="auto"/>
        <w:ind w:left="1825" w:hanging="1724" w:hangingChars="6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lang w:val="en-US" w:eastAsia="zh-CN"/>
        </w:rPr>
        <w:t>淅川县九重镇人民政府2025淅川县九重镇邹庄村、张河村、武店村、陶岔村垃圾中转设备采购项目</w:t>
      </w:r>
    </w:p>
    <w:p w14:paraId="639DF944">
      <w:pPr>
        <w:kinsoku/>
        <w:wordWrap w:val="0"/>
        <w:spacing w:line="360" w:lineRule="auto"/>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项目编号：淅财招标采购-2025--182</w:t>
      </w:r>
    </w:p>
    <w:p w14:paraId="02ED9AE9">
      <w:pPr>
        <w:kinsoku/>
        <w:wordWrap w:val="0"/>
        <w:spacing w:line="360" w:lineRule="auto"/>
        <w:jc w:val="both"/>
        <w:rPr>
          <w:rFonts w:hint="eastAsia"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lang w:val="zh-CN" w:eastAsia="zh-CN"/>
        </w:rPr>
        <w:t>淅财招标采购-2025-</w:t>
      </w:r>
      <w:r>
        <w:rPr>
          <w:rFonts w:hint="eastAsia" w:asciiTheme="minorEastAsia" w:hAnsiTheme="minorEastAsia" w:eastAsiaTheme="minorEastAsia" w:cstheme="minorEastAsia"/>
          <w:b/>
          <w:bCs/>
          <w:spacing w:val="-17"/>
          <w:sz w:val="32"/>
          <w:szCs w:val="32"/>
          <w:lang w:val="en-US" w:eastAsia="zh-CN"/>
        </w:rPr>
        <w:t xml:space="preserve"> 182</w:t>
      </w:r>
    </w:p>
    <w:p w14:paraId="79010EE5">
      <w:pPr>
        <w:kinsoku/>
        <w:wordWrap w:val="0"/>
        <w:spacing w:line="360" w:lineRule="auto"/>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采购人：淅川县</w:t>
      </w:r>
      <w:r>
        <w:rPr>
          <w:rFonts w:hint="eastAsia" w:asciiTheme="minorEastAsia" w:hAnsiTheme="minorEastAsia" w:eastAsiaTheme="minorEastAsia" w:cstheme="minorEastAsia"/>
          <w:b/>
          <w:bCs/>
          <w:spacing w:val="-17"/>
          <w:sz w:val="32"/>
          <w:szCs w:val="32"/>
          <w:lang w:val="en-US" w:eastAsia="zh-CN"/>
        </w:rPr>
        <w:t>九重</w:t>
      </w:r>
      <w:r>
        <w:rPr>
          <w:rFonts w:hint="eastAsia" w:asciiTheme="minorEastAsia" w:hAnsiTheme="minorEastAsia" w:eastAsiaTheme="minorEastAsia" w:cstheme="minorEastAsia"/>
          <w:b/>
          <w:bCs/>
          <w:spacing w:val="-17"/>
          <w:sz w:val="32"/>
          <w:szCs w:val="32"/>
          <w:lang w:eastAsia="zh-CN"/>
        </w:rPr>
        <w:t>镇人民政府</w:t>
      </w:r>
    </w:p>
    <w:p w14:paraId="7D29EC37">
      <w:pPr>
        <w:kinsoku/>
        <w:wordWrap w:val="0"/>
        <w:spacing w:line="360" w:lineRule="auto"/>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采购代理机构：淅川县盛淅工程咨询有限公司</w:t>
      </w:r>
    </w:p>
    <w:p w14:paraId="6D003CBB">
      <w:pPr>
        <w:pStyle w:val="2"/>
        <w:ind w:left="0" w:leftChars="0" w:firstLine="0" w:firstLineChars="0"/>
        <w:rPr>
          <w:rFonts w:hint="default"/>
          <w:lang w:val="en-US" w:eastAsia="zh-CN"/>
        </w:rPr>
      </w:pPr>
      <w:r>
        <w:rPr>
          <w:rFonts w:hint="eastAsia" w:asciiTheme="minorEastAsia" w:hAnsiTheme="minorEastAsia" w:eastAsiaTheme="minorEastAsia" w:cstheme="minorEastAsia"/>
          <w:b/>
          <w:bCs/>
          <w:spacing w:val="-17"/>
          <w:sz w:val="32"/>
          <w:szCs w:val="32"/>
          <w:lang w:val="en-US" w:eastAsia="zh-CN"/>
        </w:rPr>
        <w:t>日期：二〇二五年十月</w:t>
      </w:r>
    </w:p>
    <w:p w14:paraId="0EBE6CB6">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p>
    <w:p w14:paraId="5DC22837">
      <w:pPr>
        <w:kinsoku/>
        <w:wordWrap w:val="0"/>
        <w:spacing w:line="360" w:lineRule="auto"/>
        <w:jc w:val="both"/>
        <w:rPr>
          <w:rFonts w:asciiTheme="minorEastAsia" w:hAnsiTheme="minorEastAsia" w:eastAsiaTheme="minorEastAsia" w:cstheme="minorEastAsia"/>
          <w:b/>
          <w:bCs/>
          <w:spacing w:val="-17"/>
          <w:sz w:val="32"/>
          <w:szCs w:val="32"/>
          <w:lang w:eastAsia="zh-CN"/>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rPr>
      </w:sdtEndPr>
      <w:sdtContent>
        <w:p w14:paraId="6E7B4B85">
          <w:pPr>
            <w:pStyle w:val="3"/>
            <w:kinsoku/>
            <w:wordWrap w:val="0"/>
            <w:spacing w:before="353" w:line="222" w:lineRule="auto"/>
            <w:ind w:left="3716"/>
            <w:jc w:val="both"/>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42"/>
              <w:sz w:val="44"/>
              <w:szCs w:val="44"/>
              <w:lang w:eastAsia="zh-CN"/>
            </w:rPr>
            <w:t>目录</w:t>
          </w:r>
        </w:p>
        <w:p w14:paraId="6E63607D">
          <w:pPr>
            <w:pStyle w:val="3"/>
            <w:kinsoku/>
            <w:wordWrap w:val="0"/>
            <w:jc w:val="both"/>
            <w:rPr>
              <w:shd w:val="clear" w:color="FFFFFF" w:fill="D9D9D9"/>
              <w:lang w:eastAsia="zh-CN"/>
            </w:rPr>
          </w:pPr>
        </w:p>
        <w:p w14:paraId="00729CA8">
          <w:pPr>
            <w:pStyle w:val="3"/>
            <w:kinsoku/>
            <w:wordWrap w:val="0"/>
            <w:spacing w:line="360" w:lineRule="auto"/>
            <w:jc w:val="both"/>
            <w:rPr>
              <w:sz w:val="28"/>
              <w:szCs w:val="28"/>
              <w:lang w:eastAsia="zh-CN"/>
            </w:rPr>
          </w:pPr>
          <w:r>
            <w:rPr>
              <w:rFonts w:hint="eastAsia"/>
              <w:sz w:val="28"/>
              <w:szCs w:val="28"/>
              <w:lang w:eastAsia="zh-CN"/>
            </w:rPr>
            <w:t>第一章公开招标公告</w:t>
          </w:r>
        </w:p>
        <w:p w14:paraId="3219A3E2">
          <w:pPr>
            <w:pStyle w:val="3"/>
            <w:kinsoku/>
            <w:wordWrap w:val="0"/>
            <w:spacing w:line="360" w:lineRule="auto"/>
            <w:jc w:val="both"/>
            <w:rPr>
              <w:sz w:val="28"/>
              <w:szCs w:val="28"/>
              <w:lang w:eastAsia="zh-CN"/>
            </w:rPr>
          </w:pPr>
          <w:r>
            <w:rPr>
              <w:rFonts w:hint="eastAsia"/>
              <w:sz w:val="28"/>
              <w:szCs w:val="28"/>
              <w:lang w:eastAsia="zh-CN"/>
            </w:rPr>
            <w:t>第二章采购需求</w:t>
          </w:r>
        </w:p>
        <w:p w14:paraId="2C5528F5">
          <w:pPr>
            <w:pStyle w:val="3"/>
            <w:kinsoku/>
            <w:wordWrap w:val="0"/>
            <w:spacing w:line="360" w:lineRule="auto"/>
            <w:jc w:val="both"/>
            <w:rPr>
              <w:sz w:val="28"/>
              <w:szCs w:val="28"/>
              <w:lang w:eastAsia="zh-CN"/>
            </w:rPr>
          </w:pPr>
          <w:r>
            <w:rPr>
              <w:rFonts w:hint="eastAsia"/>
              <w:sz w:val="28"/>
              <w:szCs w:val="28"/>
              <w:lang w:eastAsia="zh-CN"/>
            </w:rPr>
            <w:t>第三章投标人须知</w:t>
          </w:r>
        </w:p>
        <w:p w14:paraId="7A4AFCC3">
          <w:pPr>
            <w:pStyle w:val="3"/>
            <w:kinsoku/>
            <w:wordWrap w:val="0"/>
            <w:spacing w:line="360" w:lineRule="auto"/>
            <w:jc w:val="both"/>
            <w:rPr>
              <w:sz w:val="28"/>
              <w:szCs w:val="28"/>
              <w:lang w:eastAsia="zh-CN"/>
            </w:rPr>
          </w:pPr>
          <w:r>
            <w:rPr>
              <w:rFonts w:hint="eastAsia"/>
              <w:sz w:val="28"/>
              <w:szCs w:val="28"/>
              <w:lang w:eastAsia="zh-CN"/>
            </w:rPr>
            <w:t>第四章开、评标程序、评标方法和评标标准</w:t>
          </w:r>
        </w:p>
        <w:p w14:paraId="0D6AAD0C">
          <w:pPr>
            <w:pStyle w:val="3"/>
            <w:kinsoku/>
            <w:wordWrap w:val="0"/>
            <w:spacing w:line="360" w:lineRule="auto"/>
            <w:jc w:val="both"/>
            <w:rPr>
              <w:sz w:val="28"/>
              <w:szCs w:val="28"/>
              <w:lang w:eastAsia="zh-CN"/>
            </w:rPr>
          </w:pPr>
          <w:r>
            <w:rPr>
              <w:rFonts w:hint="eastAsia"/>
              <w:sz w:val="28"/>
              <w:szCs w:val="28"/>
              <w:lang w:eastAsia="zh-CN"/>
            </w:rPr>
            <w:t>第五章政府采购合同（草案）</w:t>
          </w:r>
        </w:p>
        <w:p w14:paraId="345DD5F1">
          <w:pPr>
            <w:pStyle w:val="3"/>
            <w:kinsoku/>
            <w:wordWrap w:val="0"/>
            <w:spacing w:line="360" w:lineRule="auto"/>
            <w:jc w:val="both"/>
            <w:rPr>
              <w:sz w:val="28"/>
              <w:szCs w:val="28"/>
              <w:lang w:eastAsia="zh-CN"/>
            </w:rPr>
          </w:pPr>
          <w:r>
            <w:rPr>
              <w:rFonts w:hint="eastAsia"/>
              <w:sz w:val="28"/>
              <w:szCs w:val="28"/>
              <w:lang w:eastAsia="zh-CN"/>
            </w:rPr>
            <w:t>第六章投标文件格式</w:t>
          </w:r>
        </w:p>
      </w:sdtContent>
    </w:sdt>
    <w:p w14:paraId="55F7283E">
      <w:pPr>
        <w:kinsoku/>
        <w:wordWrap w:val="0"/>
        <w:spacing w:line="219" w:lineRule="auto"/>
        <w:jc w:val="both"/>
        <w:rPr>
          <w:rFonts w:asciiTheme="minorEastAsia" w:hAnsiTheme="minorEastAsia" w:eastAsiaTheme="minorEastAsia" w:cstheme="minorEastAsia"/>
          <w:sz w:val="24"/>
          <w:szCs w:val="24"/>
          <w:lang w:eastAsia="zh-CN"/>
        </w:rPr>
      </w:pPr>
    </w:p>
    <w:p w14:paraId="510585EF">
      <w:pPr>
        <w:kinsoku/>
        <w:wordWrap w:val="0"/>
        <w:spacing w:line="219" w:lineRule="auto"/>
        <w:jc w:val="both"/>
        <w:rPr>
          <w:rFonts w:asciiTheme="minorEastAsia" w:hAnsiTheme="minorEastAsia" w:eastAsiaTheme="minorEastAsia" w:cstheme="minorEastAsia"/>
          <w:sz w:val="24"/>
          <w:szCs w:val="24"/>
          <w:lang w:eastAsia="zh-CN"/>
        </w:rPr>
      </w:pPr>
    </w:p>
    <w:p w14:paraId="036252F0">
      <w:pPr>
        <w:kinsoku/>
        <w:wordWrap w:val="0"/>
        <w:spacing w:line="219" w:lineRule="auto"/>
        <w:jc w:val="both"/>
        <w:rPr>
          <w:rFonts w:asciiTheme="minorEastAsia" w:hAnsiTheme="minorEastAsia" w:eastAsiaTheme="minorEastAsia" w:cstheme="minorEastAsia"/>
          <w:sz w:val="24"/>
          <w:szCs w:val="24"/>
          <w:lang w:eastAsia="zh-CN"/>
        </w:rPr>
      </w:pPr>
    </w:p>
    <w:p w14:paraId="1D46B2F7">
      <w:pPr>
        <w:kinsoku/>
        <w:wordWrap w:val="0"/>
        <w:spacing w:line="219" w:lineRule="auto"/>
        <w:jc w:val="both"/>
        <w:rPr>
          <w:rFonts w:asciiTheme="minorEastAsia" w:hAnsiTheme="minorEastAsia" w:eastAsiaTheme="minorEastAsia" w:cstheme="minorEastAsia"/>
          <w:sz w:val="24"/>
          <w:szCs w:val="24"/>
          <w:lang w:eastAsia="zh-CN"/>
        </w:rPr>
      </w:pPr>
    </w:p>
    <w:p w14:paraId="1DA559B8">
      <w:pPr>
        <w:kinsoku/>
        <w:wordWrap w:val="0"/>
        <w:spacing w:line="219" w:lineRule="auto"/>
        <w:jc w:val="both"/>
        <w:rPr>
          <w:rFonts w:asciiTheme="minorEastAsia" w:hAnsiTheme="minorEastAsia" w:eastAsiaTheme="minorEastAsia" w:cstheme="minorEastAsia"/>
          <w:sz w:val="24"/>
          <w:szCs w:val="24"/>
          <w:lang w:eastAsia="zh-CN"/>
        </w:rPr>
      </w:pPr>
    </w:p>
    <w:p w14:paraId="11AB60A8">
      <w:pPr>
        <w:kinsoku/>
        <w:wordWrap w:val="0"/>
        <w:spacing w:line="219" w:lineRule="auto"/>
        <w:jc w:val="both"/>
        <w:rPr>
          <w:rFonts w:asciiTheme="minorEastAsia" w:hAnsiTheme="minorEastAsia" w:eastAsiaTheme="minorEastAsia" w:cstheme="minorEastAsia"/>
          <w:sz w:val="24"/>
          <w:szCs w:val="24"/>
          <w:lang w:eastAsia="zh-CN"/>
        </w:rPr>
      </w:pPr>
    </w:p>
    <w:p w14:paraId="303EE8D1">
      <w:pPr>
        <w:kinsoku/>
        <w:wordWrap w:val="0"/>
        <w:spacing w:line="219" w:lineRule="auto"/>
        <w:jc w:val="both"/>
        <w:rPr>
          <w:rFonts w:asciiTheme="minorEastAsia" w:hAnsiTheme="minorEastAsia" w:eastAsiaTheme="minorEastAsia" w:cstheme="minorEastAsia"/>
          <w:sz w:val="24"/>
          <w:szCs w:val="24"/>
          <w:lang w:eastAsia="zh-CN"/>
        </w:rPr>
      </w:pPr>
    </w:p>
    <w:p w14:paraId="7D85CDE9">
      <w:pPr>
        <w:kinsoku/>
        <w:wordWrap w:val="0"/>
        <w:spacing w:line="219" w:lineRule="auto"/>
        <w:jc w:val="both"/>
        <w:rPr>
          <w:rFonts w:asciiTheme="minorEastAsia" w:hAnsiTheme="minorEastAsia" w:eastAsiaTheme="minorEastAsia" w:cstheme="minorEastAsia"/>
          <w:sz w:val="24"/>
          <w:szCs w:val="24"/>
          <w:lang w:eastAsia="zh-CN"/>
        </w:rPr>
      </w:pPr>
    </w:p>
    <w:p w14:paraId="1676F7C8">
      <w:pPr>
        <w:pStyle w:val="3"/>
        <w:kinsoku/>
        <w:wordWrap w:val="0"/>
        <w:spacing w:before="353" w:line="360" w:lineRule="auto"/>
        <w:ind w:left="3129"/>
        <w:jc w:val="both"/>
        <w:rPr>
          <w:rFonts w:asciiTheme="minorEastAsia" w:hAnsiTheme="minorEastAsia" w:eastAsiaTheme="minorEastAsia" w:cstheme="minorEastAsia"/>
          <w:spacing w:val="-1"/>
          <w:sz w:val="36"/>
          <w:szCs w:val="36"/>
          <w:lang w:eastAsia="zh-CN"/>
        </w:rPr>
      </w:pPr>
    </w:p>
    <w:p w14:paraId="1A2297FA">
      <w:pPr>
        <w:pStyle w:val="3"/>
        <w:kinsoku/>
        <w:wordWrap w:val="0"/>
        <w:spacing w:before="353" w:line="360" w:lineRule="auto"/>
        <w:ind w:left="3129"/>
        <w:jc w:val="both"/>
        <w:rPr>
          <w:rFonts w:asciiTheme="minorEastAsia" w:hAnsiTheme="minorEastAsia" w:eastAsiaTheme="minorEastAsia" w:cstheme="minorEastAsia"/>
          <w:spacing w:val="-1"/>
          <w:sz w:val="36"/>
          <w:szCs w:val="36"/>
          <w:lang w:eastAsia="zh-CN"/>
        </w:rPr>
      </w:pPr>
    </w:p>
    <w:p w14:paraId="6A837330">
      <w:pPr>
        <w:pStyle w:val="3"/>
        <w:kinsoku/>
        <w:wordWrap w:val="0"/>
        <w:spacing w:before="353" w:line="360" w:lineRule="auto"/>
        <w:ind w:left="3129"/>
        <w:jc w:val="both"/>
        <w:rPr>
          <w:rFonts w:asciiTheme="minorEastAsia" w:hAnsiTheme="minorEastAsia" w:eastAsiaTheme="minorEastAsia" w:cstheme="minorEastAsia"/>
          <w:spacing w:val="-1"/>
          <w:sz w:val="36"/>
          <w:szCs w:val="36"/>
          <w:lang w:eastAsia="zh-CN"/>
        </w:rPr>
      </w:pPr>
    </w:p>
    <w:p w14:paraId="39DCBDB7">
      <w:pPr>
        <w:pStyle w:val="31"/>
        <w:rPr>
          <w:rFonts w:asciiTheme="minorEastAsia" w:hAnsiTheme="minorEastAsia" w:eastAsiaTheme="minorEastAsia" w:cstheme="minorEastAsia"/>
          <w:spacing w:val="-1"/>
          <w:sz w:val="36"/>
          <w:szCs w:val="36"/>
          <w:lang w:eastAsia="zh-CN"/>
        </w:rPr>
      </w:pPr>
    </w:p>
    <w:p w14:paraId="3E2697F5">
      <w:pPr>
        <w:rPr>
          <w:lang w:eastAsia="zh-CN"/>
        </w:rPr>
      </w:pPr>
    </w:p>
    <w:p w14:paraId="31D9CFA8">
      <w:pPr>
        <w:pStyle w:val="3"/>
        <w:kinsoku/>
        <w:wordWrap w:val="0"/>
        <w:spacing w:before="353" w:line="360" w:lineRule="auto"/>
        <w:ind w:left="3129"/>
        <w:jc w:val="both"/>
        <w:rPr>
          <w:rFonts w:asciiTheme="minorEastAsia" w:hAnsiTheme="minorEastAsia" w:eastAsiaTheme="minorEastAsia" w:cstheme="minorEastAsia"/>
          <w:spacing w:val="-1"/>
          <w:sz w:val="36"/>
          <w:szCs w:val="36"/>
          <w:lang w:eastAsia="zh-CN"/>
        </w:rPr>
      </w:pPr>
    </w:p>
    <w:p w14:paraId="474CBA96">
      <w:pPr>
        <w:pStyle w:val="3"/>
        <w:kinsoku/>
        <w:wordWrap w:val="0"/>
        <w:spacing w:before="353" w:line="360" w:lineRule="auto"/>
        <w:jc w:val="both"/>
        <w:rPr>
          <w:rFonts w:asciiTheme="minorEastAsia" w:hAnsiTheme="minorEastAsia" w:eastAsiaTheme="minorEastAsia" w:cstheme="minorEastAsia"/>
          <w:spacing w:val="-1"/>
          <w:sz w:val="36"/>
          <w:szCs w:val="36"/>
          <w:lang w:eastAsia="zh-CN"/>
        </w:rPr>
      </w:pPr>
    </w:p>
    <w:p w14:paraId="0A47B072">
      <w:pPr>
        <w:pStyle w:val="3"/>
        <w:keepNext w:val="0"/>
        <w:keepLines w:val="0"/>
        <w:pageBreakBefore w:val="0"/>
        <w:kinsoku/>
        <w:wordWrap w:val="0"/>
        <w:overflowPunct/>
        <w:topLinePunct w:val="0"/>
        <w:bidi w:val="0"/>
        <w:spacing w:before="353" w:line="600" w:lineRule="exact"/>
        <w:jc w:val="center"/>
        <w:rPr>
          <w:rFonts w:hint="eastAsia" w:asciiTheme="minorEastAsia" w:hAnsiTheme="minorEastAsia" w:eastAsiaTheme="minorEastAsia" w:cstheme="minorEastAsia"/>
          <w:spacing w:val="-1"/>
          <w:sz w:val="36"/>
          <w:szCs w:val="36"/>
          <w:lang w:eastAsia="zh-CN"/>
        </w:rPr>
      </w:pPr>
      <w:r>
        <w:rPr>
          <w:rFonts w:hint="eastAsia" w:asciiTheme="minorEastAsia" w:hAnsiTheme="minorEastAsia" w:eastAsiaTheme="minorEastAsia" w:cstheme="minorEastAsia"/>
          <w:spacing w:val="-1"/>
          <w:sz w:val="36"/>
          <w:szCs w:val="36"/>
          <w:lang w:val="en-US" w:eastAsia="zh-CN"/>
        </w:rPr>
        <w:t>淅川县九重镇人民政府</w:t>
      </w:r>
      <w:r>
        <w:rPr>
          <w:rFonts w:hint="eastAsia" w:asciiTheme="minorEastAsia" w:hAnsiTheme="minorEastAsia" w:eastAsiaTheme="minorEastAsia" w:cstheme="minorEastAsia"/>
          <w:spacing w:val="-1"/>
          <w:sz w:val="36"/>
          <w:szCs w:val="36"/>
          <w:lang w:eastAsia="zh-CN"/>
        </w:rPr>
        <w:t>2025淅川县九重镇邹庄村、张河村、武店村、陶岔村垃圾中转设备采购项目</w:t>
      </w:r>
    </w:p>
    <w:p w14:paraId="353B951D">
      <w:pPr>
        <w:pStyle w:val="3"/>
        <w:keepNext w:val="0"/>
        <w:keepLines w:val="0"/>
        <w:pageBreakBefore w:val="0"/>
        <w:kinsoku/>
        <w:wordWrap w:val="0"/>
        <w:overflowPunct/>
        <w:topLinePunct w:val="0"/>
        <w:bidi w:val="0"/>
        <w:spacing w:before="353" w:line="600" w:lineRule="exact"/>
        <w:jc w:val="center"/>
        <w:rPr>
          <w:spacing w:val="-6"/>
          <w:sz w:val="36"/>
          <w:szCs w:val="36"/>
          <w:lang w:eastAsia="zh-CN"/>
        </w:rPr>
      </w:pPr>
      <w:r>
        <w:rPr>
          <w:rFonts w:hint="eastAsia" w:asciiTheme="minorEastAsia" w:hAnsiTheme="minorEastAsia" w:eastAsiaTheme="minorEastAsia" w:cstheme="minorEastAsia"/>
          <w:spacing w:val="-1"/>
          <w:sz w:val="36"/>
          <w:szCs w:val="36"/>
          <w:lang w:eastAsia="zh-CN"/>
        </w:rPr>
        <w:t>公开招标公告</w:t>
      </w:r>
    </w:p>
    <w:p w14:paraId="653265FE">
      <w:pPr>
        <w:keepNext w:val="0"/>
        <w:keepLines w:val="0"/>
        <w:pageBreakBefore w:val="0"/>
        <w:widowControl/>
        <w:wordWrap/>
        <w:overflowPunct/>
        <w:topLinePunct w:val="0"/>
        <w:bidi w:val="0"/>
        <w:adjustRightInd/>
        <w:snapToGrid/>
        <w:spacing w:line="600" w:lineRule="exact"/>
        <w:rPr>
          <w:rFonts w:asciiTheme="minorEastAsia" w:hAnsiTheme="minorEastAsia" w:eastAsiaTheme="minorEastAsia" w:cstheme="minorEastAsia"/>
          <w:b/>
          <w:bCs/>
          <w:color w:val="333333"/>
          <w:shd w:val="clear" w:color="auto" w:fill="FFFFFF"/>
          <w:lang w:eastAsia="zh-CN"/>
        </w:rPr>
      </w:pPr>
      <w:r>
        <w:rPr>
          <w:rFonts w:hint="eastAsia" w:asciiTheme="minorEastAsia" w:hAnsiTheme="minorEastAsia" w:eastAsiaTheme="minorEastAsia" w:cstheme="minorEastAsia"/>
          <w:b/>
          <w:bCs/>
          <w:color w:val="333333"/>
          <w:shd w:val="clear" w:color="auto" w:fill="FFFFFF"/>
          <w:lang w:eastAsia="zh-CN"/>
        </w:rPr>
        <w:t>项目概况</w:t>
      </w:r>
    </w:p>
    <w:p w14:paraId="2A1DA389">
      <w:pPr>
        <w:keepNext w:val="0"/>
        <w:keepLines w:val="0"/>
        <w:pageBreakBefore w:val="0"/>
        <w:widowControl/>
        <w:wordWrap/>
        <w:overflowPunct/>
        <w:topLinePunct w:val="0"/>
        <w:bidi w:val="0"/>
        <w:adjustRightInd/>
        <w:snapToGrid/>
        <w:spacing w:line="600" w:lineRule="exact"/>
        <w:ind w:firstLine="210" w:firstLineChars="1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lang w:eastAsia="zh-CN"/>
        </w:rPr>
        <w:t>淅川县九重镇人民政府2025淅川县九重镇邹庄村、张河村、武店村、陶岔村垃圾中转设备采购项目的潜在投标人应在南阳市公共资源交易中心电子交易系统淅川区（http://ggzyjy.xichuan.gov.cn/</w:t>
      </w:r>
      <w:r>
        <w:rPr>
          <w:rFonts w:hint="eastAsia" w:asciiTheme="minorEastAsia" w:hAnsiTheme="minorEastAsia" w:eastAsiaTheme="minorEastAsia" w:cstheme="minorEastAsia"/>
          <w:highlight w:val="none"/>
          <w:lang w:eastAsia="zh-CN"/>
        </w:rPr>
        <w:t>）获取招标文件，并于</w:t>
      </w:r>
      <w:r>
        <w:rPr>
          <w:rFonts w:hint="eastAsia" w:asciiTheme="minorEastAsia" w:hAnsiTheme="minorEastAsia" w:eastAsiaTheme="minorEastAsia" w:cstheme="minorEastAsia"/>
          <w:color w:val="auto"/>
          <w:highlight w:val="none"/>
          <w:lang w:val="en-US" w:eastAsia="zh-CN"/>
        </w:rPr>
        <w:t>2025年11月7日9时00分</w:t>
      </w:r>
      <w:r>
        <w:rPr>
          <w:rFonts w:hint="eastAsia" w:asciiTheme="minorEastAsia" w:hAnsiTheme="minorEastAsia" w:eastAsiaTheme="minorEastAsia" w:cstheme="minorEastAsia"/>
          <w:color w:val="auto"/>
          <w:highlight w:val="none"/>
          <w:lang w:eastAsia="zh-CN"/>
        </w:rPr>
        <w:t>（北京时间）前递交投标文件。</w:t>
      </w:r>
    </w:p>
    <w:p w14:paraId="7D0C0E3F">
      <w:pPr>
        <w:keepNext w:val="0"/>
        <w:keepLines w:val="0"/>
        <w:pageBreakBefore w:val="0"/>
        <w:widowControl/>
        <w:kinsoku/>
        <w:wordWrap/>
        <w:overflowPunct/>
        <w:topLinePunct w:val="0"/>
        <w:autoSpaceDE/>
        <w:autoSpaceDN/>
        <w:bidi w:val="0"/>
        <w:adjustRightInd/>
        <w:snapToGrid/>
        <w:spacing w:line="600" w:lineRule="exact"/>
        <w:textAlignment w:val="auto"/>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一、项目基本情况</w:t>
      </w:r>
    </w:p>
    <w:p w14:paraId="3679903F">
      <w:pPr>
        <w:keepNext w:val="0"/>
        <w:keepLines w:val="0"/>
        <w:pageBreakBefore w:val="0"/>
        <w:widowControl/>
        <w:wordWrap/>
        <w:overflowPunct/>
        <w:topLinePunct w:val="0"/>
        <w:bidi w:val="0"/>
        <w:adjustRightInd/>
        <w:snapToGrid/>
        <w:spacing w:line="600" w:lineRule="exact"/>
        <w:ind w:firstLine="210" w:firstLineChars="1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1、项目编号：淅财招标采购-2025-</w:t>
      </w:r>
      <w:r>
        <w:rPr>
          <w:rFonts w:hint="eastAsia" w:asciiTheme="minorEastAsia" w:hAnsiTheme="minorEastAsia" w:eastAsiaTheme="minorEastAsia" w:cstheme="minorEastAsia"/>
          <w:lang w:val="en-US" w:eastAsia="zh-CN"/>
        </w:rPr>
        <w:t>182</w:t>
      </w:r>
    </w:p>
    <w:p w14:paraId="2E0F80A1">
      <w:pPr>
        <w:keepNext w:val="0"/>
        <w:keepLines w:val="0"/>
        <w:pageBreakBefore w:val="0"/>
        <w:widowControl/>
        <w:wordWrap/>
        <w:overflowPunct/>
        <w:topLinePunct w:val="0"/>
        <w:bidi w:val="0"/>
        <w:adjustRightInd/>
        <w:snapToGrid/>
        <w:spacing w:line="600" w:lineRule="exact"/>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2、项目名称：淅川县九重镇人民政府2025淅川县九重镇邹庄村、张河村、武店村、陶岔村垃圾中转设备采购项目</w:t>
      </w:r>
    </w:p>
    <w:p w14:paraId="660A68F8">
      <w:pPr>
        <w:keepNext w:val="0"/>
        <w:keepLines w:val="0"/>
        <w:pageBreakBefore w:val="0"/>
        <w:widowControl/>
        <w:wordWrap/>
        <w:overflowPunct/>
        <w:topLinePunct w:val="0"/>
        <w:bidi w:val="0"/>
        <w:adjustRightInd/>
        <w:snapToGrid/>
        <w:spacing w:line="600" w:lineRule="exact"/>
        <w:ind w:firstLine="210" w:firstLineChars="100"/>
        <w:rPr>
          <w:rFonts w:asciiTheme="minorEastAsia" w:hAnsiTheme="minorEastAsia" w:eastAsiaTheme="minorEastAsia" w:cstheme="minorEastAsia"/>
          <w:color w:val="333333"/>
          <w:shd w:val="clear" w:color="auto" w:fill="FFFFFF"/>
          <w:lang w:eastAsia="zh-CN"/>
        </w:rPr>
      </w:pPr>
      <w:r>
        <w:rPr>
          <w:rFonts w:hint="eastAsia" w:asciiTheme="minorEastAsia" w:hAnsiTheme="minorEastAsia" w:eastAsiaTheme="minorEastAsia" w:cstheme="minorEastAsia"/>
          <w:lang w:eastAsia="zh-CN"/>
        </w:rPr>
        <w:t>3、采购方式：公开招标</w:t>
      </w:r>
    </w:p>
    <w:p w14:paraId="59B105E8">
      <w:pPr>
        <w:keepNext w:val="0"/>
        <w:keepLines w:val="0"/>
        <w:pageBreakBefore w:val="0"/>
        <w:widowControl/>
        <w:wordWrap/>
        <w:overflowPunct/>
        <w:topLinePunct w:val="0"/>
        <w:bidi w:val="0"/>
        <w:adjustRightInd/>
        <w:snapToGrid/>
        <w:spacing w:line="600" w:lineRule="exact"/>
        <w:ind w:firstLine="210" w:firstLineChars="1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lang w:eastAsia="zh-CN"/>
        </w:rPr>
        <w:t>4</w:t>
      </w:r>
      <w:r>
        <w:rPr>
          <w:rFonts w:hint="eastAsia" w:asciiTheme="minorEastAsia" w:hAnsiTheme="minorEastAsia" w:eastAsiaTheme="minorEastAsia" w:cstheme="minorEastAsia"/>
          <w:color w:val="auto"/>
          <w:lang w:eastAsia="zh-CN"/>
        </w:rPr>
        <w:t>、预算金额：</w:t>
      </w:r>
      <w:r>
        <w:rPr>
          <w:rFonts w:hint="eastAsia" w:asciiTheme="minorEastAsia" w:hAnsiTheme="minorEastAsia" w:eastAsiaTheme="minorEastAsia" w:cstheme="minorEastAsia"/>
          <w:color w:val="auto"/>
          <w:lang w:val="en-US" w:eastAsia="zh-CN"/>
        </w:rPr>
        <w:t xml:space="preserve">1200000 </w:t>
      </w:r>
      <w:r>
        <w:rPr>
          <w:rFonts w:hint="eastAsia" w:asciiTheme="minorEastAsia" w:hAnsiTheme="minorEastAsia" w:eastAsiaTheme="minorEastAsia" w:cstheme="minorEastAsia"/>
          <w:color w:val="auto"/>
          <w:lang w:eastAsia="zh-CN"/>
        </w:rPr>
        <w:t>元</w:t>
      </w:r>
    </w:p>
    <w:p w14:paraId="60BBFAC7">
      <w:pPr>
        <w:keepNext w:val="0"/>
        <w:keepLines w:val="0"/>
        <w:pageBreakBefore w:val="0"/>
        <w:widowControl/>
        <w:wordWrap/>
        <w:overflowPunct/>
        <w:topLinePunct w:val="0"/>
        <w:bidi w:val="0"/>
        <w:adjustRightInd/>
        <w:snapToGrid/>
        <w:spacing w:line="60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w:t>
      </w:r>
      <w:r>
        <w:rPr>
          <w:rFonts w:hint="eastAsia" w:asciiTheme="minorEastAsia" w:hAnsiTheme="minorEastAsia" w:eastAsiaTheme="minorEastAsia" w:cstheme="minorEastAsia"/>
          <w:color w:val="auto"/>
          <w:lang w:val="en-US" w:eastAsia="zh-CN"/>
        </w:rPr>
        <w:t xml:space="preserve">1200000 </w:t>
      </w:r>
      <w:r>
        <w:rPr>
          <w:rFonts w:hint="eastAsia" w:asciiTheme="minorEastAsia" w:hAnsiTheme="minorEastAsia" w:eastAsiaTheme="minorEastAsia" w:cstheme="minorEastAsia"/>
          <w:color w:val="auto"/>
          <w:lang w:eastAsia="zh-CN"/>
        </w:rPr>
        <w:t>元</w:t>
      </w:r>
    </w:p>
    <w:tbl>
      <w:tblPr>
        <w:tblStyle w:val="18"/>
        <w:tblW w:w="501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19"/>
        <w:gridCol w:w="1312"/>
        <w:gridCol w:w="3502"/>
        <w:gridCol w:w="1469"/>
        <w:gridCol w:w="1549"/>
      </w:tblGrid>
      <w:tr w14:paraId="6E2EC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9" w:hRule="atLeast"/>
          <w:jc w:val="center"/>
        </w:trPr>
        <w:tc>
          <w:tcPr>
            <w:tcW w:w="310" w:type="pct"/>
            <w:vAlign w:val="center"/>
          </w:tcPr>
          <w:p w14:paraId="713D2C3B">
            <w:pPr>
              <w:keepNext w:val="0"/>
              <w:keepLines w:val="0"/>
              <w:pageBreakBefore w:val="0"/>
              <w:widowControl/>
              <w:wordWrap/>
              <w:overflowPunct/>
              <w:topLinePunct w:val="0"/>
              <w:bidi w:val="0"/>
              <w:adjustRightInd/>
              <w:snapToGrid/>
              <w:spacing w:line="60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785" w:type="pct"/>
            <w:vAlign w:val="center"/>
          </w:tcPr>
          <w:p w14:paraId="5721D873">
            <w:pPr>
              <w:keepNext w:val="0"/>
              <w:keepLines w:val="0"/>
              <w:pageBreakBefore w:val="0"/>
              <w:widowControl/>
              <w:wordWrap/>
              <w:overflowPunct/>
              <w:topLinePunct w:val="0"/>
              <w:bidi w:val="0"/>
              <w:adjustRightInd/>
              <w:snapToGrid/>
              <w:spacing w:line="60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包号</w:t>
            </w:r>
          </w:p>
        </w:tc>
        <w:tc>
          <w:tcPr>
            <w:tcW w:w="2096" w:type="pct"/>
            <w:vAlign w:val="center"/>
          </w:tcPr>
          <w:p w14:paraId="42179AFD">
            <w:pPr>
              <w:keepNext w:val="0"/>
              <w:keepLines w:val="0"/>
              <w:pageBreakBefore w:val="0"/>
              <w:widowControl/>
              <w:wordWrap/>
              <w:overflowPunct/>
              <w:topLinePunct w:val="0"/>
              <w:bidi w:val="0"/>
              <w:adjustRightInd/>
              <w:snapToGrid/>
              <w:spacing w:line="60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包名称</w:t>
            </w:r>
          </w:p>
        </w:tc>
        <w:tc>
          <w:tcPr>
            <w:tcW w:w="879" w:type="pct"/>
            <w:vAlign w:val="center"/>
          </w:tcPr>
          <w:p w14:paraId="4FCF7878">
            <w:pPr>
              <w:keepNext w:val="0"/>
              <w:keepLines w:val="0"/>
              <w:pageBreakBefore w:val="0"/>
              <w:widowControl/>
              <w:wordWrap/>
              <w:overflowPunct/>
              <w:topLinePunct w:val="0"/>
              <w:bidi w:val="0"/>
              <w:adjustRightInd/>
              <w:snapToGrid/>
              <w:spacing w:line="60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包预算</w:t>
            </w:r>
          </w:p>
          <w:p w14:paraId="2C625EBF">
            <w:pPr>
              <w:keepNext w:val="0"/>
              <w:keepLines w:val="0"/>
              <w:pageBreakBefore w:val="0"/>
              <w:widowControl/>
              <w:wordWrap/>
              <w:overflowPunct/>
              <w:topLinePunct w:val="0"/>
              <w:bidi w:val="0"/>
              <w:adjustRightInd/>
              <w:snapToGrid/>
              <w:spacing w:line="60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（元）</w:t>
            </w:r>
          </w:p>
        </w:tc>
        <w:tc>
          <w:tcPr>
            <w:tcW w:w="927" w:type="pct"/>
            <w:vAlign w:val="center"/>
          </w:tcPr>
          <w:p w14:paraId="058D619E">
            <w:pPr>
              <w:keepNext w:val="0"/>
              <w:keepLines w:val="0"/>
              <w:pageBreakBefore w:val="0"/>
              <w:widowControl/>
              <w:wordWrap/>
              <w:overflowPunct/>
              <w:topLinePunct w:val="0"/>
              <w:bidi w:val="0"/>
              <w:adjustRightInd/>
              <w:snapToGrid/>
              <w:spacing w:line="60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包最高限价</w:t>
            </w:r>
          </w:p>
          <w:p w14:paraId="7D9EC8AF">
            <w:pPr>
              <w:keepNext w:val="0"/>
              <w:keepLines w:val="0"/>
              <w:pageBreakBefore w:val="0"/>
              <w:widowControl/>
              <w:wordWrap/>
              <w:overflowPunct/>
              <w:topLinePunct w:val="0"/>
              <w:bidi w:val="0"/>
              <w:adjustRightInd/>
              <w:snapToGrid/>
              <w:spacing w:line="60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（元）</w:t>
            </w:r>
          </w:p>
        </w:tc>
      </w:tr>
      <w:tr w14:paraId="0FCE17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310" w:type="pct"/>
            <w:vAlign w:val="center"/>
          </w:tcPr>
          <w:p w14:paraId="485B986B">
            <w:pPr>
              <w:keepNext w:val="0"/>
              <w:keepLines w:val="0"/>
              <w:pageBreakBefore w:val="0"/>
              <w:widowControl/>
              <w:wordWrap/>
              <w:overflowPunct/>
              <w:topLinePunct w:val="0"/>
              <w:bidi w:val="0"/>
              <w:adjustRightInd/>
              <w:snapToGrid/>
              <w:spacing w:line="60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c>
          <w:tcPr>
            <w:tcW w:w="785" w:type="pct"/>
            <w:vAlign w:val="center"/>
          </w:tcPr>
          <w:p w14:paraId="40F95111">
            <w:pPr>
              <w:keepNext w:val="0"/>
              <w:keepLines w:val="0"/>
              <w:pageBreakBefore w:val="0"/>
              <w:widowControl/>
              <w:wordWrap/>
              <w:overflowPunct/>
              <w:topLinePunct w:val="0"/>
              <w:bidi w:val="0"/>
              <w:adjustRightInd/>
              <w:snapToGrid/>
              <w:spacing w:line="60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淅财招标采购-2025-</w:t>
            </w:r>
            <w:r>
              <w:rPr>
                <w:rFonts w:hint="eastAsia" w:asciiTheme="minorEastAsia" w:hAnsiTheme="minorEastAsia" w:eastAsiaTheme="minorEastAsia" w:cstheme="minorEastAsia"/>
                <w:lang w:val="en-US" w:eastAsia="zh-CN"/>
              </w:rPr>
              <w:t xml:space="preserve">-182 </w:t>
            </w:r>
          </w:p>
        </w:tc>
        <w:tc>
          <w:tcPr>
            <w:tcW w:w="2096" w:type="pct"/>
            <w:vAlign w:val="center"/>
          </w:tcPr>
          <w:p w14:paraId="2C1A314A">
            <w:pPr>
              <w:keepNext w:val="0"/>
              <w:keepLines w:val="0"/>
              <w:pageBreakBefore w:val="0"/>
              <w:widowControl/>
              <w:wordWrap/>
              <w:overflowPunct/>
              <w:topLinePunct w:val="0"/>
              <w:bidi w:val="0"/>
              <w:adjustRightInd/>
              <w:snapToGrid/>
              <w:spacing w:line="60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淅川县九重镇人民政府2025淅川县九重镇邹庄村、张河村、武店村、陶岔村垃圾中转设备采购项目第1标段</w:t>
            </w:r>
          </w:p>
        </w:tc>
        <w:tc>
          <w:tcPr>
            <w:tcW w:w="879" w:type="pct"/>
            <w:vAlign w:val="center"/>
          </w:tcPr>
          <w:p w14:paraId="2888CF35">
            <w:pPr>
              <w:keepNext w:val="0"/>
              <w:keepLines w:val="0"/>
              <w:pageBreakBefore w:val="0"/>
              <w:widowControl/>
              <w:wordWrap/>
              <w:overflowPunct/>
              <w:topLinePunct w:val="0"/>
              <w:bidi w:val="0"/>
              <w:adjustRightInd/>
              <w:snapToGrid/>
              <w:spacing w:line="600" w:lineRule="exact"/>
              <w:ind w:firstLine="210" w:firstLineChars="10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1200000 </w:t>
            </w:r>
            <w:r>
              <w:rPr>
                <w:rFonts w:hint="eastAsia" w:asciiTheme="minorEastAsia" w:hAnsiTheme="minorEastAsia" w:eastAsiaTheme="minorEastAsia" w:cstheme="minorEastAsia"/>
                <w:color w:val="auto"/>
                <w:lang w:eastAsia="zh-CN"/>
              </w:rPr>
              <w:t>元</w:t>
            </w:r>
            <w:r>
              <w:rPr>
                <w:rFonts w:hint="eastAsia" w:asciiTheme="minorEastAsia" w:hAnsiTheme="minorEastAsia" w:eastAsiaTheme="minorEastAsia" w:cstheme="minorEastAsia"/>
                <w:color w:val="auto"/>
                <w:lang w:val="en-US" w:eastAsia="zh-CN"/>
              </w:rPr>
              <w:t xml:space="preserve">  </w:t>
            </w:r>
          </w:p>
        </w:tc>
        <w:tc>
          <w:tcPr>
            <w:tcW w:w="927" w:type="pct"/>
            <w:vAlign w:val="center"/>
          </w:tcPr>
          <w:p w14:paraId="2E45BAA8">
            <w:pPr>
              <w:keepNext w:val="0"/>
              <w:keepLines w:val="0"/>
              <w:pageBreakBefore w:val="0"/>
              <w:widowControl/>
              <w:wordWrap/>
              <w:overflowPunct/>
              <w:topLinePunct w:val="0"/>
              <w:bidi w:val="0"/>
              <w:adjustRightInd/>
              <w:snapToGrid/>
              <w:spacing w:line="600" w:lineRule="exact"/>
              <w:ind w:firstLine="210" w:firstLineChars="10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1200000 </w:t>
            </w:r>
            <w:r>
              <w:rPr>
                <w:rFonts w:hint="eastAsia" w:asciiTheme="minorEastAsia" w:hAnsiTheme="minorEastAsia" w:eastAsiaTheme="minorEastAsia" w:cstheme="minorEastAsia"/>
                <w:color w:val="auto"/>
                <w:lang w:eastAsia="zh-CN"/>
              </w:rPr>
              <w:t>元</w:t>
            </w:r>
          </w:p>
        </w:tc>
      </w:tr>
    </w:tbl>
    <w:p w14:paraId="06E7E108">
      <w:pPr>
        <w:pStyle w:val="41"/>
        <w:keepNext w:val="0"/>
        <w:keepLines w:val="0"/>
        <w:pageBreakBefore w:val="0"/>
        <w:widowControl/>
        <w:tabs>
          <w:tab w:val="left" w:pos="1191"/>
        </w:tabs>
        <w:wordWrap/>
        <w:overflowPunct/>
        <w:topLinePunct w:val="0"/>
        <w:bidi w:val="0"/>
        <w:adjustRightInd/>
        <w:snapToGrid/>
        <w:spacing w:line="600" w:lineRule="exact"/>
        <w:ind w:firstLine="220" w:firstLineChars="1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5、采购需求（包括但不限于标的的名称、数量、简要技术需求或服务要求等）：</w:t>
      </w:r>
    </w:p>
    <w:p w14:paraId="27E0C5E5">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sz w:val="22"/>
          <w:szCs w:val="22"/>
          <w:lang w:eastAsia="zh-CN"/>
        </w:rPr>
        <w:t>5.1、招标内容</w:t>
      </w:r>
      <w:r>
        <w:rPr>
          <w:rFonts w:hint="eastAsia" w:asciiTheme="minorEastAsia" w:hAnsiTheme="minorEastAsia" w:eastAsiaTheme="minorEastAsia" w:cstheme="minorEastAsia"/>
          <w:color w:val="auto"/>
          <w:sz w:val="22"/>
          <w:szCs w:val="22"/>
          <w:lang w:eastAsia="zh-CN"/>
        </w:rPr>
        <w:t>：九重镇邹庄村、张河村、武店村、陶岔村垃圾中转设备采购</w:t>
      </w:r>
    </w:p>
    <w:p w14:paraId="372722A6">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5.2、项目地点：采购人指定地点</w:t>
      </w:r>
    </w:p>
    <w:p w14:paraId="7A20409D">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5.3、质量要求：合格，符合国家及行业相关规范和标准</w:t>
      </w:r>
    </w:p>
    <w:p w14:paraId="726A8CC7">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5.4、供货期：</w:t>
      </w:r>
      <w:r>
        <w:rPr>
          <w:rFonts w:hint="eastAsia" w:asciiTheme="minorEastAsia" w:hAnsiTheme="minorEastAsia" w:eastAsiaTheme="minorEastAsia" w:cstheme="minorEastAsia"/>
          <w:color w:val="FF0000"/>
          <w:sz w:val="22"/>
          <w:szCs w:val="22"/>
          <w:lang w:eastAsia="zh-CN"/>
        </w:rPr>
        <w:t>合同签订后</w:t>
      </w:r>
      <w:r>
        <w:rPr>
          <w:rFonts w:hint="eastAsia" w:asciiTheme="minorEastAsia" w:hAnsiTheme="minorEastAsia" w:eastAsiaTheme="minorEastAsia" w:cstheme="minorEastAsia"/>
          <w:color w:val="FF0000"/>
          <w:sz w:val="22"/>
          <w:szCs w:val="22"/>
          <w:lang w:val="en-US" w:eastAsia="zh-CN"/>
        </w:rPr>
        <w:t xml:space="preserve"> 30 </w:t>
      </w:r>
      <w:r>
        <w:rPr>
          <w:rFonts w:hint="eastAsia" w:asciiTheme="minorEastAsia" w:hAnsiTheme="minorEastAsia" w:eastAsiaTheme="minorEastAsia" w:cstheme="minorEastAsia"/>
          <w:color w:val="FF0000"/>
          <w:sz w:val="22"/>
          <w:szCs w:val="22"/>
          <w:lang w:eastAsia="zh-CN"/>
        </w:rPr>
        <w:t>日历天</w:t>
      </w:r>
    </w:p>
    <w:p w14:paraId="6671027C">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5.5、质保期：自验收合格之日起</w:t>
      </w: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lang w:eastAsia="zh-CN"/>
        </w:rPr>
        <w:t>年</w:t>
      </w:r>
    </w:p>
    <w:p w14:paraId="1AB3C30C">
      <w:pPr>
        <w:pStyle w:val="3"/>
        <w:keepNext w:val="0"/>
        <w:keepLines w:val="0"/>
        <w:pageBreakBefore w:val="0"/>
        <w:widowControl/>
        <w:wordWrap/>
        <w:overflowPunct/>
        <w:topLinePunct w:val="0"/>
        <w:bidi w:val="0"/>
        <w:spacing w:line="600" w:lineRule="exact"/>
        <w:ind w:firstLine="220" w:firstLineChars="1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6、合同履行期限：</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eastAsia="zh-CN"/>
        </w:rPr>
        <w:t>同供货期</w:t>
      </w:r>
    </w:p>
    <w:p w14:paraId="549137DC">
      <w:pPr>
        <w:pStyle w:val="3"/>
        <w:keepNext w:val="0"/>
        <w:keepLines w:val="0"/>
        <w:pageBreakBefore w:val="0"/>
        <w:widowControl/>
        <w:wordWrap/>
        <w:overflowPunct/>
        <w:topLinePunct w:val="0"/>
        <w:bidi w:val="0"/>
        <w:spacing w:line="600" w:lineRule="exact"/>
        <w:ind w:firstLine="220" w:firstLineChars="1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7、本项目是否接受联合体投标：否</w:t>
      </w:r>
    </w:p>
    <w:p w14:paraId="3A0FE0F2">
      <w:pPr>
        <w:pStyle w:val="3"/>
        <w:keepNext w:val="0"/>
        <w:keepLines w:val="0"/>
        <w:pageBreakBefore w:val="0"/>
        <w:widowControl/>
        <w:wordWrap/>
        <w:overflowPunct/>
        <w:topLinePunct w:val="0"/>
        <w:bidi w:val="0"/>
        <w:spacing w:line="600" w:lineRule="exact"/>
        <w:ind w:firstLine="220" w:firstLineChars="100"/>
        <w:rPr>
          <w:rFonts w:asciiTheme="minorEastAsia" w:hAnsiTheme="minorEastAsia" w:eastAsiaTheme="minorEastAsia" w:cstheme="minorEastAsia"/>
          <w:sz w:val="22"/>
          <w:szCs w:val="22"/>
          <w:lang w:eastAsia="zh-CN"/>
        </w:rPr>
      </w:pPr>
      <w:r>
        <w:rPr>
          <w:rFonts w:asciiTheme="minorEastAsia" w:hAnsiTheme="minorEastAsia" w:eastAsiaTheme="minorEastAsia" w:cstheme="minorEastAsia"/>
          <w:sz w:val="22"/>
          <w:szCs w:val="22"/>
          <w:lang w:eastAsia="zh-CN"/>
        </w:rPr>
        <w:t>8、是否接受进口产品：否</w:t>
      </w:r>
    </w:p>
    <w:p w14:paraId="06E3B9AF">
      <w:pPr>
        <w:pStyle w:val="3"/>
        <w:keepNext w:val="0"/>
        <w:keepLines w:val="0"/>
        <w:pageBreakBefore w:val="0"/>
        <w:widowControl/>
        <w:wordWrap/>
        <w:overflowPunct/>
        <w:topLinePunct w:val="0"/>
        <w:bidi w:val="0"/>
        <w:spacing w:line="600" w:lineRule="exact"/>
        <w:ind w:firstLine="220" w:firstLineChars="100"/>
        <w:rPr>
          <w:rFonts w:hint="default" w:asciiTheme="minorEastAsia" w:hAnsiTheme="minorEastAsia" w:eastAsiaTheme="minorEastAsia" w:cstheme="minorEastAsia"/>
          <w:sz w:val="22"/>
          <w:szCs w:val="22"/>
          <w:lang w:val="en-US" w:eastAsia="zh-CN"/>
        </w:rPr>
      </w:pPr>
      <w:r>
        <w:rPr>
          <w:rFonts w:asciiTheme="minorEastAsia" w:hAnsiTheme="minorEastAsia" w:eastAsiaTheme="minorEastAsia" w:cstheme="minorEastAsia"/>
          <w:sz w:val="22"/>
          <w:szCs w:val="22"/>
          <w:lang w:eastAsia="zh-CN"/>
        </w:rPr>
        <w:t>9、</w:t>
      </w:r>
      <w:r>
        <w:rPr>
          <w:rFonts w:asciiTheme="minorEastAsia" w:hAnsiTheme="minorEastAsia" w:eastAsiaTheme="minorEastAsia" w:cstheme="minorEastAsia"/>
          <w:color w:val="FF0000"/>
          <w:sz w:val="22"/>
          <w:szCs w:val="22"/>
          <w:lang w:eastAsia="zh-CN"/>
        </w:rPr>
        <w:t>是否专门面向中小企业：</w:t>
      </w:r>
      <w:r>
        <w:rPr>
          <w:rFonts w:hint="eastAsia" w:asciiTheme="minorEastAsia" w:hAnsiTheme="minorEastAsia" w:eastAsiaTheme="minorEastAsia" w:cstheme="minorEastAsia"/>
          <w:color w:val="FF0000"/>
          <w:sz w:val="22"/>
          <w:szCs w:val="22"/>
          <w:lang w:val="en-US" w:eastAsia="zh-CN"/>
        </w:rPr>
        <w:t>是</w:t>
      </w:r>
    </w:p>
    <w:p w14:paraId="22D646A6">
      <w:pPr>
        <w:keepNext w:val="0"/>
        <w:keepLines w:val="0"/>
        <w:pageBreakBefore w:val="0"/>
        <w:widowControl/>
        <w:kinsoku/>
        <w:wordWrap/>
        <w:overflowPunct/>
        <w:topLinePunct w:val="0"/>
        <w:autoSpaceDE/>
        <w:autoSpaceDN/>
        <w:bidi w:val="0"/>
        <w:adjustRightInd/>
        <w:snapToGrid/>
        <w:spacing w:line="60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二、申请人资格要求：</w:t>
      </w:r>
    </w:p>
    <w:p w14:paraId="1356A1C1">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1、符合《政府采购法》第二十二条之规定；</w:t>
      </w:r>
    </w:p>
    <w:p w14:paraId="0F307BCF">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2、落实政府采购政策满足的资格要求：</w:t>
      </w:r>
    </w:p>
    <w:p w14:paraId="0523A5A4">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本项目执行促进中小型企业发展政策（残疾人福利性企业、监狱企业视同小微企业）</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07"/>
      </w:tblGrid>
      <w:tr w14:paraId="2DEA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07" w:type="dxa"/>
            <w:shd w:val="clear" w:color="auto" w:fill="auto"/>
            <w:tcMar>
              <w:top w:w="0" w:type="dxa"/>
              <w:left w:w="0" w:type="dxa"/>
              <w:bottom w:w="0" w:type="dxa"/>
              <w:right w:w="0" w:type="dxa"/>
            </w:tcMar>
            <w:vAlign w:val="center"/>
          </w:tcPr>
          <w:p w14:paraId="6D9E7C90">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default" w:asciiTheme="minorEastAsia" w:hAnsiTheme="minorEastAsia" w:eastAsiaTheme="minorEastAsia" w:cstheme="minorEastAsia"/>
                <w:sz w:val="22"/>
                <w:szCs w:val="22"/>
                <w:lang w:val="en-US" w:eastAsia="zh-CN"/>
              </w:rPr>
              <w:t>3、本项目的特定资格要求</w:t>
            </w:r>
          </w:p>
        </w:tc>
      </w:tr>
      <w:tr w14:paraId="2514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07" w:type="dxa"/>
            <w:shd w:val="clear" w:color="auto" w:fill="auto"/>
            <w:tcMar>
              <w:top w:w="0" w:type="dxa"/>
              <w:left w:w="0" w:type="dxa"/>
              <w:bottom w:w="0" w:type="dxa"/>
              <w:right w:w="0" w:type="dxa"/>
            </w:tcMar>
            <w:vAlign w:val="center"/>
          </w:tcPr>
          <w:p w14:paraId="2F5554EB">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color w:val="auto"/>
                <w:sz w:val="22"/>
                <w:szCs w:val="22"/>
                <w:lang w:val="en-US" w:eastAsia="zh-CN"/>
              </w:rPr>
            </w:pPr>
            <w:r>
              <w:rPr>
                <w:rFonts w:hint="default" w:asciiTheme="minorEastAsia" w:hAnsiTheme="minorEastAsia" w:eastAsiaTheme="minorEastAsia" w:cstheme="minorEastAsia"/>
                <w:color w:val="auto"/>
                <w:sz w:val="22"/>
                <w:szCs w:val="22"/>
                <w:lang w:val="en-US" w:eastAsia="zh-CN"/>
              </w:rPr>
              <w:t>3.1注册于中华人民共和国境内，具有独立承担民事责任能力，持有有效的营业执照；</w:t>
            </w:r>
            <w:r>
              <w:rPr>
                <w:rFonts w:hint="default" w:asciiTheme="minorEastAsia" w:hAnsiTheme="minorEastAsia" w:eastAsiaTheme="minorEastAsia" w:cstheme="minorEastAsia"/>
                <w:color w:val="auto"/>
                <w:sz w:val="22"/>
                <w:szCs w:val="22"/>
                <w:lang w:val="en-US" w:eastAsia="zh-CN"/>
              </w:rPr>
              <w:br w:type="textWrapping"/>
            </w:r>
            <w:r>
              <w:rPr>
                <w:rFonts w:hint="eastAsia" w:asciiTheme="minorEastAsia" w:hAnsiTheme="minorEastAsia" w:eastAsiaTheme="minorEastAsia" w:cstheme="minorEastAsia"/>
                <w:color w:val="auto"/>
                <w:sz w:val="22"/>
                <w:szCs w:val="22"/>
                <w:lang w:val="en-US" w:eastAsia="zh-CN"/>
              </w:rPr>
              <w:t xml:space="preserve">   </w:t>
            </w:r>
            <w:r>
              <w:rPr>
                <w:rFonts w:hint="default" w:asciiTheme="minorEastAsia" w:hAnsiTheme="minorEastAsia" w:eastAsiaTheme="minorEastAsia" w:cstheme="minorEastAsia"/>
                <w:color w:val="auto"/>
                <w:sz w:val="22"/>
                <w:szCs w:val="22"/>
                <w:lang w:val="en-US" w:eastAsia="zh-CN"/>
              </w:rPr>
              <w:t>3.2具有良好的商业信誉和健全的财务会计制度（1.提供本单位上年度经会计师事务所出具的审计报告或本公司出具的财务报表或提供银行出具的证明文件。银行出具的证明文件应能说明该供应商与银行之间业务往来正常，企业信誉良好等。2024年新成立企业可提供成立后任意一季度审计报告或财务报表，2025年新成立企业可提供自成立之日起财务报表。2.供应商提供企业有关财务会计制度)；</w:t>
            </w:r>
            <w:r>
              <w:rPr>
                <w:rFonts w:hint="default" w:asciiTheme="minorEastAsia" w:hAnsiTheme="minorEastAsia" w:eastAsiaTheme="minorEastAsia" w:cstheme="minorEastAsia"/>
                <w:color w:val="auto"/>
                <w:sz w:val="22"/>
                <w:szCs w:val="22"/>
                <w:lang w:val="en-US" w:eastAsia="zh-CN"/>
              </w:rPr>
              <w:br w:type="textWrapping"/>
            </w:r>
            <w:r>
              <w:rPr>
                <w:rFonts w:hint="eastAsia" w:asciiTheme="minorEastAsia" w:hAnsiTheme="minorEastAsia" w:eastAsiaTheme="minorEastAsia" w:cstheme="minorEastAsia"/>
                <w:color w:val="auto"/>
                <w:sz w:val="22"/>
                <w:szCs w:val="22"/>
                <w:lang w:val="en-US" w:eastAsia="zh-CN"/>
              </w:rPr>
              <w:t xml:space="preserve">   </w:t>
            </w:r>
            <w:r>
              <w:rPr>
                <w:rFonts w:hint="default" w:asciiTheme="minorEastAsia" w:hAnsiTheme="minorEastAsia" w:eastAsiaTheme="minorEastAsia" w:cstheme="minorEastAsia"/>
                <w:color w:val="auto"/>
                <w:sz w:val="22"/>
                <w:szCs w:val="22"/>
                <w:lang w:val="en-US" w:eastAsia="zh-CN"/>
              </w:rPr>
              <w:t>3.3具有履行合同所必需的设备和专业技术能力（提供承诺函，格式自拟）；</w:t>
            </w:r>
            <w:r>
              <w:rPr>
                <w:rFonts w:hint="default" w:asciiTheme="minorEastAsia" w:hAnsiTheme="minorEastAsia" w:eastAsiaTheme="minorEastAsia" w:cstheme="minorEastAsia"/>
                <w:color w:val="auto"/>
                <w:sz w:val="22"/>
                <w:szCs w:val="22"/>
                <w:lang w:val="en-US" w:eastAsia="zh-CN"/>
              </w:rPr>
              <w:br w:type="textWrapping"/>
            </w:r>
            <w:r>
              <w:rPr>
                <w:rFonts w:hint="eastAsia" w:asciiTheme="minorEastAsia" w:hAnsiTheme="minorEastAsia" w:eastAsiaTheme="minorEastAsia" w:cstheme="minorEastAsia"/>
                <w:color w:val="auto"/>
                <w:sz w:val="22"/>
                <w:szCs w:val="22"/>
                <w:lang w:val="en-US" w:eastAsia="zh-CN"/>
              </w:rPr>
              <w:t xml:space="preserve">   </w:t>
            </w:r>
            <w:r>
              <w:rPr>
                <w:rFonts w:hint="default" w:asciiTheme="minorEastAsia" w:hAnsiTheme="minorEastAsia" w:eastAsiaTheme="minorEastAsia" w:cstheme="minorEastAsia"/>
                <w:color w:val="auto"/>
                <w:sz w:val="22"/>
                <w:szCs w:val="22"/>
                <w:lang w:val="en-US" w:eastAsia="zh-CN"/>
              </w:rPr>
              <w:t>3.4有依法缴纳税收和社会保障资金的良好记录（提供2025年以来任意一个月依法缴纳税收和社会保障资金的证明材料，依法免税或不需要缴纳社会保障资金的申请人应提供相应的证明文件）；</w:t>
            </w:r>
            <w:r>
              <w:rPr>
                <w:rFonts w:hint="default" w:asciiTheme="minorEastAsia" w:hAnsiTheme="minorEastAsia" w:eastAsiaTheme="minorEastAsia" w:cstheme="minorEastAsia"/>
                <w:color w:val="auto"/>
                <w:sz w:val="22"/>
                <w:szCs w:val="22"/>
                <w:lang w:val="en-US" w:eastAsia="zh-CN"/>
              </w:rPr>
              <w:br w:type="textWrapping"/>
            </w:r>
            <w:r>
              <w:rPr>
                <w:rFonts w:hint="eastAsia" w:asciiTheme="minorEastAsia" w:hAnsiTheme="minorEastAsia" w:eastAsiaTheme="minorEastAsia" w:cstheme="minorEastAsia"/>
                <w:color w:val="auto"/>
                <w:sz w:val="22"/>
                <w:szCs w:val="22"/>
                <w:lang w:val="en-US" w:eastAsia="zh-CN"/>
              </w:rPr>
              <w:t xml:space="preserve">   </w:t>
            </w:r>
            <w:r>
              <w:rPr>
                <w:rFonts w:hint="default" w:asciiTheme="minorEastAsia" w:hAnsiTheme="minorEastAsia" w:eastAsiaTheme="minorEastAsia" w:cstheme="minorEastAsia"/>
                <w:color w:val="auto"/>
                <w:sz w:val="22"/>
                <w:szCs w:val="22"/>
                <w:lang w:val="en-US" w:eastAsia="zh-CN"/>
              </w:rPr>
              <w:t>3.5参加政府采购活动前三年内，在经营活动中没有重大违法记录</w:t>
            </w:r>
            <w:r>
              <w:rPr>
                <w:rFonts w:hint="eastAsia" w:asciiTheme="minorEastAsia" w:hAnsiTheme="minorEastAsia" w:eastAsiaTheme="minorEastAsia" w:cstheme="minorEastAsia"/>
                <w:color w:val="auto"/>
                <w:sz w:val="22"/>
                <w:szCs w:val="22"/>
                <w:lang w:val="en-US" w:eastAsia="zh-CN"/>
              </w:rPr>
              <w:t>。</w:t>
            </w:r>
          </w:p>
          <w:p w14:paraId="7F4E8516">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default" w:asciiTheme="minorEastAsia" w:hAnsiTheme="minorEastAsia" w:eastAsiaTheme="minorEastAsia" w:cstheme="minorEastAsia"/>
                <w:color w:val="auto"/>
                <w:sz w:val="22"/>
                <w:szCs w:val="22"/>
                <w:lang w:eastAsia="zh-CN"/>
              </w:rPr>
            </w:pPr>
            <w:r>
              <w:rPr>
                <w:rFonts w:hint="default" w:asciiTheme="minorEastAsia" w:hAnsiTheme="minorEastAsia" w:eastAsiaTheme="minorEastAsia" w:cstheme="minorEastAsia"/>
                <w:color w:val="auto"/>
                <w:sz w:val="22"/>
                <w:szCs w:val="22"/>
                <w:lang w:val="en-US" w:eastAsia="zh-CN"/>
              </w:rPr>
              <w:t>3.6投标人需提供无行贿犯罪记录承诺函（承诺对象包括：投标人、法定代表人、委托代理人）,并对其真实性负责，若承诺不实，造成的后果由投标人自行负责（格式自拟）；</w:t>
            </w:r>
          </w:p>
        </w:tc>
      </w:tr>
    </w:tbl>
    <w:p w14:paraId="4FEABBFD">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w:t>
      </w:r>
      <w:r>
        <w:rPr>
          <w:rFonts w:hint="eastAsia" w:asciiTheme="minorEastAsia" w:hAnsiTheme="minorEastAsia" w:eastAsiaTheme="minorEastAsia" w:cstheme="minorEastAsia"/>
          <w:color w:val="auto"/>
          <w:sz w:val="22"/>
          <w:szCs w:val="22"/>
          <w:lang w:val="en-US" w:eastAsia="zh-CN"/>
        </w:rPr>
        <w:t>7</w:t>
      </w:r>
      <w:r>
        <w:rPr>
          <w:rFonts w:hint="eastAsia" w:asciiTheme="minorEastAsia" w:hAnsiTheme="minorEastAsia" w:eastAsiaTheme="minorEastAsia" w:cstheme="minorEastAsia"/>
          <w:color w:val="auto"/>
          <w:sz w:val="22"/>
          <w:szCs w:val="22"/>
          <w:lang w:eastAsia="zh-CN"/>
        </w:rPr>
        <w:t>根据《关于在政府采购活动中查询及使用信用记录有关问题的通知》(财库(2016)125号)的规定，对列入失信被执行人、重大税收违法失信主体名单、政府</w:t>
      </w:r>
      <w:r>
        <w:rPr>
          <w:rFonts w:hint="eastAsia" w:asciiTheme="minorEastAsia" w:hAnsiTheme="minorEastAsia" w:eastAsiaTheme="minorEastAsia" w:cstheme="minorEastAsia"/>
          <w:color w:val="auto"/>
          <w:sz w:val="22"/>
          <w:szCs w:val="22"/>
          <w:lang w:val="en-US" w:eastAsia="zh-CN"/>
        </w:rPr>
        <w:t>采购</w:t>
      </w:r>
      <w:r>
        <w:rPr>
          <w:rFonts w:hint="eastAsia" w:asciiTheme="minorEastAsia" w:hAnsiTheme="minorEastAsia" w:eastAsiaTheme="minorEastAsia" w:cstheme="minorEastAsia"/>
          <w:color w:val="auto"/>
          <w:sz w:val="22"/>
          <w:szCs w:val="22"/>
          <w:lang w:eastAsia="zh-CN"/>
        </w:rPr>
        <w:t>严重违法失信行为记录名单的供应商，拒绝参与本项目政府采购活动【查询渠道:“信用中国”网站(www.creditchina.gov.cn)、中国政府采购网(www.ccgp.gov.cn)】，查询时间为发布公告之日起到投标截止时间;</w:t>
      </w:r>
    </w:p>
    <w:p w14:paraId="72D9ACF8">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auto"/>
          <w:sz w:val="22"/>
          <w:szCs w:val="22"/>
          <w:lang w:eastAsia="zh-CN"/>
        </w:rPr>
        <w:t>3.</w:t>
      </w:r>
      <w:r>
        <w:rPr>
          <w:rFonts w:hint="eastAsia" w:asciiTheme="minorEastAsia" w:hAnsiTheme="minorEastAsia" w:eastAsiaTheme="minorEastAsia" w:cstheme="minorEastAsia"/>
          <w:color w:val="auto"/>
          <w:sz w:val="22"/>
          <w:szCs w:val="22"/>
          <w:lang w:val="en-US" w:eastAsia="zh-CN"/>
        </w:rPr>
        <w:t>8</w:t>
      </w:r>
      <w:r>
        <w:rPr>
          <w:rFonts w:hint="eastAsia" w:asciiTheme="minorEastAsia" w:hAnsiTheme="minorEastAsia" w:eastAsiaTheme="minorEastAsia" w:cstheme="minorEastAsia"/>
          <w:color w:val="auto"/>
          <w:sz w:val="22"/>
          <w:szCs w:val="22"/>
          <w:lang w:eastAsia="zh-CN"/>
        </w:rPr>
        <w:t>本项目不接受联合体投标，不得分包转包。</w:t>
      </w:r>
    </w:p>
    <w:p w14:paraId="57124CD8">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lang w:eastAsia="zh-CN"/>
        </w:rPr>
        <w:t>本项目实行资格后审，审查内容以投标截止时间前填报上传的企业诚信库信息为准，过期更改的诚信库信息不作为本项目评审依据。诚信库上传信息必全，真实有效，原件扫描件清晰可辨。否则，由此造成应得分而未得分或资格审查不合格等情况的，由供应商自行承担责任;</w:t>
      </w:r>
    </w:p>
    <w:p w14:paraId="1BE98E78">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w:t>
      </w: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lang w:eastAsia="zh-CN"/>
        </w:rPr>
        <w:t>本项目中标/成交结果公示时，同时公示中标/成交人诚信库信息，接受社会监督。</w:t>
      </w:r>
    </w:p>
    <w:p w14:paraId="4B8CC579">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三、获取采购文件</w:t>
      </w:r>
    </w:p>
    <w:p w14:paraId="19FCDD1C">
      <w:pPr>
        <w:keepNext w:val="0"/>
        <w:keepLines w:val="0"/>
        <w:pageBreakBefore w:val="0"/>
        <w:widowControl/>
        <w:kinsoku/>
        <w:wordWrap/>
        <w:overflowPunct/>
        <w:topLinePunct w:val="0"/>
        <w:autoSpaceDE/>
        <w:autoSpaceDN/>
        <w:bidi w:val="0"/>
        <w:adjustRightInd/>
        <w:snapToGrid/>
        <w:spacing w:before="94" w:line="600" w:lineRule="exact"/>
        <w:ind w:right="255" w:firstLine="360"/>
        <w:jc w:val="left"/>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1.时间</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lang w:val="en-US" w:eastAsia="zh-CN"/>
        </w:rPr>
        <w:t>2025年10月17日</w:t>
      </w:r>
      <w:r>
        <w:rPr>
          <w:rFonts w:hint="eastAsia" w:asciiTheme="minorEastAsia" w:hAnsiTheme="minorEastAsia" w:eastAsiaTheme="minorEastAsia" w:cstheme="minorEastAsia"/>
          <w:sz w:val="22"/>
          <w:szCs w:val="22"/>
          <w:lang w:eastAsia="zh-CN"/>
        </w:rPr>
        <w:t>至</w:t>
      </w:r>
      <w:r>
        <w:rPr>
          <w:rFonts w:hint="eastAsia" w:asciiTheme="minorEastAsia" w:hAnsiTheme="minorEastAsia" w:eastAsiaTheme="minorEastAsia" w:cstheme="minorEastAsia"/>
          <w:sz w:val="22"/>
          <w:szCs w:val="22"/>
          <w:lang w:val="en-US" w:eastAsia="zh-CN"/>
        </w:rPr>
        <w:t>2025</w:t>
      </w:r>
      <w:r>
        <w:rPr>
          <w:rFonts w:hint="eastAsia" w:asciiTheme="minorEastAsia" w:hAnsiTheme="minorEastAsia" w:eastAsiaTheme="minorEastAsia" w:cstheme="minorEastAsia"/>
          <w:sz w:val="22"/>
          <w:szCs w:val="22"/>
          <w:lang w:eastAsia="zh-CN"/>
        </w:rPr>
        <w:t>年</w:t>
      </w:r>
      <w:r>
        <w:rPr>
          <w:rFonts w:hint="eastAsia" w:asciiTheme="minorEastAsia" w:hAnsiTheme="minorEastAsia" w:eastAsiaTheme="minorEastAsia" w:cstheme="minorEastAsia"/>
          <w:sz w:val="22"/>
          <w:szCs w:val="22"/>
          <w:lang w:val="en-US" w:eastAsia="zh-CN"/>
        </w:rPr>
        <w:t>11</w:t>
      </w:r>
      <w:r>
        <w:rPr>
          <w:rFonts w:hint="eastAsia" w:asciiTheme="minorEastAsia" w:hAnsiTheme="minorEastAsia" w:eastAsiaTheme="minorEastAsia" w:cstheme="minorEastAsia"/>
          <w:sz w:val="22"/>
          <w:szCs w:val="22"/>
          <w:lang w:eastAsia="zh-CN"/>
        </w:rPr>
        <w:t>月</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highlight w:val="none"/>
          <w:lang w:eastAsia="zh-CN"/>
        </w:rPr>
        <w:t>日，每天上</w:t>
      </w:r>
      <w:r>
        <w:rPr>
          <w:rFonts w:hint="eastAsia" w:asciiTheme="minorEastAsia" w:hAnsiTheme="minorEastAsia" w:eastAsiaTheme="minorEastAsia" w:cstheme="minorEastAsia"/>
          <w:sz w:val="22"/>
          <w:szCs w:val="22"/>
          <w:lang w:eastAsia="zh-CN"/>
        </w:rPr>
        <w:t>午09:00至12:00，下午12:00至18:00。</w:t>
      </w:r>
    </w:p>
    <w:p w14:paraId="67F651C3">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2.地点：南阳市公共资源交易平台电子交易系统淅川（http://ggzyjy.xichuan.gov.cn/）。</w:t>
      </w:r>
    </w:p>
    <w:p w14:paraId="0EB305C8">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3.方式：潜在投标人登录南阳市公共资源交易中心电子交易系统淅川区（http://ggzyjy.xichuan.gov.cn/）参与招标项目，可直接下载采购文件</w:t>
      </w:r>
      <w:r>
        <w:rPr>
          <w:rFonts w:hint="eastAsia" w:asciiTheme="minorEastAsia" w:hAnsiTheme="minorEastAsia" w:eastAsiaTheme="minorEastAsia" w:cstheme="minorEastAsia"/>
          <w:sz w:val="22"/>
          <w:szCs w:val="22"/>
          <w:lang w:eastAsia="zh-CN"/>
        </w:rPr>
        <w:t>。</w:t>
      </w:r>
    </w:p>
    <w:p w14:paraId="285941EC">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4.售价：0元。</w:t>
      </w:r>
    </w:p>
    <w:p w14:paraId="791E5C45">
      <w:pPr>
        <w:keepNext w:val="0"/>
        <w:keepLines w:val="0"/>
        <w:pageBreakBefore w:val="0"/>
        <w:widowControl/>
        <w:kinsoku/>
        <w:wordWrap/>
        <w:overflowPunct/>
        <w:topLinePunct w:val="0"/>
        <w:autoSpaceDE/>
        <w:autoSpaceDN/>
        <w:bidi w:val="0"/>
        <w:adjustRightInd/>
        <w:snapToGrid/>
        <w:spacing w:line="60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四、投标截止时间及地点</w:t>
      </w:r>
    </w:p>
    <w:p w14:paraId="3467979F">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1.时间：2025年</w:t>
      </w:r>
      <w:r>
        <w:rPr>
          <w:rFonts w:hint="eastAsia" w:asciiTheme="minorEastAsia" w:hAnsiTheme="minorEastAsia" w:eastAsiaTheme="minorEastAsia" w:cstheme="minorEastAsia"/>
          <w:sz w:val="22"/>
          <w:szCs w:val="22"/>
          <w:lang w:val="en-US" w:eastAsia="zh-CN"/>
        </w:rPr>
        <w:t>11</w:t>
      </w:r>
      <w:r>
        <w:rPr>
          <w:rFonts w:hint="eastAsia" w:asciiTheme="minorEastAsia" w:hAnsiTheme="minorEastAsia" w:eastAsiaTheme="minorEastAsia" w:cstheme="minorEastAsia"/>
          <w:sz w:val="22"/>
          <w:szCs w:val="22"/>
          <w:lang w:eastAsia="zh-CN"/>
        </w:rPr>
        <w:t>月</w:t>
      </w: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lang w:eastAsia="zh-CN"/>
        </w:rPr>
        <w:t>日</w:t>
      </w:r>
      <w:r>
        <w:rPr>
          <w:rFonts w:hint="eastAsia" w:asciiTheme="minorEastAsia" w:hAnsiTheme="minorEastAsia" w:eastAsiaTheme="minorEastAsia" w:cstheme="minorEastAsia"/>
          <w:sz w:val="22"/>
          <w:szCs w:val="22"/>
          <w:lang w:val="en-US" w:eastAsia="zh-CN"/>
        </w:rPr>
        <w:t xml:space="preserve">9 </w:t>
      </w:r>
      <w:r>
        <w:rPr>
          <w:rFonts w:hint="eastAsia" w:asciiTheme="minorEastAsia" w:hAnsiTheme="minorEastAsia" w:eastAsiaTheme="minorEastAsia" w:cstheme="minorEastAsia"/>
          <w:sz w:val="22"/>
          <w:szCs w:val="22"/>
          <w:lang w:eastAsia="zh-CN"/>
        </w:rPr>
        <w:t>时</w:t>
      </w:r>
      <w:r>
        <w:rPr>
          <w:rFonts w:hint="eastAsia" w:asciiTheme="minorEastAsia" w:hAnsiTheme="minorEastAsia" w:eastAsiaTheme="minorEastAsia" w:cstheme="minorEastAsia"/>
          <w:sz w:val="22"/>
          <w:szCs w:val="22"/>
          <w:lang w:val="en-US" w:eastAsia="zh-CN"/>
        </w:rPr>
        <w:t>00</w:t>
      </w:r>
      <w:r>
        <w:rPr>
          <w:rFonts w:hint="eastAsia" w:asciiTheme="minorEastAsia" w:hAnsiTheme="minorEastAsia" w:eastAsiaTheme="minorEastAsia" w:cstheme="minorEastAsia"/>
          <w:sz w:val="22"/>
          <w:szCs w:val="22"/>
          <w:lang w:eastAsia="zh-CN"/>
        </w:rPr>
        <w:t>分（北京时间）</w:t>
      </w:r>
    </w:p>
    <w:p w14:paraId="2A31A0D9">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2.地点：该项目在电子交易系统内自行上传投标文件，无需寄送和递交非加密投标文件U盘等。</w:t>
      </w:r>
    </w:p>
    <w:p w14:paraId="7EBEBBFD">
      <w:pPr>
        <w:keepNext w:val="0"/>
        <w:keepLines w:val="0"/>
        <w:pageBreakBefore w:val="0"/>
        <w:widowControl/>
        <w:kinsoku/>
        <w:wordWrap/>
        <w:overflowPunct/>
        <w:topLinePunct w:val="0"/>
        <w:autoSpaceDE/>
        <w:autoSpaceDN/>
        <w:bidi w:val="0"/>
        <w:adjustRightInd/>
        <w:snapToGrid/>
        <w:spacing w:line="60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五、投标文件开启</w:t>
      </w:r>
    </w:p>
    <w:p w14:paraId="5CB2A554">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1.时间：2025年</w:t>
      </w:r>
      <w:r>
        <w:rPr>
          <w:rFonts w:hint="eastAsia" w:asciiTheme="minorEastAsia" w:hAnsiTheme="minorEastAsia" w:eastAsiaTheme="minorEastAsia" w:cstheme="minorEastAsia"/>
          <w:sz w:val="22"/>
          <w:szCs w:val="22"/>
          <w:highlight w:val="none"/>
          <w:lang w:val="en-US" w:eastAsia="zh-CN"/>
        </w:rPr>
        <w:t>11</w:t>
      </w:r>
      <w:r>
        <w:rPr>
          <w:rFonts w:hint="eastAsia" w:asciiTheme="minorEastAsia" w:hAnsiTheme="minorEastAsia" w:eastAsiaTheme="minorEastAsia" w:cstheme="minorEastAsia"/>
          <w:sz w:val="22"/>
          <w:szCs w:val="22"/>
          <w:highlight w:val="none"/>
          <w:lang w:eastAsia="zh-CN"/>
        </w:rPr>
        <w:t>月</w:t>
      </w:r>
      <w:r>
        <w:rPr>
          <w:rFonts w:hint="eastAsia" w:asciiTheme="minorEastAsia" w:hAnsiTheme="minorEastAsia" w:eastAsiaTheme="minorEastAsia" w:cstheme="minorEastAsia"/>
          <w:sz w:val="22"/>
          <w:szCs w:val="22"/>
          <w:highlight w:val="none"/>
          <w:lang w:val="en-US" w:eastAsia="zh-CN"/>
        </w:rPr>
        <w:t>7</w:t>
      </w:r>
      <w:r>
        <w:rPr>
          <w:rFonts w:hint="eastAsia" w:asciiTheme="minorEastAsia" w:hAnsiTheme="minorEastAsia" w:eastAsiaTheme="minorEastAsia" w:cstheme="minorEastAsia"/>
          <w:sz w:val="22"/>
          <w:szCs w:val="22"/>
          <w:highlight w:val="none"/>
          <w:lang w:eastAsia="zh-CN"/>
        </w:rPr>
        <w:t>日</w:t>
      </w:r>
      <w:r>
        <w:rPr>
          <w:rFonts w:hint="eastAsia" w:asciiTheme="minorEastAsia" w:hAnsiTheme="minorEastAsia" w:eastAsiaTheme="minorEastAsia" w:cstheme="minorEastAsia"/>
          <w:sz w:val="22"/>
          <w:szCs w:val="22"/>
          <w:highlight w:val="none"/>
          <w:lang w:val="en-US" w:eastAsia="zh-CN"/>
        </w:rPr>
        <w:t xml:space="preserve">9 </w:t>
      </w:r>
      <w:r>
        <w:rPr>
          <w:rFonts w:hint="eastAsia" w:asciiTheme="minorEastAsia" w:hAnsiTheme="minorEastAsia" w:eastAsiaTheme="minorEastAsia" w:cstheme="minorEastAsia"/>
          <w:sz w:val="22"/>
          <w:szCs w:val="22"/>
          <w:highlight w:val="none"/>
          <w:lang w:eastAsia="zh-CN"/>
        </w:rPr>
        <w:t>时</w:t>
      </w:r>
      <w:r>
        <w:rPr>
          <w:rFonts w:hint="eastAsia" w:asciiTheme="minorEastAsia" w:hAnsiTheme="minorEastAsia" w:eastAsiaTheme="minorEastAsia" w:cstheme="minorEastAsia"/>
          <w:sz w:val="22"/>
          <w:szCs w:val="22"/>
          <w:highlight w:val="none"/>
          <w:lang w:val="en-US" w:eastAsia="zh-CN"/>
        </w:rPr>
        <w:t>00</w:t>
      </w:r>
      <w:r>
        <w:rPr>
          <w:rFonts w:hint="eastAsia" w:asciiTheme="minorEastAsia" w:hAnsiTheme="minorEastAsia" w:eastAsiaTheme="minorEastAsia" w:cstheme="minorEastAsia"/>
          <w:sz w:val="22"/>
          <w:szCs w:val="22"/>
          <w:highlight w:val="none"/>
          <w:lang w:eastAsia="zh-CN"/>
        </w:rPr>
        <w:t>分（北京时间）</w:t>
      </w:r>
    </w:p>
    <w:p w14:paraId="3044A0B7">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2.地点：该项目使用远程不见面开标，供应商无需到现场参与开标。各供应商根据手册要求，提前做好相关准备工作，开标时登录不见面开标大厅参与开标。</w:t>
      </w:r>
      <w:r>
        <w:rPr>
          <w:rFonts w:hint="eastAsia" w:asciiTheme="minorEastAsia" w:hAnsiTheme="minorEastAsia" w:eastAsiaTheme="minorEastAsia" w:cstheme="minorEastAsia"/>
          <w:sz w:val="22"/>
          <w:szCs w:val="22"/>
        </w:rPr>
        <w:t>附件：操作手册地址(下载专区中自行下载)、不见面开标大厅</w:t>
      </w:r>
      <w:r>
        <w:rPr>
          <w:rFonts w:hint="eastAsia" w:asciiTheme="minorEastAsia" w:hAnsiTheme="minorEastAsia" w:eastAsiaTheme="minorEastAsia" w:cstheme="minorEastAsia"/>
          <w:sz w:val="22"/>
          <w:szCs w:val="22"/>
          <w:lang w:eastAsia="zh-CN"/>
        </w:rPr>
        <w:t>地址https://ggzyjy.nanyang.gov.cn/BidOpening/bidhall/nanyang/login.html</w:t>
      </w:r>
    </w:p>
    <w:p w14:paraId="6E9FFCD7">
      <w:pPr>
        <w:keepNext w:val="0"/>
        <w:keepLines w:val="0"/>
        <w:pageBreakBefore w:val="0"/>
        <w:widowControl/>
        <w:kinsoku/>
        <w:wordWrap/>
        <w:overflowPunct/>
        <w:topLinePunct w:val="0"/>
        <w:autoSpaceDE/>
        <w:autoSpaceDN/>
        <w:bidi w:val="0"/>
        <w:adjustRightInd/>
        <w:snapToGrid/>
        <w:spacing w:line="60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六、发布公告的媒介及招标公告期限</w:t>
      </w:r>
    </w:p>
    <w:p w14:paraId="77AC7B39">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本次招标公告同时在《中国招标投标公共服务平台》、《河南省电子招标投标公共服务平台》、《河南省政府采购网》、《淅川县公共资源交易平台》网站上发布。本项目公告期限为5个工作日。</w:t>
      </w:r>
    </w:p>
    <w:p w14:paraId="26E015F8">
      <w:pPr>
        <w:keepNext w:val="0"/>
        <w:keepLines w:val="0"/>
        <w:pageBreakBefore w:val="0"/>
        <w:widowControl/>
        <w:kinsoku/>
        <w:wordWrap/>
        <w:overflowPunct/>
        <w:topLinePunct w:val="0"/>
        <w:autoSpaceDE/>
        <w:autoSpaceDN/>
        <w:bidi w:val="0"/>
        <w:adjustRightInd/>
        <w:snapToGrid/>
        <w:spacing w:line="60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七、其他补充事宜</w:t>
      </w:r>
    </w:p>
    <w:p w14:paraId="081306D8">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1、企业诚信库注册</w:t>
      </w:r>
    </w:p>
    <w:p w14:paraId="2EE165A7">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lang w:eastAsia="zh-CN"/>
        </w:rPr>
        <w:t>本项目只接受南阳市公共资源电子交易平台中已加入企业诚信库的企业投标,未入库的供应商请及时办理入库手续。入库办理请参见南阳市公共资源交易中心网站</w:t>
      </w:r>
      <w:r>
        <w:rPr>
          <w:rFonts w:hint="eastAsia" w:asciiTheme="minorEastAsia" w:hAnsiTheme="minorEastAsia" w:eastAsiaTheme="minorEastAsia" w:cstheme="minorEastAsia"/>
          <w:sz w:val="22"/>
          <w:szCs w:val="22"/>
          <w:highlight w:val="none"/>
          <w:lang w:eastAsia="zh-CN"/>
        </w:rPr>
        <w:t>https://ggzyjy.nanyang.gov.cn下载专区《诚信库申报操作手册》，企业办理诚信库不收取任何费用，不需携带原件到南阳市公共资源交易中心进行审核。因未及时办理入库手续导致无法投标的,责任自负。</w:t>
      </w:r>
    </w:p>
    <w:p w14:paraId="02F6EDC2">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2、办理CA数字证书</w:t>
      </w:r>
    </w:p>
    <w:p w14:paraId="167B88EF">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供应商完成企业诚信库注册后，必须办理CA数字证书方可在网上办理招投标相关业务。CA数字证书办理请参见南阳市公共资源交易中心网站下载专区《CA办理所需资料》。</w:t>
      </w:r>
    </w:p>
    <w:p w14:paraId="1BACABCC">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3、因投标人无需现场参与开标，所有准备工作需要自行到位。开标过程中如遇到紧急事项，可在不见面开标大厅中进行提出异议或文字交流，严重问题可拨打技术支持电话0512-58188538。</w:t>
      </w:r>
    </w:p>
    <w:p w14:paraId="592D02BD">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4、不见面开标过程中，各投标人应在解密指令发出后30分钟内完成投标文件的解密。如遇特殊情况，解密时间可延迟30分钟。</w:t>
      </w:r>
    </w:p>
    <w:p w14:paraId="4049E410">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5、本项目为电子评标项目，投标人须提供电子投标文件，电子投标文件需要使用投标文件制作工具制作，制作工具及操作手册可在南阳市公共资源交易中心网站“下载专区”中下载。</w:t>
      </w:r>
    </w:p>
    <w:p w14:paraId="32ACB250">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6、请各潜在供应商在获取文件后及时关注网站更新信息，若因其他原因未能及时看到网上更新信息而造成的损失，采购人及采购代理机构将不负任何责任。</w:t>
      </w:r>
    </w:p>
    <w:p w14:paraId="5DD77AA0">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电子交易系统技术支持电话：0512-58188538</w:t>
      </w:r>
    </w:p>
    <w:p w14:paraId="0FF1856B">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CA数字证书技术支持电话：详见淅川县公共资源交易中心网站首页CA办理和咨询</w:t>
      </w:r>
    </w:p>
    <w:p w14:paraId="6D5ED758">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lang w:eastAsia="zh-CN"/>
        </w:rPr>
        <w:t>7、监督部</w:t>
      </w:r>
      <w:r>
        <w:rPr>
          <w:rFonts w:hint="eastAsia" w:asciiTheme="minorEastAsia" w:hAnsiTheme="minorEastAsia" w:eastAsiaTheme="minorEastAsia" w:cstheme="minorEastAsia"/>
          <w:sz w:val="22"/>
          <w:szCs w:val="22"/>
          <w:highlight w:val="none"/>
          <w:lang w:eastAsia="zh-CN"/>
        </w:rPr>
        <w:t>门：淅川县财政局</w:t>
      </w:r>
    </w:p>
    <w:p w14:paraId="09456F9F">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监督部门代码：11411326006042033B</w:t>
      </w:r>
    </w:p>
    <w:p w14:paraId="2143E3C4">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地址：淅川县金河镇</w:t>
      </w:r>
    </w:p>
    <w:p w14:paraId="74628738">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联系人：陈先生</w:t>
      </w:r>
    </w:p>
    <w:p w14:paraId="32A512D0">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联系电话：0377-60668835</w:t>
      </w:r>
    </w:p>
    <w:p w14:paraId="5CB5CDD4">
      <w:pPr>
        <w:keepNext w:val="0"/>
        <w:keepLines w:val="0"/>
        <w:pageBreakBefore w:val="0"/>
        <w:widowControl/>
        <w:kinsoku/>
        <w:wordWrap/>
        <w:overflowPunct/>
        <w:topLinePunct w:val="0"/>
        <w:autoSpaceDE/>
        <w:autoSpaceDN/>
        <w:bidi w:val="0"/>
        <w:adjustRightInd/>
        <w:snapToGrid/>
        <w:spacing w:line="600" w:lineRule="exact"/>
        <w:textAlignment w:val="auto"/>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八、凡对本次招标提出询问，请按照以下方式联系</w:t>
      </w:r>
    </w:p>
    <w:p w14:paraId="6177F98E">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lang w:eastAsia="zh-CN"/>
        </w:rPr>
        <w:t>招标人：淅川县九重镇人民政府</w:t>
      </w:r>
    </w:p>
    <w:p w14:paraId="6544CE91">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地 址：淅川县九重镇</w:t>
      </w:r>
    </w:p>
    <w:p w14:paraId="17BB395E">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联系人：</w:t>
      </w:r>
      <w:r>
        <w:rPr>
          <w:rFonts w:hint="eastAsia" w:asciiTheme="minorEastAsia" w:hAnsiTheme="minorEastAsia" w:eastAsiaTheme="minorEastAsia" w:cstheme="minorEastAsia"/>
          <w:sz w:val="22"/>
          <w:szCs w:val="22"/>
          <w:lang w:val="en-US" w:eastAsia="zh-CN"/>
        </w:rPr>
        <w:t>郑先生</w:t>
      </w:r>
      <w:r>
        <w:rPr>
          <w:rFonts w:hint="eastAsia" w:asciiTheme="minorEastAsia" w:hAnsiTheme="minorEastAsia" w:eastAsiaTheme="minorEastAsia" w:cstheme="minorEastAsia"/>
          <w:sz w:val="22"/>
          <w:szCs w:val="22"/>
          <w:lang w:eastAsia="zh-CN"/>
        </w:rPr>
        <w:t>   </w:t>
      </w:r>
    </w:p>
    <w:p w14:paraId="226B1E45">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电话：</w:t>
      </w:r>
      <w:r>
        <w:rPr>
          <w:rFonts w:hint="eastAsia" w:asciiTheme="minorEastAsia" w:hAnsiTheme="minorEastAsia" w:eastAsiaTheme="minorEastAsia" w:cstheme="minorEastAsia"/>
          <w:sz w:val="22"/>
          <w:szCs w:val="22"/>
          <w:lang w:val="en-US" w:eastAsia="zh-CN"/>
        </w:rPr>
        <w:t>16603777010</w:t>
      </w:r>
    </w:p>
    <w:p w14:paraId="6572C800">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2.采购代理机构信息(如有)</w:t>
      </w:r>
    </w:p>
    <w:p w14:paraId="2693DBAC">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名称：淅川县盛淅工程咨询有限公司</w:t>
      </w:r>
    </w:p>
    <w:p w14:paraId="0BFA3EFE">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地址：</w:t>
      </w:r>
      <w:r>
        <w:rPr>
          <w:rFonts w:hint="eastAsia" w:asciiTheme="minorEastAsia" w:hAnsiTheme="minorEastAsia" w:eastAsiaTheme="minorEastAsia" w:cstheme="minorEastAsia"/>
          <w:sz w:val="22"/>
          <w:szCs w:val="22"/>
          <w:lang w:val="en-US" w:eastAsia="zh-CN"/>
        </w:rPr>
        <w:t>淅川县政通路</w:t>
      </w:r>
      <w:r>
        <w:rPr>
          <w:rFonts w:hint="eastAsia" w:ascii="宋体" w:hAnsi="宋体" w:eastAsia="宋体" w:cs="宋体"/>
          <w:snapToGrid/>
          <w:sz w:val="22"/>
          <w:szCs w:val="22"/>
          <w:lang w:val="en-US" w:eastAsia="zh-CN"/>
        </w:rPr>
        <w:t>盛世泽园淅兴公司2楼</w:t>
      </w:r>
    </w:p>
    <w:p w14:paraId="22A61FED">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联系人：</w:t>
      </w:r>
      <w:r>
        <w:rPr>
          <w:rFonts w:hint="eastAsia" w:asciiTheme="minorEastAsia" w:hAnsiTheme="minorEastAsia" w:eastAsiaTheme="minorEastAsia" w:cstheme="minorEastAsia"/>
          <w:sz w:val="22"/>
          <w:szCs w:val="22"/>
          <w:lang w:val="en-US" w:eastAsia="zh-CN"/>
        </w:rPr>
        <w:t>周先生</w:t>
      </w:r>
    </w:p>
    <w:p w14:paraId="6515C6BA">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联系方式：</w:t>
      </w:r>
      <w:r>
        <w:rPr>
          <w:rFonts w:hint="eastAsia" w:asciiTheme="minorEastAsia" w:hAnsiTheme="minorEastAsia" w:eastAsiaTheme="minorEastAsia" w:cstheme="minorEastAsia"/>
          <w:sz w:val="22"/>
          <w:szCs w:val="22"/>
          <w:lang w:val="en-US" w:eastAsia="zh-CN"/>
        </w:rPr>
        <w:t>18272777790</w:t>
      </w:r>
    </w:p>
    <w:p w14:paraId="5D316408">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3.项目联系方式</w:t>
      </w:r>
    </w:p>
    <w:p w14:paraId="4FA0CC4C">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联系人：</w:t>
      </w:r>
      <w:r>
        <w:rPr>
          <w:rFonts w:hint="eastAsia" w:asciiTheme="minorEastAsia" w:hAnsiTheme="minorEastAsia" w:eastAsiaTheme="minorEastAsia" w:cstheme="minorEastAsia"/>
          <w:sz w:val="22"/>
          <w:szCs w:val="22"/>
          <w:lang w:val="en-US" w:eastAsia="zh-CN"/>
        </w:rPr>
        <w:t>周先生</w:t>
      </w:r>
    </w:p>
    <w:p w14:paraId="39CE42EF">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联系方式：</w:t>
      </w:r>
      <w:r>
        <w:rPr>
          <w:rFonts w:hint="eastAsia" w:asciiTheme="minorEastAsia" w:hAnsiTheme="minorEastAsia" w:eastAsiaTheme="minorEastAsia" w:cstheme="minorEastAsia"/>
          <w:sz w:val="22"/>
          <w:szCs w:val="22"/>
          <w:lang w:val="en-US" w:eastAsia="zh-CN"/>
        </w:rPr>
        <w:t>18272777790</w:t>
      </w:r>
    </w:p>
    <w:p w14:paraId="116B44BB">
      <w:pPr>
        <w:keepNext w:val="0"/>
        <w:keepLines w:val="0"/>
        <w:pageBreakBefore w:val="0"/>
        <w:widowControl/>
        <w:kinsoku/>
        <w:wordWrap/>
        <w:overflowPunct/>
        <w:topLinePunct w:val="0"/>
        <w:autoSpaceDE/>
        <w:autoSpaceDN/>
        <w:bidi w:val="0"/>
        <w:adjustRightInd/>
        <w:snapToGrid/>
        <w:spacing w:before="94" w:line="600" w:lineRule="exact"/>
        <w:ind w:right="255" w:firstLine="360"/>
        <w:jc w:val="both"/>
        <w:textAlignment w:val="auto"/>
        <w:rPr>
          <w:rFonts w:hint="eastAsia" w:asciiTheme="minorEastAsia" w:hAnsiTheme="minorEastAsia" w:eastAsiaTheme="minorEastAsia" w:cstheme="minorEastAsia"/>
          <w:sz w:val="22"/>
          <w:szCs w:val="22"/>
          <w:lang w:eastAsia="zh-CN"/>
        </w:rPr>
      </w:pPr>
    </w:p>
    <w:p w14:paraId="21DDAA82">
      <w:pPr>
        <w:keepNext w:val="0"/>
        <w:keepLines w:val="0"/>
        <w:pageBreakBefore w:val="0"/>
        <w:widowControl/>
        <w:wordWrap/>
        <w:overflowPunct/>
        <w:topLinePunct w:val="0"/>
        <w:bidi w:val="0"/>
        <w:spacing w:line="600" w:lineRule="exact"/>
        <w:rPr>
          <w:rFonts w:asciiTheme="minorEastAsia" w:hAnsiTheme="minorEastAsia" w:eastAsiaTheme="minorEastAsia" w:cstheme="minorEastAsia"/>
          <w:spacing w:val="-1"/>
          <w:sz w:val="36"/>
          <w:szCs w:val="36"/>
          <w:lang w:eastAsia="zh-CN"/>
        </w:rPr>
      </w:pPr>
    </w:p>
    <w:p w14:paraId="316A012F">
      <w:pPr>
        <w:pStyle w:val="3"/>
        <w:keepNext w:val="0"/>
        <w:keepLines w:val="0"/>
        <w:pageBreakBefore w:val="0"/>
        <w:kinsoku/>
        <w:wordWrap w:val="0"/>
        <w:overflowPunct/>
        <w:topLinePunct w:val="0"/>
        <w:bidi w:val="0"/>
        <w:spacing w:line="600" w:lineRule="exact"/>
        <w:jc w:val="center"/>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
          <w:sz w:val="36"/>
          <w:szCs w:val="36"/>
          <w:lang w:eastAsia="zh-CN"/>
        </w:rPr>
        <w:t>第二章采购需求</w:t>
      </w:r>
    </w:p>
    <w:p w14:paraId="15494271">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说明：</w:t>
      </w:r>
    </w:p>
    <w:p w14:paraId="15343086">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1.采购项目的采购需求应按照《南阳市财政局关于规范政府采购需求管理的通知》（宛财购〔2021〕10号）的要求确定，符合《政府采购需求管理办法》的规定。</w:t>
      </w:r>
    </w:p>
    <w:p w14:paraId="6D7DED32">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2.当采购项目涉及数据中心相关设备、运维服务时，采购需求应当符合《绿色数据中心政府采购需求标准（试行）》（财库〔2023〕7号）的有关要求。</w:t>
      </w:r>
    </w:p>
    <w:p w14:paraId="51417BAA">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3.当采购项目涉及政务信息系统时，采购需求应当符合《政务信息系统政府采购管理暂行办法》（财库〔2017〕210号）的相关要求。</w:t>
      </w:r>
    </w:p>
    <w:p w14:paraId="5BB8A4AD">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一、</w:t>
      </w:r>
      <w:r>
        <w:rPr>
          <w:rFonts w:hint="eastAsia" w:asciiTheme="minorEastAsia" w:hAnsiTheme="minorEastAsia" w:eastAsiaTheme="minorEastAsia" w:cstheme="minorEastAsia"/>
          <w:spacing w:val="1"/>
          <w:sz w:val="24"/>
          <w:szCs w:val="24"/>
          <w:lang w:val="en-US" w:eastAsia="zh-CN"/>
        </w:rPr>
        <w:t>本标段</w:t>
      </w:r>
      <w:r>
        <w:rPr>
          <w:rFonts w:hint="eastAsia" w:asciiTheme="minorEastAsia" w:hAnsiTheme="minorEastAsia" w:eastAsiaTheme="minorEastAsia" w:cstheme="minorEastAsia"/>
          <w:spacing w:val="1"/>
          <w:sz w:val="24"/>
          <w:szCs w:val="24"/>
          <w:lang w:eastAsia="zh-CN"/>
        </w:rPr>
        <w:t>采购内容及要求</w:t>
      </w:r>
    </w:p>
    <w:tbl>
      <w:tblPr>
        <w:tblStyle w:val="18"/>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5"/>
        <w:gridCol w:w="2355"/>
        <w:gridCol w:w="2370"/>
        <w:gridCol w:w="2685"/>
      </w:tblGrid>
      <w:tr w14:paraId="1A16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DE34CA">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drawing>
                <wp:anchor distT="0" distB="0" distL="114300" distR="114300" simplePos="0" relativeHeight="251659264" behindDoc="0" locked="0" layoutInCell="1" allowOverlap="1">
                  <wp:simplePos x="0" y="0"/>
                  <wp:positionH relativeFrom="column">
                    <wp:posOffset>24765</wp:posOffset>
                  </wp:positionH>
                  <wp:positionV relativeFrom="paragraph">
                    <wp:posOffset>0</wp:posOffset>
                  </wp:positionV>
                  <wp:extent cx="190500" cy="149860"/>
                  <wp:effectExtent l="0" t="0" r="0" b="2540"/>
                  <wp:wrapNone/>
                  <wp:docPr id="20" name="image1"/>
                  <wp:cNvGraphicFramePr/>
                  <a:graphic xmlns:a="http://schemas.openxmlformats.org/drawingml/2006/main">
                    <a:graphicData uri="http://schemas.openxmlformats.org/drawingml/2006/picture">
                      <pic:pic xmlns:pic="http://schemas.openxmlformats.org/drawingml/2006/picture">
                        <pic:nvPicPr>
                          <pic:cNvPr id="20" name="image1"/>
                          <pic:cNvPicPr/>
                        </pic:nvPicPr>
                        <pic:blipFill>
                          <a:blip r:embed="rId15"/>
                          <a:stretch>
                            <a:fillRect/>
                          </a:stretch>
                        </pic:blipFill>
                        <pic:spPr>
                          <a:xfrm>
                            <a:off x="0" y="0"/>
                            <a:ext cx="190500" cy="149860"/>
                          </a:xfrm>
                          <a:prstGeom prst="rect">
                            <a:avLst/>
                          </a:prstGeom>
                          <a:noFill/>
                          <a:ln>
                            <a:noFill/>
                          </a:ln>
                        </pic:spPr>
                      </pic:pic>
                    </a:graphicData>
                  </a:graphic>
                </wp:anchor>
              </w:drawing>
            </w:r>
            <w:r>
              <w:rPr>
                <w:rFonts w:hint="eastAsia" w:asciiTheme="minorEastAsia" w:hAnsiTheme="minorEastAsia" w:eastAsiaTheme="minorEastAsia" w:cstheme="minorEastAsia"/>
                <w:spacing w:val="1"/>
                <w:sz w:val="24"/>
                <w:szCs w:val="24"/>
                <w:lang w:val="en-US" w:eastAsia="zh-CN"/>
              </w:rPr>
              <w:t>2.5m³垃圾箱技术规格参数</w:t>
            </w:r>
          </w:p>
        </w:tc>
      </w:tr>
      <w:tr w14:paraId="10D8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A7D7D">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一 、  技术参数</w:t>
            </w:r>
          </w:p>
        </w:tc>
      </w:tr>
      <w:tr w14:paraId="38DE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BE06">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箱体形状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767A">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弧形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097A">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外形尺寸</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(mm)</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CE7A">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≥1960×1490×1060</w:t>
            </w:r>
          </w:p>
        </w:tc>
      </w:tr>
      <w:tr w14:paraId="6595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B27A">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箱体容积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91E9">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&gt;2.5m²</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F4BF">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箱体材质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A652">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优质碳钢</w:t>
            </w:r>
          </w:p>
        </w:tc>
      </w:tr>
      <w:tr w14:paraId="0069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2D5F">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边板厚度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B6D0">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≥2mm</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A8E7">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材质标准</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22C2">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国标</w:t>
            </w:r>
          </w:p>
        </w:tc>
      </w:tr>
      <w:tr w14:paraId="067C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570E">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底板厚度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73C0">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≥3mm</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E923">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开口形式</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BFFD">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三开门</w:t>
            </w:r>
          </w:p>
        </w:tc>
      </w:tr>
      <w:tr w14:paraId="4BFC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9FB9">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投料盖开启方式</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7387">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机械滑槽撑杆</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向上</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805B">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喷涂工艺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7A29">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外部防锈底漆+面漆；内部</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防锈漆处理，并在底板以及</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边板底部30cm以下部位均</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采用防锈漆+环氧树胎防腐</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工艺处理</w:t>
            </w:r>
          </w:p>
        </w:tc>
      </w:tr>
      <w:tr w14:paraId="73FE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762D">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数量</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B3D0">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240个</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4258">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CCE">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p>
        </w:tc>
      </w:tr>
      <w:tr w14:paraId="03E3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E720BB">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二、性能特点</w:t>
            </w:r>
          </w:p>
        </w:tc>
      </w:tr>
      <w:tr w14:paraId="4CC7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42E03D">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1、箱体采用全封闭式设计，尾端上扬，形成集水盒，可有效防止垃圾运输过程</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中的二次污染。</w:t>
            </w:r>
          </w:p>
        </w:tc>
      </w:tr>
      <w:tr w14:paraId="3BAD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53FDB1">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2、箱体底部装有高强度铁芯聚氨酷刹车万向轮及全钢结构定向轮，方便垃圾箱</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的移动与固定，轮子直径≥150mm。</w:t>
            </w:r>
          </w:p>
        </w:tc>
      </w:tr>
      <w:tr w14:paraId="0494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A64EE1">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3、整个箱体采用冲压、焊接工艺，重量大于350kg。吊耳(圆钢直径≥25m)</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中心高度和轨道以实际车辆匹配为准。</w:t>
            </w:r>
          </w:p>
        </w:tc>
      </w:tr>
      <w:tr w14:paraId="5A7B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CC70A7">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4、箱体侧门及后门密封可靠，采用三元乙丙橡胶密封条，有效避免转运过程的</w:t>
            </w:r>
            <w:r>
              <w:rPr>
                <w:rFonts w:hint="eastAsia" w:asciiTheme="minorEastAsia" w:hAnsiTheme="minorEastAsia" w:eastAsiaTheme="minorEastAsia" w:cstheme="minorEastAsia"/>
                <w:spacing w:val="1"/>
                <w:sz w:val="24"/>
                <w:szCs w:val="24"/>
                <w:lang w:val="en-US" w:eastAsia="zh-CN"/>
              </w:rPr>
              <w:br w:type="textWrapping"/>
            </w:r>
            <w:r>
              <w:rPr>
                <w:rFonts w:hint="eastAsia" w:asciiTheme="minorEastAsia" w:hAnsiTheme="minorEastAsia" w:eastAsiaTheme="minorEastAsia" w:cstheme="minorEastAsia"/>
                <w:spacing w:val="1"/>
                <w:sz w:val="24"/>
                <w:szCs w:val="24"/>
                <w:lang w:val="en-US" w:eastAsia="zh-CN"/>
              </w:rPr>
              <w:t>污水滴漏。</w:t>
            </w:r>
          </w:p>
        </w:tc>
      </w:tr>
      <w:tr w14:paraId="5770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9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E8C87">
            <w:pPr>
              <w:pStyle w:val="3"/>
              <w:keepNext w:val="0"/>
              <w:keepLines w:val="0"/>
              <w:pageBreakBefore w:val="0"/>
              <w:kinsoku/>
              <w:wordWrap w:val="0"/>
              <w:overflowPunct/>
              <w:topLinePunct w:val="0"/>
              <w:bidi w:val="0"/>
              <w:spacing w:line="600" w:lineRule="exact"/>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val="en-US" w:eastAsia="zh-CN"/>
              </w:rPr>
              <w:t>5、箱体明显位置要有反光贴及警示标志，颜色及标语由业主方指定。</w:t>
            </w:r>
          </w:p>
        </w:tc>
      </w:tr>
    </w:tbl>
    <w:p w14:paraId="6AE9E0D8">
      <w:pPr>
        <w:pStyle w:val="31"/>
        <w:keepNext w:val="0"/>
        <w:keepLines w:val="0"/>
        <w:pageBreakBefore w:val="0"/>
        <w:overflowPunct/>
        <w:topLinePunct w:val="0"/>
        <w:bidi w:val="0"/>
        <w:spacing w:line="600" w:lineRule="exact"/>
        <w:rPr>
          <w:lang w:eastAsia="zh-CN"/>
        </w:rPr>
      </w:pPr>
    </w:p>
    <w:p w14:paraId="533AFFC3">
      <w:pPr>
        <w:pStyle w:val="3"/>
        <w:keepNext w:val="0"/>
        <w:keepLines w:val="0"/>
        <w:pageBreakBefore w:val="0"/>
        <w:kinsoku/>
        <w:wordWrap w:val="0"/>
        <w:overflowPunct/>
        <w:topLinePunct w:val="0"/>
        <w:bidi w:val="0"/>
        <w:spacing w:line="600" w:lineRule="exact"/>
        <w:jc w:val="both"/>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
          <w:sz w:val="24"/>
          <w:szCs w:val="24"/>
          <w:lang w:eastAsia="zh-CN"/>
        </w:rPr>
        <w:t>项目</w:t>
      </w:r>
      <w:r>
        <w:rPr>
          <w:rFonts w:hint="eastAsia" w:asciiTheme="minorEastAsia" w:hAnsiTheme="minorEastAsia" w:eastAsiaTheme="minorEastAsia" w:cstheme="minorEastAsia"/>
          <w:spacing w:val="1"/>
          <w:sz w:val="24"/>
          <w:szCs w:val="24"/>
        </w:rPr>
        <w:t>商务要求</w:t>
      </w:r>
    </w:p>
    <w:p w14:paraId="2699769E">
      <w:pPr>
        <w:pStyle w:val="3"/>
        <w:keepNext w:val="0"/>
        <w:keepLines w:val="0"/>
        <w:pageBreakBefore w:val="0"/>
        <w:kinsoku/>
        <w:wordWrap w:val="0"/>
        <w:overflowPunct/>
        <w:topLinePunct w:val="0"/>
        <w:bidi w:val="0"/>
        <w:spacing w:line="600" w:lineRule="exact"/>
        <w:ind w:firstLine="476" w:firstLineChars="200"/>
        <w:jc w:val="both"/>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pacing w:val="-1"/>
          <w:sz w:val="24"/>
          <w:szCs w:val="24"/>
          <w:lang w:eastAsia="zh-CN"/>
        </w:rPr>
        <w:t>1.交货安装（服务）的时间（期限）：</w:t>
      </w:r>
      <w:r>
        <w:rPr>
          <w:rFonts w:hint="eastAsia" w:asciiTheme="minorEastAsia" w:hAnsiTheme="minorEastAsia" w:eastAsiaTheme="minorEastAsia" w:cstheme="minorEastAsia"/>
          <w:color w:val="FF0000"/>
          <w:spacing w:val="-1"/>
          <w:sz w:val="24"/>
          <w:szCs w:val="24"/>
          <w:lang w:eastAsia="zh-CN"/>
        </w:rPr>
        <w:t>合同签订后</w:t>
      </w:r>
      <w:r>
        <w:rPr>
          <w:rFonts w:hint="eastAsia" w:asciiTheme="minorEastAsia" w:hAnsiTheme="minorEastAsia" w:eastAsiaTheme="minorEastAsia" w:cstheme="minorEastAsia"/>
          <w:color w:val="FF0000"/>
          <w:spacing w:val="-1"/>
          <w:sz w:val="24"/>
          <w:szCs w:val="24"/>
          <w:lang w:val="en-US" w:eastAsia="zh-CN"/>
        </w:rPr>
        <w:t>30</w:t>
      </w:r>
      <w:r>
        <w:rPr>
          <w:rFonts w:hint="eastAsia" w:asciiTheme="minorEastAsia" w:hAnsiTheme="minorEastAsia" w:eastAsiaTheme="minorEastAsia" w:cstheme="minorEastAsia"/>
          <w:color w:val="FF0000"/>
          <w:spacing w:val="-1"/>
          <w:sz w:val="24"/>
          <w:szCs w:val="24"/>
          <w:lang w:eastAsia="zh-CN"/>
        </w:rPr>
        <w:t>日历天</w:t>
      </w:r>
    </w:p>
    <w:p w14:paraId="2C148C5B">
      <w:pPr>
        <w:pStyle w:val="3"/>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2.付款方式（应符合南阳市财政局关于印发《关于压缩各环节时间进一步优化政府采购营商环境的通知》（宛财购〔2022〕5号）的要求）</w:t>
      </w:r>
    </w:p>
    <w:p w14:paraId="3839694F">
      <w:pPr>
        <w:pStyle w:val="3"/>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3.包装和运输（如适用，须满足《关于印发〈商品包装政府采购需求标准（试行）〉、〈快递包装政府采购需求标准（试行）〉的通知》（财办库﹝2020﹞123号）</w:t>
      </w:r>
    </w:p>
    <w:p w14:paraId="1FD13D3B">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4.售后服务要求（质保期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lang w:eastAsia="zh-CN"/>
        </w:rPr>
        <w:t>年</w:t>
      </w:r>
    </w:p>
    <w:p w14:paraId="51D7A22F">
      <w:pPr>
        <w:pStyle w:val="3"/>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5"/>
          <w:sz w:val="24"/>
          <w:szCs w:val="24"/>
          <w:lang w:eastAsia="zh-CN"/>
        </w:rPr>
        <w:t>关于强制节能产品的要求：无。</w:t>
      </w:r>
    </w:p>
    <w:p w14:paraId="401E9879">
      <w:pPr>
        <w:pStyle w:val="3"/>
        <w:keepNext w:val="0"/>
        <w:keepLines w:val="0"/>
        <w:pageBreakBefore w:val="0"/>
        <w:kinsoku/>
        <w:wordWrap w:val="0"/>
        <w:overflowPunct/>
        <w:topLinePunct w:val="0"/>
        <w:bidi w:val="0"/>
        <w:spacing w:line="600" w:lineRule="exact"/>
        <w:ind w:firstLine="46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6.</w:t>
      </w:r>
      <w:r>
        <w:rPr>
          <w:rFonts w:hint="eastAsia" w:asciiTheme="minorEastAsia" w:hAnsiTheme="minorEastAsia" w:eastAsiaTheme="minorEastAsia" w:cstheme="minorEastAsia"/>
          <w:spacing w:val="-2"/>
          <w:sz w:val="24"/>
          <w:szCs w:val="24"/>
          <w:lang w:eastAsia="zh-CN"/>
        </w:rPr>
        <w:t>保险（如适用）</w:t>
      </w:r>
    </w:p>
    <w:p w14:paraId="7DB97D92">
      <w:pPr>
        <w:pStyle w:val="3"/>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7.验收标准及方式</w:t>
      </w:r>
    </w:p>
    <w:p w14:paraId="06B7D212">
      <w:pPr>
        <w:pStyle w:val="31"/>
        <w:keepNext w:val="0"/>
        <w:keepLines w:val="0"/>
        <w:pageBreakBefore w:val="0"/>
        <w:overflowPunct/>
        <w:topLinePunct w:val="0"/>
        <w:bidi w:val="0"/>
        <w:spacing w:line="600" w:lineRule="exact"/>
        <w:ind w:firstLine="480" w:firstLineChars="200"/>
        <w:rPr>
          <w:rFonts w:hint="eastAsia" w:eastAsia="宋体"/>
          <w:lang w:eastAsia="zh-CN"/>
        </w:rPr>
      </w:pPr>
      <w:r>
        <w:rPr>
          <w:rFonts w:hint="eastAsia"/>
        </w:rPr>
        <w:t>7.1验收标准：中标人在验收活动中必须遵守采购人的有关规定。依照国家有关规定以及招标文件、投标文件、中标承诺和合同约定的标准等要求进行验收,经采购人完全确认后，完成验收。</w:t>
      </w:r>
    </w:p>
    <w:p w14:paraId="46C97BE2">
      <w:pPr>
        <w:pStyle w:val="31"/>
        <w:keepNext w:val="0"/>
        <w:keepLines w:val="0"/>
        <w:pageBreakBefore w:val="0"/>
        <w:overflowPunct/>
        <w:topLinePunct w:val="0"/>
        <w:bidi w:val="0"/>
        <w:spacing w:line="600" w:lineRule="exact"/>
        <w:ind w:firstLine="480" w:firstLineChars="200"/>
      </w:pPr>
      <w:r>
        <w:rPr>
          <w:rFonts w:hint="eastAsia"/>
        </w:rPr>
        <w:t>7.2验收方式：现场验收</w:t>
      </w:r>
    </w:p>
    <w:p w14:paraId="5A6C0FF7">
      <w:pPr>
        <w:pStyle w:val="3"/>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1DB89F96">
      <w:pPr>
        <w:pStyle w:val="3"/>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0FC7BC48">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1"/>
          <w:sz w:val="24"/>
          <w:szCs w:val="24"/>
          <w:lang w:eastAsia="zh-CN"/>
        </w:rPr>
        <w:t>其他要求（如有）：无</w:t>
      </w:r>
    </w:p>
    <w:p w14:paraId="4CB46531">
      <w:pPr>
        <w:pStyle w:val="3"/>
        <w:keepNext w:val="0"/>
        <w:keepLines w:val="0"/>
        <w:pageBreakBefore w:val="0"/>
        <w:kinsoku/>
        <w:wordWrap w:val="0"/>
        <w:overflowPunct/>
        <w:topLinePunct w:val="0"/>
        <w:bidi w:val="0"/>
        <w:spacing w:before="352" w:line="600" w:lineRule="exact"/>
        <w:jc w:val="both"/>
        <w:rPr>
          <w:rFonts w:asciiTheme="minorEastAsia" w:hAnsiTheme="minorEastAsia" w:eastAsiaTheme="minorEastAsia" w:cstheme="minorEastAsia"/>
          <w:spacing w:val="-1"/>
          <w:position w:val="24"/>
          <w:sz w:val="36"/>
          <w:szCs w:val="36"/>
          <w:lang w:eastAsia="zh-CN"/>
        </w:rPr>
      </w:pPr>
    </w:p>
    <w:p w14:paraId="70D2A8B9">
      <w:pPr>
        <w:pStyle w:val="3"/>
        <w:keepNext w:val="0"/>
        <w:keepLines w:val="0"/>
        <w:pageBreakBefore w:val="0"/>
        <w:kinsoku/>
        <w:wordWrap w:val="0"/>
        <w:overflowPunct/>
        <w:topLinePunct w:val="0"/>
        <w:bidi w:val="0"/>
        <w:spacing w:before="352" w:line="600" w:lineRule="exact"/>
        <w:jc w:val="both"/>
        <w:rPr>
          <w:rFonts w:asciiTheme="minorEastAsia" w:hAnsiTheme="minorEastAsia" w:eastAsiaTheme="minorEastAsia" w:cstheme="minorEastAsia"/>
          <w:spacing w:val="-1"/>
          <w:position w:val="24"/>
          <w:sz w:val="36"/>
          <w:szCs w:val="36"/>
          <w:lang w:eastAsia="zh-CN"/>
        </w:rPr>
      </w:pPr>
    </w:p>
    <w:p w14:paraId="124AA750">
      <w:pPr>
        <w:keepNext w:val="0"/>
        <w:keepLines w:val="0"/>
        <w:pageBreakBefore w:val="0"/>
        <w:overflowPunct/>
        <w:topLinePunct w:val="0"/>
        <w:bidi w:val="0"/>
        <w:spacing w:line="600" w:lineRule="exact"/>
        <w:rPr>
          <w:rFonts w:asciiTheme="minorEastAsia" w:hAnsiTheme="minorEastAsia" w:eastAsiaTheme="minorEastAsia" w:cstheme="minorEastAsia"/>
          <w:spacing w:val="-1"/>
          <w:position w:val="24"/>
          <w:sz w:val="36"/>
          <w:szCs w:val="36"/>
          <w:lang w:eastAsia="zh-CN"/>
        </w:rPr>
      </w:pPr>
      <w:r>
        <w:rPr>
          <w:rFonts w:hint="eastAsia" w:asciiTheme="minorEastAsia" w:hAnsiTheme="minorEastAsia" w:eastAsiaTheme="minorEastAsia" w:cstheme="minorEastAsia"/>
          <w:spacing w:val="-1"/>
          <w:position w:val="24"/>
          <w:sz w:val="36"/>
          <w:szCs w:val="36"/>
          <w:lang w:eastAsia="zh-CN"/>
        </w:rPr>
        <w:br w:type="page"/>
      </w:r>
    </w:p>
    <w:p w14:paraId="1AB8AF2F">
      <w:pPr>
        <w:pStyle w:val="3"/>
        <w:keepNext w:val="0"/>
        <w:keepLines w:val="0"/>
        <w:pageBreakBefore w:val="0"/>
        <w:kinsoku/>
        <w:wordWrap w:val="0"/>
        <w:overflowPunct/>
        <w:topLinePunct w:val="0"/>
        <w:bidi w:val="0"/>
        <w:spacing w:before="352" w:line="600" w:lineRule="exact"/>
        <w:jc w:val="center"/>
        <w:rPr>
          <w:rFonts w:asciiTheme="minorEastAsia" w:hAnsiTheme="minorEastAsia" w:eastAsiaTheme="minorEastAsia" w:cstheme="minorEastAsia"/>
          <w:spacing w:val="-1"/>
          <w:sz w:val="28"/>
          <w:szCs w:val="28"/>
          <w:lang w:eastAsia="zh-CN"/>
        </w:rPr>
      </w:pPr>
      <w:r>
        <w:rPr>
          <w:rFonts w:hint="eastAsia" w:asciiTheme="minorEastAsia" w:hAnsiTheme="minorEastAsia" w:eastAsiaTheme="minorEastAsia" w:cstheme="minorEastAsia"/>
          <w:spacing w:val="-1"/>
          <w:position w:val="24"/>
          <w:sz w:val="36"/>
          <w:szCs w:val="36"/>
          <w:lang w:eastAsia="zh-CN"/>
        </w:rPr>
        <w:t>第三章投标人须知</w:t>
      </w:r>
    </w:p>
    <w:p w14:paraId="5F412C55">
      <w:pPr>
        <w:pStyle w:val="3"/>
        <w:keepNext w:val="0"/>
        <w:keepLines w:val="0"/>
        <w:pageBreakBefore w:val="0"/>
        <w:kinsoku/>
        <w:wordWrap w:val="0"/>
        <w:overflowPunct/>
        <w:topLinePunct w:val="0"/>
        <w:bidi w:val="0"/>
        <w:spacing w:line="6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2C1F7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198E211C">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44DD2163">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B5F4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0874025">
            <w:pPr>
              <w:keepNext w:val="0"/>
              <w:keepLines w:val="0"/>
              <w:pageBreakBefore w:val="0"/>
              <w:kinsoku/>
              <w:wordWrap w:val="0"/>
              <w:overflowPunct/>
              <w:topLinePunct w:val="0"/>
              <w:bidi w:val="0"/>
              <w:spacing w:before="78" w:line="600" w:lineRule="exac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7EB2AD46">
            <w:pPr>
              <w:pStyle w:val="34"/>
              <w:keepNext w:val="0"/>
              <w:keepLines w:val="0"/>
              <w:pageBreakBefore w:val="0"/>
              <w:kinsoku/>
              <w:wordWrap w:val="0"/>
              <w:overflowPunct/>
              <w:topLinePunct w:val="0"/>
              <w:bidi w:val="0"/>
              <w:spacing w:line="600" w:lineRule="exact"/>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726A2B2A">
            <w:pPr>
              <w:pStyle w:val="34"/>
              <w:keepNext w:val="0"/>
              <w:keepLines w:val="0"/>
              <w:pageBreakBefore w:val="0"/>
              <w:kinsoku/>
              <w:wordWrap w:val="0"/>
              <w:overflowPunct/>
              <w:topLinePunct w:val="0"/>
              <w:bidi w:val="0"/>
              <w:spacing w:before="25" w:line="600" w:lineRule="exact"/>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1C9A6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7895549">
            <w:pPr>
              <w:keepNext w:val="0"/>
              <w:keepLines w:val="0"/>
              <w:pageBreakBefore w:val="0"/>
              <w:kinsoku/>
              <w:wordWrap w:val="0"/>
              <w:overflowPunct/>
              <w:topLinePunct w:val="0"/>
              <w:bidi w:val="0"/>
              <w:spacing w:before="78" w:line="6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31FA2BD5">
            <w:pPr>
              <w:keepNext w:val="0"/>
              <w:keepLines w:val="0"/>
              <w:pageBreakBefore w:val="0"/>
              <w:kinsoku/>
              <w:wordWrap w:val="0"/>
              <w:overflowPunct/>
              <w:topLinePunct w:val="0"/>
              <w:bidi w:val="0"/>
              <w:spacing w:before="37" w:line="600" w:lineRule="exact"/>
              <w:ind w:left="1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1E14E7E9">
            <w:pPr>
              <w:pStyle w:val="34"/>
              <w:keepNext w:val="0"/>
              <w:keepLines w:val="0"/>
              <w:pageBreakBefore w:val="0"/>
              <w:kinsoku/>
              <w:wordWrap w:val="0"/>
              <w:overflowPunct/>
              <w:topLinePunct w:val="0"/>
              <w:bidi w:val="0"/>
              <w:spacing w:line="600" w:lineRule="exact"/>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27882CB1">
            <w:pPr>
              <w:pStyle w:val="34"/>
              <w:keepNext w:val="0"/>
              <w:keepLines w:val="0"/>
              <w:pageBreakBefore w:val="0"/>
              <w:kinsoku/>
              <w:wordWrap w:val="0"/>
              <w:overflowPunct/>
              <w:topLinePunct w:val="0"/>
              <w:bidi w:val="0"/>
              <w:spacing w:before="21" w:line="600" w:lineRule="exact"/>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0F2B9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72767124">
            <w:pPr>
              <w:pStyle w:val="34"/>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rPr>
            </w:pPr>
          </w:p>
          <w:p w14:paraId="04FF8B98">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14:paraId="31DFD01C">
            <w:pPr>
              <w:pStyle w:val="34"/>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14:paraId="48D17288">
            <w:pPr>
              <w:pStyle w:val="34"/>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□组织，考察时间：年月日点分</w:t>
            </w:r>
          </w:p>
          <w:p w14:paraId="615F678E">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p>
        </w:tc>
      </w:tr>
      <w:tr w14:paraId="75AE1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7A95716">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459AA5F2">
            <w:pPr>
              <w:pStyle w:val="34"/>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14:paraId="526E4571">
            <w:pPr>
              <w:pStyle w:val="34"/>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□召开，召开时间：年月日点分</w:t>
            </w:r>
          </w:p>
          <w:p w14:paraId="4F350D4A">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25"/>
                <w:sz w:val="24"/>
                <w:szCs w:val="24"/>
              </w:rPr>
              <w:t>。</w:t>
            </w:r>
          </w:p>
        </w:tc>
      </w:tr>
      <w:tr w14:paraId="1CD4E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0AB86F0">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3645BE4C">
            <w:pPr>
              <w:pStyle w:val="34"/>
              <w:keepNext w:val="0"/>
              <w:keepLines w:val="0"/>
              <w:pageBreakBefore w:val="0"/>
              <w:numPr>
                <w:ilvl w:val="0"/>
                <w:numId w:val="1"/>
              </w:numPr>
              <w:kinsoku/>
              <w:wordWrap w:val="0"/>
              <w:overflowPunct/>
              <w:topLinePunct w:val="0"/>
              <w:bidi w:val="0"/>
              <w:spacing w:line="600" w:lineRule="exact"/>
              <w:jc w:val="both"/>
              <w:rPr>
                <w:rFonts w:hint="default" w:asciiTheme="minorEastAsia" w:hAnsiTheme="minorEastAsia" w:eastAsiaTheme="minorEastAsia" w:cstheme="minorEastAsia"/>
                <w:color w:val="auto"/>
                <w:spacing w:val="14"/>
                <w:sz w:val="24"/>
                <w:szCs w:val="24"/>
                <w:highlight w:val="none"/>
                <w:lang w:val="en-US" w:eastAsia="zh-CN"/>
              </w:rPr>
            </w:pPr>
            <w:r>
              <w:rPr>
                <w:rFonts w:hint="eastAsia" w:asciiTheme="minorEastAsia" w:hAnsiTheme="minorEastAsia" w:eastAsiaTheme="minorEastAsia" w:cstheme="minorEastAsia"/>
                <w:color w:val="auto"/>
                <w:spacing w:val="14"/>
                <w:sz w:val="24"/>
                <w:szCs w:val="24"/>
                <w:highlight w:val="none"/>
                <w:lang w:eastAsia="zh-CN"/>
              </w:rPr>
              <w:t>本项目采购标的按照中小企业划分标准属于：</w:t>
            </w:r>
            <w:r>
              <w:rPr>
                <w:rFonts w:hint="eastAsia" w:asciiTheme="minorEastAsia" w:hAnsiTheme="minorEastAsia" w:eastAsiaTheme="minorEastAsia" w:cstheme="minorEastAsia"/>
                <w:color w:val="auto"/>
                <w:spacing w:val="14"/>
                <w:sz w:val="24"/>
                <w:szCs w:val="24"/>
                <w:highlight w:val="none"/>
                <w:lang w:val="en-US" w:eastAsia="zh-CN"/>
              </w:rPr>
              <w:t xml:space="preserve">  </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工业    </w:t>
            </w:r>
          </w:p>
          <w:p w14:paraId="5A864CBE">
            <w:pPr>
              <w:pStyle w:val="34"/>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☑本项目专门面向中小企业采购。</w:t>
            </w:r>
          </w:p>
          <w:p w14:paraId="105EF227">
            <w:pPr>
              <w:keepNext w:val="0"/>
              <w:keepLines w:val="0"/>
              <w:pageBreakBefore w:val="0"/>
              <w:kinsoku/>
              <w:wordWrap w:val="0"/>
              <w:overflowPunct/>
              <w:topLinePunct w:val="0"/>
              <w:autoSpaceDE/>
              <w:autoSpaceDN/>
              <w:bidi w:val="0"/>
              <w:adjustRightInd/>
              <w:snapToGrid/>
              <w:spacing w:line="600" w:lineRule="exact"/>
              <w:jc w:val="both"/>
              <w:textAlignment w:val="auto"/>
              <w:rPr>
                <w:rFonts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29"/>
                <w:sz w:val="24"/>
                <w:szCs w:val="24"/>
                <w:highlight w:val="none"/>
                <w:lang w:eastAsia="zh-CN"/>
              </w:rPr>
              <w:t>本项目小微企业价格折扣比例20%。</w:t>
            </w:r>
          </w:p>
          <w:p w14:paraId="65767D1A">
            <w:pPr>
              <w:keepNext w:val="0"/>
              <w:keepLines w:val="0"/>
              <w:pageBreakBefore w:val="0"/>
              <w:kinsoku/>
              <w:wordWrap w:val="0"/>
              <w:overflowPunct/>
              <w:topLinePunct w:val="0"/>
              <w:autoSpaceDE/>
              <w:autoSpaceDN/>
              <w:bidi w:val="0"/>
              <w:adjustRightInd/>
              <w:snapToGrid/>
              <w:spacing w:line="600" w:lineRule="exact"/>
              <w:jc w:val="both"/>
              <w:textAlignment w:val="auto"/>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2、中标供应商享受《政府采购促进中小企业发展管理办法》规定的中小企业扶持政策的，采购人、采购代理机构将随中标结果公开中标供应商的《中小企业声明函》。</w:t>
            </w:r>
          </w:p>
        </w:tc>
      </w:tr>
      <w:tr w14:paraId="4A828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1925C21B">
            <w:pPr>
              <w:pStyle w:val="34"/>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lang w:eastAsia="zh-CN"/>
              </w:rPr>
            </w:pPr>
          </w:p>
          <w:p w14:paraId="3EC9D94E">
            <w:pPr>
              <w:keepNext w:val="0"/>
              <w:keepLines w:val="0"/>
              <w:pageBreakBefore w:val="0"/>
              <w:kinsoku/>
              <w:wordWrap w:val="0"/>
              <w:overflowPunct/>
              <w:topLinePunct w:val="0"/>
              <w:bidi w:val="0"/>
              <w:spacing w:before="78" w:line="6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14:paraId="3E70423F">
            <w:pPr>
              <w:keepNext w:val="0"/>
              <w:keepLines w:val="0"/>
              <w:pageBreakBefore w:val="0"/>
              <w:kinsoku/>
              <w:wordWrap w:val="0"/>
              <w:overflowPunct/>
              <w:topLinePunct w:val="0"/>
              <w:bidi w:val="0"/>
              <w:spacing w:before="40" w:line="600" w:lineRule="exact"/>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投标报价的特殊规定：</w:t>
            </w:r>
          </w:p>
          <w:p w14:paraId="7C79835D">
            <w:pPr>
              <w:pStyle w:val="34"/>
              <w:keepNext w:val="0"/>
              <w:keepLines w:val="0"/>
              <w:pageBreakBefore w:val="0"/>
              <w:kinsoku/>
              <w:wordWrap w:val="0"/>
              <w:overflowPunct/>
              <w:topLinePunct w:val="0"/>
              <w:bidi w:val="0"/>
              <w:spacing w:before="1" w:line="600" w:lineRule="exact"/>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12E9C200">
            <w:pPr>
              <w:pStyle w:val="34"/>
              <w:keepNext w:val="0"/>
              <w:keepLines w:val="0"/>
              <w:pageBreakBefore w:val="0"/>
              <w:kinsoku/>
              <w:wordWrap w:val="0"/>
              <w:overflowPunct/>
              <w:topLinePunct w:val="0"/>
              <w:bidi w:val="0"/>
              <w:spacing w:before="23" w:line="600" w:lineRule="exact"/>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6FB99112">
            <w:pPr>
              <w:pStyle w:val="34"/>
              <w:keepNext w:val="0"/>
              <w:keepLines w:val="0"/>
              <w:pageBreakBefore w:val="0"/>
              <w:kinsoku/>
              <w:wordWrap w:val="0"/>
              <w:overflowPunct/>
              <w:topLinePunct w:val="0"/>
              <w:bidi w:val="0"/>
              <w:spacing w:line="600"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7FD6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DA18B45">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ign w:val="center"/>
          </w:tcPr>
          <w:p w14:paraId="3756BEF7">
            <w:pPr>
              <w:pStyle w:val="17"/>
              <w:keepNext w:val="0"/>
              <w:keepLines w:val="0"/>
              <w:pageBreakBefore w:val="0"/>
              <w:overflowPunct/>
              <w:topLinePunct w:val="0"/>
              <w:bidi w:val="0"/>
              <w:spacing w:line="600" w:lineRule="exact"/>
              <w:ind w:left="0" w:leftChars="0" w:firstLine="0" w:firstLineChars="0"/>
              <w:rPr>
                <w:rFonts w:hint="default"/>
                <w:lang w:val="en-US" w:eastAsia="zh-CN"/>
              </w:rPr>
            </w:pPr>
            <w:r>
              <w:rPr>
                <w:rFonts w:hint="eastAsia" w:asciiTheme="minorEastAsia" w:hAnsiTheme="minorEastAsia" w:eastAsiaTheme="minorEastAsia" w:cstheme="minorEastAsia"/>
                <w:color w:val="FF0000"/>
                <w:spacing w:val="29"/>
                <w:sz w:val="24"/>
                <w:szCs w:val="24"/>
                <w:lang w:val="en-US" w:eastAsia="zh-CN"/>
              </w:rPr>
              <w:t>项目总预算1200000</w:t>
            </w:r>
            <w:r>
              <w:rPr>
                <w:rFonts w:hint="eastAsia" w:asciiTheme="minorEastAsia" w:hAnsiTheme="minorEastAsia" w:eastAsiaTheme="minorEastAsia" w:cstheme="minorEastAsia"/>
                <w:color w:val="FF0000"/>
                <w:spacing w:val="29"/>
                <w:sz w:val="24"/>
                <w:szCs w:val="24"/>
                <w:lang w:eastAsia="zh-CN"/>
              </w:rPr>
              <w:t>元</w:t>
            </w:r>
          </w:p>
        </w:tc>
      </w:tr>
      <w:tr w14:paraId="78D87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8F939B2">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1E6E0716">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5C885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9E0490B">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771B3A3C">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7966A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5A01C6C">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1E2A6CC9">
            <w:pPr>
              <w:keepNext w:val="0"/>
              <w:keepLines w:val="0"/>
              <w:pageBreakBefore w:val="0"/>
              <w:kinsoku/>
              <w:wordWrap w:val="0"/>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2025年</w:t>
            </w:r>
            <w:r>
              <w:rPr>
                <w:rFonts w:hint="eastAsia" w:asciiTheme="minorEastAsia" w:hAnsiTheme="minorEastAsia" w:eastAsiaTheme="minorEastAsia" w:cstheme="minorEastAsia"/>
                <w:spacing w:val="14"/>
                <w:sz w:val="24"/>
                <w:szCs w:val="24"/>
                <w:highlight w:val="none"/>
                <w:lang w:val="en-US" w:eastAsia="zh-CN"/>
              </w:rPr>
              <w:t>11</w:t>
            </w:r>
            <w:r>
              <w:rPr>
                <w:rFonts w:hint="eastAsia" w:asciiTheme="minorEastAsia" w:hAnsiTheme="minorEastAsia" w:eastAsiaTheme="minorEastAsia" w:cstheme="minorEastAsia"/>
                <w:spacing w:val="14"/>
                <w:sz w:val="24"/>
                <w:szCs w:val="24"/>
                <w:highlight w:val="none"/>
                <w:lang w:eastAsia="zh-CN"/>
              </w:rPr>
              <w:t>月</w:t>
            </w:r>
            <w:r>
              <w:rPr>
                <w:rFonts w:hint="eastAsia" w:asciiTheme="minorEastAsia" w:hAnsiTheme="minorEastAsia" w:eastAsiaTheme="minorEastAsia" w:cstheme="minorEastAsia"/>
                <w:spacing w:val="14"/>
                <w:sz w:val="24"/>
                <w:szCs w:val="24"/>
                <w:highlight w:val="none"/>
                <w:lang w:val="en-US" w:eastAsia="zh-CN"/>
              </w:rPr>
              <w:t>7</w:t>
            </w:r>
            <w:r>
              <w:rPr>
                <w:rFonts w:hint="eastAsia" w:asciiTheme="minorEastAsia" w:hAnsiTheme="minorEastAsia" w:eastAsiaTheme="minorEastAsia" w:cstheme="minorEastAsia"/>
                <w:spacing w:val="14"/>
                <w:sz w:val="24"/>
                <w:szCs w:val="24"/>
                <w:highlight w:val="none"/>
                <w:lang w:eastAsia="zh-CN"/>
              </w:rPr>
              <w:t>日</w:t>
            </w:r>
            <w:r>
              <w:rPr>
                <w:rFonts w:hint="eastAsia" w:asciiTheme="minorEastAsia" w:hAnsiTheme="minorEastAsia" w:eastAsiaTheme="minorEastAsia" w:cstheme="minorEastAsia"/>
                <w:spacing w:val="14"/>
                <w:sz w:val="24"/>
                <w:szCs w:val="24"/>
                <w:highlight w:val="none"/>
                <w:lang w:val="en-US" w:eastAsia="zh-CN"/>
              </w:rPr>
              <w:t xml:space="preserve">9 </w:t>
            </w:r>
            <w:r>
              <w:rPr>
                <w:rFonts w:hint="eastAsia" w:asciiTheme="minorEastAsia" w:hAnsiTheme="minorEastAsia" w:eastAsiaTheme="minorEastAsia" w:cstheme="minorEastAsia"/>
                <w:spacing w:val="14"/>
                <w:sz w:val="24"/>
                <w:szCs w:val="24"/>
                <w:highlight w:val="none"/>
                <w:lang w:eastAsia="zh-CN"/>
              </w:rPr>
              <w:t>时</w:t>
            </w:r>
            <w:r>
              <w:rPr>
                <w:rFonts w:hint="eastAsia" w:asciiTheme="minorEastAsia" w:hAnsiTheme="minorEastAsia" w:eastAsiaTheme="minorEastAsia" w:cstheme="minorEastAsia"/>
                <w:spacing w:val="14"/>
                <w:sz w:val="24"/>
                <w:szCs w:val="24"/>
                <w:highlight w:val="none"/>
                <w:lang w:val="en-US" w:eastAsia="zh-CN"/>
              </w:rPr>
              <w:t>00</w:t>
            </w:r>
            <w:r>
              <w:rPr>
                <w:rFonts w:hint="eastAsia" w:asciiTheme="minorEastAsia" w:hAnsiTheme="minorEastAsia" w:eastAsiaTheme="minorEastAsia" w:cstheme="minorEastAsia"/>
                <w:spacing w:val="14"/>
                <w:sz w:val="24"/>
                <w:szCs w:val="24"/>
                <w:highlight w:val="none"/>
                <w:lang w:eastAsia="zh-CN"/>
              </w:rPr>
              <w:t>分（北京时间）</w:t>
            </w:r>
          </w:p>
        </w:tc>
      </w:tr>
      <w:tr w14:paraId="3BCEF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3940EF5">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08EFB3FA">
            <w:pPr>
              <w:keepNext w:val="0"/>
              <w:keepLines w:val="0"/>
              <w:pageBreakBefore w:val="0"/>
              <w:kinsoku/>
              <w:wordWrap w:val="0"/>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2025年</w:t>
            </w:r>
            <w:r>
              <w:rPr>
                <w:rFonts w:hint="eastAsia" w:asciiTheme="minorEastAsia" w:hAnsiTheme="minorEastAsia" w:eastAsiaTheme="minorEastAsia" w:cstheme="minorEastAsia"/>
                <w:spacing w:val="14"/>
                <w:sz w:val="24"/>
                <w:szCs w:val="24"/>
                <w:highlight w:val="none"/>
                <w:lang w:val="en-US" w:eastAsia="zh-CN"/>
              </w:rPr>
              <w:t>11</w:t>
            </w:r>
            <w:r>
              <w:rPr>
                <w:rFonts w:hint="eastAsia" w:asciiTheme="minorEastAsia" w:hAnsiTheme="minorEastAsia" w:eastAsiaTheme="minorEastAsia" w:cstheme="minorEastAsia"/>
                <w:spacing w:val="14"/>
                <w:sz w:val="24"/>
                <w:szCs w:val="24"/>
                <w:highlight w:val="none"/>
                <w:lang w:eastAsia="zh-CN"/>
              </w:rPr>
              <w:t>月</w:t>
            </w:r>
            <w:r>
              <w:rPr>
                <w:rFonts w:hint="eastAsia" w:asciiTheme="minorEastAsia" w:hAnsiTheme="minorEastAsia" w:eastAsiaTheme="minorEastAsia" w:cstheme="minorEastAsia"/>
                <w:spacing w:val="14"/>
                <w:sz w:val="24"/>
                <w:szCs w:val="24"/>
                <w:highlight w:val="none"/>
                <w:lang w:val="en-US" w:eastAsia="zh-CN"/>
              </w:rPr>
              <w:t>7</w:t>
            </w:r>
            <w:r>
              <w:rPr>
                <w:rFonts w:hint="eastAsia" w:asciiTheme="minorEastAsia" w:hAnsiTheme="minorEastAsia" w:eastAsiaTheme="minorEastAsia" w:cstheme="minorEastAsia"/>
                <w:spacing w:val="14"/>
                <w:sz w:val="24"/>
                <w:szCs w:val="24"/>
                <w:highlight w:val="none"/>
                <w:lang w:eastAsia="zh-CN"/>
              </w:rPr>
              <w:t>日</w:t>
            </w:r>
            <w:r>
              <w:rPr>
                <w:rFonts w:hint="eastAsia" w:asciiTheme="minorEastAsia" w:hAnsiTheme="minorEastAsia" w:eastAsiaTheme="minorEastAsia" w:cstheme="minorEastAsia"/>
                <w:spacing w:val="14"/>
                <w:sz w:val="24"/>
                <w:szCs w:val="24"/>
                <w:highlight w:val="none"/>
                <w:lang w:val="en-US" w:eastAsia="zh-CN"/>
              </w:rPr>
              <w:t xml:space="preserve">9 </w:t>
            </w:r>
            <w:r>
              <w:rPr>
                <w:rFonts w:hint="eastAsia" w:asciiTheme="minorEastAsia" w:hAnsiTheme="minorEastAsia" w:eastAsiaTheme="minorEastAsia" w:cstheme="minorEastAsia"/>
                <w:spacing w:val="14"/>
                <w:sz w:val="24"/>
                <w:szCs w:val="24"/>
                <w:highlight w:val="none"/>
                <w:lang w:eastAsia="zh-CN"/>
              </w:rPr>
              <w:t>时</w:t>
            </w:r>
            <w:r>
              <w:rPr>
                <w:rFonts w:hint="eastAsia" w:asciiTheme="minorEastAsia" w:hAnsiTheme="minorEastAsia" w:eastAsiaTheme="minorEastAsia" w:cstheme="minorEastAsia"/>
                <w:spacing w:val="14"/>
                <w:sz w:val="24"/>
                <w:szCs w:val="24"/>
                <w:highlight w:val="none"/>
                <w:lang w:val="en-US" w:eastAsia="zh-CN"/>
              </w:rPr>
              <w:t>00</w:t>
            </w:r>
            <w:r>
              <w:rPr>
                <w:rFonts w:hint="eastAsia" w:asciiTheme="minorEastAsia" w:hAnsiTheme="minorEastAsia" w:eastAsiaTheme="minorEastAsia" w:cstheme="minorEastAsia"/>
                <w:spacing w:val="14"/>
                <w:sz w:val="24"/>
                <w:szCs w:val="24"/>
                <w:highlight w:val="none"/>
                <w:lang w:eastAsia="zh-CN"/>
              </w:rPr>
              <w:t>分（北京时间）</w:t>
            </w:r>
          </w:p>
        </w:tc>
      </w:tr>
      <w:tr w14:paraId="4CEB1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817DA54">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核心产品</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7266DF">
            <w:pPr>
              <w:keepNext w:val="0"/>
              <w:keepLines w:val="0"/>
              <w:pageBreakBefore w:val="0"/>
              <w:kinsoku/>
              <w:wordWrap w:val="0"/>
              <w:overflowPunct/>
              <w:topLinePunct w:val="0"/>
              <w:bidi w:val="0"/>
              <w:spacing w:line="60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r>
      <w:tr w14:paraId="4C087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20C9A10">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02B2A329">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最低评标价法</w:t>
            </w:r>
          </w:p>
        </w:tc>
      </w:tr>
      <w:tr w14:paraId="588A9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6917C4">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6C7204">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z w:val="24"/>
                <w:szCs w:val="24"/>
                <w:lang w:eastAsia="zh-CN"/>
              </w:rPr>
              <w:t>采购人是否委托评标委员会直接确定中标人：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p w14:paraId="707E4B99">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推荐3名中标候选人</w:t>
            </w:r>
          </w:p>
        </w:tc>
      </w:tr>
      <w:tr w14:paraId="4B971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29F4D620">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7CBCD3A4">
            <w:pPr>
              <w:pStyle w:val="34"/>
              <w:keepNext w:val="0"/>
              <w:keepLines w:val="0"/>
              <w:pageBreakBefore w:val="0"/>
              <w:kinsoku/>
              <w:wordWrap w:val="0"/>
              <w:overflowPunct/>
              <w:topLinePunct w:val="0"/>
              <w:bidi w:val="0"/>
              <w:spacing w:before="1" w:line="600" w:lineRule="exact"/>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6F19465B">
            <w:pPr>
              <w:pStyle w:val="34"/>
              <w:keepNext w:val="0"/>
              <w:keepLines w:val="0"/>
              <w:pageBreakBefore w:val="0"/>
              <w:kinsoku/>
              <w:wordWrap w:val="0"/>
              <w:overflowPunct/>
              <w:topLinePunct w:val="0"/>
              <w:bidi w:val="0"/>
              <w:spacing w:before="1" w:line="600" w:lineRule="exact"/>
              <w:ind w:left="126"/>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44A1DAF7">
            <w:pPr>
              <w:pStyle w:val="34"/>
              <w:keepNext w:val="0"/>
              <w:keepLines w:val="0"/>
              <w:pageBreakBefore w:val="0"/>
              <w:kinsoku/>
              <w:wordWrap w:val="0"/>
              <w:overflowPunct/>
              <w:topLinePunct w:val="0"/>
              <w:bidi w:val="0"/>
              <w:spacing w:before="1" w:line="600" w:lineRule="exact"/>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收费标准：项目代理服务费参照《河南省招标代理服务收费指导意见》豫招协〔2023〕002号文规定；由中标人在领取成交通知书时向本采购代理机构支付（并计入投标总报价），请响应人充分考虑这一因素。</w:t>
            </w:r>
          </w:p>
        </w:tc>
      </w:tr>
    </w:tbl>
    <w:p w14:paraId="0B9533AD">
      <w:pPr>
        <w:pStyle w:val="3"/>
        <w:keepNext w:val="0"/>
        <w:keepLines w:val="0"/>
        <w:pageBreakBefore w:val="0"/>
        <w:kinsoku/>
        <w:wordWrap w:val="0"/>
        <w:overflowPunct/>
        <w:topLinePunct w:val="0"/>
        <w:bidi w:val="0"/>
        <w:spacing w:before="91" w:line="600" w:lineRule="exact"/>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lang w:eastAsia="zh-CN"/>
        </w:rPr>
        <w:t>投标人须知</w:t>
      </w:r>
    </w:p>
    <w:p w14:paraId="76161257">
      <w:pPr>
        <w:pStyle w:val="3"/>
        <w:keepNext w:val="0"/>
        <w:keepLines w:val="0"/>
        <w:pageBreakBefore w:val="0"/>
        <w:kinsoku/>
        <w:wordWrap w:val="0"/>
        <w:overflowPunct/>
        <w:topLinePunct w:val="0"/>
        <w:bidi w:val="0"/>
        <w:spacing w:before="268" w:line="600" w:lineRule="exact"/>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spacing w:val="-10"/>
          <w:sz w:val="24"/>
          <w:szCs w:val="24"/>
          <w:lang w:eastAsia="zh-CN"/>
        </w:rPr>
        <w:t>一、说明</w:t>
      </w:r>
    </w:p>
    <w:p w14:paraId="3E7A8F6A">
      <w:pPr>
        <w:pStyle w:val="3"/>
        <w:keepNext w:val="0"/>
        <w:keepLines w:val="0"/>
        <w:pageBreakBefore w:val="0"/>
        <w:kinsoku/>
        <w:wordWrap w:val="0"/>
        <w:overflowPunct/>
        <w:topLinePunct w:val="0"/>
        <w:bidi w:val="0"/>
        <w:spacing w:line="600" w:lineRule="exact"/>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1.采购人、采购代理机构、投标人、联合体</w:t>
      </w:r>
    </w:p>
    <w:p w14:paraId="04B5C070">
      <w:pPr>
        <w:pStyle w:val="3"/>
        <w:keepNext w:val="0"/>
        <w:keepLines w:val="0"/>
        <w:pageBreakBefore w:val="0"/>
        <w:kinsoku/>
        <w:wordWrap w:val="0"/>
        <w:overflowPunct/>
        <w:topLinePunct w:val="0"/>
        <w:bidi w:val="0"/>
        <w:spacing w:line="600" w:lineRule="exact"/>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1.1采购人、采购代理机构：指依法进行政府采购的国家机关、事业单位、团体组织及其委托的采购代理机构。本项目采购人、采购代理机构见第一章《公开招标公告》。</w:t>
      </w:r>
    </w:p>
    <w:p w14:paraId="0AE27751">
      <w:pPr>
        <w:pStyle w:val="3"/>
        <w:keepNext w:val="0"/>
        <w:keepLines w:val="0"/>
        <w:pageBreakBefore w:val="0"/>
        <w:kinsoku/>
        <w:wordWrap w:val="0"/>
        <w:overflowPunct/>
        <w:topLinePunct w:val="0"/>
        <w:bidi w:val="0"/>
        <w:spacing w:line="600" w:lineRule="exact"/>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1.2投标人（也称供应商、申请人）：指向采购人提供货物、工程或者服务的法人、其他组织或者自然人。</w:t>
      </w:r>
    </w:p>
    <w:p w14:paraId="562932A9">
      <w:pPr>
        <w:pStyle w:val="3"/>
        <w:keepNext w:val="0"/>
        <w:keepLines w:val="0"/>
        <w:pageBreakBefore w:val="0"/>
        <w:kinsoku/>
        <w:wordWrap w:val="0"/>
        <w:overflowPunct/>
        <w:topLinePunct w:val="0"/>
        <w:bidi w:val="0"/>
        <w:spacing w:line="600" w:lineRule="exact"/>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1.3联合体：指两个以上的自然人、法人或者其他组织组成一个联合体，以一个供应商的身份共同参加政府采购。</w:t>
      </w:r>
    </w:p>
    <w:p w14:paraId="74BB60C6">
      <w:pPr>
        <w:pStyle w:val="3"/>
        <w:keepNext w:val="0"/>
        <w:keepLines w:val="0"/>
        <w:pageBreakBefore w:val="0"/>
        <w:kinsoku/>
        <w:wordWrap w:val="0"/>
        <w:overflowPunct/>
        <w:topLinePunct w:val="0"/>
        <w:bidi w:val="0"/>
        <w:spacing w:line="600" w:lineRule="exact"/>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2.资金来源、项目属性、科研仪器设备采购、核心产品</w:t>
      </w:r>
    </w:p>
    <w:p w14:paraId="684F321B">
      <w:pPr>
        <w:pStyle w:val="3"/>
        <w:keepNext w:val="0"/>
        <w:keepLines w:val="0"/>
        <w:pageBreakBefore w:val="0"/>
        <w:kinsoku/>
        <w:wordWrap w:val="0"/>
        <w:overflowPunct/>
        <w:topLinePunct w:val="0"/>
        <w:bidi w:val="0"/>
        <w:spacing w:line="600" w:lineRule="exact"/>
        <w:ind w:firstLine="50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w:t>
      </w:r>
      <w:r>
        <w:rPr>
          <w:rFonts w:hint="eastAsia" w:asciiTheme="minorEastAsia" w:hAnsiTheme="minorEastAsia" w:eastAsiaTheme="minorEastAsia" w:cstheme="minorEastAsia"/>
          <w:color w:val="FF0000"/>
          <w:spacing w:val="7"/>
          <w:sz w:val="24"/>
          <w:szCs w:val="24"/>
          <w:lang w:eastAsia="zh-CN"/>
        </w:rPr>
        <w:t>1资金来源为财政性资金共</w:t>
      </w:r>
      <w:r>
        <w:rPr>
          <w:rFonts w:hint="eastAsia" w:asciiTheme="minorEastAsia" w:hAnsiTheme="minorEastAsia" w:eastAsiaTheme="minorEastAsia" w:cstheme="minorEastAsia"/>
          <w:color w:val="FF0000"/>
          <w:spacing w:val="7"/>
          <w:sz w:val="24"/>
          <w:szCs w:val="24"/>
          <w:lang w:val="en-US" w:eastAsia="zh-CN"/>
        </w:rPr>
        <w:t>1200000</w:t>
      </w:r>
      <w:r>
        <w:rPr>
          <w:rFonts w:hint="eastAsia" w:asciiTheme="minorEastAsia" w:hAnsiTheme="minorEastAsia" w:eastAsiaTheme="minorEastAsia" w:cstheme="minorEastAsia"/>
          <w:color w:val="FF0000"/>
          <w:spacing w:val="7"/>
          <w:sz w:val="24"/>
          <w:szCs w:val="24"/>
          <w:lang w:eastAsia="zh-CN"/>
        </w:rPr>
        <w:t>元</w:t>
      </w:r>
      <w:r>
        <w:rPr>
          <w:rFonts w:hint="eastAsia" w:asciiTheme="minorEastAsia" w:hAnsiTheme="minorEastAsia" w:eastAsiaTheme="minorEastAsia" w:cstheme="minorEastAsia"/>
          <w:color w:val="FF0000"/>
          <w:spacing w:val="-9"/>
          <w:sz w:val="24"/>
          <w:szCs w:val="24"/>
          <w:lang w:eastAsia="zh-CN"/>
        </w:rPr>
        <w:t>。</w:t>
      </w:r>
    </w:p>
    <w:p w14:paraId="215DE0B5">
      <w:pPr>
        <w:pStyle w:val="3"/>
        <w:keepNext w:val="0"/>
        <w:keepLines w:val="0"/>
        <w:pageBreakBefore w:val="0"/>
        <w:kinsoku/>
        <w:wordWrap w:val="0"/>
        <w:overflowPunct/>
        <w:topLinePunct w:val="0"/>
        <w:bidi w:val="0"/>
        <w:spacing w:line="600" w:lineRule="exact"/>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2.2项目属性见《投标人须知表》。</w:t>
      </w:r>
    </w:p>
    <w:p w14:paraId="0FA7FF5E">
      <w:pPr>
        <w:pStyle w:val="3"/>
        <w:keepNext w:val="0"/>
        <w:keepLines w:val="0"/>
        <w:pageBreakBefore w:val="0"/>
        <w:kinsoku/>
        <w:wordWrap w:val="0"/>
        <w:overflowPunct/>
        <w:topLinePunct w:val="0"/>
        <w:bidi w:val="0"/>
        <w:spacing w:line="600" w:lineRule="exact"/>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2.3是否属于科研仪器设备采购见《投标人须知表》。</w:t>
      </w:r>
    </w:p>
    <w:p w14:paraId="24C807E4">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7"/>
          <w:sz w:val="24"/>
          <w:szCs w:val="24"/>
          <w:lang w:eastAsia="zh-CN"/>
        </w:rPr>
        <w:t>2.4核心产品见《投标人须知表》。</w:t>
      </w:r>
    </w:p>
    <w:p w14:paraId="5D2541C4">
      <w:pPr>
        <w:pStyle w:val="3"/>
        <w:keepNext w:val="0"/>
        <w:keepLines w:val="0"/>
        <w:pageBreakBefore w:val="0"/>
        <w:kinsoku/>
        <w:wordWrap w:val="0"/>
        <w:overflowPunct/>
        <w:topLinePunct w:val="0"/>
        <w:bidi w:val="0"/>
        <w:spacing w:line="600" w:lineRule="exact"/>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1F7CAB25">
      <w:pPr>
        <w:pStyle w:val="3"/>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3.1若《投标人须知表》中规定了组</w:t>
      </w:r>
      <w:r>
        <w:rPr>
          <w:rFonts w:hint="eastAsia" w:asciiTheme="minorEastAsia" w:hAnsiTheme="minorEastAsia" w:eastAsiaTheme="minorEastAsia" w:cstheme="minorEastAsia"/>
          <w:spacing w:val="2"/>
          <w:sz w:val="24"/>
          <w:szCs w:val="24"/>
          <w:lang w:eastAsia="zh-CN"/>
        </w:rPr>
        <w:t>织现场考察、召开开标前答疑会，则投</w:t>
      </w:r>
      <w:r>
        <w:rPr>
          <w:rFonts w:hint="eastAsia" w:asciiTheme="minorEastAsia" w:hAnsiTheme="minorEastAsia" w:eastAsiaTheme="minorEastAsia" w:cstheme="minorEastAsia"/>
          <w:spacing w:val="-3"/>
          <w:sz w:val="24"/>
          <w:szCs w:val="24"/>
          <w:lang w:eastAsia="zh-CN"/>
        </w:rPr>
        <w:t>标人应按要求在规定的时间和地点参加。</w:t>
      </w:r>
    </w:p>
    <w:p w14:paraId="77276691">
      <w:pPr>
        <w:pStyle w:val="3"/>
        <w:keepNext w:val="0"/>
        <w:keepLines w:val="0"/>
        <w:pageBreakBefore w:val="0"/>
        <w:kinsoku/>
        <w:wordWrap w:val="0"/>
        <w:overflowPunct/>
        <w:topLinePunct w:val="0"/>
        <w:bidi w:val="0"/>
        <w:spacing w:line="600" w:lineRule="exact"/>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3.2由于未参加现场考察或开标前答疑会而导致对项目实际情况不了解，影响投标文件编制、投标报价准确性、综合因素响应不全面等问题的，由投标人自行承担不利评审后果。</w:t>
      </w:r>
    </w:p>
    <w:p w14:paraId="3CDF1D93">
      <w:pPr>
        <w:pStyle w:val="3"/>
        <w:keepNext w:val="0"/>
        <w:keepLines w:val="0"/>
        <w:pageBreakBefore w:val="0"/>
        <w:kinsoku/>
        <w:wordWrap w:val="0"/>
        <w:overflowPunct/>
        <w:topLinePunct w:val="0"/>
        <w:bidi w:val="0"/>
        <w:spacing w:line="600" w:lineRule="exact"/>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66F532B7">
      <w:pPr>
        <w:pStyle w:val="3"/>
        <w:keepNext w:val="0"/>
        <w:keepLines w:val="0"/>
        <w:pageBreakBefore w:val="0"/>
        <w:kinsoku/>
        <w:wordWrap w:val="0"/>
        <w:overflowPunct/>
        <w:topLinePunct w:val="0"/>
        <w:bidi w:val="0"/>
        <w:spacing w:line="600" w:lineRule="exact"/>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4.1采购本国货物、工程和服务</w:t>
      </w:r>
    </w:p>
    <w:p w14:paraId="5ED93C4C">
      <w:pPr>
        <w:pStyle w:val="3"/>
        <w:keepNext w:val="0"/>
        <w:keepLines w:val="0"/>
        <w:pageBreakBefore w:val="0"/>
        <w:kinsoku/>
        <w:wordWrap w:val="0"/>
        <w:overflowPunct/>
        <w:topLinePunct w:val="0"/>
        <w:bidi w:val="0"/>
        <w:spacing w:line="600" w:lineRule="exact"/>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4.1.1政府采购应当采购本国货物、工程和服务。但有《中华人民共和国政府采购法》第十条规定情形的除外。</w:t>
      </w:r>
    </w:p>
    <w:p w14:paraId="49E060EB">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4.1.2本项目如接受非本国货</w:t>
      </w:r>
      <w:r>
        <w:rPr>
          <w:rFonts w:hint="eastAsia" w:asciiTheme="minorEastAsia" w:hAnsiTheme="minorEastAsia" w:eastAsiaTheme="minorEastAsia" w:cstheme="minorEastAsia"/>
          <w:spacing w:val="-5"/>
          <w:sz w:val="24"/>
          <w:szCs w:val="24"/>
          <w:lang w:eastAsia="zh-CN"/>
        </w:rPr>
        <w:t>物、工程、服务参与投标，则具体要求见第二</w:t>
      </w:r>
      <w:r>
        <w:rPr>
          <w:rFonts w:hint="eastAsia" w:asciiTheme="minorEastAsia" w:hAnsiTheme="minorEastAsia" w:eastAsiaTheme="minorEastAsia" w:cstheme="minorEastAsia"/>
          <w:spacing w:val="-19"/>
          <w:sz w:val="24"/>
          <w:szCs w:val="24"/>
          <w:lang w:eastAsia="zh-CN"/>
        </w:rPr>
        <w:t>章《采购需求》。</w:t>
      </w:r>
    </w:p>
    <w:p w14:paraId="6B62BBD3">
      <w:pPr>
        <w:pStyle w:val="3"/>
        <w:keepNext w:val="0"/>
        <w:keepLines w:val="0"/>
        <w:pageBreakBefore w:val="0"/>
        <w:kinsoku/>
        <w:wordWrap w:val="0"/>
        <w:overflowPunct/>
        <w:topLinePunct w:val="0"/>
        <w:bidi w:val="0"/>
        <w:spacing w:line="600" w:lineRule="exact"/>
        <w:ind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5"/>
          <w:sz w:val="24"/>
          <w:szCs w:val="24"/>
          <w:lang w:eastAsia="zh-CN"/>
        </w:rPr>
        <w:t>号文）以及南阳市财政局的具体规定。</w:t>
      </w:r>
    </w:p>
    <w:p w14:paraId="2D91D529">
      <w:pPr>
        <w:pStyle w:val="3"/>
        <w:keepNext w:val="0"/>
        <w:keepLines w:val="0"/>
        <w:pageBreakBefore w:val="0"/>
        <w:kinsoku/>
        <w:wordWrap w:val="0"/>
        <w:overflowPunct/>
        <w:topLinePunct w:val="0"/>
        <w:bidi w:val="0"/>
        <w:spacing w:line="600" w:lineRule="exact"/>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4.2中小企业、监狱企业及残疾人福利性单位</w:t>
      </w:r>
    </w:p>
    <w:p w14:paraId="7DAC6D05">
      <w:pPr>
        <w:pStyle w:val="3"/>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4.2.1中小企业定义：</w:t>
      </w:r>
    </w:p>
    <w:p w14:paraId="542E0E9E">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27D5D7D">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供应商提供的货物、工程或者服务符合下列情形的，享受中小企业扶持政策：</w:t>
      </w:r>
    </w:p>
    <w:p w14:paraId="160017D3">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6A9E81BC">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4E344A2C">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469AA444">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在货物采购项目中，供应商提供的货物既有中小企业制造货物，也有大型企业制造货物的，不享受中小企业扶持政策。</w:t>
      </w:r>
    </w:p>
    <w:p w14:paraId="6E09026E">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以联合体形式参加政府采购活动，联合体各方均为中小企业的，联合体视同中小企业。其中，联合体各方均为小微企业的，联合体视同小微企业。</w:t>
      </w:r>
    </w:p>
    <w:p w14:paraId="18F3F533">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37A184B2">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2AAEA9AB">
      <w:pPr>
        <w:pStyle w:val="3"/>
        <w:keepNext w:val="0"/>
        <w:keepLines w:val="0"/>
        <w:pageBreakBefore w:val="0"/>
        <w:overflowPunct/>
        <w:topLinePunct w:val="0"/>
        <w:bidi w:val="0"/>
        <w:spacing w:line="600" w:lineRule="exact"/>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安置的残疾人占本单位在职职工人数的比例不低于25%（含25%），并且安置的残疾人人数不少于10人（含10人）；</w:t>
      </w:r>
    </w:p>
    <w:p w14:paraId="3DE82A62">
      <w:pPr>
        <w:pStyle w:val="3"/>
        <w:keepNext w:val="0"/>
        <w:keepLines w:val="0"/>
        <w:pageBreakBefore w:val="0"/>
        <w:overflowPunct/>
        <w:topLinePunct w:val="0"/>
        <w:bidi w:val="0"/>
        <w:spacing w:line="600" w:lineRule="exact"/>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依法与安置的每位残疾人签订了一年以上（含一年）的劳动合同或服务协议；</w:t>
      </w:r>
    </w:p>
    <w:p w14:paraId="1A6CC47A">
      <w:pPr>
        <w:pStyle w:val="3"/>
        <w:keepNext w:val="0"/>
        <w:keepLines w:val="0"/>
        <w:pageBreakBefore w:val="0"/>
        <w:overflowPunct/>
        <w:topLinePunct w:val="0"/>
        <w:bidi w:val="0"/>
        <w:spacing w:line="600" w:lineRule="exact"/>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14:paraId="0FD80BBA">
      <w:pPr>
        <w:pStyle w:val="3"/>
        <w:keepNext w:val="0"/>
        <w:keepLines w:val="0"/>
        <w:pageBreakBefore w:val="0"/>
        <w:overflowPunct/>
        <w:topLinePunct w:val="0"/>
        <w:bidi w:val="0"/>
        <w:spacing w:line="600" w:lineRule="exact"/>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通过银行等金融机构向安置的每位残疾人，按月支付了不低于单位所在区县的月最低工资标准的工资；</w:t>
      </w:r>
    </w:p>
    <w:p w14:paraId="7422E383">
      <w:pPr>
        <w:pStyle w:val="3"/>
        <w:keepNext w:val="0"/>
        <w:keepLines w:val="0"/>
        <w:pageBreakBefore w:val="0"/>
        <w:overflowPunct/>
        <w:topLinePunct w:val="0"/>
        <w:bidi w:val="0"/>
        <w:spacing w:line="600" w:lineRule="exact"/>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提供本单位制造的货物、承担的工程或者服务（以下简称产品），或者提供其他残疾人福利性单位制造的货物（不包括使用非残疾人福利性单位注册商标的货物）；</w:t>
      </w:r>
    </w:p>
    <w:p w14:paraId="6AC216BB">
      <w:pPr>
        <w:pStyle w:val="3"/>
        <w:keepNext w:val="0"/>
        <w:keepLines w:val="0"/>
        <w:pageBreakBefore w:val="0"/>
        <w:overflowPunct/>
        <w:topLinePunct w:val="0"/>
        <w:bidi w:val="0"/>
        <w:spacing w:line="600" w:lineRule="exact"/>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9A57302">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4.2.4本项目是否专门面向中小企业预留采购份额见第一章《公开招标公告》。</w:t>
      </w:r>
    </w:p>
    <w:p w14:paraId="2389285B">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4.2.5采购标的对应的中小企业划分标准所属行业见《投标人须知表》。</w:t>
      </w:r>
    </w:p>
    <w:p w14:paraId="0327C2B6">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4.2.6小微企业价格评审优惠的政策调整：见第四章《开、评标程序、评标方法和评标标准》。</w:t>
      </w:r>
    </w:p>
    <w:p w14:paraId="06EFB55F">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4.3政府采购节能产品、环境标志产品</w:t>
      </w:r>
    </w:p>
    <w:p w14:paraId="7BBC61BD">
      <w:pPr>
        <w:pStyle w:val="6"/>
        <w:keepNext w:val="0"/>
        <w:keepLines w:val="0"/>
        <w:pageBreakBefore w:val="0"/>
        <w:shd w:val="clear" w:color="auto" w:fill="FFFFFF"/>
        <w:kinsoku/>
        <w:wordWrap w:val="0"/>
        <w:overflowPunct/>
        <w:topLinePunct w:val="0"/>
        <w:bidi w:val="0"/>
        <w:spacing w:beforeAutospacing="0" w:afterAutospacing="0" w:line="600" w:lineRule="exact"/>
        <w:ind w:firstLine="448" w:firstLineChars="200"/>
        <w:jc w:val="both"/>
        <w:rPr>
          <w:rFonts w:hint="default" w:asciiTheme="minorEastAsia" w:hAnsiTheme="minorEastAsia" w:eastAsiaTheme="minorEastAsia" w:cstheme="minorEastAsia"/>
          <w:b w:val="0"/>
          <w:spacing w:val="-8"/>
          <w:sz w:val="24"/>
          <w:szCs w:val="24"/>
        </w:rPr>
      </w:pPr>
      <w:r>
        <w:rPr>
          <w:rFonts w:asciiTheme="minorEastAsia" w:hAnsiTheme="minorEastAsia" w:eastAsiaTheme="minorEastAsia" w:cstheme="minorEastAsia"/>
          <w:b w:val="0"/>
          <w:spacing w:val="-8"/>
          <w:sz w:val="24"/>
          <w:szCs w:val="24"/>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int="default" w:asciiTheme="minorEastAsia" w:hAnsiTheme="minorEastAsia" w:eastAsiaTheme="minorEastAsia" w:cstheme="minorEastAsia"/>
          <w:b w:val="0"/>
          <w:spacing w:val="-8"/>
          <w:sz w:val="24"/>
          <w:szCs w:val="24"/>
        </w:rPr>
        <w:t>中华人民共和国国家发展和改革委员会</w:t>
      </w:r>
      <w:r>
        <w:rPr>
          <w:rFonts w:hint="default" w:asciiTheme="minorEastAsia" w:hAnsiTheme="minorEastAsia" w:eastAsiaTheme="minorEastAsia" w:cstheme="minorEastAsia"/>
          <w:b w:val="0"/>
          <w:spacing w:val="-8"/>
          <w:sz w:val="24"/>
          <w:szCs w:val="24"/>
        </w:rPr>
        <w:fldChar w:fldCharType="end"/>
      </w:r>
      <w:r>
        <w:rPr>
          <w:rFonts w:asciiTheme="minorEastAsia" w:hAnsiTheme="minorEastAsia" w:eastAsiaTheme="minorEastAsia" w:cstheme="minorEastAsia"/>
          <w:b w:val="0"/>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1E0B965">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7EC42F4">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4.3.3如本项目采购产品属于实施政府强制采购品目清单范围的节能产品，则投标人所报产品必须获得国家确定的认证机构出具的、处于有效期之内的节能产品认证证书，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否则投标无效；</w:t>
      </w:r>
    </w:p>
    <w:p w14:paraId="0D05C935">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4.3.4非政府强制采购的节能产品或环境标志产品，依据品目清单和认证证书实施政府优先采购。优先采购的具体规定见第四章《开、评标程序、评标方法和评标标准》（如涉及）。</w:t>
      </w:r>
    </w:p>
    <w:p w14:paraId="0AC69306">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4.4正版软件</w:t>
      </w:r>
    </w:p>
    <w:p w14:paraId="263D0A45">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14:paraId="577A4DEA">
      <w:pPr>
        <w:pStyle w:val="3"/>
        <w:keepNext w:val="0"/>
        <w:keepLines w:val="0"/>
        <w:pageBreakBefore w:val="0"/>
        <w:kinsoku/>
        <w:wordWrap w:val="0"/>
        <w:overflowPunct/>
        <w:topLinePunct w:val="0"/>
        <w:bidi w:val="0"/>
        <w:spacing w:line="600" w:lineRule="exact"/>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4.4.2各级政府部门在购置计算机办公设备时，必须采购预装正版操作系统</w:t>
      </w:r>
    </w:p>
    <w:p w14:paraId="6B9BD755">
      <w:pPr>
        <w:pStyle w:val="3"/>
        <w:keepNext w:val="0"/>
        <w:keepLines w:val="0"/>
        <w:pageBreakBefore w:val="0"/>
        <w:kinsoku/>
        <w:wordWrap w:val="0"/>
        <w:overflowPunct/>
        <w:topLinePunct w:val="0"/>
        <w:bidi w:val="0"/>
        <w:spacing w:line="600" w:lineRule="exact"/>
        <w:ind w:firstLine="44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14:paraId="61010F1F">
      <w:pPr>
        <w:pStyle w:val="3"/>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4.5网络安全专用产品</w:t>
      </w:r>
    </w:p>
    <w:p w14:paraId="645294CD">
      <w:pPr>
        <w:pStyle w:val="3"/>
        <w:keepNext w:val="0"/>
        <w:keepLines w:val="0"/>
        <w:pageBreakBefore w:val="0"/>
        <w:kinsoku/>
        <w:wordWrap w:val="0"/>
        <w:overflowPunct/>
        <w:topLinePunct w:val="0"/>
        <w:bidi w:val="0"/>
        <w:spacing w:line="600" w:lineRule="exact"/>
        <w:ind w:firstLine="47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14:paraId="6B545EB2">
      <w:pPr>
        <w:pStyle w:val="3"/>
        <w:keepNext w:val="0"/>
        <w:keepLines w:val="0"/>
        <w:pageBreakBefore w:val="0"/>
        <w:kinsoku/>
        <w:wordWrap w:val="0"/>
        <w:overflowPunct/>
        <w:topLinePunct w:val="0"/>
        <w:bidi w:val="0"/>
        <w:spacing w:line="600" w:lineRule="exact"/>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4.6采购需求标准</w:t>
      </w:r>
    </w:p>
    <w:p w14:paraId="43834045">
      <w:pPr>
        <w:pStyle w:val="3"/>
        <w:keepNext w:val="0"/>
        <w:keepLines w:val="0"/>
        <w:pageBreakBefore w:val="0"/>
        <w:kinsoku/>
        <w:wordWrap w:val="0"/>
        <w:overflowPunct/>
        <w:topLinePunct w:val="0"/>
        <w:bidi w:val="0"/>
        <w:spacing w:line="600" w:lineRule="exact"/>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14:paraId="3A336296">
      <w:pPr>
        <w:pStyle w:val="3"/>
        <w:keepNext w:val="0"/>
        <w:keepLines w:val="0"/>
        <w:pageBreakBefore w:val="0"/>
        <w:kinsoku/>
        <w:wordWrap w:val="0"/>
        <w:overflowPunct/>
        <w:topLinePunct w:val="0"/>
        <w:bidi w:val="0"/>
        <w:spacing w:line="600" w:lineRule="exact"/>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4.6.2绿色数据中心政府采购需求标准（试行）</w:t>
      </w:r>
    </w:p>
    <w:p w14:paraId="64FDD350">
      <w:pPr>
        <w:pStyle w:val="3"/>
        <w:keepNext w:val="0"/>
        <w:keepLines w:val="0"/>
        <w:pageBreakBefore w:val="0"/>
        <w:kinsoku/>
        <w:wordWrap w:val="0"/>
        <w:overflowPunct/>
        <w:topLinePunct w:val="0"/>
        <w:bidi w:val="0"/>
        <w:spacing w:line="600" w:lineRule="exact"/>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4AC7E545">
      <w:pPr>
        <w:pStyle w:val="3"/>
        <w:keepNext w:val="0"/>
        <w:keepLines w:val="0"/>
        <w:pageBreakBefore w:val="0"/>
        <w:kinsoku/>
        <w:wordWrap w:val="0"/>
        <w:overflowPunct/>
        <w:topLinePunct w:val="0"/>
        <w:bidi w:val="0"/>
        <w:spacing w:line="600" w:lineRule="exact"/>
        <w:ind w:firstLine="47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5.投标费用</w:t>
      </w:r>
    </w:p>
    <w:p w14:paraId="3D5BE391">
      <w:pPr>
        <w:pStyle w:val="3"/>
        <w:keepNext w:val="0"/>
        <w:keepLines w:val="0"/>
        <w:pageBreakBefore w:val="0"/>
        <w:kinsoku/>
        <w:wordWrap w:val="0"/>
        <w:overflowPunct/>
        <w:topLinePunct w:val="0"/>
        <w:bidi w:val="0"/>
        <w:spacing w:line="600" w:lineRule="exact"/>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投标人应自行承担所有与准备和招标有关的费用</w:t>
      </w:r>
      <w:r>
        <w:rPr>
          <w:rFonts w:hint="eastAsia" w:asciiTheme="minorEastAsia" w:hAnsiTheme="minorEastAsia" w:eastAsiaTheme="minorEastAsia" w:cstheme="minorEastAsia"/>
          <w:spacing w:val="-5"/>
          <w:sz w:val="24"/>
          <w:szCs w:val="24"/>
          <w:lang w:eastAsia="zh-CN"/>
        </w:rPr>
        <w:t>，无论招标的结果如何，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32C9F1C1">
      <w:pPr>
        <w:keepNext w:val="0"/>
        <w:keepLines w:val="0"/>
        <w:pageBreakBefore w:val="0"/>
        <w:kinsoku/>
        <w:wordWrap w:val="0"/>
        <w:overflowPunct/>
        <w:topLinePunct w:val="0"/>
        <w:bidi w:val="0"/>
        <w:spacing w:line="600" w:lineRule="exact"/>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14:paraId="2437E420">
      <w:pPr>
        <w:keepNext w:val="0"/>
        <w:keepLines w:val="0"/>
        <w:pageBreakBefore w:val="0"/>
        <w:kinsoku/>
        <w:wordWrap w:val="0"/>
        <w:overflowPunct/>
        <w:topLinePunct w:val="0"/>
        <w:bidi w:val="0"/>
        <w:spacing w:line="600" w:lineRule="exact"/>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6.1本次招标适用的法律、法规为《中华人民共和国政府采购法》《中华人民共和国政府采购法实施条例》《政府采购货物和服务招标投标管理办法》《中华人民共和国民法典》以及其他相关政府采购法律法规。</w:t>
      </w:r>
    </w:p>
    <w:p w14:paraId="77EF29B8">
      <w:pPr>
        <w:keepNext w:val="0"/>
        <w:keepLines w:val="0"/>
        <w:pageBreakBefore w:val="0"/>
        <w:kinsoku/>
        <w:wordWrap w:val="0"/>
        <w:overflowPunct/>
        <w:topLinePunct w:val="0"/>
        <w:bidi w:val="0"/>
        <w:spacing w:line="600" w:lineRule="exact"/>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6.2“监督管理部门”是指淅川县财政局</w:t>
      </w:r>
      <w:r>
        <w:rPr>
          <w:rFonts w:hint="eastAsia" w:asciiTheme="minorEastAsia" w:hAnsiTheme="minorEastAsia" w:eastAsiaTheme="minorEastAsia" w:cstheme="minorEastAsia"/>
          <w:spacing w:val="-2"/>
          <w:sz w:val="24"/>
          <w:szCs w:val="24"/>
          <w:lang w:eastAsia="zh-CN"/>
        </w:rPr>
        <w:t>。</w:t>
      </w:r>
    </w:p>
    <w:p w14:paraId="7A6A5C20">
      <w:pPr>
        <w:keepNext w:val="0"/>
        <w:keepLines w:val="0"/>
        <w:pageBreakBefore w:val="0"/>
        <w:kinsoku/>
        <w:wordWrap w:val="0"/>
        <w:overflowPunct/>
        <w:topLinePunct w:val="0"/>
        <w:bidi w:val="0"/>
        <w:spacing w:line="600" w:lineRule="exact"/>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6.3“货物”指投标人按招标文件规定，须向采购人提供的与本次招标相关的货物</w:t>
      </w:r>
    </w:p>
    <w:p w14:paraId="488AE28D">
      <w:pPr>
        <w:keepNext w:val="0"/>
        <w:keepLines w:val="0"/>
        <w:pageBreakBefore w:val="0"/>
        <w:kinsoku/>
        <w:wordWrap w:val="0"/>
        <w:overflowPunct/>
        <w:topLinePunct w:val="0"/>
        <w:bidi w:val="0"/>
        <w:spacing w:line="600" w:lineRule="exact"/>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6.4“服务”指招标文件规定投标人应承担的服务。</w:t>
      </w:r>
    </w:p>
    <w:p w14:paraId="384C9878">
      <w:pPr>
        <w:pStyle w:val="32"/>
        <w:keepNext w:val="0"/>
        <w:keepLines w:val="0"/>
        <w:pageBreakBefore w:val="0"/>
        <w:wordWrap w:val="0"/>
        <w:overflowPunct/>
        <w:topLinePunct w:val="0"/>
        <w:bidi w:val="0"/>
        <w:spacing w:line="600" w:lineRule="exact"/>
        <w:jc w:val="both"/>
        <w:rPr>
          <w:rFonts w:asciiTheme="minorEastAsia" w:hAnsiTheme="minorEastAsia" w:eastAsiaTheme="minorEastAsia" w:cstheme="minorEastAsia"/>
          <w:spacing w:val="-5"/>
          <w:sz w:val="28"/>
          <w:szCs w:val="28"/>
        </w:rPr>
      </w:pPr>
    </w:p>
    <w:p w14:paraId="05613C6E">
      <w:pPr>
        <w:pStyle w:val="3"/>
        <w:keepNext w:val="0"/>
        <w:keepLines w:val="0"/>
        <w:pageBreakBefore w:val="0"/>
        <w:kinsoku/>
        <w:wordWrap w:val="0"/>
        <w:overflowPunct/>
        <w:topLinePunct w:val="0"/>
        <w:bidi w:val="0"/>
        <w:spacing w:before="92" w:line="600" w:lineRule="exact"/>
        <w:rPr>
          <w:rFonts w:asciiTheme="minorEastAsia" w:hAnsiTheme="minorEastAsia" w:eastAsiaTheme="minorEastAsia" w:cstheme="minorEastAsia"/>
          <w:spacing w:val="-5"/>
          <w:sz w:val="28"/>
          <w:szCs w:val="28"/>
          <w:lang w:eastAsia="zh-CN"/>
        </w:rPr>
      </w:pPr>
    </w:p>
    <w:p w14:paraId="46FD4916">
      <w:pPr>
        <w:pStyle w:val="3"/>
        <w:keepNext w:val="0"/>
        <w:keepLines w:val="0"/>
        <w:pageBreakBefore w:val="0"/>
        <w:kinsoku/>
        <w:wordWrap w:val="0"/>
        <w:overflowPunct/>
        <w:topLinePunct w:val="0"/>
        <w:bidi w:val="0"/>
        <w:spacing w:before="92" w:line="600" w:lineRule="exact"/>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5"/>
          <w:sz w:val="28"/>
          <w:szCs w:val="28"/>
          <w:lang w:eastAsia="zh-CN"/>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eastAsia="zh-CN"/>
        </w:rPr>
        <w:t>招标文件</w:t>
      </w:r>
    </w:p>
    <w:p w14:paraId="3AEA88DC">
      <w:pPr>
        <w:pStyle w:val="3"/>
        <w:keepNext w:val="0"/>
        <w:keepLines w:val="0"/>
        <w:pageBreakBefore w:val="0"/>
        <w:kinsoku/>
        <w:wordWrap w:val="0"/>
        <w:overflowPunct/>
        <w:topLinePunct w:val="0"/>
        <w:bidi w:val="0"/>
        <w:spacing w:line="600" w:lineRule="exact"/>
        <w:ind w:firstLine="474" w:firstLineChars="200"/>
        <w:jc w:val="both"/>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7.招标文件构成</w:t>
      </w:r>
    </w:p>
    <w:p w14:paraId="453330CE">
      <w:pPr>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7.1招标文件包括以下部分：</w:t>
      </w:r>
    </w:p>
    <w:p w14:paraId="67E97D8E">
      <w:pPr>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第一章公开招标公告</w:t>
      </w:r>
    </w:p>
    <w:p w14:paraId="6CB6D481">
      <w:pPr>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第二章采购需求</w:t>
      </w:r>
    </w:p>
    <w:p w14:paraId="38403777">
      <w:pPr>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第三章投标人须知</w:t>
      </w:r>
    </w:p>
    <w:p w14:paraId="2B15449E">
      <w:pPr>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第四章开、评标程序、评标方法和评标标准</w:t>
      </w:r>
    </w:p>
    <w:p w14:paraId="7DAAC853">
      <w:pPr>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第五章政府采购合同（草案）</w:t>
      </w:r>
    </w:p>
    <w:p w14:paraId="7962062B">
      <w:pPr>
        <w:keepNext w:val="0"/>
        <w:keepLines w:val="0"/>
        <w:pageBreakBefore w:val="0"/>
        <w:kinsoku/>
        <w:wordWrap w:val="0"/>
        <w:overflowPunct/>
        <w:topLinePunct w:val="0"/>
        <w:bidi w:val="0"/>
        <w:spacing w:line="600" w:lineRule="exact"/>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第六章投标文件格式</w:t>
      </w:r>
    </w:p>
    <w:p w14:paraId="753A1709">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7.2投标人应认真阅读招标文件的全部内容。投标人应按照招标文件要求提交投标文件并保证所提供的全部资料的真实性，并对招标文件做出实质性响应，否则投标无效。</w:t>
      </w:r>
    </w:p>
    <w:p w14:paraId="1490ACD6">
      <w:pPr>
        <w:pStyle w:val="3"/>
        <w:keepNext w:val="0"/>
        <w:keepLines w:val="0"/>
        <w:pageBreakBefore w:val="0"/>
        <w:kinsoku/>
        <w:wordWrap w:val="0"/>
        <w:overflowPunct/>
        <w:topLinePunct w:val="0"/>
        <w:bidi w:val="0"/>
        <w:spacing w:line="600" w:lineRule="exact"/>
        <w:ind w:firstLine="450"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8"/>
          <w:sz w:val="24"/>
          <w:szCs w:val="24"/>
          <w:lang w:eastAsia="zh-CN"/>
        </w:rPr>
        <w:t>8.对招标文件的澄清或修改</w:t>
      </w:r>
    </w:p>
    <w:p w14:paraId="0912056F">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8.1采购人或采购代理机构对已发出的招标文件进行必要澄清或者修改的，将在原公告发布媒体上发布更正公告，不得改变采购标的和资格条件。</w:t>
      </w:r>
    </w:p>
    <w:p w14:paraId="26C922BE">
      <w:pPr>
        <w:pStyle w:val="3"/>
        <w:keepNext w:val="0"/>
        <w:keepLines w:val="0"/>
        <w:pageBreakBefore w:val="0"/>
        <w:kinsoku/>
        <w:wordWrap w:val="0"/>
        <w:overflowPunct/>
        <w:topLinePunct w:val="0"/>
        <w:bidi w:val="0"/>
        <w:spacing w:line="600" w:lineRule="exact"/>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9DB24CE">
      <w:pPr>
        <w:pStyle w:val="3"/>
        <w:keepNext w:val="0"/>
        <w:keepLines w:val="0"/>
        <w:pageBreakBefore w:val="0"/>
        <w:kinsoku/>
        <w:wordWrap w:val="0"/>
        <w:overflowPunct/>
        <w:topLinePunct w:val="0"/>
        <w:bidi w:val="0"/>
        <w:spacing w:line="600" w:lineRule="exact"/>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8.3政府采购项目实行网上受理，开标前所有信息保密。因此，发布的一切公告信息（包括招标公告、更正公告、澄清公告、延期公告等）均在“河南省政府采购网”“淅川县公共资源交易中心网”发布，请潜在投标供应商随时查询有关公告信息。若因潜在投标供应商没有及时查看到公告信息而造成的投标失误，责任自负。</w:t>
      </w:r>
    </w:p>
    <w:p w14:paraId="172BB2B6">
      <w:pPr>
        <w:pStyle w:val="3"/>
        <w:keepNext w:val="0"/>
        <w:keepLines w:val="0"/>
        <w:pageBreakBefore w:val="0"/>
        <w:kinsoku/>
        <w:wordWrap w:val="0"/>
        <w:overflowPunct/>
        <w:topLinePunct w:val="0"/>
        <w:bidi w:val="0"/>
        <w:spacing w:line="600" w:lineRule="exact"/>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8.4投标人应关注是否有发布最新的澄清更正公告和更正的最新招标文件（电子答疑文件），如有则需下载最新的招标文件，并在此基础上制作最新的投标文件并上传。</w:t>
      </w:r>
    </w:p>
    <w:p w14:paraId="692A4C38">
      <w:pPr>
        <w:pStyle w:val="3"/>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pacing w:val="-1"/>
          <w:sz w:val="28"/>
          <w:szCs w:val="28"/>
          <w:lang w:eastAsia="zh-CN"/>
        </w:rPr>
      </w:pPr>
    </w:p>
    <w:p w14:paraId="455163D5">
      <w:pPr>
        <w:pStyle w:val="3"/>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8"/>
          <w:szCs w:val="28"/>
          <w:lang w:eastAsia="zh-CN"/>
        </w:rPr>
        <w:t>三、投标文件的编制</w:t>
      </w:r>
    </w:p>
    <w:p w14:paraId="0B944CEE">
      <w:pPr>
        <w:keepNext w:val="0"/>
        <w:keepLines w:val="0"/>
        <w:pageBreakBefore w:val="0"/>
        <w:kinsoku/>
        <w:wordWrap w:val="0"/>
        <w:overflowPunct/>
        <w:topLinePunct w:val="0"/>
        <w:bidi w:val="0"/>
        <w:spacing w:line="600" w:lineRule="exact"/>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9.投标范围、投标文件中计量单位的使用及投标语言</w:t>
      </w:r>
    </w:p>
    <w:p w14:paraId="6F51C9AD">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40FE163C">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9.2除招标文件有特殊要求外，本项目投标所使用的计量单位，应采用中华人民共和国法定计量单位。</w:t>
      </w:r>
    </w:p>
    <w:p w14:paraId="79FCBFE7">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BC31B2E">
      <w:pPr>
        <w:keepNext w:val="0"/>
        <w:keepLines w:val="0"/>
        <w:pageBreakBefore w:val="0"/>
        <w:kinsoku/>
        <w:wordWrap w:val="0"/>
        <w:overflowPunct/>
        <w:topLinePunct w:val="0"/>
        <w:bidi w:val="0"/>
        <w:spacing w:line="600" w:lineRule="exact"/>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10.投标文件构成</w:t>
      </w:r>
    </w:p>
    <w:p w14:paraId="574C050C">
      <w:pPr>
        <w:keepNext w:val="0"/>
        <w:keepLines w:val="0"/>
        <w:pageBreakBefore w:val="0"/>
        <w:widowControl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49B040">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3911089">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否则，被视为无效投标文件，将被平台系统拒绝。</w:t>
      </w:r>
    </w:p>
    <w:p w14:paraId="0B1E23A8">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10.4第四章《开评标程序、评标方法和评标标准》中涉及的证明文件。</w:t>
      </w:r>
    </w:p>
    <w:p w14:paraId="025DC16C">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58229E3C">
      <w:pPr>
        <w:keepNext w:val="0"/>
        <w:keepLines w:val="0"/>
        <w:pageBreakBefore w:val="0"/>
        <w:kinsoku/>
        <w:wordWrap w:val="0"/>
        <w:overflowPunct/>
        <w:topLinePunct w:val="0"/>
        <w:bidi w:val="0"/>
        <w:spacing w:line="600" w:lineRule="exact"/>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lang w:eastAsia="zh-CN"/>
        </w:rPr>
        <w:t>10.6投标人编制投标文件时，涉及营业执照、资质、业绩、财务、社保、纳税及各类证书、报告等内容，必须是原件的扫描件。</w:t>
      </w:r>
    </w:p>
    <w:p w14:paraId="35317FC1">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10.7投标人认为应附的其他材料。</w:t>
      </w:r>
    </w:p>
    <w:p w14:paraId="7C24F642">
      <w:pPr>
        <w:keepNext w:val="0"/>
        <w:keepLines w:val="0"/>
        <w:pageBreakBefore w:val="0"/>
        <w:kinsoku/>
        <w:wordWrap w:val="0"/>
        <w:overflowPunct/>
        <w:topLinePunct w:val="0"/>
        <w:bidi w:val="0"/>
        <w:spacing w:line="600" w:lineRule="exact"/>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11.投标报价</w:t>
      </w:r>
    </w:p>
    <w:p w14:paraId="669D57E0">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11.1所有投标均以人民币报价。</w:t>
      </w:r>
    </w:p>
    <w:p w14:paraId="74EE4882">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11.2投标人的报价应包括为完成本项目所发生的一切费用和税费，采购人将不再支付报价以外的任何费用。投标人的报价应包括但不限于下列内容，招标文件中有特殊规定的，从其规定。</w:t>
      </w:r>
    </w:p>
    <w:p w14:paraId="023EBC4B">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0FBC49F">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（2）服务项目按照招标文件要求完成本项目的全部相关费用。</w:t>
      </w:r>
    </w:p>
    <w:p w14:paraId="44F1A565">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11.3采购人不得向供应商索要或者接受其给予的赠品、回扣或者与采购无关的其他商品、服务。</w:t>
      </w:r>
    </w:p>
    <w:p w14:paraId="5A66152F">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11.4投标人不能提供任何有选择性或可调整的报价（招标文件另有规定的除外），否则其投标无效。</w:t>
      </w:r>
    </w:p>
    <w:p w14:paraId="11C445CD">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11.5本次招标设有预算，投标人报价超过预算的，评标委员会将不予评议。</w:t>
      </w:r>
    </w:p>
    <w:p w14:paraId="0C20C2F3">
      <w:pPr>
        <w:keepNext w:val="0"/>
        <w:keepLines w:val="0"/>
        <w:pageBreakBefore w:val="0"/>
        <w:kinsoku/>
        <w:wordWrap w:val="0"/>
        <w:overflowPunct/>
        <w:topLinePunct w:val="0"/>
        <w:bidi w:val="0"/>
        <w:spacing w:line="600" w:lineRule="exact"/>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62F9E6">
      <w:pPr>
        <w:keepNext w:val="0"/>
        <w:keepLines w:val="0"/>
        <w:pageBreakBefore w:val="0"/>
        <w:kinsoku/>
        <w:wordWrap w:val="0"/>
        <w:overflowPunct/>
        <w:topLinePunct w:val="0"/>
        <w:bidi w:val="0"/>
        <w:spacing w:line="600" w:lineRule="exact"/>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12.投标有效期</w:t>
      </w:r>
    </w:p>
    <w:p w14:paraId="41EF7D84">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12.1投标文件应在本招标文件《投标人须知表》中规定的投标有效期内保持有效，投标有效期少于招标文件规定期限的，其投标无效。中标人的投标有效期延长至项目验收合格之日。</w:t>
      </w:r>
    </w:p>
    <w:p w14:paraId="0158AA59">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24E6E69B">
      <w:pPr>
        <w:keepNext w:val="0"/>
        <w:keepLines w:val="0"/>
        <w:pageBreakBefore w:val="0"/>
        <w:kinsoku/>
        <w:wordWrap w:val="0"/>
        <w:overflowPunct/>
        <w:topLinePunct w:val="0"/>
        <w:bidi w:val="0"/>
        <w:spacing w:line="600" w:lineRule="exact"/>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13.投标文件的签署、盖章</w:t>
      </w:r>
    </w:p>
    <w:p w14:paraId="5BDC49CC">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13.1电子投标文件必须在规定签章处电子签章或手写签字后扫描上传进投标文件。</w:t>
      </w:r>
    </w:p>
    <w:p w14:paraId="5F856BE1">
      <w:pPr>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13.2招标文件要求盖章的内容，一般通过CA或电子营业执照加盖电子签章。</w:t>
      </w:r>
    </w:p>
    <w:p w14:paraId="26E45E7D">
      <w:pPr>
        <w:keepNext w:val="0"/>
        <w:keepLines w:val="0"/>
        <w:pageBreakBefore w:val="0"/>
        <w:kinsoku/>
        <w:wordWrap w:val="0"/>
        <w:overflowPunct/>
        <w:topLinePunct w:val="0"/>
        <w:bidi w:val="0"/>
        <w:spacing w:line="600" w:lineRule="exact"/>
        <w:ind w:firstLine="420" w:firstLineChars="200"/>
        <w:jc w:val="both"/>
        <w:rPr>
          <w:rFonts w:asciiTheme="minorEastAsia" w:hAnsiTheme="minorEastAsia" w:eastAsiaTheme="minorEastAsia" w:cstheme="minorEastAsia"/>
          <w:lang w:eastAsia="zh-CN"/>
        </w:rPr>
      </w:pPr>
    </w:p>
    <w:p w14:paraId="68474751">
      <w:pPr>
        <w:pStyle w:val="3"/>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sz w:val="28"/>
          <w:szCs w:val="28"/>
          <w:lang w:eastAsia="zh-CN"/>
        </w:rPr>
        <w:t>四、投标文件的提交</w:t>
      </w:r>
    </w:p>
    <w:p w14:paraId="079BB1DF">
      <w:pPr>
        <w:keepNext w:val="0"/>
        <w:keepLines w:val="0"/>
        <w:pageBreakBefore w:val="0"/>
        <w:kinsoku/>
        <w:wordWrap w:val="0"/>
        <w:overflowPunct/>
        <w:topLinePunct w:val="0"/>
        <w:bidi w:val="0"/>
        <w:spacing w:line="600" w:lineRule="exact"/>
        <w:ind w:firstLine="486"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14.投标文件的提交</w:t>
      </w:r>
    </w:p>
    <w:p w14:paraId="69ACE5AE">
      <w:pPr>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电子投标文件的提交是指使用淅川县公共资源交易中心网上交易系统在投标截止时间前完成制作软件生成的加密电子投标文件的上传。未在投标截止时间前完成上传的，视为逾期提交。逾期提交的投标文件，招标人不予受理。</w:t>
      </w:r>
    </w:p>
    <w:p w14:paraId="4916728B">
      <w:pPr>
        <w:pStyle w:val="3"/>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14.2采购人及采购代理机构拒绝接受通过电子交易平台以外任何形式提交的投标文件。</w:t>
      </w:r>
    </w:p>
    <w:p w14:paraId="720F4C69">
      <w:pPr>
        <w:pStyle w:val="3"/>
        <w:keepNext w:val="0"/>
        <w:keepLines w:val="0"/>
        <w:pageBreakBefore w:val="0"/>
        <w:kinsoku/>
        <w:wordWrap w:val="0"/>
        <w:overflowPunct/>
        <w:topLinePunct w:val="0"/>
        <w:bidi w:val="0"/>
        <w:spacing w:line="600" w:lineRule="exact"/>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15.投标截止时间</w:t>
      </w:r>
    </w:p>
    <w:p w14:paraId="6125948E">
      <w:pPr>
        <w:pStyle w:val="3"/>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lang w:eastAsia="zh-CN"/>
        </w:rPr>
        <w:t>子交易平台。</w:t>
      </w:r>
    </w:p>
    <w:p w14:paraId="4C87FCA6">
      <w:pPr>
        <w:pStyle w:val="3"/>
        <w:keepNext w:val="0"/>
        <w:keepLines w:val="0"/>
        <w:pageBreakBefore w:val="0"/>
        <w:kinsoku/>
        <w:wordWrap w:val="0"/>
        <w:overflowPunct/>
        <w:topLinePunct w:val="0"/>
        <w:bidi w:val="0"/>
        <w:spacing w:line="600" w:lineRule="exact"/>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16.投标文件的修改与撤回</w:t>
      </w:r>
    </w:p>
    <w:p w14:paraId="59463FF9">
      <w:pPr>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16.1在招标文件规定的投标截止时间前，投标人可以修改或撤回已上传的电子投标文件，最终电子投标文件以投标截止时间前完成上传至淅川县电子交易平台系统最后一份解密投标文件为准。投标截止时间之后，投标人不得修改或撤回电子投标文件。</w:t>
      </w:r>
    </w:p>
    <w:p w14:paraId="4E4EE92A">
      <w:pPr>
        <w:keepNext w:val="0"/>
        <w:keepLines w:val="0"/>
        <w:pageBreakBefore w:val="0"/>
        <w:overflowPunct/>
        <w:topLinePunct w:val="0"/>
        <w:bidi w:val="0"/>
        <w:spacing w:line="600" w:lineRule="exact"/>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br w:type="page"/>
      </w:r>
    </w:p>
    <w:p w14:paraId="43B58929">
      <w:pPr>
        <w:pStyle w:val="3"/>
        <w:keepNext w:val="0"/>
        <w:keepLines w:val="0"/>
        <w:pageBreakBefore w:val="0"/>
        <w:kinsoku/>
        <w:wordWrap w:val="0"/>
        <w:overflowPunct/>
        <w:topLinePunct w:val="0"/>
        <w:bidi w:val="0"/>
        <w:spacing w:line="600" w:lineRule="exact"/>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t>第四章开、评标程序、评标方法和评标标准</w:t>
      </w:r>
    </w:p>
    <w:p w14:paraId="5DC60B99">
      <w:pPr>
        <w:pStyle w:val="3"/>
        <w:keepNext w:val="0"/>
        <w:keepLines w:val="0"/>
        <w:pageBreakBefore w:val="0"/>
        <w:kinsoku/>
        <w:wordWrap w:val="0"/>
        <w:overflowPunct/>
        <w:topLinePunct w:val="0"/>
        <w:bidi w:val="0"/>
        <w:spacing w:before="255" w:line="600" w:lineRule="exact"/>
        <w:ind w:left="3942"/>
        <w:jc w:val="both"/>
        <w:outlineLvl w:val="2"/>
        <w:rPr>
          <w:rFonts w:asciiTheme="minorEastAsia" w:hAnsiTheme="minorEastAsia" w:eastAsiaTheme="minorEastAsia" w:cstheme="minorEastAsia"/>
          <w:spacing w:val="-3"/>
          <w:sz w:val="24"/>
          <w:szCs w:val="24"/>
          <w:lang w:eastAsia="zh-CN"/>
        </w:rPr>
      </w:pPr>
    </w:p>
    <w:p w14:paraId="2AAA2B2A">
      <w:pPr>
        <w:keepNext w:val="0"/>
        <w:keepLines w:val="0"/>
        <w:pageBreakBefore w:val="0"/>
        <w:kinsoku/>
        <w:wordWrap w:val="0"/>
        <w:overflowPunct/>
        <w:topLinePunct w:val="0"/>
        <w:bidi w:val="0"/>
        <w:spacing w:line="600" w:lineRule="exact"/>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一、开标</w:t>
      </w:r>
    </w:p>
    <w:p w14:paraId="12338E9F">
      <w:pPr>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1.采购人或采购代理机构按招标公告中规定的时间开标，本项目使用不见面开标，投标人无需到开标现场。</w:t>
      </w:r>
    </w:p>
    <w:p w14:paraId="5F8C8A5F">
      <w:pPr>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w:t>
      </w:r>
    </w:p>
    <w:p w14:paraId="5792B2EE">
      <w:pPr>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0EB0715C">
      <w:pPr>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7B12590E">
      <w:pPr>
        <w:keepNext w:val="0"/>
        <w:keepLines w:val="0"/>
        <w:pageBreakBefore w:val="0"/>
        <w:kinsoku/>
        <w:wordWrap w:val="0"/>
        <w:overflowPunct/>
        <w:topLinePunct w:val="0"/>
        <w:bidi w:val="0"/>
        <w:spacing w:line="600" w:lineRule="exact"/>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2.3宣布开标结束。</w:t>
      </w:r>
    </w:p>
    <w:p w14:paraId="7C4A47D6">
      <w:pPr>
        <w:pStyle w:val="3"/>
        <w:keepNext w:val="0"/>
        <w:keepLines w:val="0"/>
        <w:pageBreakBefore w:val="0"/>
        <w:kinsoku/>
        <w:wordWrap w:val="0"/>
        <w:overflowPunct/>
        <w:topLinePunct w:val="0"/>
        <w:bidi w:val="0"/>
        <w:spacing w:line="600" w:lineRule="exact"/>
        <w:jc w:val="both"/>
        <w:outlineLvl w:val="2"/>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二、资格审查</w:t>
      </w:r>
    </w:p>
    <w:p w14:paraId="6A5A7EBF">
      <w:pPr>
        <w:pStyle w:val="3"/>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1.开标结束后，采购人或采购代理机构将根据资格审查要求中的规定，对投标人进行资格审查，并形成资格审查结果。</w:t>
      </w:r>
    </w:p>
    <w:p w14:paraId="5BDD65D1">
      <w:pPr>
        <w:pStyle w:val="3"/>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2.投标人《资格证明文件》有任何一项不符合《资格审查要求》的，资格审查不合格，其投标无效。</w:t>
      </w:r>
    </w:p>
    <w:p w14:paraId="53479E84">
      <w:pPr>
        <w:pStyle w:val="3"/>
        <w:keepNext w:val="0"/>
        <w:keepLines w:val="0"/>
        <w:pageBreakBefore w:val="0"/>
        <w:kinsoku/>
        <w:wordWrap w:val="0"/>
        <w:overflowPunct/>
        <w:topLinePunct w:val="0"/>
        <w:bidi w:val="0"/>
        <w:spacing w:line="600" w:lineRule="exact"/>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3.资格审查合格的投标人不足3家的，不进行评标。</w:t>
      </w:r>
    </w:p>
    <w:p w14:paraId="1D6C36C0">
      <w:pPr>
        <w:pStyle w:val="3"/>
        <w:keepNext w:val="0"/>
        <w:keepLines w:val="0"/>
        <w:pageBreakBefore w:val="0"/>
        <w:kinsoku/>
        <w:wordWrap w:val="0"/>
        <w:overflowPunct/>
        <w:topLinePunct w:val="0"/>
        <w:bidi w:val="0"/>
        <w:spacing w:before="79" w:line="600" w:lineRule="exact"/>
        <w:jc w:val="center"/>
        <w:outlineLvl w:val="2"/>
        <w:rPr>
          <w:rFonts w:hint="eastAsia" w:asciiTheme="minorEastAsia" w:hAnsiTheme="minorEastAsia" w:eastAsiaTheme="minorEastAsia" w:cstheme="minorEastAsia"/>
          <w:spacing w:val="-1"/>
          <w:sz w:val="24"/>
          <w:szCs w:val="24"/>
        </w:rPr>
      </w:pPr>
    </w:p>
    <w:p w14:paraId="5D030989">
      <w:pPr>
        <w:pStyle w:val="3"/>
        <w:keepNext w:val="0"/>
        <w:keepLines w:val="0"/>
        <w:pageBreakBefore w:val="0"/>
        <w:kinsoku/>
        <w:wordWrap w:val="0"/>
        <w:overflowPunct/>
        <w:topLinePunct w:val="0"/>
        <w:bidi w:val="0"/>
        <w:spacing w:before="79" w:line="600" w:lineRule="exact"/>
        <w:jc w:val="center"/>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资格审查要求</w:t>
      </w:r>
    </w:p>
    <w:tbl>
      <w:tblPr>
        <w:tblStyle w:val="19"/>
        <w:tblpPr w:leftFromText="180" w:rightFromText="180" w:vertAnchor="text" w:horzAnchor="page" w:tblpX="1758"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609"/>
        <w:gridCol w:w="3996"/>
        <w:gridCol w:w="2243"/>
      </w:tblGrid>
      <w:tr w14:paraId="3117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auto"/>
            <w:vAlign w:val="top"/>
          </w:tcPr>
          <w:p w14:paraId="34229DE7">
            <w:pPr>
              <w:keepNext w:val="0"/>
              <w:keepLines w:val="0"/>
              <w:pageBreakBefore w:val="0"/>
              <w:widowControl/>
              <w:kinsoku/>
              <w:wordWrap w:val="0"/>
              <w:overflowPunct/>
              <w:topLinePunct w:val="0"/>
              <w:autoSpaceDE w:val="0"/>
              <w:autoSpaceDN w:val="0"/>
              <w:bidi w:val="0"/>
              <w:adjustRightInd w:val="0"/>
              <w:snapToGrid w:val="0"/>
              <w:spacing w:before="119" w:line="222" w:lineRule="auto"/>
              <w:ind w:left="0" w:leftChars="0" w:right="0" w:rightChars="0"/>
              <w:jc w:val="center"/>
              <w:textAlignment w:val="baseline"/>
              <w:rPr>
                <w:rFonts w:hint="eastAsia" w:ascii="黑体" w:hAnsi="黑体" w:eastAsia="黑体" w:cs="黑体"/>
                <w:snapToGrid w:val="0"/>
                <w:color w:val="000000"/>
                <w:sz w:val="21"/>
                <w:szCs w:val="21"/>
                <w:lang w:val="en-US" w:eastAsia="en-US" w:bidi="ar-SA"/>
              </w:rPr>
            </w:pPr>
            <w:r>
              <w:rPr>
                <w:rFonts w:hint="eastAsia" w:ascii="黑体" w:hAnsi="黑体" w:eastAsia="黑体" w:cs="黑体"/>
                <w:spacing w:val="-3"/>
                <w:sz w:val="21"/>
                <w:szCs w:val="21"/>
              </w:rPr>
              <w:t>序号</w:t>
            </w:r>
          </w:p>
        </w:tc>
        <w:tc>
          <w:tcPr>
            <w:tcW w:w="1609" w:type="dxa"/>
            <w:shd w:val="clear" w:color="auto" w:fill="auto"/>
            <w:vAlign w:val="top"/>
          </w:tcPr>
          <w:p w14:paraId="1E73B3EB">
            <w:pPr>
              <w:keepNext w:val="0"/>
              <w:keepLines w:val="0"/>
              <w:pageBreakBefore w:val="0"/>
              <w:widowControl/>
              <w:kinsoku/>
              <w:wordWrap w:val="0"/>
              <w:overflowPunct/>
              <w:topLinePunct w:val="0"/>
              <w:autoSpaceDE w:val="0"/>
              <w:autoSpaceDN w:val="0"/>
              <w:bidi w:val="0"/>
              <w:adjustRightInd w:val="0"/>
              <w:snapToGrid w:val="0"/>
              <w:spacing w:before="119" w:line="220" w:lineRule="auto"/>
              <w:ind w:left="0" w:leftChars="0" w:right="0" w:rightChars="0"/>
              <w:jc w:val="center"/>
              <w:textAlignment w:val="baseline"/>
              <w:rPr>
                <w:rFonts w:hint="eastAsia" w:ascii="黑体" w:hAnsi="黑体" w:eastAsia="黑体" w:cs="黑体"/>
                <w:snapToGrid w:val="0"/>
                <w:color w:val="000000"/>
                <w:sz w:val="21"/>
                <w:szCs w:val="21"/>
                <w:lang w:val="en-US" w:eastAsia="en-US" w:bidi="ar-SA"/>
              </w:rPr>
            </w:pPr>
            <w:r>
              <w:rPr>
                <w:rFonts w:hint="eastAsia" w:ascii="黑体" w:hAnsi="黑体" w:eastAsia="黑体" w:cs="黑体"/>
                <w:spacing w:val="-4"/>
                <w:sz w:val="21"/>
                <w:szCs w:val="21"/>
              </w:rPr>
              <w:t>审查因素</w:t>
            </w:r>
          </w:p>
        </w:tc>
        <w:tc>
          <w:tcPr>
            <w:tcW w:w="3996" w:type="dxa"/>
            <w:shd w:val="clear" w:color="auto" w:fill="auto"/>
            <w:vAlign w:val="top"/>
          </w:tcPr>
          <w:p w14:paraId="78E8ED59">
            <w:pPr>
              <w:keepNext w:val="0"/>
              <w:keepLines w:val="0"/>
              <w:pageBreakBefore w:val="0"/>
              <w:widowControl/>
              <w:kinsoku/>
              <w:wordWrap w:val="0"/>
              <w:overflowPunct/>
              <w:topLinePunct w:val="0"/>
              <w:autoSpaceDE w:val="0"/>
              <w:autoSpaceDN w:val="0"/>
              <w:bidi w:val="0"/>
              <w:adjustRightInd w:val="0"/>
              <w:snapToGrid w:val="0"/>
              <w:spacing w:before="119" w:line="220" w:lineRule="auto"/>
              <w:ind w:left="0" w:leftChars="0" w:right="0" w:rightChars="0"/>
              <w:jc w:val="center"/>
              <w:textAlignment w:val="baseline"/>
              <w:rPr>
                <w:rFonts w:hint="eastAsia" w:ascii="黑体" w:hAnsi="黑体" w:eastAsia="黑体" w:cs="黑体"/>
                <w:snapToGrid w:val="0"/>
                <w:color w:val="000000"/>
                <w:sz w:val="21"/>
                <w:szCs w:val="21"/>
                <w:lang w:val="en-US" w:eastAsia="en-US" w:bidi="ar-SA"/>
              </w:rPr>
            </w:pPr>
            <w:r>
              <w:rPr>
                <w:rFonts w:hint="eastAsia" w:ascii="黑体" w:hAnsi="黑体" w:eastAsia="黑体" w:cs="黑体"/>
                <w:spacing w:val="-4"/>
                <w:sz w:val="21"/>
                <w:szCs w:val="21"/>
              </w:rPr>
              <w:t>审查内容</w:t>
            </w:r>
          </w:p>
        </w:tc>
        <w:tc>
          <w:tcPr>
            <w:tcW w:w="2243" w:type="dxa"/>
            <w:shd w:val="clear" w:color="auto" w:fill="auto"/>
            <w:vAlign w:val="top"/>
          </w:tcPr>
          <w:p w14:paraId="25E3AE08">
            <w:pPr>
              <w:keepNext w:val="0"/>
              <w:keepLines w:val="0"/>
              <w:pageBreakBefore w:val="0"/>
              <w:widowControl/>
              <w:kinsoku/>
              <w:wordWrap w:val="0"/>
              <w:overflowPunct/>
              <w:topLinePunct w:val="0"/>
              <w:autoSpaceDE w:val="0"/>
              <w:autoSpaceDN w:val="0"/>
              <w:bidi w:val="0"/>
              <w:adjustRightInd w:val="0"/>
              <w:snapToGrid w:val="0"/>
              <w:spacing w:before="119" w:line="220" w:lineRule="auto"/>
              <w:ind w:left="0" w:leftChars="0" w:right="0" w:rightChars="0"/>
              <w:jc w:val="center"/>
              <w:textAlignment w:val="baseline"/>
              <w:rPr>
                <w:rFonts w:hint="eastAsia" w:ascii="黑体" w:hAnsi="黑体" w:eastAsia="黑体" w:cs="黑体"/>
                <w:snapToGrid w:val="0"/>
                <w:color w:val="000000"/>
                <w:sz w:val="21"/>
                <w:szCs w:val="21"/>
                <w:lang w:val="en-US" w:eastAsia="zh-CN" w:bidi="ar-SA"/>
              </w:rPr>
            </w:pPr>
            <w:r>
              <w:rPr>
                <w:rFonts w:hint="eastAsia" w:ascii="黑体" w:hAnsi="黑体" w:eastAsia="黑体" w:cs="黑体"/>
                <w:spacing w:val="-2"/>
                <w:sz w:val="21"/>
                <w:szCs w:val="21"/>
                <w:lang w:eastAsia="zh-CN"/>
              </w:rPr>
              <w:t>备注</w:t>
            </w:r>
          </w:p>
        </w:tc>
      </w:tr>
      <w:tr w14:paraId="26AD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4" w:type="dxa"/>
            <w:vAlign w:val="center"/>
          </w:tcPr>
          <w:p w14:paraId="503510C0">
            <w:pPr>
              <w:widowControl w:val="0"/>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w:t>
            </w:r>
          </w:p>
        </w:tc>
        <w:tc>
          <w:tcPr>
            <w:tcW w:w="1609" w:type="dxa"/>
            <w:vAlign w:val="center"/>
          </w:tcPr>
          <w:p w14:paraId="5BC8473D">
            <w:pPr>
              <w:widowControl w:val="0"/>
              <w:jc w:val="both"/>
              <w:rPr>
                <w:sz w:val="24"/>
                <w:szCs w:val="24"/>
                <w:vertAlign w:val="baseline"/>
              </w:rPr>
            </w:pPr>
            <w:r>
              <w:rPr>
                <w:rFonts w:hint="eastAsia" w:ascii="方正仿宋_GB2312" w:hAnsi="方正仿宋_GB2312" w:eastAsia="方正仿宋_GB2312" w:cs="方正仿宋_GB2312"/>
                <w:spacing w:val="-2"/>
                <w:sz w:val="21"/>
                <w:szCs w:val="21"/>
                <w:lang w:eastAsia="zh-CN"/>
              </w:rPr>
              <w:t>满足第一章《公开招标公告》投标人具备的资格要求</w:t>
            </w:r>
          </w:p>
        </w:tc>
        <w:tc>
          <w:tcPr>
            <w:tcW w:w="3996" w:type="dxa"/>
          </w:tcPr>
          <w:p w14:paraId="4169F9D6">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3.1注册于中华人民共和国境内，具有独立承担民事责任能力，持有有效的营业执照；</w:t>
            </w:r>
          </w:p>
          <w:p w14:paraId="7546686E">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3.2具有良好的商业信誉和健全的财务会计制度（1.提供本单位上年度经会计师事务所出具的审计报告或本公司出具的财务报表或提供银行出具的证明文件。银行出具的证明文件应能说明该供应商与银行之间业务往来正常，企业信誉良好等。2024年新成立企业可提供成立后任意一季度审计报告或财务报表，2025年新成立企业可提供自成立之日起财务报表。2.供应商提供企业有关财务会计制度)；</w:t>
            </w:r>
          </w:p>
          <w:p w14:paraId="7F37AFC8">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3.3具有履行合同所必需的设备和专业技术能力（提供承诺函，格式自拟）；</w:t>
            </w:r>
          </w:p>
          <w:p w14:paraId="4CE959D4">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3.4有依法缴纳税收和社会保障资金的良好记录（提供2025年以来任意一个月依法缴纳税收和社会保障资金的证明材料，依法免税或不需要缴纳社会保障资金的申请人应提供相应的证明文件）；</w:t>
            </w:r>
          </w:p>
          <w:p w14:paraId="3F0E8964">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3.5参加政府采购活动前三年内，在经营活动中没有重大违法记录。</w:t>
            </w:r>
          </w:p>
          <w:p w14:paraId="05186135">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3.6投标人需提供无行贿犯罪记录承诺函（承诺对象包括：投标人、法定代表人、委托代理人）,并对其真实性负责，若承诺不实，造成的后果由投标人自行负责（格式自拟）；</w:t>
            </w:r>
          </w:p>
          <w:p w14:paraId="2568FD1F">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3.7根据《关于在政府采购活动中查询及使用信用记录有关问题的通知》(财库(2016)125号)的规定，对列入失信被执行人、重大税收违法失信主体名单、政府采购严重违法失信行为记录名单的供应商，拒绝参与本项目政府采购活动【查询渠道:“信用中国”网站(www.creditchina.gov.cn)、中国政府采购网(www.ccgp.gov.cn)】，查询时间为发布公告之日起到投标截止时间;</w:t>
            </w:r>
          </w:p>
          <w:p w14:paraId="62EDD839">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3.8本项目不接受联合体投标，不得分包转包。</w:t>
            </w:r>
          </w:p>
          <w:p w14:paraId="0B71A97E">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3.9本项目实行资格后审，审查内容以投标截止时间前填报上传的企业诚信库信息为准，过期更改的诚信库信息不作为本项目评审依据。诚信库上传信息必全，真实有效，原件扫描件清晰可辨。否则，由此造成应得分而未得分或资格审查不合格等情况的，由供应商自行承担责任;</w:t>
            </w:r>
          </w:p>
          <w:p w14:paraId="61121483">
            <w:pPr>
              <w:widowControl w:val="0"/>
              <w:jc w:val="both"/>
              <w:rPr>
                <w:rFonts w:hint="eastAsia" w:ascii="方正仿宋_GB2312" w:hAnsi="方正仿宋_GB2312" w:eastAsia="方正仿宋_GB2312" w:cs="方正仿宋_GB2312"/>
                <w:sz w:val="20"/>
                <w:szCs w:val="22"/>
              </w:rPr>
            </w:pPr>
            <w:r>
              <w:rPr>
                <w:rFonts w:hint="eastAsia" w:ascii="方正仿宋_GB2312" w:hAnsi="方正仿宋_GB2312" w:eastAsia="方正仿宋_GB2312" w:cs="方正仿宋_GB2312"/>
                <w:sz w:val="20"/>
                <w:szCs w:val="22"/>
              </w:rPr>
              <w:t>3.10本项目中标/成交结果公示时，同时公示中标/成交人诚信库信息，接受社会监督。</w:t>
            </w:r>
          </w:p>
          <w:p w14:paraId="720E9359">
            <w:pPr>
              <w:widowControl w:val="0"/>
              <w:jc w:val="both"/>
              <w:rPr>
                <w:sz w:val="24"/>
                <w:szCs w:val="24"/>
                <w:vertAlign w:val="baseline"/>
              </w:rPr>
            </w:pPr>
          </w:p>
        </w:tc>
        <w:tc>
          <w:tcPr>
            <w:tcW w:w="2243" w:type="dxa"/>
          </w:tcPr>
          <w:p w14:paraId="44A1E6DD">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投标人为企业（包括合伙企业、个体工商户）的，应提供有效的营业执照；</w:t>
            </w:r>
          </w:p>
          <w:p w14:paraId="2379C539">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投标人为事业单位的，应提供有效的事业单位法人证书；</w:t>
            </w:r>
          </w:p>
          <w:p w14:paraId="38DFA7D9">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投标人是非企业机构的，应提供有效的执业许可证、登记证书等证明文件；</w:t>
            </w:r>
          </w:p>
          <w:p w14:paraId="7C16B78E">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投标人是自然人的，应提供有效的自然人身份证明。</w:t>
            </w:r>
          </w:p>
          <w:p w14:paraId="42FD56F7">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分支机构参加投标的，应提供该分支机构或其所属法人/其他组织的相应证明文件；同时还应提供其所属法人/其他组织出具的授权其参与本项目的授权书（格式自拟，须加盖其所属法人/其他组织的公章）；银行、保险、石油石化、电力、电信等有行业特殊情况的，取得营业执照的分支机构可以以分公司名义参与投标，招标文件中涉及的“法定代表人”在前述特殊行业中即对应为“分支机构（分公司）负责人”）。</w:t>
            </w:r>
          </w:p>
          <w:p w14:paraId="4BA1AECF">
            <w:pPr>
              <w:widowControl w:val="0"/>
              <w:jc w:val="both"/>
              <w:rPr>
                <w:sz w:val="24"/>
                <w:szCs w:val="24"/>
                <w:vertAlign w:val="baseline"/>
              </w:rPr>
            </w:pPr>
          </w:p>
        </w:tc>
      </w:tr>
      <w:tr w14:paraId="7F0C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60F955E0">
            <w:pPr>
              <w:widowControl w:val="0"/>
              <w:jc w:val="center"/>
              <w:rPr>
                <w:rFonts w:hint="eastAsia" w:ascii="方正仿宋_GB2312" w:hAnsi="方正仿宋_GB2312" w:eastAsia="方正仿宋_GB2312" w:cs="方正仿宋_GB2312"/>
                <w:sz w:val="20"/>
                <w:szCs w:val="20"/>
                <w:lang w:val="en-US" w:eastAsia="zh-CN"/>
              </w:rPr>
            </w:pPr>
            <w:r>
              <w:rPr>
                <w:rFonts w:hint="eastAsia" w:ascii="方正仿宋_GB2312" w:hAnsi="方正仿宋_GB2312" w:eastAsia="方正仿宋_GB2312" w:cs="方正仿宋_GB2312"/>
                <w:sz w:val="20"/>
                <w:szCs w:val="20"/>
                <w:lang w:val="en-US" w:eastAsia="zh-CN"/>
              </w:rPr>
              <w:t>2</w:t>
            </w:r>
          </w:p>
        </w:tc>
        <w:tc>
          <w:tcPr>
            <w:tcW w:w="1609" w:type="dxa"/>
          </w:tcPr>
          <w:p w14:paraId="2B4FB5A8">
            <w:pPr>
              <w:widowControl w:val="0"/>
              <w:jc w:val="both"/>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rPr>
              <w:t>中小企业政策</w:t>
            </w:r>
          </w:p>
        </w:tc>
        <w:tc>
          <w:tcPr>
            <w:tcW w:w="3996" w:type="dxa"/>
          </w:tcPr>
          <w:p w14:paraId="6DA8B798">
            <w:pPr>
              <w:widowControl w:val="0"/>
              <w:jc w:val="both"/>
              <w:rPr>
                <w:rFonts w:hint="eastAsia" w:ascii="方正仿宋_GB2312" w:hAnsi="方正仿宋_GB2312" w:eastAsia="方正仿宋_GB2312" w:cs="方正仿宋_GB2312"/>
                <w:sz w:val="20"/>
                <w:szCs w:val="20"/>
              </w:rPr>
            </w:pPr>
            <w:r>
              <w:rPr>
                <w:rFonts w:hint="eastAsia" w:ascii="方正仿宋_GB2312" w:hAnsi="方正仿宋_GB2312" w:eastAsia="方正仿宋_GB2312" w:cs="方正仿宋_GB2312"/>
                <w:sz w:val="20"/>
                <w:szCs w:val="20"/>
                <w:lang w:eastAsia="zh-CN"/>
              </w:rPr>
              <w:t>具体要求见第一章《公开招标公告》</w:t>
            </w:r>
          </w:p>
        </w:tc>
        <w:tc>
          <w:tcPr>
            <w:tcW w:w="2243" w:type="dxa"/>
          </w:tcPr>
          <w:p w14:paraId="0839EF3A">
            <w:pPr>
              <w:widowControl w:val="0"/>
              <w:jc w:val="both"/>
              <w:rPr>
                <w:sz w:val="20"/>
                <w:szCs w:val="20"/>
                <w:vertAlign w:val="baseline"/>
              </w:rPr>
            </w:pPr>
          </w:p>
        </w:tc>
      </w:tr>
      <w:tr w14:paraId="4A97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09660DC">
            <w:pPr>
              <w:pStyle w:val="34"/>
              <w:keepNext w:val="0"/>
              <w:keepLines w:val="0"/>
              <w:pageBreakBefore w:val="0"/>
              <w:widowControl/>
              <w:kinsoku/>
              <w:wordWrap w:val="0"/>
              <w:overflowPunct/>
              <w:topLinePunct w:val="0"/>
              <w:autoSpaceDE w:val="0"/>
              <w:autoSpaceDN w:val="0"/>
              <w:bidi w:val="0"/>
              <w:adjustRightInd w:val="0"/>
              <w:snapToGrid w:val="0"/>
              <w:spacing w:before="49" w:line="240" w:lineRule="exact"/>
              <w:ind w:left="0" w:leftChars="0" w:right="0" w:rightChars="0"/>
              <w:jc w:val="center"/>
              <w:textAlignment w:val="baseline"/>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en-US" w:bidi="ar-SA"/>
              </w:rPr>
              <w:t>2-1</w:t>
            </w:r>
          </w:p>
        </w:tc>
        <w:tc>
          <w:tcPr>
            <w:tcW w:w="1609" w:type="dxa"/>
            <w:vAlign w:val="center"/>
          </w:tcPr>
          <w:p w14:paraId="2BE58212">
            <w:pPr>
              <w:keepNext w:val="0"/>
              <w:keepLines w:val="0"/>
              <w:pageBreakBefore w:val="0"/>
              <w:widowControl/>
              <w:kinsoku/>
              <w:wordWrap w:val="0"/>
              <w:overflowPunct/>
              <w:topLinePunct w:val="0"/>
              <w:autoSpaceDE w:val="0"/>
              <w:autoSpaceDN w:val="0"/>
              <w:bidi w:val="0"/>
              <w:adjustRightInd w:val="0"/>
              <w:snapToGrid w:val="0"/>
              <w:spacing w:before="78" w:line="240" w:lineRule="exact"/>
              <w:ind w:left="0" w:leftChars="0" w:right="0" w:rightChars="0" w:firstLine="23" w:firstLineChars="0"/>
              <w:jc w:val="both"/>
              <w:textAlignment w:val="baseline"/>
              <w:rPr>
                <w:rFonts w:hint="eastAsia" w:ascii="方正仿宋_GB2312" w:hAnsi="方正仿宋_GB2312" w:eastAsia="方正仿宋_GB2312" w:cs="方正仿宋_GB2312"/>
                <w:snapToGrid w:val="0"/>
                <w:color w:val="000000"/>
                <w:sz w:val="20"/>
                <w:szCs w:val="20"/>
                <w:lang w:val="en-US" w:eastAsia="en-US" w:bidi="ar-SA"/>
              </w:rPr>
            </w:pPr>
            <w:r>
              <w:rPr>
                <w:rFonts w:hint="eastAsia" w:ascii="方正仿宋_GB2312" w:hAnsi="方正仿宋_GB2312" w:eastAsia="方正仿宋_GB2312" w:cs="方正仿宋_GB2312"/>
                <w:snapToGrid w:val="0"/>
                <w:color w:val="000000"/>
                <w:sz w:val="20"/>
                <w:szCs w:val="20"/>
                <w:lang w:val="en-US" w:eastAsia="en-US" w:bidi="ar-SA"/>
              </w:rPr>
              <w:t>中小企业证明文件</w:t>
            </w:r>
          </w:p>
        </w:tc>
        <w:tc>
          <w:tcPr>
            <w:tcW w:w="3996" w:type="dxa"/>
            <w:vAlign w:val="top"/>
          </w:tcPr>
          <w:p w14:paraId="4141E3F4">
            <w:pPr>
              <w:keepNext w:val="0"/>
              <w:keepLines w:val="0"/>
              <w:pageBreakBefore w:val="0"/>
              <w:widowControl/>
              <w:kinsoku/>
              <w:wordWrap w:val="0"/>
              <w:overflowPunct/>
              <w:topLinePunct w:val="0"/>
              <w:autoSpaceDE w:val="0"/>
              <w:autoSpaceDN w:val="0"/>
              <w:bidi w:val="0"/>
              <w:adjustRightInd w:val="0"/>
              <w:snapToGrid w:val="0"/>
              <w:spacing w:before="36" w:line="240" w:lineRule="exact"/>
              <w:ind w:left="0" w:right="0" w:firstLine="14"/>
              <w:jc w:val="both"/>
              <w:textAlignment w:val="baseline"/>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当本项目（包）涉及预留份额专门面向中小企业采购，此时须在《资格证明文件》中提供。</w:t>
            </w:r>
          </w:p>
          <w:p w14:paraId="6BCB30F1">
            <w:pPr>
              <w:pStyle w:val="34"/>
              <w:keepNext w:val="0"/>
              <w:keepLines w:val="0"/>
              <w:pageBreakBefore w:val="0"/>
              <w:widowControl/>
              <w:kinsoku/>
              <w:wordWrap w:val="0"/>
              <w:overflowPunct/>
              <w:topLinePunct w:val="0"/>
              <w:autoSpaceDE w:val="0"/>
              <w:autoSpaceDN w:val="0"/>
              <w:bidi w:val="0"/>
              <w:adjustRightInd w:val="0"/>
              <w:snapToGrid w:val="0"/>
              <w:spacing w:before="4" w:line="240" w:lineRule="exact"/>
              <w:ind w:left="0" w:right="0" w:firstLine="15"/>
              <w:jc w:val="both"/>
              <w:textAlignment w:val="baseline"/>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zh-CN" w:bidi="ar-SA"/>
              </w:rPr>
              <w:t>1、投标人单独投标的，应提供《中小企业声明函》或《残疾人福利性单位声明函》或由省级以上监狱管理局、戒毒管理局（含新疆生产建设兵团）出具的属于监狱企业的证明文件。</w:t>
            </w:r>
          </w:p>
          <w:p w14:paraId="48821DDE">
            <w:pPr>
              <w:pStyle w:val="34"/>
              <w:keepNext w:val="0"/>
              <w:keepLines w:val="0"/>
              <w:pageBreakBefore w:val="0"/>
              <w:widowControl/>
              <w:kinsoku/>
              <w:wordWrap w:val="0"/>
              <w:overflowPunct/>
              <w:topLinePunct w:val="0"/>
              <w:autoSpaceDE w:val="0"/>
              <w:autoSpaceDN w:val="0"/>
              <w:bidi w:val="0"/>
              <w:adjustRightInd w:val="0"/>
              <w:snapToGrid w:val="0"/>
              <w:spacing w:before="20" w:line="240" w:lineRule="exact"/>
              <w:ind w:left="0" w:leftChars="0" w:right="0" w:rightChars="0" w:firstLine="9" w:firstLineChars="0"/>
              <w:jc w:val="both"/>
              <w:textAlignment w:val="baseline"/>
              <w:rPr>
                <w:rFonts w:hint="eastAsia" w:ascii="方正仿宋_GB2312" w:hAnsi="方正仿宋_GB2312" w:eastAsia="方正仿宋_GB2312" w:cs="方正仿宋_GB2312"/>
                <w:snapToGrid w:val="0"/>
                <w:color w:val="000000"/>
                <w:sz w:val="20"/>
                <w:szCs w:val="20"/>
                <w:lang w:val="en-US" w:eastAsia="en-US" w:bidi="ar-SA"/>
              </w:rPr>
            </w:pPr>
            <w:r>
              <w:rPr>
                <w:rFonts w:hint="eastAsia" w:ascii="方正仿宋_GB2312" w:hAnsi="方正仿宋_GB2312" w:eastAsia="方正仿宋_GB2312" w:cs="方正仿宋_GB2312"/>
                <w:snapToGrid w:val="0"/>
                <w:color w:val="000000"/>
                <w:sz w:val="20"/>
                <w:szCs w:val="20"/>
                <w:lang w:val="en-US" w:eastAsia="zh-CN" w:bidi="ar-SA"/>
              </w:rPr>
              <w:t>2、如招标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2243" w:type="dxa"/>
            <w:vAlign w:val="top"/>
          </w:tcPr>
          <w:p w14:paraId="7BAB7A76">
            <w:pPr>
              <w:pStyle w:val="34"/>
              <w:keepNext w:val="0"/>
              <w:keepLines w:val="0"/>
              <w:pageBreakBefore w:val="0"/>
              <w:widowControl/>
              <w:kinsoku/>
              <w:wordWrap w:val="0"/>
              <w:overflowPunct/>
              <w:topLinePunct w:val="0"/>
              <w:autoSpaceDE w:val="0"/>
              <w:autoSpaceDN w:val="0"/>
              <w:bidi w:val="0"/>
              <w:adjustRightInd w:val="0"/>
              <w:snapToGrid w:val="0"/>
              <w:spacing w:line="240" w:lineRule="exact"/>
              <w:ind w:left="0" w:right="0"/>
              <w:jc w:val="both"/>
              <w:textAlignment w:val="baseline"/>
              <w:rPr>
                <w:rFonts w:hint="eastAsia" w:ascii="方正仿宋_GB2312" w:hAnsi="方正仿宋_GB2312" w:eastAsia="方正仿宋_GB2312" w:cs="方正仿宋_GB2312"/>
                <w:sz w:val="20"/>
                <w:szCs w:val="20"/>
                <w:lang w:eastAsia="zh-CN"/>
              </w:rPr>
            </w:pPr>
          </w:p>
          <w:p w14:paraId="3AE7418B">
            <w:pPr>
              <w:pStyle w:val="34"/>
              <w:keepNext w:val="0"/>
              <w:keepLines w:val="0"/>
              <w:pageBreakBefore w:val="0"/>
              <w:widowControl/>
              <w:kinsoku/>
              <w:wordWrap w:val="0"/>
              <w:overflowPunct/>
              <w:topLinePunct w:val="0"/>
              <w:autoSpaceDE w:val="0"/>
              <w:autoSpaceDN w:val="0"/>
              <w:bidi w:val="0"/>
              <w:adjustRightInd w:val="0"/>
              <w:snapToGrid w:val="0"/>
              <w:spacing w:line="240" w:lineRule="exact"/>
              <w:ind w:left="0" w:right="0"/>
              <w:jc w:val="both"/>
              <w:textAlignment w:val="baseline"/>
              <w:rPr>
                <w:rFonts w:hint="eastAsia" w:ascii="方正仿宋_GB2312" w:hAnsi="方正仿宋_GB2312" w:eastAsia="方正仿宋_GB2312" w:cs="方正仿宋_GB2312"/>
                <w:sz w:val="20"/>
                <w:szCs w:val="20"/>
                <w:lang w:eastAsia="zh-CN"/>
              </w:rPr>
            </w:pPr>
          </w:p>
          <w:p w14:paraId="26C12272">
            <w:pPr>
              <w:pStyle w:val="34"/>
              <w:keepNext w:val="0"/>
              <w:keepLines w:val="0"/>
              <w:pageBreakBefore w:val="0"/>
              <w:widowControl/>
              <w:kinsoku/>
              <w:wordWrap w:val="0"/>
              <w:overflowPunct/>
              <w:topLinePunct w:val="0"/>
              <w:autoSpaceDE w:val="0"/>
              <w:autoSpaceDN w:val="0"/>
              <w:bidi w:val="0"/>
              <w:adjustRightInd w:val="0"/>
              <w:snapToGrid w:val="0"/>
              <w:spacing w:line="240" w:lineRule="exact"/>
              <w:ind w:left="0" w:right="0"/>
              <w:jc w:val="both"/>
              <w:textAlignment w:val="baseline"/>
              <w:rPr>
                <w:rFonts w:hint="eastAsia" w:ascii="方正仿宋_GB2312" w:hAnsi="方正仿宋_GB2312" w:eastAsia="方正仿宋_GB2312" w:cs="方正仿宋_GB2312"/>
                <w:sz w:val="20"/>
                <w:szCs w:val="20"/>
                <w:lang w:eastAsia="zh-CN"/>
              </w:rPr>
            </w:pPr>
          </w:p>
          <w:p w14:paraId="584BDF0C">
            <w:pPr>
              <w:pStyle w:val="34"/>
              <w:keepNext w:val="0"/>
              <w:keepLines w:val="0"/>
              <w:pageBreakBefore w:val="0"/>
              <w:widowControl/>
              <w:kinsoku/>
              <w:wordWrap w:val="0"/>
              <w:overflowPunct/>
              <w:topLinePunct w:val="0"/>
              <w:autoSpaceDE w:val="0"/>
              <w:autoSpaceDN w:val="0"/>
              <w:bidi w:val="0"/>
              <w:adjustRightInd w:val="0"/>
              <w:snapToGrid w:val="0"/>
              <w:spacing w:line="240" w:lineRule="exact"/>
              <w:ind w:left="0" w:right="0"/>
              <w:jc w:val="both"/>
              <w:textAlignment w:val="baseline"/>
              <w:rPr>
                <w:rFonts w:hint="eastAsia" w:ascii="方正仿宋_GB2312" w:hAnsi="方正仿宋_GB2312" w:eastAsia="方正仿宋_GB2312" w:cs="方正仿宋_GB2312"/>
                <w:sz w:val="20"/>
                <w:szCs w:val="20"/>
                <w:lang w:eastAsia="zh-CN"/>
              </w:rPr>
            </w:pPr>
          </w:p>
          <w:p w14:paraId="3AC40494">
            <w:pPr>
              <w:pStyle w:val="34"/>
              <w:keepNext w:val="0"/>
              <w:keepLines w:val="0"/>
              <w:pageBreakBefore w:val="0"/>
              <w:widowControl/>
              <w:kinsoku/>
              <w:wordWrap w:val="0"/>
              <w:overflowPunct/>
              <w:topLinePunct w:val="0"/>
              <w:autoSpaceDE w:val="0"/>
              <w:autoSpaceDN w:val="0"/>
              <w:bidi w:val="0"/>
              <w:adjustRightInd w:val="0"/>
              <w:snapToGrid w:val="0"/>
              <w:spacing w:line="240" w:lineRule="exact"/>
              <w:ind w:left="0" w:right="0"/>
              <w:jc w:val="both"/>
              <w:textAlignment w:val="baseline"/>
              <w:rPr>
                <w:rFonts w:hint="eastAsia" w:ascii="方正仿宋_GB2312" w:hAnsi="方正仿宋_GB2312" w:eastAsia="方正仿宋_GB2312" w:cs="方正仿宋_GB2312"/>
                <w:sz w:val="20"/>
                <w:szCs w:val="20"/>
                <w:lang w:eastAsia="zh-CN"/>
              </w:rPr>
            </w:pPr>
          </w:p>
          <w:p w14:paraId="02E0C6FE">
            <w:pPr>
              <w:pStyle w:val="34"/>
              <w:keepNext w:val="0"/>
              <w:keepLines w:val="0"/>
              <w:pageBreakBefore w:val="0"/>
              <w:widowControl/>
              <w:kinsoku/>
              <w:wordWrap w:val="0"/>
              <w:overflowPunct/>
              <w:topLinePunct w:val="0"/>
              <w:autoSpaceDE w:val="0"/>
              <w:autoSpaceDN w:val="0"/>
              <w:bidi w:val="0"/>
              <w:adjustRightInd w:val="0"/>
              <w:snapToGrid w:val="0"/>
              <w:spacing w:line="240" w:lineRule="exact"/>
              <w:ind w:left="0" w:right="0"/>
              <w:jc w:val="both"/>
              <w:textAlignment w:val="baseline"/>
              <w:rPr>
                <w:rFonts w:hint="eastAsia" w:ascii="方正仿宋_GB2312" w:hAnsi="方正仿宋_GB2312" w:eastAsia="方正仿宋_GB2312" w:cs="方正仿宋_GB2312"/>
                <w:sz w:val="20"/>
                <w:szCs w:val="20"/>
                <w:lang w:eastAsia="zh-CN"/>
              </w:rPr>
            </w:pPr>
          </w:p>
          <w:p w14:paraId="087A9721">
            <w:pPr>
              <w:pStyle w:val="34"/>
              <w:keepNext w:val="0"/>
              <w:keepLines w:val="0"/>
              <w:pageBreakBefore w:val="0"/>
              <w:widowControl/>
              <w:kinsoku/>
              <w:wordWrap w:val="0"/>
              <w:overflowPunct/>
              <w:topLinePunct w:val="0"/>
              <w:autoSpaceDE w:val="0"/>
              <w:autoSpaceDN w:val="0"/>
              <w:bidi w:val="0"/>
              <w:adjustRightInd w:val="0"/>
              <w:snapToGrid w:val="0"/>
              <w:spacing w:line="240" w:lineRule="exact"/>
              <w:ind w:left="0" w:right="0"/>
              <w:jc w:val="both"/>
              <w:textAlignment w:val="baseline"/>
              <w:rPr>
                <w:rFonts w:hint="eastAsia" w:ascii="方正仿宋_GB2312" w:hAnsi="方正仿宋_GB2312" w:eastAsia="方正仿宋_GB2312" w:cs="方正仿宋_GB2312"/>
                <w:sz w:val="20"/>
                <w:szCs w:val="20"/>
                <w:lang w:eastAsia="zh-CN"/>
              </w:rPr>
            </w:pPr>
          </w:p>
          <w:p w14:paraId="5F3D7FC6">
            <w:pPr>
              <w:pStyle w:val="34"/>
              <w:keepNext w:val="0"/>
              <w:keepLines w:val="0"/>
              <w:pageBreakBefore w:val="0"/>
              <w:widowControl/>
              <w:kinsoku/>
              <w:wordWrap w:val="0"/>
              <w:overflowPunct/>
              <w:topLinePunct w:val="0"/>
              <w:autoSpaceDE w:val="0"/>
              <w:autoSpaceDN w:val="0"/>
              <w:bidi w:val="0"/>
              <w:adjustRightInd w:val="0"/>
              <w:snapToGrid w:val="0"/>
              <w:spacing w:line="240" w:lineRule="exact"/>
              <w:ind w:left="0" w:right="0"/>
              <w:jc w:val="both"/>
              <w:textAlignment w:val="baseline"/>
              <w:rPr>
                <w:rFonts w:hint="eastAsia" w:ascii="方正仿宋_GB2312" w:hAnsi="方正仿宋_GB2312" w:eastAsia="方正仿宋_GB2312" w:cs="方正仿宋_GB2312"/>
                <w:sz w:val="20"/>
                <w:szCs w:val="20"/>
                <w:lang w:eastAsia="zh-CN"/>
              </w:rPr>
            </w:pPr>
          </w:p>
          <w:p w14:paraId="490852F7">
            <w:pPr>
              <w:pStyle w:val="34"/>
              <w:keepNext w:val="0"/>
              <w:keepLines w:val="0"/>
              <w:pageBreakBefore w:val="0"/>
              <w:widowControl/>
              <w:kinsoku/>
              <w:wordWrap w:val="0"/>
              <w:overflowPunct/>
              <w:topLinePunct w:val="0"/>
              <w:autoSpaceDE w:val="0"/>
              <w:autoSpaceDN w:val="0"/>
              <w:bidi w:val="0"/>
              <w:adjustRightInd w:val="0"/>
              <w:snapToGrid w:val="0"/>
              <w:spacing w:line="240" w:lineRule="exact"/>
              <w:ind w:left="0" w:right="0"/>
              <w:jc w:val="both"/>
              <w:textAlignment w:val="baseline"/>
              <w:rPr>
                <w:rFonts w:hint="eastAsia" w:ascii="方正仿宋_GB2312" w:hAnsi="方正仿宋_GB2312" w:eastAsia="方正仿宋_GB2312" w:cs="方正仿宋_GB2312"/>
                <w:sz w:val="20"/>
                <w:szCs w:val="20"/>
                <w:lang w:eastAsia="zh-CN"/>
              </w:rPr>
            </w:pPr>
          </w:p>
          <w:p w14:paraId="2EE72E93">
            <w:pPr>
              <w:keepNext w:val="0"/>
              <w:keepLines w:val="0"/>
              <w:pageBreakBefore w:val="0"/>
              <w:widowControl/>
              <w:kinsoku/>
              <w:wordWrap w:val="0"/>
              <w:overflowPunct/>
              <w:topLinePunct w:val="0"/>
              <w:autoSpaceDE w:val="0"/>
              <w:autoSpaceDN w:val="0"/>
              <w:bidi w:val="0"/>
              <w:adjustRightInd w:val="0"/>
              <w:snapToGrid w:val="0"/>
              <w:spacing w:before="78" w:line="240" w:lineRule="exact"/>
              <w:ind w:left="0" w:leftChars="0" w:right="0" w:rightChars="0" w:hanging="1" w:firstLineChars="0"/>
              <w:jc w:val="both"/>
              <w:textAlignment w:val="baseline"/>
              <w:rPr>
                <w:sz w:val="20"/>
                <w:szCs w:val="20"/>
                <w:vertAlign w:val="baseline"/>
              </w:rPr>
            </w:pPr>
            <w:r>
              <w:rPr>
                <w:rFonts w:hint="eastAsia" w:ascii="方正仿宋_GB2312" w:hAnsi="方正仿宋_GB2312" w:eastAsia="方正仿宋_GB2312" w:cs="方正仿宋_GB2312"/>
                <w:spacing w:val="-6"/>
                <w:sz w:val="20"/>
                <w:szCs w:val="20"/>
                <w:lang w:eastAsia="zh-CN"/>
              </w:rPr>
              <w:t>格式见《投标</w:t>
            </w:r>
            <w:r>
              <w:rPr>
                <w:rFonts w:hint="eastAsia" w:ascii="方正仿宋_GB2312" w:hAnsi="方正仿宋_GB2312" w:eastAsia="方正仿宋_GB2312" w:cs="方正仿宋_GB2312"/>
                <w:spacing w:val="-4"/>
                <w:sz w:val="20"/>
                <w:szCs w:val="20"/>
                <w:lang w:eastAsia="zh-CN"/>
              </w:rPr>
              <w:t>文件格式》</w:t>
            </w:r>
          </w:p>
        </w:tc>
      </w:tr>
      <w:tr w14:paraId="5EC4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top"/>
          </w:tcPr>
          <w:p w14:paraId="1B700B9E">
            <w:pPr>
              <w:pStyle w:val="34"/>
              <w:keepNext w:val="0"/>
              <w:keepLines w:val="0"/>
              <w:pageBreakBefore w:val="0"/>
              <w:widowControl/>
              <w:kinsoku/>
              <w:wordWrap w:val="0"/>
              <w:overflowPunct/>
              <w:topLinePunct w:val="0"/>
              <w:autoSpaceDE w:val="0"/>
              <w:autoSpaceDN w:val="0"/>
              <w:bidi w:val="0"/>
              <w:adjustRightInd w:val="0"/>
              <w:snapToGrid w:val="0"/>
              <w:spacing w:before="213" w:line="240" w:lineRule="exact"/>
              <w:ind w:left="0" w:leftChars="0" w:right="0" w:rightChars="0"/>
              <w:jc w:val="center"/>
              <w:textAlignment w:val="baseline"/>
              <w:rPr>
                <w:rFonts w:hint="eastAsia" w:ascii="方正仿宋_GB2312" w:hAnsi="方正仿宋_GB2312" w:eastAsia="方正仿宋_GB2312" w:cs="方正仿宋_GB2312"/>
                <w:snapToGrid w:val="0"/>
                <w:color w:val="000000"/>
                <w:sz w:val="20"/>
                <w:szCs w:val="20"/>
                <w:lang w:val="en-US" w:eastAsia="zh-CN" w:bidi="ar-SA"/>
              </w:rPr>
            </w:pPr>
            <w:r>
              <w:rPr>
                <w:rFonts w:hint="eastAsia" w:ascii="方正仿宋_GB2312" w:hAnsi="方正仿宋_GB2312" w:eastAsia="方正仿宋_GB2312" w:cs="方正仿宋_GB2312"/>
                <w:snapToGrid w:val="0"/>
                <w:color w:val="000000"/>
                <w:sz w:val="20"/>
                <w:szCs w:val="20"/>
                <w:lang w:val="en-US" w:eastAsia="en-US" w:bidi="ar-SA"/>
              </w:rPr>
              <w:t>3</w:t>
            </w:r>
          </w:p>
        </w:tc>
        <w:tc>
          <w:tcPr>
            <w:tcW w:w="1609" w:type="dxa"/>
            <w:vAlign w:val="top"/>
          </w:tcPr>
          <w:p w14:paraId="6ED25731">
            <w:pPr>
              <w:keepNext w:val="0"/>
              <w:keepLines w:val="0"/>
              <w:pageBreakBefore w:val="0"/>
              <w:widowControl/>
              <w:kinsoku/>
              <w:wordWrap w:val="0"/>
              <w:overflowPunct/>
              <w:topLinePunct w:val="0"/>
              <w:autoSpaceDE w:val="0"/>
              <w:autoSpaceDN w:val="0"/>
              <w:bidi w:val="0"/>
              <w:adjustRightInd w:val="0"/>
              <w:snapToGrid w:val="0"/>
              <w:spacing w:before="35" w:line="240" w:lineRule="exact"/>
              <w:ind w:left="0" w:leftChars="0" w:right="0" w:rightChars="0"/>
              <w:jc w:val="both"/>
              <w:textAlignment w:val="baseline"/>
              <w:rPr>
                <w:rFonts w:hint="eastAsia" w:ascii="方正仿宋_GB2312" w:hAnsi="方正仿宋_GB2312" w:eastAsia="方正仿宋_GB2312" w:cs="方正仿宋_GB2312"/>
                <w:snapToGrid w:val="0"/>
                <w:color w:val="000000"/>
                <w:sz w:val="20"/>
                <w:szCs w:val="20"/>
                <w:lang w:val="en-US" w:eastAsia="en-US" w:bidi="ar-SA"/>
              </w:rPr>
            </w:pPr>
            <w:r>
              <w:rPr>
                <w:rFonts w:hint="eastAsia" w:ascii="方正仿宋_GB2312" w:hAnsi="方正仿宋_GB2312" w:eastAsia="方正仿宋_GB2312" w:cs="方正仿宋_GB2312"/>
                <w:snapToGrid w:val="0"/>
                <w:color w:val="000000"/>
                <w:sz w:val="20"/>
                <w:szCs w:val="20"/>
                <w:lang w:val="en-US" w:eastAsia="zh-CN" w:bidi="ar-SA"/>
              </w:rPr>
              <w:t>本项目的其他资格要求</w:t>
            </w:r>
          </w:p>
        </w:tc>
        <w:tc>
          <w:tcPr>
            <w:tcW w:w="3996" w:type="dxa"/>
            <w:vAlign w:val="top"/>
          </w:tcPr>
          <w:p w14:paraId="0FA2CC4A">
            <w:pPr>
              <w:keepNext w:val="0"/>
              <w:keepLines w:val="0"/>
              <w:pageBreakBefore w:val="0"/>
              <w:widowControl/>
              <w:kinsoku/>
              <w:wordWrap w:val="0"/>
              <w:overflowPunct/>
              <w:topLinePunct w:val="0"/>
              <w:autoSpaceDE w:val="0"/>
              <w:autoSpaceDN w:val="0"/>
              <w:bidi w:val="0"/>
              <w:adjustRightInd w:val="0"/>
              <w:snapToGrid w:val="0"/>
              <w:spacing w:before="192" w:line="240" w:lineRule="exact"/>
              <w:ind w:left="0" w:leftChars="0" w:right="0" w:rightChars="0"/>
              <w:jc w:val="both"/>
              <w:textAlignment w:val="baseline"/>
              <w:rPr>
                <w:rFonts w:hint="eastAsia" w:ascii="方正仿宋_GB2312" w:hAnsi="方正仿宋_GB2312" w:eastAsia="方正仿宋_GB2312" w:cs="方正仿宋_GB2312"/>
                <w:snapToGrid w:val="0"/>
                <w:color w:val="000000"/>
                <w:sz w:val="20"/>
                <w:szCs w:val="20"/>
                <w:lang w:val="en-US" w:eastAsia="en-US" w:bidi="ar-SA"/>
              </w:rPr>
            </w:pPr>
            <w:r>
              <w:rPr>
                <w:rFonts w:hint="eastAsia" w:ascii="方正仿宋_GB2312" w:hAnsi="方正仿宋_GB2312" w:eastAsia="方正仿宋_GB2312" w:cs="方正仿宋_GB2312"/>
                <w:snapToGrid w:val="0"/>
                <w:color w:val="000000"/>
                <w:sz w:val="20"/>
                <w:szCs w:val="20"/>
                <w:lang w:val="en-US" w:eastAsia="zh-CN" w:bidi="ar-SA"/>
              </w:rPr>
              <w:t>如有，见第一章《公开招标公告》</w:t>
            </w:r>
          </w:p>
        </w:tc>
        <w:tc>
          <w:tcPr>
            <w:tcW w:w="2243" w:type="dxa"/>
          </w:tcPr>
          <w:p w14:paraId="73BA01AE">
            <w:pPr>
              <w:widowControl w:val="0"/>
              <w:jc w:val="both"/>
              <w:rPr>
                <w:sz w:val="20"/>
                <w:szCs w:val="20"/>
                <w:vertAlign w:val="baseline"/>
              </w:rPr>
            </w:pPr>
          </w:p>
        </w:tc>
      </w:tr>
    </w:tbl>
    <w:p w14:paraId="5469A50F">
      <w:pPr>
        <w:kinsoku/>
        <w:wordWrap w:val="0"/>
        <w:spacing w:line="146" w:lineRule="exact"/>
        <w:jc w:val="both"/>
        <w:rPr>
          <w:rFonts w:asciiTheme="minorEastAsia" w:hAnsiTheme="minorEastAsia" w:eastAsiaTheme="minorEastAsia" w:cstheme="minorEastAsia"/>
        </w:rPr>
      </w:pPr>
    </w:p>
    <w:p w14:paraId="2A014EB5">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46904A8">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三、评标委员会</w:t>
      </w:r>
    </w:p>
    <w:p w14:paraId="08E6775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w:t>
      </w:r>
    </w:p>
    <w:p w14:paraId="15780C1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0CAC92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751D0D3A">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4.评标委员会应当在评审报告上签字，对自己评审意见承担法律责任。</w:t>
      </w:r>
    </w:p>
    <w:p w14:paraId="4B74FB9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3A62ACAA">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DE3007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1C49AD6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（1）评标委员会组成不符合本办法规定的;</w:t>
      </w:r>
    </w:p>
    <w:p w14:paraId="46A0115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（2）政府采购货物和服务招标投标管理办法（87号令）第六十二条第一至五项情形的;</w:t>
      </w:r>
    </w:p>
    <w:p w14:paraId="5F0636C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（3）评标委员会及其成员独立评标受到非法干预的;</w:t>
      </w:r>
    </w:p>
    <w:p w14:paraId="2DA8AB9A">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（4）有政府采购法实施条例第七十五条规定的违法行为的。</w:t>
      </w:r>
    </w:p>
    <w:p w14:paraId="4B5391A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有违法违规行为的原评标委员会成员不得参加重新组建的评标委员会。</w:t>
      </w:r>
    </w:p>
    <w:p w14:paraId="14695C56">
      <w:pPr>
        <w:kinsoku/>
        <w:wordWrap w:val="0"/>
        <w:spacing w:line="360" w:lineRule="auto"/>
        <w:ind w:firstLine="492"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8.评审活动结束，按照《河南省政府采购评审专家劳务报酬支付标准》的通知(豫财购〔2017〕9号)的规定，发放劳务报酬。</w:t>
      </w:r>
    </w:p>
    <w:p w14:paraId="6FDDFD2B">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四、投标文件的审查</w:t>
      </w:r>
    </w:p>
    <w:p w14:paraId="3BB7BDED">
      <w:pPr>
        <w:pStyle w:val="3"/>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1.投标文件的符合性审查</w:t>
      </w:r>
    </w:p>
    <w:p w14:paraId="72D0DDAB">
      <w:pPr>
        <w:pStyle w:val="3"/>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position w:val="17"/>
          <w:sz w:val="24"/>
          <w:szCs w:val="24"/>
          <w:lang w:eastAsia="zh-CN"/>
        </w:rPr>
        <w:t>1.1评标委员会对资格审查合格的投标人的投标文件进行符合性审查，以确定其</w:t>
      </w:r>
    </w:p>
    <w:p w14:paraId="47E806CC">
      <w:pPr>
        <w:pStyle w:val="3"/>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是否满足招标文件的实质性要求。</w:t>
      </w:r>
    </w:p>
    <w:p w14:paraId="02422E6E">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6367724">
      <w:pPr>
        <w:pStyle w:val="3"/>
        <w:kinsoku/>
        <w:wordWrap w:val="0"/>
        <w:spacing w:before="178" w:line="220" w:lineRule="auto"/>
        <w:ind w:left="36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符合性审查要求</w:t>
      </w:r>
    </w:p>
    <w:p w14:paraId="154C1D67">
      <w:pPr>
        <w:kinsoku/>
        <w:wordWrap w:val="0"/>
        <w:spacing w:line="145" w:lineRule="exact"/>
        <w:jc w:val="both"/>
        <w:rPr>
          <w:rFonts w:asciiTheme="minorEastAsia" w:hAnsiTheme="minorEastAsia" w:eastAsiaTheme="minorEastAsia" w:cstheme="minorEastAsia"/>
        </w:rPr>
      </w:pPr>
    </w:p>
    <w:tbl>
      <w:tblPr>
        <w:tblStyle w:val="33"/>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40104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46E620D0">
            <w:pPr>
              <w:kinsoku/>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812" w:type="dxa"/>
          </w:tcPr>
          <w:p w14:paraId="6B535760">
            <w:pPr>
              <w:kinsoku/>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5791" w:type="dxa"/>
          </w:tcPr>
          <w:p w14:paraId="012EA109">
            <w:pPr>
              <w:kinsoku/>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r>
      <w:tr w14:paraId="505C2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1F070DD">
            <w:pPr>
              <w:pStyle w:val="34"/>
              <w:kinsoku/>
              <w:wordWrap w:val="0"/>
              <w:spacing w:before="245" w:line="199" w:lineRule="auto"/>
              <w:ind w:left="32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tcPr>
          <w:p w14:paraId="5DE33B2B">
            <w:pPr>
              <w:kinsoku/>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tcPr>
          <w:p w14:paraId="63B26B87">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按招标文件要求提供授权委托书。</w:t>
            </w:r>
          </w:p>
        </w:tc>
      </w:tr>
      <w:tr w14:paraId="5E295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6E6C1977">
            <w:pPr>
              <w:pStyle w:val="34"/>
              <w:kinsoku/>
              <w:wordWrap w:val="0"/>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E77D075">
            <w:pPr>
              <w:kinsoku/>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19BB4860">
            <w:pPr>
              <w:kinsoku/>
              <w:wordWrap w:val="0"/>
              <w:spacing w:before="222" w:line="184" w:lineRule="auto"/>
              <w:ind w:left="116"/>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未将一个采购包中的内容拆分投标；</w:t>
            </w:r>
          </w:p>
          <w:p w14:paraId="7FA2043C">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06E6C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F8F9F1F">
            <w:pPr>
              <w:pStyle w:val="34"/>
              <w:kinsoku/>
              <w:wordWrap w:val="0"/>
              <w:spacing w:before="245" w:line="201"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tcPr>
          <w:p w14:paraId="0EE6FE39">
            <w:pPr>
              <w:kinsoku/>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tcPr>
          <w:p w14:paraId="383B3806">
            <w:pPr>
              <w:pStyle w:val="34"/>
              <w:kinsoku/>
              <w:wordWrap w:val="0"/>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投标报价未超过招标文件中规定的项目/采购包预算金额或者</w:t>
            </w:r>
            <w:r>
              <w:rPr>
                <w:rFonts w:hint="eastAsia" w:asciiTheme="minorEastAsia" w:hAnsiTheme="minorEastAsia" w:eastAsiaTheme="minorEastAsia" w:cstheme="minorEastAsia"/>
                <w:spacing w:val="-5"/>
                <w:sz w:val="24"/>
                <w:szCs w:val="24"/>
                <w:lang w:eastAsia="zh-CN"/>
              </w:rPr>
              <w:t>项目/采购包最高限价。</w:t>
            </w:r>
          </w:p>
        </w:tc>
      </w:tr>
      <w:tr w14:paraId="2A87D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0596DAE4">
            <w:pPr>
              <w:pStyle w:val="34"/>
              <w:kinsoku/>
              <w:wordWrap w:val="0"/>
              <w:spacing w:before="247" w:line="199" w:lineRule="auto"/>
              <w:ind w:left="3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tcPr>
          <w:p w14:paraId="1144B8A4">
            <w:pPr>
              <w:kinsoku/>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tcPr>
          <w:p w14:paraId="7D22FD65">
            <w:pPr>
              <w:kinsoku/>
              <w:wordWrap w:val="0"/>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投标文件未出现可选择性或可调整的报价（招标文件另有规定</w:t>
            </w:r>
            <w:r>
              <w:rPr>
                <w:rFonts w:hint="eastAsia" w:asciiTheme="minorEastAsia" w:hAnsiTheme="minorEastAsia" w:eastAsiaTheme="minorEastAsia" w:cstheme="minorEastAsia"/>
                <w:spacing w:val="-17"/>
                <w:sz w:val="24"/>
                <w:szCs w:val="24"/>
                <w:lang w:eastAsia="zh-CN"/>
              </w:rPr>
              <w:t>的除外</w:t>
            </w:r>
            <w:r>
              <w:rPr>
                <w:rFonts w:hint="eastAsia" w:asciiTheme="minorEastAsia" w:hAnsiTheme="minorEastAsia" w:eastAsiaTheme="minorEastAsia" w:cstheme="minorEastAsia"/>
                <w:spacing w:val="-9"/>
                <w:sz w:val="24"/>
                <w:szCs w:val="24"/>
                <w:lang w:eastAsia="zh-CN"/>
              </w:rPr>
              <w:t>）。</w:t>
            </w:r>
          </w:p>
        </w:tc>
      </w:tr>
      <w:tr w14:paraId="7FCFB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64254E2">
            <w:pPr>
              <w:pStyle w:val="34"/>
              <w:kinsoku/>
              <w:wordWrap w:val="0"/>
              <w:spacing w:before="248" w:line="199"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tcPr>
          <w:p w14:paraId="729077EB">
            <w:pPr>
              <w:kinsoku/>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tcPr>
          <w:p w14:paraId="47496717">
            <w:pPr>
              <w:kinsoku/>
              <w:wordWrap w:val="0"/>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投标文件中承诺的投标有效期满足招标文件中载明的投标有效</w:t>
            </w:r>
            <w:r>
              <w:rPr>
                <w:rFonts w:hint="eastAsia" w:asciiTheme="minorEastAsia" w:hAnsiTheme="minorEastAsia" w:eastAsiaTheme="minorEastAsia" w:cstheme="minorEastAsia"/>
                <w:spacing w:val="-15"/>
                <w:sz w:val="24"/>
                <w:szCs w:val="24"/>
                <w:lang w:eastAsia="zh-CN"/>
              </w:rPr>
              <w:t>期的。</w:t>
            </w:r>
          </w:p>
        </w:tc>
      </w:tr>
      <w:tr w14:paraId="03140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A7A2F26">
            <w:pPr>
              <w:pStyle w:val="34"/>
              <w:kinsoku/>
              <w:wordWrap w:val="0"/>
              <w:spacing w:before="244" w:line="202" w:lineRule="auto"/>
              <w:ind w:left="3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tcPr>
          <w:p w14:paraId="3B177E4F">
            <w:pPr>
              <w:kinsoku/>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tcPr>
          <w:p w14:paraId="527235C2">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标记为</w:t>
            </w:r>
            <w:r>
              <w:rPr>
                <w:rFonts w:hint="eastAsia" w:asciiTheme="minorEastAsia" w:hAnsiTheme="minorEastAsia" w:eastAsiaTheme="minorEastAsia" w:cstheme="minorEastAsia"/>
                <w:spacing w:val="-1"/>
                <w:sz w:val="24"/>
                <w:szCs w:val="24"/>
                <w:lang w:eastAsia="zh-CN"/>
              </w:rPr>
              <w:t>实质性格式的文件均按招标文件要求提供且签署、盖</w:t>
            </w:r>
            <w:r>
              <w:rPr>
                <w:rFonts w:hint="eastAsia" w:asciiTheme="minorEastAsia" w:hAnsiTheme="minorEastAsia" w:eastAsiaTheme="minorEastAsia" w:cstheme="minorEastAsia"/>
                <w:spacing w:val="-17"/>
                <w:sz w:val="24"/>
                <w:szCs w:val="24"/>
                <w:lang w:eastAsia="zh-CN"/>
              </w:rPr>
              <w:t>章的。</w:t>
            </w:r>
          </w:p>
        </w:tc>
      </w:tr>
      <w:tr w14:paraId="3236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0DBA34A">
            <w:pPr>
              <w:pStyle w:val="34"/>
              <w:kinsoku/>
              <w:wordWrap w:val="0"/>
              <w:spacing w:before="247"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7</w:t>
            </w:r>
          </w:p>
        </w:tc>
        <w:tc>
          <w:tcPr>
            <w:tcW w:w="1812" w:type="dxa"/>
          </w:tcPr>
          <w:p w14:paraId="2EEF8FFA">
            <w:pPr>
              <w:kinsoku/>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tcPr>
          <w:p w14:paraId="74A09D12">
            <w:pPr>
              <w:kinsoku/>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不涉及报价修正，或投标文件报价出现前后不一致时，投标人</w:t>
            </w:r>
            <w:r>
              <w:rPr>
                <w:rFonts w:hint="eastAsia" w:asciiTheme="minorEastAsia" w:hAnsiTheme="minorEastAsia" w:eastAsiaTheme="minorEastAsia" w:cstheme="minorEastAsia"/>
                <w:spacing w:val="-2"/>
                <w:sz w:val="24"/>
                <w:szCs w:val="24"/>
                <w:lang w:eastAsia="zh-CN"/>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28360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283DC763">
            <w:pPr>
              <w:pStyle w:val="34"/>
              <w:kinsoku/>
              <w:wordWrap w:val="0"/>
              <w:spacing w:line="304" w:lineRule="auto"/>
              <w:jc w:val="center"/>
              <w:rPr>
                <w:rFonts w:asciiTheme="minorEastAsia" w:hAnsiTheme="minorEastAsia" w:eastAsiaTheme="minorEastAsia" w:cstheme="minorEastAsia"/>
                <w:sz w:val="21"/>
                <w:szCs w:val="21"/>
              </w:rPr>
            </w:pPr>
          </w:p>
          <w:p w14:paraId="3B86FF1D">
            <w:pPr>
              <w:pStyle w:val="34"/>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8</w:t>
            </w:r>
          </w:p>
        </w:tc>
        <w:tc>
          <w:tcPr>
            <w:tcW w:w="1812" w:type="dxa"/>
          </w:tcPr>
          <w:p w14:paraId="0B7958DE">
            <w:pPr>
              <w:pStyle w:val="34"/>
              <w:kinsoku/>
              <w:wordWrap w:val="0"/>
              <w:spacing w:line="271" w:lineRule="auto"/>
              <w:jc w:val="both"/>
              <w:rPr>
                <w:rFonts w:asciiTheme="minorEastAsia" w:hAnsiTheme="minorEastAsia" w:eastAsiaTheme="minorEastAsia" w:cstheme="minorEastAsia"/>
                <w:sz w:val="21"/>
                <w:szCs w:val="21"/>
              </w:rPr>
            </w:pPr>
          </w:p>
          <w:p w14:paraId="28E05998">
            <w:pPr>
              <w:kinsoku/>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tcPr>
          <w:p w14:paraId="4DBE3A67">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lang w:eastAsia="zh-CN"/>
              </w:rPr>
              <w:t>评标委员会要求在规定时间内证明其报价合理性的。</w:t>
            </w:r>
          </w:p>
        </w:tc>
      </w:tr>
      <w:tr w14:paraId="6D4ED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281277C8">
            <w:pPr>
              <w:pStyle w:val="34"/>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9</w:t>
            </w:r>
          </w:p>
        </w:tc>
        <w:tc>
          <w:tcPr>
            <w:tcW w:w="1812" w:type="dxa"/>
          </w:tcPr>
          <w:p w14:paraId="021E415D">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☑交货时间</w:t>
            </w:r>
          </w:p>
          <w:p w14:paraId="29276657">
            <w:pPr>
              <w:kinsoku/>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□服务期限</w:t>
            </w:r>
          </w:p>
        </w:tc>
        <w:tc>
          <w:tcPr>
            <w:tcW w:w="5791" w:type="dxa"/>
            <w:vAlign w:val="center"/>
          </w:tcPr>
          <w:p w14:paraId="3576613A">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CE7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0ACF64F">
            <w:pPr>
              <w:pStyle w:val="34"/>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10</w:t>
            </w:r>
          </w:p>
        </w:tc>
        <w:tc>
          <w:tcPr>
            <w:tcW w:w="1812" w:type="dxa"/>
            <w:vAlign w:val="center"/>
          </w:tcPr>
          <w:p w14:paraId="432B3A17">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质保期</w:t>
            </w:r>
          </w:p>
          <w:p w14:paraId="79515E51">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服务质量</w:t>
            </w:r>
          </w:p>
        </w:tc>
        <w:tc>
          <w:tcPr>
            <w:tcW w:w="5791" w:type="dxa"/>
            <w:vAlign w:val="center"/>
          </w:tcPr>
          <w:p w14:paraId="31A42935">
            <w:pPr>
              <w:kinsoku/>
              <w:wordWrap w:val="0"/>
              <w:spacing w:before="41" w:line="228" w:lineRule="auto"/>
              <w:ind w:left="113" w:right="136"/>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1FC31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4CCB08A5">
            <w:pPr>
              <w:pStyle w:val="34"/>
              <w:kinsoku/>
              <w:wordWrap w:val="0"/>
              <w:spacing w:line="301" w:lineRule="auto"/>
              <w:jc w:val="center"/>
              <w:rPr>
                <w:rFonts w:asciiTheme="minorEastAsia" w:hAnsiTheme="minorEastAsia" w:eastAsiaTheme="minorEastAsia" w:cstheme="minorEastAsia"/>
                <w:sz w:val="21"/>
                <w:szCs w:val="21"/>
              </w:rPr>
            </w:pPr>
          </w:p>
          <w:p w14:paraId="192F0FF7">
            <w:pPr>
              <w:pStyle w:val="34"/>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11</w:t>
            </w:r>
          </w:p>
        </w:tc>
        <w:tc>
          <w:tcPr>
            <w:tcW w:w="1812" w:type="dxa"/>
          </w:tcPr>
          <w:p w14:paraId="453B97F4">
            <w:pPr>
              <w:pStyle w:val="34"/>
              <w:kinsoku/>
              <w:wordWrap w:val="0"/>
              <w:spacing w:line="269" w:lineRule="auto"/>
              <w:jc w:val="both"/>
              <w:rPr>
                <w:rFonts w:asciiTheme="minorEastAsia" w:hAnsiTheme="minorEastAsia" w:eastAsiaTheme="minorEastAsia" w:cstheme="minorEastAsia"/>
                <w:sz w:val="21"/>
                <w:szCs w:val="21"/>
              </w:rPr>
            </w:pPr>
          </w:p>
          <w:p w14:paraId="6A5ED5CE">
            <w:pPr>
              <w:kinsoku/>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tcPr>
          <w:p w14:paraId="400FB817">
            <w:pPr>
              <w:kinsoku/>
              <w:wordWrap w:val="0"/>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lang w:eastAsia="zh-CN"/>
              </w:rPr>
              <w:t>情形的。</w:t>
            </w:r>
          </w:p>
        </w:tc>
      </w:tr>
      <w:tr w14:paraId="5768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685" w:type="dxa"/>
          </w:tcPr>
          <w:p w14:paraId="785C1F2C">
            <w:pPr>
              <w:pStyle w:val="34"/>
              <w:kinsoku/>
              <w:wordWrap w:val="0"/>
              <w:spacing w:line="307" w:lineRule="auto"/>
              <w:jc w:val="center"/>
              <w:rPr>
                <w:rFonts w:asciiTheme="minorEastAsia" w:hAnsiTheme="minorEastAsia" w:eastAsiaTheme="minorEastAsia" w:cstheme="minorEastAsia"/>
                <w:sz w:val="21"/>
                <w:szCs w:val="21"/>
                <w:lang w:eastAsia="zh-CN"/>
              </w:rPr>
            </w:pPr>
          </w:p>
          <w:p w14:paraId="0B09F733">
            <w:pPr>
              <w:pStyle w:val="34"/>
              <w:kinsoku/>
              <w:wordWrap w:val="0"/>
              <w:spacing w:line="307" w:lineRule="auto"/>
              <w:jc w:val="center"/>
              <w:rPr>
                <w:rFonts w:asciiTheme="minorEastAsia" w:hAnsiTheme="minorEastAsia" w:eastAsiaTheme="minorEastAsia" w:cstheme="minorEastAsia"/>
                <w:sz w:val="21"/>
                <w:szCs w:val="21"/>
                <w:lang w:eastAsia="zh-CN"/>
              </w:rPr>
            </w:pPr>
          </w:p>
          <w:p w14:paraId="5512E44E">
            <w:pPr>
              <w:pStyle w:val="34"/>
              <w:kinsoku/>
              <w:wordWrap w:val="0"/>
              <w:spacing w:line="307" w:lineRule="auto"/>
              <w:jc w:val="center"/>
              <w:rPr>
                <w:rFonts w:asciiTheme="minorEastAsia" w:hAnsiTheme="minorEastAsia" w:eastAsiaTheme="minorEastAsia" w:cstheme="minorEastAsia"/>
                <w:sz w:val="21"/>
                <w:szCs w:val="21"/>
                <w:lang w:eastAsia="zh-CN"/>
              </w:rPr>
            </w:pPr>
          </w:p>
          <w:p w14:paraId="6ADFFC11">
            <w:pPr>
              <w:pStyle w:val="34"/>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12</w:t>
            </w:r>
          </w:p>
        </w:tc>
        <w:tc>
          <w:tcPr>
            <w:tcW w:w="1812" w:type="dxa"/>
          </w:tcPr>
          <w:p w14:paraId="28C20856">
            <w:pPr>
              <w:pStyle w:val="34"/>
              <w:kinsoku/>
              <w:wordWrap w:val="0"/>
              <w:spacing w:line="296" w:lineRule="auto"/>
              <w:jc w:val="both"/>
              <w:rPr>
                <w:rFonts w:asciiTheme="minorEastAsia" w:hAnsiTheme="minorEastAsia" w:eastAsiaTheme="minorEastAsia" w:cstheme="minorEastAsia"/>
                <w:sz w:val="21"/>
                <w:szCs w:val="21"/>
              </w:rPr>
            </w:pPr>
          </w:p>
          <w:p w14:paraId="2721AB2C">
            <w:pPr>
              <w:pStyle w:val="34"/>
              <w:kinsoku/>
              <w:wordWrap w:val="0"/>
              <w:spacing w:line="296" w:lineRule="auto"/>
              <w:jc w:val="both"/>
              <w:rPr>
                <w:rFonts w:asciiTheme="minorEastAsia" w:hAnsiTheme="minorEastAsia" w:eastAsiaTheme="minorEastAsia" w:cstheme="minorEastAsia"/>
                <w:sz w:val="21"/>
                <w:szCs w:val="21"/>
              </w:rPr>
            </w:pPr>
          </w:p>
          <w:p w14:paraId="3C696535">
            <w:pPr>
              <w:pStyle w:val="34"/>
              <w:kinsoku/>
              <w:wordWrap w:val="0"/>
              <w:spacing w:line="297" w:lineRule="auto"/>
              <w:jc w:val="both"/>
              <w:rPr>
                <w:rFonts w:asciiTheme="minorEastAsia" w:hAnsiTheme="minorEastAsia" w:eastAsiaTheme="minorEastAsia" w:cstheme="minorEastAsia"/>
                <w:sz w:val="21"/>
                <w:szCs w:val="21"/>
              </w:rPr>
            </w:pPr>
          </w:p>
          <w:p w14:paraId="33267034">
            <w:pPr>
              <w:kinsoku/>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tcPr>
          <w:p w14:paraId="6D7A4AA3">
            <w:pPr>
              <w:kinsoku/>
              <w:wordWrap w:val="0"/>
              <w:spacing w:before="42" w:line="234" w:lineRule="auto"/>
              <w:ind w:left="113" w:right="2" w:firstLine="5"/>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
                <w:sz w:val="24"/>
                <w:szCs w:val="24"/>
                <w:lang w:eastAsia="zh-CN"/>
              </w:rPr>
              <w:t>不存在《政府采购货物和服务招标投标管理办法》视为投标人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7"/>
                <w:sz w:val="24"/>
                <w:szCs w:val="24"/>
                <w:lang w:eastAsia="zh-CN"/>
              </w:rPr>
              <w:t>一）不同投标人的投标文件由同一单位或者</w:t>
            </w:r>
            <w:r>
              <w:rPr>
                <w:rFonts w:hint="eastAsia" w:asciiTheme="minorEastAsia" w:hAnsiTheme="minorEastAsia" w:eastAsiaTheme="minorEastAsia" w:cstheme="minorEastAsia"/>
                <w:spacing w:val="-8"/>
                <w:sz w:val="24"/>
                <w:szCs w:val="24"/>
                <w:lang w:eastAsia="zh-CN"/>
              </w:rPr>
              <w:t>个人编制</w:t>
            </w:r>
            <w:r>
              <w:rPr>
                <w:rFonts w:hint="eastAsia" w:asciiTheme="minorEastAsia" w:hAnsiTheme="minorEastAsia" w:eastAsiaTheme="minorEastAsia" w:cstheme="minorEastAsia"/>
                <w:spacing w:val="-31"/>
                <w:sz w:val="24"/>
                <w:szCs w:val="24"/>
                <w:lang w:eastAsia="zh-CN"/>
              </w:rPr>
              <w:t>；（</w:t>
            </w:r>
            <w:r>
              <w:rPr>
                <w:rFonts w:hint="eastAsia" w:asciiTheme="minorEastAsia" w:hAnsiTheme="minorEastAsia" w:eastAsiaTheme="minorEastAsia" w:cstheme="minorEastAsia"/>
                <w:spacing w:val="-8"/>
                <w:sz w:val="24"/>
                <w:szCs w:val="24"/>
                <w:lang w:eastAsia="zh-CN"/>
              </w:rPr>
              <w:t>二）不同投标人委托同一单位或者个人办</w:t>
            </w:r>
            <w:r>
              <w:rPr>
                <w:rFonts w:hint="eastAsia" w:asciiTheme="minorEastAsia" w:hAnsiTheme="minorEastAsia" w:eastAsiaTheme="minorEastAsia" w:cstheme="minorEastAsia"/>
                <w:spacing w:val="-9"/>
                <w:sz w:val="24"/>
                <w:szCs w:val="24"/>
                <w:lang w:eastAsia="zh-CN"/>
              </w:rPr>
              <w:t>理投标事</w:t>
            </w:r>
            <w:r>
              <w:rPr>
                <w:rFonts w:hint="eastAsia" w:asciiTheme="minorEastAsia" w:hAnsiTheme="minorEastAsia" w:eastAsiaTheme="minorEastAsia" w:cstheme="minorEastAsia"/>
                <w:spacing w:val="-6"/>
                <w:sz w:val="24"/>
                <w:szCs w:val="24"/>
                <w:lang w:eastAsia="zh-CN"/>
              </w:rPr>
              <w:t>宜</w:t>
            </w:r>
            <w:r>
              <w:rPr>
                <w:rFonts w:hint="eastAsia" w:asciiTheme="minorEastAsia" w:hAnsiTheme="minorEastAsia" w:eastAsiaTheme="minorEastAsia" w:cstheme="minorEastAsia"/>
                <w:spacing w:val="-59"/>
                <w:sz w:val="24"/>
                <w:szCs w:val="24"/>
                <w:lang w:eastAsia="zh-CN"/>
              </w:rPr>
              <w:t>；（</w:t>
            </w:r>
            <w:r>
              <w:rPr>
                <w:rFonts w:hint="eastAsia" w:asciiTheme="minorEastAsia" w:hAnsiTheme="minorEastAsia" w:eastAsiaTheme="minorEastAsia" w:cstheme="minorEastAsia"/>
                <w:spacing w:val="-6"/>
                <w:sz w:val="24"/>
                <w:szCs w:val="24"/>
                <w:lang w:eastAsia="zh-CN"/>
              </w:rPr>
              <w:t>三）不同投标人的投标文件载明的项目管理成员或者联系人员为同一人</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lang w:eastAsia="zh-CN"/>
              </w:rPr>
              <w:t>四）不同投标人的投标文件异常一</w:t>
            </w:r>
            <w:r>
              <w:rPr>
                <w:rFonts w:hint="eastAsia" w:asciiTheme="minorEastAsia" w:hAnsiTheme="minorEastAsia" w:eastAsiaTheme="minorEastAsia" w:cstheme="minorEastAsia"/>
                <w:spacing w:val="-7"/>
                <w:sz w:val="24"/>
                <w:szCs w:val="24"/>
                <w:lang w:eastAsia="zh-CN"/>
              </w:rPr>
              <w:t>致或者投标</w:t>
            </w:r>
            <w:r>
              <w:rPr>
                <w:rFonts w:hint="eastAsia" w:asciiTheme="minorEastAsia" w:hAnsiTheme="minorEastAsia" w:eastAsiaTheme="minorEastAsia" w:cstheme="minorEastAsia"/>
                <w:spacing w:val="-18"/>
                <w:sz w:val="24"/>
                <w:szCs w:val="24"/>
                <w:lang w:eastAsia="zh-CN"/>
              </w:rPr>
              <w:t>报价呈规律性差异</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五）不同投标人的投标文件相互混装</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六）</w:t>
            </w:r>
            <w:r>
              <w:rPr>
                <w:rFonts w:hint="eastAsia" w:asciiTheme="minorEastAsia" w:hAnsiTheme="minorEastAsia" w:eastAsiaTheme="minorEastAsia" w:cstheme="minorEastAsia"/>
                <w:spacing w:val="-1"/>
                <w:sz w:val="24"/>
                <w:szCs w:val="24"/>
                <w:lang w:eastAsia="zh-CN"/>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p>
          <w:p w14:paraId="7E6FEC0C">
            <w:pPr>
              <w:kinsoku/>
              <w:wordWrap w:val="0"/>
              <w:spacing w:line="234" w:lineRule="auto"/>
              <w:ind w:firstLine="5"/>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5CD0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AE47BBF">
            <w:pPr>
              <w:pStyle w:val="34"/>
              <w:kinsoku/>
              <w:wordWrap w:val="0"/>
              <w:spacing w:before="248"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3</w:t>
            </w:r>
          </w:p>
        </w:tc>
        <w:tc>
          <w:tcPr>
            <w:tcW w:w="1812" w:type="dxa"/>
          </w:tcPr>
          <w:p w14:paraId="1A3F8DC0">
            <w:pPr>
              <w:kinsoku/>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tcPr>
          <w:p w14:paraId="511C021E">
            <w:pPr>
              <w:kinsoku/>
              <w:wordWrap w:val="0"/>
              <w:spacing w:before="228" w:line="219" w:lineRule="auto"/>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投标文件未含有采购人不能接受的附加条件</w:t>
            </w:r>
            <w:r>
              <w:rPr>
                <w:rFonts w:hint="eastAsia" w:asciiTheme="minorEastAsia" w:hAnsiTheme="minorEastAsia" w:eastAsiaTheme="minorEastAsia" w:cstheme="minorEastAsia"/>
                <w:spacing w:val="-4"/>
                <w:sz w:val="24"/>
                <w:szCs w:val="24"/>
                <w:lang w:eastAsia="zh-CN"/>
              </w:rPr>
              <w:t>的。</w:t>
            </w:r>
          </w:p>
        </w:tc>
      </w:tr>
      <w:tr w14:paraId="69578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08D3886A">
            <w:pPr>
              <w:pStyle w:val="34"/>
              <w:kinsoku/>
              <w:wordWrap w:val="0"/>
              <w:spacing w:before="252"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4</w:t>
            </w:r>
          </w:p>
        </w:tc>
        <w:tc>
          <w:tcPr>
            <w:tcW w:w="1812" w:type="dxa"/>
          </w:tcPr>
          <w:p w14:paraId="5B7AC85F">
            <w:pPr>
              <w:kinsoku/>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tcPr>
          <w:p w14:paraId="7A20AFFE">
            <w:pPr>
              <w:kinsoku/>
              <w:wordWrap w:val="0"/>
              <w:spacing w:before="74" w:line="229" w:lineRule="auto"/>
              <w:ind w:left="115" w:right="136" w:firstLine="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投标人、投标文件不存在不符合法律、法规和招标文件规定的</w:t>
            </w:r>
            <w:r>
              <w:rPr>
                <w:rFonts w:hint="eastAsia" w:asciiTheme="minorEastAsia" w:hAnsiTheme="minorEastAsia" w:eastAsiaTheme="minorEastAsia" w:cstheme="minorEastAsia"/>
                <w:spacing w:val="-6"/>
                <w:sz w:val="24"/>
                <w:szCs w:val="24"/>
                <w:lang w:eastAsia="zh-CN"/>
              </w:rPr>
              <w:t>其他无效情形。</w:t>
            </w:r>
          </w:p>
        </w:tc>
      </w:tr>
    </w:tbl>
    <w:p w14:paraId="5D505C96">
      <w:pPr>
        <w:pStyle w:val="3"/>
        <w:kinsoku/>
        <w:wordWrap w:val="0"/>
        <w:spacing w:line="360" w:lineRule="auto"/>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2.技术审查</w:t>
      </w:r>
    </w:p>
    <w:p w14:paraId="5CBAF9FE">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☑货物类，审查投标设备的技术指标、技术性能或产品技术说明、项目供货方案、培训计划和强制节能产品证明文件等是否符合招标要求。</w:t>
      </w:r>
    </w:p>
    <w:p w14:paraId="13955EE5">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□服务类，审查服务方案、人员配备方案及人员基本情况等是否符合招标要求。</w:t>
      </w:r>
    </w:p>
    <w:p w14:paraId="17309A8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D7DD1E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4.投标文件的澄清</w:t>
      </w:r>
    </w:p>
    <w:p w14:paraId="77F82904">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893875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E612B5D">
      <w:pPr>
        <w:kinsoku/>
        <w:wordWrap w:val="0"/>
        <w:spacing w:line="360" w:lineRule="auto"/>
        <w:ind w:firstLine="488"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4.3投标人的澄清、说明或补正文件是投标文件的组成部分，并取代投标文件中被澄清、说明或补正的部分。</w:t>
      </w:r>
    </w:p>
    <w:p w14:paraId="76B22716">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五.评标方法和评标标准</w:t>
      </w:r>
    </w:p>
    <w:p w14:paraId="431D3FB4">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1.本项目采用的评标方法为：</w:t>
      </w:r>
    </w:p>
    <w:p w14:paraId="00C22F71">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4AF1EE9">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多家投标人提供的核心产品品牌相同且通过资格审查、符合性审查的，按一家投标人计算，评审后得分最高的同品牌投标人获得中标人推荐。</w:t>
      </w:r>
    </w:p>
    <w:p w14:paraId="5E056213">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□最低评标价法，指投标文件满足招标文件全部实质性要求，且投标报价最低的投标人为中标候选人的评标方法。</w:t>
      </w:r>
    </w:p>
    <w:p w14:paraId="3DACF497">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63807F1">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□其他方式，具体要求：</w:t>
      </w:r>
      <w:r>
        <w:rPr>
          <w:rFonts w:hint="eastAsia" w:asciiTheme="minorEastAsia" w:hAnsiTheme="minorEastAsia" w:eastAsiaTheme="minorEastAsia" w:cstheme="minorEastAsia"/>
          <w:color w:val="auto"/>
          <w:spacing w:val="2"/>
          <w:position w:val="17"/>
          <w:sz w:val="24"/>
          <w:szCs w:val="24"/>
          <w:u w:val="single"/>
          <w:lang w:eastAsia="zh-CN"/>
        </w:rPr>
        <w:t>/。</w:t>
      </w:r>
    </w:p>
    <w:p w14:paraId="05E0B463">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2.非政府强制采购的节能产品或环境标志产品，依据品目清单和认证证书实施政府优先采购。优先采购的具体规定</w:t>
      </w:r>
      <w:r>
        <w:rPr>
          <w:rFonts w:hint="eastAsia" w:asciiTheme="minorEastAsia" w:hAnsiTheme="minorEastAsia" w:eastAsiaTheme="minorEastAsia" w:cstheme="minorEastAsia"/>
          <w:spacing w:val="2"/>
          <w:position w:val="17"/>
          <w:sz w:val="24"/>
          <w:szCs w:val="24"/>
          <w:u w:val="single"/>
          <w:lang w:eastAsia="zh-CN"/>
        </w:rPr>
        <w:t>/</w:t>
      </w:r>
      <w:r>
        <w:rPr>
          <w:rFonts w:hint="eastAsia" w:asciiTheme="minorEastAsia" w:hAnsiTheme="minorEastAsia" w:eastAsiaTheme="minorEastAsia" w:cstheme="minorEastAsia"/>
          <w:spacing w:val="2"/>
          <w:position w:val="17"/>
          <w:sz w:val="24"/>
          <w:szCs w:val="24"/>
          <w:lang w:eastAsia="zh-CN"/>
        </w:rPr>
        <w:t>（如涉及）。</w:t>
      </w:r>
    </w:p>
    <w:p w14:paraId="6A8935FB">
      <w:pPr>
        <w:pStyle w:val="3"/>
        <w:kinsoku/>
        <w:wordWrap w:val="0"/>
        <w:spacing w:line="360" w:lineRule="auto"/>
        <w:ind w:left="239" w:leftChars="114" w:firstLine="244" w:firstLineChars="1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3.关于无线局域网认证产品政府采购清单中的产品，优先采购的具体规定</w:t>
      </w:r>
      <w:r>
        <w:rPr>
          <w:rFonts w:hint="eastAsia" w:asciiTheme="minorEastAsia" w:hAnsiTheme="minorEastAsia" w:eastAsiaTheme="minorEastAsia" w:cstheme="minorEastAsia"/>
          <w:spacing w:val="2"/>
          <w:position w:val="17"/>
          <w:sz w:val="24"/>
          <w:szCs w:val="24"/>
          <w:u w:val="single"/>
          <w:lang w:eastAsia="zh-CN"/>
        </w:rPr>
        <w:t>/</w:t>
      </w:r>
      <w:r>
        <w:rPr>
          <w:rFonts w:hint="eastAsia" w:asciiTheme="minorEastAsia" w:hAnsiTheme="minorEastAsia" w:eastAsiaTheme="minorEastAsia" w:cstheme="minorEastAsia"/>
          <w:spacing w:val="2"/>
          <w:position w:val="17"/>
          <w:sz w:val="24"/>
          <w:szCs w:val="24"/>
          <w:lang w:eastAsia="zh-CN"/>
        </w:rPr>
        <w:t>（如涉及）。</w:t>
      </w:r>
    </w:p>
    <w:p w14:paraId="26606D68">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4.确定中标候选人名单</w:t>
      </w:r>
    </w:p>
    <w:p w14:paraId="5E00B181">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A1DB9D">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□随机抽取</w:t>
      </w:r>
    </w:p>
    <w:p w14:paraId="511A7C8F">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☑其他方式，</w:t>
      </w:r>
      <w:r>
        <w:rPr>
          <w:rFonts w:hint="eastAsia" w:asciiTheme="minorEastAsia" w:hAnsiTheme="minorEastAsia" w:eastAsiaTheme="minorEastAsia" w:cstheme="minorEastAsia"/>
          <w:color w:val="auto"/>
          <w:spacing w:val="2"/>
          <w:position w:val="17"/>
          <w:sz w:val="24"/>
          <w:szCs w:val="24"/>
          <w:lang w:eastAsia="zh-CN"/>
        </w:rPr>
        <w:t>具体要求：</w:t>
      </w:r>
      <w:r>
        <w:rPr>
          <w:rFonts w:hint="eastAsia" w:asciiTheme="minorEastAsia" w:hAnsiTheme="minorEastAsia" w:eastAsiaTheme="minorEastAsia" w:cstheme="minorEastAsia"/>
          <w:color w:val="auto"/>
          <w:spacing w:val="2"/>
          <w:position w:val="17"/>
          <w:sz w:val="24"/>
          <w:szCs w:val="24"/>
          <w:u w:val="single"/>
          <w:lang w:eastAsia="zh-CN"/>
        </w:rPr>
        <w:t>优先选择报价低的。</w:t>
      </w:r>
    </w:p>
    <w:p w14:paraId="5857A7C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4.2采用综合评分法时，投标人的排名按得分顺序从高到低排列；得分相同的，按投标报价由低到高顺序排列；得分且投标报价相同的，按技术指标优劣顺序排列。</w:t>
      </w:r>
    </w:p>
    <w:p w14:paraId="5E480C04">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4.3采用最低评标价法时，评标结果按照投标报价由低到高顺序排列。投标报价相同的并列。投标文件满足招标文件全部实质性要求且投标报价最低的投标人为排名第一的中标候选人。</w:t>
      </w:r>
    </w:p>
    <w:p w14:paraId="7252D6A6">
      <w:pPr>
        <w:pStyle w:val="3"/>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4.4评标委员会要对评分汇总情况进行复核，特别是对排名第一的、报价最低的、投标文件被认定为无效的情形进行重点复核。</w:t>
      </w:r>
    </w:p>
    <w:p w14:paraId="0763C9AD">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4.5评标委员会将根据各投标人的评标排序，依次推荐本项目（各采购包）的中标候选人，起草并签署评标报告。本项目（采购包）评标委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color w:val="auto"/>
          <w:spacing w:val="2"/>
          <w:position w:val="17"/>
          <w:sz w:val="24"/>
          <w:szCs w:val="24"/>
          <w:lang w:eastAsia="zh-CN"/>
        </w:rPr>
        <w:t>员会共推荐名3名中标</w:t>
      </w:r>
      <w:r>
        <w:rPr>
          <w:rFonts w:hint="eastAsia" w:asciiTheme="minorEastAsia" w:hAnsiTheme="minorEastAsia" w:eastAsiaTheme="minorEastAsia" w:cstheme="minorEastAsia"/>
          <w:spacing w:val="2"/>
          <w:position w:val="17"/>
          <w:sz w:val="24"/>
          <w:szCs w:val="24"/>
          <w:lang w:eastAsia="zh-CN"/>
        </w:rPr>
        <w:t>候选人。</w:t>
      </w:r>
    </w:p>
    <w:p w14:paraId="149F4F55">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5.报告违法行为</w:t>
      </w:r>
    </w:p>
    <w:p w14:paraId="40C86C4F">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评标委员会在评标过程中发现投标人有行贿、提供虚假材料或者串通等违法行为时，有向采购人、采购代理机构或者有关部门报告的职责。</w:t>
      </w:r>
    </w:p>
    <w:p w14:paraId="2BCE273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6.确定中标人</w:t>
      </w:r>
    </w:p>
    <w:p w14:paraId="1EAA007A">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□根据采购人授权，评委会根据排名顺序直接确定排名第一的中标候选人为中标人。</w:t>
      </w:r>
    </w:p>
    <w:p w14:paraId="31715A44">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☑采购人应当在收到评标报告之日起5个工作日内，在评标报告确定的中标候选人名单中按顺序确定中标人。</w:t>
      </w:r>
    </w:p>
    <w:p w14:paraId="57C7ECD0">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7.投标人存在下列情况之一的，投标无效：</w:t>
      </w:r>
    </w:p>
    <w:p w14:paraId="6C11019F">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（1）投标文件未按招标文件要求签署、盖章的；</w:t>
      </w:r>
    </w:p>
    <w:p w14:paraId="23B93AD4">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（2）不具备招标文件中规定的资格要求的；</w:t>
      </w:r>
    </w:p>
    <w:p w14:paraId="0E873793">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（3）报价超过招标文件中规定的预算金额或者最高限价的；</w:t>
      </w:r>
    </w:p>
    <w:p w14:paraId="21E8EB71">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（4）投标文件含有采购人不能接受的附加条件的；</w:t>
      </w:r>
    </w:p>
    <w:p w14:paraId="671E0FF6">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（5）不符合应提交投标文件资料数量要求的；</w:t>
      </w:r>
    </w:p>
    <w:p w14:paraId="379FEA76">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（6）开标解密时未在规定时间内进行解密成功的视为撤销其投标文件（因电子开标系统原因除外）；</w:t>
      </w:r>
    </w:p>
    <w:p w14:paraId="5DA0BE26">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（7）电子投标文件未使用数字证书认证并加密的；</w:t>
      </w:r>
    </w:p>
    <w:p w14:paraId="533383B3">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（8）未在投标截止时间前完成上传的；</w:t>
      </w:r>
    </w:p>
    <w:p w14:paraId="1D935E53">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（9）法律、法规和招标文件规定的其他无效情形。</w:t>
      </w:r>
    </w:p>
    <w:p w14:paraId="439BED45">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8.在招标采购中，出现下列情形之一的，应予废标：</w:t>
      </w:r>
    </w:p>
    <w:p w14:paraId="54BD4750">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（1）符合专业条件的供应商或者对招标文件作实质性响应的供应商不足三家的；</w:t>
      </w:r>
    </w:p>
    <w:p w14:paraId="3602CEDD">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（2）出现影响采购公正的违法、违规行为的；</w:t>
      </w:r>
    </w:p>
    <w:p w14:paraId="2E17C46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（3）投标人的报价均超过了预算金额，采购人不能支付的；</w:t>
      </w:r>
    </w:p>
    <w:p w14:paraId="0CD89CF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（4）因重大变故，采购任务取消的。</w:t>
      </w:r>
    </w:p>
    <w:p w14:paraId="311059A7">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废标后，应当在指定媒体发布公告，将废标理由通知所有投标人。</w:t>
      </w:r>
    </w:p>
    <w:p w14:paraId="191BF00B">
      <w:pPr>
        <w:pStyle w:val="31"/>
        <w:rPr>
          <w:rFonts w:asciiTheme="minorEastAsia" w:hAnsiTheme="minorEastAsia" w:eastAsiaTheme="minorEastAsia" w:cstheme="minorEastAsia"/>
          <w:spacing w:val="-2"/>
        </w:rPr>
      </w:pPr>
    </w:p>
    <w:p w14:paraId="7E5072AE">
      <w:pPr>
        <w:rPr>
          <w:lang w:eastAsia="zh-CN"/>
        </w:rPr>
      </w:pPr>
    </w:p>
    <w:p w14:paraId="7A6B09C1">
      <w:pP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br w:type="page"/>
      </w:r>
    </w:p>
    <w:p w14:paraId="0889116A">
      <w:pPr>
        <w:pStyle w:val="3"/>
        <w:kinsoku/>
        <w:wordWrap w:val="0"/>
        <w:spacing w:before="78" w:line="221" w:lineRule="auto"/>
        <w:jc w:val="center"/>
        <w:outlineLvl w:val="2"/>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评</w:t>
      </w:r>
      <w:r>
        <w:rPr>
          <w:rFonts w:hint="eastAsia" w:asciiTheme="minorEastAsia" w:hAnsiTheme="minorEastAsia" w:eastAsiaTheme="minorEastAsia" w:cstheme="minorEastAsia"/>
          <w:spacing w:val="-2"/>
          <w:sz w:val="24"/>
          <w:szCs w:val="24"/>
          <w:lang w:eastAsia="zh-CN"/>
        </w:rPr>
        <w:t>分</w:t>
      </w:r>
      <w:r>
        <w:rPr>
          <w:rFonts w:hint="eastAsia" w:asciiTheme="minorEastAsia" w:hAnsiTheme="minorEastAsia" w:eastAsiaTheme="minorEastAsia" w:cstheme="minorEastAsia"/>
          <w:spacing w:val="-2"/>
          <w:sz w:val="24"/>
          <w:szCs w:val="24"/>
        </w:rPr>
        <w:t>标准</w:t>
      </w:r>
    </w:p>
    <w:tbl>
      <w:tblPr>
        <w:tblStyle w:val="33"/>
        <w:tblpPr w:leftFromText="180" w:rightFromText="180" w:vertAnchor="text" w:horzAnchor="page" w:tblpX="1481" w:tblpY="692"/>
        <w:tblOverlap w:val="never"/>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1246"/>
        <w:gridCol w:w="1288"/>
        <w:gridCol w:w="6047"/>
      </w:tblGrid>
      <w:tr w14:paraId="390C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2167" w:type="dxa"/>
            <w:gridSpan w:val="2"/>
            <w:shd w:val="clear" w:color="auto" w:fill="FFFFFF"/>
            <w:vAlign w:val="top"/>
          </w:tcPr>
          <w:p w14:paraId="324D2947">
            <w:pPr>
              <w:pStyle w:val="34"/>
              <w:spacing w:before="206" w:line="220" w:lineRule="auto"/>
              <w:ind w:left="130"/>
              <w:rPr>
                <w:b/>
                <w:i w:val="0"/>
                <w:color w:val="auto"/>
                <w:sz w:val="22"/>
                <w:szCs w:val="22"/>
              </w:rPr>
            </w:pPr>
            <w:r>
              <w:rPr>
                <w:b/>
                <w:i w:val="0"/>
                <w:color w:val="auto"/>
                <w:spacing w:val="-4"/>
                <w:sz w:val="22"/>
                <w:szCs w:val="22"/>
              </w:rPr>
              <w:t>条款号</w:t>
            </w:r>
          </w:p>
        </w:tc>
        <w:tc>
          <w:tcPr>
            <w:tcW w:w="1288" w:type="dxa"/>
            <w:shd w:val="clear" w:color="auto" w:fill="FFFFFF"/>
            <w:vAlign w:val="top"/>
          </w:tcPr>
          <w:p w14:paraId="2E321EB4">
            <w:pPr>
              <w:pStyle w:val="34"/>
              <w:spacing w:before="206" w:line="220" w:lineRule="auto"/>
              <w:ind w:left="121"/>
              <w:rPr>
                <w:b/>
                <w:i w:val="0"/>
                <w:color w:val="auto"/>
                <w:sz w:val="22"/>
                <w:szCs w:val="22"/>
              </w:rPr>
            </w:pPr>
            <w:r>
              <w:rPr>
                <w:b/>
                <w:i w:val="0"/>
                <w:color w:val="auto"/>
                <w:spacing w:val="-4"/>
                <w:sz w:val="22"/>
                <w:szCs w:val="22"/>
              </w:rPr>
              <w:t>评分因素</w:t>
            </w:r>
          </w:p>
        </w:tc>
        <w:tc>
          <w:tcPr>
            <w:tcW w:w="6047" w:type="dxa"/>
            <w:shd w:val="clear" w:color="auto" w:fill="FFFFFF"/>
            <w:vAlign w:val="top"/>
          </w:tcPr>
          <w:p w14:paraId="6291EF18">
            <w:pPr>
              <w:pStyle w:val="34"/>
              <w:spacing w:before="50" w:line="221" w:lineRule="auto"/>
              <w:ind w:left="124"/>
              <w:rPr>
                <w:b/>
                <w:i w:val="0"/>
                <w:color w:val="auto"/>
                <w:sz w:val="22"/>
                <w:szCs w:val="22"/>
              </w:rPr>
            </w:pPr>
            <w:r>
              <w:rPr>
                <w:b/>
                <w:i w:val="0"/>
                <w:color w:val="auto"/>
                <w:spacing w:val="-4"/>
                <w:sz w:val="22"/>
                <w:szCs w:val="22"/>
              </w:rPr>
              <w:t>评分标准</w:t>
            </w:r>
          </w:p>
          <w:p w14:paraId="283CF86B">
            <w:pPr>
              <w:pStyle w:val="34"/>
              <w:spacing w:before="15" w:line="220" w:lineRule="auto"/>
              <w:ind w:left="125"/>
              <w:rPr>
                <w:b/>
                <w:i w:val="0"/>
                <w:color w:val="auto"/>
                <w:sz w:val="22"/>
                <w:szCs w:val="22"/>
              </w:rPr>
            </w:pPr>
            <w:r>
              <w:rPr>
                <w:b/>
                <w:i w:val="0"/>
                <w:color w:val="auto"/>
                <w:spacing w:val="-2"/>
                <w:sz w:val="22"/>
                <w:szCs w:val="22"/>
              </w:rPr>
              <w:t>缺项或不响应均得0分</w:t>
            </w:r>
          </w:p>
        </w:tc>
      </w:tr>
      <w:tr w14:paraId="2BBB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8" w:hRule="atLeast"/>
        </w:trPr>
        <w:tc>
          <w:tcPr>
            <w:tcW w:w="921" w:type="dxa"/>
            <w:shd w:val="clear" w:color="auto" w:fill="FFFFFF"/>
            <w:vAlign w:val="top"/>
          </w:tcPr>
          <w:p w14:paraId="568F207C">
            <w:pPr>
              <w:spacing w:line="250" w:lineRule="auto"/>
              <w:rPr>
                <w:rFonts w:ascii="Arial"/>
                <w:b w:val="0"/>
                <w:i w:val="0"/>
                <w:color w:val="000000"/>
                <w:sz w:val="21"/>
              </w:rPr>
            </w:pPr>
          </w:p>
          <w:p w14:paraId="1CF7C5E4">
            <w:pPr>
              <w:spacing w:line="250" w:lineRule="auto"/>
              <w:rPr>
                <w:rFonts w:ascii="Arial"/>
                <w:b w:val="0"/>
                <w:i w:val="0"/>
                <w:color w:val="000000"/>
                <w:sz w:val="21"/>
              </w:rPr>
            </w:pPr>
          </w:p>
          <w:p w14:paraId="0685E1D3">
            <w:pPr>
              <w:spacing w:line="250" w:lineRule="auto"/>
              <w:rPr>
                <w:rFonts w:ascii="Arial"/>
                <w:b w:val="0"/>
                <w:i w:val="0"/>
                <w:color w:val="000000"/>
                <w:sz w:val="21"/>
              </w:rPr>
            </w:pPr>
          </w:p>
          <w:p w14:paraId="4D0B8F2F">
            <w:pPr>
              <w:spacing w:line="250" w:lineRule="auto"/>
              <w:rPr>
                <w:rFonts w:ascii="Arial"/>
                <w:b w:val="0"/>
                <w:i w:val="0"/>
                <w:color w:val="000000"/>
                <w:sz w:val="21"/>
              </w:rPr>
            </w:pPr>
          </w:p>
          <w:p w14:paraId="20097D5F">
            <w:pPr>
              <w:spacing w:line="250" w:lineRule="auto"/>
              <w:rPr>
                <w:rFonts w:ascii="Arial"/>
                <w:b w:val="0"/>
                <w:i w:val="0"/>
                <w:color w:val="000000"/>
                <w:sz w:val="21"/>
              </w:rPr>
            </w:pPr>
          </w:p>
          <w:p w14:paraId="7C9CCE02">
            <w:pPr>
              <w:spacing w:line="250" w:lineRule="auto"/>
              <w:rPr>
                <w:rFonts w:ascii="Arial"/>
                <w:b w:val="0"/>
                <w:i w:val="0"/>
                <w:color w:val="000000"/>
                <w:sz w:val="21"/>
              </w:rPr>
            </w:pPr>
          </w:p>
          <w:p w14:paraId="4A556A22">
            <w:pPr>
              <w:spacing w:line="250" w:lineRule="auto"/>
              <w:rPr>
                <w:rFonts w:ascii="Arial"/>
                <w:b w:val="0"/>
                <w:i w:val="0"/>
                <w:color w:val="000000"/>
                <w:sz w:val="21"/>
              </w:rPr>
            </w:pPr>
          </w:p>
          <w:p w14:paraId="3D50AB81">
            <w:pPr>
              <w:spacing w:line="250" w:lineRule="auto"/>
              <w:rPr>
                <w:rFonts w:ascii="Arial"/>
                <w:b w:val="0"/>
                <w:i w:val="0"/>
                <w:color w:val="000000"/>
                <w:sz w:val="21"/>
              </w:rPr>
            </w:pPr>
          </w:p>
          <w:p w14:paraId="381A8C8E">
            <w:pPr>
              <w:spacing w:line="250" w:lineRule="auto"/>
              <w:rPr>
                <w:rFonts w:ascii="Arial"/>
                <w:b w:val="0"/>
                <w:i w:val="0"/>
                <w:color w:val="000000"/>
                <w:sz w:val="21"/>
              </w:rPr>
            </w:pPr>
          </w:p>
          <w:p w14:paraId="059EB327">
            <w:pPr>
              <w:spacing w:line="251" w:lineRule="auto"/>
              <w:rPr>
                <w:rFonts w:ascii="Arial"/>
                <w:b w:val="0"/>
                <w:i w:val="0"/>
                <w:color w:val="000000"/>
                <w:sz w:val="21"/>
              </w:rPr>
            </w:pPr>
          </w:p>
          <w:p w14:paraId="2A5D0C4C">
            <w:pPr>
              <w:pStyle w:val="34"/>
              <w:spacing w:before="72" w:line="232" w:lineRule="auto"/>
              <w:ind w:left="144"/>
              <w:rPr>
                <w:b w:val="0"/>
                <w:i w:val="0"/>
                <w:color w:val="000000"/>
                <w:sz w:val="22"/>
                <w:szCs w:val="22"/>
              </w:rPr>
            </w:pPr>
            <w:r>
              <w:rPr>
                <w:b w:val="0"/>
                <w:i w:val="0"/>
                <w:color w:val="000000"/>
                <w:spacing w:val="-8"/>
                <w:sz w:val="22"/>
                <w:szCs w:val="22"/>
              </w:rPr>
              <w:t>（1）</w:t>
            </w:r>
          </w:p>
        </w:tc>
        <w:tc>
          <w:tcPr>
            <w:tcW w:w="1246" w:type="dxa"/>
            <w:shd w:val="clear" w:color="auto" w:fill="FFFFFF"/>
            <w:vAlign w:val="top"/>
          </w:tcPr>
          <w:p w14:paraId="3F57019E">
            <w:pPr>
              <w:spacing w:line="261" w:lineRule="auto"/>
              <w:rPr>
                <w:rFonts w:ascii="Arial"/>
                <w:b w:val="0"/>
                <w:i w:val="0"/>
                <w:color w:val="000000"/>
                <w:sz w:val="21"/>
              </w:rPr>
            </w:pPr>
          </w:p>
          <w:p w14:paraId="38D3EAC1">
            <w:pPr>
              <w:spacing w:line="262" w:lineRule="auto"/>
              <w:rPr>
                <w:rFonts w:ascii="Arial"/>
                <w:b w:val="0"/>
                <w:i w:val="0"/>
                <w:color w:val="000000"/>
                <w:sz w:val="21"/>
              </w:rPr>
            </w:pPr>
          </w:p>
          <w:p w14:paraId="031ECE29">
            <w:pPr>
              <w:spacing w:line="262" w:lineRule="auto"/>
              <w:rPr>
                <w:rFonts w:ascii="Arial"/>
                <w:b w:val="0"/>
                <w:i w:val="0"/>
                <w:color w:val="000000"/>
                <w:sz w:val="21"/>
              </w:rPr>
            </w:pPr>
          </w:p>
          <w:p w14:paraId="28D3D9AF">
            <w:pPr>
              <w:spacing w:line="262" w:lineRule="auto"/>
              <w:rPr>
                <w:rFonts w:ascii="Arial"/>
                <w:b w:val="0"/>
                <w:i w:val="0"/>
                <w:color w:val="000000"/>
                <w:sz w:val="21"/>
              </w:rPr>
            </w:pPr>
          </w:p>
          <w:p w14:paraId="5342BF51">
            <w:pPr>
              <w:spacing w:line="262" w:lineRule="auto"/>
              <w:rPr>
                <w:rFonts w:ascii="Arial"/>
                <w:b w:val="0"/>
                <w:i w:val="0"/>
                <w:color w:val="000000"/>
                <w:sz w:val="21"/>
              </w:rPr>
            </w:pPr>
          </w:p>
          <w:p w14:paraId="4732C7E5">
            <w:pPr>
              <w:spacing w:line="262" w:lineRule="auto"/>
              <w:rPr>
                <w:rFonts w:ascii="Arial"/>
                <w:b w:val="0"/>
                <w:i w:val="0"/>
                <w:color w:val="000000"/>
                <w:sz w:val="21"/>
              </w:rPr>
            </w:pPr>
          </w:p>
          <w:p w14:paraId="6E8587D2">
            <w:pPr>
              <w:spacing w:line="262" w:lineRule="auto"/>
              <w:rPr>
                <w:rFonts w:ascii="Arial"/>
                <w:b w:val="0"/>
                <w:i w:val="0"/>
                <w:color w:val="000000"/>
                <w:sz w:val="21"/>
              </w:rPr>
            </w:pPr>
          </w:p>
          <w:p w14:paraId="6CC71E03">
            <w:pPr>
              <w:spacing w:line="262" w:lineRule="auto"/>
              <w:rPr>
                <w:rFonts w:ascii="Arial"/>
                <w:b w:val="0"/>
                <w:i w:val="0"/>
                <w:color w:val="000000"/>
                <w:sz w:val="21"/>
              </w:rPr>
            </w:pPr>
          </w:p>
          <w:p w14:paraId="018CF2FD">
            <w:pPr>
              <w:spacing w:line="262" w:lineRule="auto"/>
              <w:rPr>
                <w:rFonts w:ascii="Arial"/>
                <w:b w:val="0"/>
                <w:i w:val="0"/>
                <w:color w:val="000000"/>
                <w:sz w:val="21"/>
              </w:rPr>
            </w:pPr>
          </w:p>
          <w:p w14:paraId="2FF16185">
            <w:pPr>
              <w:pStyle w:val="34"/>
              <w:spacing w:before="72" w:line="219" w:lineRule="auto"/>
              <w:ind w:left="124"/>
              <w:rPr>
                <w:b w:val="0"/>
                <w:i w:val="0"/>
                <w:color w:val="000000"/>
                <w:sz w:val="22"/>
                <w:szCs w:val="22"/>
              </w:rPr>
            </w:pPr>
            <w:r>
              <w:rPr>
                <w:b w:val="0"/>
                <w:i w:val="0"/>
                <w:color w:val="000000"/>
                <w:spacing w:val="-5"/>
                <w:sz w:val="22"/>
                <w:szCs w:val="22"/>
              </w:rPr>
              <w:t>投标报价</w:t>
            </w:r>
          </w:p>
          <w:p w14:paraId="0D7CFBAB">
            <w:pPr>
              <w:pStyle w:val="34"/>
              <w:spacing w:before="3" w:line="221" w:lineRule="auto"/>
              <w:ind w:left="135"/>
              <w:rPr>
                <w:b w:val="0"/>
                <w:i w:val="0"/>
                <w:color w:val="000000"/>
                <w:sz w:val="22"/>
                <w:szCs w:val="22"/>
              </w:rPr>
            </w:pPr>
            <w:r>
              <w:rPr>
                <w:b w:val="0"/>
                <w:i w:val="0"/>
                <w:color w:val="000000"/>
                <w:spacing w:val="-8"/>
                <w:sz w:val="22"/>
                <w:szCs w:val="22"/>
              </w:rPr>
              <w:t>（30分）</w:t>
            </w:r>
          </w:p>
        </w:tc>
        <w:tc>
          <w:tcPr>
            <w:tcW w:w="1288" w:type="dxa"/>
            <w:shd w:val="clear" w:color="auto" w:fill="FFFFFF"/>
            <w:vAlign w:val="top"/>
          </w:tcPr>
          <w:p w14:paraId="00CB2F0E">
            <w:pPr>
              <w:spacing w:line="249" w:lineRule="auto"/>
              <w:rPr>
                <w:rFonts w:ascii="Arial"/>
                <w:b w:val="0"/>
                <w:i w:val="0"/>
                <w:color w:val="000000"/>
                <w:sz w:val="21"/>
              </w:rPr>
            </w:pPr>
          </w:p>
          <w:p w14:paraId="0EB2F2BF">
            <w:pPr>
              <w:spacing w:line="249" w:lineRule="auto"/>
              <w:rPr>
                <w:rFonts w:ascii="Arial"/>
                <w:b w:val="0"/>
                <w:i w:val="0"/>
                <w:color w:val="000000"/>
                <w:sz w:val="21"/>
              </w:rPr>
            </w:pPr>
          </w:p>
          <w:p w14:paraId="6DCEF2DE">
            <w:pPr>
              <w:spacing w:line="250" w:lineRule="auto"/>
              <w:rPr>
                <w:rFonts w:ascii="Arial"/>
                <w:b w:val="0"/>
                <w:i w:val="0"/>
                <w:color w:val="000000"/>
                <w:sz w:val="21"/>
              </w:rPr>
            </w:pPr>
          </w:p>
          <w:p w14:paraId="0D888244">
            <w:pPr>
              <w:spacing w:line="250" w:lineRule="auto"/>
              <w:rPr>
                <w:rFonts w:ascii="Arial"/>
                <w:b w:val="0"/>
                <w:i w:val="0"/>
                <w:color w:val="000000"/>
                <w:sz w:val="21"/>
              </w:rPr>
            </w:pPr>
          </w:p>
          <w:p w14:paraId="6308C843">
            <w:pPr>
              <w:spacing w:line="250" w:lineRule="auto"/>
              <w:rPr>
                <w:rFonts w:ascii="Arial"/>
                <w:b w:val="0"/>
                <w:i w:val="0"/>
                <w:color w:val="000000"/>
                <w:sz w:val="21"/>
              </w:rPr>
            </w:pPr>
          </w:p>
          <w:p w14:paraId="2CD535C4">
            <w:pPr>
              <w:spacing w:line="250" w:lineRule="auto"/>
              <w:rPr>
                <w:rFonts w:ascii="Arial"/>
                <w:b w:val="0"/>
                <w:i w:val="0"/>
                <w:color w:val="000000"/>
                <w:sz w:val="21"/>
              </w:rPr>
            </w:pPr>
          </w:p>
          <w:p w14:paraId="34A0F2E0">
            <w:pPr>
              <w:spacing w:line="250" w:lineRule="auto"/>
              <w:rPr>
                <w:rFonts w:ascii="Arial"/>
                <w:b w:val="0"/>
                <w:i w:val="0"/>
                <w:color w:val="000000"/>
                <w:sz w:val="21"/>
              </w:rPr>
            </w:pPr>
          </w:p>
          <w:p w14:paraId="133DD70D">
            <w:pPr>
              <w:spacing w:line="250" w:lineRule="auto"/>
              <w:rPr>
                <w:rFonts w:ascii="Arial"/>
                <w:b w:val="0"/>
                <w:i w:val="0"/>
                <w:color w:val="000000"/>
                <w:sz w:val="21"/>
              </w:rPr>
            </w:pPr>
          </w:p>
          <w:p w14:paraId="60D6956F">
            <w:pPr>
              <w:spacing w:line="250" w:lineRule="auto"/>
              <w:rPr>
                <w:rFonts w:ascii="Arial"/>
                <w:b w:val="0"/>
                <w:i w:val="0"/>
                <w:color w:val="000000"/>
                <w:sz w:val="21"/>
              </w:rPr>
            </w:pPr>
          </w:p>
          <w:p w14:paraId="23D71E17">
            <w:pPr>
              <w:spacing w:line="250" w:lineRule="auto"/>
              <w:rPr>
                <w:rFonts w:ascii="Arial"/>
                <w:b w:val="0"/>
                <w:i w:val="0"/>
                <w:color w:val="000000"/>
                <w:sz w:val="21"/>
              </w:rPr>
            </w:pPr>
          </w:p>
          <w:p w14:paraId="7CEDB722">
            <w:pPr>
              <w:pStyle w:val="34"/>
              <w:spacing w:before="72" w:line="219" w:lineRule="auto"/>
              <w:ind w:left="275"/>
              <w:rPr>
                <w:b w:val="0"/>
                <w:i w:val="0"/>
                <w:color w:val="000000"/>
                <w:sz w:val="22"/>
                <w:szCs w:val="22"/>
              </w:rPr>
            </w:pPr>
            <w:r>
              <w:rPr>
                <w:b w:val="0"/>
                <w:i w:val="0"/>
                <w:color w:val="000000"/>
                <w:spacing w:val="-3"/>
                <w:sz w:val="22"/>
                <w:szCs w:val="22"/>
              </w:rPr>
              <w:t>投标报价</w:t>
            </w:r>
          </w:p>
          <w:p w14:paraId="0BB043D5">
            <w:pPr>
              <w:pStyle w:val="34"/>
              <w:spacing w:before="77" w:line="221" w:lineRule="auto"/>
              <w:ind w:left="279"/>
              <w:rPr>
                <w:b w:val="0"/>
                <w:i w:val="0"/>
                <w:color w:val="000000"/>
                <w:sz w:val="22"/>
                <w:szCs w:val="22"/>
              </w:rPr>
            </w:pPr>
            <w:r>
              <w:rPr>
                <w:b w:val="0"/>
                <w:i w:val="0"/>
                <w:color w:val="000000"/>
                <w:spacing w:val="-6"/>
                <w:sz w:val="22"/>
                <w:szCs w:val="22"/>
              </w:rPr>
              <w:t>（30分）</w:t>
            </w:r>
          </w:p>
        </w:tc>
        <w:tc>
          <w:tcPr>
            <w:tcW w:w="6047" w:type="dxa"/>
            <w:shd w:val="clear" w:color="auto" w:fill="FFFFFF"/>
            <w:vAlign w:val="top"/>
          </w:tcPr>
          <w:p w14:paraId="1944E972">
            <w:pPr>
              <w:pStyle w:val="34"/>
              <w:spacing w:before="59" w:line="233" w:lineRule="auto"/>
              <w:ind w:left="126" w:right="443" w:firstLine="31"/>
              <w:jc w:val="both"/>
              <w:rPr>
                <w:b w:val="0"/>
                <w:i w:val="0"/>
                <w:color w:val="000000"/>
                <w:sz w:val="22"/>
                <w:szCs w:val="22"/>
              </w:rPr>
            </w:pPr>
            <w:r>
              <w:rPr>
                <w:b w:val="0"/>
                <w:i w:val="0"/>
                <w:color w:val="000000"/>
                <w:spacing w:val="-3"/>
                <w:sz w:val="22"/>
                <w:szCs w:val="22"/>
              </w:rPr>
              <w:t>1、满足招标文件要求且投标价格最低的投标报价为评标</w:t>
            </w:r>
            <w:r>
              <w:rPr>
                <w:b w:val="0"/>
                <w:i w:val="0"/>
                <w:color w:val="000000"/>
                <w:spacing w:val="-1"/>
                <w:sz w:val="22"/>
                <w:szCs w:val="22"/>
              </w:rPr>
              <w:t>基准价,其价格分为满分。其余各投标人的投标</w:t>
            </w:r>
            <w:r>
              <w:rPr>
                <w:b w:val="0"/>
                <w:i w:val="0"/>
                <w:color w:val="000000"/>
                <w:spacing w:val="-2"/>
                <w:sz w:val="22"/>
                <w:szCs w:val="22"/>
              </w:rPr>
              <w:t>报价得分=评标基准价÷投标报价×30分。</w:t>
            </w:r>
          </w:p>
          <w:p w14:paraId="7D75D315">
            <w:pPr>
              <w:pStyle w:val="34"/>
              <w:spacing w:before="32" w:line="236" w:lineRule="auto"/>
              <w:ind w:left="131" w:right="118" w:hanging="1"/>
              <w:rPr>
                <w:b w:val="0"/>
                <w:i w:val="0"/>
                <w:color w:val="000000"/>
                <w:sz w:val="22"/>
                <w:szCs w:val="22"/>
              </w:rPr>
            </w:pPr>
            <w:r>
              <w:rPr>
                <w:b w:val="0"/>
                <w:i w:val="0"/>
                <w:color w:val="000000"/>
                <w:spacing w:val="-1"/>
                <w:sz w:val="22"/>
                <w:szCs w:val="22"/>
              </w:rPr>
              <w:t>2.价格扣除：供应商为小微企业的，则给</w:t>
            </w:r>
            <w:r>
              <w:rPr>
                <w:b w:val="0"/>
                <w:i w:val="0"/>
                <w:color w:val="000000"/>
                <w:spacing w:val="-2"/>
                <w:sz w:val="22"/>
                <w:szCs w:val="22"/>
              </w:rPr>
              <w:t>予总报价20%的扣除</w:t>
            </w:r>
            <w:r>
              <w:rPr>
                <w:b w:val="0"/>
                <w:i w:val="0"/>
                <w:color w:val="000000"/>
                <w:spacing w:val="2"/>
                <w:sz w:val="22"/>
                <w:szCs w:val="22"/>
              </w:rPr>
              <w:t>,用扣除后的价格参与评审。参加投标的中小企业，应当按</w:t>
            </w:r>
            <w:r>
              <w:rPr>
                <w:b w:val="0"/>
                <w:i w:val="0"/>
                <w:color w:val="000000"/>
                <w:spacing w:val="-2"/>
                <w:sz w:val="22"/>
                <w:szCs w:val="22"/>
              </w:rPr>
              <w:t>照《政府采购促进中小企业发展管理办法》（财库〔2020〕</w:t>
            </w:r>
          </w:p>
          <w:p w14:paraId="4A2353A8">
            <w:pPr>
              <w:pStyle w:val="34"/>
              <w:spacing w:line="219" w:lineRule="auto"/>
              <w:ind w:left="124"/>
              <w:rPr>
                <w:b w:val="0"/>
                <w:i w:val="0"/>
                <w:color w:val="000000"/>
                <w:sz w:val="22"/>
                <w:szCs w:val="22"/>
              </w:rPr>
            </w:pPr>
            <w:r>
              <w:rPr>
                <w:b w:val="0"/>
                <w:i w:val="0"/>
                <w:color w:val="000000"/>
                <w:spacing w:val="-1"/>
                <w:sz w:val="22"/>
                <w:szCs w:val="22"/>
              </w:rPr>
              <w:t>46号）的规定提供《中小企业声明函》（依据国务院批准</w:t>
            </w:r>
          </w:p>
          <w:p w14:paraId="04AC6406">
            <w:pPr>
              <w:pStyle w:val="34"/>
              <w:spacing w:before="22" w:line="238" w:lineRule="auto"/>
              <w:ind w:left="125" w:right="110" w:firstLine="18"/>
              <w:rPr>
                <w:b w:val="0"/>
                <w:i w:val="0"/>
                <w:color w:val="000000"/>
                <w:sz w:val="22"/>
                <w:szCs w:val="22"/>
              </w:rPr>
            </w:pPr>
            <w:r>
              <w:rPr>
                <w:b w:val="0"/>
                <w:i w:val="0"/>
                <w:color w:val="000000"/>
                <w:spacing w:val="-2"/>
                <w:sz w:val="22"/>
                <w:szCs w:val="22"/>
              </w:rPr>
              <w:t>的中小企业划分标准确定的中型企业、小型企业和微型企业</w:t>
            </w:r>
            <w:r>
              <w:rPr>
                <w:b w:val="0"/>
                <w:i w:val="0"/>
                <w:color w:val="000000"/>
                <w:spacing w:val="1"/>
                <w:sz w:val="22"/>
                <w:szCs w:val="22"/>
              </w:rPr>
              <w:t>,但与大企业的负责人为同一人,或者与大企业存在直接控</w:t>
            </w:r>
            <w:r>
              <w:rPr>
                <w:b w:val="0"/>
                <w:i w:val="0"/>
                <w:color w:val="000000"/>
                <w:spacing w:val="-7"/>
                <w:sz w:val="22"/>
                <w:szCs w:val="22"/>
              </w:rPr>
              <w:t>股、管理关系的除外）。</w:t>
            </w:r>
          </w:p>
          <w:p w14:paraId="44BD7416">
            <w:pPr>
              <w:pStyle w:val="34"/>
              <w:spacing w:before="8" w:line="224" w:lineRule="auto"/>
              <w:ind w:left="125" w:right="111"/>
              <w:rPr>
                <w:b w:val="0"/>
                <w:i w:val="0"/>
                <w:color w:val="000000"/>
                <w:sz w:val="22"/>
                <w:szCs w:val="22"/>
              </w:rPr>
            </w:pPr>
            <w:r>
              <w:rPr>
                <w:b w:val="0"/>
                <w:i w:val="0"/>
                <w:color w:val="000000"/>
                <w:spacing w:val="-1"/>
                <w:sz w:val="22"/>
                <w:szCs w:val="22"/>
              </w:rPr>
              <w:t>根据财政部司法部《关于政府采购支持监狱企业发展有关问</w:t>
            </w:r>
            <w:r>
              <w:rPr>
                <w:b w:val="0"/>
                <w:i w:val="0"/>
                <w:color w:val="000000"/>
                <w:spacing w:val="-2"/>
                <w:sz w:val="22"/>
                <w:szCs w:val="22"/>
              </w:rPr>
              <w:t>题的通知》（财库〔2014〕68号）和财政部民政部中国残疾</w:t>
            </w:r>
            <w:r>
              <w:rPr>
                <w:b w:val="0"/>
                <w:i w:val="0"/>
                <w:color w:val="000000"/>
                <w:spacing w:val="1"/>
                <w:sz w:val="22"/>
                <w:szCs w:val="22"/>
              </w:rPr>
              <w:t>人联合会《关于促进残疾人就业政府采购政策的通知》(</w:t>
            </w:r>
            <w:r>
              <w:rPr>
                <w:b w:val="0"/>
                <w:i w:val="0"/>
                <w:color w:val="000000"/>
                <w:spacing w:val="-4"/>
                <w:sz w:val="22"/>
                <w:szCs w:val="22"/>
              </w:rPr>
              <w:t>财库〔2017〕141号）规定，</w:t>
            </w:r>
          </w:p>
          <w:p w14:paraId="1662267F">
            <w:pPr>
              <w:pStyle w:val="34"/>
              <w:spacing w:before="21" w:line="232" w:lineRule="auto"/>
              <w:ind w:left="126" w:right="228"/>
              <w:rPr>
                <w:b w:val="0"/>
                <w:i w:val="0"/>
                <w:color w:val="000000"/>
                <w:sz w:val="22"/>
                <w:szCs w:val="22"/>
              </w:rPr>
            </w:pPr>
            <w:r>
              <w:rPr>
                <w:b w:val="0"/>
                <w:i w:val="0"/>
                <w:color w:val="000000"/>
                <w:spacing w:val="-2"/>
                <w:sz w:val="22"/>
                <w:szCs w:val="22"/>
              </w:rPr>
              <w:t>本项目对监狱企业、残疾人福利企业作为供应商所提供的服</w:t>
            </w:r>
            <w:r>
              <w:rPr>
                <w:b w:val="0"/>
                <w:i w:val="0"/>
                <w:color w:val="000000"/>
                <w:spacing w:val="-4"/>
                <w:sz w:val="22"/>
                <w:szCs w:val="22"/>
              </w:rPr>
              <w:t>务的给予20%的扣除。</w:t>
            </w:r>
          </w:p>
          <w:p w14:paraId="4FA134AA">
            <w:pPr>
              <w:pStyle w:val="34"/>
              <w:spacing w:before="23" w:line="236" w:lineRule="auto"/>
              <w:ind w:left="133" w:right="249" w:hanging="23"/>
              <w:rPr>
                <w:b w:val="0"/>
                <w:i w:val="0"/>
                <w:color w:val="000000"/>
                <w:sz w:val="22"/>
                <w:szCs w:val="22"/>
              </w:rPr>
            </w:pPr>
            <w:r>
              <w:rPr>
                <w:b w:val="0"/>
                <w:i w:val="0"/>
                <w:color w:val="000000"/>
                <w:spacing w:val="-2"/>
                <w:sz w:val="22"/>
                <w:szCs w:val="22"/>
              </w:rPr>
              <w:t>【供应商需提供中小企业认定证书或监狱企业、残疾人福利企业相关证明文件】，否则不予认可。</w:t>
            </w:r>
          </w:p>
          <w:p w14:paraId="486FB4AD">
            <w:pPr>
              <w:pStyle w:val="34"/>
              <w:spacing w:before="12" w:line="217" w:lineRule="auto"/>
              <w:ind w:left="131" w:right="219" w:firstLine="39"/>
              <w:rPr>
                <w:b w:val="0"/>
                <w:i w:val="0"/>
                <w:color w:val="000000"/>
                <w:sz w:val="22"/>
                <w:szCs w:val="22"/>
              </w:rPr>
            </w:pPr>
            <w:r>
              <w:rPr>
                <w:b w:val="0"/>
                <w:i w:val="0"/>
                <w:color w:val="000000"/>
                <w:spacing w:val="-5"/>
                <w:sz w:val="22"/>
                <w:szCs w:val="22"/>
              </w:rPr>
              <w:t>同一供应商（包括联合体</w:t>
            </w:r>
            <w:r>
              <w:rPr>
                <w:b w:val="0"/>
                <w:i w:val="0"/>
                <w:color w:val="000000"/>
                <w:spacing w:val="25"/>
                <w:sz w:val="22"/>
                <w:szCs w:val="22"/>
              </w:rPr>
              <w:t>），</w:t>
            </w:r>
            <w:r>
              <w:rPr>
                <w:b w:val="0"/>
                <w:i w:val="0"/>
                <w:color w:val="000000"/>
                <w:spacing w:val="-5"/>
                <w:sz w:val="22"/>
                <w:szCs w:val="22"/>
              </w:rPr>
              <w:t>小微企业、监狱、残疾人福利</w:t>
            </w:r>
            <w:r>
              <w:rPr>
                <w:b w:val="0"/>
                <w:i w:val="0"/>
                <w:color w:val="000000"/>
                <w:spacing w:val="-3"/>
                <w:sz w:val="22"/>
                <w:szCs w:val="22"/>
              </w:rPr>
              <w:t>企业价格扣除优惠只享受一次，不得重复享受。</w:t>
            </w:r>
          </w:p>
        </w:tc>
      </w:tr>
      <w:tr w14:paraId="2BDA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trPr>
        <w:tc>
          <w:tcPr>
            <w:tcW w:w="921" w:type="dxa"/>
            <w:vMerge w:val="restart"/>
            <w:shd w:val="clear" w:color="auto" w:fill="FFFFFF"/>
            <w:vAlign w:val="top"/>
          </w:tcPr>
          <w:p w14:paraId="35B0C195">
            <w:pPr>
              <w:spacing w:line="241" w:lineRule="auto"/>
              <w:rPr>
                <w:rFonts w:ascii="Arial"/>
                <w:b w:val="0"/>
                <w:i w:val="0"/>
                <w:color w:val="000000"/>
                <w:sz w:val="21"/>
              </w:rPr>
            </w:pPr>
          </w:p>
          <w:p w14:paraId="59A093AF">
            <w:pPr>
              <w:spacing w:line="241" w:lineRule="auto"/>
              <w:rPr>
                <w:rFonts w:ascii="Arial"/>
                <w:b w:val="0"/>
                <w:i w:val="0"/>
                <w:color w:val="000000"/>
                <w:sz w:val="21"/>
              </w:rPr>
            </w:pPr>
          </w:p>
          <w:p w14:paraId="464298B2">
            <w:pPr>
              <w:spacing w:line="241" w:lineRule="auto"/>
              <w:rPr>
                <w:rFonts w:ascii="Arial"/>
                <w:b w:val="0"/>
                <w:i w:val="0"/>
                <w:color w:val="000000"/>
                <w:sz w:val="21"/>
              </w:rPr>
            </w:pPr>
          </w:p>
          <w:p w14:paraId="07A596B8">
            <w:pPr>
              <w:spacing w:line="241" w:lineRule="auto"/>
              <w:rPr>
                <w:rFonts w:ascii="Arial"/>
                <w:b w:val="0"/>
                <w:i w:val="0"/>
                <w:color w:val="000000"/>
                <w:sz w:val="21"/>
              </w:rPr>
            </w:pPr>
          </w:p>
          <w:p w14:paraId="77644EE8">
            <w:pPr>
              <w:spacing w:line="241" w:lineRule="auto"/>
              <w:rPr>
                <w:rFonts w:ascii="Arial"/>
                <w:b w:val="0"/>
                <w:i w:val="0"/>
                <w:color w:val="000000"/>
                <w:sz w:val="21"/>
              </w:rPr>
            </w:pPr>
          </w:p>
          <w:p w14:paraId="3534F068">
            <w:pPr>
              <w:spacing w:line="241" w:lineRule="auto"/>
              <w:rPr>
                <w:rFonts w:ascii="Arial"/>
                <w:b w:val="0"/>
                <w:i w:val="0"/>
                <w:color w:val="000000"/>
                <w:sz w:val="21"/>
              </w:rPr>
            </w:pPr>
          </w:p>
          <w:p w14:paraId="0EE21537">
            <w:pPr>
              <w:spacing w:line="241" w:lineRule="auto"/>
              <w:rPr>
                <w:rFonts w:ascii="Arial"/>
                <w:b w:val="0"/>
                <w:i w:val="0"/>
                <w:color w:val="000000"/>
                <w:sz w:val="21"/>
              </w:rPr>
            </w:pPr>
          </w:p>
          <w:p w14:paraId="2EF9A0BB">
            <w:pPr>
              <w:spacing w:line="241" w:lineRule="auto"/>
              <w:rPr>
                <w:rFonts w:ascii="Arial"/>
                <w:b w:val="0"/>
                <w:i w:val="0"/>
                <w:color w:val="000000"/>
                <w:sz w:val="21"/>
              </w:rPr>
            </w:pPr>
          </w:p>
          <w:p w14:paraId="79E2A184">
            <w:pPr>
              <w:spacing w:line="242" w:lineRule="auto"/>
              <w:rPr>
                <w:rFonts w:ascii="Arial"/>
                <w:b w:val="0"/>
                <w:i w:val="0"/>
                <w:color w:val="000000"/>
                <w:sz w:val="21"/>
              </w:rPr>
            </w:pPr>
          </w:p>
          <w:p w14:paraId="7E863F5A">
            <w:pPr>
              <w:spacing w:line="242" w:lineRule="auto"/>
              <w:rPr>
                <w:rFonts w:ascii="Arial"/>
                <w:b w:val="0"/>
                <w:i w:val="0"/>
                <w:color w:val="000000"/>
                <w:sz w:val="21"/>
              </w:rPr>
            </w:pPr>
          </w:p>
          <w:p w14:paraId="74F84414">
            <w:pPr>
              <w:spacing w:line="242" w:lineRule="auto"/>
              <w:rPr>
                <w:rFonts w:ascii="Arial"/>
                <w:b w:val="0"/>
                <w:i w:val="0"/>
                <w:color w:val="000000"/>
                <w:sz w:val="21"/>
              </w:rPr>
            </w:pPr>
          </w:p>
          <w:p w14:paraId="74DCA122">
            <w:pPr>
              <w:spacing w:line="242" w:lineRule="auto"/>
              <w:rPr>
                <w:rFonts w:ascii="Arial"/>
                <w:b w:val="0"/>
                <w:i w:val="0"/>
                <w:color w:val="000000"/>
                <w:sz w:val="21"/>
              </w:rPr>
            </w:pPr>
          </w:p>
          <w:p w14:paraId="561847ED">
            <w:pPr>
              <w:spacing w:line="242" w:lineRule="auto"/>
              <w:rPr>
                <w:rFonts w:ascii="Arial"/>
                <w:b w:val="0"/>
                <w:i w:val="0"/>
                <w:color w:val="000000"/>
                <w:sz w:val="21"/>
              </w:rPr>
            </w:pPr>
          </w:p>
          <w:p w14:paraId="22075CB2">
            <w:pPr>
              <w:spacing w:line="242" w:lineRule="auto"/>
              <w:rPr>
                <w:rFonts w:ascii="Arial"/>
                <w:b w:val="0"/>
                <w:i w:val="0"/>
                <w:color w:val="000000"/>
                <w:sz w:val="21"/>
              </w:rPr>
            </w:pPr>
          </w:p>
          <w:p w14:paraId="6DFB30E9">
            <w:pPr>
              <w:spacing w:line="242" w:lineRule="auto"/>
              <w:rPr>
                <w:rFonts w:ascii="Arial"/>
                <w:b w:val="0"/>
                <w:i w:val="0"/>
                <w:color w:val="000000"/>
                <w:sz w:val="21"/>
              </w:rPr>
            </w:pPr>
          </w:p>
          <w:p w14:paraId="03ABA4B3">
            <w:pPr>
              <w:spacing w:line="242" w:lineRule="auto"/>
              <w:rPr>
                <w:rFonts w:ascii="Arial"/>
                <w:b w:val="0"/>
                <w:i w:val="0"/>
                <w:color w:val="000000"/>
                <w:sz w:val="21"/>
              </w:rPr>
            </w:pPr>
          </w:p>
          <w:p w14:paraId="350D0EA2">
            <w:pPr>
              <w:spacing w:line="242" w:lineRule="auto"/>
              <w:rPr>
                <w:rFonts w:ascii="Arial"/>
                <w:b w:val="0"/>
                <w:i w:val="0"/>
                <w:color w:val="000000"/>
                <w:sz w:val="21"/>
              </w:rPr>
            </w:pPr>
          </w:p>
          <w:p w14:paraId="7BD59A29">
            <w:pPr>
              <w:spacing w:line="242" w:lineRule="auto"/>
              <w:rPr>
                <w:rFonts w:ascii="Arial"/>
                <w:b w:val="0"/>
                <w:i w:val="0"/>
                <w:color w:val="000000"/>
                <w:sz w:val="21"/>
              </w:rPr>
            </w:pPr>
          </w:p>
          <w:p w14:paraId="11E1C2D8">
            <w:pPr>
              <w:spacing w:line="242" w:lineRule="auto"/>
              <w:rPr>
                <w:rFonts w:ascii="Arial"/>
                <w:b w:val="0"/>
                <w:i w:val="0"/>
                <w:color w:val="000000"/>
                <w:sz w:val="21"/>
              </w:rPr>
            </w:pPr>
          </w:p>
          <w:p w14:paraId="0A799A45">
            <w:pPr>
              <w:pStyle w:val="34"/>
              <w:spacing w:before="71" w:line="232" w:lineRule="auto"/>
              <w:ind w:left="146"/>
              <w:rPr>
                <w:b w:val="0"/>
                <w:i w:val="0"/>
                <w:color w:val="000000"/>
                <w:sz w:val="22"/>
                <w:szCs w:val="22"/>
              </w:rPr>
            </w:pPr>
            <w:r>
              <w:rPr>
                <w:b w:val="0"/>
                <w:i w:val="0"/>
                <w:color w:val="000000"/>
                <w:spacing w:val="-8"/>
                <w:sz w:val="22"/>
                <w:szCs w:val="22"/>
              </w:rPr>
              <w:t>（2）</w:t>
            </w:r>
          </w:p>
        </w:tc>
        <w:tc>
          <w:tcPr>
            <w:tcW w:w="1246" w:type="dxa"/>
            <w:vMerge w:val="restart"/>
            <w:shd w:val="clear" w:color="auto" w:fill="FFFFFF"/>
            <w:vAlign w:val="top"/>
          </w:tcPr>
          <w:p w14:paraId="7806E7BA">
            <w:pPr>
              <w:spacing w:line="245" w:lineRule="auto"/>
              <w:rPr>
                <w:rFonts w:ascii="Arial"/>
                <w:b w:val="0"/>
                <w:i w:val="0"/>
                <w:color w:val="000000"/>
                <w:sz w:val="21"/>
              </w:rPr>
            </w:pPr>
          </w:p>
          <w:p w14:paraId="0493DB1D">
            <w:pPr>
              <w:spacing w:line="245" w:lineRule="auto"/>
              <w:rPr>
                <w:rFonts w:ascii="Arial"/>
                <w:b w:val="0"/>
                <w:i w:val="0"/>
                <w:color w:val="000000"/>
                <w:sz w:val="21"/>
              </w:rPr>
            </w:pPr>
          </w:p>
          <w:p w14:paraId="6C8D5CE4">
            <w:pPr>
              <w:spacing w:line="245" w:lineRule="auto"/>
              <w:rPr>
                <w:rFonts w:ascii="Arial"/>
                <w:b w:val="0"/>
                <w:i w:val="0"/>
                <w:color w:val="000000"/>
                <w:sz w:val="21"/>
              </w:rPr>
            </w:pPr>
          </w:p>
          <w:p w14:paraId="109A795F">
            <w:pPr>
              <w:spacing w:line="245" w:lineRule="auto"/>
              <w:rPr>
                <w:rFonts w:ascii="Arial"/>
                <w:b w:val="0"/>
                <w:i w:val="0"/>
                <w:color w:val="000000"/>
                <w:sz w:val="21"/>
              </w:rPr>
            </w:pPr>
          </w:p>
          <w:p w14:paraId="522796C6">
            <w:pPr>
              <w:spacing w:line="245" w:lineRule="auto"/>
              <w:rPr>
                <w:rFonts w:ascii="Arial"/>
                <w:b w:val="0"/>
                <w:i w:val="0"/>
                <w:color w:val="000000"/>
                <w:sz w:val="21"/>
              </w:rPr>
            </w:pPr>
          </w:p>
          <w:p w14:paraId="38707CB2">
            <w:pPr>
              <w:spacing w:line="245" w:lineRule="auto"/>
              <w:rPr>
                <w:rFonts w:ascii="Arial"/>
                <w:b w:val="0"/>
                <w:i w:val="0"/>
                <w:color w:val="000000"/>
                <w:sz w:val="21"/>
              </w:rPr>
            </w:pPr>
          </w:p>
          <w:p w14:paraId="7D2E3823">
            <w:pPr>
              <w:spacing w:line="245" w:lineRule="auto"/>
              <w:rPr>
                <w:rFonts w:ascii="Arial"/>
                <w:b w:val="0"/>
                <w:i w:val="0"/>
                <w:color w:val="000000"/>
                <w:sz w:val="21"/>
              </w:rPr>
            </w:pPr>
          </w:p>
          <w:p w14:paraId="66861DA1">
            <w:pPr>
              <w:spacing w:line="245" w:lineRule="auto"/>
              <w:rPr>
                <w:rFonts w:ascii="Arial"/>
                <w:b w:val="0"/>
                <w:i w:val="0"/>
                <w:color w:val="000000"/>
                <w:sz w:val="21"/>
              </w:rPr>
            </w:pPr>
          </w:p>
          <w:p w14:paraId="765EFAF5">
            <w:pPr>
              <w:spacing w:line="245" w:lineRule="auto"/>
              <w:rPr>
                <w:rFonts w:ascii="Arial"/>
                <w:b w:val="0"/>
                <w:i w:val="0"/>
                <w:color w:val="000000"/>
                <w:sz w:val="21"/>
              </w:rPr>
            </w:pPr>
          </w:p>
          <w:p w14:paraId="6293CE21">
            <w:pPr>
              <w:spacing w:line="246" w:lineRule="auto"/>
              <w:rPr>
                <w:rFonts w:ascii="Arial"/>
                <w:b w:val="0"/>
                <w:i w:val="0"/>
                <w:color w:val="000000"/>
                <w:sz w:val="21"/>
              </w:rPr>
            </w:pPr>
          </w:p>
          <w:p w14:paraId="1CD22CD3">
            <w:pPr>
              <w:spacing w:line="246" w:lineRule="auto"/>
              <w:rPr>
                <w:rFonts w:ascii="Arial"/>
                <w:b w:val="0"/>
                <w:i w:val="0"/>
                <w:color w:val="000000"/>
                <w:sz w:val="21"/>
              </w:rPr>
            </w:pPr>
          </w:p>
          <w:p w14:paraId="2083C453">
            <w:pPr>
              <w:spacing w:line="246" w:lineRule="auto"/>
              <w:rPr>
                <w:rFonts w:ascii="Arial"/>
                <w:b w:val="0"/>
                <w:i w:val="0"/>
                <w:color w:val="000000"/>
                <w:sz w:val="21"/>
              </w:rPr>
            </w:pPr>
          </w:p>
          <w:p w14:paraId="37FF0E58">
            <w:pPr>
              <w:pStyle w:val="34"/>
              <w:spacing w:before="72" w:line="220" w:lineRule="auto"/>
              <w:ind w:left="197"/>
              <w:rPr>
                <w:b w:val="0"/>
                <w:i w:val="0"/>
                <w:color w:val="000000"/>
                <w:sz w:val="22"/>
                <w:szCs w:val="22"/>
              </w:rPr>
            </w:pPr>
            <w:r>
              <w:rPr>
                <w:b w:val="0"/>
                <w:i w:val="0"/>
                <w:color w:val="000000"/>
                <w:spacing w:val="-4"/>
                <w:sz w:val="22"/>
                <w:szCs w:val="22"/>
              </w:rPr>
              <w:t>技术部分</w:t>
            </w:r>
          </w:p>
          <w:p w14:paraId="64077AE6">
            <w:pPr>
              <w:pStyle w:val="34"/>
              <w:spacing w:before="4" w:line="221" w:lineRule="auto"/>
              <w:ind w:left="269"/>
              <w:rPr>
                <w:b w:val="0"/>
                <w:i w:val="0"/>
                <w:color w:val="000000"/>
                <w:sz w:val="22"/>
                <w:szCs w:val="22"/>
              </w:rPr>
            </w:pPr>
            <w:r>
              <w:rPr>
                <w:b w:val="0"/>
                <w:i w:val="0"/>
                <w:color w:val="000000"/>
                <w:spacing w:val="-8"/>
                <w:sz w:val="22"/>
                <w:szCs w:val="22"/>
              </w:rPr>
              <w:t>（50分）</w:t>
            </w:r>
          </w:p>
        </w:tc>
        <w:tc>
          <w:tcPr>
            <w:tcW w:w="1288" w:type="dxa"/>
            <w:shd w:val="clear" w:color="auto" w:fill="FFFFFF"/>
            <w:vAlign w:val="top"/>
          </w:tcPr>
          <w:p w14:paraId="3D4CCD01">
            <w:pPr>
              <w:pStyle w:val="34"/>
              <w:spacing w:before="131" w:line="220" w:lineRule="auto"/>
              <w:ind w:left="47"/>
              <w:rPr>
                <w:b w:val="0"/>
                <w:i w:val="0"/>
                <w:color w:val="000000"/>
                <w:sz w:val="22"/>
                <w:szCs w:val="22"/>
              </w:rPr>
            </w:pPr>
            <w:r>
              <w:rPr>
                <w:b w:val="0"/>
                <w:i w:val="0"/>
                <w:color w:val="000000"/>
                <w:spacing w:val="-3"/>
                <w:sz w:val="22"/>
                <w:szCs w:val="22"/>
              </w:rPr>
              <w:t>投标文件</w:t>
            </w:r>
          </w:p>
          <w:p w14:paraId="1204F9CE">
            <w:pPr>
              <w:pStyle w:val="34"/>
              <w:spacing w:before="9" w:line="219" w:lineRule="auto"/>
              <w:ind w:left="44"/>
              <w:rPr>
                <w:b w:val="0"/>
                <w:i w:val="0"/>
                <w:color w:val="000000"/>
                <w:sz w:val="22"/>
                <w:szCs w:val="22"/>
              </w:rPr>
            </w:pPr>
            <w:r>
              <w:rPr>
                <w:b w:val="0"/>
                <w:i w:val="0"/>
                <w:color w:val="000000"/>
                <w:spacing w:val="-3"/>
                <w:sz w:val="22"/>
                <w:szCs w:val="22"/>
              </w:rPr>
              <w:t>对采购需</w:t>
            </w:r>
          </w:p>
          <w:p w14:paraId="3DA09B02">
            <w:pPr>
              <w:pStyle w:val="34"/>
              <w:spacing w:before="11" w:line="222" w:lineRule="auto"/>
              <w:ind w:left="46"/>
              <w:rPr>
                <w:b w:val="0"/>
                <w:i w:val="0"/>
                <w:color w:val="000000"/>
                <w:sz w:val="22"/>
                <w:szCs w:val="22"/>
              </w:rPr>
            </w:pPr>
            <w:r>
              <w:rPr>
                <w:b w:val="0"/>
                <w:i w:val="0"/>
                <w:color w:val="000000"/>
                <w:spacing w:val="-3"/>
                <w:sz w:val="22"/>
                <w:szCs w:val="22"/>
              </w:rPr>
              <w:t>求的响应</w:t>
            </w:r>
          </w:p>
          <w:p w14:paraId="31A8BE13">
            <w:pPr>
              <w:pStyle w:val="34"/>
              <w:spacing w:before="9" w:line="221" w:lineRule="auto"/>
              <w:ind w:left="262"/>
              <w:rPr>
                <w:b w:val="0"/>
                <w:i w:val="0"/>
                <w:color w:val="000000"/>
                <w:sz w:val="22"/>
                <w:szCs w:val="22"/>
              </w:rPr>
            </w:pPr>
            <w:r>
              <w:rPr>
                <w:b w:val="0"/>
                <w:i w:val="0"/>
                <w:color w:val="000000"/>
                <w:spacing w:val="-3"/>
                <w:sz w:val="22"/>
                <w:szCs w:val="22"/>
              </w:rPr>
              <w:t>程度</w:t>
            </w:r>
          </w:p>
          <w:p w14:paraId="082FA55D">
            <w:pPr>
              <w:pStyle w:val="34"/>
              <w:spacing w:before="89" w:line="221" w:lineRule="auto"/>
              <w:ind w:left="51"/>
              <w:rPr>
                <w:b w:val="0"/>
                <w:i w:val="0"/>
                <w:color w:val="000000"/>
                <w:sz w:val="22"/>
                <w:szCs w:val="22"/>
              </w:rPr>
            </w:pPr>
            <w:r>
              <w:rPr>
                <w:b w:val="0"/>
                <w:i w:val="0"/>
                <w:color w:val="000000"/>
                <w:spacing w:val="-6"/>
                <w:sz w:val="22"/>
                <w:szCs w:val="22"/>
              </w:rPr>
              <w:t>（20分）</w:t>
            </w:r>
          </w:p>
        </w:tc>
        <w:tc>
          <w:tcPr>
            <w:tcW w:w="6047" w:type="dxa"/>
            <w:shd w:val="clear" w:color="auto" w:fill="FFFFFF"/>
            <w:vAlign w:val="top"/>
          </w:tcPr>
          <w:p w14:paraId="002A429F">
            <w:pPr>
              <w:pStyle w:val="34"/>
              <w:spacing w:before="146" w:line="299" w:lineRule="auto"/>
              <w:ind w:left="126" w:right="111" w:firstLine="3"/>
              <w:jc w:val="both"/>
              <w:rPr>
                <w:b w:val="0"/>
                <w:i w:val="0"/>
                <w:color w:val="000000"/>
                <w:sz w:val="22"/>
                <w:szCs w:val="22"/>
              </w:rPr>
            </w:pPr>
            <w:r>
              <w:rPr>
                <w:b w:val="0"/>
                <w:i w:val="0"/>
                <w:color w:val="000000"/>
                <w:spacing w:val="3"/>
                <w:sz w:val="22"/>
                <w:szCs w:val="22"/>
              </w:rPr>
              <w:t>投标产品技术参数、性能及产品功能全部满足招标文</w:t>
            </w:r>
            <w:r>
              <w:rPr>
                <w:b w:val="0"/>
                <w:i w:val="0"/>
                <w:color w:val="000000"/>
                <w:spacing w:val="2"/>
                <w:sz w:val="22"/>
                <w:szCs w:val="22"/>
              </w:rPr>
              <w:t>件要求</w:t>
            </w:r>
            <w:r>
              <w:rPr>
                <w:b w:val="0"/>
                <w:i w:val="0"/>
                <w:color w:val="000000"/>
                <w:spacing w:val="3"/>
                <w:sz w:val="22"/>
                <w:szCs w:val="22"/>
              </w:rPr>
              <w:t>的，得20分；若投标产品技术指标与招标要求有负</w:t>
            </w:r>
            <w:r>
              <w:rPr>
                <w:b w:val="0"/>
                <w:i w:val="0"/>
                <w:color w:val="000000"/>
                <w:spacing w:val="2"/>
                <w:sz w:val="22"/>
                <w:szCs w:val="22"/>
              </w:rPr>
              <w:t>偏离，但</w:t>
            </w:r>
            <w:r>
              <w:rPr>
                <w:b w:val="0"/>
                <w:i w:val="0"/>
                <w:color w:val="000000"/>
                <w:spacing w:val="-1"/>
                <w:sz w:val="22"/>
                <w:szCs w:val="22"/>
              </w:rPr>
              <w:t>负偏离不影响实质性响应，评委按照每一处负偏离0.5分，扣</w:t>
            </w:r>
            <w:r>
              <w:rPr>
                <w:b w:val="0"/>
                <w:i w:val="0"/>
                <w:color w:val="000000"/>
                <w:spacing w:val="-9"/>
                <w:sz w:val="22"/>
                <w:szCs w:val="22"/>
              </w:rPr>
              <w:t>完为止。</w:t>
            </w:r>
          </w:p>
        </w:tc>
      </w:tr>
      <w:tr w14:paraId="17F4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5" w:hRule="atLeast"/>
        </w:trPr>
        <w:tc>
          <w:tcPr>
            <w:tcW w:w="921" w:type="dxa"/>
            <w:vMerge w:val="continue"/>
            <w:shd w:val="clear" w:color="auto" w:fill="FFFFFF"/>
            <w:vAlign w:val="top"/>
          </w:tcPr>
          <w:p w14:paraId="5271C20C">
            <w:pPr>
              <w:rPr>
                <w:rFonts w:ascii="Arial"/>
                <w:b w:val="0"/>
                <w:i w:val="0"/>
                <w:color w:val="000000"/>
                <w:sz w:val="21"/>
              </w:rPr>
            </w:pPr>
          </w:p>
        </w:tc>
        <w:tc>
          <w:tcPr>
            <w:tcW w:w="1246" w:type="dxa"/>
            <w:vMerge w:val="continue"/>
            <w:shd w:val="clear" w:color="auto" w:fill="FFFFFF"/>
            <w:vAlign w:val="top"/>
          </w:tcPr>
          <w:p w14:paraId="3DAC3EF4">
            <w:pPr>
              <w:rPr>
                <w:rFonts w:ascii="Arial"/>
                <w:b w:val="0"/>
                <w:i w:val="0"/>
                <w:color w:val="000000"/>
                <w:sz w:val="21"/>
              </w:rPr>
            </w:pPr>
          </w:p>
        </w:tc>
        <w:tc>
          <w:tcPr>
            <w:tcW w:w="1288" w:type="dxa"/>
            <w:shd w:val="clear" w:color="auto" w:fill="FFFFFF"/>
            <w:vAlign w:val="top"/>
          </w:tcPr>
          <w:p w14:paraId="2B616DC3">
            <w:pPr>
              <w:spacing w:line="280" w:lineRule="auto"/>
              <w:rPr>
                <w:rFonts w:ascii="Arial"/>
                <w:b w:val="0"/>
                <w:i w:val="0"/>
                <w:color w:val="000000"/>
                <w:sz w:val="21"/>
              </w:rPr>
            </w:pPr>
          </w:p>
          <w:p w14:paraId="791A200D">
            <w:pPr>
              <w:spacing w:line="281" w:lineRule="auto"/>
              <w:rPr>
                <w:rFonts w:ascii="Arial"/>
                <w:b w:val="0"/>
                <w:i w:val="0"/>
                <w:color w:val="000000"/>
                <w:sz w:val="21"/>
              </w:rPr>
            </w:pPr>
          </w:p>
          <w:p w14:paraId="328B76D6">
            <w:pPr>
              <w:spacing w:line="281" w:lineRule="auto"/>
              <w:rPr>
                <w:rFonts w:ascii="Arial"/>
                <w:b w:val="0"/>
                <w:i w:val="0"/>
                <w:color w:val="000000"/>
                <w:sz w:val="21"/>
              </w:rPr>
            </w:pPr>
          </w:p>
          <w:p w14:paraId="44DF0A86">
            <w:pPr>
              <w:spacing w:line="281" w:lineRule="auto"/>
              <w:rPr>
                <w:rFonts w:ascii="Arial"/>
                <w:b w:val="0"/>
                <w:i w:val="0"/>
                <w:color w:val="000000"/>
                <w:sz w:val="21"/>
              </w:rPr>
            </w:pPr>
          </w:p>
          <w:p w14:paraId="7CCD0666">
            <w:pPr>
              <w:spacing w:line="281" w:lineRule="auto"/>
              <w:rPr>
                <w:rFonts w:ascii="Arial"/>
                <w:b w:val="0"/>
                <w:i w:val="0"/>
                <w:color w:val="000000"/>
                <w:sz w:val="21"/>
              </w:rPr>
            </w:pPr>
          </w:p>
          <w:p w14:paraId="308DEBCD">
            <w:pPr>
              <w:pStyle w:val="34"/>
              <w:spacing w:before="72" w:line="219" w:lineRule="auto"/>
              <w:ind w:left="229"/>
              <w:rPr>
                <w:b w:val="0"/>
                <w:i w:val="0"/>
                <w:color w:val="000000"/>
                <w:sz w:val="22"/>
                <w:szCs w:val="22"/>
              </w:rPr>
            </w:pPr>
            <w:r>
              <w:rPr>
                <w:b w:val="0"/>
                <w:i w:val="0"/>
                <w:color w:val="000000"/>
                <w:spacing w:val="-6"/>
                <w:sz w:val="22"/>
                <w:szCs w:val="22"/>
              </w:rPr>
              <w:t>供货方案</w:t>
            </w:r>
          </w:p>
          <w:p w14:paraId="2C93A9C9">
            <w:pPr>
              <w:pStyle w:val="34"/>
              <w:spacing w:before="77" w:line="221" w:lineRule="auto"/>
              <w:ind w:left="188"/>
              <w:rPr>
                <w:b w:val="0"/>
                <w:i w:val="0"/>
                <w:color w:val="000000"/>
                <w:sz w:val="22"/>
                <w:szCs w:val="22"/>
              </w:rPr>
            </w:pPr>
            <w:r>
              <w:rPr>
                <w:b w:val="0"/>
                <w:i w:val="0"/>
                <w:color w:val="000000"/>
                <w:spacing w:val="-9"/>
                <w:sz w:val="22"/>
                <w:szCs w:val="22"/>
              </w:rPr>
              <w:t>（10分）</w:t>
            </w:r>
          </w:p>
        </w:tc>
        <w:tc>
          <w:tcPr>
            <w:tcW w:w="6047" w:type="dxa"/>
            <w:shd w:val="clear" w:color="auto" w:fill="FFFFFF"/>
            <w:vAlign w:val="top"/>
          </w:tcPr>
          <w:p w14:paraId="71BFC5AD">
            <w:pPr>
              <w:pStyle w:val="34"/>
              <w:spacing w:before="68" w:line="235" w:lineRule="auto"/>
              <w:ind w:left="143" w:right="117" w:hanging="18"/>
              <w:rPr>
                <w:b w:val="0"/>
                <w:i w:val="0"/>
                <w:color w:val="000000"/>
                <w:sz w:val="22"/>
                <w:szCs w:val="22"/>
              </w:rPr>
            </w:pPr>
            <w:r>
              <w:rPr>
                <w:b w:val="0"/>
                <w:i w:val="0"/>
                <w:color w:val="000000"/>
                <w:spacing w:val="3"/>
                <w:sz w:val="22"/>
                <w:szCs w:val="22"/>
              </w:rPr>
              <w:t>供货方案包括但不限于统一进行送货到指定地点的实施办法</w:t>
            </w:r>
            <w:r>
              <w:rPr>
                <w:b w:val="0"/>
                <w:i w:val="0"/>
                <w:color w:val="000000"/>
                <w:spacing w:val="-4"/>
                <w:sz w:val="22"/>
                <w:szCs w:val="22"/>
              </w:rPr>
              <w:t>；保证按时供货的措施；</w:t>
            </w:r>
          </w:p>
          <w:p w14:paraId="4AA7DAD9">
            <w:pPr>
              <w:pStyle w:val="34"/>
              <w:spacing w:before="23" w:line="236" w:lineRule="auto"/>
              <w:ind w:left="127" w:right="227" w:hanging="2"/>
              <w:rPr>
                <w:b w:val="0"/>
                <w:i w:val="0"/>
                <w:color w:val="000000"/>
                <w:sz w:val="22"/>
                <w:szCs w:val="22"/>
              </w:rPr>
            </w:pPr>
            <w:r>
              <w:rPr>
                <w:b w:val="0"/>
                <w:i w:val="0"/>
                <w:color w:val="000000"/>
                <w:spacing w:val="-1"/>
                <w:sz w:val="22"/>
                <w:szCs w:val="22"/>
              </w:rPr>
              <w:t>第一档：方案、措施及承诺特别全面、合理</w:t>
            </w:r>
            <w:r>
              <w:rPr>
                <w:b w:val="0"/>
                <w:i w:val="0"/>
                <w:color w:val="000000"/>
                <w:spacing w:val="-2"/>
                <w:sz w:val="22"/>
                <w:szCs w:val="22"/>
              </w:rPr>
              <w:t>、可行、可实施性强，有详细的方案及措施，能较好地满足本项目要求的得</w:t>
            </w:r>
            <w:r>
              <w:rPr>
                <w:b w:val="0"/>
                <w:i w:val="0"/>
                <w:color w:val="000000"/>
                <w:spacing w:val="-10"/>
                <w:sz w:val="22"/>
                <w:szCs w:val="22"/>
              </w:rPr>
              <w:t>10分；</w:t>
            </w:r>
          </w:p>
          <w:p w14:paraId="3574AF9C">
            <w:pPr>
              <w:pStyle w:val="34"/>
              <w:spacing w:before="12" w:line="232" w:lineRule="auto"/>
              <w:ind w:left="130" w:right="228" w:hanging="5"/>
              <w:rPr>
                <w:b w:val="0"/>
                <w:i w:val="0"/>
                <w:color w:val="000000"/>
                <w:sz w:val="22"/>
                <w:szCs w:val="22"/>
              </w:rPr>
            </w:pPr>
            <w:r>
              <w:rPr>
                <w:b w:val="0"/>
                <w:i w:val="0"/>
                <w:color w:val="000000"/>
                <w:spacing w:val="-1"/>
                <w:sz w:val="22"/>
                <w:szCs w:val="22"/>
              </w:rPr>
              <w:t>第二档：方案各方面安排较合理，方案及措</w:t>
            </w:r>
            <w:r>
              <w:rPr>
                <w:b w:val="0"/>
                <w:i w:val="0"/>
                <w:color w:val="000000"/>
                <w:spacing w:val="-2"/>
                <w:sz w:val="22"/>
                <w:szCs w:val="22"/>
              </w:rPr>
              <w:t>施简单、可实践</w:t>
            </w:r>
            <w:r>
              <w:rPr>
                <w:b w:val="0"/>
                <w:i w:val="0"/>
                <w:color w:val="000000"/>
                <w:spacing w:val="-9"/>
                <w:sz w:val="22"/>
                <w:szCs w:val="22"/>
              </w:rPr>
              <w:t>实施的得7分；</w:t>
            </w:r>
          </w:p>
          <w:p w14:paraId="25C076A3">
            <w:pPr>
              <w:pStyle w:val="34"/>
              <w:spacing w:before="20" w:line="236" w:lineRule="auto"/>
              <w:ind w:left="135" w:right="228" w:hanging="10"/>
              <w:rPr>
                <w:b w:val="0"/>
                <w:i w:val="0"/>
                <w:color w:val="000000"/>
                <w:sz w:val="22"/>
                <w:szCs w:val="22"/>
              </w:rPr>
            </w:pPr>
            <w:r>
              <w:rPr>
                <w:b w:val="0"/>
                <w:i w:val="0"/>
                <w:color w:val="000000"/>
                <w:spacing w:val="-1"/>
                <w:sz w:val="22"/>
                <w:szCs w:val="22"/>
              </w:rPr>
              <w:t>第三档：方案各方面安排较差、产品退换货</w:t>
            </w:r>
            <w:r>
              <w:rPr>
                <w:b w:val="0"/>
                <w:i w:val="0"/>
                <w:color w:val="000000"/>
                <w:spacing w:val="-2"/>
                <w:sz w:val="22"/>
                <w:szCs w:val="22"/>
              </w:rPr>
              <w:t>方案及措施实践</w:t>
            </w:r>
            <w:r>
              <w:rPr>
                <w:b w:val="0"/>
                <w:i w:val="0"/>
                <w:color w:val="000000"/>
                <w:spacing w:val="-3"/>
                <w:sz w:val="22"/>
                <w:szCs w:val="22"/>
              </w:rPr>
              <w:t>实施性较差的得3分;</w:t>
            </w:r>
          </w:p>
          <w:p w14:paraId="639B9845">
            <w:pPr>
              <w:pStyle w:val="34"/>
              <w:spacing w:before="11" w:line="230" w:lineRule="auto"/>
              <w:ind w:left="143" w:right="248" w:hanging="18"/>
              <w:rPr>
                <w:b w:val="0"/>
                <w:i w:val="0"/>
                <w:color w:val="000000"/>
                <w:sz w:val="22"/>
                <w:szCs w:val="22"/>
              </w:rPr>
            </w:pPr>
            <w:r>
              <w:rPr>
                <w:b w:val="0"/>
                <w:i w:val="0"/>
                <w:color w:val="000000"/>
                <w:spacing w:val="-2"/>
                <w:sz w:val="22"/>
                <w:szCs w:val="22"/>
              </w:rPr>
              <w:t>第四档：有方案，但内容与本项目实际不符，无操作性</w:t>
            </w:r>
            <w:r>
              <w:rPr>
                <w:b w:val="0"/>
                <w:i w:val="0"/>
                <w:color w:val="000000"/>
                <w:spacing w:val="-3"/>
                <w:sz w:val="22"/>
                <w:szCs w:val="22"/>
              </w:rPr>
              <w:t>的得</w:t>
            </w:r>
            <w:r>
              <w:rPr>
                <w:b w:val="0"/>
                <w:i w:val="0"/>
                <w:color w:val="000000"/>
                <w:spacing w:val="-20"/>
                <w:sz w:val="22"/>
                <w:szCs w:val="22"/>
              </w:rPr>
              <w:t>1分；</w:t>
            </w:r>
          </w:p>
          <w:p w14:paraId="20F9B54A">
            <w:pPr>
              <w:pStyle w:val="34"/>
              <w:spacing w:before="12" w:line="201" w:lineRule="auto"/>
              <w:ind w:left="125"/>
              <w:rPr>
                <w:b w:val="0"/>
                <w:i w:val="0"/>
                <w:color w:val="000000"/>
                <w:sz w:val="22"/>
                <w:szCs w:val="22"/>
              </w:rPr>
            </w:pPr>
            <w:r>
              <w:rPr>
                <w:b w:val="0"/>
                <w:i w:val="0"/>
                <w:color w:val="000000"/>
                <w:spacing w:val="-3"/>
                <w:sz w:val="22"/>
                <w:szCs w:val="22"/>
              </w:rPr>
              <w:t>第五档：严重缺项或不提供，得0分。</w:t>
            </w:r>
          </w:p>
        </w:tc>
      </w:tr>
      <w:tr w14:paraId="7823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921" w:type="dxa"/>
            <w:vMerge w:val="continue"/>
            <w:shd w:val="clear" w:color="auto" w:fill="FFFFFF"/>
            <w:vAlign w:val="top"/>
          </w:tcPr>
          <w:p w14:paraId="46EC8508">
            <w:pPr>
              <w:rPr>
                <w:rFonts w:ascii="Arial"/>
                <w:b w:val="0"/>
                <w:i w:val="0"/>
                <w:color w:val="000000"/>
                <w:sz w:val="21"/>
              </w:rPr>
            </w:pPr>
          </w:p>
        </w:tc>
        <w:tc>
          <w:tcPr>
            <w:tcW w:w="1246" w:type="dxa"/>
            <w:vMerge w:val="continue"/>
            <w:shd w:val="clear" w:color="auto" w:fill="FFFFFF"/>
            <w:vAlign w:val="top"/>
          </w:tcPr>
          <w:p w14:paraId="487EBC09">
            <w:pPr>
              <w:rPr>
                <w:rFonts w:ascii="Arial"/>
                <w:b w:val="0"/>
                <w:i w:val="0"/>
                <w:color w:val="000000"/>
                <w:sz w:val="21"/>
              </w:rPr>
            </w:pPr>
          </w:p>
        </w:tc>
        <w:tc>
          <w:tcPr>
            <w:tcW w:w="1288" w:type="dxa"/>
            <w:shd w:val="clear" w:color="auto" w:fill="FFFFFF"/>
            <w:vAlign w:val="top"/>
          </w:tcPr>
          <w:p w14:paraId="7C1BEDED">
            <w:pPr>
              <w:spacing w:line="386" w:lineRule="auto"/>
              <w:rPr>
                <w:rFonts w:ascii="Arial"/>
                <w:b w:val="0"/>
                <w:i w:val="0"/>
                <w:color w:val="000000"/>
                <w:sz w:val="21"/>
              </w:rPr>
            </w:pPr>
          </w:p>
          <w:p w14:paraId="52F8699F">
            <w:pPr>
              <w:pStyle w:val="34"/>
              <w:spacing w:before="72" w:line="221" w:lineRule="auto"/>
              <w:ind w:left="235"/>
              <w:rPr>
                <w:b w:val="0"/>
                <w:i w:val="0"/>
                <w:color w:val="000000"/>
                <w:sz w:val="22"/>
                <w:szCs w:val="22"/>
              </w:rPr>
            </w:pPr>
            <w:r>
              <w:rPr>
                <w:b w:val="0"/>
                <w:i w:val="0"/>
                <w:color w:val="000000"/>
                <w:spacing w:val="-8"/>
                <w:sz w:val="22"/>
                <w:szCs w:val="22"/>
              </w:rPr>
              <w:t>实施方案</w:t>
            </w:r>
          </w:p>
          <w:p w14:paraId="729C9F01">
            <w:pPr>
              <w:pStyle w:val="34"/>
              <w:spacing w:before="75" w:line="221" w:lineRule="auto"/>
              <w:ind w:left="238"/>
              <w:rPr>
                <w:b w:val="0"/>
                <w:i w:val="0"/>
                <w:color w:val="000000"/>
                <w:sz w:val="22"/>
                <w:szCs w:val="22"/>
              </w:rPr>
            </w:pPr>
            <w:r>
              <w:rPr>
                <w:b w:val="0"/>
                <w:i w:val="0"/>
                <w:color w:val="000000"/>
                <w:spacing w:val="-10"/>
                <w:sz w:val="22"/>
                <w:szCs w:val="22"/>
              </w:rPr>
              <w:t>（10分）</w:t>
            </w:r>
          </w:p>
        </w:tc>
        <w:tc>
          <w:tcPr>
            <w:tcW w:w="6047" w:type="dxa"/>
            <w:shd w:val="clear" w:color="auto" w:fill="FFFFFF"/>
            <w:vAlign w:val="top"/>
          </w:tcPr>
          <w:p w14:paraId="3273F3E4">
            <w:pPr>
              <w:pStyle w:val="34"/>
              <w:spacing w:before="47" w:line="231" w:lineRule="auto"/>
              <w:ind w:left="135" w:right="304" w:hanging="11"/>
              <w:jc w:val="both"/>
              <w:rPr>
                <w:b w:val="0"/>
                <w:i w:val="0"/>
                <w:color w:val="000000"/>
                <w:sz w:val="22"/>
                <w:szCs w:val="22"/>
              </w:rPr>
            </w:pPr>
            <w:r>
              <w:rPr>
                <w:b w:val="0"/>
                <w:i w:val="0"/>
                <w:color w:val="000000"/>
                <w:spacing w:val="-4"/>
                <w:sz w:val="22"/>
                <w:szCs w:val="22"/>
              </w:rPr>
              <w:t>在满足招标文件要求的基础上，能够提出详细、科</w:t>
            </w:r>
            <w:r>
              <w:rPr>
                <w:b w:val="0"/>
                <w:i w:val="0"/>
                <w:color w:val="000000"/>
                <w:spacing w:val="-5"/>
                <w:sz w:val="22"/>
                <w:szCs w:val="22"/>
              </w:rPr>
              <w:t>学、合理的实施方案，重点把握项目内容的合理性、可落地性和实施</w:t>
            </w:r>
            <w:r>
              <w:rPr>
                <w:b w:val="0"/>
                <w:i w:val="0"/>
                <w:color w:val="000000"/>
                <w:spacing w:val="-13"/>
                <w:sz w:val="22"/>
                <w:szCs w:val="22"/>
              </w:rPr>
              <w:t>能力。</w:t>
            </w:r>
          </w:p>
          <w:p w14:paraId="3F5192A1">
            <w:pPr>
              <w:pStyle w:val="34"/>
              <w:spacing w:before="16" w:line="219" w:lineRule="auto"/>
              <w:ind w:left="142" w:right="311" w:hanging="17"/>
              <w:rPr>
                <w:b w:val="0"/>
                <w:i w:val="0"/>
                <w:color w:val="000000"/>
                <w:sz w:val="22"/>
                <w:szCs w:val="22"/>
              </w:rPr>
            </w:pPr>
            <w:r>
              <w:rPr>
                <w:b w:val="0"/>
                <w:i w:val="0"/>
                <w:color w:val="000000"/>
                <w:spacing w:val="-5"/>
                <w:sz w:val="22"/>
                <w:szCs w:val="22"/>
              </w:rPr>
              <w:t>第一档：结合本项目特点方案合理性，实施方案明确、完善</w:t>
            </w:r>
            <w:r>
              <w:rPr>
                <w:b w:val="0"/>
                <w:i w:val="0"/>
                <w:color w:val="000000"/>
                <w:spacing w:val="-7"/>
                <w:sz w:val="22"/>
                <w:szCs w:val="22"/>
              </w:rPr>
              <w:t>、可行、针对性强的得10分；</w:t>
            </w:r>
          </w:p>
        </w:tc>
      </w:tr>
      <w:tr w14:paraId="6F4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atLeast"/>
        </w:trPr>
        <w:tc>
          <w:tcPr>
            <w:tcW w:w="921" w:type="dxa"/>
            <w:vMerge w:val="restart"/>
            <w:shd w:val="clear" w:color="auto" w:fill="FFFFFF"/>
            <w:vAlign w:val="top"/>
          </w:tcPr>
          <w:p w14:paraId="1DD667A5">
            <w:pPr>
              <w:rPr>
                <w:rFonts w:ascii="Arial"/>
                <w:b w:val="0"/>
                <w:i w:val="0"/>
                <w:color w:val="000000"/>
                <w:sz w:val="21"/>
              </w:rPr>
            </w:pPr>
          </w:p>
        </w:tc>
        <w:tc>
          <w:tcPr>
            <w:tcW w:w="1246" w:type="dxa"/>
            <w:vMerge w:val="restart"/>
            <w:shd w:val="clear" w:color="auto" w:fill="FFFFFF"/>
            <w:vAlign w:val="top"/>
          </w:tcPr>
          <w:p w14:paraId="0A14A9B9">
            <w:pPr>
              <w:rPr>
                <w:rFonts w:ascii="Arial"/>
                <w:b w:val="0"/>
                <w:i w:val="0"/>
                <w:color w:val="000000"/>
                <w:sz w:val="21"/>
              </w:rPr>
            </w:pPr>
          </w:p>
        </w:tc>
        <w:tc>
          <w:tcPr>
            <w:tcW w:w="1288" w:type="dxa"/>
            <w:shd w:val="clear" w:color="auto" w:fill="FFFFFF"/>
            <w:vAlign w:val="top"/>
          </w:tcPr>
          <w:p w14:paraId="2F82800A">
            <w:pPr>
              <w:rPr>
                <w:rFonts w:ascii="Arial"/>
                <w:b w:val="0"/>
                <w:i w:val="0"/>
                <w:color w:val="000000"/>
                <w:sz w:val="21"/>
              </w:rPr>
            </w:pPr>
          </w:p>
        </w:tc>
        <w:tc>
          <w:tcPr>
            <w:tcW w:w="6047" w:type="dxa"/>
            <w:shd w:val="clear" w:color="auto" w:fill="FFFFFF"/>
            <w:vAlign w:val="top"/>
          </w:tcPr>
          <w:p w14:paraId="04ED2BEA">
            <w:pPr>
              <w:pStyle w:val="34"/>
              <w:spacing w:before="45" w:line="232" w:lineRule="auto"/>
              <w:ind w:left="126" w:right="312" w:hanging="2"/>
              <w:rPr>
                <w:b w:val="0"/>
                <w:i w:val="0"/>
                <w:color w:val="000000"/>
                <w:sz w:val="22"/>
                <w:szCs w:val="22"/>
              </w:rPr>
            </w:pPr>
            <w:r>
              <w:rPr>
                <w:b w:val="0"/>
                <w:i w:val="0"/>
                <w:color w:val="000000"/>
                <w:spacing w:val="-5"/>
                <w:sz w:val="22"/>
                <w:szCs w:val="22"/>
              </w:rPr>
              <w:t>第二档：结合本项目的特点，实施方案较完善、可行性相对</w:t>
            </w:r>
            <w:r>
              <w:rPr>
                <w:b w:val="0"/>
                <w:i w:val="0"/>
                <w:color w:val="000000"/>
                <w:spacing w:val="-6"/>
                <w:sz w:val="22"/>
                <w:szCs w:val="22"/>
              </w:rPr>
              <w:t>较强，较具针对性的得5分；</w:t>
            </w:r>
          </w:p>
          <w:p w14:paraId="6F75A7C6">
            <w:pPr>
              <w:pStyle w:val="34"/>
              <w:spacing w:before="15" w:line="230" w:lineRule="auto"/>
              <w:ind w:left="125" w:right="311" w:hanging="1"/>
              <w:rPr>
                <w:b w:val="0"/>
                <w:i w:val="0"/>
                <w:color w:val="000000"/>
                <w:sz w:val="22"/>
                <w:szCs w:val="22"/>
              </w:rPr>
            </w:pPr>
            <w:r>
              <w:rPr>
                <w:b w:val="0"/>
                <w:i w:val="0"/>
                <w:color w:val="000000"/>
                <w:spacing w:val="-5"/>
                <w:sz w:val="22"/>
                <w:szCs w:val="22"/>
              </w:rPr>
              <w:t>第三档：结合本项目特点，实施方案不完善、可行性弱，针</w:t>
            </w:r>
            <w:r>
              <w:rPr>
                <w:b w:val="0"/>
                <w:i w:val="0"/>
                <w:color w:val="000000"/>
                <w:spacing w:val="-8"/>
                <w:sz w:val="22"/>
                <w:szCs w:val="22"/>
              </w:rPr>
              <w:t>对性差得1分；</w:t>
            </w:r>
          </w:p>
          <w:p w14:paraId="79351F44">
            <w:pPr>
              <w:pStyle w:val="34"/>
              <w:spacing w:before="19" w:line="207" w:lineRule="auto"/>
              <w:ind w:left="124"/>
              <w:rPr>
                <w:b w:val="0"/>
                <w:i w:val="0"/>
                <w:color w:val="000000"/>
                <w:sz w:val="22"/>
                <w:szCs w:val="22"/>
              </w:rPr>
            </w:pPr>
            <w:r>
              <w:rPr>
                <w:b w:val="0"/>
                <w:i w:val="0"/>
                <w:color w:val="000000"/>
                <w:spacing w:val="-5"/>
                <w:sz w:val="22"/>
                <w:szCs w:val="22"/>
              </w:rPr>
              <w:t>第四档：严重缺项或不提供，得0分。</w:t>
            </w:r>
          </w:p>
        </w:tc>
      </w:tr>
      <w:tr w14:paraId="17A3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3" w:hRule="atLeast"/>
        </w:trPr>
        <w:tc>
          <w:tcPr>
            <w:tcW w:w="921" w:type="dxa"/>
            <w:vMerge w:val="continue"/>
            <w:shd w:val="clear" w:color="auto" w:fill="FFFFFF"/>
            <w:vAlign w:val="top"/>
          </w:tcPr>
          <w:p w14:paraId="627E34F3">
            <w:pPr>
              <w:rPr>
                <w:rFonts w:ascii="Arial"/>
                <w:b w:val="0"/>
                <w:i w:val="0"/>
                <w:color w:val="000000"/>
                <w:sz w:val="21"/>
              </w:rPr>
            </w:pPr>
          </w:p>
        </w:tc>
        <w:tc>
          <w:tcPr>
            <w:tcW w:w="1246" w:type="dxa"/>
            <w:vMerge w:val="continue"/>
            <w:shd w:val="clear" w:color="auto" w:fill="FFFFFF"/>
            <w:vAlign w:val="top"/>
          </w:tcPr>
          <w:p w14:paraId="361B2863">
            <w:pPr>
              <w:rPr>
                <w:rFonts w:ascii="Arial"/>
                <w:b w:val="0"/>
                <w:i w:val="0"/>
                <w:color w:val="000000"/>
                <w:sz w:val="21"/>
              </w:rPr>
            </w:pPr>
          </w:p>
        </w:tc>
        <w:tc>
          <w:tcPr>
            <w:tcW w:w="1288" w:type="dxa"/>
            <w:shd w:val="clear" w:color="auto" w:fill="FFFFFF"/>
            <w:vAlign w:val="top"/>
          </w:tcPr>
          <w:p w14:paraId="0317CA93">
            <w:pPr>
              <w:spacing w:line="277" w:lineRule="auto"/>
              <w:rPr>
                <w:rFonts w:ascii="Arial"/>
                <w:b w:val="0"/>
                <w:i w:val="0"/>
                <w:color w:val="000000"/>
                <w:sz w:val="21"/>
              </w:rPr>
            </w:pPr>
          </w:p>
          <w:p w14:paraId="46804223">
            <w:pPr>
              <w:spacing w:line="278" w:lineRule="auto"/>
              <w:rPr>
                <w:rFonts w:ascii="Arial"/>
                <w:b w:val="0"/>
                <w:i w:val="0"/>
                <w:color w:val="000000"/>
                <w:sz w:val="21"/>
              </w:rPr>
            </w:pPr>
          </w:p>
          <w:p w14:paraId="76561F23">
            <w:pPr>
              <w:pStyle w:val="34"/>
              <w:spacing w:before="71" w:line="218" w:lineRule="auto"/>
              <w:ind w:left="165"/>
              <w:rPr>
                <w:b w:val="0"/>
                <w:i w:val="0"/>
                <w:color w:val="000000"/>
                <w:sz w:val="22"/>
                <w:szCs w:val="22"/>
              </w:rPr>
            </w:pPr>
            <w:r>
              <w:rPr>
                <w:b w:val="0"/>
                <w:i w:val="0"/>
                <w:color w:val="000000"/>
                <w:spacing w:val="-3"/>
                <w:sz w:val="22"/>
                <w:szCs w:val="22"/>
              </w:rPr>
              <w:t>人员配备计</w:t>
            </w:r>
          </w:p>
          <w:p w14:paraId="78D8A86B">
            <w:pPr>
              <w:pStyle w:val="34"/>
              <w:spacing w:line="222" w:lineRule="auto"/>
              <w:ind w:left="600"/>
              <w:rPr>
                <w:b w:val="0"/>
                <w:i w:val="0"/>
                <w:color w:val="000000"/>
                <w:sz w:val="22"/>
                <w:szCs w:val="22"/>
              </w:rPr>
            </w:pPr>
            <w:r>
              <w:rPr>
                <w:b w:val="0"/>
                <w:i w:val="0"/>
                <w:color w:val="000000"/>
                <w:sz w:val="22"/>
                <w:szCs w:val="22"/>
              </w:rPr>
              <w:t>划</w:t>
            </w:r>
          </w:p>
          <w:p w14:paraId="60FF4C34">
            <w:pPr>
              <w:pStyle w:val="34"/>
              <w:spacing w:before="75" w:line="221" w:lineRule="auto"/>
              <w:ind w:left="280"/>
              <w:rPr>
                <w:b w:val="0"/>
                <w:i w:val="0"/>
                <w:color w:val="000000"/>
                <w:sz w:val="22"/>
                <w:szCs w:val="22"/>
              </w:rPr>
            </w:pPr>
            <w:r>
              <w:rPr>
                <w:b w:val="0"/>
                <w:i w:val="0"/>
                <w:color w:val="000000"/>
                <w:spacing w:val="-6"/>
                <w:sz w:val="22"/>
                <w:szCs w:val="22"/>
              </w:rPr>
              <w:t>（10分）</w:t>
            </w:r>
          </w:p>
        </w:tc>
        <w:tc>
          <w:tcPr>
            <w:tcW w:w="6047" w:type="dxa"/>
            <w:shd w:val="clear" w:color="auto" w:fill="FFFFFF"/>
            <w:vAlign w:val="top"/>
          </w:tcPr>
          <w:p w14:paraId="289DB91A">
            <w:pPr>
              <w:pStyle w:val="34"/>
              <w:spacing w:before="41" w:line="232" w:lineRule="auto"/>
              <w:ind w:left="138" w:right="304" w:hanging="14"/>
              <w:rPr>
                <w:b w:val="0"/>
                <w:i w:val="0"/>
                <w:color w:val="000000"/>
                <w:sz w:val="22"/>
                <w:szCs w:val="22"/>
              </w:rPr>
            </w:pPr>
            <w:r>
              <w:rPr>
                <w:b w:val="0"/>
                <w:i w:val="0"/>
                <w:color w:val="000000"/>
                <w:spacing w:val="-4"/>
                <w:sz w:val="22"/>
                <w:szCs w:val="22"/>
              </w:rPr>
              <w:t>供应商应列出拟投入本项目人员清单（人员数量</w:t>
            </w:r>
            <w:r>
              <w:rPr>
                <w:b w:val="0"/>
                <w:i w:val="0"/>
                <w:color w:val="000000"/>
                <w:spacing w:val="-5"/>
                <w:sz w:val="22"/>
                <w:szCs w:val="22"/>
              </w:rPr>
              <w:t>满足本项目</w:t>
            </w:r>
            <w:r>
              <w:rPr>
                <w:b w:val="0"/>
                <w:i w:val="0"/>
                <w:color w:val="000000"/>
                <w:spacing w:val="-6"/>
                <w:sz w:val="22"/>
                <w:szCs w:val="22"/>
              </w:rPr>
              <w:t>需求即可）及具体的人员分工、岗位职责等内容。</w:t>
            </w:r>
          </w:p>
          <w:p w14:paraId="11284E5D">
            <w:pPr>
              <w:pStyle w:val="34"/>
              <w:spacing w:before="17" w:line="229" w:lineRule="auto"/>
              <w:ind w:left="127" w:right="304" w:hanging="3"/>
              <w:rPr>
                <w:b w:val="0"/>
                <w:i w:val="0"/>
                <w:color w:val="000000"/>
                <w:sz w:val="22"/>
                <w:szCs w:val="22"/>
              </w:rPr>
            </w:pPr>
            <w:r>
              <w:rPr>
                <w:b w:val="0"/>
                <w:i w:val="0"/>
                <w:color w:val="000000"/>
                <w:spacing w:val="-4"/>
                <w:sz w:val="22"/>
                <w:szCs w:val="22"/>
              </w:rPr>
              <w:t>第一档：人员配备、分工及岗位职责清晰、合理</w:t>
            </w:r>
            <w:r>
              <w:rPr>
                <w:b w:val="0"/>
                <w:i w:val="0"/>
                <w:color w:val="000000"/>
                <w:spacing w:val="-5"/>
                <w:sz w:val="22"/>
                <w:szCs w:val="22"/>
              </w:rPr>
              <w:t>，完全满足</w:t>
            </w:r>
            <w:r>
              <w:rPr>
                <w:b w:val="0"/>
                <w:i w:val="0"/>
                <w:color w:val="000000"/>
                <w:spacing w:val="-7"/>
                <w:sz w:val="22"/>
                <w:szCs w:val="22"/>
              </w:rPr>
              <w:t>本项目需求的得10分；</w:t>
            </w:r>
          </w:p>
          <w:p w14:paraId="32A300A7">
            <w:pPr>
              <w:pStyle w:val="34"/>
              <w:spacing w:before="20" w:line="219" w:lineRule="auto"/>
              <w:ind w:left="124"/>
              <w:rPr>
                <w:b w:val="0"/>
                <w:i w:val="0"/>
                <w:color w:val="000000"/>
                <w:sz w:val="22"/>
                <w:szCs w:val="22"/>
              </w:rPr>
            </w:pPr>
            <w:r>
              <w:rPr>
                <w:b w:val="0"/>
                <w:i w:val="0"/>
                <w:color w:val="000000"/>
                <w:spacing w:val="-5"/>
                <w:sz w:val="22"/>
                <w:szCs w:val="22"/>
              </w:rPr>
              <w:t>第二档：基本合理，基本满足本项目需求的</w:t>
            </w:r>
            <w:r>
              <w:rPr>
                <w:b w:val="0"/>
                <w:i w:val="0"/>
                <w:color w:val="000000"/>
                <w:spacing w:val="-6"/>
                <w:sz w:val="22"/>
                <w:szCs w:val="22"/>
              </w:rPr>
              <w:t>得5分；</w:t>
            </w:r>
          </w:p>
          <w:p w14:paraId="4DC62CDE">
            <w:pPr>
              <w:pStyle w:val="34"/>
              <w:spacing w:before="34" w:line="219" w:lineRule="auto"/>
              <w:ind w:left="124"/>
              <w:rPr>
                <w:b w:val="0"/>
                <w:i w:val="0"/>
                <w:color w:val="000000"/>
                <w:sz w:val="22"/>
                <w:szCs w:val="22"/>
              </w:rPr>
            </w:pPr>
            <w:r>
              <w:rPr>
                <w:b w:val="0"/>
                <w:i w:val="0"/>
                <w:color w:val="000000"/>
                <w:spacing w:val="-5"/>
                <w:sz w:val="22"/>
                <w:szCs w:val="22"/>
              </w:rPr>
              <w:t>第三档：不够合理，难以满足本项目需求的</w:t>
            </w:r>
            <w:r>
              <w:rPr>
                <w:b w:val="0"/>
                <w:i w:val="0"/>
                <w:color w:val="000000"/>
                <w:spacing w:val="-6"/>
                <w:sz w:val="22"/>
                <w:szCs w:val="22"/>
              </w:rPr>
              <w:t>得1分；</w:t>
            </w:r>
          </w:p>
          <w:p w14:paraId="7726AB33">
            <w:pPr>
              <w:pStyle w:val="34"/>
              <w:spacing w:before="34" w:line="205" w:lineRule="auto"/>
              <w:ind w:left="124"/>
              <w:rPr>
                <w:b w:val="0"/>
                <w:i w:val="0"/>
                <w:color w:val="000000"/>
                <w:sz w:val="22"/>
                <w:szCs w:val="22"/>
              </w:rPr>
            </w:pPr>
            <w:r>
              <w:rPr>
                <w:b w:val="0"/>
                <w:i w:val="0"/>
                <w:color w:val="000000"/>
                <w:spacing w:val="-5"/>
                <w:sz w:val="22"/>
                <w:szCs w:val="22"/>
              </w:rPr>
              <w:t>第四档：严重缺项或不提供，得0分。</w:t>
            </w:r>
          </w:p>
        </w:tc>
      </w:tr>
      <w:tr w14:paraId="6519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1" w:hRule="atLeast"/>
        </w:trPr>
        <w:tc>
          <w:tcPr>
            <w:tcW w:w="921" w:type="dxa"/>
            <w:vMerge w:val="restart"/>
            <w:shd w:val="clear" w:color="auto" w:fill="FFFFFF"/>
            <w:vAlign w:val="top"/>
          </w:tcPr>
          <w:p w14:paraId="252ED1D0">
            <w:pPr>
              <w:spacing w:line="253" w:lineRule="auto"/>
              <w:rPr>
                <w:rFonts w:ascii="Arial"/>
                <w:b w:val="0"/>
                <w:i w:val="0"/>
                <w:color w:val="000000"/>
                <w:sz w:val="21"/>
              </w:rPr>
            </w:pPr>
          </w:p>
          <w:p w14:paraId="1F62D082">
            <w:pPr>
              <w:spacing w:line="253" w:lineRule="auto"/>
              <w:rPr>
                <w:rFonts w:ascii="Arial"/>
                <w:b w:val="0"/>
                <w:i w:val="0"/>
                <w:color w:val="000000"/>
                <w:sz w:val="21"/>
              </w:rPr>
            </w:pPr>
          </w:p>
          <w:p w14:paraId="37F51BB3">
            <w:pPr>
              <w:spacing w:line="253" w:lineRule="auto"/>
              <w:rPr>
                <w:rFonts w:ascii="Arial"/>
                <w:b w:val="0"/>
                <w:i w:val="0"/>
                <w:color w:val="000000"/>
                <w:sz w:val="21"/>
              </w:rPr>
            </w:pPr>
          </w:p>
          <w:p w14:paraId="1EDD8D79">
            <w:pPr>
              <w:spacing w:line="253" w:lineRule="auto"/>
              <w:rPr>
                <w:rFonts w:ascii="Arial"/>
                <w:b w:val="0"/>
                <w:i w:val="0"/>
                <w:color w:val="000000"/>
                <w:sz w:val="21"/>
              </w:rPr>
            </w:pPr>
          </w:p>
          <w:p w14:paraId="74DAA738">
            <w:pPr>
              <w:spacing w:line="254" w:lineRule="auto"/>
              <w:rPr>
                <w:rFonts w:ascii="Arial"/>
                <w:b w:val="0"/>
                <w:i w:val="0"/>
                <w:color w:val="000000"/>
                <w:sz w:val="21"/>
              </w:rPr>
            </w:pPr>
          </w:p>
          <w:p w14:paraId="1E4D6A73">
            <w:pPr>
              <w:spacing w:line="254" w:lineRule="auto"/>
              <w:rPr>
                <w:rFonts w:ascii="Arial"/>
                <w:b w:val="0"/>
                <w:i w:val="0"/>
                <w:color w:val="000000"/>
                <w:sz w:val="21"/>
              </w:rPr>
            </w:pPr>
          </w:p>
          <w:p w14:paraId="23A463C2">
            <w:pPr>
              <w:spacing w:line="254" w:lineRule="auto"/>
              <w:rPr>
                <w:rFonts w:ascii="Arial"/>
                <w:b w:val="0"/>
                <w:i w:val="0"/>
                <w:color w:val="000000"/>
                <w:sz w:val="21"/>
              </w:rPr>
            </w:pPr>
          </w:p>
          <w:p w14:paraId="59F1EA29">
            <w:pPr>
              <w:spacing w:line="254" w:lineRule="auto"/>
              <w:rPr>
                <w:rFonts w:ascii="Arial"/>
                <w:b w:val="0"/>
                <w:i w:val="0"/>
                <w:color w:val="000000"/>
                <w:sz w:val="21"/>
              </w:rPr>
            </w:pPr>
          </w:p>
          <w:p w14:paraId="65E2B884">
            <w:pPr>
              <w:pStyle w:val="34"/>
              <w:spacing w:before="72" w:line="232" w:lineRule="auto"/>
              <w:ind w:left="144"/>
              <w:rPr>
                <w:b w:val="0"/>
                <w:i w:val="0"/>
                <w:color w:val="000000"/>
                <w:sz w:val="22"/>
                <w:szCs w:val="22"/>
              </w:rPr>
            </w:pPr>
            <w:r>
              <w:rPr>
                <w:b w:val="0"/>
                <w:i w:val="0"/>
                <w:color w:val="000000"/>
                <w:spacing w:val="-8"/>
                <w:sz w:val="22"/>
                <w:szCs w:val="22"/>
              </w:rPr>
              <w:t>（3）</w:t>
            </w:r>
          </w:p>
        </w:tc>
        <w:tc>
          <w:tcPr>
            <w:tcW w:w="1246" w:type="dxa"/>
            <w:vMerge w:val="restart"/>
            <w:shd w:val="clear" w:color="auto" w:fill="FFFFFF"/>
            <w:vAlign w:val="top"/>
          </w:tcPr>
          <w:p w14:paraId="750C2AC4">
            <w:pPr>
              <w:spacing w:line="258" w:lineRule="auto"/>
              <w:rPr>
                <w:rFonts w:ascii="Arial"/>
                <w:b w:val="0"/>
                <w:i w:val="0"/>
                <w:color w:val="000000"/>
                <w:sz w:val="21"/>
              </w:rPr>
            </w:pPr>
          </w:p>
          <w:p w14:paraId="16656532">
            <w:pPr>
              <w:spacing w:line="258" w:lineRule="auto"/>
              <w:rPr>
                <w:rFonts w:ascii="Arial"/>
                <w:b w:val="0"/>
                <w:i w:val="0"/>
                <w:color w:val="000000"/>
                <w:sz w:val="21"/>
              </w:rPr>
            </w:pPr>
          </w:p>
          <w:p w14:paraId="76290E86">
            <w:pPr>
              <w:spacing w:line="258" w:lineRule="auto"/>
              <w:rPr>
                <w:rFonts w:ascii="Arial"/>
                <w:b w:val="0"/>
                <w:i w:val="0"/>
                <w:color w:val="000000"/>
                <w:sz w:val="21"/>
              </w:rPr>
            </w:pPr>
          </w:p>
          <w:p w14:paraId="7128881D">
            <w:pPr>
              <w:spacing w:line="258" w:lineRule="auto"/>
              <w:rPr>
                <w:rFonts w:ascii="Arial"/>
                <w:b w:val="0"/>
                <w:i w:val="0"/>
                <w:color w:val="000000"/>
                <w:sz w:val="21"/>
              </w:rPr>
            </w:pPr>
          </w:p>
          <w:p w14:paraId="1FA023A1">
            <w:pPr>
              <w:spacing w:line="258" w:lineRule="auto"/>
              <w:rPr>
                <w:rFonts w:ascii="Arial"/>
                <w:b w:val="0"/>
                <w:i w:val="0"/>
                <w:color w:val="000000"/>
                <w:sz w:val="21"/>
              </w:rPr>
            </w:pPr>
          </w:p>
          <w:p w14:paraId="293AA7C9">
            <w:pPr>
              <w:spacing w:line="258" w:lineRule="auto"/>
              <w:rPr>
                <w:rFonts w:ascii="Arial"/>
                <w:b w:val="0"/>
                <w:i w:val="0"/>
                <w:color w:val="000000"/>
                <w:sz w:val="21"/>
              </w:rPr>
            </w:pPr>
          </w:p>
          <w:p w14:paraId="61FCFB40">
            <w:pPr>
              <w:spacing w:line="259" w:lineRule="auto"/>
              <w:rPr>
                <w:rFonts w:ascii="Arial"/>
                <w:b w:val="0"/>
                <w:i w:val="0"/>
                <w:color w:val="000000"/>
                <w:sz w:val="21"/>
              </w:rPr>
            </w:pPr>
          </w:p>
          <w:p w14:paraId="4998CACC">
            <w:pPr>
              <w:spacing w:line="259" w:lineRule="auto"/>
              <w:rPr>
                <w:rFonts w:ascii="Arial"/>
                <w:b w:val="0"/>
                <w:i w:val="0"/>
                <w:color w:val="000000"/>
                <w:sz w:val="21"/>
              </w:rPr>
            </w:pPr>
          </w:p>
          <w:p w14:paraId="2729A37E">
            <w:pPr>
              <w:pStyle w:val="34"/>
              <w:spacing w:before="72" w:line="220" w:lineRule="auto"/>
              <w:ind w:left="122"/>
              <w:rPr>
                <w:b w:val="0"/>
                <w:i w:val="0"/>
                <w:color w:val="000000"/>
                <w:sz w:val="22"/>
                <w:szCs w:val="22"/>
              </w:rPr>
            </w:pPr>
            <w:r>
              <w:rPr>
                <w:b w:val="0"/>
                <w:i w:val="0"/>
                <w:color w:val="000000"/>
                <w:spacing w:val="-5"/>
                <w:sz w:val="22"/>
                <w:szCs w:val="22"/>
              </w:rPr>
              <w:t>综合部分</w:t>
            </w:r>
          </w:p>
          <w:p w14:paraId="3B3A9D94">
            <w:pPr>
              <w:pStyle w:val="34"/>
              <w:spacing w:before="3" w:line="221" w:lineRule="auto"/>
              <w:ind w:left="133"/>
              <w:rPr>
                <w:b w:val="0"/>
                <w:i w:val="0"/>
                <w:color w:val="000000"/>
                <w:sz w:val="22"/>
                <w:szCs w:val="22"/>
              </w:rPr>
            </w:pPr>
            <w:r>
              <w:rPr>
                <w:b w:val="0"/>
                <w:i w:val="0"/>
                <w:color w:val="000000"/>
                <w:spacing w:val="-8"/>
                <w:sz w:val="22"/>
                <w:szCs w:val="22"/>
              </w:rPr>
              <w:t>（20分）</w:t>
            </w:r>
          </w:p>
        </w:tc>
        <w:tc>
          <w:tcPr>
            <w:tcW w:w="1288" w:type="dxa"/>
            <w:shd w:val="clear" w:color="auto" w:fill="FFFFFF"/>
            <w:vAlign w:val="top"/>
          </w:tcPr>
          <w:p w14:paraId="0FD1C539">
            <w:pPr>
              <w:spacing w:line="249" w:lineRule="auto"/>
              <w:rPr>
                <w:rFonts w:ascii="Arial"/>
                <w:b w:val="0"/>
                <w:i w:val="0"/>
                <w:color w:val="000000"/>
                <w:sz w:val="21"/>
              </w:rPr>
            </w:pPr>
          </w:p>
          <w:p w14:paraId="28E514C9">
            <w:pPr>
              <w:spacing w:line="249" w:lineRule="auto"/>
              <w:rPr>
                <w:rFonts w:ascii="Arial"/>
                <w:b w:val="0"/>
                <w:i w:val="0"/>
                <w:color w:val="000000"/>
                <w:sz w:val="21"/>
              </w:rPr>
            </w:pPr>
          </w:p>
          <w:p w14:paraId="7E2DE492">
            <w:pPr>
              <w:spacing w:line="249" w:lineRule="auto"/>
              <w:rPr>
                <w:rFonts w:ascii="Arial"/>
                <w:b w:val="0"/>
                <w:i w:val="0"/>
                <w:color w:val="000000"/>
                <w:sz w:val="21"/>
              </w:rPr>
            </w:pPr>
          </w:p>
          <w:p w14:paraId="4D1E54BB">
            <w:pPr>
              <w:spacing w:line="249" w:lineRule="auto"/>
              <w:rPr>
                <w:rFonts w:ascii="Arial"/>
                <w:b w:val="0"/>
                <w:i w:val="0"/>
                <w:color w:val="000000"/>
                <w:sz w:val="21"/>
              </w:rPr>
            </w:pPr>
          </w:p>
          <w:p w14:paraId="529EEA2B">
            <w:pPr>
              <w:spacing w:line="249" w:lineRule="auto"/>
              <w:rPr>
                <w:rFonts w:ascii="Arial"/>
                <w:b w:val="0"/>
                <w:i w:val="0"/>
                <w:color w:val="000000"/>
                <w:sz w:val="21"/>
              </w:rPr>
            </w:pPr>
          </w:p>
          <w:p w14:paraId="7F71E9E5">
            <w:pPr>
              <w:pStyle w:val="34"/>
              <w:spacing w:before="71" w:line="220" w:lineRule="auto"/>
              <w:ind w:left="159"/>
              <w:rPr>
                <w:b w:val="0"/>
                <w:i w:val="0"/>
                <w:color w:val="000000"/>
                <w:sz w:val="22"/>
                <w:szCs w:val="22"/>
              </w:rPr>
            </w:pPr>
            <w:r>
              <w:rPr>
                <w:b w:val="0"/>
                <w:i w:val="0"/>
                <w:color w:val="000000"/>
                <w:spacing w:val="-3"/>
                <w:sz w:val="22"/>
                <w:szCs w:val="22"/>
              </w:rPr>
              <w:t>售后服务承</w:t>
            </w:r>
          </w:p>
          <w:p w14:paraId="572F8396">
            <w:pPr>
              <w:pStyle w:val="34"/>
              <w:spacing w:line="223" w:lineRule="auto"/>
              <w:ind w:left="596"/>
              <w:rPr>
                <w:b w:val="0"/>
                <w:i w:val="0"/>
                <w:color w:val="000000"/>
                <w:sz w:val="22"/>
                <w:szCs w:val="22"/>
              </w:rPr>
            </w:pPr>
            <w:r>
              <w:rPr>
                <w:b w:val="0"/>
                <w:i w:val="0"/>
                <w:color w:val="000000"/>
                <w:sz w:val="22"/>
                <w:szCs w:val="22"/>
              </w:rPr>
              <w:t>诺</w:t>
            </w:r>
          </w:p>
          <w:p w14:paraId="38D380C2">
            <w:pPr>
              <w:pStyle w:val="34"/>
              <w:spacing w:before="71" w:line="221" w:lineRule="auto"/>
              <w:ind w:left="273"/>
              <w:rPr>
                <w:b w:val="0"/>
                <w:i w:val="0"/>
                <w:color w:val="000000"/>
                <w:sz w:val="22"/>
                <w:szCs w:val="22"/>
              </w:rPr>
            </w:pPr>
            <w:r>
              <w:rPr>
                <w:b w:val="0"/>
                <w:i w:val="0"/>
                <w:color w:val="000000"/>
                <w:spacing w:val="-5"/>
                <w:sz w:val="22"/>
                <w:szCs w:val="22"/>
              </w:rPr>
              <w:t>（10分）</w:t>
            </w:r>
          </w:p>
        </w:tc>
        <w:tc>
          <w:tcPr>
            <w:tcW w:w="6047" w:type="dxa"/>
            <w:shd w:val="clear" w:color="auto" w:fill="FFFFFF"/>
            <w:vAlign w:val="top"/>
          </w:tcPr>
          <w:p w14:paraId="088BBA52">
            <w:pPr>
              <w:pStyle w:val="34"/>
              <w:spacing w:before="44" w:line="230" w:lineRule="auto"/>
              <w:ind w:left="127" w:right="356" w:hanging="3"/>
              <w:rPr>
                <w:b w:val="0"/>
                <w:i w:val="0"/>
                <w:color w:val="000000"/>
                <w:sz w:val="22"/>
                <w:szCs w:val="22"/>
              </w:rPr>
            </w:pPr>
            <w:r>
              <w:rPr>
                <w:b w:val="0"/>
                <w:i w:val="0"/>
                <w:color w:val="000000"/>
                <w:spacing w:val="-6"/>
                <w:sz w:val="22"/>
                <w:szCs w:val="22"/>
              </w:rPr>
              <w:t>售后服务包括但不限于售后服务计划；常见问题</w:t>
            </w:r>
            <w:r>
              <w:rPr>
                <w:b w:val="0"/>
                <w:i w:val="0"/>
                <w:color w:val="000000"/>
                <w:spacing w:val="-7"/>
                <w:sz w:val="22"/>
                <w:szCs w:val="22"/>
              </w:rPr>
              <w:t>解决方案；</w:t>
            </w:r>
            <w:r>
              <w:rPr>
                <w:b w:val="0"/>
                <w:i w:val="0"/>
                <w:color w:val="000000"/>
                <w:spacing w:val="-5"/>
                <w:sz w:val="22"/>
                <w:szCs w:val="22"/>
              </w:rPr>
              <w:t>质保期内、质保期外服务标准等</w:t>
            </w:r>
          </w:p>
          <w:p w14:paraId="1D056E1F">
            <w:pPr>
              <w:pStyle w:val="34"/>
              <w:spacing w:before="18" w:line="231" w:lineRule="auto"/>
              <w:ind w:left="126" w:right="304" w:hanging="2"/>
              <w:rPr>
                <w:b w:val="0"/>
                <w:i w:val="0"/>
                <w:color w:val="000000"/>
                <w:sz w:val="22"/>
                <w:szCs w:val="22"/>
              </w:rPr>
            </w:pPr>
            <w:r>
              <w:rPr>
                <w:b w:val="0"/>
                <w:i w:val="0"/>
                <w:color w:val="000000"/>
                <w:spacing w:val="-4"/>
                <w:sz w:val="22"/>
                <w:szCs w:val="22"/>
              </w:rPr>
              <w:t>第一档：售后服务方案、措施及承诺特别全面、</w:t>
            </w:r>
            <w:r>
              <w:rPr>
                <w:b w:val="0"/>
                <w:i w:val="0"/>
                <w:color w:val="000000"/>
                <w:spacing w:val="-5"/>
                <w:sz w:val="22"/>
                <w:szCs w:val="22"/>
              </w:rPr>
              <w:t>合理、可行、可实施性强，有详细的质保期内、质保期外服务标准，能</w:t>
            </w:r>
            <w:r>
              <w:rPr>
                <w:b w:val="0"/>
                <w:i w:val="0"/>
                <w:color w:val="000000"/>
                <w:spacing w:val="-6"/>
                <w:sz w:val="22"/>
                <w:szCs w:val="22"/>
              </w:rPr>
              <w:t>较好地满足本项目要求的得10分；</w:t>
            </w:r>
          </w:p>
          <w:p w14:paraId="07DDB6B0">
            <w:pPr>
              <w:pStyle w:val="34"/>
              <w:spacing w:before="18" w:line="229" w:lineRule="auto"/>
              <w:ind w:left="129" w:right="304" w:hanging="5"/>
              <w:rPr>
                <w:b w:val="0"/>
                <w:i w:val="0"/>
                <w:color w:val="000000"/>
                <w:sz w:val="22"/>
                <w:szCs w:val="22"/>
              </w:rPr>
            </w:pPr>
            <w:r>
              <w:rPr>
                <w:b w:val="0"/>
                <w:i w:val="0"/>
                <w:color w:val="000000"/>
                <w:spacing w:val="-4"/>
                <w:sz w:val="22"/>
                <w:szCs w:val="22"/>
              </w:rPr>
              <w:t>第二档：售后服务方案各方面安排较合理，质保</w:t>
            </w:r>
            <w:r>
              <w:rPr>
                <w:b w:val="0"/>
                <w:i w:val="0"/>
                <w:color w:val="000000"/>
                <w:spacing w:val="-5"/>
                <w:sz w:val="22"/>
                <w:szCs w:val="22"/>
              </w:rPr>
              <w:t>期内、质保</w:t>
            </w:r>
            <w:r>
              <w:rPr>
                <w:b w:val="0"/>
                <w:i w:val="0"/>
                <w:color w:val="000000"/>
                <w:spacing w:val="-6"/>
                <w:sz w:val="22"/>
                <w:szCs w:val="22"/>
              </w:rPr>
              <w:t>期外服务标准简单、可实践实施的得7分；</w:t>
            </w:r>
          </w:p>
          <w:p w14:paraId="53A31300">
            <w:pPr>
              <w:pStyle w:val="34"/>
              <w:spacing w:before="20" w:line="230" w:lineRule="auto"/>
              <w:ind w:left="144" w:right="304" w:hanging="20"/>
              <w:rPr>
                <w:b w:val="0"/>
                <w:i w:val="0"/>
                <w:color w:val="000000"/>
                <w:sz w:val="22"/>
                <w:szCs w:val="22"/>
              </w:rPr>
            </w:pPr>
            <w:r>
              <w:rPr>
                <w:b w:val="0"/>
                <w:i w:val="0"/>
                <w:color w:val="000000"/>
                <w:spacing w:val="-4"/>
                <w:sz w:val="22"/>
                <w:szCs w:val="22"/>
              </w:rPr>
              <w:t>第三档：售后服务方案各方面安排较差、均为通</w:t>
            </w:r>
            <w:r>
              <w:rPr>
                <w:b w:val="0"/>
                <w:i w:val="0"/>
                <w:color w:val="000000"/>
                <w:spacing w:val="-5"/>
                <w:sz w:val="22"/>
                <w:szCs w:val="22"/>
              </w:rPr>
              <w:t>用性的说明</w:t>
            </w:r>
            <w:r>
              <w:rPr>
                <w:b w:val="0"/>
                <w:i w:val="0"/>
                <w:color w:val="000000"/>
                <w:spacing w:val="-2"/>
                <w:sz w:val="22"/>
                <w:szCs w:val="22"/>
              </w:rPr>
              <w:t>,质保期内、质保期外服务标准实践实施性较差得3分；</w:t>
            </w:r>
          </w:p>
          <w:p w14:paraId="21257932">
            <w:pPr>
              <w:pStyle w:val="34"/>
              <w:spacing w:before="19" w:line="232" w:lineRule="auto"/>
              <w:ind w:left="127" w:right="304" w:hanging="3"/>
              <w:rPr>
                <w:b w:val="0"/>
                <w:i w:val="0"/>
                <w:color w:val="000000"/>
                <w:sz w:val="22"/>
                <w:szCs w:val="22"/>
              </w:rPr>
            </w:pPr>
            <w:r>
              <w:rPr>
                <w:b w:val="0"/>
                <w:i w:val="0"/>
                <w:color w:val="000000"/>
                <w:spacing w:val="-4"/>
                <w:sz w:val="22"/>
                <w:szCs w:val="22"/>
              </w:rPr>
              <w:t>第四档：有售后服务方案，但内容与本项目实际</w:t>
            </w:r>
            <w:r>
              <w:rPr>
                <w:b w:val="0"/>
                <w:i w:val="0"/>
                <w:color w:val="000000"/>
                <w:spacing w:val="-5"/>
                <w:sz w:val="22"/>
                <w:szCs w:val="22"/>
              </w:rPr>
              <w:t>不符，无操</w:t>
            </w:r>
            <w:r>
              <w:rPr>
                <w:b w:val="0"/>
                <w:i w:val="0"/>
                <w:color w:val="000000"/>
                <w:spacing w:val="-10"/>
                <w:sz w:val="22"/>
                <w:szCs w:val="22"/>
              </w:rPr>
              <w:t>作性的得1分；</w:t>
            </w:r>
          </w:p>
          <w:p w14:paraId="15991F18">
            <w:pPr>
              <w:pStyle w:val="34"/>
              <w:spacing w:before="17" w:line="203" w:lineRule="auto"/>
              <w:ind w:left="124"/>
              <w:rPr>
                <w:b w:val="0"/>
                <w:i w:val="0"/>
                <w:color w:val="000000"/>
                <w:sz w:val="22"/>
                <w:szCs w:val="22"/>
              </w:rPr>
            </w:pPr>
            <w:r>
              <w:rPr>
                <w:b w:val="0"/>
                <w:i w:val="0"/>
                <w:color w:val="000000"/>
                <w:spacing w:val="-5"/>
                <w:sz w:val="22"/>
                <w:szCs w:val="22"/>
              </w:rPr>
              <w:t>第五档：严重缺项或不提供，得0分。</w:t>
            </w:r>
          </w:p>
        </w:tc>
      </w:tr>
      <w:tr w14:paraId="7FF0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921" w:type="dxa"/>
            <w:vMerge w:val="continue"/>
            <w:shd w:val="clear" w:color="auto" w:fill="FFFFFF"/>
            <w:vAlign w:val="top"/>
          </w:tcPr>
          <w:p w14:paraId="5CC6A377">
            <w:pPr>
              <w:rPr>
                <w:rFonts w:ascii="Arial"/>
                <w:b w:val="0"/>
                <w:i w:val="0"/>
                <w:color w:val="000000"/>
                <w:sz w:val="21"/>
              </w:rPr>
            </w:pPr>
          </w:p>
        </w:tc>
        <w:tc>
          <w:tcPr>
            <w:tcW w:w="1246" w:type="dxa"/>
            <w:vMerge w:val="continue"/>
            <w:shd w:val="clear" w:color="auto" w:fill="FFFFFF"/>
            <w:vAlign w:val="top"/>
          </w:tcPr>
          <w:p w14:paraId="73D76FE8">
            <w:pPr>
              <w:rPr>
                <w:rFonts w:ascii="Arial"/>
                <w:b w:val="0"/>
                <w:i w:val="0"/>
                <w:color w:val="000000"/>
                <w:sz w:val="21"/>
              </w:rPr>
            </w:pPr>
          </w:p>
        </w:tc>
        <w:tc>
          <w:tcPr>
            <w:tcW w:w="1288" w:type="dxa"/>
            <w:shd w:val="clear" w:color="auto" w:fill="FFFFFF"/>
            <w:vAlign w:val="top"/>
          </w:tcPr>
          <w:p w14:paraId="7CD98C57">
            <w:pPr>
              <w:pStyle w:val="34"/>
              <w:spacing w:before="212" w:line="220" w:lineRule="auto"/>
              <w:ind w:left="216"/>
              <w:rPr>
                <w:b w:val="0"/>
                <w:i w:val="0"/>
                <w:color w:val="000000"/>
                <w:sz w:val="22"/>
                <w:szCs w:val="22"/>
              </w:rPr>
            </w:pPr>
            <w:r>
              <w:rPr>
                <w:b w:val="0"/>
                <w:i w:val="0"/>
                <w:color w:val="000000"/>
                <w:spacing w:val="-3"/>
                <w:sz w:val="22"/>
                <w:szCs w:val="22"/>
              </w:rPr>
              <w:t>业绩（4分</w:t>
            </w:r>
          </w:p>
          <w:p w14:paraId="37B1C702">
            <w:pPr>
              <w:pStyle w:val="34"/>
              <w:spacing w:line="223" w:lineRule="auto"/>
              <w:ind w:left="619"/>
              <w:rPr>
                <w:b w:val="0"/>
                <w:i w:val="0"/>
                <w:color w:val="000000"/>
                <w:sz w:val="22"/>
                <w:szCs w:val="22"/>
              </w:rPr>
            </w:pPr>
            <w:r>
              <w:rPr>
                <w:b w:val="0"/>
                <w:i w:val="0"/>
                <w:color w:val="000000"/>
                <w:sz w:val="22"/>
                <w:szCs w:val="22"/>
              </w:rPr>
              <w:t>)</w:t>
            </w:r>
          </w:p>
        </w:tc>
        <w:tc>
          <w:tcPr>
            <w:tcW w:w="6047" w:type="dxa"/>
            <w:shd w:val="clear" w:color="auto" w:fill="FFFFFF"/>
            <w:vAlign w:val="top"/>
          </w:tcPr>
          <w:p w14:paraId="525763C2">
            <w:pPr>
              <w:pStyle w:val="34"/>
              <w:spacing w:before="46" w:line="221" w:lineRule="auto"/>
              <w:ind w:left="125" w:right="199"/>
              <w:jc w:val="both"/>
              <w:rPr>
                <w:b w:val="0"/>
                <w:i w:val="0"/>
                <w:color w:val="000000"/>
                <w:sz w:val="22"/>
                <w:szCs w:val="22"/>
              </w:rPr>
            </w:pPr>
            <w:r>
              <w:rPr>
                <w:b w:val="0"/>
                <w:i w:val="0"/>
                <w:color w:val="000000"/>
                <w:spacing w:val="-4"/>
                <w:sz w:val="22"/>
                <w:szCs w:val="22"/>
              </w:rPr>
              <w:t>提供2022年以来已完成的相同或类似项目业绩合同</w:t>
            </w:r>
            <w:r>
              <w:rPr>
                <w:b w:val="0"/>
                <w:i w:val="0"/>
                <w:color w:val="000000"/>
                <w:spacing w:val="-5"/>
                <w:sz w:val="22"/>
                <w:szCs w:val="22"/>
              </w:rPr>
              <w:t>，每提供1</w:t>
            </w:r>
            <w:r>
              <w:rPr>
                <w:b w:val="0"/>
                <w:i w:val="0"/>
                <w:color w:val="000000"/>
                <w:spacing w:val="-4"/>
                <w:sz w:val="22"/>
                <w:szCs w:val="22"/>
              </w:rPr>
              <w:t>份得2分，最高得4分,没有不得分。（评审时审验中</w:t>
            </w:r>
            <w:r>
              <w:rPr>
                <w:b w:val="0"/>
                <w:i w:val="0"/>
                <w:color w:val="000000"/>
                <w:spacing w:val="-5"/>
                <w:sz w:val="22"/>
                <w:szCs w:val="22"/>
              </w:rPr>
              <w:t>标通知书</w:t>
            </w:r>
            <w:r>
              <w:rPr>
                <w:b w:val="0"/>
                <w:i w:val="0"/>
                <w:color w:val="000000"/>
                <w:spacing w:val="-6"/>
                <w:sz w:val="22"/>
                <w:szCs w:val="22"/>
              </w:rPr>
              <w:t>及合同扫描件）</w:t>
            </w:r>
          </w:p>
        </w:tc>
      </w:tr>
      <w:tr w14:paraId="53B1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atLeast"/>
        </w:trPr>
        <w:tc>
          <w:tcPr>
            <w:tcW w:w="921" w:type="dxa"/>
            <w:vMerge w:val="continue"/>
            <w:shd w:val="clear" w:color="auto" w:fill="FFFFFF"/>
            <w:vAlign w:val="top"/>
          </w:tcPr>
          <w:p w14:paraId="25FACCBF">
            <w:pPr>
              <w:rPr>
                <w:rFonts w:ascii="Arial"/>
                <w:b w:val="0"/>
                <w:i w:val="0"/>
                <w:color w:val="000000"/>
                <w:sz w:val="21"/>
              </w:rPr>
            </w:pPr>
          </w:p>
        </w:tc>
        <w:tc>
          <w:tcPr>
            <w:tcW w:w="1246" w:type="dxa"/>
            <w:vMerge w:val="continue"/>
            <w:shd w:val="clear" w:color="auto" w:fill="FFFFFF"/>
            <w:vAlign w:val="top"/>
          </w:tcPr>
          <w:p w14:paraId="5184AE92">
            <w:pPr>
              <w:rPr>
                <w:rFonts w:ascii="Arial"/>
                <w:b w:val="0"/>
                <w:i w:val="0"/>
                <w:color w:val="000000"/>
                <w:sz w:val="21"/>
              </w:rPr>
            </w:pPr>
          </w:p>
        </w:tc>
        <w:tc>
          <w:tcPr>
            <w:tcW w:w="1288" w:type="dxa"/>
            <w:shd w:val="clear" w:color="auto" w:fill="FFFFFF"/>
            <w:vAlign w:val="top"/>
          </w:tcPr>
          <w:p w14:paraId="010D12B4">
            <w:pPr>
              <w:pStyle w:val="34"/>
              <w:spacing w:before="102" w:line="221" w:lineRule="auto"/>
              <w:ind w:left="212"/>
              <w:rPr>
                <w:b w:val="0"/>
                <w:i w:val="0"/>
                <w:color w:val="000000"/>
                <w:sz w:val="22"/>
                <w:szCs w:val="22"/>
              </w:rPr>
            </w:pPr>
            <w:r>
              <w:rPr>
                <w:b w:val="0"/>
                <w:i w:val="0"/>
                <w:color w:val="000000"/>
                <w:spacing w:val="-4"/>
                <w:sz w:val="22"/>
                <w:szCs w:val="22"/>
              </w:rPr>
              <w:t>投标文</w:t>
            </w:r>
          </w:p>
          <w:p w14:paraId="7001681F">
            <w:pPr>
              <w:pStyle w:val="34"/>
              <w:spacing w:before="10" w:line="220" w:lineRule="auto"/>
              <w:ind w:left="213"/>
              <w:rPr>
                <w:b w:val="0"/>
                <w:i w:val="0"/>
                <w:color w:val="000000"/>
                <w:sz w:val="22"/>
                <w:szCs w:val="22"/>
              </w:rPr>
            </w:pPr>
            <w:r>
              <w:rPr>
                <w:b w:val="0"/>
                <w:i w:val="0"/>
                <w:color w:val="000000"/>
                <w:spacing w:val="-3"/>
                <w:sz w:val="22"/>
                <w:szCs w:val="22"/>
              </w:rPr>
              <w:t>件符合</w:t>
            </w:r>
          </w:p>
          <w:p w14:paraId="5743D320">
            <w:pPr>
              <w:pStyle w:val="34"/>
              <w:spacing w:before="10" w:line="243" w:lineRule="auto"/>
              <w:ind w:left="170" w:right="391" w:firstLine="46"/>
              <w:jc w:val="both"/>
              <w:rPr>
                <w:b w:val="0"/>
                <w:i w:val="0"/>
                <w:color w:val="000000"/>
                <w:sz w:val="22"/>
                <w:szCs w:val="22"/>
              </w:rPr>
            </w:pPr>
            <w:r>
              <w:rPr>
                <w:b w:val="0"/>
                <w:i w:val="0"/>
                <w:color w:val="000000"/>
                <w:spacing w:val="-5"/>
                <w:sz w:val="22"/>
                <w:szCs w:val="22"/>
              </w:rPr>
              <w:t>性响应</w:t>
            </w:r>
            <w:r>
              <w:rPr>
                <w:b w:val="0"/>
                <w:i w:val="0"/>
                <w:color w:val="000000"/>
                <w:spacing w:val="16"/>
                <w:w w:val="125"/>
                <w:sz w:val="22"/>
                <w:szCs w:val="22"/>
              </w:rPr>
              <w:t>程度</w:t>
            </w:r>
            <w:r>
              <w:rPr>
                <w:b w:val="0"/>
                <w:i w:val="0"/>
                <w:color w:val="000000"/>
                <w:spacing w:val="-13"/>
                <w:sz w:val="22"/>
                <w:szCs w:val="22"/>
              </w:rPr>
              <w:t>（6分）</w:t>
            </w:r>
          </w:p>
        </w:tc>
        <w:tc>
          <w:tcPr>
            <w:tcW w:w="6047" w:type="dxa"/>
            <w:shd w:val="clear" w:color="auto" w:fill="FFFFFF"/>
            <w:vAlign w:val="top"/>
          </w:tcPr>
          <w:p w14:paraId="3CDCA413">
            <w:pPr>
              <w:pStyle w:val="34"/>
              <w:spacing w:before="45" w:line="230" w:lineRule="auto"/>
              <w:ind w:left="126" w:right="250"/>
              <w:jc w:val="both"/>
              <w:rPr>
                <w:b w:val="0"/>
                <w:i w:val="0"/>
                <w:color w:val="000000"/>
                <w:sz w:val="22"/>
                <w:szCs w:val="22"/>
              </w:rPr>
            </w:pPr>
            <w:r>
              <w:rPr>
                <w:b w:val="0"/>
                <w:i w:val="0"/>
                <w:color w:val="000000"/>
                <w:spacing w:val="-6"/>
                <w:sz w:val="22"/>
                <w:szCs w:val="22"/>
              </w:rPr>
              <w:t>投标文件符合招标文件所有条款条件，制作规范最</w:t>
            </w:r>
            <w:r>
              <w:rPr>
                <w:b w:val="0"/>
                <w:i w:val="0"/>
                <w:color w:val="000000"/>
                <w:spacing w:val="-7"/>
                <w:sz w:val="22"/>
                <w:szCs w:val="22"/>
              </w:rPr>
              <w:t>多得6分；</w:t>
            </w:r>
            <w:r>
              <w:rPr>
                <w:b w:val="0"/>
                <w:i w:val="0"/>
                <w:color w:val="000000"/>
                <w:spacing w:val="-4"/>
                <w:sz w:val="22"/>
                <w:szCs w:val="22"/>
              </w:rPr>
              <w:t>若投标文件与招标文件要求有偏离，但不影响</w:t>
            </w:r>
            <w:r>
              <w:rPr>
                <w:b w:val="0"/>
                <w:i w:val="0"/>
                <w:color w:val="000000"/>
                <w:spacing w:val="-5"/>
                <w:sz w:val="22"/>
                <w:szCs w:val="22"/>
              </w:rPr>
              <w:t>到实质性响应</w:t>
            </w:r>
            <w:r>
              <w:rPr>
                <w:b w:val="0"/>
                <w:i w:val="0"/>
                <w:color w:val="000000"/>
                <w:spacing w:val="-1"/>
                <w:sz w:val="22"/>
                <w:szCs w:val="22"/>
              </w:rPr>
              <w:t>,有一项细微偏差扣1分，直至该项分值扣完为止。</w:t>
            </w:r>
          </w:p>
        </w:tc>
      </w:tr>
      <w:tr w14:paraId="2507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trPr>
        <w:tc>
          <w:tcPr>
            <w:tcW w:w="9502" w:type="dxa"/>
            <w:gridSpan w:val="4"/>
            <w:shd w:val="clear" w:color="auto" w:fill="FFFFFF"/>
            <w:vAlign w:val="top"/>
          </w:tcPr>
          <w:p w14:paraId="5104BCA5">
            <w:pPr>
              <w:pStyle w:val="34"/>
              <w:spacing w:before="103" w:line="222" w:lineRule="auto"/>
              <w:ind w:left="128"/>
              <w:rPr>
                <w:b w:val="0"/>
                <w:i w:val="0"/>
                <w:color w:val="000000"/>
                <w:sz w:val="22"/>
                <w:szCs w:val="22"/>
              </w:rPr>
            </w:pPr>
            <w:r>
              <w:rPr>
                <w:b w:val="0"/>
                <w:i w:val="0"/>
                <w:color w:val="000000"/>
                <w:spacing w:val="-15"/>
                <w:sz w:val="22"/>
                <w:szCs w:val="22"/>
              </w:rPr>
              <w:t>备注：</w:t>
            </w:r>
          </w:p>
          <w:p w14:paraId="72DB9D3C">
            <w:pPr>
              <w:pStyle w:val="34"/>
              <w:spacing w:before="86" w:line="220" w:lineRule="auto"/>
              <w:ind w:left="128"/>
              <w:rPr>
                <w:b w:val="0"/>
                <w:i w:val="0"/>
                <w:color w:val="000000"/>
                <w:sz w:val="22"/>
                <w:szCs w:val="22"/>
              </w:rPr>
            </w:pPr>
            <w:r>
              <w:rPr>
                <w:b w:val="0"/>
                <w:i w:val="0"/>
                <w:color w:val="000000"/>
                <w:spacing w:val="-4"/>
                <w:sz w:val="22"/>
                <w:szCs w:val="22"/>
              </w:rPr>
              <w:t>投标人综合得分等于以上三项的汇总得分。</w:t>
            </w:r>
          </w:p>
          <w:p w14:paraId="020E148A">
            <w:pPr>
              <w:pStyle w:val="34"/>
              <w:spacing w:before="89" w:line="221" w:lineRule="auto"/>
              <w:ind w:left="138" w:right="427" w:hanging="13"/>
              <w:rPr>
                <w:b w:val="0"/>
                <w:i w:val="0"/>
                <w:color w:val="000000"/>
                <w:sz w:val="22"/>
                <w:szCs w:val="22"/>
              </w:rPr>
            </w:pPr>
            <w:r>
              <w:rPr>
                <w:b w:val="0"/>
                <w:i w:val="0"/>
                <w:color w:val="000000"/>
                <w:spacing w:val="-2"/>
                <w:sz w:val="22"/>
                <w:szCs w:val="22"/>
              </w:rPr>
              <w:t>评标委员会对各投标人的得分进行汇总，计算过程中评委个人分值按四舍五入保留三</w:t>
            </w:r>
            <w:r>
              <w:rPr>
                <w:b w:val="0"/>
                <w:i w:val="0"/>
                <w:color w:val="000000"/>
                <w:spacing w:val="-3"/>
                <w:sz w:val="22"/>
                <w:szCs w:val="22"/>
              </w:rPr>
              <w:t>位小数,</w:t>
            </w:r>
            <w:r>
              <w:rPr>
                <w:b w:val="0"/>
                <w:i w:val="0"/>
                <w:color w:val="000000"/>
                <w:spacing w:val="-2"/>
                <w:sz w:val="22"/>
                <w:szCs w:val="22"/>
              </w:rPr>
              <w:t>最终结果按四舍五入保留两位小数。以各评标委员会打分的算术平均值作</w:t>
            </w:r>
            <w:r>
              <w:rPr>
                <w:b w:val="0"/>
                <w:i w:val="0"/>
                <w:color w:val="000000"/>
                <w:spacing w:val="-3"/>
                <w:sz w:val="22"/>
                <w:szCs w:val="22"/>
              </w:rPr>
              <w:t>为该投标人的最终得</w:t>
            </w:r>
            <w:r>
              <w:rPr>
                <w:b w:val="0"/>
                <w:i w:val="0"/>
                <w:color w:val="000000"/>
                <w:sz w:val="22"/>
                <w:szCs w:val="22"/>
              </w:rPr>
              <w:t>分</w:t>
            </w:r>
          </w:p>
        </w:tc>
      </w:tr>
    </w:tbl>
    <w:p w14:paraId="75D21B95">
      <w:pPr>
        <w:pStyle w:val="31"/>
      </w:pPr>
    </w:p>
    <w:p w14:paraId="2F2ACB83">
      <w:pPr>
        <w:kinsoku/>
        <w:wordWrap w:val="0"/>
        <w:spacing w:before="39"/>
        <w:jc w:val="center"/>
        <w:rPr>
          <w:rFonts w:asciiTheme="minorEastAsia" w:hAnsiTheme="minorEastAsia" w:eastAsiaTheme="minorEastAsia" w:cstheme="minorEastAsia"/>
        </w:rPr>
      </w:pPr>
    </w:p>
    <w:p w14:paraId="146E91AC">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spacing w:val="2"/>
          <w:position w:val="17"/>
          <w:sz w:val="24"/>
          <w:szCs w:val="24"/>
          <w:lang w:eastAsia="zh-CN"/>
        </w:rPr>
        <w:t>备注：严格执行《南阳市政府采购负面清单》，根据实际项目需要设置科学合理的评分因素及分值。</w:t>
      </w:r>
    </w:p>
    <w:p w14:paraId="060FB43F">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六.中标通知及签订合同</w:t>
      </w:r>
    </w:p>
    <w:p w14:paraId="57A2E500">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1.中标通知</w:t>
      </w:r>
    </w:p>
    <w:p w14:paraId="3ECDD9F5">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1.1中标人被正式确定后，将在“河南省政府采购网”和“淅川县公共资源交易中心网”上公告中标结果，同时向中标人发出《中标通知书》。</w:t>
      </w:r>
    </w:p>
    <w:p w14:paraId="3D0D1C3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1.2《中标通知书》将作为签订合同的依据之一。</w:t>
      </w:r>
    </w:p>
    <w:p w14:paraId="1D07D3D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1.3《中标通知书》发放办法：政府采购项目通过“淅川县公共资源交易中心公共服务平台”向中标人发出电子《中标通知书》后，中标供应商可登录淅川县公共资源交易平台会员系统，自行打印加盖电子签章的《中标通知书》。</w:t>
      </w:r>
    </w:p>
    <w:p w14:paraId="06EC310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2.签订合同</w:t>
      </w:r>
    </w:p>
    <w:p w14:paraId="0107139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2.1中标供应商打印《中标通知书》后及时与采购人签订政府采购合同。合同签订后，采购人应通过“河南省电子化政府采购系统”(www.hngp.gov.cn)合同管理栏目上传合同原件扫描件完成备案。</w:t>
      </w:r>
    </w:p>
    <w:p w14:paraId="5A061C98">
      <w:pPr>
        <w:kinsoku/>
        <w:wordWrap w:val="0"/>
        <w:spacing w:line="360" w:lineRule="auto"/>
        <w:ind w:firstLine="488"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2.2招标文件、投标文件、答疑及澄清文件，均为签订合同的依据。</w:t>
      </w:r>
    </w:p>
    <w:p w14:paraId="0C1BC04B">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七.质疑与答复</w:t>
      </w:r>
    </w:p>
    <w:p w14:paraId="125DE76B">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w:t>
      </w:r>
      <w:r>
        <w:rPr>
          <w:rFonts w:hint="eastAsia" w:asciiTheme="minorEastAsia" w:hAnsiTheme="minorEastAsia" w:eastAsiaTheme="minorEastAsia" w:cstheme="minorEastAsia"/>
          <w:spacing w:val="2"/>
          <w:position w:val="17"/>
          <w:sz w:val="24"/>
          <w:szCs w:val="24"/>
          <w:lang w:eastAsia="zh-CN"/>
        </w:rPr>
        <w:t>或线上</w:t>
      </w:r>
      <w:r>
        <w:rPr>
          <w:rFonts w:asciiTheme="minorEastAsia" w:hAnsiTheme="minorEastAsia" w:eastAsiaTheme="minorEastAsia" w:cstheme="minorEastAsia"/>
          <w:spacing w:val="2"/>
          <w:position w:val="17"/>
          <w:sz w:val="24"/>
          <w:szCs w:val="24"/>
          <w:lang w:eastAsia="zh-CN"/>
        </w:rPr>
        <w:t>形式向采购人、采购代理机构提出质疑。供应商须在法定质疑期内一次性提出针对同一采购程序环节的质疑。</w:t>
      </w:r>
    </w:p>
    <w:p w14:paraId="74A429E3">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0DFE0038">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6A00AC3A">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3.1</w:t>
      </w:r>
      <w:r>
        <w:rPr>
          <w:rFonts w:asciiTheme="minorEastAsia" w:hAnsiTheme="minorEastAsia" w:eastAsiaTheme="minorEastAsia" w:cstheme="minorEastAsia"/>
          <w:spacing w:val="2"/>
          <w:position w:val="17"/>
          <w:sz w:val="24"/>
          <w:szCs w:val="24"/>
          <w:lang w:eastAsia="zh-CN"/>
        </w:rPr>
        <w:t>在线接收，请质疑人上传质疑函原件扫描件到</w:t>
      </w:r>
      <w:r>
        <w:rPr>
          <w:rFonts w:hint="eastAsia" w:asciiTheme="minorEastAsia" w:hAnsiTheme="minorEastAsia" w:eastAsiaTheme="minorEastAsia" w:cstheme="minorEastAsia"/>
          <w:spacing w:val="2"/>
          <w:position w:val="17"/>
          <w:sz w:val="24"/>
          <w:szCs w:val="24"/>
          <w:lang w:eastAsia="zh-CN"/>
        </w:rPr>
        <w:t>淅川县</w:t>
      </w:r>
      <w:r>
        <w:rPr>
          <w:rFonts w:asciiTheme="minorEastAsia" w:hAnsiTheme="minorEastAsia" w:eastAsiaTheme="minorEastAsia" w:cstheme="minorEastAsia"/>
          <w:spacing w:val="2"/>
          <w:position w:val="17"/>
          <w:sz w:val="24"/>
          <w:szCs w:val="24"/>
          <w:lang w:eastAsia="zh-CN"/>
        </w:rPr>
        <w:t>公共资源交易系统并电话通知到项目负责人。</w:t>
      </w:r>
    </w:p>
    <w:p w14:paraId="6B97C912">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3.2</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0DFDA46D">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12EBC10B">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31A24C2C">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八、相关注意事项</w:t>
      </w:r>
    </w:p>
    <w:p w14:paraId="5ED3781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1.开标及询标时，投标人法定代表人（负责人）或授权代表务必携带有效的身份证明，否则产生的不利后果由投标人自行承担。</w:t>
      </w:r>
    </w:p>
    <w:p w14:paraId="20ACB07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6C64FFF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3.3开标、评标期间，投标人不得向评委询问评标情况，不得进行旨在影响评标结果的活动。</w:t>
      </w:r>
    </w:p>
    <w:p w14:paraId="4C7215B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5F0E38B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5.投标人应本着公平竞争的原则参与投标，不得用任何方式对其它投标人恶意攻击。</w:t>
      </w:r>
    </w:p>
    <w:p w14:paraId="449BEC2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6.投标人如有违反上述要求或违反国家法律、法规的行为，无论评标结果如何，其投标资格将被取消。</w:t>
      </w:r>
    </w:p>
    <w:p w14:paraId="0001CA04">
      <w:pPr>
        <w:rPr>
          <w:rFonts w:asciiTheme="minorEastAsia" w:hAnsiTheme="minorEastAsia" w:eastAsiaTheme="minorEastAsia" w:cstheme="minorEastAsia"/>
          <w:b/>
          <w:bCs/>
          <w:spacing w:val="2"/>
          <w:position w:val="17"/>
          <w:sz w:val="32"/>
          <w:szCs w:val="32"/>
          <w:lang w:eastAsia="zh-CN"/>
        </w:rPr>
      </w:pPr>
      <w:r>
        <w:rPr>
          <w:rFonts w:asciiTheme="minorEastAsia" w:hAnsiTheme="minorEastAsia" w:eastAsiaTheme="minorEastAsia" w:cstheme="minorEastAsia"/>
          <w:b/>
          <w:bCs/>
          <w:spacing w:val="2"/>
          <w:position w:val="17"/>
          <w:sz w:val="32"/>
          <w:szCs w:val="32"/>
          <w:lang w:eastAsia="zh-CN"/>
        </w:rPr>
        <w:br w:type="page"/>
      </w:r>
    </w:p>
    <w:p w14:paraId="63B73C16">
      <w:pPr>
        <w:pStyle w:val="2"/>
        <w:rPr>
          <w:lang w:eastAsia="zh-CN"/>
        </w:rPr>
      </w:pPr>
    </w:p>
    <w:p w14:paraId="2308F977">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0A05142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p>
    <w:p w14:paraId="2B648BA5">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1C88E2C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6541D17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DAC06D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026D301F">
      <w:pPr>
        <w:pStyle w:val="3"/>
        <w:kinsoku/>
        <w:wordWrap w:val="0"/>
        <w:spacing w:line="360" w:lineRule="auto"/>
        <w:ind w:firstLine="430" w:firstLineChars="200"/>
        <w:jc w:val="both"/>
        <w:rPr>
          <w:rFonts w:asciiTheme="minorEastAsia" w:hAnsiTheme="minorEastAsia" w:eastAsiaTheme="minorEastAsia" w:cstheme="minorEastAsia"/>
          <w:b/>
          <w:bCs/>
          <w:spacing w:val="-13"/>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453FFD28">
      <w:pPr>
        <w:pStyle w:val="32"/>
        <w:wordWrap w:val="0"/>
        <w:jc w:val="both"/>
        <w:sectPr>
          <w:footerReference r:id="rId3" w:type="default"/>
          <w:pgSz w:w="11907" w:h="16840"/>
          <w:pgMar w:top="1440" w:right="1800" w:bottom="1440" w:left="1800" w:header="878" w:footer="886" w:gutter="0"/>
          <w:pgNumType w:start="1"/>
          <w:cols w:space="720" w:num="1"/>
        </w:sectPr>
      </w:pPr>
    </w:p>
    <w:p w14:paraId="3CFDB74B">
      <w:pPr>
        <w:pStyle w:val="3"/>
        <w:kinsoku/>
        <w:wordWrap w:val="0"/>
        <w:spacing w:before="353" w:line="219" w:lineRule="auto"/>
        <w:ind w:left="2294"/>
        <w:jc w:val="both"/>
        <w:rPr>
          <w:rFonts w:asciiTheme="minorEastAsia" w:hAnsiTheme="minorEastAsia" w:eastAsiaTheme="minorEastAsia" w:cstheme="minorEastAsia"/>
          <w:spacing w:val="-1"/>
          <w:sz w:val="36"/>
          <w:szCs w:val="36"/>
          <w:lang w:eastAsia="zh-CN"/>
        </w:rPr>
      </w:pPr>
      <w:r>
        <w:rPr>
          <w:rFonts w:hint="eastAsia" w:asciiTheme="minorEastAsia" w:hAnsiTheme="minorEastAsia" w:eastAsiaTheme="minorEastAsia" w:cstheme="minorEastAsia"/>
          <w:spacing w:val="-1"/>
          <w:sz w:val="36"/>
          <w:szCs w:val="36"/>
          <w:lang w:eastAsia="zh-CN"/>
        </w:rPr>
        <w:t>第五章政府采购合同（草案）</w:t>
      </w:r>
    </w:p>
    <w:p w14:paraId="5BB4FA39">
      <w:pPr>
        <w:pStyle w:val="32"/>
        <w:jc w:val="both"/>
      </w:pPr>
    </w:p>
    <w:p w14:paraId="416F4C48">
      <w:pPr>
        <w:pStyle w:val="3"/>
        <w:kinsoku/>
        <w:wordWrap w:val="0"/>
        <w:spacing w:line="360" w:lineRule="auto"/>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说明：</w:t>
      </w:r>
    </w:p>
    <w:p w14:paraId="017816FE">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AA17FB8">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2.合同条款中应规定，乙方完全遵守《中华人民共和国妇女权益保障法》中关于劳动和社会保障权益的有关要求。</w:t>
      </w:r>
    </w:p>
    <w:p w14:paraId="0D6FCF06">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3.对于通过预留采购项目、预留专门采购包等措施签订的采购合同，应当明确标注本合同为中小企业预留合同。</w:t>
      </w:r>
    </w:p>
    <w:p w14:paraId="5E9352EF">
      <w:pPr>
        <w:pStyle w:val="3"/>
        <w:kinsoku/>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4.政府采购合同设定预付款支付方式的，预付款支付比例原则上不低于合同金额的50%；对于中小企业，预付款支付比例原则上不低于合同金额的70%。</w:t>
      </w:r>
    </w:p>
    <w:p w14:paraId="678622C8">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DE0E9B1">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114D21A2">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7.当采购项目涉及数据中心相关设备、运维服务时，采购需求应当符合《绿色数据中</w:t>
      </w:r>
    </w:p>
    <w:p w14:paraId="282CF7CC">
      <w:pPr>
        <w:pStyle w:val="3"/>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心政府采购需求标准（试行）》（财库〔2023〕7号）的有关要求，并在合同中明确对相关指标的验收方式和违约责任。</w:t>
      </w:r>
    </w:p>
    <w:p w14:paraId="1F2A3CFD">
      <w:pPr>
        <w:kinsoku/>
        <w:wordWrap w:val="0"/>
        <w:spacing w:line="220" w:lineRule="auto"/>
        <w:jc w:val="both"/>
        <w:rPr>
          <w:rFonts w:asciiTheme="minorEastAsia" w:hAnsiTheme="minorEastAsia" w:eastAsiaTheme="minorEastAsia" w:cstheme="minorEastAsia"/>
          <w:sz w:val="24"/>
          <w:szCs w:val="24"/>
          <w:lang w:eastAsia="zh-CN"/>
        </w:rPr>
        <w:sectPr>
          <w:headerReference r:id="rId4" w:type="default"/>
          <w:footerReference r:id="rId5" w:type="default"/>
          <w:pgSz w:w="11907" w:h="16840"/>
          <w:pgMar w:top="1440" w:right="1800" w:bottom="1440" w:left="1800" w:header="878" w:footer="886" w:gutter="0"/>
          <w:cols w:space="720" w:num="1"/>
        </w:sectPr>
      </w:pPr>
    </w:p>
    <w:p w14:paraId="03363C1E">
      <w:pPr>
        <w:pStyle w:val="3"/>
        <w:kinsoku/>
        <w:wordWrap w:val="0"/>
        <w:spacing w:before="353" w:line="219" w:lineRule="auto"/>
        <w:ind w:left="2654"/>
        <w:jc w:val="both"/>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1"/>
          <w:sz w:val="36"/>
          <w:szCs w:val="36"/>
          <w:lang w:eastAsia="zh-CN"/>
        </w:rPr>
        <w:t>第六章投标文件格式</w:t>
      </w:r>
    </w:p>
    <w:p w14:paraId="38630D2A">
      <w:pPr>
        <w:kinsoku/>
        <w:wordWrap w:val="0"/>
        <w:spacing w:line="253" w:lineRule="auto"/>
        <w:jc w:val="both"/>
        <w:rPr>
          <w:rFonts w:asciiTheme="minorEastAsia" w:hAnsiTheme="minorEastAsia" w:eastAsiaTheme="minorEastAsia" w:cstheme="minorEastAsia"/>
          <w:lang w:eastAsia="zh-CN"/>
        </w:rPr>
      </w:pPr>
    </w:p>
    <w:p w14:paraId="43CFA53D">
      <w:pPr>
        <w:pStyle w:val="3"/>
        <w:kinsoku/>
        <w:wordWrap w:val="0"/>
        <w:spacing w:before="78" w:line="360" w:lineRule="auto"/>
        <w:ind w:left="15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投标人编制文件须知</w:t>
      </w:r>
    </w:p>
    <w:p w14:paraId="0552E51D">
      <w:pPr>
        <w:pStyle w:val="3"/>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1.投标人按照本部分的顺序编制投标文件（资格证明文件）、投标</w:t>
      </w:r>
      <w:r>
        <w:rPr>
          <w:rFonts w:hint="eastAsia" w:asciiTheme="minorEastAsia" w:hAnsiTheme="minorEastAsia" w:eastAsiaTheme="minorEastAsia" w:cstheme="minorEastAsia"/>
          <w:spacing w:val="-4"/>
          <w:sz w:val="24"/>
          <w:szCs w:val="24"/>
          <w:lang w:eastAsia="zh-CN"/>
        </w:rPr>
        <w:t>文件（商务技术文</w:t>
      </w:r>
      <w:r>
        <w:rPr>
          <w:rFonts w:hint="eastAsia" w:asciiTheme="minorEastAsia" w:hAnsiTheme="minorEastAsia" w:eastAsiaTheme="minorEastAsia" w:cstheme="minorEastAsia"/>
          <w:spacing w:val="-8"/>
          <w:sz w:val="24"/>
          <w:szCs w:val="24"/>
          <w:lang w:eastAsia="zh-CN"/>
        </w:rPr>
        <w:t>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14:paraId="04171748">
      <w:pPr>
        <w:pStyle w:val="3"/>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1"/>
          <w:sz w:val="24"/>
          <w:szCs w:val="24"/>
          <w:lang w:eastAsia="zh-CN"/>
        </w:rPr>
        <w:t>全部声明和问题的回答及所附材料必须是真实的、准确的和完整</w:t>
      </w:r>
      <w:r>
        <w:rPr>
          <w:rFonts w:hint="eastAsia" w:asciiTheme="minorEastAsia" w:hAnsiTheme="minorEastAsia" w:eastAsiaTheme="minorEastAsia" w:cstheme="minorEastAsia"/>
          <w:spacing w:val="-2"/>
          <w:sz w:val="24"/>
          <w:szCs w:val="24"/>
          <w:lang w:eastAsia="zh-CN"/>
        </w:rPr>
        <w:t>的。</w:t>
      </w:r>
    </w:p>
    <w:p w14:paraId="28572B8F">
      <w:pPr>
        <w:kinsoku/>
        <w:wordWrap w:val="0"/>
        <w:spacing w:line="219" w:lineRule="auto"/>
        <w:jc w:val="both"/>
        <w:rPr>
          <w:rFonts w:asciiTheme="minorEastAsia" w:hAnsiTheme="minorEastAsia" w:eastAsiaTheme="minorEastAsia" w:cstheme="minorEastAsia"/>
          <w:sz w:val="24"/>
          <w:szCs w:val="24"/>
          <w:lang w:eastAsia="zh-CN"/>
        </w:rPr>
        <w:sectPr>
          <w:headerReference r:id="rId6" w:type="default"/>
          <w:footerReference r:id="rId7" w:type="default"/>
          <w:pgSz w:w="11907" w:h="16840"/>
          <w:pgMar w:top="1440" w:right="1800" w:bottom="1440" w:left="1800" w:header="878" w:footer="886" w:gutter="0"/>
          <w:cols w:space="720" w:num="1"/>
        </w:sectPr>
      </w:pPr>
    </w:p>
    <w:p w14:paraId="595F5432">
      <w:pPr>
        <w:pStyle w:val="3"/>
        <w:kinsoku/>
        <w:wordWrap w:val="0"/>
        <w:spacing w:before="78" w:line="360" w:lineRule="auto"/>
        <w:ind w:left="13"/>
        <w:jc w:val="both"/>
        <w:outlineLvl w:val="2"/>
        <w:rPr>
          <w:rFonts w:asciiTheme="minorEastAsia" w:hAnsiTheme="minorEastAsia" w:eastAsiaTheme="minorEastAsia" w:cstheme="minorEastAsia"/>
          <w:sz w:val="21"/>
          <w:lang w:eastAsia="zh-CN"/>
        </w:rPr>
      </w:pPr>
      <w:r>
        <w:rPr>
          <w:rFonts w:hint="eastAsia" w:asciiTheme="minorEastAsia" w:hAnsiTheme="minorEastAsia" w:eastAsiaTheme="minorEastAsia" w:cstheme="minorEastAsia"/>
          <w:spacing w:val="24"/>
          <w:sz w:val="24"/>
          <w:szCs w:val="24"/>
          <w:lang w:eastAsia="zh-CN"/>
        </w:rPr>
        <w:t>一、资格证明文件格式</w:t>
      </w:r>
    </w:p>
    <w:p w14:paraId="1BAD313F">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24"/>
          <w:sz w:val="24"/>
          <w:szCs w:val="24"/>
          <w:lang w:eastAsia="zh-CN"/>
        </w:rPr>
        <w:t>1.开标一览表（如有包号自行添加行）</w:t>
      </w:r>
    </w:p>
    <w:p w14:paraId="7F8BD80D">
      <w:pPr>
        <w:kinsoku/>
        <w:wordWrap w:val="0"/>
        <w:spacing w:line="360" w:lineRule="auto"/>
        <w:jc w:val="center"/>
        <w:rPr>
          <w:rFonts w:asciiTheme="minorEastAsia" w:hAnsiTheme="minorEastAsia" w:eastAsiaTheme="minorEastAsia" w:cstheme="minorEastAsia"/>
          <w:spacing w:val="24"/>
          <w:sz w:val="24"/>
          <w:szCs w:val="24"/>
          <w:lang w:eastAsia="zh-CN"/>
        </w:rPr>
      </w:pPr>
    </w:p>
    <w:p w14:paraId="35616D9B">
      <w:pPr>
        <w:kinsoku/>
        <w:wordWrap w:val="0"/>
        <w:spacing w:line="360" w:lineRule="auto"/>
        <w:jc w:val="center"/>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24"/>
          <w:sz w:val="24"/>
          <w:szCs w:val="24"/>
          <w:lang w:eastAsia="zh-CN"/>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5171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CD86F0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7C17D867">
            <w:pPr>
              <w:kinsoku/>
              <w:wordWrap w:val="0"/>
              <w:spacing w:line="360" w:lineRule="auto"/>
              <w:jc w:val="both"/>
              <w:rPr>
                <w:rFonts w:asciiTheme="minorEastAsia" w:hAnsiTheme="minorEastAsia" w:eastAsiaTheme="minorEastAsia" w:cstheme="minorEastAsia"/>
                <w:spacing w:val="-8"/>
                <w:sz w:val="24"/>
                <w:szCs w:val="24"/>
                <w:lang w:eastAsia="zh-CN"/>
              </w:rPr>
            </w:pPr>
          </w:p>
        </w:tc>
      </w:tr>
      <w:tr w14:paraId="6FE0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A3F09EE">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5C44A46C">
            <w:pPr>
              <w:kinsoku/>
              <w:wordWrap w:val="0"/>
              <w:spacing w:line="360" w:lineRule="auto"/>
              <w:jc w:val="both"/>
              <w:rPr>
                <w:rFonts w:asciiTheme="minorEastAsia" w:hAnsiTheme="minorEastAsia" w:eastAsiaTheme="minorEastAsia" w:cstheme="minorEastAsia"/>
                <w:spacing w:val="-8"/>
                <w:sz w:val="24"/>
                <w:szCs w:val="24"/>
                <w:lang w:eastAsia="zh-CN"/>
              </w:rPr>
            </w:pPr>
          </w:p>
        </w:tc>
      </w:tr>
      <w:tr w14:paraId="6E83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D0D377A">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003B5658">
            <w:pPr>
              <w:kinsoku/>
              <w:wordWrap w:val="0"/>
              <w:spacing w:line="360" w:lineRule="auto"/>
              <w:jc w:val="both"/>
              <w:rPr>
                <w:rFonts w:asciiTheme="minorEastAsia" w:hAnsiTheme="minorEastAsia" w:eastAsiaTheme="minorEastAsia" w:cstheme="minorEastAsia"/>
                <w:spacing w:val="-8"/>
                <w:sz w:val="24"/>
                <w:szCs w:val="24"/>
                <w:lang w:eastAsia="zh-CN"/>
              </w:rPr>
            </w:pPr>
          </w:p>
        </w:tc>
      </w:tr>
      <w:tr w14:paraId="1A1D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DC5B77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7A9552B7">
            <w:pPr>
              <w:kinsoku/>
              <w:wordWrap w:val="0"/>
              <w:spacing w:line="360" w:lineRule="auto"/>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大写：（￥：）</w:t>
            </w:r>
          </w:p>
        </w:tc>
      </w:tr>
      <w:tr w14:paraId="56F4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434736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交货时间</w:t>
            </w:r>
          </w:p>
        </w:tc>
        <w:tc>
          <w:tcPr>
            <w:tcW w:w="6926" w:type="dxa"/>
            <w:tcBorders>
              <w:top w:val="single" w:color="auto" w:sz="4" w:space="0"/>
              <w:left w:val="single" w:color="auto" w:sz="4" w:space="0"/>
              <w:bottom w:val="single" w:color="auto" w:sz="4" w:space="0"/>
              <w:right w:val="single" w:color="auto" w:sz="4" w:space="0"/>
            </w:tcBorders>
            <w:noWrap/>
            <w:vAlign w:val="center"/>
          </w:tcPr>
          <w:p w14:paraId="7041DE05">
            <w:pPr>
              <w:kinsoku/>
              <w:wordWrap w:val="0"/>
              <w:spacing w:line="360" w:lineRule="auto"/>
              <w:jc w:val="both"/>
              <w:rPr>
                <w:rFonts w:asciiTheme="minorEastAsia" w:hAnsiTheme="minorEastAsia" w:eastAsiaTheme="minorEastAsia" w:cstheme="minorEastAsia"/>
                <w:spacing w:val="-8"/>
                <w:sz w:val="24"/>
                <w:szCs w:val="24"/>
                <w:lang w:eastAsia="zh-CN"/>
              </w:rPr>
            </w:pPr>
          </w:p>
        </w:tc>
      </w:tr>
      <w:tr w14:paraId="2BA9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FDE3713">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E015348">
            <w:pPr>
              <w:kinsoku/>
              <w:wordWrap w:val="0"/>
              <w:spacing w:line="360" w:lineRule="auto"/>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年</w:t>
            </w:r>
          </w:p>
        </w:tc>
      </w:tr>
      <w:tr w14:paraId="50E0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F89ACF3">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14E74E38">
            <w:pPr>
              <w:kinsoku/>
              <w:wordWrap w:val="0"/>
              <w:spacing w:line="360" w:lineRule="auto"/>
              <w:jc w:val="both"/>
              <w:rPr>
                <w:rFonts w:asciiTheme="minorEastAsia" w:hAnsiTheme="minorEastAsia" w:eastAsiaTheme="minorEastAsia" w:cstheme="minorEastAsia"/>
                <w:spacing w:val="-8"/>
                <w:sz w:val="24"/>
                <w:szCs w:val="24"/>
                <w:lang w:eastAsia="zh-CN"/>
              </w:rPr>
            </w:pPr>
          </w:p>
          <w:p w14:paraId="79F4BD69">
            <w:pPr>
              <w:kinsoku/>
              <w:wordWrap w:val="0"/>
              <w:spacing w:line="360" w:lineRule="auto"/>
              <w:jc w:val="both"/>
              <w:rPr>
                <w:rFonts w:asciiTheme="minorEastAsia" w:hAnsiTheme="minorEastAsia" w:eastAsiaTheme="minorEastAsia" w:cstheme="minorEastAsia"/>
                <w:spacing w:val="-8"/>
                <w:sz w:val="24"/>
                <w:szCs w:val="24"/>
                <w:lang w:eastAsia="zh-CN"/>
              </w:rPr>
            </w:pPr>
          </w:p>
        </w:tc>
      </w:tr>
    </w:tbl>
    <w:p w14:paraId="5B389607">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注：“开标一览表”报总价。</w:t>
      </w:r>
    </w:p>
    <w:p w14:paraId="12AAE769">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14:paraId="35E3D43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日期：年月日</w:t>
      </w:r>
    </w:p>
    <w:p w14:paraId="0B9ABF56">
      <w:pPr>
        <w:kinsoku/>
        <w:wordWrap w:val="0"/>
        <w:spacing w:line="360" w:lineRule="auto"/>
        <w:jc w:val="both"/>
        <w:rPr>
          <w:rFonts w:asciiTheme="minorEastAsia" w:hAnsiTheme="minorEastAsia" w:eastAsiaTheme="minorEastAsia" w:cstheme="minorEastAsia"/>
          <w:b/>
          <w:bCs/>
          <w:spacing w:val="-8"/>
          <w:sz w:val="24"/>
          <w:szCs w:val="24"/>
          <w:lang w:eastAsia="zh-CN"/>
        </w:rPr>
        <w:sectPr>
          <w:pgSz w:w="11907" w:h="16840"/>
          <w:pgMar w:top="1440" w:right="1800" w:bottom="1440" w:left="1800" w:header="851" w:footer="992" w:gutter="0"/>
          <w:cols w:space="720" w:num="1"/>
        </w:sectPr>
      </w:pPr>
    </w:p>
    <w:p w14:paraId="6E9F77C8">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14:paraId="1B928F1E">
      <w:pPr>
        <w:kinsoku/>
        <w:wordWrap w:val="0"/>
        <w:spacing w:line="360" w:lineRule="auto"/>
        <w:ind w:firstLine="567"/>
        <w:jc w:val="center"/>
        <w:rPr>
          <w:rFonts w:asciiTheme="minorEastAsia" w:hAnsiTheme="minorEastAsia" w:eastAsiaTheme="minorEastAsia" w:cstheme="minorEastAsia"/>
          <w:b/>
          <w:sz w:val="24"/>
          <w:szCs w:val="24"/>
          <w:lang w:eastAsia="zh-CN"/>
        </w:rPr>
      </w:pPr>
    </w:p>
    <w:p w14:paraId="7C0D8BD0">
      <w:pPr>
        <w:kinsoku/>
        <w:wordWrap w:val="0"/>
        <w:spacing w:line="360" w:lineRule="auto"/>
        <w:ind w:firstLine="56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0DAFCC41">
      <w:pPr>
        <w:kinsoku/>
        <w:wordWrap w:val="0"/>
        <w:spacing w:line="360" w:lineRule="auto"/>
        <w:ind w:firstLine="567"/>
        <w:jc w:val="both"/>
        <w:rPr>
          <w:rFonts w:asciiTheme="minorEastAsia" w:hAnsiTheme="minorEastAsia" w:eastAsiaTheme="minorEastAsia" w:cstheme="minorEastAsia"/>
          <w:sz w:val="24"/>
          <w:szCs w:val="24"/>
          <w:lang w:eastAsia="zh-CN"/>
        </w:rPr>
      </w:pPr>
    </w:p>
    <w:p w14:paraId="6EC2C69A">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CE15C4A">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1C1320BA">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7862F6FC">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6E6F0B4B">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6B062EE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775C0A05">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6B905531">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45D01278">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8FD3F43">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ECF8E67">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3A47D600">
      <w:pPr>
        <w:pStyle w:val="17"/>
        <w:kinsoku/>
        <w:wordWrap w:val="0"/>
        <w:ind w:firstLine="480"/>
        <w:jc w:val="both"/>
        <w:rPr>
          <w:rFonts w:asciiTheme="minorEastAsia" w:hAnsiTheme="minorEastAsia" w:eastAsiaTheme="minorEastAsia" w:cstheme="minorEastAsia"/>
          <w:sz w:val="24"/>
          <w:szCs w:val="24"/>
        </w:rPr>
      </w:pPr>
    </w:p>
    <w:p w14:paraId="5A4F568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346436D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lang w:eastAsia="zh-CN"/>
        </w:rPr>
        <w:t>）：</w:t>
      </w:r>
    </w:p>
    <w:p w14:paraId="6A8FDCE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51D7BE4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179B1E09">
      <w:pPr>
        <w:kinsoku/>
        <w:wordWrap w:val="0"/>
        <w:spacing w:line="360" w:lineRule="auto"/>
        <w:ind w:firstLine="567"/>
        <w:jc w:val="both"/>
        <w:rPr>
          <w:rFonts w:asciiTheme="minorEastAsia" w:hAnsiTheme="minorEastAsia" w:eastAsiaTheme="minorEastAsia" w:cstheme="minorEastAsia"/>
          <w:sz w:val="24"/>
          <w:szCs w:val="24"/>
          <w:lang w:eastAsia="zh-CN"/>
        </w:rPr>
      </w:pPr>
    </w:p>
    <w:p w14:paraId="776ACEB1">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1E4BDCE3">
      <w:pPr>
        <w:kinsoku/>
        <w:wordWrap w:val="0"/>
        <w:spacing w:line="360" w:lineRule="auto"/>
        <w:jc w:val="both"/>
        <w:rPr>
          <w:rFonts w:asciiTheme="minorEastAsia" w:hAnsiTheme="minorEastAsia" w:eastAsiaTheme="minorEastAsia" w:cstheme="minorEastAsia"/>
          <w:sz w:val="24"/>
          <w:szCs w:val="24"/>
          <w:lang w:eastAsia="zh-CN"/>
        </w:rPr>
      </w:pPr>
    </w:p>
    <w:p w14:paraId="4BC34620">
      <w:pPr>
        <w:kinsoku/>
        <w:wordWrap w:val="0"/>
        <w:spacing w:line="360" w:lineRule="auto"/>
        <w:jc w:val="both"/>
        <w:rPr>
          <w:rFonts w:asciiTheme="minorEastAsia" w:hAnsiTheme="minorEastAsia" w:eastAsiaTheme="minorEastAsia" w:cstheme="minorEastAsia"/>
          <w:sz w:val="24"/>
          <w:szCs w:val="24"/>
          <w:lang w:eastAsia="zh-CN"/>
        </w:rPr>
      </w:pPr>
    </w:p>
    <w:p w14:paraId="0B97DD83">
      <w:pPr>
        <w:kinsoku/>
        <w:wordWrap w:val="0"/>
        <w:spacing w:line="360" w:lineRule="auto"/>
        <w:jc w:val="both"/>
        <w:rPr>
          <w:rFonts w:asciiTheme="minorEastAsia" w:hAnsiTheme="minorEastAsia" w:eastAsiaTheme="minorEastAsia" w:cstheme="minorEastAsia"/>
          <w:sz w:val="24"/>
          <w:szCs w:val="24"/>
          <w:lang w:eastAsia="zh-CN"/>
        </w:rPr>
      </w:pPr>
    </w:p>
    <w:p w14:paraId="3503440A">
      <w:pPr>
        <w:kinsoku/>
        <w:wordWrap w:val="0"/>
        <w:spacing w:line="360" w:lineRule="auto"/>
        <w:jc w:val="both"/>
        <w:rPr>
          <w:rFonts w:asciiTheme="minorEastAsia" w:hAnsiTheme="minorEastAsia" w:eastAsiaTheme="minorEastAsia" w:cstheme="minorEastAsia"/>
          <w:sz w:val="24"/>
          <w:szCs w:val="24"/>
          <w:lang w:eastAsia="zh-CN"/>
        </w:rPr>
      </w:pPr>
    </w:p>
    <w:p w14:paraId="6BEAF309">
      <w:pPr>
        <w:kinsoku/>
        <w:wordWrap w:val="0"/>
        <w:spacing w:line="360" w:lineRule="auto"/>
        <w:jc w:val="both"/>
        <w:rPr>
          <w:rFonts w:asciiTheme="minorEastAsia" w:hAnsiTheme="minorEastAsia" w:eastAsiaTheme="minorEastAsia" w:cstheme="minorEastAsia"/>
          <w:sz w:val="24"/>
          <w:szCs w:val="24"/>
          <w:lang w:eastAsia="zh-CN"/>
        </w:rPr>
      </w:pPr>
    </w:p>
    <w:p w14:paraId="42CB0C20">
      <w:pPr>
        <w:kinsoku/>
        <w:wordWrap w:val="0"/>
        <w:spacing w:line="360" w:lineRule="auto"/>
        <w:jc w:val="both"/>
        <w:rPr>
          <w:rFonts w:asciiTheme="minorEastAsia" w:hAnsiTheme="minorEastAsia" w:eastAsiaTheme="minorEastAsia" w:cstheme="minorEastAsia"/>
          <w:sz w:val="24"/>
          <w:szCs w:val="24"/>
          <w:lang w:eastAsia="zh-CN"/>
        </w:rPr>
      </w:pPr>
    </w:p>
    <w:p w14:paraId="1FBE518B">
      <w:pPr>
        <w:kinsoku/>
        <w:wordWrap w:val="0"/>
        <w:spacing w:line="360" w:lineRule="auto"/>
        <w:jc w:val="both"/>
        <w:rPr>
          <w:rFonts w:asciiTheme="minorEastAsia" w:hAnsiTheme="minorEastAsia" w:eastAsiaTheme="minorEastAsia" w:cstheme="minorEastAsia"/>
          <w:sz w:val="24"/>
          <w:szCs w:val="24"/>
          <w:lang w:eastAsia="zh-CN"/>
        </w:rPr>
      </w:pPr>
    </w:p>
    <w:p w14:paraId="2775A697">
      <w:pPr>
        <w:kinsoku/>
        <w:wordWrap w:val="0"/>
        <w:spacing w:line="360" w:lineRule="auto"/>
        <w:jc w:val="both"/>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3.资格声明函格式</w:t>
      </w:r>
    </w:p>
    <w:p w14:paraId="1253C633">
      <w:pPr>
        <w:kinsoku/>
        <w:wordWrap w:val="0"/>
        <w:spacing w:line="360" w:lineRule="auto"/>
        <w:jc w:val="center"/>
        <w:rPr>
          <w:rFonts w:asciiTheme="minorEastAsia" w:hAnsiTheme="minorEastAsia" w:eastAsiaTheme="minorEastAsia" w:cstheme="minorEastAsia"/>
          <w:b/>
          <w:sz w:val="24"/>
          <w:szCs w:val="24"/>
          <w:lang w:eastAsia="zh-CN"/>
        </w:rPr>
      </w:pPr>
    </w:p>
    <w:p w14:paraId="0CD1D5CB">
      <w:pPr>
        <w:kinsoku/>
        <w:wordWrap w:val="0"/>
        <w:spacing w:line="360" w:lineRule="auto"/>
        <w:jc w:val="center"/>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5C96D63E">
      <w:pPr>
        <w:pStyle w:val="3"/>
        <w:kinsoku/>
        <w:wordWrap w:val="0"/>
        <w:spacing w:line="360" w:lineRule="auto"/>
        <w:jc w:val="both"/>
        <w:rPr>
          <w:rFonts w:asciiTheme="minorEastAsia" w:hAnsiTheme="minorEastAsia" w:eastAsiaTheme="minorEastAsia" w:cstheme="minorEastAsia"/>
          <w:spacing w:val="-3"/>
          <w:sz w:val="24"/>
          <w:szCs w:val="24"/>
          <w:lang w:eastAsia="zh-CN"/>
        </w:rPr>
      </w:pPr>
    </w:p>
    <w:p w14:paraId="3A8D7781">
      <w:pPr>
        <w:pStyle w:val="3"/>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52047A7C">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13E769D8">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4800602C">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E46E054">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6C06CBFE">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274A8D27">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2576BA8A">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07011778">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6FC648C3">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0A88465C">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49C19F4C">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r>
        <w:rPr>
          <w:rFonts w:hint="eastAsia" w:asciiTheme="minorEastAsia" w:hAnsiTheme="minorEastAsia" w:eastAsiaTheme="minorEastAsia" w:cstheme="minorEastAsia"/>
          <w:spacing w:val="-3"/>
          <w:sz w:val="24"/>
          <w:szCs w:val="24"/>
          <w:lang w:val="en-US" w:eastAsia="zh-CN"/>
        </w:rPr>
        <w:t>或盖章</w:t>
      </w:r>
      <w:r>
        <w:rPr>
          <w:rFonts w:hint="eastAsia" w:asciiTheme="minorEastAsia" w:hAnsiTheme="minorEastAsia" w:eastAsiaTheme="minorEastAsia" w:cstheme="minorEastAsia"/>
          <w:spacing w:val="-3"/>
          <w:sz w:val="24"/>
          <w:szCs w:val="24"/>
          <w:lang w:eastAsia="zh-CN"/>
        </w:rPr>
        <w:t>）：</w:t>
      </w:r>
    </w:p>
    <w:p w14:paraId="1E7ED962">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40088218">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2D89F4E5">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40E1E83D">
      <w:pPr>
        <w:pStyle w:val="3"/>
        <w:kinsoku/>
        <w:wordWrap w:val="0"/>
        <w:spacing w:line="360" w:lineRule="auto"/>
        <w:ind w:firstLine="470" w:firstLineChars="200"/>
        <w:jc w:val="both"/>
        <w:rPr>
          <w:rFonts w:asciiTheme="minorEastAsia" w:hAnsiTheme="minorEastAsia" w:eastAsiaTheme="minorEastAsia" w:cstheme="minorEastAsia"/>
          <w:sz w:val="24"/>
          <w:szCs w:val="24"/>
          <w:lang w:eastAsia="zh-CN"/>
        </w:rPr>
        <w:sectPr>
          <w:headerReference r:id="rId8" w:type="default"/>
          <w:footerReference r:id="rId9"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spacing w:val="8"/>
          <w:sz w:val="24"/>
          <w:szCs w:val="24"/>
          <w:lang w:eastAsia="zh-CN"/>
        </w:rPr>
        <w:t>供虚假材料谋取中标、</w:t>
      </w:r>
      <w:r>
        <w:rPr>
          <w:rFonts w:hint="eastAsia" w:asciiTheme="minorEastAsia" w:hAnsiTheme="minorEastAsia" w:eastAsiaTheme="minorEastAsia" w:cstheme="minorEastAsia"/>
          <w:b/>
          <w:bCs/>
          <w:spacing w:val="-4"/>
          <w:sz w:val="24"/>
          <w:szCs w:val="24"/>
          <w:lang w:eastAsia="zh-CN"/>
        </w:rPr>
        <w:t>成交的</w:t>
      </w:r>
      <w:r>
        <w:rPr>
          <w:rFonts w:hint="eastAsia" w:asciiTheme="minorEastAsia" w:hAnsiTheme="minorEastAsia" w:eastAsiaTheme="minorEastAsia" w:cstheme="minorEastAsia"/>
          <w:b/>
          <w:bCs/>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lang w:eastAsia="zh-CN"/>
        </w:rPr>
        <w:t>有关规定予以处理。</w:t>
      </w:r>
    </w:p>
    <w:p w14:paraId="40B551FE">
      <w:pPr>
        <w:kinsoku/>
        <w:wordWrap w:val="0"/>
        <w:spacing w:line="256" w:lineRule="auto"/>
        <w:jc w:val="both"/>
        <w:rPr>
          <w:rFonts w:asciiTheme="minorEastAsia" w:hAnsiTheme="minorEastAsia" w:eastAsiaTheme="minorEastAsia" w:cstheme="minorEastAsia"/>
          <w:lang w:eastAsia="zh-CN"/>
        </w:rPr>
      </w:pPr>
    </w:p>
    <w:p w14:paraId="61BBC05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4.承诺函格式</w:t>
      </w:r>
    </w:p>
    <w:p w14:paraId="56EC3EDD">
      <w:pPr>
        <w:kinsoku/>
        <w:wordWrap w:val="0"/>
        <w:spacing w:line="360" w:lineRule="auto"/>
        <w:jc w:val="center"/>
        <w:rPr>
          <w:rFonts w:asciiTheme="minorEastAsia" w:hAnsiTheme="minorEastAsia" w:eastAsiaTheme="minorEastAsia" w:cstheme="minorEastAsia"/>
          <w:b/>
          <w:bCs/>
          <w:sz w:val="24"/>
          <w:szCs w:val="24"/>
          <w:lang w:eastAsia="zh-CN"/>
        </w:rPr>
      </w:pPr>
    </w:p>
    <w:p w14:paraId="6C208E38">
      <w:pPr>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投标人承诺函</w:t>
      </w:r>
    </w:p>
    <w:p w14:paraId="199903C9">
      <w:pPr>
        <w:pStyle w:val="3"/>
        <w:kinsoku/>
        <w:wordWrap w:val="0"/>
        <w:spacing w:line="360" w:lineRule="auto"/>
        <w:jc w:val="both"/>
        <w:rPr>
          <w:rFonts w:asciiTheme="minorEastAsia" w:hAnsiTheme="minorEastAsia" w:eastAsiaTheme="minorEastAsia" w:cstheme="minorEastAsia"/>
          <w:spacing w:val="-3"/>
          <w:sz w:val="24"/>
          <w:szCs w:val="24"/>
          <w:lang w:eastAsia="zh-CN"/>
        </w:rPr>
      </w:pPr>
    </w:p>
    <w:p w14:paraId="4CF7D57C">
      <w:pPr>
        <w:pStyle w:val="3"/>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1132CA7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7FB0D2C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6C09AF0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142BEFE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5F58C5C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C9F9F3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607BD8F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67135E0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0D4D325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06476BC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lang w:eastAsia="zh-CN"/>
        </w:rPr>
        <w:t>）：</w:t>
      </w:r>
    </w:p>
    <w:p w14:paraId="6D1EBE15">
      <w:pPr>
        <w:kinsoku/>
        <w:wordWrap w:val="0"/>
        <w:spacing w:line="360" w:lineRule="auto"/>
        <w:ind w:firstLine="720"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1F9E1028">
      <w:pPr>
        <w:kinsoku/>
        <w:wordWrap w:val="0"/>
        <w:spacing w:line="256" w:lineRule="auto"/>
        <w:jc w:val="both"/>
        <w:rPr>
          <w:rFonts w:asciiTheme="minorEastAsia" w:hAnsiTheme="minorEastAsia" w:eastAsiaTheme="minorEastAsia" w:cstheme="minorEastAsia"/>
          <w:lang w:eastAsia="zh-CN"/>
        </w:rPr>
      </w:pPr>
    </w:p>
    <w:p w14:paraId="3F569F30">
      <w:pPr>
        <w:kinsoku/>
        <w:wordWrap w:val="0"/>
        <w:spacing w:line="256" w:lineRule="auto"/>
        <w:jc w:val="both"/>
        <w:rPr>
          <w:rFonts w:asciiTheme="minorEastAsia" w:hAnsiTheme="minorEastAsia" w:eastAsiaTheme="minorEastAsia" w:cstheme="minorEastAsia"/>
          <w:lang w:eastAsia="zh-CN"/>
        </w:rPr>
      </w:pPr>
    </w:p>
    <w:p w14:paraId="0FBFE5E6">
      <w:pPr>
        <w:kinsoku/>
        <w:wordWrap w:val="0"/>
        <w:spacing w:line="256" w:lineRule="auto"/>
        <w:jc w:val="both"/>
        <w:rPr>
          <w:rFonts w:asciiTheme="minorEastAsia" w:hAnsiTheme="minorEastAsia" w:eastAsiaTheme="minorEastAsia" w:cstheme="minorEastAsia"/>
          <w:lang w:eastAsia="zh-CN"/>
        </w:rPr>
      </w:pPr>
    </w:p>
    <w:p w14:paraId="6D1B9892">
      <w:pPr>
        <w:kinsoku/>
        <w:wordWrap w:val="0"/>
        <w:spacing w:line="360" w:lineRule="auto"/>
        <w:jc w:val="both"/>
        <w:rPr>
          <w:rFonts w:asciiTheme="minorEastAsia" w:hAnsiTheme="minorEastAsia" w:eastAsiaTheme="minorEastAsia" w:cstheme="minorEastAsia"/>
          <w:b/>
          <w:bCs/>
          <w:sz w:val="24"/>
          <w:szCs w:val="24"/>
          <w:lang w:eastAsia="zh-CN"/>
        </w:rPr>
      </w:pPr>
    </w:p>
    <w:p w14:paraId="4325A837">
      <w:pPr>
        <w:kinsoku/>
        <w:wordWrap w:val="0"/>
        <w:spacing w:line="360" w:lineRule="auto"/>
        <w:jc w:val="both"/>
        <w:rPr>
          <w:rFonts w:asciiTheme="minorEastAsia" w:hAnsiTheme="minorEastAsia" w:eastAsiaTheme="minorEastAsia" w:cstheme="minorEastAsia"/>
          <w:b/>
          <w:bCs/>
          <w:sz w:val="24"/>
          <w:szCs w:val="24"/>
          <w:lang w:eastAsia="zh-CN"/>
        </w:rPr>
      </w:pPr>
    </w:p>
    <w:p w14:paraId="0989888F">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5.营业执照副本或其他资格证明文件</w:t>
      </w:r>
    </w:p>
    <w:p w14:paraId="35E2446F">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6.具有履行合同所必需的设备和专业技术能力的承诺</w:t>
      </w:r>
    </w:p>
    <w:p w14:paraId="489B49A2">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7.依法缴纳税收和社会保障资金的缴费凭证(提供近</w:t>
      </w:r>
      <w:r>
        <w:rPr>
          <w:rFonts w:hint="eastAsia" w:asciiTheme="minorEastAsia" w:hAnsiTheme="minorEastAsia" w:eastAsiaTheme="minorEastAsia" w:cstheme="minorEastAsia"/>
          <w:b/>
          <w:bCs/>
          <w:sz w:val="24"/>
          <w:szCs w:val="24"/>
          <w:lang w:val="en-US" w:eastAsia="zh-CN"/>
        </w:rPr>
        <w:t>六个月</w:t>
      </w:r>
      <w:r>
        <w:rPr>
          <w:rFonts w:hint="eastAsia" w:asciiTheme="minorEastAsia" w:hAnsiTheme="minorEastAsia" w:eastAsiaTheme="minorEastAsia" w:cstheme="minorEastAsia"/>
          <w:b/>
          <w:bCs/>
          <w:sz w:val="24"/>
          <w:szCs w:val="24"/>
          <w:lang w:eastAsia="zh-CN"/>
        </w:rPr>
        <w:t>内任意一个月的有效凭证)</w:t>
      </w:r>
    </w:p>
    <w:p w14:paraId="4BF366A0">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8.良好的商业信誉和健全的财务会计制度的证明文件</w:t>
      </w:r>
    </w:p>
    <w:p w14:paraId="4644681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说明：（1）提供本单位202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年度或202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A3839DC">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9.投标人出具参加政府采购活动前三年内，在经营活动中没有重大违法记录的书面声明（加盖单位公章）</w:t>
      </w:r>
    </w:p>
    <w:p w14:paraId="62E77786">
      <w:pPr>
        <w:kinsoku/>
        <w:wordWrap w:val="0"/>
        <w:spacing w:line="360" w:lineRule="auto"/>
        <w:jc w:val="both"/>
        <w:rPr>
          <w:rFonts w:asciiTheme="minorEastAsia" w:hAnsiTheme="minorEastAsia" w:eastAsiaTheme="minorEastAsia" w:cstheme="minorEastAsia"/>
          <w:b/>
          <w:bCs/>
          <w:sz w:val="24"/>
          <w:szCs w:val="24"/>
          <w:lang w:eastAsia="zh-CN"/>
        </w:rPr>
      </w:pPr>
    </w:p>
    <w:p w14:paraId="46587800">
      <w:pPr>
        <w:kinsoku/>
        <w:wordWrap w:val="0"/>
        <w:spacing w:line="360" w:lineRule="auto"/>
        <w:jc w:val="both"/>
        <w:rPr>
          <w:rFonts w:asciiTheme="minorEastAsia" w:hAnsiTheme="minorEastAsia" w:eastAsiaTheme="minorEastAsia" w:cstheme="minorEastAsia"/>
          <w:b/>
          <w:bCs/>
          <w:sz w:val="24"/>
          <w:szCs w:val="24"/>
          <w:lang w:eastAsia="zh-CN"/>
        </w:rPr>
      </w:pPr>
    </w:p>
    <w:p w14:paraId="4FC768FC">
      <w:pPr>
        <w:kinsoku/>
        <w:wordWrap w:val="0"/>
        <w:spacing w:line="360" w:lineRule="auto"/>
        <w:jc w:val="both"/>
        <w:rPr>
          <w:rFonts w:asciiTheme="minorEastAsia" w:hAnsiTheme="minorEastAsia" w:eastAsiaTheme="minorEastAsia" w:cstheme="minorEastAsia"/>
          <w:b/>
          <w:bCs/>
          <w:sz w:val="24"/>
          <w:szCs w:val="24"/>
          <w:lang w:eastAsia="zh-CN"/>
        </w:rPr>
      </w:pPr>
    </w:p>
    <w:p w14:paraId="7F4B928F">
      <w:pPr>
        <w:kinsoku/>
        <w:wordWrap w:val="0"/>
        <w:spacing w:line="360" w:lineRule="auto"/>
        <w:jc w:val="both"/>
        <w:rPr>
          <w:rFonts w:asciiTheme="minorEastAsia" w:hAnsiTheme="minorEastAsia" w:eastAsiaTheme="minorEastAsia" w:cstheme="minorEastAsia"/>
          <w:b/>
          <w:bCs/>
          <w:sz w:val="24"/>
          <w:szCs w:val="24"/>
          <w:lang w:eastAsia="zh-CN"/>
        </w:rPr>
      </w:pPr>
    </w:p>
    <w:p w14:paraId="13C8FDA4">
      <w:pPr>
        <w:kinsoku/>
        <w:wordWrap w:val="0"/>
        <w:spacing w:line="360" w:lineRule="auto"/>
        <w:jc w:val="both"/>
        <w:rPr>
          <w:rFonts w:asciiTheme="minorEastAsia" w:hAnsiTheme="minorEastAsia" w:eastAsiaTheme="minorEastAsia" w:cstheme="minorEastAsia"/>
          <w:b/>
          <w:bCs/>
          <w:sz w:val="24"/>
          <w:szCs w:val="24"/>
          <w:lang w:eastAsia="zh-CN"/>
        </w:rPr>
      </w:pPr>
    </w:p>
    <w:p w14:paraId="4F88BDD3">
      <w:pPr>
        <w:kinsoku/>
        <w:wordWrap w:val="0"/>
        <w:spacing w:line="360" w:lineRule="auto"/>
        <w:jc w:val="both"/>
        <w:rPr>
          <w:rFonts w:asciiTheme="minorEastAsia" w:hAnsiTheme="minorEastAsia" w:eastAsiaTheme="minorEastAsia" w:cstheme="minorEastAsia"/>
          <w:b/>
          <w:bCs/>
          <w:sz w:val="24"/>
          <w:szCs w:val="24"/>
          <w:lang w:eastAsia="zh-CN"/>
        </w:rPr>
      </w:pPr>
    </w:p>
    <w:p w14:paraId="2022906F">
      <w:pPr>
        <w:kinsoku/>
        <w:wordWrap w:val="0"/>
        <w:spacing w:line="360" w:lineRule="auto"/>
        <w:jc w:val="both"/>
        <w:rPr>
          <w:rFonts w:asciiTheme="minorEastAsia" w:hAnsiTheme="minorEastAsia" w:eastAsiaTheme="minorEastAsia" w:cstheme="minorEastAsia"/>
          <w:b/>
          <w:bCs/>
          <w:sz w:val="24"/>
          <w:szCs w:val="24"/>
          <w:lang w:eastAsia="zh-CN"/>
        </w:rPr>
      </w:pPr>
    </w:p>
    <w:p w14:paraId="19BF80AE">
      <w:pPr>
        <w:kinsoku/>
        <w:wordWrap w:val="0"/>
        <w:spacing w:line="360" w:lineRule="auto"/>
        <w:jc w:val="both"/>
        <w:rPr>
          <w:rFonts w:asciiTheme="minorEastAsia" w:hAnsiTheme="minorEastAsia" w:eastAsiaTheme="minorEastAsia" w:cstheme="minorEastAsia"/>
          <w:b/>
          <w:bCs/>
          <w:sz w:val="24"/>
          <w:szCs w:val="24"/>
          <w:lang w:eastAsia="zh-CN"/>
        </w:rPr>
      </w:pPr>
    </w:p>
    <w:p w14:paraId="5082FC25">
      <w:pPr>
        <w:kinsoku/>
        <w:wordWrap w:val="0"/>
        <w:spacing w:line="360" w:lineRule="auto"/>
        <w:jc w:val="both"/>
        <w:rPr>
          <w:rFonts w:asciiTheme="minorEastAsia" w:hAnsiTheme="minorEastAsia" w:eastAsiaTheme="minorEastAsia" w:cstheme="minorEastAsia"/>
          <w:b/>
          <w:bCs/>
          <w:sz w:val="24"/>
          <w:szCs w:val="24"/>
          <w:lang w:eastAsia="zh-CN"/>
        </w:rPr>
      </w:pPr>
    </w:p>
    <w:p w14:paraId="6953B8FC">
      <w:pPr>
        <w:kinsoku/>
        <w:wordWrap w:val="0"/>
        <w:spacing w:line="360" w:lineRule="auto"/>
        <w:jc w:val="both"/>
        <w:rPr>
          <w:rFonts w:asciiTheme="minorEastAsia" w:hAnsiTheme="minorEastAsia" w:eastAsiaTheme="minorEastAsia" w:cstheme="minorEastAsia"/>
          <w:b/>
          <w:bCs/>
          <w:sz w:val="24"/>
          <w:szCs w:val="24"/>
          <w:lang w:eastAsia="zh-CN"/>
        </w:rPr>
      </w:pPr>
    </w:p>
    <w:p w14:paraId="7C8C0036">
      <w:pPr>
        <w:kinsoku/>
        <w:wordWrap w:val="0"/>
        <w:spacing w:line="360" w:lineRule="auto"/>
        <w:jc w:val="both"/>
        <w:rPr>
          <w:rFonts w:asciiTheme="minorEastAsia" w:hAnsiTheme="minorEastAsia" w:eastAsiaTheme="minorEastAsia" w:cstheme="minorEastAsia"/>
          <w:b/>
          <w:bCs/>
          <w:sz w:val="24"/>
          <w:szCs w:val="24"/>
          <w:lang w:eastAsia="zh-CN"/>
        </w:rPr>
      </w:pPr>
    </w:p>
    <w:p w14:paraId="4103DA53">
      <w:pPr>
        <w:kinsoku/>
        <w:wordWrap w:val="0"/>
        <w:spacing w:line="360" w:lineRule="auto"/>
        <w:jc w:val="both"/>
        <w:rPr>
          <w:rFonts w:asciiTheme="minorEastAsia" w:hAnsiTheme="minorEastAsia" w:eastAsiaTheme="minorEastAsia" w:cstheme="minorEastAsia"/>
          <w:b/>
          <w:bCs/>
          <w:sz w:val="24"/>
          <w:szCs w:val="24"/>
          <w:lang w:eastAsia="zh-CN"/>
        </w:rPr>
      </w:pPr>
    </w:p>
    <w:p w14:paraId="029D32F3">
      <w:pPr>
        <w:kinsoku/>
        <w:wordWrap w:val="0"/>
        <w:spacing w:line="360" w:lineRule="auto"/>
        <w:jc w:val="both"/>
        <w:rPr>
          <w:rFonts w:asciiTheme="minorEastAsia" w:hAnsiTheme="minorEastAsia" w:eastAsiaTheme="minorEastAsia" w:cstheme="minorEastAsia"/>
          <w:b/>
          <w:bCs/>
          <w:sz w:val="24"/>
          <w:szCs w:val="24"/>
          <w:lang w:eastAsia="zh-CN"/>
        </w:rPr>
      </w:pPr>
    </w:p>
    <w:p w14:paraId="3637DF45">
      <w:pPr>
        <w:kinsoku/>
        <w:wordWrap w:val="0"/>
        <w:spacing w:line="360" w:lineRule="auto"/>
        <w:jc w:val="both"/>
        <w:rPr>
          <w:rFonts w:asciiTheme="minorEastAsia" w:hAnsiTheme="minorEastAsia" w:eastAsiaTheme="minorEastAsia" w:cstheme="minorEastAsia"/>
          <w:b/>
          <w:bCs/>
          <w:sz w:val="24"/>
          <w:szCs w:val="24"/>
          <w:lang w:eastAsia="zh-CN"/>
        </w:rPr>
      </w:pPr>
    </w:p>
    <w:p w14:paraId="33F8D8F4">
      <w:pPr>
        <w:kinsoku/>
        <w:wordWrap w:val="0"/>
        <w:spacing w:line="360" w:lineRule="auto"/>
        <w:jc w:val="both"/>
        <w:rPr>
          <w:rFonts w:asciiTheme="minorEastAsia" w:hAnsiTheme="minorEastAsia" w:eastAsiaTheme="minorEastAsia" w:cstheme="minorEastAsia"/>
          <w:b/>
          <w:bCs/>
          <w:sz w:val="24"/>
          <w:szCs w:val="24"/>
          <w:lang w:eastAsia="zh-CN"/>
        </w:rPr>
      </w:pPr>
    </w:p>
    <w:p w14:paraId="1D2999F4">
      <w:pPr>
        <w:kinsoku/>
        <w:wordWrap w:val="0"/>
        <w:spacing w:line="360" w:lineRule="auto"/>
        <w:jc w:val="both"/>
        <w:rPr>
          <w:rFonts w:asciiTheme="minorEastAsia" w:hAnsiTheme="minorEastAsia" w:eastAsiaTheme="minorEastAsia" w:cstheme="minorEastAsia"/>
          <w:b/>
          <w:bCs/>
          <w:sz w:val="24"/>
          <w:szCs w:val="24"/>
          <w:lang w:eastAsia="zh-CN"/>
        </w:rPr>
      </w:pPr>
    </w:p>
    <w:p w14:paraId="6BF00730">
      <w:pPr>
        <w:kinsoku/>
        <w:wordWrap w:val="0"/>
        <w:spacing w:line="360" w:lineRule="auto"/>
        <w:jc w:val="both"/>
        <w:rPr>
          <w:rFonts w:asciiTheme="minorEastAsia" w:hAnsiTheme="minorEastAsia" w:eastAsiaTheme="minorEastAsia" w:cstheme="minorEastAsia"/>
          <w:b/>
          <w:bCs/>
          <w:sz w:val="24"/>
          <w:szCs w:val="24"/>
          <w:lang w:eastAsia="zh-CN"/>
        </w:rPr>
      </w:pPr>
    </w:p>
    <w:p w14:paraId="0C935ACD">
      <w:pPr>
        <w:kinsoku/>
        <w:wordWrap w:val="0"/>
        <w:spacing w:line="360" w:lineRule="auto"/>
        <w:jc w:val="both"/>
        <w:rPr>
          <w:rFonts w:asciiTheme="minorEastAsia" w:hAnsiTheme="minorEastAsia" w:eastAsiaTheme="minorEastAsia" w:cstheme="minorEastAsia"/>
          <w:b/>
          <w:bCs/>
          <w:sz w:val="24"/>
          <w:szCs w:val="24"/>
          <w:lang w:eastAsia="zh-CN"/>
        </w:rPr>
      </w:pPr>
    </w:p>
    <w:p w14:paraId="608FE3A0">
      <w:pPr>
        <w:kinsoku/>
        <w:wordWrap w:val="0"/>
        <w:spacing w:line="360" w:lineRule="auto"/>
        <w:jc w:val="both"/>
        <w:rPr>
          <w:rFonts w:asciiTheme="minorEastAsia" w:hAnsiTheme="minorEastAsia" w:eastAsiaTheme="minorEastAsia" w:cstheme="minorEastAsia"/>
          <w:b/>
          <w:bCs/>
          <w:sz w:val="24"/>
          <w:szCs w:val="24"/>
          <w:lang w:eastAsia="zh-CN"/>
        </w:rPr>
      </w:pPr>
    </w:p>
    <w:p w14:paraId="59EE0DAA">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10.投标人诚信承诺书</w:t>
      </w:r>
    </w:p>
    <w:p w14:paraId="5D138C58">
      <w:pPr>
        <w:kinsoku/>
        <w:wordWrap w:val="0"/>
        <w:spacing w:line="360" w:lineRule="auto"/>
        <w:jc w:val="center"/>
        <w:rPr>
          <w:rFonts w:asciiTheme="minorEastAsia" w:hAnsiTheme="minorEastAsia" w:eastAsiaTheme="minorEastAsia" w:cstheme="minorEastAsia"/>
          <w:b/>
          <w:bCs/>
          <w:sz w:val="24"/>
          <w:szCs w:val="24"/>
          <w:lang w:eastAsia="zh-CN"/>
        </w:rPr>
      </w:pPr>
    </w:p>
    <w:p w14:paraId="76E01F5C">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6938999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08F3AD3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6029C32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7FD83D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3CE9A9C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50F19BD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456CA6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承诺人法定地址：</w:t>
      </w:r>
    </w:p>
    <w:p w14:paraId="79A3B3D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授权代表（签字或盖章）：</w:t>
      </w:r>
    </w:p>
    <w:p w14:paraId="49A54A1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14:paraId="06D88FC3">
      <w:pPr>
        <w:kinsoku/>
        <w:wordWrap w:val="0"/>
        <w:spacing w:line="360" w:lineRule="auto"/>
        <w:ind w:firstLine="672"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日期：年月日</w:t>
      </w:r>
    </w:p>
    <w:p w14:paraId="524DAC88">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39A2B263">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3DD7160F">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11.投标人出具信用记录查询结果网页截图</w:t>
      </w:r>
    </w:p>
    <w:p w14:paraId="6DB8C6D9">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12.其他资格证明</w:t>
      </w:r>
    </w:p>
    <w:p w14:paraId="2AD641FD">
      <w:pPr>
        <w:kinsoku/>
        <w:wordWrap w:val="0"/>
        <w:spacing w:line="360" w:lineRule="auto"/>
        <w:jc w:val="both"/>
        <w:rPr>
          <w:rFonts w:asciiTheme="minorEastAsia" w:hAnsiTheme="minorEastAsia" w:eastAsiaTheme="minorEastAsia" w:cstheme="minorEastAsia"/>
          <w:b/>
          <w:bCs/>
          <w:sz w:val="24"/>
          <w:szCs w:val="24"/>
          <w:lang w:eastAsia="zh-CN"/>
        </w:rPr>
      </w:pPr>
    </w:p>
    <w:p w14:paraId="29A1DA3A">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38F4F4D6">
      <w:pPr>
        <w:pStyle w:val="3"/>
        <w:kinsoku/>
        <w:wordWrap w:val="0"/>
        <w:spacing w:line="360" w:lineRule="auto"/>
        <w:jc w:val="center"/>
        <w:rPr>
          <w:rFonts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南阳市政府采购供应商信用承诺函</w:t>
      </w:r>
    </w:p>
    <w:p w14:paraId="7E55CAC2">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2D72BB6A">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10B7C5B7">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7DD4121D">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309BE01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2AA8A9D9">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5930101A">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4E5B1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7CD72F5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2A2BA72C">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7233DA3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3786C136">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6009A42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6EE51CF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0CABC305">
      <w:pPr>
        <w:widowControl w:val="0"/>
        <w:kinsoku/>
        <w:wordWrap w:val="0"/>
        <w:spacing w:line="360" w:lineRule="auto"/>
        <w:jc w:val="both"/>
        <w:rPr>
          <w:rFonts w:asciiTheme="minorEastAsia" w:hAnsiTheme="minorEastAsia" w:eastAsiaTheme="minorEastAsia" w:cstheme="minorEastAsia"/>
          <w:sz w:val="24"/>
          <w:szCs w:val="24"/>
          <w:lang w:eastAsia="zh-CN"/>
        </w:rPr>
      </w:pPr>
    </w:p>
    <w:p w14:paraId="054B881C">
      <w:pPr>
        <w:widowControl w:val="0"/>
        <w:kinsoku/>
        <w:wordWrap w:val="0"/>
        <w:spacing w:line="360" w:lineRule="auto"/>
        <w:jc w:val="both"/>
        <w:rPr>
          <w:rFonts w:asciiTheme="minorEastAsia" w:hAnsiTheme="minorEastAsia" w:eastAsiaTheme="minorEastAsia" w:cstheme="minorEastAsia"/>
          <w:sz w:val="24"/>
          <w:szCs w:val="24"/>
          <w:lang w:eastAsia="zh-CN"/>
        </w:rPr>
      </w:pPr>
    </w:p>
    <w:p w14:paraId="506224B6">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52B2A869">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1993DC41">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14:paraId="657B2DA3">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7115341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52978836">
      <w:pPr>
        <w:kinsoku/>
        <w:wordWrap w:val="0"/>
        <w:spacing w:line="360" w:lineRule="auto"/>
        <w:ind w:firstLine="480" w:firstLineChars="200"/>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3749EDE9">
      <w:pPr>
        <w:pStyle w:val="3"/>
        <w:kinsoku/>
        <w:wordWrap w:val="0"/>
        <w:spacing w:before="78"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二、商务技术文件格式</w:t>
      </w:r>
    </w:p>
    <w:p w14:paraId="291E17D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1.投标书格式</w:t>
      </w:r>
    </w:p>
    <w:p w14:paraId="1CF6C07B">
      <w:pPr>
        <w:kinsoku/>
        <w:wordWrap w:val="0"/>
        <w:spacing w:line="360" w:lineRule="auto"/>
        <w:ind w:firstLine="607" w:firstLineChars="252"/>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投标书</w:t>
      </w:r>
    </w:p>
    <w:p w14:paraId="31D2828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1EB494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w:t>
      </w:r>
    </w:p>
    <w:p w14:paraId="69B5098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根据贵方招标编号为（）的公开招标公告，签字代表（全名、职务）经正式授权并代表投标人（投标人名称、地址）提交电子投标文件一份，并对之负法律责任。</w:t>
      </w:r>
    </w:p>
    <w:p w14:paraId="4754554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投标文件组成资格证明文件第1至</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，商务技术文件第1</w:t>
      </w:r>
      <w:r>
        <w:rPr>
          <w:rFonts w:hint="eastAsia" w:asciiTheme="minorEastAsia" w:hAnsiTheme="minorEastAsia" w:eastAsiaTheme="minorEastAsia" w:cstheme="minorEastAsia"/>
          <w:color w:val="auto"/>
          <w:sz w:val="24"/>
          <w:szCs w:val="24"/>
          <w:lang w:eastAsia="zh-CN"/>
        </w:rPr>
        <w:t>至项</w:t>
      </w:r>
      <w:r>
        <w:rPr>
          <w:rFonts w:hint="eastAsia" w:asciiTheme="minorEastAsia" w:hAnsiTheme="minorEastAsia" w:eastAsiaTheme="minorEastAsia" w:cstheme="minorEastAsia"/>
          <w:sz w:val="24"/>
          <w:szCs w:val="24"/>
          <w:lang w:eastAsia="zh-CN"/>
        </w:rPr>
        <w:t>。</w:t>
      </w:r>
    </w:p>
    <w:p w14:paraId="51EA5A1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14:paraId="6203887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14:paraId="0FF92B5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14:paraId="0E53905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14:paraId="194AECA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14:paraId="7CFD8E1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14:paraId="71D2752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14:paraId="5B8AAC2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14:paraId="7793C73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247A15B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14:paraId="2638033B">
      <w:pPr>
        <w:kinsoku/>
        <w:wordWrap w:val="0"/>
        <w:spacing w:line="360" w:lineRule="auto"/>
        <w:ind w:firstLine="604" w:firstLineChars="252"/>
        <w:jc w:val="both"/>
        <w:rPr>
          <w:rFonts w:asciiTheme="minorEastAsia" w:hAnsiTheme="minorEastAsia" w:eastAsiaTheme="minorEastAsia" w:cstheme="minorEastAsia"/>
          <w:sz w:val="24"/>
          <w:szCs w:val="24"/>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4D0B952E">
      <w:pPr>
        <w:kinsoku/>
        <w:wordWrap w:val="0"/>
        <w:jc w:val="both"/>
        <w:rPr>
          <w:rFonts w:ascii="宋体" w:hAnsi="宋体"/>
          <w:b/>
          <w:sz w:val="24"/>
          <w:szCs w:val="24"/>
          <w:lang w:eastAsia="zh-CN"/>
        </w:rPr>
      </w:pPr>
      <w:r>
        <w:rPr>
          <w:rFonts w:hint="eastAsia" w:ascii="宋体" w:hAnsi="宋体"/>
          <w:b/>
          <w:sz w:val="24"/>
          <w:szCs w:val="24"/>
          <w:lang w:eastAsia="zh-CN"/>
        </w:rPr>
        <w:t>2、投标分项报价一览表（适用于货物可根据项目实际需求自行改动）</w:t>
      </w:r>
    </w:p>
    <w:p w14:paraId="4FC5A8CA">
      <w:pPr>
        <w:kinsoku/>
        <w:wordWrap w:val="0"/>
        <w:jc w:val="both"/>
        <w:rPr>
          <w:rFonts w:ascii="宋体" w:hAnsi="宋体"/>
          <w:b/>
          <w:sz w:val="24"/>
          <w:szCs w:val="24"/>
          <w:lang w:eastAsia="zh-CN"/>
        </w:rPr>
      </w:pPr>
    </w:p>
    <w:p w14:paraId="4CDA18B5">
      <w:pPr>
        <w:kinsoku/>
        <w:wordWrap w:val="0"/>
        <w:jc w:val="center"/>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8"/>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75AB95EF">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ign w:val="center"/>
          </w:tcPr>
          <w:p w14:paraId="1805A53C">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ign w:val="center"/>
          </w:tcPr>
          <w:p w14:paraId="6F9D1B8C">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ign w:val="center"/>
          </w:tcPr>
          <w:p w14:paraId="68D3B529">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ign w:val="center"/>
          </w:tcPr>
          <w:p w14:paraId="165758F1">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ign w:val="center"/>
          </w:tcPr>
          <w:p w14:paraId="16CAFFA7">
            <w:pPr>
              <w:kinsoku/>
              <w:wordWrap w:val="0"/>
              <w:spacing w:line="360" w:lineRule="auto"/>
              <w:ind w:firstLine="360" w:firstLineChars="15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ign w:val="center"/>
          </w:tcPr>
          <w:p w14:paraId="05F13A11">
            <w:pPr>
              <w:kinsoku/>
              <w:wordWrap w:val="0"/>
              <w:spacing w:line="360" w:lineRule="auto"/>
              <w:jc w:val="both"/>
              <w:rPr>
                <w:rFonts w:asciiTheme="minorEastAsia" w:hAnsiTheme="minorEastAsia" w:eastAsiaTheme="minorEastAsia" w:cstheme="minorEastAsia"/>
                <w:sz w:val="24"/>
                <w:szCs w:val="24"/>
                <w:lang w:eastAsia="zh-CN"/>
              </w:rPr>
            </w:pPr>
          </w:p>
        </w:tc>
      </w:tr>
      <w:tr w14:paraId="5777895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0884EDBB">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ign w:val="center"/>
          </w:tcPr>
          <w:p w14:paraId="782CBE8A">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ign w:val="center"/>
          </w:tcPr>
          <w:p w14:paraId="646A3709">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ign w:val="center"/>
          </w:tcPr>
          <w:p w14:paraId="3C11364A">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ign w:val="center"/>
          </w:tcPr>
          <w:p w14:paraId="11224174">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ign w:val="center"/>
          </w:tcPr>
          <w:p w14:paraId="28162DEA">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ign w:val="center"/>
          </w:tcPr>
          <w:p w14:paraId="37FFC552">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21989D5D">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ign w:val="center"/>
          </w:tcPr>
          <w:p w14:paraId="08EE783D">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ign w:val="center"/>
          </w:tcPr>
          <w:p w14:paraId="002BD751">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3E6FEE72">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50DDB50C">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ign w:val="bottom"/>
          </w:tcPr>
          <w:p w14:paraId="45D1AD00">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015F8358">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3BCB842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137164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7BEA76B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45F2929">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4A74ED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8CAFA8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51E591B9">
            <w:pPr>
              <w:kinsoku/>
              <w:wordWrap w:val="0"/>
              <w:spacing w:line="360" w:lineRule="auto"/>
              <w:ind w:firstLine="567"/>
              <w:jc w:val="both"/>
              <w:rPr>
                <w:rFonts w:asciiTheme="minorEastAsia" w:hAnsiTheme="minorEastAsia" w:eastAsiaTheme="minorEastAsia" w:cstheme="minorEastAsia"/>
                <w:sz w:val="28"/>
                <w:szCs w:val="28"/>
                <w:lang w:eastAsia="zh-CN"/>
              </w:rPr>
            </w:pPr>
          </w:p>
          <w:p w14:paraId="57285969">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746BD3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EE4A246">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ign w:val="bottom"/>
          </w:tcPr>
          <w:p w14:paraId="0B9A49F3">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366C84D">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1E7DDD2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DC6103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9276B4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1CC5D28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31A01E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D2A135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7D817625">
            <w:pPr>
              <w:kinsoku/>
              <w:wordWrap w:val="0"/>
              <w:spacing w:line="360" w:lineRule="auto"/>
              <w:ind w:firstLine="567"/>
              <w:jc w:val="both"/>
              <w:rPr>
                <w:rFonts w:asciiTheme="minorEastAsia" w:hAnsiTheme="minorEastAsia" w:eastAsiaTheme="minorEastAsia" w:cstheme="minorEastAsia"/>
                <w:sz w:val="28"/>
                <w:szCs w:val="28"/>
                <w:lang w:eastAsia="zh-CN"/>
              </w:rPr>
            </w:pPr>
          </w:p>
          <w:p w14:paraId="084BCBE7">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D61395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136EAF3">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ign w:val="bottom"/>
          </w:tcPr>
          <w:p w14:paraId="441673DC">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442906B2">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0C62E76">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2C01CD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DC3521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99072E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679870A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A40BF8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425F35E8">
            <w:pPr>
              <w:kinsoku/>
              <w:wordWrap w:val="0"/>
              <w:spacing w:line="360" w:lineRule="auto"/>
              <w:ind w:firstLine="567"/>
              <w:jc w:val="both"/>
              <w:rPr>
                <w:rFonts w:asciiTheme="minorEastAsia" w:hAnsiTheme="minorEastAsia" w:eastAsiaTheme="minorEastAsia" w:cstheme="minorEastAsia"/>
                <w:sz w:val="28"/>
                <w:szCs w:val="28"/>
                <w:lang w:eastAsia="zh-CN"/>
              </w:rPr>
            </w:pPr>
          </w:p>
          <w:p w14:paraId="5C93514B">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0BD76C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ED6BA84">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ign w:val="bottom"/>
          </w:tcPr>
          <w:p w14:paraId="0838BFCE">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348CDA30">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2D9F33CA">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AE6647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9AA2AD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35636B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09D6FF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3EC9549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8C4AB3A">
            <w:pPr>
              <w:kinsoku/>
              <w:wordWrap w:val="0"/>
              <w:spacing w:line="360" w:lineRule="auto"/>
              <w:ind w:firstLine="567"/>
              <w:jc w:val="both"/>
              <w:rPr>
                <w:rFonts w:asciiTheme="minorEastAsia" w:hAnsiTheme="minorEastAsia" w:eastAsiaTheme="minorEastAsia" w:cstheme="minorEastAsia"/>
                <w:sz w:val="28"/>
                <w:szCs w:val="28"/>
                <w:lang w:eastAsia="zh-CN"/>
              </w:rPr>
            </w:pPr>
          </w:p>
          <w:p w14:paraId="5CA4F32F">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5B541FD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1B76BB83">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53240E5F">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0979A008">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1F295F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1C65B3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6C9EBFCA">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593B368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EAC282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6086DE4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120F5410">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182AE0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46D5BFB">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71DAB354">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6B12C1A3">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659AF2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67832CD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64A4AA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700B3F1">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29B018D">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D8A810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DFF7BA7">
            <w:pPr>
              <w:kinsoku/>
              <w:wordWrap w:val="0"/>
              <w:spacing w:line="360" w:lineRule="auto"/>
              <w:ind w:firstLine="567"/>
              <w:jc w:val="both"/>
              <w:rPr>
                <w:rFonts w:asciiTheme="minorEastAsia" w:hAnsiTheme="minorEastAsia" w:eastAsiaTheme="minorEastAsia" w:cstheme="minorEastAsia"/>
                <w:sz w:val="28"/>
                <w:szCs w:val="28"/>
                <w:lang w:eastAsia="zh-CN"/>
              </w:rPr>
            </w:pPr>
          </w:p>
          <w:p w14:paraId="5C064B39">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6F8DAC3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29F56DB4">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59243DA1">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AD0117C">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42363C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E438CC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E2667C1">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31BFFA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23C845ED">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49DD89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EDD2F50">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5CAD3CC3">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ign w:val="center"/>
          </w:tcPr>
          <w:p w14:paraId="77BD106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362DCF8D">
      <w:pPr>
        <w:kinsoku/>
        <w:wordWrap w:val="0"/>
        <w:spacing w:line="360" w:lineRule="auto"/>
        <w:jc w:val="both"/>
        <w:rPr>
          <w:rFonts w:asciiTheme="minorEastAsia" w:hAnsiTheme="minorEastAsia" w:eastAsiaTheme="minorEastAsia" w:cstheme="minorEastAsia"/>
          <w:sz w:val="24"/>
          <w:szCs w:val="24"/>
          <w:lang w:eastAsia="zh-CN"/>
        </w:rPr>
      </w:pPr>
    </w:p>
    <w:p w14:paraId="18DCB4BC">
      <w:pPr>
        <w:kinsoku/>
        <w:wordWrap w:val="0"/>
        <w:spacing w:line="360" w:lineRule="auto"/>
        <w:ind w:firstLine="240" w:firstLineChars="1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法定代表人（负责人）或授权代表（签字）：日期：</w:t>
      </w:r>
      <w:r>
        <w:rPr>
          <w:rFonts w:hint="eastAsia" w:asciiTheme="minorEastAsia" w:hAnsiTheme="minorEastAsia" w:eastAsiaTheme="minorEastAsia" w:cstheme="minorEastAsia"/>
          <w:spacing w:val="-8"/>
          <w:sz w:val="24"/>
          <w:szCs w:val="24"/>
          <w:lang w:eastAsia="zh-CN"/>
        </w:rPr>
        <w:t>年月日</w:t>
      </w:r>
    </w:p>
    <w:p w14:paraId="46805E9A">
      <w:pPr>
        <w:kinsoku/>
        <w:wordWrap w:val="0"/>
        <w:spacing w:line="360" w:lineRule="auto"/>
        <w:ind w:firstLine="240" w:firstLineChars="100"/>
        <w:jc w:val="both"/>
        <w:rPr>
          <w:rFonts w:asciiTheme="minorEastAsia" w:hAnsiTheme="minorEastAsia" w:eastAsiaTheme="minorEastAsia" w:cstheme="minorEastAsia"/>
          <w:sz w:val="24"/>
          <w:szCs w:val="24"/>
          <w:lang w:eastAsia="zh-CN"/>
        </w:rPr>
      </w:pPr>
    </w:p>
    <w:p w14:paraId="64B381EA">
      <w:pPr>
        <w:kinsoku/>
        <w:wordWrap w:val="0"/>
        <w:spacing w:line="360" w:lineRule="auto"/>
        <w:ind w:firstLine="240" w:firstLineChars="100"/>
        <w:jc w:val="both"/>
        <w:rPr>
          <w:rFonts w:asciiTheme="minorEastAsia" w:hAnsiTheme="minorEastAsia" w:eastAsiaTheme="minorEastAsia" w:cstheme="minorEastAsia"/>
          <w:sz w:val="24"/>
          <w:szCs w:val="24"/>
          <w:lang w:eastAsia="zh-CN"/>
        </w:rPr>
        <w:sectPr>
          <w:pgSz w:w="16840" w:h="11907" w:orient="landscape"/>
          <w:pgMar w:top="1440" w:right="1800" w:bottom="1440" w:left="1800" w:header="851" w:footer="992" w:gutter="0"/>
          <w:cols w:space="720" w:num="1"/>
          <w:docGrid w:linePitch="332" w:charSpace="0"/>
        </w:sectPr>
      </w:pPr>
    </w:p>
    <w:p w14:paraId="691DB58F">
      <w:pPr>
        <w:kinsoku/>
        <w:wordWrap w:val="0"/>
        <w:jc w:val="both"/>
        <w:rPr>
          <w:rFonts w:asciiTheme="minorEastAsia" w:hAnsiTheme="minorEastAsia" w:eastAsiaTheme="minorEastAsia" w:cstheme="minorEastAsia"/>
          <w:b/>
          <w:sz w:val="24"/>
          <w:szCs w:val="24"/>
          <w:lang w:eastAsia="zh-CN"/>
        </w:rPr>
      </w:pPr>
    </w:p>
    <w:p w14:paraId="566F97CB">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3.主要设备技术指标及技术性能说明</w:t>
      </w:r>
      <w:r>
        <w:rPr>
          <w:rFonts w:hint="eastAsia" w:ascii="宋体" w:hAnsi="宋体"/>
          <w:b/>
          <w:sz w:val="24"/>
          <w:szCs w:val="24"/>
          <w:lang w:eastAsia="zh-CN"/>
        </w:rPr>
        <w:t>（适用于货物）</w:t>
      </w:r>
    </w:p>
    <w:p w14:paraId="7571B586">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4.项目供货方案、实施方案等</w:t>
      </w:r>
    </w:p>
    <w:p w14:paraId="2968CDC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5.技术偏差情况</w:t>
      </w:r>
      <w:r>
        <w:rPr>
          <w:rFonts w:hint="eastAsia" w:ascii="宋体" w:hAnsi="宋体"/>
          <w:b/>
          <w:sz w:val="24"/>
          <w:szCs w:val="24"/>
          <w:lang w:eastAsia="zh-CN"/>
        </w:rPr>
        <w:t>（适用于货物）</w:t>
      </w:r>
    </w:p>
    <w:p w14:paraId="1C903B9D">
      <w:pPr>
        <w:pStyle w:val="3"/>
        <w:kinsoku/>
        <w:wordWrap w:val="0"/>
        <w:jc w:val="both"/>
        <w:rPr>
          <w:rFonts w:asciiTheme="minorEastAsia" w:hAnsiTheme="minorEastAsia" w:eastAsiaTheme="minorEastAsia" w:cstheme="minorEastAsia"/>
          <w:sz w:val="24"/>
          <w:szCs w:val="24"/>
          <w:lang w:eastAsia="zh-CN" w:bidi="en-US"/>
        </w:rPr>
      </w:pPr>
    </w:p>
    <w:p w14:paraId="3FD8515A">
      <w:pPr>
        <w:kinsoku/>
        <w:wordWrap w:val="0"/>
        <w:spacing w:line="240" w:lineRule="atLeast"/>
        <w:jc w:val="both"/>
        <w:rPr>
          <w:rFonts w:asciiTheme="minorEastAsia" w:hAnsiTheme="minorEastAsia" w:eastAsiaTheme="minorEastAsia" w:cstheme="minorEastAsia"/>
          <w:b/>
          <w:bCs/>
          <w:sz w:val="24"/>
          <w:szCs w:val="24"/>
          <w:lang w:eastAsia="zh-CN"/>
        </w:rPr>
      </w:pPr>
    </w:p>
    <w:p w14:paraId="4EA9E4E3">
      <w:pPr>
        <w:kinsoku/>
        <w:wordWrap w:val="0"/>
        <w:spacing w:line="240" w:lineRule="atLeas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752E77B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p w14:paraId="46EB2F7D">
      <w:pPr>
        <w:kinsoku/>
        <w:wordWrap w:val="0"/>
        <w:spacing w:line="240" w:lineRule="atLeast"/>
        <w:ind w:left="1154" w:leftChars="485" w:hanging="136" w:hangingChars="5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4B1D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39BCF6B0">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18B70A2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12F52F27">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2F7B72C8">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2B92839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637788AC">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13A3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5FDE35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4E30A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D285D0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B5DC13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BCE089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66D89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4C11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DF0C43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4F9C81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6D3A2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BADB38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6F7950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F38892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0192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90A48D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55FA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874DF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CC8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ECBAE1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E705CA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2D73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88188B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8881B0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55DC40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2C1C4D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30A210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2B6AD3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DBF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A9C969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AD6BF7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74467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0C676D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E3E69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765B84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FE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BA13C9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3B7C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9CF80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4D5A2F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94E46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1C7939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6CB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A49756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432B39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1CA6FE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656848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8FBE62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25BA65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BBC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2B7E55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DA5F5E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3DFE8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316F99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BE0638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2FD24B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BD2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934612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034418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DC5244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86F75A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5D7592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15B081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0498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83EC10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684AB7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3F587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BFCC46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3F8CB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B3A142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703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C68D4C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23DD11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C0A73C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DC5479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6AF994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4AC8FF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FDF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FBB882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CBE99D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260BD0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734473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ECB02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003F4C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AA3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A03F4D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8947C0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9CAC74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0073AB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E64CC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2DC30A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5A8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55CAC5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8254E6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7E5C578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D337D5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6918D9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47E7CB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284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F6023A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5C31A2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FD7F91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C83630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B39B2D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F8AD74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bl>
    <w:p w14:paraId="5337FAFC">
      <w:pPr>
        <w:kinsoku/>
        <w:wordWrap w:val="0"/>
        <w:spacing w:line="360" w:lineRule="auto"/>
        <w:ind w:firstLine="482" w:firstLineChars="200"/>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3B1DA758">
      <w:pPr>
        <w:kinsoku/>
        <w:wordWrap w:val="0"/>
        <w:spacing w:line="360" w:lineRule="auto"/>
        <w:ind w:firstLine="482" w:firstLineChars="200"/>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b/>
          <w:bCs/>
          <w:spacing w:val="-8"/>
          <w:sz w:val="24"/>
          <w:szCs w:val="24"/>
          <w:lang w:eastAsia="zh-CN"/>
        </w:rPr>
        <w:t>年月日</w:t>
      </w:r>
    </w:p>
    <w:p w14:paraId="30320A5F">
      <w:pPr>
        <w:kinsoku/>
        <w:wordWrap w:val="0"/>
        <w:spacing w:line="360" w:lineRule="auto"/>
        <w:jc w:val="both"/>
        <w:rPr>
          <w:rFonts w:asciiTheme="minorEastAsia" w:hAnsiTheme="minorEastAsia" w:eastAsiaTheme="minorEastAsia" w:cstheme="minorEastAsia"/>
          <w:b/>
          <w:sz w:val="24"/>
          <w:szCs w:val="24"/>
          <w:lang w:eastAsia="zh-CN"/>
        </w:rPr>
      </w:pPr>
    </w:p>
    <w:p w14:paraId="4C1B5EA4">
      <w:pPr>
        <w:kinsoku/>
        <w:wordWrap w:val="0"/>
        <w:spacing w:line="360" w:lineRule="auto"/>
        <w:jc w:val="both"/>
        <w:rPr>
          <w:rFonts w:asciiTheme="minorEastAsia" w:hAnsiTheme="minorEastAsia" w:eastAsiaTheme="minorEastAsia" w:cstheme="minorEastAsia"/>
          <w:b/>
          <w:sz w:val="24"/>
          <w:szCs w:val="24"/>
          <w:lang w:eastAsia="zh-CN"/>
        </w:rPr>
      </w:pPr>
    </w:p>
    <w:p w14:paraId="4FE2CF15">
      <w:pPr>
        <w:kinsoku/>
        <w:wordWrap w:val="0"/>
        <w:spacing w:line="360" w:lineRule="auto"/>
        <w:jc w:val="both"/>
        <w:rPr>
          <w:rFonts w:asciiTheme="minorEastAsia" w:hAnsiTheme="minorEastAsia" w:eastAsiaTheme="minorEastAsia" w:cstheme="minorEastAsia"/>
          <w:b/>
          <w:sz w:val="24"/>
          <w:szCs w:val="24"/>
          <w:lang w:eastAsia="zh-CN"/>
        </w:rPr>
      </w:pPr>
    </w:p>
    <w:p w14:paraId="13F7937B">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6.商务偏差表格式</w:t>
      </w:r>
    </w:p>
    <w:p w14:paraId="0448A428">
      <w:pPr>
        <w:kinsoku/>
        <w:wordWrap w:val="0"/>
        <w:ind w:firstLine="482"/>
        <w:jc w:val="both"/>
        <w:rPr>
          <w:rFonts w:asciiTheme="minorEastAsia" w:hAnsiTheme="minorEastAsia" w:eastAsiaTheme="minorEastAsia" w:cstheme="minorEastAsia"/>
          <w:b/>
          <w:sz w:val="24"/>
          <w:szCs w:val="24"/>
          <w:lang w:eastAsia="zh-CN"/>
        </w:rPr>
      </w:pPr>
    </w:p>
    <w:p w14:paraId="33299AC9">
      <w:pPr>
        <w:kinsoku/>
        <w:wordWrap w:val="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6BD52DC7">
      <w:pPr>
        <w:kinsoku/>
        <w:wordWrap w:val="0"/>
        <w:spacing w:line="360" w:lineRule="auto"/>
        <w:jc w:val="both"/>
        <w:rPr>
          <w:rFonts w:asciiTheme="minorEastAsia" w:hAnsiTheme="minorEastAsia" w:eastAsiaTheme="minorEastAsia" w:cstheme="minorEastAsia"/>
          <w:sz w:val="24"/>
          <w:szCs w:val="24"/>
          <w:lang w:eastAsia="zh-CN"/>
        </w:rPr>
      </w:pPr>
    </w:p>
    <w:p w14:paraId="5829D42E">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7FAC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F6FF6A8">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DA6CCCD">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3596504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2370AA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44ECDD7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1D206E07">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10BC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7E68DBA">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9622FC9">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4A08A70">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4CE80E07">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6467AF5E">
            <w:pPr>
              <w:kinsoku/>
              <w:wordWrap w:val="0"/>
              <w:jc w:val="both"/>
              <w:rPr>
                <w:rFonts w:asciiTheme="minorEastAsia" w:hAnsiTheme="minorEastAsia" w:eastAsiaTheme="minorEastAsia" w:cstheme="minorEastAsia"/>
                <w:sz w:val="24"/>
                <w:szCs w:val="24"/>
              </w:rPr>
            </w:pPr>
          </w:p>
        </w:tc>
      </w:tr>
      <w:tr w14:paraId="142A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CA8960C">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E59AE0F">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073407F8">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BE535D2">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6843B51">
            <w:pPr>
              <w:kinsoku/>
              <w:wordWrap w:val="0"/>
              <w:jc w:val="both"/>
              <w:rPr>
                <w:rFonts w:asciiTheme="minorEastAsia" w:hAnsiTheme="minorEastAsia" w:eastAsiaTheme="minorEastAsia" w:cstheme="minorEastAsia"/>
                <w:sz w:val="24"/>
                <w:szCs w:val="24"/>
              </w:rPr>
            </w:pPr>
          </w:p>
        </w:tc>
      </w:tr>
      <w:tr w14:paraId="43F8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57BDBEB">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7AD6E66">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FDF438A">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3447583">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CB1ADFE">
            <w:pPr>
              <w:kinsoku/>
              <w:wordWrap w:val="0"/>
              <w:jc w:val="both"/>
              <w:rPr>
                <w:rFonts w:asciiTheme="minorEastAsia" w:hAnsiTheme="minorEastAsia" w:eastAsiaTheme="minorEastAsia" w:cstheme="minorEastAsia"/>
                <w:sz w:val="24"/>
                <w:szCs w:val="24"/>
              </w:rPr>
            </w:pPr>
          </w:p>
        </w:tc>
      </w:tr>
      <w:tr w14:paraId="6CEC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F9CC033">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AAB5C37">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12773F2">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11CC8102">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4105035">
            <w:pPr>
              <w:kinsoku/>
              <w:wordWrap w:val="0"/>
              <w:jc w:val="both"/>
              <w:rPr>
                <w:rFonts w:asciiTheme="minorEastAsia" w:hAnsiTheme="minorEastAsia" w:eastAsiaTheme="minorEastAsia" w:cstheme="minorEastAsia"/>
                <w:sz w:val="24"/>
                <w:szCs w:val="24"/>
              </w:rPr>
            </w:pPr>
          </w:p>
        </w:tc>
      </w:tr>
      <w:tr w14:paraId="782C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DA90E19">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0547032">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7D1BA37">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7C99D3DC">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2E71F9F">
            <w:pPr>
              <w:kinsoku/>
              <w:wordWrap w:val="0"/>
              <w:jc w:val="both"/>
              <w:rPr>
                <w:rFonts w:asciiTheme="minorEastAsia" w:hAnsiTheme="minorEastAsia" w:eastAsiaTheme="minorEastAsia" w:cstheme="minorEastAsia"/>
                <w:sz w:val="24"/>
                <w:szCs w:val="24"/>
              </w:rPr>
            </w:pPr>
          </w:p>
        </w:tc>
      </w:tr>
      <w:tr w14:paraId="5287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E6D1A72">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2A378C6">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1DFB2CC">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4622C9D">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D2692C4">
            <w:pPr>
              <w:kinsoku/>
              <w:wordWrap w:val="0"/>
              <w:jc w:val="both"/>
              <w:rPr>
                <w:rFonts w:asciiTheme="minorEastAsia" w:hAnsiTheme="minorEastAsia" w:eastAsiaTheme="minorEastAsia" w:cstheme="minorEastAsia"/>
                <w:sz w:val="24"/>
                <w:szCs w:val="24"/>
              </w:rPr>
            </w:pPr>
          </w:p>
        </w:tc>
      </w:tr>
      <w:tr w14:paraId="3390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33076C9">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5D536E1">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D341DA4">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A561A16">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4938561E">
            <w:pPr>
              <w:kinsoku/>
              <w:wordWrap w:val="0"/>
              <w:jc w:val="both"/>
              <w:rPr>
                <w:rFonts w:asciiTheme="minorEastAsia" w:hAnsiTheme="minorEastAsia" w:eastAsiaTheme="minorEastAsia" w:cstheme="minorEastAsia"/>
                <w:sz w:val="24"/>
                <w:szCs w:val="24"/>
              </w:rPr>
            </w:pPr>
          </w:p>
        </w:tc>
      </w:tr>
      <w:tr w14:paraId="0A75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C2C812">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6C22038">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10BFB801">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E933A77">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CC3AB0A">
            <w:pPr>
              <w:kinsoku/>
              <w:wordWrap w:val="0"/>
              <w:jc w:val="both"/>
              <w:rPr>
                <w:rFonts w:asciiTheme="minorEastAsia" w:hAnsiTheme="minorEastAsia" w:eastAsiaTheme="minorEastAsia" w:cstheme="minorEastAsia"/>
                <w:sz w:val="24"/>
                <w:szCs w:val="24"/>
              </w:rPr>
            </w:pPr>
          </w:p>
        </w:tc>
      </w:tr>
      <w:tr w14:paraId="2828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639084F">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0FA07AD">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5CBAC6E">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0C38325">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0B32F22">
            <w:pPr>
              <w:kinsoku/>
              <w:wordWrap w:val="0"/>
              <w:jc w:val="both"/>
              <w:rPr>
                <w:rFonts w:asciiTheme="minorEastAsia" w:hAnsiTheme="minorEastAsia" w:eastAsiaTheme="minorEastAsia" w:cstheme="minorEastAsia"/>
                <w:sz w:val="24"/>
                <w:szCs w:val="24"/>
              </w:rPr>
            </w:pPr>
          </w:p>
        </w:tc>
      </w:tr>
      <w:tr w14:paraId="5AC2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2F7F4">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A4D2264">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E324C98">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5A6033DF">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D2BE433">
            <w:pPr>
              <w:kinsoku/>
              <w:wordWrap w:val="0"/>
              <w:jc w:val="both"/>
              <w:rPr>
                <w:rFonts w:asciiTheme="minorEastAsia" w:hAnsiTheme="minorEastAsia" w:eastAsiaTheme="minorEastAsia" w:cstheme="minorEastAsia"/>
                <w:sz w:val="24"/>
                <w:szCs w:val="24"/>
              </w:rPr>
            </w:pPr>
          </w:p>
        </w:tc>
      </w:tr>
      <w:tr w14:paraId="7C22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BAF260E">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5347F31">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E935252">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1062606">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F408A0E">
            <w:pPr>
              <w:kinsoku/>
              <w:wordWrap w:val="0"/>
              <w:jc w:val="both"/>
              <w:rPr>
                <w:rFonts w:asciiTheme="minorEastAsia" w:hAnsiTheme="minorEastAsia" w:eastAsiaTheme="minorEastAsia" w:cstheme="minorEastAsia"/>
                <w:sz w:val="24"/>
                <w:szCs w:val="24"/>
              </w:rPr>
            </w:pPr>
          </w:p>
        </w:tc>
      </w:tr>
    </w:tbl>
    <w:p w14:paraId="6BD7A955">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438A3FF5">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b/>
          <w:bCs/>
          <w:spacing w:val="-8"/>
          <w:sz w:val="24"/>
          <w:szCs w:val="24"/>
          <w:lang w:eastAsia="zh-CN"/>
        </w:rPr>
        <w:t>年月日</w:t>
      </w:r>
    </w:p>
    <w:p w14:paraId="1485C568">
      <w:pPr>
        <w:kinsoku/>
        <w:wordWrap w:val="0"/>
        <w:spacing w:line="360" w:lineRule="auto"/>
        <w:jc w:val="both"/>
        <w:rPr>
          <w:rFonts w:asciiTheme="minorEastAsia" w:hAnsiTheme="minorEastAsia" w:eastAsiaTheme="minorEastAsia" w:cstheme="minorEastAsia"/>
          <w:b/>
          <w:sz w:val="24"/>
          <w:szCs w:val="24"/>
          <w:lang w:eastAsia="zh-CN"/>
        </w:rPr>
      </w:pPr>
    </w:p>
    <w:p w14:paraId="2BD9FB67">
      <w:pPr>
        <w:kinsoku/>
        <w:wordWrap w:val="0"/>
        <w:spacing w:line="360" w:lineRule="auto"/>
        <w:jc w:val="both"/>
        <w:rPr>
          <w:rFonts w:asciiTheme="minorEastAsia" w:hAnsiTheme="minorEastAsia" w:eastAsiaTheme="minorEastAsia" w:cstheme="minorEastAsia"/>
          <w:b/>
          <w:sz w:val="24"/>
          <w:szCs w:val="24"/>
          <w:lang w:eastAsia="zh-CN"/>
        </w:rPr>
      </w:pPr>
    </w:p>
    <w:p w14:paraId="26F0B92A">
      <w:pPr>
        <w:kinsoku/>
        <w:wordWrap w:val="0"/>
        <w:spacing w:line="360" w:lineRule="auto"/>
        <w:jc w:val="both"/>
        <w:rPr>
          <w:rFonts w:ascii="宋体" w:hAnsi="宋体"/>
          <w:b/>
          <w:sz w:val="24"/>
          <w:szCs w:val="24"/>
          <w:lang w:eastAsia="zh-CN"/>
        </w:rPr>
      </w:pPr>
      <w:r>
        <w:rPr>
          <w:rFonts w:hint="eastAsia" w:asciiTheme="minorEastAsia" w:hAnsiTheme="minorEastAsia" w:eastAsiaTheme="minorEastAsia" w:cstheme="minorEastAsia"/>
          <w:b/>
          <w:sz w:val="24"/>
          <w:szCs w:val="24"/>
          <w:lang w:eastAsia="zh-CN"/>
        </w:rPr>
        <w:t>7.售后服务计划</w:t>
      </w:r>
      <w:r>
        <w:rPr>
          <w:rFonts w:hint="eastAsia" w:ascii="宋体" w:hAnsi="宋体"/>
          <w:b/>
          <w:sz w:val="24"/>
          <w:szCs w:val="24"/>
          <w:lang w:eastAsia="zh-CN"/>
        </w:rPr>
        <w:t>（适用于货物）</w:t>
      </w:r>
    </w:p>
    <w:p w14:paraId="4843309B">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8.投标人业绩</w:t>
      </w:r>
    </w:p>
    <w:p w14:paraId="30E896C2">
      <w:pPr>
        <w:kinsoku/>
        <w:wordWrap w:val="0"/>
        <w:spacing w:after="120" w:line="360" w:lineRule="auto"/>
        <w:jc w:val="both"/>
        <w:rPr>
          <w:rFonts w:asciiTheme="minorEastAsia" w:hAnsiTheme="minorEastAsia" w:eastAsiaTheme="minorEastAsia" w:cstheme="minorEastAsia"/>
          <w:b/>
          <w:sz w:val="24"/>
          <w:szCs w:val="24"/>
          <w:lang w:eastAsia="zh-CN"/>
        </w:rPr>
      </w:pPr>
    </w:p>
    <w:p w14:paraId="5FA47455">
      <w:pPr>
        <w:kinsoku/>
        <w:wordWrap w:val="0"/>
        <w:spacing w:after="120" w:line="360" w:lineRule="auto"/>
        <w:jc w:val="both"/>
        <w:rPr>
          <w:rFonts w:asciiTheme="minorEastAsia" w:hAnsiTheme="minorEastAsia" w:eastAsiaTheme="minorEastAsia" w:cstheme="minorEastAsia"/>
          <w:b/>
          <w:sz w:val="24"/>
          <w:szCs w:val="24"/>
          <w:lang w:eastAsia="zh-CN"/>
        </w:rPr>
      </w:pPr>
    </w:p>
    <w:p w14:paraId="50214D8E">
      <w:pPr>
        <w:kinsoku/>
        <w:wordWrap w:val="0"/>
        <w:spacing w:after="120"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9.节能产品、环境标志产品明细表</w:t>
      </w:r>
      <w:r>
        <w:rPr>
          <w:rFonts w:hint="eastAsia" w:ascii="宋体" w:hAnsi="宋体"/>
          <w:b/>
          <w:sz w:val="24"/>
          <w:szCs w:val="24"/>
          <w:lang w:eastAsia="zh-CN"/>
        </w:rPr>
        <w:t>（适用于货物）</w:t>
      </w:r>
    </w:p>
    <w:p w14:paraId="6576F1C5">
      <w:pPr>
        <w:kinsoku/>
        <w:wordWrap w:val="0"/>
        <w:spacing w:line="360" w:lineRule="auto"/>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13C71580">
      <w:pPr>
        <w:kinsoku/>
        <w:wordWrap w:val="0"/>
        <w:spacing w:line="360" w:lineRule="auto"/>
        <w:jc w:val="both"/>
        <w:rPr>
          <w:rFonts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06E1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tcPr>
          <w:p w14:paraId="4074D3CD">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tcPr>
          <w:p w14:paraId="15161878">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tcPr>
          <w:p w14:paraId="0CFB7E7A">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01142F5E">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tcPr>
          <w:p w14:paraId="0BF82E0B">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423289FE">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tcPr>
          <w:p w14:paraId="565677BC">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5A3DEF88">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569FA163">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tcPr>
          <w:p w14:paraId="12505C49">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tcPr>
          <w:p w14:paraId="5BA2A187">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0C0F7B21">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1E82AE2A">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6F55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4D6FD53C">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38ABC547">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505FB859">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250C110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E14E641">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3BCFDB7D">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891CD8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3DCF864">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3D095EB8">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14:paraId="041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6529161C">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40CB594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5DCA91DB">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323E851B">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CB0D6F4">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2910D3E8">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926A1FE">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7A583A57">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007D96B6">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14:paraId="7D0F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3A79163E">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0F2B6899">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44A7303D">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74D8322F">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760AB882">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63BBA5FF">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71779D0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072A2CCF">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2EE26776">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bl>
    <w:p w14:paraId="7CF7995A">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59C6C95F">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516639EE">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3EAD8438">
      <w:pPr>
        <w:kinsoku/>
        <w:wordWrap w:val="0"/>
        <w:spacing w:line="360" w:lineRule="auto"/>
        <w:jc w:val="both"/>
        <w:rPr>
          <w:rFonts w:asciiTheme="minorEastAsia" w:hAnsiTheme="minorEastAsia" w:eastAsiaTheme="minorEastAsia" w:cstheme="minorEastAsia"/>
          <w:b/>
          <w:sz w:val="24"/>
          <w:szCs w:val="24"/>
          <w:lang w:eastAsia="zh-CN"/>
        </w:rPr>
      </w:pPr>
    </w:p>
    <w:p w14:paraId="4433121B">
      <w:pPr>
        <w:kinsoku/>
        <w:wordWrap w:val="0"/>
        <w:spacing w:line="360" w:lineRule="auto"/>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61EAC2C0">
      <w:pPr>
        <w:kinsoku/>
        <w:wordWrap w:val="0"/>
        <w:spacing w:line="360" w:lineRule="auto"/>
        <w:jc w:val="both"/>
        <w:rPr>
          <w:rFonts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0727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tcPr>
          <w:p w14:paraId="21BE8830">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tcPr>
          <w:p w14:paraId="0B22942F">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tcPr>
          <w:p w14:paraId="6D074B38">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087AC606">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tcPr>
          <w:p w14:paraId="0E36B83F">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3115EC38">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tcPr>
          <w:p w14:paraId="0A35FA75">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tcPr>
          <w:p w14:paraId="72FD5740">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tcPr>
          <w:p w14:paraId="1B8E8270">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3982D1FF">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558DF871">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693F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10A46CF2">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65B81767">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E888380">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24884434">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A62709C">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9AEE3D7">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3401332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E400979">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098439D5">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14:paraId="6D53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3998E39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112B2AA5">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552095D">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06A771D5">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AE25D6B">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17177F60">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27BDFAB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613EE9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5C21358">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14:paraId="3115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02669996">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22FAD515">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B959984">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2F2CB25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70392E30">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C713B0E">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057958C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52772D9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031B879">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bl>
    <w:p w14:paraId="7AD7C545">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4554C6CB">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4B8F37ED">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7262E6A2">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23E27447">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25581700">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6A75CBCA">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191C0451">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2751915C">
      <w:pPr>
        <w:kinsoku/>
        <w:wordWrap w:val="0"/>
        <w:spacing w:line="360" w:lineRule="auto"/>
        <w:ind w:firstLine="480" w:firstLineChars="200"/>
        <w:jc w:val="both"/>
        <w:rPr>
          <w:rFonts w:asciiTheme="minorEastAsia" w:hAnsiTheme="minorEastAsia" w:eastAsiaTheme="minorEastAsia" w:cstheme="minorEastAsia"/>
          <w:spacing w:val="-3"/>
          <w:sz w:val="36"/>
          <w:szCs w:val="36"/>
          <w:lang w:eastAsia="zh-CN"/>
        </w:rPr>
      </w:pPr>
      <w:r>
        <w:rPr>
          <w:rFonts w:hint="eastAsia" w:asciiTheme="minorEastAsia" w:hAnsiTheme="minorEastAsia" w:eastAsiaTheme="minorEastAsia" w:cstheme="minorEastAsia"/>
          <w:bCs/>
          <w:sz w:val="24"/>
          <w:szCs w:val="24"/>
          <w:lang w:eastAsia="zh-CN"/>
        </w:rPr>
        <w:t>5.没有相关产品可不提供本表。</w:t>
      </w:r>
    </w:p>
    <w:p w14:paraId="4A985F74">
      <w:pPr>
        <w:pStyle w:val="3"/>
        <w:kinsoku/>
        <w:wordWrap w:val="0"/>
        <w:spacing w:before="333" w:line="219" w:lineRule="auto"/>
        <w:jc w:val="both"/>
        <w:rPr>
          <w:rFonts w:asciiTheme="minorEastAsia" w:hAnsiTheme="minorEastAsia" w:eastAsiaTheme="minorEastAsia" w:cstheme="minorEastAsia"/>
          <w:spacing w:val="-3"/>
          <w:sz w:val="36"/>
          <w:szCs w:val="36"/>
          <w:lang w:eastAsia="zh-CN"/>
        </w:rPr>
      </w:pPr>
    </w:p>
    <w:p w14:paraId="2DFA0344">
      <w:pPr>
        <w:pStyle w:val="3"/>
        <w:kinsoku/>
        <w:wordWrap w:val="0"/>
        <w:spacing w:line="360" w:lineRule="auto"/>
        <w:jc w:val="both"/>
        <w:rPr>
          <w:rFonts w:eastAsia="Arial" w:cs="Arial"/>
          <w:b/>
          <w:sz w:val="24"/>
          <w:szCs w:val="24"/>
          <w:lang w:eastAsia="zh-CN"/>
        </w:rPr>
      </w:pPr>
      <w:r>
        <w:rPr>
          <w:rFonts w:hint="eastAsia" w:eastAsia="Arial" w:cs="Arial"/>
          <w:b/>
          <w:sz w:val="24"/>
          <w:szCs w:val="24"/>
          <w:lang w:eastAsia="zh-CN"/>
        </w:rPr>
        <w:t>10.中小企业、监狱企业或残疾人福利性单位声明函（对于专门面向中小企业采购的项目必须提供，不专门面向的项目可选择提供）</w:t>
      </w:r>
    </w:p>
    <w:p w14:paraId="71E67A45">
      <w:pPr>
        <w:pStyle w:val="3"/>
        <w:kinsoku/>
        <w:wordWrap w:val="0"/>
        <w:spacing w:before="333" w:line="219" w:lineRule="auto"/>
        <w:jc w:val="center"/>
        <w:rPr>
          <w:rFonts w:asciiTheme="minorEastAsia" w:hAnsiTheme="minorEastAsia" w:eastAsiaTheme="minorEastAsia" w:cstheme="minorEastAsia"/>
          <w:spacing w:val="-3"/>
          <w:sz w:val="36"/>
          <w:szCs w:val="36"/>
          <w:lang w:eastAsia="zh-CN"/>
        </w:rPr>
      </w:pPr>
    </w:p>
    <w:p w14:paraId="5AE5DFC4">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52668042">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518199DD">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15333783">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7547E6D0">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662C6B52">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16B95DE6">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39C1795D">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50B29B38">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53DE07F2">
      <w:pPr>
        <w:pStyle w:val="3"/>
        <w:kinsoku/>
        <w:wordWrap w:val="0"/>
        <w:spacing w:line="360" w:lineRule="auto"/>
        <w:jc w:val="center"/>
        <w:rPr>
          <w:rFonts w:asciiTheme="minorEastAsia" w:hAnsiTheme="minorEastAsia" w:eastAsiaTheme="minorEastAsia" w:cstheme="minorEastAsia"/>
          <w:spacing w:val="-3"/>
          <w:sz w:val="36"/>
          <w:szCs w:val="36"/>
          <w:lang w:eastAsia="zh-CN"/>
        </w:rPr>
      </w:pPr>
    </w:p>
    <w:p w14:paraId="6CC1A648">
      <w:pPr>
        <w:rPr>
          <w:rFonts w:hint="eastAsia" w:asciiTheme="minorEastAsia" w:hAnsiTheme="minorEastAsia" w:eastAsiaTheme="minorEastAsia" w:cstheme="minorEastAsia"/>
          <w:spacing w:val="-3"/>
          <w:sz w:val="36"/>
          <w:szCs w:val="36"/>
          <w:lang w:eastAsia="zh-CN"/>
        </w:rPr>
      </w:pPr>
      <w:r>
        <w:rPr>
          <w:rFonts w:hint="eastAsia" w:asciiTheme="minorEastAsia" w:hAnsiTheme="minorEastAsia" w:eastAsiaTheme="minorEastAsia" w:cstheme="minorEastAsia"/>
          <w:spacing w:val="-3"/>
          <w:sz w:val="36"/>
          <w:szCs w:val="36"/>
          <w:lang w:eastAsia="zh-CN"/>
        </w:rPr>
        <w:br w:type="page"/>
      </w:r>
    </w:p>
    <w:p w14:paraId="236BFB3D">
      <w:pPr>
        <w:pStyle w:val="3"/>
        <w:kinsoku/>
        <w:wordWrap w:val="0"/>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3"/>
          <w:sz w:val="36"/>
          <w:szCs w:val="36"/>
          <w:lang w:eastAsia="zh-CN"/>
        </w:rPr>
        <w:t>中小企业声明函（货物）格式</w:t>
      </w:r>
    </w:p>
    <w:p w14:paraId="754CC599">
      <w:pPr>
        <w:kinsoku/>
        <w:wordWrap w:val="0"/>
        <w:spacing w:line="360" w:lineRule="auto"/>
        <w:jc w:val="both"/>
        <w:rPr>
          <w:rFonts w:asciiTheme="minorEastAsia" w:hAnsiTheme="minorEastAsia" w:eastAsiaTheme="minorEastAsia" w:cstheme="minorEastAsia"/>
          <w:lang w:eastAsia="zh-CN"/>
        </w:rPr>
      </w:pPr>
    </w:p>
    <w:p w14:paraId="0526C5EE">
      <w:pPr>
        <w:pStyle w:val="3"/>
        <w:kinsoku/>
        <w:wordWrap w:val="0"/>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0"/>
          <w:sz w:val="24"/>
          <w:szCs w:val="24"/>
          <w:lang w:eastAsia="zh-CN"/>
        </w:rPr>
        <w:t>库﹝2020﹞46号）的规定，本公司（联合体）参加（单位名称）的（项目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pacing w:val="14"/>
          <w:sz w:val="24"/>
          <w:szCs w:val="24"/>
          <w:lang w:eastAsia="zh-CN"/>
        </w:rPr>
        <w:t>采购活动，</w:t>
      </w:r>
      <w:r>
        <w:rPr>
          <w:rFonts w:hint="eastAsia" w:asciiTheme="minorEastAsia" w:hAnsiTheme="minorEastAsia" w:eastAsiaTheme="minorEastAsia" w:cstheme="minorEastAsia"/>
          <w:spacing w:val="-86"/>
          <w:sz w:val="24"/>
          <w:szCs w:val="24"/>
          <w:lang w:eastAsia="zh-CN"/>
        </w:rPr>
        <w:t>提</w:t>
      </w:r>
      <w:r>
        <w:rPr>
          <w:rFonts w:hint="eastAsia" w:asciiTheme="minorEastAsia" w:hAnsiTheme="minorEastAsia" w:eastAsiaTheme="minorEastAsia" w:cstheme="minorEastAsia"/>
          <w:spacing w:val="14"/>
          <w:sz w:val="24"/>
          <w:szCs w:val="24"/>
          <w:lang w:eastAsia="zh-CN"/>
        </w:rPr>
        <w:t>供的货物全部由符合政策要求的</w:t>
      </w:r>
      <w:r>
        <w:rPr>
          <w:rFonts w:hint="eastAsia" w:asciiTheme="minorEastAsia" w:hAnsiTheme="minorEastAsia" w:eastAsiaTheme="minorEastAsia" w:cstheme="minorEastAsia"/>
          <w:spacing w:val="13"/>
          <w:sz w:val="24"/>
          <w:szCs w:val="24"/>
          <w:lang w:eastAsia="zh-CN"/>
        </w:rPr>
        <w:t>中小企业制造。相关企业（含联合体</w:t>
      </w:r>
      <w:r>
        <w:rPr>
          <w:rFonts w:hint="eastAsia" w:asciiTheme="minorEastAsia" w:hAnsiTheme="minorEastAsia" w:eastAsiaTheme="minorEastAsia" w:cstheme="minorEastAsia"/>
          <w:spacing w:val="8"/>
          <w:sz w:val="24"/>
          <w:szCs w:val="24"/>
          <w:lang w:eastAsia="zh-CN"/>
        </w:rPr>
        <w:t>中的中小企业、签订分包意向协议的中小企业）的具体情况如下：</w:t>
      </w:r>
    </w:p>
    <w:p w14:paraId="148D6AC0">
      <w:pPr>
        <w:pStyle w:val="3"/>
        <w:kinsoku/>
        <w:wordWrap w:val="0"/>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1"/>
          <w:sz w:val="24"/>
          <w:szCs w:val="24"/>
          <w:u w:val="single"/>
          <w:lang w:eastAsia="zh-CN"/>
        </w:rPr>
        <w:t>）</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3"/>
          <w:sz w:val="24"/>
          <w:szCs w:val="24"/>
          <w:u w:val="single"/>
          <w:lang w:eastAsia="zh-CN"/>
        </w:rPr>
        <w:t>称</w:t>
      </w:r>
      <w:r>
        <w:rPr>
          <w:rFonts w:hint="eastAsia" w:asciiTheme="minorEastAsia" w:hAnsiTheme="minorEastAsia" w:eastAsiaTheme="minorEastAsia" w:cstheme="minorEastAsia"/>
          <w:spacing w:val="-40"/>
          <w:sz w:val="24"/>
          <w:szCs w:val="24"/>
          <w:u w:val="single"/>
          <w:lang w:eastAsia="zh-CN"/>
        </w:rPr>
        <w:t>）</w:t>
      </w:r>
      <w:r>
        <w:rPr>
          <w:rFonts w:hint="eastAsia" w:asciiTheme="minorEastAsia" w:hAnsiTheme="minorEastAsia" w:eastAsiaTheme="minorEastAsia" w:cstheme="minorEastAsia"/>
          <w:spacing w:val="-40"/>
          <w:sz w:val="24"/>
          <w:szCs w:val="24"/>
          <w:lang w:eastAsia="zh-CN"/>
        </w:rPr>
        <w:t>，</w:t>
      </w:r>
      <w:r>
        <w:rPr>
          <w:rFonts w:hint="eastAsia" w:asciiTheme="minorEastAsia" w:hAnsiTheme="minorEastAsia" w:eastAsiaTheme="minorEastAsia" w:cstheme="minorEastAsia"/>
          <w:spacing w:val="3"/>
          <w:sz w:val="24"/>
          <w:szCs w:val="24"/>
          <w:lang w:eastAsia="zh-CN"/>
        </w:rPr>
        <w:t>从业人员人，</w:t>
      </w:r>
      <w:r>
        <w:rPr>
          <w:rFonts w:hint="eastAsia" w:asciiTheme="minorEastAsia" w:hAnsiTheme="minorEastAsia" w:eastAsiaTheme="minorEastAsia" w:cstheme="minorEastAsia"/>
          <w:spacing w:val="7"/>
          <w:sz w:val="24"/>
          <w:szCs w:val="24"/>
          <w:lang w:eastAsia="zh-CN"/>
        </w:rPr>
        <w:t>营业收入为万元，资产总额为</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spacing w:val="2"/>
          <w:sz w:val="24"/>
          <w:szCs w:val="24"/>
          <w:u w:val="single"/>
          <w:lang w:eastAsia="zh-CN"/>
        </w:rPr>
        <w:t>（中型企业、小型企业、微型企业</w:t>
      </w:r>
      <w:r>
        <w:rPr>
          <w:rFonts w:hint="eastAsia" w:asciiTheme="minorEastAsia" w:hAnsiTheme="minorEastAsia" w:eastAsiaTheme="minorEastAsia" w:cstheme="minorEastAsia"/>
          <w:spacing w:val="-51"/>
          <w:sz w:val="24"/>
          <w:szCs w:val="24"/>
          <w:u w:val="single"/>
          <w:lang w:eastAsia="zh-CN"/>
        </w:rPr>
        <w:t>）</w:t>
      </w:r>
      <w:r>
        <w:rPr>
          <w:rFonts w:hint="eastAsia" w:asciiTheme="minorEastAsia" w:hAnsiTheme="minorEastAsia" w:eastAsiaTheme="minorEastAsia" w:cstheme="minorEastAsia"/>
          <w:spacing w:val="-51"/>
          <w:sz w:val="24"/>
          <w:szCs w:val="24"/>
          <w:lang w:eastAsia="zh-CN"/>
        </w:rPr>
        <w:t>；</w:t>
      </w:r>
    </w:p>
    <w:p w14:paraId="5EB7F897">
      <w:pPr>
        <w:pStyle w:val="3"/>
        <w:kinsoku/>
        <w:wordWrap w:val="0"/>
        <w:spacing w:line="360" w:lineRule="auto"/>
        <w:ind w:firstLine="51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3"/>
          <w:sz w:val="24"/>
          <w:szCs w:val="24"/>
          <w:u w:val="single"/>
          <w:lang w:eastAsia="zh-CN"/>
        </w:rPr>
        <w:t>）</w:t>
      </w:r>
      <w:r>
        <w:rPr>
          <w:rFonts w:hint="eastAsia" w:asciiTheme="minorEastAsia" w:hAnsiTheme="minorEastAsia" w:eastAsiaTheme="minorEastAsia" w:cstheme="minorEastAsia"/>
          <w:spacing w:val="-43"/>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5"/>
          <w:sz w:val="24"/>
          <w:szCs w:val="24"/>
          <w:u w:val="single"/>
          <w:lang w:eastAsia="zh-CN"/>
        </w:rPr>
        <w:t>称</w:t>
      </w:r>
      <w:r>
        <w:rPr>
          <w:rFonts w:hint="eastAsia" w:asciiTheme="minorEastAsia" w:hAnsiTheme="minorEastAsia" w:eastAsiaTheme="minorEastAsia" w:cstheme="minorEastAsia"/>
          <w:spacing w:val="-59"/>
          <w:w w:val="94"/>
          <w:sz w:val="24"/>
          <w:szCs w:val="24"/>
          <w:u w:val="single"/>
          <w:lang w:eastAsia="zh-CN"/>
        </w:rPr>
        <w:t>）</w:t>
      </w:r>
      <w:r>
        <w:rPr>
          <w:rFonts w:hint="eastAsia" w:asciiTheme="minorEastAsia" w:hAnsiTheme="minorEastAsia" w:eastAsiaTheme="minorEastAsia" w:cstheme="minorEastAsia"/>
          <w:spacing w:val="-59"/>
          <w:w w:val="94"/>
          <w:sz w:val="24"/>
          <w:szCs w:val="24"/>
          <w:lang w:eastAsia="zh-CN"/>
        </w:rPr>
        <w:t>，</w:t>
      </w:r>
      <w:r>
        <w:rPr>
          <w:rFonts w:hint="eastAsia" w:asciiTheme="minorEastAsia" w:hAnsiTheme="minorEastAsia" w:eastAsiaTheme="minorEastAsia" w:cstheme="minorEastAsia"/>
          <w:spacing w:val="-5"/>
          <w:sz w:val="24"/>
          <w:szCs w:val="24"/>
          <w:lang w:eastAsia="zh-CN"/>
        </w:rPr>
        <w:t>从业人员人，营业收入为万元，资产总额为万元，属于</w:t>
      </w:r>
      <w:r>
        <w:rPr>
          <w:rFonts w:hint="eastAsia" w:asciiTheme="minorEastAsia" w:hAnsiTheme="minorEastAsia" w:eastAsiaTheme="minorEastAsia" w:cstheme="minorEastAsia"/>
          <w:spacing w:val="-5"/>
          <w:sz w:val="24"/>
          <w:szCs w:val="24"/>
          <w:u w:val="single"/>
          <w:lang w:eastAsia="zh-CN"/>
        </w:rPr>
        <w:t>（中</w:t>
      </w:r>
      <w:r>
        <w:rPr>
          <w:rFonts w:hint="eastAsia" w:asciiTheme="minorEastAsia" w:hAnsiTheme="minorEastAsia" w:eastAsiaTheme="minorEastAsia" w:cstheme="minorEastAsia"/>
          <w:spacing w:val="9"/>
          <w:sz w:val="24"/>
          <w:szCs w:val="24"/>
          <w:u w:val="single"/>
          <w:lang w:eastAsia="zh-CN"/>
        </w:rPr>
        <w:t>型企业、小型企业、微型企业</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p>
    <w:p w14:paraId="0471F952">
      <w:pPr>
        <w:kinsoku/>
        <w:wordWrap w:val="0"/>
        <w:spacing w:line="360" w:lineRule="auto"/>
        <w:jc w:val="both"/>
        <w:rPr>
          <w:rFonts w:asciiTheme="minorEastAsia" w:hAnsiTheme="minorEastAsia" w:eastAsiaTheme="minorEastAsia" w:cstheme="minorEastAsia"/>
          <w:lang w:eastAsia="zh-CN"/>
        </w:rPr>
      </w:pPr>
    </w:p>
    <w:p w14:paraId="6E88C41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14:paraId="38512E1D">
      <w:pPr>
        <w:pStyle w:val="3"/>
        <w:kinsoku/>
        <w:wordWrap w:val="0"/>
        <w:spacing w:line="360" w:lineRule="auto"/>
        <w:ind w:firstLine="496"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以上企业，不属于大企业的分支机构，不存在控股股东为大企业的情形，也不存在与大企业的负责人为同一人的情形。</w:t>
      </w:r>
    </w:p>
    <w:p w14:paraId="0E8CB261">
      <w:pPr>
        <w:pStyle w:val="3"/>
        <w:kinsoku/>
        <w:wordWrap w:val="0"/>
        <w:spacing w:line="360" w:lineRule="auto"/>
        <w:ind w:firstLine="496"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本企业对上述声明内容的真实性负责。如有虚假，将依法承担相应责任。</w:t>
      </w:r>
    </w:p>
    <w:p w14:paraId="49470BAB">
      <w:pPr>
        <w:pStyle w:val="3"/>
        <w:kinsoku/>
        <w:wordWrap w:val="0"/>
        <w:spacing w:line="360" w:lineRule="auto"/>
        <w:ind w:firstLine="496" w:firstLineChars="200"/>
        <w:jc w:val="both"/>
        <w:rPr>
          <w:rFonts w:asciiTheme="minorEastAsia" w:hAnsiTheme="minorEastAsia" w:eastAsiaTheme="minorEastAsia" w:cstheme="minorEastAsia"/>
          <w:spacing w:val="4"/>
          <w:sz w:val="24"/>
          <w:szCs w:val="24"/>
          <w:lang w:eastAsia="zh-CN"/>
        </w:rPr>
      </w:pPr>
    </w:p>
    <w:p w14:paraId="475DB7D8">
      <w:pPr>
        <w:kinsoku/>
        <w:wordWrap w:val="0"/>
        <w:spacing w:line="360" w:lineRule="auto"/>
        <w:jc w:val="both"/>
        <w:rPr>
          <w:rFonts w:asciiTheme="minorEastAsia" w:hAnsiTheme="minorEastAsia" w:eastAsiaTheme="minorEastAsia" w:cstheme="minorEastAsia"/>
          <w:lang w:eastAsia="zh-CN"/>
        </w:rPr>
      </w:pPr>
    </w:p>
    <w:p w14:paraId="045FB237">
      <w:pPr>
        <w:pStyle w:val="3"/>
        <w:kinsoku/>
        <w:wordWrap w:val="0"/>
        <w:spacing w:line="360" w:lineRule="auto"/>
        <w:ind w:firstLine="3838" w:firstLineChars="19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p>
    <w:p w14:paraId="7636F7E6">
      <w:pPr>
        <w:kinsoku/>
        <w:wordWrap w:val="0"/>
        <w:spacing w:line="360" w:lineRule="auto"/>
        <w:ind w:firstLine="3600" w:firstLineChars="15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71A8E111">
      <w:pPr>
        <w:pStyle w:val="3"/>
        <w:kinsoku/>
        <w:wordWrap w:val="0"/>
        <w:spacing w:line="360" w:lineRule="auto"/>
        <w:ind w:firstLine="10080" w:firstLineChars="4200"/>
        <w:jc w:val="both"/>
        <w:rPr>
          <w:rFonts w:asciiTheme="minorEastAsia" w:hAnsiTheme="minorEastAsia" w:eastAsiaTheme="minorEastAsia" w:cstheme="minorEastAsia"/>
          <w:sz w:val="24"/>
          <w:szCs w:val="24"/>
          <w:lang w:eastAsia="zh-CN"/>
        </w:rPr>
      </w:pPr>
    </w:p>
    <w:p w14:paraId="109F55FE">
      <w:pPr>
        <w:kinsoku/>
        <w:wordWrap w:val="0"/>
        <w:spacing w:line="360" w:lineRule="auto"/>
        <w:jc w:val="both"/>
        <w:rPr>
          <w:rFonts w:asciiTheme="minorEastAsia" w:hAnsiTheme="minorEastAsia" w:eastAsiaTheme="minorEastAsia" w:cstheme="minorEastAsia"/>
          <w:lang w:eastAsia="zh-CN"/>
        </w:rPr>
      </w:pPr>
    </w:p>
    <w:p w14:paraId="67A02685">
      <w:pPr>
        <w:pStyle w:val="3"/>
        <w:kinsoku/>
        <w:wordWrap w:val="0"/>
        <w:spacing w:line="360" w:lineRule="auto"/>
        <w:jc w:val="both"/>
        <w:rPr>
          <w:rFonts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备注：从业人员、营业收入、资产总额填报上一年度数据，无上一年度数据的新成立企业可不填报。</w:t>
      </w:r>
    </w:p>
    <w:p w14:paraId="4A20CA59">
      <w:pPr>
        <w:pStyle w:val="32"/>
        <w:rPr>
          <w:rFonts w:asciiTheme="minorEastAsia" w:hAnsiTheme="minorEastAsia" w:eastAsiaTheme="minorEastAsia" w:cstheme="minorEastAsia"/>
          <w:spacing w:val="9"/>
        </w:rPr>
        <w:sectPr>
          <w:pgSz w:w="11907" w:h="16840"/>
          <w:pgMar w:top="1440" w:right="1800" w:bottom="1440" w:left="1800" w:header="878" w:footer="886" w:gutter="0"/>
          <w:cols w:space="720" w:num="1"/>
        </w:sectPr>
      </w:pPr>
    </w:p>
    <w:p w14:paraId="68F0E887">
      <w:pPr>
        <w:pStyle w:val="3"/>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残疾人福利性单位声明函格式</w:t>
      </w:r>
    </w:p>
    <w:p w14:paraId="382FF3E1">
      <w:pPr>
        <w:kinsoku/>
        <w:wordWrap w:val="0"/>
        <w:spacing w:line="360" w:lineRule="auto"/>
        <w:jc w:val="both"/>
        <w:rPr>
          <w:rFonts w:asciiTheme="minorEastAsia" w:hAnsiTheme="minorEastAsia" w:eastAsiaTheme="minorEastAsia" w:cstheme="minorEastAsia"/>
          <w:lang w:eastAsia="zh-CN"/>
        </w:rPr>
      </w:pPr>
    </w:p>
    <w:p w14:paraId="4332B4BB">
      <w:pPr>
        <w:pStyle w:val="3"/>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14:paraId="7082609D">
      <w:pPr>
        <w:pStyle w:val="3"/>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业政府采购政策的通知》（财库〔2017〕141号）的规定，本单位（请进行选择</w:t>
      </w:r>
      <w:r>
        <w:rPr>
          <w:rFonts w:hint="eastAsia" w:asciiTheme="minorEastAsia" w:hAnsiTheme="minorEastAsia" w:eastAsiaTheme="minorEastAsia" w:cstheme="minorEastAsia"/>
          <w:spacing w:val="-46"/>
          <w:sz w:val="24"/>
          <w:szCs w:val="24"/>
          <w:lang w:eastAsia="zh-CN"/>
        </w:rPr>
        <w:t>）：</w:t>
      </w:r>
    </w:p>
    <w:p w14:paraId="17051361">
      <w:pPr>
        <w:pStyle w:val="3"/>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rPr>
        <w:t>不属于符合条件的残疾人福利性单位。</w:t>
      </w:r>
    </w:p>
    <w:p w14:paraId="5A49AC01">
      <w:pPr>
        <w:pStyle w:val="3"/>
        <w:kinsoku/>
        <w:wordWrap w:val="0"/>
        <w:spacing w:line="360" w:lineRule="auto"/>
        <w:ind w:firstLine="49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rPr>
        <w:t>属于符合条件的残疾人福利性单位，且本单位参加单位的项目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5DD10A4A">
      <w:pPr>
        <w:pStyle w:val="3"/>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本单位对上述声明的真实性负责。如有虚假，将依法</w:t>
      </w:r>
      <w:r>
        <w:rPr>
          <w:rFonts w:hint="eastAsia" w:asciiTheme="minorEastAsia" w:hAnsiTheme="minorEastAsia" w:eastAsiaTheme="minorEastAsia" w:cstheme="minorEastAsia"/>
          <w:spacing w:val="11"/>
          <w:sz w:val="24"/>
          <w:szCs w:val="24"/>
          <w:lang w:eastAsia="zh-CN"/>
        </w:rPr>
        <w:t>承担相应责任。</w:t>
      </w:r>
    </w:p>
    <w:p w14:paraId="519CDA31">
      <w:pPr>
        <w:kinsoku/>
        <w:wordWrap w:val="0"/>
        <w:spacing w:line="360" w:lineRule="auto"/>
        <w:jc w:val="both"/>
        <w:rPr>
          <w:rFonts w:asciiTheme="minorEastAsia" w:hAnsiTheme="minorEastAsia" w:eastAsiaTheme="minorEastAsia" w:cstheme="minorEastAsia"/>
          <w:lang w:eastAsia="zh-CN"/>
        </w:rPr>
      </w:pPr>
    </w:p>
    <w:p w14:paraId="117BEB98">
      <w:pPr>
        <w:kinsoku/>
        <w:wordWrap w:val="0"/>
        <w:spacing w:line="360" w:lineRule="auto"/>
        <w:jc w:val="both"/>
        <w:rPr>
          <w:rFonts w:asciiTheme="minorEastAsia" w:hAnsiTheme="minorEastAsia" w:eastAsiaTheme="minorEastAsia" w:cstheme="minorEastAsia"/>
          <w:lang w:eastAsia="zh-CN"/>
        </w:rPr>
      </w:pPr>
    </w:p>
    <w:p w14:paraId="438EB770">
      <w:pPr>
        <w:pStyle w:val="3"/>
        <w:kinsoku/>
        <w:wordWrap w:val="0"/>
        <w:spacing w:line="360" w:lineRule="auto"/>
        <w:ind w:firstLine="5120" w:firstLineChars="20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3E36819D">
      <w:pPr>
        <w:widowControl w:val="0"/>
        <w:kinsoku/>
        <w:wordWrap w:val="0"/>
        <w:spacing w:line="360" w:lineRule="auto"/>
        <w:ind w:firstLine="5152" w:firstLineChars="23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日期：年月日</w:t>
      </w:r>
    </w:p>
    <w:p w14:paraId="407D4711">
      <w:pPr>
        <w:kinsoku/>
        <w:wordWrap w:val="0"/>
        <w:spacing w:line="360" w:lineRule="auto"/>
        <w:jc w:val="both"/>
        <w:rPr>
          <w:rFonts w:asciiTheme="minorEastAsia" w:hAnsiTheme="minorEastAsia" w:eastAsiaTheme="minorEastAsia" w:cstheme="minorEastAsia"/>
          <w:sz w:val="24"/>
          <w:szCs w:val="24"/>
          <w:lang w:eastAsia="zh-CN"/>
        </w:rPr>
      </w:pPr>
    </w:p>
    <w:p w14:paraId="32259FE2">
      <w:pPr>
        <w:kinsoku/>
        <w:wordWrap w:val="0"/>
        <w:spacing w:line="360" w:lineRule="auto"/>
        <w:jc w:val="both"/>
        <w:rPr>
          <w:rFonts w:asciiTheme="minorEastAsia" w:hAnsiTheme="minorEastAsia" w:eastAsiaTheme="minorEastAsia" w:cstheme="minorEastAsia"/>
          <w:sz w:val="24"/>
          <w:szCs w:val="24"/>
          <w:lang w:eastAsia="zh-CN"/>
        </w:rPr>
      </w:pPr>
    </w:p>
    <w:p w14:paraId="6748B05B">
      <w:pPr>
        <w:kinsoku/>
        <w:wordWrap w:val="0"/>
        <w:spacing w:line="360" w:lineRule="auto"/>
        <w:jc w:val="both"/>
        <w:rPr>
          <w:rFonts w:asciiTheme="minorEastAsia" w:hAnsiTheme="minorEastAsia" w:eastAsiaTheme="minorEastAsia" w:cstheme="minorEastAsia"/>
          <w:sz w:val="36"/>
          <w:szCs w:val="36"/>
          <w:lang w:eastAsia="zh-CN"/>
        </w:rPr>
      </w:pPr>
    </w:p>
    <w:p w14:paraId="386806A4">
      <w:pPr>
        <w:kinsoku/>
        <w:wordWrap w:val="0"/>
        <w:spacing w:line="360" w:lineRule="auto"/>
        <w:jc w:val="both"/>
        <w:rPr>
          <w:rFonts w:asciiTheme="minorEastAsia" w:hAnsiTheme="minorEastAsia" w:eastAsiaTheme="minorEastAsia" w:cstheme="minorEastAsia"/>
          <w:sz w:val="36"/>
          <w:szCs w:val="36"/>
          <w:lang w:eastAsia="zh-CN"/>
        </w:rPr>
      </w:pPr>
    </w:p>
    <w:p w14:paraId="19D25D39">
      <w:pPr>
        <w:kinsoku/>
        <w:wordWrap w:val="0"/>
        <w:spacing w:line="360" w:lineRule="auto"/>
        <w:jc w:val="both"/>
        <w:rPr>
          <w:rFonts w:asciiTheme="minorEastAsia" w:hAnsiTheme="minorEastAsia" w:eastAsiaTheme="minorEastAsia" w:cstheme="minorEastAsia"/>
          <w:sz w:val="36"/>
          <w:szCs w:val="36"/>
          <w:lang w:eastAsia="zh-CN"/>
        </w:rPr>
      </w:pPr>
    </w:p>
    <w:p w14:paraId="6AE3C99F">
      <w:pPr>
        <w:kinsoku/>
        <w:wordWrap w:val="0"/>
        <w:spacing w:line="360" w:lineRule="auto"/>
        <w:jc w:val="both"/>
        <w:rPr>
          <w:rFonts w:asciiTheme="minorEastAsia" w:hAnsiTheme="minorEastAsia" w:eastAsiaTheme="minorEastAsia" w:cstheme="minorEastAsia"/>
          <w:sz w:val="36"/>
          <w:szCs w:val="36"/>
          <w:lang w:eastAsia="zh-CN"/>
        </w:rPr>
      </w:pPr>
    </w:p>
    <w:p w14:paraId="3105441B">
      <w:pPr>
        <w:kinsoku/>
        <w:wordWrap w:val="0"/>
        <w:spacing w:line="360" w:lineRule="auto"/>
        <w:jc w:val="both"/>
        <w:rPr>
          <w:rFonts w:asciiTheme="minorEastAsia" w:hAnsiTheme="minorEastAsia" w:eastAsiaTheme="minorEastAsia" w:cstheme="minorEastAsia"/>
          <w:sz w:val="36"/>
          <w:szCs w:val="36"/>
          <w:lang w:eastAsia="zh-CN"/>
        </w:rPr>
      </w:pPr>
    </w:p>
    <w:p w14:paraId="48926137">
      <w:pPr>
        <w:kinsoku/>
        <w:wordWrap w:val="0"/>
        <w:spacing w:line="360" w:lineRule="auto"/>
        <w:jc w:val="both"/>
        <w:rPr>
          <w:rFonts w:asciiTheme="minorEastAsia" w:hAnsiTheme="minorEastAsia" w:eastAsiaTheme="minorEastAsia" w:cstheme="minorEastAsia"/>
          <w:sz w:val="36"/>
          <w:szCs w:val="36"/>
          <w:lang w:eastAsia="zh-CN"/>
        </w:rPr>
      </w:pPr>
    </w:p>
    <w:p w14:paraId="0EE740BE">
      <w:pPr>
        <w:kinsoku/>
        <w:wordWrap w:val="0"/>
        <w:spacing w:line="360" w:lineRule="auto"/>
        <w:jc w:val="both"/>
        <w:rPr>
          <w:rFonts w:asciiTheme="minorEastAsia" w:hAnsiTheme="minorEastAsia" w:eastAsiaTheme="minorEastAsia" w:cstheme="minorEastAsia"/>
          <w:sz w:val="36"/>
          <w:szCs w:val="36"/>
          <w:lang w:eastAsia="zh-CN"/>
        </w:rPr>
      </w:pPr>
    </w:p>
    <w:p w14:paraId="335B0FE5">
      <w:pPr>
        <w:kinsoku/>
        <w:wordWrap w:val="0"/>
        <w:spacing w:line="360" w:lineRule="auto"/>
        <w:jc w:val="both"/>
        <w:rPr>
          <w:rFonts w:asciiTheme="minorEastAsia" w:hAnsiTheme="minorEastAsia" w:eastAsiaTheme="minorEastAsia" w:cstheme="minorEastAsia"/>
          <w:sz w:val="36"/>
          <w:szCs w:val="36"/>
          <w:lang w:eastAsia="zh-CN"/>
        </w:rPr>
      </w:pPr>
    </w:p>
    <w:p w14:paraId="00AE94A8">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14:paraId="58625793">
      <w:pPr>
        <w:kinsoku/>
        <w:wordWrap w:val="0"/>
        <w:spacing w:line="360" w:lineRule="auto"/>
        <w:jc w:val="both"/>
        <w:rPr>
          <w:rFonts w:ascii="宋体" w:hAnsi="宋体"/>
          <w:b/>
          <w:sz w:val="28"/>
          <w:szCs w:val="28"/>
          <w:lang w:eastAsia="zh-CN"/>
        </w:rPr>
      </w:pPr>
    </w:p>
    <w:p w14:paraId="0F43DFD7">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18EFA0C">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0CAEA777">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p>
    <w:p w14:paraId="103BDD0E">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企业名称（盖章）：</w:t>
      </w:r>
    </w:p>
    <w:p w14:paraId="259FC30D">
      <w:pPr>
        <w:kinsoku/>
        <w:wordWrap w:val="0"/>
        <w:spacing w:line="360" w:lineRule="auto"/>
        <w:ind w:firstLine="4320" w:firstLineChars="18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240210B0">
      <w:pPr>
        <w:kinsoku/>
        <w:wordWrap w:val="0"/>
        <w:spacing w:line="360" w:lineRule="auto"/>
        <w:jc w:val="both"/>
        <w:rPr>
          <w:rFonts w:asciiTheme="minorEastAsia" w:hAnsiTheme="minorEastAsia" w:eastAsiaTheme="minorEastAsia" w:cstheme="minorEastAsia"/>
          <w:b/>
          <w:bCs/>
          <w:spacing w:val="8"/>
          <w:position w:val="26"/>
          <w:sz w:val="24"/>
          <w:szCs w:val="24"/>
          <w:lang w:eastAsia="zh-CN"/>
        </w:rPr>
      </w:pPr>
      <w:r>
        <w:rPr>
          <w:rFonts w:hint="eastAsia" w:asciiTheme="minorEastAsia" w:hAnsiTheme="minorEastAsia" w:eastAsiaTheme="minorEastAsia" w:cstheme="minorEastAsia"/>
          <w:b/>
          <w:bCs/>
          <w:spacing w:val="8"/>
          <w:position w:val="26"/>
          <w:sz w:val="24"/>
          <w:szCs w:val="24"/>
          <w:lang w:eastAsia="zh-CN"/>
        </w:rPr>
        <w:t>12.招标文件要求的其它材料及投标人认为有必要提供的材料</w:t>
      </w: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A286">
    <w:pPr>
      <w:spacing w:line="189" w:lineRule="auto"/>
      <w:ind w:left="4547"/>
      <w:rPr>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96A48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696A48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AF40">
    <w:pPr>
      <w:spacing w:line="189" w:lineRule="auto"/>
      <w:ind w:left="4435"/>
      <w:rPr>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C069E0">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1CC069E0">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834B">
    <w:pPr>
      <w:spacing w:line="189" w:lineRule="auto"/>
      <w:ind w:left="4435"/>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56043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1B56043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F302">
    <w:pPr>
      <w:spacing w:line="189" w:lineRule="auto"/>
      <w:ind w:left="4435"/>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74301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5774301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0B33">
    <w:pPr>
      <w:spacing w:line="189" w:lineRule="auto"/>
      <w:ind w:left="4538"/>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D3D2B1">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16D3D2B1">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D1D86">
    <w:pPr>
      <w:spacing w:line="189" w:lineRule="auto"/>
      <w:ind w:left="4433"/>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F71FB">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5B0F71FB">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8D1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E7C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14EA">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1239">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6E37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jYzkyYTc5ODA0MmIyOGZlMGFkZGM0YjE3OTNjNzcifQ=="/>
  </w:docVars>
  <w:rsids>
    <w:rsidRoot w:val="00172A27"/>
    <w:rsid w:val="001A7E4F"/>
    <w:rsid w:val="0029519A"/>
    <w:rsid w:val="0031053B"/>
    <w:rsid w:val="004211C9"/>
    <w:rsid w:val="005F3125"/>
    <w:rsid w:val="007D3041"/>
    <w:rsid w:val="008B77A7"/>
    <w:rsid w:val="0096273C"/>
    <w:rsid w:val="009B1C8E"/>
    <w:rsid w:val="00A34B76"/>
    <w:rsid w:val="00BA70B2"/>
    <w:rsid w:val="00BB29FB"/>
    <w:rsid w:val="00D24FF0"/>
    <w:rsid w:val="00DF56AD"/>
    <w:rsid w:val="01161381"/>
    <w:rsid w:val="014E35A1"/>
    <w:rsid w:val="016F45ED"/>
    <w:rsid w:val="023E759B"/>
    <w:rsid w:val="025F4662"/>
    <w:rsid w:val="027730B6"/>
    <w:rsid w:val="02F94AB6"/>
    <w:rsid w:val="02FA03F5"/>
    <w:rsid w:val="03217B69"/>
    <w:rsid w:val="0343519F"/>
    <w:rsid w:val="034A5312"/>
    <w:rsid w:val="037B31CC"/>
    <w:rsid w:val="03C26B83"/>
    <w:rsid w:val="03CC315E"/>
    <w:rsid w:val="03DF5A69"/>
    <w:rsid w:val="044921B6"/>
    <w:rsid w:val="046E59EF"/>
    <w:rsid w:val="04A42800"/>
    <w:rsid w:val="04F60B7A"/>
    <w:rsid w:val="04FE5A96"/>
    <w:rsid w:val="050D556D"/>
    <w:rsid w:val="05234F67"/>
    <w:rsid w:val="053F389C"/>
    <w:rsid w:val="05545C1C"/>
    <w:rsid w:val="055748A3"/>
    <w:rsid w:val="059A3EA8"/>
    <w:rsid w:val="05C217CC"/>
    <w:rsid w:val="060743F1"/>
    <w:rsid w:val="06593C39"/>
    <w:rsid w:val="06787E06"/>
    <w:rsid w:val="06A5709B"/>
    <w:rsid w:val="06AF4861"/>
    <w:rsid w:val="06B0495B"/>
    <w:rsid w:val="06C93A28"/>
    <w:rsid w:val="06E37C8B"/>
    <w:rsid w:val="076721B4"/>
    <w:rsid w:val="083245C7"/>
    <w:rsid w:val="08A33560"/>
    <w:rsid w:val="08CB596A"/>
    <w:rsid w:val="08DF7463"/>
    <w:rsid w:val="08EC0C19"/>
    <w:rsid w:val="08FE7AA8"/>
    <w:rsid w:val="092D385C"/>
    <w:rsid w:val="094269FC"/>
    <w:rsid w:val="09684744"/>
    <w:rsid w:val="09A129E2"/>
    <w:rsid w:val="09A17C56"/>
    <w:rsid w:val="09CC6764"/>
    <w:rsid w:val="09E3271C"/>
    <w:rsid w:val="0A29644D"/>
    <w:rsid w:val="0A437032"/>
    <w:rsid w:val="0A633B33"/>
    <w:rsid w:val="0AB46C2A"/>
    <w:rsid w:val="0ABC7CF1"/>
    <w:rsid w:val="0ABE6FC5"/>
    <w:rsid w:val="0AD86A92"/>
    <w:rsid w:val="0B236BAC"/>
    <w:rsid w:val="0B3A2110"/>
    <w:rsid w:val="0B3B7AF5"/>
    <w:rsid w:val="0B3C24F6"/>
    <w:rsid w:val="0B650448"/>
    <w:rsid w:val="0BA31A63"/>
    <w:rsid w:val="0BC76E66"/>
    <w:rsid w:val="0BF0521B"/>
    <w:rsid w:val="0C704305"/>
    <w:rsid w:val="0CA05FA3"/>
    <w:rsid w:val="0CB101B0"/>
    <w:rsid w:val="0CBD4DA7"/>
    <w:rsid w:val="0CD75C30"/>
    <w:rsid w:val="0CF900A3"/>
    <w:rsid w:val="0DA51F3D"/>
    <w:rsid w:val="0DA859D3"/>
    <w:rsid w:val="0DBA68D6"/>
    <w:rsid w:val="0DD30B7C"/>
    <w:rsid w:val="0E2C21E4"/>
    <w:rsid w:val="0E307EEE"/>
    <w:rsid w:val="0E643EF0"/>
    <w:rsid w:val="0EE83F9D"/>
    <w:rsid w:val="0F0D035A"/>
    <w:rsid w:val="0F7D6A6F"/>
    <w:rsid w:val="0FB87AA7"/>
    <w:rsid w:val="0FD54191"/>
    <w:rsid w:val="0FE34B24"/>
    <w:rsid w:val="10284C2D"/>
    <w:rsid w:val="102C0845"/>
    <w:rsid w:val="1046722D"/>
    <w:rsid w:val="104F3F68"/>
    <w:rsid w:val="10930CC0"/>
    <w:rsid w:val="10B145AD"/>
    <w:rsid w:val="10BE733F"/>
    <w:rsid w:val="10EC7A09"/>
    <w:rsid w:val="11162FE0"/>
    <w:rsid w:val="115A7068"/>
    <w:rsid w:val="117D2D56"/>
    <w:rsid w:val="11867E5D"/>
    <w:rsid w:val="119127D4"/>
    <w:rsid w:val="11B43A6A"/>
    <w:rsid w:val="11B5429E"/>
    <w:rsid w:val="1226519C"/>
    <w:rsid w:val="122675E2"/>
    <w:rsid w:val="12277E43"/>
    <w:rsid w:val="12320AF7"/>
    <w:rsid w:val="12417927"/>
    <w:rsid w:val="124A70DD"/>
    <w:rsid w:val="126E021D"/>
    <w:rsid w:val="1279351E"/>
    <w:rsid w:val="12B2776D"/>
    <w:rsid w:val="12C549DA"/>
    <w:rsid w:val="12D9220E"/>
    <w:rsid w:val="12FD5FFB"/>
    <w:rsid w:val="1380268A"/>
    <w:rsid w:val="13833F28"/>
    <w:rsid w:val="13C5707D"/>
    <w:rsid w:val="13DF7F59"/>
    <w:rsid w:val="13E744B7"/>
    <w:rsid w:val="13F07810"/>
    <w:rsid w:val="1446371A"/>
    <w:rsid w:val="146A5814"/>
    <w:rsid w:val="148D1503"/>
    <w:rsid w:val="14EC3DCF"/>
    <w:rsid w:val="15037E2D"/>
    <w:rsid w:val="156B2323"/>
    <w:rsid w:val="158A77F0"/>
    <w:rsid w:val="15AC3C0A"/>
    <w:rsid w:val="15B05882"/>
    <w:rsid w:val="15E04F64"/>
    <w:rsid w:val="15EF71C7"/>
    <w:rsid w:val="163B5B8B"/>
    <w:rsid w:val="164A7458"/>
    <w:rsid w:val="166C5148"/>
    <w:rsid w:val="16A42B33"/>
    <w:rsid w:val="16D6322F"/>
    <w:rsid w:val="16F45CE8"/>
    <w:rsid w:val="16FC049F"/>
    <w:rsid w:val="170F051C"/>
    <w:rsid w:val="17215F32"/>
    <w:rsid w:val="174C193E"/>
    <w:rsid w:val="179B0D80"/>
    <w:rsid w:val="17B27393"/>
    <w:rsid w:val="17DD62FD"/>
    <w:rsid w:val="183D23CB"/>
    <w:rsid w:val="18510AEB"/>
    <w:rsid w:val="18610CDC"/>
    <w:rsid w:val="19161B44"/>
    <w:rsid w:val="19A90B8D"/>
    <w:rsid w:val="19D46BD3"/>
    <w:rsid w:val="19E260C0"/>
    <w:rsid w:val="1A340E83"/>
    <w:rsid w:val="1A464AA0"/>
    <w:rsid w:val="1A473F02"/>
    <w:rsid w:val="1A6B22E0"/>
    <w:rsid w:val="1AAA694D"/>
    <w:rsid w:val="1AAC0209"/>
    <w:rsid w:val="1AC47924"/>
    <w:rsid w:val="1AEF2407"/>
    <w:rsid w:val="1AF57E02"/>
    <w:rsid w:val="1B4F168F"/>
    <w:rsid w:val="1B542D7A"/>
    <w:rsid w:val="1B6F0841"/>
    <w:rsid w:val="1B744D28"/>
    <w:rsid w:val="1B815DBB"/>
    <w:rsid w:val="1BB455C7"/>
    <w:rsid w:val="1BB83309"/>
    <w:rsid w:val="1C0D0126"/>
    <w:rsid w:val="1C2E5379"/>
    <w:rsid w:val="1C60574F"/>
    <w:rsid w:val="1C715266"/>
    <w:rsid w:val="1D153143"/>
    <w:rsid w:val="1D295B40"/>
    <w:rsid w:val="1D391455"/>
    <w:rsid w:val="1D72498F"/>
    <w:rsid w:val="1D9D7C75"/>
    <w:rsid w:val="1DC13FCB"/>
    <w:rsid w:val="1DE657E0"/>
    <w:rsid w:val="1E0754FF"/>
    <w:rsid w:val="1E2712E1"/>
    <w:rsid w:val="1E7249AF"/>
    <w:rsid w:val="1E8F7C25"/>
    <w:rsid w:val="1F8737CC"/>
    <w:rsid w:val="1FB060A5"/>
    <w:rsid w:val="1FE61854"/>
    <w:rsid w:val="1FF31541"/>
    <w:rsid w:val="20C93B39"/>
    <w:rsid w:val="20E634F8"/>
    <w:rsid w:val="20F10837"/>
    <w:rsid w:val="210939CE"/>
    <w:rsid w:val="212D6A29"/>
    <w:rsid w:val="21521B0A"/>
    <w:rsid w:val="217E2260"/>
    <w:rsid w:val="21DC7625"/>
    <w:rsid w:val="21E33D7D"/>
    <w:rsid w:val="221942AD"/>
    <w:rsid w:val="221E379A"/>
    <w:rsid w:val="227D056A"/>
    <w:rsid w:val="22937C80"/>
    <w:rsid w:val="22CF0F38"/>
    <w:rsid w:val="22E737AC"/>
    <w:rsid w:val="23C6058D"/>
    <w:rsid w:val="23D34A58"/>
    <w:rsid w:val="24697FC3"/>
    <w:rsid w:val="24B92A42"/>
    <w:rsid w:val="24C8734D"/>
    <w:rsid w:val="24E94D19"/>
    <w:rsid w:val="24F627AC"/>
    <w:rsid w:val="25052271"/>
    <w:rsid w:val="253C1B17"/>
    <w:rsid w:val="255045B2"/>
    <w:rsid w:val="256253DA"/>
    <w:rsid w:val="25722260"/>
    <w:rsid w:val="257A4289"/>
    <w:rsid w:val="259F2E44"/>
    <w:rsid w:val="25A83616"/>
    <w:rsid w:val="25BC57A4"/>
    <w:rsid w:val="25D07317"/>
    <w:rsid w:val="260373D2"/>
    <w:rsid w:val="262B2929"/>
    <w:rsid w:val="263A5FE5"/>
    <w:rsid w:val="265713EE"/>
    <w:rsid w:val="266177F8"/>
    <w:rsid w:val="26734FA1"/>
    <w:rsid w:val="27EF7E63"/>
    <w:rsid w:val="27F143DB"/>
    <w:rsid w:val="27F6032D"/>
    <w:rsid w:val="2944096C"/>
    <w:rsid w:val="29462E99"/>
    <w:rsid w:val="295A479C"/>
    <w:rsid w:val="29C94933"/>
    <w:rsid w:val="29EC2807"/>
    <w:rsid w:val="29EF5E58"/>
    <w:rsid w:val="2A264194"/>
    <w:rsid w:val="2A513206"/>
    <w:rsid w:val="2A5E573D"/>
    <w:rsid w:val="2A870159"/>
    <w:rsid w:val="2AB02639"/>
    <w:rsid w:val="2AB94583"/>
    <w:rsid w:val="2ABA04F6"/>
    <w:rsid w:val="2AD73080"/>
    <w:rsid w:val="2AD7512C"/>
    <w:rsid w:val="2AFA28CA"/>
    <w:rsid w:val="2B296C36"/>
    <w:rsid w:val="2B32017A"/>
    <w:rsid w:val="2B4C1378"/>
    <w:rsid w:val="2B632B65"/>
    <w:rsid w:val="2B8723B0"/>
    <w:rsid w:val="2BA2368E"/>
    <w:rsid w:val="2BA967CA"/>
    <w:rsid w:val="2BCB1E44"/>
    <w:rsid w:val="2BD35370"/>
    <w:rsid w:val="2CB368C6"/>
    <w:rsid w:val="2CCB6C14"/>
    <w:rsid w:val="2CE542E8"/>
    <w:rsid w:val="2D256324"/>
    <w:rsid w:val="2D4C797B"/>
    <w:rsid w:val="2D854259"/>
    <w:rsid w:val="2DA671B5"/>
    <w:rsid w:val="2DB33930"/>
    <w:rsid w:val="2DD5743D"/>
    <w:rsid w:val="2DF6291A"/>
    <w:rsid w:val="2E037ECE"/>
    <w:rsid w:val="2E123636"/>
    <w:rsid w:val="2EDE4089"/>
    <w:rsid w:val="2F202EB4"/>
    <w:rsid w:val="2F511653"/>
    <w:rsid w:val="2F5C7513"/>
    <w:rsid w:val="2F795793"/>
    <w:rsid w:val="2F7E5B21"/>
    <w:rsid w:val="2FAF3423"/>
    <w:rsid w:val="2FC20F5A"/>
    <w:rsid w:val="305F18E8"/>
    <w:rsid w:val="30613A94"/>
    <w:rsid w:val="307D1FD3"/>
    <w:rsid w:val="311741D6"/>
    <w:rsid w:val="3119309A"/>
    <w:rsid w:val="312A5594"/>
    <w:rsid w:val="312C625F"/>
    <w:rsid w:val="31335FE5"/>
    <w:rsid w:val="31456F95"/>
    <w:rsid w:val="316A07AA"/>
    <w:rsid w:val="31C81974"/>
    <w:rsid w:val="31F77B64"/>
    <w:rsid w:val="32230959"/>
    <w:rsid w:val="32C65EB4"/>
    <w:rsid w:val="32C74F96"/>
    <w:rsid w:val="3322495F"/>
    <w:rsid w:val="337450B5"/>
    <w:rsid w:val="33BB353F"/>
    <w:rsid w:val="344C700B"/>
    <w:rsid w:val="346314E0"/>
    <w:rsid w:val="34C22FEC"/>
    <w:rsid w:val="34C518B3"/>
    <w:rsid w:val="34EB0670"/>
    <w:rsid w:val="34F86C33"/>
    <w:rsid w:val="35374E47"/>
    <w:rsid w:val="357D65D2"/>
    <w:rsid w:val="35E6061B"/>
    <w:rsid w:val="36127662"/>
    <w:rsid w:val="36266C69"/>
    <w:rsid w:val="3659703F"/>
    <w:rsid w:val="36B765C5"/>
    <w:rsid w:val="36E83102"/>
    <w:rsid w:val="371B2546"/>
    <w:rsid w:val="374E72FE"/>
    <w:rsid w:val="37512649"/>
    <w:rsid w:val="37773C20"/>
    <w:rsid w:val="378420DE"/>
    <w:rsid w:val="37C036A0"/>
    <w:rsid w:val="37C30C14"/>
    <w:rsid w:val="37D664EB"/>
    <w:rsid w:val="37E776C2"/>
    <w:rsid w:val="37F52D97"/>
    <w:rsid w:val="38185412"/>
    <w:rsid w:val="383C09C6"/>
    <w:rsid w:val="386A72E1"/>
    <w:rsid w:val="38704382"/>
    <w:rsid w:val="388B2F38"/>
    <w:rsid w:val="38914EC4"/>
    <w:rsid w:val="38B3279D"/>
    <w:rsid w:val="39517222"/>
    <w:rsid w:val="39715D9C"/>
    <w:rsid w:val="399D1B1E"/>
    <w:rsid w:val="3A046503"/>
    <w:rsid w:val="3AB52087"/>
    <w:rsid w:val="3B35724B"/>
    <w:rsid w:val="3B385475"/>
    <w:rsid w:val="3BB63ADA"/>
    <w:rsid w:val="3BDC4EDA"/>
    <w:rsid w:val="3C243C4B"/>
    <w:rsid w:val="3C37498E"/>
    <w:rsid w:val="3C530DD9"/>
    <w:rsid w:val="3C860462"/>
    <w:rsid w:val="3C8A7F52"/>
    <w:rsid w:val="3C94450B"/>
    <w:rsid w:val="3CD83A9C"/>
    <w:rsid w:val="3D051AB3"/>
    <w:rsid w:val="3D0D2931"/>
    <w:rsid w:val="3D13022E"/>
    <w:rsid w:val="3D9C0E9C"/>
    <w:rsid w:val="3DB8307D"/>
    <w:rsid w:val="3DDE7B24"/>
    <w:rsid w:val="3E353902"/>
    <w:rsid w:val="3E60285C"/>
    <w:rsid w:val="3E742C68"/>
    <w:rsid w:val="3E7A6E5F"/>
    <w:rsid w:val="3E807399"/>
    <w:rsid w:val="3E923BF9"/>
    <w:rsid w:val="3EC60FE9"/>
    <w:rsid w:val="3ED454B4"/>
    <w:rsid w:val="3F0A4EA1"/>
    <w:rsid w:val="3F296F54"/>
    <w:rsid w:val="3F487C50"/>
    <w:rsid w:val="3F53399C"/>
    <w:rsid w:val="3F814E1B"/>
    <w:rsid w:val="3FC65745"/>
    <w:rsid w:val="3FC733A8"/>
    <w:rsid w:val="3FCE3BC4"/>
    <w:rsid w:val="3FCE45FA"/>
    <w:rsid w:val="3FEC2CD2"/>
    <w:rsid w:val="3FFD0A3B"/>
    <w:rsid w:val="40274071"/>
    <w:rsid w:val="40562B98"/>
    <w:rsid w:val="405D1A2A"/>
    <w:rsid w:val="4061721C"/>
    <w:rsid w:val="407F405E"/>
    <w:rsid w:val="409370B0"/>
    <w:rsid w:val="40D21120"/>
    <w:rsid w:val="40D41902"/>
    <w:rsid w:val="41884B35"/>
    <w:rsid w:val="4208221E"/>
    <w:rsid w:val="423849B8"/>
    <w:rsid w:val="424226AF"/>
    <w:rsid w:val="42F36125"/>
    <w:rsid w:val="435F746A"/>
    <w:rsid w:val="436037BB"/>
    <w:rsid w:val="4372309F"/>
    <w:rsid w:val="44093E52"/>
    <w:rsid w:val="44426CAB"/>
    <w:rsid w:val="444C2543"/>
    <w:rsid w:val="444E5D13"/>
    <w:rsid w:val="446F3136"/>
    <w:rsid w:val="44790C24"/>
    <w:rsid w:val="44AD0C81"/>
    <w:rsid w:val="44D426B2"/>
    <w:rsid w:val="44E92DA4"/>
    <w:rsid w:val="44ED5522"/>
    <w:rsid w:val="451524CF"/>
    <w:rsid w:val="453A628D"/>
    <w:rsid w:val="456C0EB6"/>
    <w:rsid w:val="459B31D0"/>
    <w:rsid w:val="45CF0C25"/>
    <w:rsid w:val="45DD7715"/>
    <w:rsid w:val="46A00372"/>
    <w:rsid w:val="46B502C1"/>
    <w:rsid w:val="472114B3"/>
    <w:rsid w:val="472965B9"/>
    <w:rsid w:val="47503B46"/>
    <w:rsid w:val="479F2E65"/>
    <w:rsid w:val="47C562E2"/>
    <w:rsid w:val="47C81344"/>
    <w:rsid w:val="48014DB6"/>
    <w:rsid w:val="48194880"/>
    <w:rsid w:val="481D611E"/>
    <w:rsid w:val="481E292D"/>
    <w:rsid w:val="483B0352"/>
    <w:rsid w:val="487321E2"/>
    <w:rsid w:val="488A3088"/>
    <w:rsid w:val="48AD79E8"/>
    <w:rsid w:val="48DF1625"/>
    <w:rsid w:val="48E92928"/>
    <w:rsid w:val="48F078C5"/>
    <w:rsid w:val="49117305"/>
    <w:rsid w:val="49267254"/>
    <w:rsid w:val="492D2391"/>
    <w:rsid w:val="49320965"/>
    <w:rsid w:val="496D4E83"/>
    <w:rsid w:val="49AC2E6D"/>
    <w:rsid w:val="49BC3715"/>
    <w:rsid w:val="4A3414FD"/>
    <w:rsid w:val="4A3F3154"/>
    <w:rsid w:val="4A4562D3"/>
    <w:rsid w:val="4A52328E"/>
    <w:rsid w:val="4A6A13C3"/>
    <w:rsid w:val="4B050440"/>
    <w:rsid w:val="4B227F62"/>
    <w:rsid w:val="4B320132"/>
    <w:rsid w:val="4B6545C2"/>
    <w:rsid w:val="4B895879"/>
    <w:rsid w:val="4BBC369E"/>
    <w:rsid w:val="4C12586E"/>
    <w:rsid w:val="4CC528E0"/>
    <w:rsid w:val="4CD77A28"/>
    <w:rsid w:val="4CEC4659"/>
    <w:rsid w:val="4D2515D1"/>
    <w:rsid w:val="4D2B4E39"/>
    <w:rsid w:val="4D2C6E03"/>
    <w:rsid w:val="4D471547"/>
    <w:rsid w:val="4D493511"/>
    <w:rsid w:val="4D6E1E7E"/>
    <w:rsid w:val="4D970721"/>
    <w:rsid w:val="4DAD3FFD"/>
    <w:rsid w:val="4DF21FC2"/>
    <w:rsid w:val="4DF6521C"/>
    <w:rsid w:val="4DF932EA"/>
    <w:rsid w:val="4E197388"/>
    <w:rsid w:val="4E201C1D"/>
    <w:rsid w:val="4E7A34EC"/>
    <w:rsid w:val="4E861641"/>
    <w:rsid w:val="4F332866"/>
    <w:rsid w:val="4F610FE6"/>
    <w:rsid w:val="4F860A4D"/>
    <w:rsid w:val="4FAB04B3"/>
    <w:rsid w:val="4FB426AD"/>
    <w:rsid w:val="4FCB6460"/>
    <w:rsid w:val="4FEE2DC9"/>
    <w:rsid w:val="50326BC4"/>
    <w:rsid w:val="506D39BB"/>
    <w:rsid w:val="508B7F54"/>
    <w:rsid w:val="50901018"/>
    <w:rsid w:val="50940F47"/>
    <w:rsid w:val="51346287"/>
    <w:rsid w:val="51850890"/>
    <w:rsid w:val="519F1DA4"/>
    <w:rsid w:val="51F15F26"/>
    <w:rsid w:val="52462715"/>
    <w:rsid w:val="525210BA"/>
    <w:rsid w:val="52884ADC"/>
    <w:rsid w:val="52A90328"/>
    <w:rsid w:val="52DC3333"/>
    <w:rsid w:val="53000B16"/>
    <w:rsid w:val="53036690"/>
    <w:rsid w:val="53165C44"/>
    <w:rsid w:val="532540D9"/>
    <w:rsid w:val="53376A7B"/>
    <w:rsid w:val="537441A1"/>
    <w:rsid w:val="53B1020C"/>
    <w:rsid w:val="53BD6A07"/>
    <w:rsid w:val="53D0673A"/>
    <w:rsid w:val="53EA0E7E"/>
    <w:rsid w:val="54065481"/>
    <w:rsid w:val="540939FA"/>
    <w:rsid w:val="54624A32"/>
    <w:rsid w:val="547A48F8"/>
    <w:rsid w:val="551268DF"/>
    <w:rsid w:val="557169CF"/>
    <w:rsid w:val="557D5D2A"/>
    <w:rsid w:val="55956805"/>
    <w:rsid w:val="55A41C2D"/>
    <w:rsid w:val="56105A78"/>
    <w:rsid w:val="563F226F"/>
    <w:rsid w:val="56682D63"/>
    <w:rsid w:val="56905D0D"/>
    <w:rsid w:val="56C63E25"/>
    <w:rsid w:val="56DB78D0"/>
    <w:rsid w:val="56FB4C08"/>
    <w:rsid w:val="574153BB"/>
    <w:rsid w:val="57A852D8"/>
    <w:rsid w:val="57F77651"/>
    <w:rsid w:val="589A668A"/>
    <w:rsid w:val="58AC00F0"/>
    <w:rsid w:val="58C46E3D"/>
    <w:rsid w:val="58D971B2"/>
    <w:rsid w:val="59042C0B"/>
    <w:rsid w:val="59272568"/>
    <w:rsid w:val="59417793"/>
    <w:rsid w:val="59576FB6"/>
    <w:rsid w:val="59BC1D1A"/>
    <w:rsid w:val="59C142A0"/>
    <w:rsid w:val="59C641E6"/>
    <w:rsid w:val="59CF1242"/>
    <w:rsid w:val="59D65347"/>
    <w:rsid w:val="59F87D17"/>
    <w:rsid w:val="5A2E3043"/>
    <w:rsid w:val="5A9763C3"/>
    <w:rsid w:val="5A9920D7"/>
    <w:rsid w:val="5AEA63E6"/>
    <w:rsid w:val="5B2C7B17"/>
    <w:rsid w:val="5B3C2907"/>
    <w:rsid w:val="5B753A82"/>
    <w:rsid w:val="5B9C04A1"/>
    <w:rsid w:val="5BB30A1C"/>
    <w:rsid w:val="5BCB0AF4"/>
    <w:rsid w:val="5BD90156"/>
    <w:rsid w:val="5C0C052C"/>
    <w:rsid w:val="5C2D5181"/>
    <w:rsid w:val="5C9B1B86"/>
    <w:rsid w:val="5CA02E79"/>
    <w:rsid w:val="5CAB0C4F"/>
    <w:rsid w:val="5CEA5B79"/>
    <w:rsid w:val="5D150553"/>
    <w:rsid w:val="5D156F6C"/>
    <w:rsid w:val="5D187233"/>
    <w:rsid w:val="5D3550FB"/>
    <w:rsid w:val="5D902A97"/>
    <w:rsid w:val="5DFE3EA4"/>
    <w:rsid w:val="5E004C42"/>
    <w:rsid w:val="5E3606EF"/>
    <w:rsid w:val="5E631335"/>
    <w:rsid w:val="5E6B7CFD"/>
    <w:rsid w:val="5EDA32DC"/>
    <w:rsid w:val="5F321771"/>
    <w:rsid w:val="5F3A0F0C"/>
    <w:rsid w:val="5F3C1128"/>
    <w:rsid w:val="5F412CC2"/>
    <w:rsid w:val="5F8E1258"/>
    <w:rsid w:val="5F990CA2"/>
    <w:rsid w:val="5FE2771E"/>
    <w:rsid w:val="600E6D7C"/>
    <w:rsid w:val="60261490"/>
    <w:rsid w:val="60263464"/>
    <w:rsid w:val="602A5424"/>
    <w:rsid w:val="60427D1F"/>
    <w:rsid w:val="607F1E09"/>
    <w:rsid w:val="60801A2E"/>
    <w:rsid w:val="609520D5"/>
    <w:rsid w:val="60956D42"/>
    <w:rsid w:val="60A17B22"/>
    <w:rsid w:val="60A65D07"/>
    <w:rsid w:val="60BD2923"/>
    <w:rsid w:val="60EE6452"/>
    <w:rsid w:val="60F31CBA"/>
    <w:rsid w:val="618C2692"/>
    <w:rsid w:val="619D5782"/>
    <w:rsid w:val="622D31D4"/>
    <w:rsid w:val="62A74B0A"/>
    <w:rsid w:val="62B965EC"/>
    <w:rsid w:val="62E015B0"/>
    <w:rsid w:val="62E84689"/>
    <w:rsid w:val="630E587E"/>
    <w:rsid w:val="63510510"/>
    <w:rsid w:val="638906B4"/>
    <w:rsid w:val="6395481C"/>
    <w:rsid w:val="639D4CC6"/>
    <w:rsid w:val="63A560B1"/>
    <w:rsid w:val="642053CC"/>
    <w:rsid w:val="6457430E"/>
    <w:rsid w:val="646A5DEF"/>
    <w:rsid w:val="646F5EF6"/>
    <w:rsid w:val="6486074F"/>
    <w:rsid w:val="64D16632"/>
    <w:rsid w:val="65785E0F"/>
    <w:rsid w:val="658A75F4"/>
    <w:rsid w:val="658D65D9"/>
    <w:rsid w:val="65BD406C"/>
    <w:rsid w:val="65BD4645"/>
    <w:rsid w:val="65CF7A95"/>
    <w:rsid w:val="662225C7"/>
    <w:rsid w:val="662D5327"/>
    <w:rsid w:val="66507FF0"/>
    <w:rsid w:val="66517716"/>
    <w:rsid w:val="6663343E"/>
    <w:rsid w:val="66A23F66"/>
    <w:rsid w:val="66CF63DE"/>
    <w:rsid w:val="672526A7"/>
    <w:rsid w:val="67256946"/>
    <w:rsid w:val="674F751F"/>
    <w:rsid w:val="675B4115"/>
    <w:rsid w:val="675D27BE"/>
    <w:rsid w:val="680D3662"/>
    <w:rsid w:val="68222C97"/>
    <w:rsid w:val="68333F9A"/>
    <w:rsid w:val="683858D3"/>
    <w:rsid w:val="68437083"/>
    <w:rsid w:val="684C3553"/>
    <w:rsid w:val="68645FE7"/>
    <w:rsid w:val="68844CFB"/>
    <w:rsid w:val="6889002A"/>
    <w:rsid w:val="68DD74D8"/>
    <w:rsid w:val="68DF20AE"/>
    <w:rsid w:val="68E24AEE"/>
    <w:rsid w:val="68F82479"/>
    <w:rsid w:val="69413090"/>
    <w:rsid w:val="69855FCD"/>
    <w:rsid w:val="69BC17E8"/>
    <w:rsid w:val="69D16911"/>
    <w:rsid w:val="69DD77FF"/>
    <w:rsid w:val="6AA656A7"/>
    <w:rsid w:val="6AB204F0"/>
    <w:rsid w:val="6AD9782B"/>
    <w:rsid w:val="6AE37CE3"/>
    <w:rsid w:val="6AE64462"/>
    <w:rsid w:val="6B0625EA"/>
    <w:rsid w:val="6B0F5E98"/>
    <w:rsid w:val="6B296FCD"/>
    <w:rsid w:val="6B5442BA"/>
    <w:rsid w:val="6BC32289"/>
    <w:rsid w:val="6BD2201D"/>
    <w:rsid w:val="6C593408"/>
    <w:rsid w:val="6C5D3D12"/>
    <w:rsid w:val="6C68544B"/>
    <w:rsid w:val="6C785167"/>
    <w:rsid w:val="6D0715D4"/>
    <w:rsid w:val="6DCE3893"/>
    <w:rsid w:val="6DCF760B"/>
    <w:rsid w:val="6DDB2C74"/>
    <w:rsid w:val="6DF37C67"/>
    <w:rsid w:val="6E0E0C0F"/>
    <w:rsid w:val="6E1A08BA"/>
    <w:rsid w:val="6E6E7A00"/>
    <w:rsid w:val="6E8E7670"/>
    <w:rsid w:val="6EEB0447"/>
    <w:rsid w:val="6EFD5AB2"/>
    <w:rsid w:val="6F5F0FA9"/>
    <w:rsid w:val="6FA32AFD"/>
    <w:rsid w:val="6FAE323D"/>
    <w:rsid w:val="6FAF3250"/>
    <w:rsid w:val="6FC71762"/>
    <w:rsid w:val="6FE0284F"/>
    <w:rsid w:val="70312E6C"/>
    <w:rsid w:val="703F6560"/>
    <w:rsid w:val="70725ED5"/>
    <w:rsid w:val="707C5D0F"/>
    <w:rsid w:val="70B362F9"/>
    <w:rsid w:val="713752AB"/>
    <w:rsid w:val="71653340"/>
    <w:rsid w:val="71F347D3"/>
    <w:rsid w:val="71FB452B"/>
    <w:rsid w:val="71FC098F"/>
    <w:rsid w:val="72161365"/>
    <w:rsid w:val="7234129A"/>
    <w:rsid w:val="72415D05"/>
    <w:rsid w:val="7296241B"/>
    <w:rsid w:val="732A300A"/>
    <w:rsid w:val="73803FEB"/>
    <w:rsid w:val="73CE2CA8"/>
    <w:rsid w:val="73DC038C"/>
    <w:rsid w:val="74257F85"/>
    <w:rsid w:val="743A4414"/>
    <w:rsid w:val="747F7695"/>
    <w:rsid w:val="748C5DD6"/>
    <w:rsid w:val="751029E3"/>
    <w:rsid w:val="754A398B"/>
    <w:rsid w:val="75857AA3"/>
    <w:rsid w:val="758D5DE2"/>
    <w:rsid w:val="75943299"/>
    <w:rsid w:val="76017BAF"/>
    <w:rsid w:val="76515061"/>
    <w:rsid w:val="76672190"/>
    <w:rsid w:val="767A5F36"/>
    <w:rsid w:val="767A6E1C"/>
    <w:rsid w:val="76837B47"/>
    <w:rsid w:val="76841AFC"/>
    <w:rsid w:val="769D3E02"/>
    <w:rsid w:val="76B97261"/>
    <w:rsid w:val="772D4414"/>
    <w:rsid w:val="7744228A"/>
    <w:rsid w:val="77A85155"/>
    <w:rsid w:val="77DF044B"/>
    <w:rsid w:val="781E668F"/>
    <w:rsid w:val="787119EB"/>
    <w:rsid w:val="7878756D"/>
    <w:rsid w:val="788C166D"/>
    <w:rsid w:val="78AC0934"/>
    <w:rsid w:val="78BD4DDD"/>
    <w:rsid w:val="78E700F4"/>
    <w:rsid w:val="78ED6BDA"/>
    <w:rsid w:val="78EE7B24"/>
    <w:rsid w:val="7907377A"/>
    <w:rsid w:val="790A7749"/>
    <w:rsid w:val="792E51E6"/>
    <w:rsid w:val="792E7F96"/>
    <w:rsid w:val="793B1352"/>
    <w:rsid w:val="79AB21E7"/>
    <w:rsid w:val="79CC501C"/>
    <w:rsid w:val="79E1494E"/>
    <w:rsid w:val="79F12DE4"/>
    <w:rsid w:val="7B0E17E2"/>
    <w:rsid w:val="7B164D8A"/>
    <w:rsid w:val="7B200335"/>
    <w:rsid w:val="7B3E48AE"/>
    <w:rsid w:val="7B871525"/>
    <w:rsid w:val="7BC6204D"/>
    <w:rsid w:val="7BE13B96"/>
    <w:rsid w:val="7C272CFB"/>
    <w:rsid w:val="7C6203C7"/>
    <w:rsid w:val="7C635AEE"/>
    <w:rsid w:val="7C9B6A7C"/>
    <w:rsid w:val="7CB47DAA"/>
    <w:rsid w:val="7CD364E6"/>
    <w:rsid w:val="7D076A17"/>
    <w:rsid w:val="7D462131"/>
    <w:rsid w:val="7DC974CD"/>
    <w:rsid w:val="7DDB3462"/>
    <w:rsid w:val="7E4B00B1"/>
    <w:rsid w:val="7E7A413F"/>
    <w:rsid w:val="7EA62275"/>
    <w:rsid w:val="7F034C8E"/>
    <w:rsid w:val="7F235328"/>
    <w:rsid w:val="7F640382"/>
    <w:rsid w:val="7FB14DC3"/>
    <w:rsid w:val="7FB30C7B"/>
    <w:rsid w:val="7FB34697"/>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6">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4"/>
    <w:autoRedefine/>
    <w:qFormat/>
    <w:uiPriority w:val="0"/>
    <w:rPr>
      <w:rFonts w:ascii="宋体" w:hAnsi="宋体" w:eastAsia="宋体" w:cs="宋体"/>
      <w:sz w:val="31"/>
      <w:szCs w:val="31"/>
    </w:rPr>
  </w:style>
  <w:style w:type="paragraph" w:styleId="4">
    <w:name w:val="Body Text 2"/>
    <w:basedOn w:val="1"/>
    <w:autoRedefine/>
    <w:qFormat/>
    <w:uiPriority w:val="0"/>
    <w:pPr>
      <w:spacing w:after="120" w:line="480" w:lineRule="auto"/>
    </w:pPr>
    <w:rPr>
      <w:rFonts w:ascii="Tahoma" w:hAnsi="Tahoma"/>
    </w:rPr>
  </w:style>
  <w:style w:type="paragraph" w:styleId="7">
    <w:name w:val="annotation text"/>
    <w:basedOn w:val="1"/>
    <w:autoRedefine/>
    <w:qFormat/>
    <w:uiPriority w:val="0"/>
  </w:style>
  <w:style w:type="paragraph" w:styleId="8">
    <w:name w:val="Body Text Indent"/>
    <w:basedOn w:val="1"/>
    <w:next w:val="9"/>
    <w:autoRedefine/>
    <w:qFormat/>
    <w:uiPriority w:val="99"/>
    <w:pPr>
      <w:ind w:left="420" w:leftChars="200"/>
    </w:pPr>
    <w:rPr>
      <w:kern w:val="2"/>
      <w:lang w:eastAsia="zh-CN"/>
    </w:rPr>
  </w:style>
  <w:style w:type="paragraph" w:styleId="9">
    <w:name w:val="envelope return"/>
    <w:basedOn w:val="1"/>
    <w:autoRedefine/>
    <w:qFormat/>
    <w:uiPriority w:val="0"/>
  </w:style>
  <w:style w:type="paragraph" w:styleId="10">
    <w:name w:val="Date"/>
    <w:basedOn w:val="1"/>
    <w:next w:val="1"/>
    <w:autoRedefine/>
    <w:qFormat/>
    <w:uiPriority w:val="0"/>
    <w:rPr>
      <w:kern w:val="2"/>
      <w:lang w:eastAsia="zh-CN"/>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40"/>
    <w:autoRedefine/>
    <w:qFormat/>
    <w:uiPriority w:val="0"/>
    <w:rPr>
      <w:sz w:val="18"/>
      <w:szCs w:val="18"/>
    </w:rPr>
  </w:style>
  <w:style w:type="paragraph" w:styleId="13">
    <w:name w:val="footer"/>
    <w:basedOn w:val="1"/>
    <w:autoRedefine/>
    <w:qFormat/>
    <w:uiPriority w:val="0"/>
    <w:pPr>
      <w:tabs>
        <w:tab w:val="center" w:pos="4153"/>
        <w:tab w:val="right" w:pos="8306"/>
      </w:tabs>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2"/>
    <w:basedOn w:val="8"/>
    <w:next w:val="1"/>
    <w:autoRedefine/>
    <w:qFormat/>
    <w:uiPriority w:val="0"/>
    <w:pPr>
      <w:ind w:firstLine="200" w:firstLineChars="200"/>
    </w:pPr>
    <w:rPr>
      <w:sz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qFormat/>
    <w:uiPriority w:val="0"/>
    <w:rPr>
      <w:color w:val="444444"/>
      <w:sz w:val="16"/>
      <w:szCs w:val="16"/>
      <w:u w:val="none"/>
    </w:rPr>
  </w:style>
  <w:style w:type="character" w:styleId="22">
    <w:name w:val="HTML Definition"/>
    <w:basedOn w:val="20"/>
    <w:qFormat/>
    <w:uiPriority w:val="0"/>
  </w:style>
  <w:style w:type="character" w:styleId="23">
    <w:name w:val="HTML Typewriter"/>
    <w:basedOn w:val="20"/>
    <w:qFormat/>
    <w:uiPriority w:val="0"/>
    <w:rPr>
      <w:rFonts w:ascii="monospace" w:hAnsi="monospace" w:eastAsia="monospace" w:cs="monospace"/>
      <w:sz w:val="20"/>
    </w:rPr>
  </w:style>
  <w:style w:type="character" w:styleId="24">
    <w:name w:val="HTML Acronym"/>
    <w:basedOn w:val="20"/>
    <w:qFormat/>
    <w:uiPriority w:val="0"/>
  </w:style>
  <w:style w:type="character" w:styleId="25">
    <w:name w:val="HTML Variable"/>
    <w:basedOn w:val="20"/>
    <w:qFormat/>
    <w:uiPriority w:val="0"/>
  </w:style>
  <w:style w:type="character" w:styleId="26">
    <w:name w:val="Hyperlink"/>
    <w:basedOn w:val="20"/>
    <w:autoRedefine/>
    <w:qFormat/>
    <w:uiPriority w:val="0"/>
    <w:rPr>
      <w:color w:val="0000FF"/>
      <w:u w:val="single"/>
    </w:rPr>
  </w:style>
  <w:style w:type="character" w:styleId="27">
    <w:name w:val="HTML Code"/>
    <w:basedOn w:val="20"/>
    <w:qFormat/>
    <w:uiPriority w:val="0"/>
    <w:rPr>
      <w:rFonts w:hint="default" w:ascii="monospace" w:hAnsi="monospace" w:eastAsia="monospace" w:cs="monospace"/>
      <w:sz w:val="20"/>
    </w:rPr>
  </w:style>
  <w:style w:type="character" w:styleId="28">
    <w:name w:val="HTML Cite"/>
    <w:basedOn w:val="20"/>
    <w:qFormat/>
    <w:uiPriority w:val="0"/>
  </w:style>
  <w:style w:type="character" w:styleId="29">
    <w:name w:val="HTML Keyboard"/>
    <w:basedOn w:val="20"/>
    <w:qFormat/>
    <w:uiPriority w:val="0"/>
    <w:rPr>
      <w:rFonts w:hint="default" w:ascii="monospace" w:hAnsi="monospace" w:eastAsia="monospace" w:cs="monospace"/>
      <w:sz w:val="20"/>
    </w:rPr>
  </w:style>
  <w:style w:type="character" w:styleId="30">
    <w:name w:val="HTML Sample"/>
    <w:basedOn w:val="20"/>
    <w:qFormat/>
    <w:uiPriority w:val="0"/>
    <w:rPr>
      <w:rFonts w:hint="default" w:ascii="monospace" w:hAnsi="monospace" w:eastAsia="monospace" w:cs="monospace"/>
    </w:rPr>
  </w:style>
  <w:style w:type="paragraph" w:customStyle="1" w:styleId="31">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3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style>
  <w:style w:type="paragraph" w:customStyle="1" w:styleId="35">
    <w:name w:val="Char Char10 Char Char Char Char"/>
    <w:basedOn w:val="1"/>
    <w:next w:val="36"/>
    <w:autoRedefine/>
    <w:qFormat/>
    <w:uiPriority w:val="99"/>
    <w:rPr>
      <w:rFonts w:ascii="宋体" w:hAnsi="宋体" w:cs="宋体"/>
      <w:lang w:val="zh-CN" w:bidi="zh-CN"/>
    </w:rPr>
  </w:style>
  <w:style w:type="paragraph" w:customStyle="1" w:styleId="36">
    <w:name w:val="xl87"/>
    <w:basedOn w:val="1"/>
    <w:next w:val="37"/>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7">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8">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9">
    <w:name w:val="hover18"/>
    <w:basedOn w:val="20"/>
    <w:autoRedefine/>
    <w:qFormat/>
    <w:uiPriority w:val="0"/>
  </w:style>
  <w:style w:type="character" w:customStyle="1" w:styleId="40">
    <w:name w:val="批注框文本 字符"/>
    <w:basedOn w:val="20"/>
    <w:link w:val="12"/>
    <w:autoRedefine/>
    <w:qFormat/>
    <w:uiPriority w:val="0"/>
    <w:rPr>
      <w:rFonts w:ascii="Arial" w:hAnsi="Arial" w:eastAsia="Arial" w:cs="Arial"/>
      <w:snapToGrid w:val="0"/>
      <w:color w:val="000000"/>
      <w:sz w:val="18"/>
      <w:szCs w:val="18"/>
      <w:lang w:eastAsia="en-US"/>
    </w:rPr>
  </w:style>
  <w:style w:type="paragraph" w:styleId="41">
    <w:name w:val="List Paragraph"/>
    <w:basedOn w:val="1"/>
    <w:autoRedefine/>
    <w:qFormat/>
    <w:uiPriority w:val="99"/>
    <w:pPr>
      <w:ind w:firstLine="420" w:firstLineChars="200"/>
    </w:pPr>
  </w:style>
  <w:style w:type="paragraph" w:customStyle="1" w:styleId="42">
    <w:name w:val="表格内容"/>
    <w:autoRedefine/>
    <w:qFormat/>
    <w:uiPriority w:val="0"/>
    <w:pPr>
      <w:widowControl w:val="0"/>
      <w:jc w:val="center"/>
    </w:pPr>
    <w:rPr>
      <w:rFonts w:ascii="宋体" w:hAnsi="宋体" w:eastAsia="宋体" w:cs="宋体"/>
      <w:sz w:val="21"/>
      <w:szCs w:val="21"/>
      <w:lang w:val="en-US" w:eastAsia="zh-CN" w:bidi="ar-SA"/>
    </w:rPr>
  </w:style>
  <w:style w:type="character" w:customStyle="1" w:styleId="43">
    <w:name w:val="font31"/>
    <w:basedOn w:val="20"/>
    <w:qFormat/>
    <w:uiPriority w:val="0"/>
    <w:rPr>
      <w:rFonts w:hint="eastAsia" w:ascii="宋体" w:hAnsi="宋体" w:eastAsia="宋体" w:cs="宋体"/>
      <w:color w:val="000000"/>
      <w:sz w:val="20"/>
      <w:szCs w:val="20"/>
      <w:u w:val="none"/>
    </w:rPr>
  </w:style>
  <w:style w:type="character" w:customStyle="1" w:styleId="44">
    <w:name w:val="font81"/>
    <w:basedOn w:val="20"/>
    <w:qFormat/>
    <w:uiPriority w:val="0"/>
    <w:rPr>
      <w:rFonts w:hint="default" w:ascii="Calibri" w:hAnsi="Calibri" w:cs="Calibri"/>
      <w:color w:val="000000"/>
      <w:sz w:val="20"/>
      <w:szCs w:val="20"/>
      <w:u w:val="none"/>
    </w:rPr>
  </w:style>
  <w:style w:type="character" w:customStyle="1" w:styleId="45">
    <w:name w:val="font21"/>
    <w:basedOn w:val="20"/>
    <w:qFormat/>
    <w:uiPriority w:val="0"/>
    <w:rPr>
      <w:rFonts w:hint="eastAsia" w:ascii="等线" w:hAnsi="等线" w:eastAsia="等线" w:cs="等线"/>
      <w:color w:val="FF0000"/>
      <w:sz w:val="28"/>
      <w:szCs w:val="28"/>
      <w:u w:val="none"/>
    </w:rPr>
  </w:style>
  <w:style w:type="character" w:customStyle="1" w:styleId="46">
    <w:name w:val="font11"/>
    <w:basedOn w:val="20"/>
    <w:qFormat/>
    <w:uiPriority w:val="0"/>
    <w:rPr>
      <w:rFonts w:hint="eastAsia" w:ascii="等线" w:hAnsi="等线" w:eastAsia="等线" w:cs="等线"/>
      <w:color w:val="000000"/>
      <w:sz w:val="28"/>
      <w:szCs w:val="28"/>
      <w:u w:val="none"/>
    </w:rPr>
  </w:style>
  <w:style w:type="character" w:customStyle="1" w:styleId="47">
    <w:name w:val="font41"/>
    <w:basedOn w:val="20"/>
    <w:qFormat/>
    <w:uiPriority w:val="0"/>
    <w:rPr>
      <w:rFonts w:ascii="方正大黑简体" w:hAnsi="方正大黑简体" w:eastAsia="方正大黑简体" w:cs="方正大黑简体"/>
      <w:b/>
      <w:bCs/>
      <w:color w:val="000000"/>
      <w:sz w:val="40"/>
      <w:szCs w:val="40"/>
      <w:u w:val="none"/>
    </w:rPr>
  </w:style>
  <w:style w:type="character" w:customStyle="1" w:styleId="48">
    <w:name w:val="font01"/>
    <w:basedOn w:val="20"/>
    <w:qFormat/>
    <w:uiPriority w:val="0"/>
    <w:rPr>
      <w:rFonts w:hint="eastAsia" w:ascii="宋体" w:hAnsi="宋体" w:eastAsia="宋体" w:cs="宋体"/>
      <w:color w:val="000000"/>
      <w:sz w:val="22"/>
      <w:szCs w:val="22"/>
      <w:u w:val="none"/>
    </w:rPr>
  </w:style>
  <w:style w:type="character" w:customStyle="1" w:styleId="49">
    <w:name w:val="font51"/>
    <w:basedOn w:val="20"/>
    <w:qFormat/>
    <w:uiPriority w:val="0"/>
    <w:rPr>
      <w:rFonts w:hint="eastAsia" w:ascii="宋体" w:hAnsi="宋体" w:eastAsia="宋体" w:cs="宋体"/>
      <w:color w:val="000000"/>
      <w:sz w:val="20"/>
      <w:szCs w:val="20"/>
      <w:u w:val="none"/>
    </w:rPr>
  </w:style>
  <w:style w:type="character" w:customStyle="1" w:styleId="50">
    <w:name w:val="font141"/>
    <w:basedOn w:val="20"/>
    <w:qFormat/>
    <w:uiPriority w:val="0"/>
    <w:rPr>
      <w:rFonts w:hint="eastAsia" w:ascii="宋体" w:hAnsi="宋体" w:eastAsia="宋体" w:cs="宋体"/>
      <w:color w:val="404050"/>
      <w:sz w:val="22"/>
      <w:szCs w:val="22"/>
      <w:u w:val="none"/>
    </w:rPr>
  </w:style>
  <w:style w:type="character" w:customStyle="1" w:styleId="51">
    <w:name w:val="font171"/>
    <w:basedOn w:val="20"/>
    <w:qFormat/>
    <w:uiPriority w:val="0"/>
    <w:rPr>
      <w:rFonts w:hint="eastAsia" w:ascii="宋体" w:hAnsi="宋体" w:eastAsia="宋体" w:cs="宋体"/>
      <w:color w:val="607080"/>
      <w:sz w:val="22"/>
      <w:szCs w:val="22"/>
      <w:u w:val="none"/>
    </w:rPr>
  </w:style>
  <w:style w:type="character" w:customStyle="1" w:styleId="52">
    <w:name w:val="font151"/>
    <w:basedOn w:val="20"/>
    <w:qFormat/>
    <w:uiPriority w:val="0"/>
    <w:rPr>
      <w:rFonts w:hint="eastAsia" w:ascii="宋体" w:hAnsi="宋体" w:eastAsia="宋体" w:cs="宋体"/>
      <w:color w:val="908080"/>
      <w:sz w:val="22"/>
      <w:szCs w:val="22"/>
      <w:u w:val="none"/>
    </w:rPr>
  </w:style>
  <w:style w:type="character" w:customStyle="1" w:styleId="53">
    <w:name w:val="font71"/>
    <w:basedOn w:val="20"/>
    <w:qFormat/>
    <w:uiPriority w:val="0"/>
    <w:rPr>
      <w:rFonts w:hint="eastAsia" w:ascii="宋体" w:hAnsi="宋体" w:eastAsia="宋体" w:cs="宋体"/>
      <w:color w:val="40404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12137</Words>
  <Characters>13159</Characters>
  <Lines>262</Lines>
  <Paragraphs>73</Paragraphs>
  <TotalTime>172</TotalTime>
  <ScaleCrop>false</ScaleCrop>
  <LinksUpToDate>false</LinksUpToDate>
  <CharactersWithSpaces>13203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2025-01-02T04:55:00Z</dcterms:created>
  <dc:creator>尹皓</dc:creator>
  <cp:lastModifiedBy>麦田里的守望者</cp:lastModifiedBy>
  <cp:lastPrinted>2025-10-15T02:42:00Z</cp:lastPrinted>
  <dcterms:modified xsi:type="dcterms:W3CDTF">2025-10-16T06:39:19Z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2052-12.1.0.23125</vt:lpwstr>
  </property>
  <property fmtid="{D5CDD505-2E9C-101B-9397-08002B2CF9AE}" pid="5" name="ICV">
    <vt:lpwstr>69BCEEB4BD7D44E1895C09FF4CB1899E_13</vt:lpwstr>
  </property>
  <property fmtid="{D5CDD505-2E9C-101B-9397-08002B2CF9AE}" pid="6" name="KSOTemplateDocerSaveRecord">
    <vt:lpwstr>eyJoZGlkIjoiNDQxODNkMzc4YmE4ODlmMDU5MGIyNDEwZjkzNGM0ZGIiLCJ1c2VySWQiOiIzNTIyNTU3MTgifQ==</vt:lpwstr>
  </property>
</Properties>
</file>