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rPr>
          <w:rFonts w:hint="eastAsia"/>
          <w:color w:val="000000" w:themeColor="text1"/>
          <w:sz w:val="48"/>
          <w:szCs w:val="48"/>
          <w14:textFill>
            <w14:solidFill>
              <w14:schemeClr w14:val="tx1"/>
            </w14:solidFill>
          </w14:textFill>
        </w:rPr>
      </w:pPr>
    </w:p>
    <w:p>
      <w:pPr>
        <w:pStyle w:val="17"/>
        <w:spacing w:line="360" w:lineRule="auto"/>
        <w:rPr>
          <w:rFonts w:hint="eastAsia" w:eastAsia="宋体"/>
          <w:color w:val="000000" w:themeColor="text1"/>
          <w:sz w:val="48"/>
          <w:szCs w:val="48"/>
          <w:lang w:val="en-US" w:eastAsia="zh-CN"/>
          <w14:textFill>
            <w14:solidFill>
              <w14:schemeClr w14:val="tx1"/>
            </w14:solidFill>
          </w14:textFill>
        </w:rPr>
      </w:pPr>
      <w:r>
        <w:rPr>
          <w:rFonts w:hint="eastAsia"/>
          <w:color w:val="000000" w:themeColor="text1"/>
          <w:sz w:val="48"/>
          <w:szCs w:val="48"/>
          <w14:textFill>
            <w14:solidFill>
              <w14:schemeClr w14:val="tx1"/>
            </w14:solidFill>
          </w14:textFill>
        </w:rPr>
        <w:t>宝丰县第一高级中学人行道、广场、围墙翻新工程</w:t>
      </w:r>
      <w:r>
        <w:rPr>
          <w:rFonts w:hint="eastAsia"/>
          <w:color w:val="000000" w:themeColor="text1"/>
          <w:sz w:val="48"/>
          <w:szCs w:val="48"/>
          <w:lang w:val="en-US" w:eastAsia="zh-CN"/>
          <w14:textFill>
            <w14:solidFill>
              <w14:schemeClr w14:val="tx1"/>
            </w14:solidFill>
          </w14:textFill>
        </w:rPr>
        <w:t>项目</w:t>
      </w:r>
    </w:p>
    <w:p>
      <w:pPr>
        <w:pStyle w:val="17"/>
        <w:spacing w:line="360" w:lineRule="auto"/>
        <w:rPr>
          <w:color w:val="000000" w:themeColor="text1"/>
          <w:sz w:val="48"/>
          <w:szCs w:val="48"/>
          <w14:textFill>
            <w14:solidFill>
              <w14:schemeClr w14:val="tx1"/>
            </w14:solidFill>
          </w14:textFill>
        </w:rPr>
      </w:pPr>
    </w:p>
    <w:p>
      <w:pPr>
        <w:pStyle w:val="17"/>
        <w:spacing w:line="360" w:lineRule="auto"/>
        <w:rPr>
          <w:color w:val="000000" w:themeColor="text1"/>
          <w:sz w:val="48"/>
          <w:szCs w:val="48"/>
          <w14:textFill>
            <w14:solidFill>
              <w14:schemeClr w14:val="tx1"/>
            </w14:solidFill>
          </w14:textFill>
        </w:rPr>
      </w:pPr>
    </w:p>
    <w:p>
      <w:pPr>
        <w:pStyle w:val="17"/>
        <w:spacing w:line="360" w:lineRule="auto"/>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 xml:space="preserve">  </w:t>
      </w:r>
    </w:p>
    <w:p>
      <w:pPr>
        <w:jc w:val="center"/>
        <w:rPr>
          <w:rFonts w:ascii="宋体" w:hAnsi="宋体"/>
          <w:b/>
          <w:color w:val="000000" w:themeColor="text1"/>
          <w:sz w:val="96"/>
          <w:szCs w:val="72"/>
          <w14:textFill>
            <w14:solidFill>
              <w14:schemeClr w14:val="tx1"/>
            </w14:solidFill>
          </w14:textFill>
        </w:rPr>
      </w:pPr>
      <w:r>
        <w:rPr>
          <w:color w:val="000000" w:themeColor="text1"/>
          <w:sz w:val="48"/>
          <w:szCs w:val="48"/>
          <w14:textFill>
            <w14:solidFill>
              <w14:schemeClr w14:val="tx1"/>
            </w14:solidFill>
          </w14:textFill>
        </w:rPr>
        <w:drawing>
          <wp:anchor distT="0" distB="0" distL="114300" distR="114300" simplePos="0" relativeHeight="251659264" behindDoc="0" locked="0" layoutInCell="1" allowOverlap="1">
            <wp:simplePos x="0" y="0"/>
            <wp:positionH relativeFrom="column">
              <wp:posOffset>1430655</wp:posOffset>
            </wp:positionH>
            <wp:positionV relativeFrom="paragraph">
              <wp:posOffset>779145</wp:posOffset>
            </wp:positionV>
            <wp:extent cx="3251200" cy="2701925"/>
            <wp:effectExtent l="0" t="0" r="6350" b="3175"/>
            <wp:wrapNone/>
            <wp:docPr id="1" name="图片 1" descr="C:\Users\ADMINI~1\AppData\Local\Temp\ksohtml\wpsFFB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FFB2.tm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51200" cy="2701925"/>
                    </a:xfrm>
                    <a:prstGeom prst="rect">
                      <a:avLst/>
                    </a:prstGeom>
                    <a:noFill/>
                    <a:ln w="9525">
                      <a:noFill/>
                      <a:miter lim="800000"/>
                      <a:headEnd/>
                      <a:tailEnd/>
                    </a:ln>
                  </pic:spPr>
                </pic:pic>
              </a:graphicData>
            </a:graphic>
          </wp:anchor>
        </w:drawing>
      </w:r>
      <w:r>
        <w:rPr>
          <w:rFonts w:hint="eastAsia" w:ascii="宋体" w:hAnsi="宋体"/>
          <w:b/>
          <w:color w:val="000000" w:themeColor="text1"/>
          <w:sz w:val="96"/>
          <w:szCs w:val="72"/>
          <w14:textFill>
            <w14:solidFill>
              <w14:schemeClr w14:val="tx1"/>
            </w14:solidFill>
          </w14:textFill>
        </w:rPr>
        <w:t>招 标 文 件</w:t>
      </w: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894" w:firstLineChars="297"/>
        <w:jc w:val="left"/>
        <w:rPr>
          <w:rFonts w:ascii="宋体" w:hAnsi="宋体"/>
          <w:b/>
          <w:color w:val="000000" w:themeColor="text1"/>
          <w:sz w:val="30"/>
          <w:szCs w:val="30"/>
          <w14:textFill>
            <w14:solidFill>
              <w14:schemeClr w14:val="tx1"/>
            </w14:solidFill>
          </w14:textFill>
        </w:rPr>
      </w:pPr>
    </w:p>
    <w:p>
      <w:pPr>
        <w:spacing w:line="360" w:lineRule="auto"/>
        <w:ind w:firstLine="1644" w:firstLineChars="546"/>
        <w:jc w:val="lef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项目编号：宝财招标-2023-36</w:t>
      </w:r>
    </w:p>
    <w:p>
      <w:pPr>
        <w:spacing w:line="360" w:lineRule="auto"/>
        <w:ind w:firstLine="1644" w:firstLineChars="546"/>
        <w:jc w:val="lef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招标单位：宝丰县住房和城乡建设局</w:t>
      </w:r>
    </w:p>
    <w:p>
      <w:pPr>
        <w:spacing w:line="360" w:lineRule="auto"/>
        <w:ind w:firstLine="1644" w:firstLineChars="546"/>
        <w:jc w:val="lef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代理机构：河南驰翔工程管理有限公司</w:t>
      </w:r>
    </w:p>
    <w:p>
      <w:pPr>
        <w:spacing w:line="360" w:lineRule="auto"/>
        <w:ind w:firstLine="1644" w:firstLineChars="546"/>
        <w:jc w:val="left"/>
        <w:rPr>
          <w:color w:val="000000" w:themeColor="text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日    期： 二 零 二 三 年 </w:t>
      </w:r>
      <w:r>
        <w:rPr>
          <w:rFonts w:hint="eastAsia" w:ascii="宋体" w:hAnsi="宋体"/>
          <w:b/>
          <w:color w:val="000000" w:themeColor="text1"/>
          <w:sz w:val="30"/>
          <w:szCs w:val="30"/>
          <w:lang w:val="en-US" w:eastAsia="zh-CN"/>
          <w14:textFill>
            <w14:solidFill>
              <w14:schemeClr w14:val="tx1"/>
            </w14:solidFill>
          </w14:textFill>
        </w:rPr>
        <w:t>十 一</w:t>
      </w:r>
      <w:r>
        <w:rPr>
          <w:rFonts w:hint="eastAsia" w:ascii="宋体" w:hAnsi="宋体"/>
          <w:b/>
          <w:color w:val="000000" w:themeColor="text1"/>
          <w:sz w:val="30"/>
          <w:szCs w:val="30"/>
          <w14:textFill>
            <w14:solidFill>
              <w14:schemeClr w14:val="tx1"/>
            </w14:solidFill>
          </w14:textFill>
        </w:rPr>
        <w:t xml:space="preserve"> 月</w:t>
      </w:r>
    </w:p>
    <w:p>
      <w:pPr>
        <w:widowControl/>
        <w:spacing w:line="360" w:lineRule="auto"/>
        <w:jc w:val="left"/>
        <w:rPr>
          <w:rFonts w:ascii="宋体" w:hAnsi="宋体"/>
          <w:b/>
          <w:bCs/>
          <w:color w:val="000000" w:themeColor="text1"/>
          <w:sz w:val="52"/>
          <w:szCs w:val="52"/>
          <w14:textFill>
            <w14:solidFill>
              <w14:schemeClr w14:val="tx1"/>
            </w14:solidFill>
          </w14:textFill>
        </w:rPr>
        <w:sectPr>
          <w:headerReference r:id="rId3" w:type="default"/>
          <w:footerReference r:id="rId4" w:type="default"/>
          <w:pgSz w:w="11906" w:h="16838"/>
          <w:pgMar w:top="1440" w:right="1080" w:bottom="1440" w:left="1080" w:header="720" w:footer="720" w:gutter="0"/>
          <w:cols w:space="720" w:num="1"/>
          <w:titlePg/>
          <w:docGrid w:type="lines" w:linePitch="312" w:charSpace="0"/>
        </w:sectPr>
      </w:pPr>
    </w:p>
    <w:p>
      <w:pPr>
        <w:kinsoku w:val="0"/>
        <w:overflowPunct w:val="0"/>
        <w:autoSpaceDE w:val="0"/>
        <w:autoSpaceDN w:val="0"/>
        <w:adjustRightInd w:val="0"/>
        <w:snapToGrid w:val="0"/>
        <w:spacing w:after="468" w:afterLines="150" w:line="360" w:lineRule="auto"/>
        <w:jc w:val="center"/>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目  录</w:t>
      </w:r>
    </w:p>
    <w:p>
      <w:pPr>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"_Toc21934" </w:instrText>
      </w:r>
      <w:r>
        <w:rPr>
          <w:color w:val="000000" w:themeColor="text1"/>
          <w14:textFill>
            <w14:solidFill>
              <w14:schemeClr w14:val="tx1"/>
            </w14:solidFill>
          </w14:textFill>
        </w:rPr>
        <w:fldChar w:fldCharType="separate"/>
      </w:r>
      <w:r>
        <w:rPr>
          <w:rStyle w:val="22"/>
          <w:rFonts w:hint="eastAsia" w:ascii="宋体" w:hAnsi="宋体"/>
          <w:bCs/>
          <w:color w:val="000000" w:themeColor="text1"/>
          <w:u w:val="none"/>
          <w14:textFill>
            <w14:solidFill>
              <w14:schemeClr w14:val="tx1"/>
            </w14:solidFill>
          </w14:textFill>
        </w:rPr>
        <w:t>第一章、招标公告</w:t>
      </w:r>
      <w:r>
        <w:rPr>
          <w:rStyle w:val="22"/>
          <w:rFonts w:hint="eastAsia" w:ascii="宋体" w:hAnsi="宋体"/>
          <w:bCs/>
          <w:color w:val="000000" w:themeColor="text1"/>
          <w:u w:val="none"/>
          <w14:textFill>
            <w14:solidFill>
              <w14:schemeClr w14:val="tx1"/>
            </w14:solidFill>
          </w14:textFill>
        </w:rPr>
        <w:fldChar w:fldCharType="end"/>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"_Toc28350" </w:instrText>
      </w:r>
      <w:r>
        <w:rPr>
          <w:color w:val="000000" w:themeColor="text1"/>
          <w14:textFill>
            <w14:solidFill>
              <w14:schemeClr w14:val="tx1"/>
            </w14:solidFill>
          </w14:textFill>
        </w:rPr>
        <w:fldChar w:fldCharType="separate"/>
      </w:r>
      <w:r>
        <w:rPr>
          <w:rStyle w:val="22"/>
          <w:rFonts w:hint="eastAsia" w:ascii="宋体" w:hAnsi="宋体"/>
          <w:bCs/>
          <w:color w:val="000000" w:themeColor="text1"/>
          <w:u w:val="none"/>
          <w14:textFill>
            <w14:solidFill>
              <w14:schemeClr w14:val="tx1"/>
            </w14:solidFill>
          </w14:textFill>
        </w:rPr>
        <w:t>第二章  投标人须知</w:t>
      </w:r>
      <w:r>
        <w:rPr>
          <w:rStyle w:val="22"/>
          <w:rFonts w:hint="eastAsia" w:ascii="宋体" w:hAnsi="宋体"/>
          <w:bCs/>
          <w:color w:val="000000" w:themeColor="text1"/>
          <w:u w:val="none"/>
          <w14:textFill>
            <w14:solidFill>
              <w14:schemeClr w14:val="tx1"/>
            </w14:solidFill>
          </w14:textFill>
        </w:rPr>
        <w:fldChar w:fldCharType="end"/>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"_Toc5838" </w:instrText>
      </w:r>
      <w:r>
        <w:rPr>
          <w:color w:val="000000" w:themeColor="text1"/>
          <w14:textFill>
            <w14:solidFill>
              <w14:schemeClr w14:val="tx1"/>
            </w14:solidFill>
          </w14:textFill>
        </w:rPr>
        <w:fldChar w:fldCharType="separate"/>
      </w:r>
      <w:r>
        <w:rPr>
          <w:rStyle w:val="22"/>
          <w:rFonts w:hint="eastAsia" w:ascii="宋体" w:hAnsi="宋体"/>
          <w:bCs/>
          <w:color w:val="000000" w:themeColor="text1"/>
          <w:u w:val="none"/>
          <w14:textFill>
            <w14:solidFill>
              <w14:schemeClr w14:val="tx1"/>
            </w14:solidFill>
          </w14:textFill>
        </w:rPr>
        <w:t>第三章  评标办法</w:t>
      </w:r>
      <w:r>
        <w:rPr>
          <w:rStyle w:val="22"/>
          <w:rFonts w:hint="eastAsia" w:ascii="宋体" w:hAnsi="宋体"/>
          <w:bCs/>
          <w:color w:val="000000" w:themeColor="text1"/>
          <w:u w:val="none"/>
          <w14:textFill>
            <w14:solidFill>
              <w14:schemeClr w14:val="tx1"/>
            </w14:solidFill>
          </w14:textFill>
        </w:rPr>
        <w:fldChar w:fldCharType="end"/>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"_Toc2724" </w:instrText>
      </w:r>
      <w:r>
        <w:rPr>
          <w:color w:val="000000" w:themeColor="text1"/>
          <w14:textFill>
            <w14:solidFill>
              <w14:schemeClr w14:val="tx1"/>
            </w14:solidFill>
          </w14:textFill>
        </w:rPr>
        <w:fldChar w:fldCharType="separate"/>
      </w:r>
      <w:r>
        <w:rPr>
          <w:rStyle w:val="22"/>
          <w:rFonts w:hint="eastAsia" w:ascii="宋体" w:hAnsi="宋体"/>
          <w:color w:val="000000" w:themeColor="text1"/>
          <w:u w:val="none"/>
          <w14:textFill>
            <w14:solidFill>
              <w14:schemeClr w14:val="tx1"/>
            </w14:solidFill>
          </w14:textFill>
        </w:rPr>
        <w:t>第四章  合同条款及格式</w:t>
      </w:r>
      <w:r>
        <w:rPr>
          <w:rStyle w:val="22"/>
          <w:rFonts w:hint="eastAsia" w:ascii="宋体" w:hAnsi="宋体"/>
          <w:color w:val="000000" w:themeColor="text1"/>
          <w:u w:val="none"/>
          <w14:textFill>
            <w14:solidFill>
              <w14:schemeClr w14:val="tx1"/>
            </w14:solidFill>
          </w14:textFill>
        </w:rPr>
        <w:fldChar w:fldCharType="end"/>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"_Toc28866" </w:instrText>
      </w:r>
      <w:r>
        <w:rPr>
          <w:color w:val="000000" w:themeColor="text1"/>
          <w14:textFill>
            <w14:solidFill>
              <w14:schemeClr w14:val="tx1"/>
            </w14:solidFill>
          </w14:textFill>
        </w:rPr>
        <w:fldChar w:fldCharType="separate"/>
      </w:r>
      <w:r>
        <w:rPr>
          <w:rStyle w:val="22"/>
          <w:rFonts w:hint="eastAsia" w:ascii="宋体" w:hAnsi="宋体"/>
          <w:color w:val="000000" w:themeColor="text1"/>
          <w:u w:val="none"/>
          <w14:textFill>
            <w14:solidFill>
              <w14:schemeClr w14:val="tx1"/>
            </w14:solidFill>
          </w14:textFill>
        </w:rPr>
        <w:t>第五章  工程量清单</w:t>
      </w:r>
      <w:r>
        <w:rPr>
          <w:rStyle w:val="22"/>
          <w:rFonts w:hint="eastAsia" w:ascii="宋体" w:hAnsi="宋体"/>
          <w:color w:val="000000" w:themeColor="text1"/>
          <w:u w:val="none"/>
          <w14:textFill>
            <w14:solidFill>
              <w14:schemeClr w14:val="tx1"/>
            </w14:solidFill>
          </w14:textFill>
        </w:rPr>
        <w:fldChar w:fldCharType="end"/>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"_Toc10362" </w:instrText>
      </w:r>
      <w:r>
        <w:rPr>
          <w:color w:val="000000" w:themeColor="text1"/>
          <w14:textFill>
            <w14:solidFill>
              <w14:schemeClr w14:val="tx1"/>
            </w14:solidFill>
          </w14:textFill>
        </w:rPr>
        <w:fldChar w:fldCharType="separate"/>
      </w:r>
      <w:r>
        <w:rPr>
          <w:rStyle w:val="22"/>
          <w:rFonts w:hint="eastAsia" w:ascii="宋体" w:hAnsi="宋体"/>
          <w:color w:val="000000" w:themeColor="text1"/>
          <w:u w:val="none"/>
          <w14:textFill>
            <w14:solidFill>
              <w14:schemeClr w14:val="tx1"/>
            </w14:solidFill>
          </w14:textFill>
        </w:rPr>
        <w:t>第六章  技术标准和要求</w:t>
      </w:r>
      <w:r>
        <w:rPr>
          <w:rStyle w:val="22"/>
          <w:rFonts w:hint="eastAsia" w:ascii="宋体" w:hAnsi="宋体"/>
          <w:color w:val="000000" w:themeColor="text1"/>
          <w:u w:val="none"/>
          <w14:textFill>
            <w14:solidFill>
              <w14:schemeClr w14:val="tx1"/>
            </w14:solidFill>
          </w14:textFill>
        </w:rPr>
        <w:fldChar w:fldCharType="end"/>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"_Toc30282" </w:instrText>
      </w:r>
      <w:r>
        <w:rPr>
          <w:color w:val="000000" w:themeColor="text1"/>
          <w14:textFill>
            <w14:solidFill>
              <w14:schemeClr w14:val="tx1"/>
            </w14:solidFill>
          </w14:textFill>
        </w:rPr>
        <w:fldChar w:fldCharType="separate"/>
      </w:r>
      <w:r>
        <w:rPr>
          <w:rStyle w:val="22"/>
          <w:rFonts w:hint="eastAsia" w:ascii="宋体" w:hAnsi="宋体"/>
          <w:color w:val="000000" w:themeColor="text1"/>
          <w:u w:val="none"/>
          <w14:textFill>
            <w14:solidFill>
              <w14:schemeClr w14:val="tx1"/>
            </w14:solidFill>
          </w14:textFill>
        </w:rPr>
        <w:t>第七章  投标文件格式</w:t>
      </w:r>
      <w:r>
        <w:rPr>
          <w:rStyle w:val="22"/>
          <w:rFonts w:hint="eastAsia" w:ascii="宋体" w:hAnsi="宋体"/>
          <w:color w:val="000000" w:themeColor="text1"/>
          <w:u w:val="none"/>
          <w14:textFill>
            <w14:solidFill>
              <w14:schemeClr w14:val="tx1"/>
            </w14:solidFill>
          </w14:textFill>
        </w:rPr>
        <w:fldChar w:fldCharType="end"/>
      </w:r>
    </w:p>
    <w:p>
      <w:pPr>
        <w:pStyle w:val="32"/>
        <w:spacing w:line="480" w:lineRule="auto"/>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"_Toc21606" </w:instrText>
      </w:r>
      <w:r>
        <w:rPr>
          <w:color w:val="000000" w:themeColor="text1"/>
          <w14:textFill>
            <w14:solidFill>
              <w14:schemeClr w14:val="tx1"/>
            </w14:solidFill>
          </w14:textFill>
        </w:rPr>
        <w:fldChar w:fldCharType="separate"/>
      </w:r>
      <w:r>
        <w:rPr>
          <w:rStyle w:val="22"/>
          <w:rFonts w:hint="eastAsia" w:ascii="宋体" w:hAnsi="宋体"/>
          <w:bCs/>
          <w:color w:val="000000" w:themeColor="text1"/>
          <w:u w:val="none"/>
          <w14:textFill>
            <w14:solidFill>
              <w14:schemeClr w14:val="tx1"/>
            </w14:solidFill>
          </w14:textFill>
        </w:rPr>
        <w:t>第八章  其他资料</w:t>
      </w:r>
      <w:r>
        <w:rPr>
          <w:rStyle w:val="22"/>
          <w:rFonts w:hint="eastAsia" w:ascii="宋体" w:hAnsi="宋体"/>
          <w:bCs/>
          <w:color w:val="000000" w:themeColor="text1"/>
          <w:u w:val="none"/>
          <w14:textFill>
            <w14:solidFill>
              <w14:schemeClr w14:val="tx1"/>
            </w14:solidFill>
          </w14:textFill>
        </w:rPr>
        <w:fldChar w:fldCharType="end"/>
      </w:r>
    </w:p>
    <w:p>
      <w:pPr>
        <w:kinsoku w:val="0"/>
        <w:overflowPunct w:val="0"/>
        <w:autoSpaceDE w:val="0"/>
        <w:autoSpaceDN w:val="0"/>
        <w:adjustRightInd w:val="0"/>
        <w:snapToGrid w:val="0"/>
        <w:spacing w:line="360" w:lineRule="auto"/>
        <w:outlineLvl w:val="0"/>
        <w:rPr>
          <w:rFonts w:ascii="宋体" w:hAnsi="宋体"/>
          <w:b/>
          <w:bCs/>
          <w:color w:val="000000" w:themeColor="text1"/>
          <w:sz w:val="36"/>
          <w:szCs w:val="36"/>
          <w14:textFill>
            <w14:solidFill>
              <w14:schemeClr w14:val="tx1"/>
            </w14:solidFill>
          </w14:textFill>
        </w:rPr>
      </w:pPr>
    </w:p>
    <w:p>
      <w:pPr>
        <w:widowControl/>
        <w:jc w:val="left"/>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br w:type="page"/>
      </w: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第一章、招标公告</w:t>
      </w:r>
    </w:p>
    <w:p>
      <w:pPr>
        <w:kinsoku w:val="0"/>
        <w:overflowPunct w:val="0"/>
        <w:autoSpaceDE w:val="0"/>
        <w:autoSpaceDN w:val="0"/>
        <w:adjustRightInd w:val="0"/>
        <w:snapToGrid w:val="0"/>
        <w:spacing w:line="360" w:lineRule="auto"/>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宝丰县住房和城乡建设局关于宝丰县第一高级中学人行道、广场、围墙翻新工程</w:t>
      </w:r>
      <w:r>
        <w:rPr>
          <w:rFonts w:hint="eastAsia" w:ascii="宋体" w:hAnsi="宋体"/>
          <w:b/>
          <w:bCs/>
          <w:color w:val="000000" w:themeColor="text1"/>
          <w:sz w:val="30"/>
          <w:szCs w:val="30"/>
          <w:lang w:val="en-US" w:eastAsia="zh-CN"/>
          <w14:textFill>
            <w14:solidFill>
              <w14:schemeClr w14:val="tx1"/>
            </w14:solidFill>
          </w14:textFill>
        </w:rPr>
        <w:t>项目</w:t>
      </w:r>
      <w:r>
        <w:rPr>
          <w:rFonts w:hint="eastAsia" w:ascii="宋体" w:hAnsi="宋体"/>
          <w:b/>
          <w:bCs/>
          <w:color w:val="000000" w:themeColor="text1"/>
          <w:sz w:val="30"/>
          <w:szCs w:val="30"/>
          <w14:textFill>
            <w14:solidFill>
              <w14:schemeClr w14:val="tx1"/>
            </w14:solidFill>
          </w14:textFill>
        </w:rPr>
        <w:t>公开招标公告</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一、项目基本情况：</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1、项目编号：宝财招标-2023-36</w:t>
      </w:r>
    </w:p>
    <w:p>
      <w:pPr>
        <w:kinsoku w:val="0"/>
        <w:overflowPunct w:val="0"/>
        <w:autoSpaceDE w:val="0"/>
        <w:autoSpaceDN w:val="0"/>
        <w:adjustRightInd w:val="0"/>
        <w:snapToGrid w:val="0"/>
        <w:spacing w:line="360" w:lineRule="auto"/>
        <w:ind w:firstLine="420" w:firstLineChars="20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2、项目名称：宝丰县第一高级中学人行道、广场、围墙翻新工程</w:t>
      </w:r>
      <w:r>
        <w:rPr>
          <w:rFonts w:hint="eastAsia" w:ascii="宋体" w:hAnsi="宋体"/>
          <w:color w:val="000000" w:themeColor="text1"/>
          <w:lang w:val="en-US" w:eastAsia="zh-CN"/>
          <w14:textFill>
            <w14:solidFill>
              <w14:schemeClr w14:val="tx1"/>
            </w14:solidFill>
          </w14:textFill>
        </w:rPr>
        <w:t>项目</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3、采购方式：公开招标</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4、预算金额：6563523.15 元，最高限价：6563523.15 元</w:t>
      </w:r>
    </w:p>
    <w:tbl>
      <w:tblPr>
        <w:tblStyle w:val="18"/>
        <w:tblW w:w="4731" w:type="pct"/>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autofit"/>
        <w:tblCellMar>
          <w:top w:w="0" w:type="dxa"/>
          <w:left w:w="0" w:type="dxa"/>
          <w:bottom w:w="0" w:type="dxa"/>
          <w:right w:w="0" w:type="dxa"/>
        </w:tblCellMar>
      </w:tblPr>
      <w:tblGrid>
        <w:gridCol w:w="524"/>
        <w:gridCol w:w="1375"/>
        <w:gridCol w:w="3614"/>
        <w:gridCol w:w="1887"/>
        <w:gridCol w:w="1837"/>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537" w:hRule="atLeast"/>
        </w:trPr>
        <w:tc>
          <w:tcPr>
            <w:tcW w:w="284" w:type="pct"/>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744"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包号</w:t>
            </w:r>
          </w:p>
        </w:tc>
        <w:tc>
          <w:tcPr>
            <w:tcW w:w="1956"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包名称</w:t>
            </w:r>
          </w:p>
        </w:tc>
        <w:tc>
          <w:tcPr>
            <w:tcW w:w="1021"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包预算（元）</w:t>
            </w:r>
          </w:p>
        </w:tc>
        <w:tc>
          <w:tcPr>
            <w:tcW w:w="994"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包最高限价（元）</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537" w:hRule="atLeast"/>
        </w:trPr>
        <w:tc>
          <w:tcPr>
            <w:tcW w:w="284" w:type="pct"/>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744"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p>
        </w:tc>
        <w:tc>
          <w:tcPr>
            <w:tcW w:w="1956"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宝丰县第一高级中学人行道、广场、围墙翻新工程</w:t>
            </w:r>
            <w:r>
              <w:rPr>
                <w:rFonts w:hint="eastAsia" w:ascii="宋体" w:hAnsi="宋体"/>
                <w:color w:val="000000" w:themeColor="text1"/>
                <w:lang w:val="en-US" w:eastAsia="zh-CN"/>
                <w14:textFill>
                  <w14:solidFill>
                    <w14:schemeClr w14:val="tx1"/>
                  </w14:solidFill>
                </w14:textFill>
              </w:rPr>
              <w:t>项目</w:t>
            </w:r>
          </w:p>
        </w:tc>
        <w:tc>
          <w:tcPr>
            <w:tcW w:w="1021"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6563523.15</w:t>
            </w:r>
          </w:p>
        </w:tc>
        <w:tc>
          <w:tcPr>
            <w:tcW w:w="994" w:type="pct"/>
            <w:tcBorders>
              <w:top w:val="outset" w:color="auto" w:sz="6" w:space="0"/>
              <w:left w:val="nil"/>
              <w:bottom w:val="outset" w:color="auto" w:sz="6" w:space="0"/>
              <w:right w:val="outset" w:color="auto" w:sz="6" w:space="0"/>
            </w:tcBorders>
            <w:tcMar>
              <w:top w:w="120" w:type="dxa"/>
              <w:left w:w="0" w:type="dxa"/>
              <w:bottom w:w="0" w:type="dxa"/>
              <w:right w:w="0"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6563523.15</w:t>
            </w:r>
          </w:p>
        </w:tc>
      </w:tr>
    </w:tbl>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5、采购需求（包括但不限于标的的名称、数量、简要技术需求或服务要求等）</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建设内容：本项目位于宝丰县第一高级中学，项目为人行道、东广场、西广场铺装翻新、原铺装地基面层有淤泥的地方砂石换填后铺装、围墙和树池的翻新、污水管道抽污、雨水井、污水井、水表井的修整改造、路灯检查井的砌筑、原有建筑物拆除后的铺装等。</w:t>
      </w:r>
    </w:p>
    <w:p>
      <w:pPr>
        <w:kinsoku w:val="0"/>
        <w:overflowPunct w:val="0"/>
        <w:autoSpaceDE w:val="0"/>
        <w:autoSpaceDN w:val="0"/>
        <w:adjustRightInd w:val="0"/>
        <w:snapToGrid w:val="0"/>
        <w:spacing w:line="360" w:lineRule="auto"/>
        <w:ind w:left="420" w:left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5.2、资金来源：财政资金，已落实。</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5.3、标段划分：本项目共分为一个标段：</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5.4、招标范围：宝丰县第一高级中学人行道、广场、围墙翻新等，具体各单项工程范围以工程量清单及图纸为准。</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5.5、质量要求：合格，符合国家、行业现行的各项相关标准和规范；</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5.6、计划工期： 45日历天；</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6、合同履行期限： 45日历天；</w:t>
      </w:r>
      <w:bookmarkStart w:id="331" w:name="_GoBack"/>
      <w:bookmarkEnd w:id="331"/>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7、本项目是否接受联合体投标：否。</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8、是否接受进口产品：否。</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二、申请人资格要求：</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1、满足《中华人民共和国政府采购法》第二十二条规定。 </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落实政府采购政策满足的资格要求：根据《政府采购促进中小企业发展管理办法》财库【2020】46号规定本项目专门面向中小企业采购，符合条件的供应商应按文件要求提供相应声明函。（监狱企业、残疾人福利性单位视同小微企业；残疾人福利性单位属于小型、微型企业的，不重复享受政策）。</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3、本项目的特定资格要求： </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3.1、投标人</w:t>
      </w:r>
      <w:r>
        <w:rPr>
          <w:rFonts w:hint="eastAsia"/>
          <w:color w:val="000000" w:themeColor="text1"/>
          <w:sz w:val="22"/>
          <w:szCs w:val="28"/>
          <w14:textFill>
            <w14:solidFill>
              <w14:schemeClr w14:val="tx1"/>
            </w14:solidFill>
          </w14:textFill>
        </w:rPr>
        <w:t>具有独立承担民事责任的能力，</w:t>
      </w:r>
      <w:r>
        <w:rPr>
          <w:rFonts w:hint="eastAsia" w:ascii="宋体" w:hAnsi="宋体"/>
          <w:color w:val="000000" w:themeColor="text1"/>
          <w14:textFill>
            <w14:solidFill>
              <w14:schemeClr w14:val="tx1"/>
            </w14:solidFill>
          </w14:textFill>
        </w:rPr>
        <w:t>须持有有效的企业法人营业执照、税务登记证、组织机构代码证（或三证合一营业执照扫描件或复印件，也可提供电子营业执照），</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w:t>
      </w:r>
      <w:r>
        <w:rPr>
          <w:rFonts w:hint="eastAsia" w:ascii="宋体" w:hAnsi="宋体" w:cs="宋体"/>
          <w:bCs/>
          <w:color w:val="000000" w:themeColor="text1"/>
          <w14:textFill>
            <w14:solidFill>
              <w14:schemeClr w14:val="tx1"/>
            </w14:solidFill>
          </w14:textFill>
        </w:rPr>
        <w:t>投标人</w:t>
      </w:r>
      <w:r>
        <w:rPr>
          <w:rFonts w:hint="eastAsia" w:ascii="宋体" w:hAnsi="宋体"/>
          <w:color w:val="000000" w:themeColor="text1"/>
          <w14:textFill>
            <w14:solidFill>
              <w14:schemeClr w14:val="tx1"/>
            </w14:solidFill>
          </w14:textFill>
        </w:rPr>
        <w:t>具备建筑工程施工总承包三级及以上资质，</w:t>
      </w:r>
      <w:r>
        <w:rPr>
          <w:rFonts w:hint="eastAsia" w:ascii="宋体" w:hAnsi="宋体" w:cs="宋体"/>
          <w:bCs/>
          <w:color w:val="000000" w:themeColor="text1"/>
          <w14:textFill>
            <w14:solidFill>
              <w14:schemeClr w14:val="tx1"/>
            </w14:solidFill>
          </w14:textFill>
        </w:rPr>
        <w:t>持有有效的企业</w:t>
      </w:r>
      <w:r>
        <w:rPr>
          <w:rFonts w:hint="eastAsia" w:ascii="宋体" w:hAnsi="宋体"/>
          <w:color w:val="000000" w:themeColor="text1"/>
          <w14:textFill>
            <w14:solidFill>
              <w14:schemeClr w14:val="tx1"/>
            </w14:solidFill>
          </w14:textFill>
        </w:rPr>
        <w:t>安全生产许可证。</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3.3、投标人拟派项目经理须具备建筑工程专业二级及以上注册建造师执业资格和有效的安全生产考核合格证书，且现阶段未担任其他在建工程的项目经理；</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3.4、技术负责人具有相关专业工程师或以上职称</w:t>
      </w:r>
      <w:r>
        <w:rPr>
          <w:rFonts w:hint="eastAsia" w:ascii="宋体" w:hAnsi="宋体" w:cs="宋体"/>
          <w:bCs/>
          <w:color w:val="000000" w:themeColor="text1"/>
          <w14:textFill>
            <w14:solidFill>
              <w14:schemeClr w14:val="tx1"/>
            </w14:solidFill>
          </w14:textFill>
        </w:rPr>
        <w:t>，具有有效的职称证书</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3.5、拟派其他主要人员（五大员）：质量员（质检员）、施工员、资料员、安全员（或专职安全员）、材料员相关资格证书或职业培训合格证书；</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3.6、投标人拟派项目经理、技术负责人及委托代理人</w:t>
      </w:r>
      <w:r>
        <w:rPr>
          <w:rFonts w:hint="eastAsia" w:ascii="宋体" w:hAnsi="宋体"/>
          <w:color w:val="000000" w:themeColor="text1"/>
          <w14:textFill>
            <w14:solidFill>
              <w14:schemeClr w14:val="tx1"/>
            </w14:solidFill>
          </w14:textFill>
        </w:rPr>
        <w:t>提供</w:t>
      </w:r>
      <w:r>
        <w:rPr>
          <w:rFonts w:hint="eastAsia" w:ascii="宋体" w:hAnsi="宋体" w:cs="宋体"/>
          <w:bCs/>
          <w:color w:val="000000" w:themeColor="text1"/>
          <w14:textFill>
            <w14:solidFill>
              <w14:schemeClr w14:val="tx1"/>
            </w14:solidFill>
          </w14:textFill>
        </w:rPr>
        <w:t>为其缴纳的</w:t>
      </w:r>
      <w:r>
        <w:rPr>
          <w:rFonts w:hint="eastAsia" w:ascii="宋体" w:hAnsi="宋体" w:cs="宋体"/>
          <w:color w:val="000000" w:themeColor="text1"/>
          <w14:textFill>
            <w14:solidFill>
              <w14:schemeClr w14:val="tx1"/>
            </w14:solidFill>
          </w14:textFill>
        </w:rPr>
        <w:t>2023年1月1日以来至少6个月</w:t>
      </w:r>
      <w:r>
        <w:rPr>
          <w:rFonts w:hint="eastAsia" w:ascii="宋体" w:hAnsi="宋体" w:cs="宋体"/>
          <w:bCs/>
          <w:color w:val="000000" w:themeColor="text1"/>
          <w14:textFill>
            <w14:solidFill>
              <w14:schemeClr w14:val="tx1"/>
            </w14:solidFill>
          </w14:textFill>
        </w:rPr>
        <w:t>的养老保险证明。（新聘用的人员从聘用之日算起）</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3.7、投标人</w:t>
      </w:r>
      <w:r>
        <w:rPr>
          <w:rFonts w:hint="eastAsia" w:ascii="宋体" w:hAnsi="宋体" w:cs="宋体"/>
          <w:bCs/>
          <w:color w:val="000000" w:themeColor="text1"/>
          <w14:textFill>
            <w14:solidFill>
              <w14:schemeClr w14:val="tx1"/>
            </w14:solidFill>
          </w14:textFill>
        </w:rPr>
        <w:t>需具</w:t>
      </w:r>
      <w:r>
        <w:rPr>
          <w:rFonts w:hint="eastAsia" w:ascii="宋体" w:hAnsi="宋体"/>
          <w:color w:val="000000" w:themeColor="text1"/>
          <w14:textFill>
            <w14:solidFill>
              <w14:schemeClr w14:val="tx1"/>
            </w14:solidFill>
          </w14:textFill>
        </w:rPr>
        <w:t>有良好的商业信誉和健全的财务会计制度。（投标人无需提供证明材料，只需在投标文件格式中填写宝丰县政府采购供应商信用承诺函)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w:t>
      </w:r>
      <w:r>
        <w:rPr>
          <w:rFonts w:hint="eastAsia" w:ascii="宋体" w:hAnsi="宋体" w:cs="宋体"/>
          <w:bCs/>
          <w:color w:val="000000" w:themeColor="text1"/>
          <w14:textFill>
            <w14:solidFill>
              <w14:schemeClr w14:val="tx1"/>
            </w14:solidFill>
          </w14:textFill>
        </w:rPr>
        <w:t>投标人需具有履行合同所必需的设备和专业技术能力。（投标人无需提供证明材料，只需在投标文件格式中填写宝丰县政府采购供应商信用承诺函)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3.9、投标人</w:t>
      </w:r>
      <w:r>
        <w:rPr>
          <w:rFonts w:hint="eastAsia" w:ascii="宋体" w:hAnsi="宋体" w:cs="宋体"/>
          <w:bCs/>
          <w:color w:val="000000" w:themeColor="text1"/>
          <w14:textFill>
            <w14:solidFill>
              <w14:schemeClr w14:val="tx1"/>
            </w14:solidFill>
          </w14:textFill>
        </w:rPr>
        <w:t>需具</w:t>
      </w:r>
      <w:r>
        <w:rPr>
          <w:rFonts w:hint="eastAsia" w:ascii="宋体" w:hAnsi="宋体"/>
          <w:color w:val="000000" w:themeColor="text1"/>
          <w14:textFill>
            <w14:solidFill>
              <w14:schemeClr w14:val="tx1"/>
            </w14:solidFill>
          </w14:textFill>
        </w:rPr>
        <w:t>有依法缴纳税收和社会保障资金的良好记录。（投标人无需提供证明材料，只需在投标文件格式中填写宝丰县政府采购供应商信用承诺函)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3.10、投标人参加政府采购活动近三年内，在经营活动中没有重大违法记录。</w:t>
      </w:r>
      <w:r>
        <w:rPr>
          <w:rFonts w:hint="eastAsia"/>
          <w:color w:val="000000" w:themeColor="text1"/>
          <w:shd w:val="clear" w:color="auto" w:fill="FFFFFF"/>
          <w14:textFill>
            <w14:solidFill>
              <w14:schemeClr w14:val="tx1"/>
            </w14:solidFill>
          </w14:textFill>
        </w:rPr>
        <w:t>（投标人无需提供证明材料，只需在投标文件格式中填写宝丰县政府采购供应商信用承诺函)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其他要求：（投标人出具书面声明，格式自拟）：（1）企业没有处于被责令停业、投标资格被取消，财产没有被接管、冻结、破产状态；（2）近三年来在经营活动中没有骗取中标和严重违约及重大质量问题；（3）未存在被有关部门暂停投标资格并在暂停期内；（4）投标人未被列入失信被执行人、重大税收违法失信主体、政府采购严重违法失信行为记录名单；（5）单位负责人为同一人或者存在直接控股、管理关系的不同投标人，不得参加同一合同项下的政府采购活动（以“国家企业信用信息公示系统”查询为准，需包含公司基本信息、股东信息及股权变更信息等内容）</w:t>
      </w:r>
    </w:p>
    <w:p>
      <w:pPr>
        <w:kinsoku w:val="0"/>
        <w:overflowPunct w:val="0"/>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3.8、投标企业提供的所有资料经核查后出现任何虚假资料的，直接取消其投标资格。（提供书面承诺）</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3.9、本项目资格审查方式：资格后审。</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注：如投标单位为新成立企业，可提供注册后的相关证明材料。</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三、获取招标文件：</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1、时间：2023年</w:t>
      </w: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14</w:t>
      </w:r>
      <w:r>
        <w:rPr>
          <w:rFonts w:hint="eastAsia" w:ascii="宋体" w:hAnsi="宋体"/>
          <w:color w:val="000000" w:themeColor="text1"/>
          <w14:textFill>
            <w14:solidFill>
              <w14:schemeClr w14:val="tx1"/>
            </w14:solidFill>
          </w14:textFill>
        </w:rPr>
        <w:t>日 至 2023年</w:t>
      </w: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日，每天上午00:00至11:59，下午12:00至23:59（北京时间）</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2、地点：宝丰县公共资源交易中心电子交易系统。</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3、方式：该项目实施网上下载竞争性谈判文件，潜在供应商下载文件需凭CA数字证书通过全国公共资源交易平台（河南省•宝丰县）（网址：http://www.bfggzy.com/）“登录业务系统”入口进入电子交易系统下载 竞争性谈判文件，具体操作操作请查看以下链接：</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链接地址：http://www.bfggzy.com/ggtz/19072.jhtml；</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办理 CA 证书：http://www.pdsgg</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zy.com/tzgg/10814.jhtml</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4、招标文件售价：0元。</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四、投标截止时间及地点：</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1、时间：2023年</w:t>
      </w:r>
      <w:r>
        <w:rPr>
          <w:rFonts w:hint="eastAsia" w:ascii="宋体" w:hAnsi="宋体"/>
          <w:color w:val="000000" w:themeColor="text1"/>
          <w:lang w:val="en-US" w:eastAsia="zh-CN"/>
          <w14:textFill>
            <w14:solidFill>
              <w14:schemeClr w14:val="tx1"/>
            </w14:solidFill>
          </w14:textFill>
        </w:rPr>
        <w:t>12</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07</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val="en-US" w:eastAsia="zh-CN"/>
          <w14:textFill>
            <w14:solidFill>
              <w14:schemeClr w14:val="tx1"/>
            </w14:solidFill>
          </w14:textFill>
        </w:rPr>
        <w:t>09</w:t>
      </w:r>
      <w:r>
        <w:rPr>
          <w:rFonts w:hint="eastAsia" w:ascii="宋体" w:hAnsi="宋体"/>
          <w:color w:val="000000" w:themeColor="text1"/>
          <w14:textFill>
            <w14:solidFill>
              <w14:schemeClr w14:val="tx1"/>
            </w14:solidFill>
          </w14:textFill>
        </w:rPr>
        <w:t>时</w:t>
      </w:r>
      <w:r>
        <w:rPr>
          <w:rFonts w:hint="eastAsia" w:ascii="宋体" w:hAnsi="宋体"/>
          <w:color w:val="000000" w:themeColor="text1"/>
          <w:lang w:val="en-US" w:eastAsia="zh-CN"/>
          <w14:textFill>
            <w14:solidFill>
              <w14:schemeClr w14:val="tx1"/>
            </w14:solidFill>
          </w14:textFill>
        </w:rPr>
        <w:t>30</w:t>
      </w:r>
      <w:r>
        <w:rPr>
          <w:rFonts w:hint="eastAsia" w:ascii="宋体" w:hAnsi="宋体"/>
          <w:color w:val="000000" w:themeColor="text1"/>
          <w14:textFill>
            <w14:solidFill>
              <w14:schemeClr w14:val="tx1"/>
            </w14:solidFill>
          </w14:textFill>
        </w:rPr>
        <w:t>分（北京时间）。</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2、地点：宝丰县公共资源交易中心网上开标大厅。</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五、开标时间及地点：</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1、时间：2023年</w:t>
      </w:r>
      <w:r>
        <w:rPr>
          <w:rFonts w:hint="eastAsia" w:ascii="宋体" w:hAnsi="宋体"/>
          <w:color w:val="000000" w:themeColor="text1"/>
          <w:lang w:val="en-US" w:eastAsia="zh-CN"/>
          <w14:textFill>
            <w14:solidFill>
              <w14:schemeClr w14:val="tx1"/>
            </w14:solidFill>
          </w14:textFill>
        </w:rPr>
        <w:t>12</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07</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val="en-US" w:eastAsia="zh-CN"/>
          <w14:textFill>
            <w14:solidFill>
              <w14:schemeClr w14:val="tx1"/>
            </w14:solidFill>
          </w14:textFill>
        </w:rPr>
        <w:t>09</w:t>
      </w:r>
      <w:r>
        <w:rPr>
          <w:rFonts w:hint="eastAsia" w:ascii="宋体" w:hAnsi="宋体"/>
          <w:color w:val="000000" w:themeColor="text1"/>
          <w14:textFill>
            <w14:solidFill>
              <w14:schemeClr w14:val="tx1"/>
            </w14:solidFill>
          </w14:textFill>
        </w:rPr>
        <w:t>时</w:t>
      </w:r>
      <w:r>
        <w:rPr>
          <w:rFonts w:hint="eastAsia" w:ascii="宋体" w:hAnsi="宋体"/>
          <w:color w:val="000000" w:themeColor="text1"/>
          <w:lang w:val="en-US" w:eastAsia="zh-CN"/>
          <w14:textFill>
            <w14:solidFill>
              <w14:schemeClr w14:val="tx1"/>
            </w14:solidFill>
          </w14:textFill>
        </w:rPr>
        <w:t>30</w:t>
      </w:r>
      <w:r>
        <w:rPr>
          <w:rFonts w:hint="eastAsia" w:ascii="宋体" w:hAnsi="宋体"/>
          <w:color w:val="000000" w:themeColor="text1"/>
          <w14:textFill>
            <w14:solidFill>
              <w14:schemeClr w14:val="tx1"/>
            </w14:solidFill>
          </w14:textFill>
        </w:rPr>
        <w:t>分（北京时间）。</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2、地点：宝丰县公共资源交易中心网上开标大厅，全面实行在线“不见面”开标，投标人远程在线解密投标文件，不再到开标现场，投标前应仔细阅读网站“紧急通告”等。</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六、发布公告的媒介及招标公告期限</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本次公告同时在</w:t>
      </w:r>
      <w:r>
        <w:rPr>
          <w:rFonts w:hint="eastAsia" w:ascii="宋体" w:hAnsi="宋体"/>
          <w:color w:val="000000" w:themeColor="text1"/>
          <w:shd w:val="clear" w:color="auto" w:fill="FFFFFF"/>
          <w14:textFill>
            <w14:solidFill>
              <w14:schemeClr w14:val="tx1"/>
            </w14:solidFill>
          </w14:textFill>
        </w:rPr>
        <w:t>《河南省政府采购网》、《平顶山市政府采购网》、《宝丰县政府采购网》、《全国公共资源交易平台》、《全国公共资源交易平台（河南省）》、《全国公共资源交易平台（河南省·平顶山）》、《全国公共资源交易平台（河南省·宝丰县）》</w:t>
      </w:r>
      <w:r>
        <w:rPr>
          <w:rFonts w:hint="eastAsia" w:ascii="宋体" w:hAnsi="宋体"/>
          <w:color w:val="000000" w:themeColor="text1"/>
          <w14:textFill>
            <w14:solidFill>
              <w14:schemeClr w14:val="tx1"/>
            </w14:solidFill>
          </w14:textFill>
        </w:rPr>
        <w:t>上发布。</w:t>
      </w:r>
    </w:p>
    <w:p>
      <w:pPr>
        <w:numPr>
          <w:ilvl w:val="0"/>
          <w:numId w:val="1"/>
        </w:num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其他补充事宜</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监督单位：宝丰县建设工程招标办公室</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联系人：刘女士</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联系电话：0375-6570620</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统一社会信用代码：12410421317552137R</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八、凡对本次招标提出询问，请按照以下方式联系</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招标人信息</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名称：宝丰县住房和城乡建设局</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地址：宝丰县迎宾大道西段</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w:t>
      </w:r>
      <w:r>
        <w:rPr>
          <w:rFonts w:hint="eastAsia" w:ascii="宋体" w:hAnsi="宋体" w:cs="宋体"/>
          <w:color w:val="000000" w:themeColor="text1"/>
          <w14:textFill>
            <w14:solidFill>
              <w14:schemeClr w14:val="tx1"/>
            </w14:solidFill>
          </w14:textFill>
        </w:rPr>
        <w:t>陈女士</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 0375-</w:t>
      </w:r>
      <w:r>
        <w:rPr>
          <w:rFonts w:hint="eastAsia" w:ascii="宋体" w:hAnsi="宋体" w:cs="宋体"/>
          <w:color w:val="000000" w:themeColor="text1"/>
          <w14:textFill>
            <w14:solidFill>
              <w14:schemeClr w14:val="tx1"/>
            </w14:solidFill>
          </w14:textFill>
        </w:rPr>
        <w:t>6570661</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2.采购代理机构信息（如有）</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名称：河南驰翔工程管理有限公司</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地址：平顶山市新城区长安大道与育英路交叉口蓝湾国际公寓东一单元七楼</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联系人：顾洪沛</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联系方式：0375-7036550   15660596300</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3.项目联系方式</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联系人：顾洪沛</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联系方式：0375-7036550   15660596300</w:t>
      </w:r>
    </w:p>
    <w:p>
      <w:pPr>
        <w:kinsoku w:val="0"/>
        <w:overflowPunct w:val="0"/>
        <w:autoSpaceDE w:val="0"/>
        <w:autoSpaceDN w:val="0"/>
        <w:adjustRightInd w:val="0"/>
        <w:snapToGrid w:val="0"/>
        <w:spacing w:line="360" w:lineRule="auto"/>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2023年</w:t>
      </w: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13</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br w:type="page"/>
      </w:r>
    </w:p>
    <w:p>
      <w:pPr>
        <w:kinsoku w:val="0"/>
        <w:overflowPunct w:val="0"/>
        <w:autoSpaceDE w:val="0"/>
        <w:autoSpaceDN w:val="0"/>
        <w:adjustRightInd w:val="0"/>
        <w:snapToGrid w:val="0"/>
        <w:spacing w:line="360" w:lineRule="auto"/>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温馨提示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本项目为全流程电子化交易项目，请认真阅读采购文件，并注意以下事项。</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1.投标人应按采购文件规定编制、提交电子投标文件。</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2.电子文件下载、制作、提交期间和开标（电子投标文件的解密）环节，投标人须使用CA数字证书（证书须在有效期内）。</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3.电子投标文件的制作</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 投标人登录《全国公共资源交易平台(河南省?宝丰县)》登录业务系统（www.bfggzy.com:8080/ggzy/）下载“宝丰县公共资源交易中心投标文件制作系统”，按采购文件要求制作电子投标文件。</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电子投标文件的制作，参考《全国公共资源交易平台(河南省?宝丰县)》登录业务系统（www.bfggzy.com:8080/ggzy/）——组件下载——交易系统操作手册（投标人、投标人）。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 投标人须将采购文件要求的资质、业绩、荣誉及相关人员证明材料等资料原件扫描件（或图片）制作到所提交的电子投标文件中。</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3.3投标人对同一项目多个标段进行投标的，应分别下载所投标段的采购文件，按标段制作电子投标文件，并按采购文件要求在相应位置加盖投标人电子印章和法人电子印章。</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一个标段对应生成一个文件夹（xxxx项目xx标段）, 其中包含2个文件和1个文件夹。后缀名为“.file”的文件用于电子投标使用，名称为“备份”的文件夹使用电子介质存储，供开标现场备用。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4.加密电子投标文件的提交</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4.1加密电子投标文件应在采购文件规定的投标截止时间（开标时间）之前成功提交至《全国公共资源交易平台(河南省?宝丰县)》登录业务系统（www.bfggzy.com:8080/ggzy/）。</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投标人应充分考虑并预留技术处理和上传数据所需时间。</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 投标人对同一项目多个标段进行投标的，加密电子投标文件应按标段分别提交。</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第二章  投标人须知</w:t>
      </w:r>
    </w:p>
    <w:p>
      <w:pPr>
        <w:kinsoku w:val="0"/>
        <w:overflowPunct w:val="0"/>
        <w:autoSpaceDE w:val="0"/>
        <w:autoSpaceDN w:val="0"/>
        <w:adjustRightInd w:val="0"/>
        <w:snapToGrid w:val="0"/>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投标人须知前附表</w:t>
      </w:r>
    </w:p>
    <w:tbl>
      <w:tblPr>
        <w:tblStyle w:val="18"/>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3"/>
        <w:gridCol w:w="1620"/>
        <w:gridCol w:w="767"/>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条款号</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条  款  名  称</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名称：宝丰县住房和城乡建设局</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地址：宝丰县迎宾大道西段</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联系人：陈女士</w:t>
            </w:r>
          </w:p>
          <w:p>
            <w:pPr>
              <w:kinsoku w:val="0"/>
              <w:overflowPunct w:val="0"/>
              <w:autoSpaceDE w:val="0"/>
              <w:autoSpaceDN w:val="0"/>
              <w:adjustRightInd w:val="0"/>
              <w:snapToGrid w:val="0"/>
              <w:spacing w:line="360" w:lineRule="auto"/>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 0375-6570661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招标代理机构</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名称：河南驰翔工程管理有限公司</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地址：平顶山市新城区长安大道与育英路交叉口蓝湾国际公寓东一单元七楼</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联系人：顾洪沛</w:t>
            </w:r>
          </w:p>
          <w:p>
            <w:pPr>
              <w:kinsoku w:val="0"/>
              <w:overflowPunct w:val="0"/>
              <w:autoSpaceDE w:val="0"/>
              <w:autoSpaceDN w:val="0"/>
              <w:adjustRightInd w:val="0"/>
              <w:snapToGrid w:val="0"/>
              <w:spacing w:line="360" w:lineRule="auto"/>
              <w:jc w:val="left"/>
              <w:rPr>
                <w:rFonts w:cs="Times New Roman"/>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联系方式：0375-7036550   15660596300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6177"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宝丰县第一高级中学人行道、广场、围墙翻新工程</w:t>
            </w:r>
            <w:r>
              <w:rPr>
                <w:rFonts w:hint="eastAsia" w:ascii="宋体" w:hAnsi="宋体"/>
                <w:color w:val="000000" w:themeColor="text1"/>
                <w:lang w:val="en-US" w:eastAsia="zh-CN"/>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建设地点及规模</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内容：本项目位于宝丰县第一高级中学，项目为人行道、东广场、西广场铺装翻新、原铺装地基面层有淤泥的地方砂石换填后铺装、围墙和树池的翻新、污水管道抽污、雨水井、污水井、水表井的修整改造、路灯检查井的砌筑、原有建筑物拆除后的铺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资金来源</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出资比例</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资金落实情况</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招标范围</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宝丰县第一高级中学人行道、广场、围墙翻新等，具体各单项工程范围以工程量清单及图纸为准。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计划工期</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计划工期：45日历天。</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计划开工日期：签订合同时约定。</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计划竣工日期：签订合同时约定。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质量要求</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合格，符合国家、行业现行的各项相关标准和规范。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1.3.4</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采购标的所属行业</w:t>
            </w:r>
          </w:p>
        </w:tc>
        <w:tc>
          <w:tcPr>
            <w:tcW w:w="6177" w:type="dxa"/>
            <w:tcBorders>
              <w:top w:val="single" w:color="auto" w:sz="4" w:space="0"/>
              <w:left w:val="nil"/>
              <w:bottom w:val="single" w:color="auto" w:sz="4" w:space="0"/>
              <w:right w:val="single" w:color="auto" w:sz="4" w:space="0"/>
            </w:tcBorders>
            <w:vAlign w:val="center"/>
          </w:tcPr>
          <w:p>
            <w:pPr>
              <w:pStyle w:val="40"/>
              <w:kinsoku w:val="0"/>
              <w:overflowPunct w:val="0"/>
              <w:snapToGrid w:val="0"/>
              <w:spacing w:line="360" w:lineRule="auto"/>
              <w:jc w:val="both"/>
              <w:rPr>
                <w:rFonts w:hAnsi="宋体" w:cs="Calibri"/>
                <w:color w:val="000000" w:themeColor="text1"/>
                <w:kern w:val="2"/>
                <w:sz w:val="21"/>
                <w:szCs w:val="21"/>
                <w14:textFill>
                  <w14:solidFill>
                    <w14:schemeClr w14:val="tx1"/>
                  </w14:solidFill>
                </w14:textFill>
              </w:rPr>
            </w:pPr>
            <w:r>
              <w:rPr>
                <w:rFonts w:hint="eastAsia" w:hAnsi="宋体" w:cs="Calibri"/>
                <w:color w:val="000000" w:themeColor="text1"/>
                <w:kern w:val="2"/>
                <w:sz w:val="21"/>
                <w:szCs w:val="21"/>
                <w14:textFill>
                  <w14:solidFill>
                    <w14:schemeClr w14:val="tx1"/>
                  </w14:solidFill>
                </w14:textFill>
              </w:rPr>
              <w:t>所属行业为：建筑业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投标人资质条件、能力和信誉</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1、满足《中华人民共和国政府采购法》第二十二条规定。 </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落实政府采购政策满足的资格要求：根据《政府采购促进中小企业发展管理办法》财库【2020】46号规定本项目专门面向中小企业采购，符合条件的供应商应按文件要求提供相应声明函。（监狱企业、残疾人福利性单位视同小微企业；残疾人福利性单位属于小型、微型企业的，不重复享受政策）。</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3、本项目的特定资格要求： </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3.1、投标人</w:t>
            </w:r>
            <w:r>
              <w:rPr>
                <w:rFonts w:hint="eastAsia"/>
                <w:color w:val="000000" w:themeColor="text1"/>
                <w:sz w:val="22"/>
                <w:szCs w:val="28"/>
                <w14:textFill>
                  <w14:solidFill>
                    <w14:schemeClr w14:val="tx1"/>
                  </w14:solidFill>
                </w14:textFill>
              </w:rPr>
              <w:t>具有独立承担民事责任的能力，</w:t>
            </w:r>
            <w:r>
              <w:rPr>
                <w:rFonts w:hint="eastAsia" w:ascii="宋体" w:hAnsi="宋体"/>
                <w:color w:val="000000" w:themeColor="text1"/>
                <w14:textFill>
                  <w14:solidFill>
                    <w14:schemeClr w14:val="tx1"/>
                  </w14:solidFill>
                </w14:textFill>
              </w:rPr>
              <w:t>须持有有效的企业法人营业执照、税务登记证、组织机构代码证（或三证合一营业执照扫描件或复印件，也可提供电子营业执照），</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w:t>
            </w:r>
            <w:r>
              <w:rPr>
                <w:rFonts w:hint="eastAsia" w:ascii="宋体" w:hAnsi="宋体" w:cs="宋体"/>
                <w:bCs/>
                <w:color w:val="000000" w:themeColor="text1"/>
                <w14:textFill>
                  <w14:solidFill>
                    <w14:schemeClr w14:val="tx1"/>
                  </w14:solidFill>
                </w14:textFill>
              </w:rPr>
              <w:t>投标人</w:t>
            </w:r>
            <w:r>
              <w:rPr>
                <w:rFonts w:hint="eastAsia" w:ascii="宋体" w:hAnsi="宋体"/>
                <w:color w:val="000000" w:themeColor="text1"/>
                <w14:textFill>
                  <w14:solidFill>
                    <w14:schemeClr w14:val="tx1"/>
                  </w14:solidFill>
                </w14:textFill>
              </w:rPr>
              <w:t>具备建筑工程施工总承包三级及以上资质，</w:t>
            </w:r>
            <w:r>
              <w:rPr>
                <w:rFonts w:hint="eastAsia" w:ascii="宋体" w:hAnsi="宋体" w:cs="宋体"/>
                <w:bCs/>
                <w:color w:val="000000" w:themeColor="text1"/>
                <w14:textFill>
                  <w14:solidFill>
                    <w14:schemeClr w14:val="tx1"/>
                  </w14:solidFill>
                </w14:textFill>
              </w:rPr>
              <w:t>持有有效的企业</w:t>
            </w:r>
            <w:r>
              <w:rPr>
                <w:rFonts w:hint="eastAsia" w:ascii="宋体" w:hAnsi="宋体"/>
                <w:color w:val="000000" w:themeColor="text1"/>
                <w14:textFill>
                  <w14:solidFill>
                    <w14:schemeClr w14:val="tx1"/>
                  </w14:solidFill>
                </w14:textFill>
              </w:rPr>
              <w:t>安全生产许可证。</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3.3、投标人拟派项目经理须具备建筑工程专业二级及以上注册建造师执业资格和有效的安全生产考核合格证书，且现阶段未担任其他在建工程的项目经理；</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3.4、技术负责人具有相关专业工程师或以上职称</w:t>
            </w:r>
            <w:r>
              <w:rPr>
                <w:rFonts w:hint="eastAsia" w:ascii="宋体" w:hAnsi="宋体" w:cs="宋体"/>
                <w:bCs/>
                <w:color w:val="000000" w:themeColor="text1"/>
                <w14:textFill>
                  <w14:solidFill>
                    <w14:schemeClr w14:val="tx1"/>
                  </w14:solidFill>
                </w14:textFill>
              </w:rPr>
              <w:t>，具有有效的职称证书</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3.5、拟派其他主要人员（五大员）：质量员（质检员）、施工员、资料员、安全员（或专职安全员）、材料员相关资格证书或职业培训合格证书；</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3.6、投标人拟派项目经理、技术负责人及委托代理人</w:t>
            </w:r>
            <w:r>
              <w:rPr>
                <w:rFonts w:hint="eastAsia" w:ascii="宋体" w:hAnsi="宋体"/>
                <w:color w:val="000000" w:themeColor="text1"/>
                <w14:textFill>
                  <w14:solidFill>
                    <w14:schemeClr w14:val="tx1"/>
                  </w14:solidFill>
                </w14:textFill>
              </w:rPr>
              <w:t>提供</w:t>
            </w:r>
            <w:r>
              <w:rPr>
                <w:rFonts w:hint="eastAsia" w:ascii="宋体" w:hAnsi="宋体" w:cs="宋体"/>
                <w:bCs/>
                <w:color w:val="000000" w:themeColor="text1"/>
                <w14:textFill>
                  <w14:solidFill>
                    <w14:schemeClr w14:val="tx1"/>
                  </w14:solidFill>
                </w14:textFill>
              </w:rPr>
              <w:t>为其缴纳的</w:t>
            </w:r>
            <w:r>
              <w:rPr>
                <w:rFonts w:hint="eastAsia" w:ascii="宋体" w:hAnsi="宋体" w:cs="宋体"/>
                <w:color w:val="000000" w:themeColor="text1"/>
                <w14:textFill>
                  <w14:solidFill>
                    <w14:schemeClr w14:val="tx1"/>
                  </w14:solidFill>
                </w14:textFill>
              </w:rPr>
              <w:t>2023年1月1日以来至少6个月</w:t>
            </w:r>
            <w:r>
              <w:rPr>
                <w:rFonts w:hint="eastAsia" w:ascii="宋体" w:hAnsi="宋体" w:cs="宋体"/>
                <w:bCs/>
                <w:color w:val="000000" w:themeColor="text1"/>
                <w14:textFill>
                  <w14:solidFill>
                    <w14:schemeClr w14:val="tx1"/>
                  </w14:solidFill>
                </w14:textFill>
              </w:rPr>
              <w:t>的养老保险证明。（新聘用的人员从聘用之日算起）</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3.7、投标人</w:t>
            </w:r>
            <w:r>
              <w:rPr>
                <w:rFonts w:hint="eastAsia" w:ascii="宋体" w:hAnsi="宋体" w:cs="宋体"/>
                <w:bCs/>
                <w:color w:val="000000" w:themeColor="text1"/>
                <w14:textFill>
                  <w14:solidFill>
                    <w14:schemeClr w14:val="tx1"/>
                  </w14:solidFill>
                </w14:textFill>
              </w:rPr>
              <w:t>需具</w:t>
            </w:r>
            <w:r>
              <w:rPr>
                <w:rFonts w:hint="eastAsia" w:ascii="宋体" w:hAnsi="宋体"/>
                <w:color w:val="000000" w:themeColor="text1"/>
                <w14:textFill>
                  <w14:solidFill>
                    <w14:schemeClr w14:val="tx1"/>
                  </w14:solidFill>
                </w14:textFill>
              </w:rPr>
              <w:t>有良好的商业信誉和健全的财务会计制度。（投标人无需提供证明材料，只需在投标文件格式中填写宝丰县政府采购供应商信用承诺函)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w:t>
            </w:r>
            <w:r>
              <w:rPr>
                <w:rFonts w:hint="eastAsia" w:ascii="宋体" w:hAnsi="宋体" w:cs="宋体"/>
                <w:bCs/>
                <w:color w:val="000000" w:themeColor="text1"/>
                <w14:textFill>
                  <w14:solidFill>
                    <w14:schemeClr w14:val="tx1"/>
                  </w14:solidFill>
                </w14:textFill>
              </w:rPr>
              <w:t>投标人需具有履行合同所必需的设备和专业技术能力。（投标人无需提供证明材料，只需在投标文件格式中填写宝丰县政府采购供应商信用承诺函)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3.9、投标人</w:t>
            </w:r>
            <w:r>
              <w:rPr>
                <w:rFonts w:hint="eastAsia" w:ascii="宋体" w:hAnsi="宋体" w:cs="宋体"/>
                <w:bCs/>
                <w:color w:val="000000" w:themeColor="text1"/>
                <w14:textFill>
                  <w14:solidFill>
                    <w14:schemeClr w14:val="tx1"/>
                  </w14:solidFill>
                </w14:textFill>
              </w:rPr>
              <w:t>需具</w:t>
            </w:r>
            <w:r>
              <w:rPr>
                <w:rFonts w:hint="eastAsia" w:ascii="宋体" w:hAnsi="宋体"/>
                <w:color w:val="000000" w:themeColor="text1"/>
                <w14:textFill>
                  <w14:solidFill>
                    <w14:schemeClr w14:val="tx1"/>
                  </w14:solidFill>
                </w14:textFill>
              </w:rPr>
              <w:t>有依法缴纳税收和社会保障资金的良好记录。（投标人无需提供证明材料，只需在投标文件格式中填写宝丰县政府采购供应商信用承诺函)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3.10、投标人参加政府采购活动近三年内，在经营活动中没有重大违法记录。</w:t>
            </w:r>
            <w:r>
              <w:rPr>
                <w:rFonts w:hint="eastAsia"/>
                <w:color w:val="000000" w:themeColor="text1"/>
                <w:shd w:val="clear" w:color="auto" w:fill="FFFFFF"/>
                <w14:textFill>
                  <w14:solidFill>
                    <w14:schemeClr w14:val="tx1"/>
                  </w14:solidFill>
                </w14:textFill>
              </w:rPr>
              <w:t>（投标人无需提供证明材料，只需在投标文件格式中填写宝丰县政府采购供应商信用承诺函)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其他要求：（投标人出具书面声明，格式自拟）：（1）企业没有处于被责令停业、投标资格被取消，财产没有被接管、冻结、破产状态；（2）近三年来在经营活动中没有骗取中标和严重违约及重大质量问题；（3）未存在被有关部门暂停投标资格并在暂停期内；（4）投标人未被列入失信被执行人、重大税收违法失信主体、政府采购严重违法失信行为记录名单；（5）单位负责人为同一人或者存在直接控股、管理关系的不同投标人，不得参加同一合同项下的政府采购活动（以“国家企业信用信息公示系统”查询为准，需包含公司基本信息、股东信息及股权变更信息等内容）</w:t>
            </w:r>
          </w:p>
          <w:p>
            <w:pPr>
              <w:kinsoku w:val="0"/>
              <w:overflowPunct w:val="0"/>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3.8、投标企业提供的所有资料经核查后出现任何虚假资料的，直接取消其投标资格。（提供书面承诺）</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3.9、本项目资格审查方式：资格后审。</w:t>
            </w:r>
          </w:p>
          <w:p>
            <w:pPr>
              <w:kinsoku w:val="0"/>
              <w:overflowPunct w:val="0"/>
              <w:autoSpaceDE w:val="0"/>
              <w:autoSpaceDN w:val="0"/>
              <w:adjustRightInd w:val="0"/>
              <w:snapToGrid w:val="0"/>
              <w:spacing w:line="360" w:lineRule="auto"/>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注：如投标单位为新成立企业，可提供注册后的相关证明材料。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是否接受联合体投标</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踏勘现场</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投标预备会</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投标人提出问题的截止时间</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投标截止日期10日前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1.10.3</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招标人澄清的时间</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投标截止日期15日前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  包</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  离</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构成招标文件的其他材料</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答疑、招标文件补充材料等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投标人要求澄清招标文件的截止时间</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投标截止日期10日前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投标截止时间</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2023年</w:t>
            </w:r>
            <w:r>
              <w:rPr>
                <w:rFonts w:hint="eastAsia" w:ascii="宋体" w:hAnsi="宋体"/>
                <w:color w:val="000000" w:themeColor="text1"/>
                <w:lang w:val="en-US" w:eastAsia="zh-CN"/>
                <w14:textFill>
                  <w14:solidFill>
                    <w14:schemeClr w14:val="tx1"/>
                  </w14:solidFill>
                </w14:textFill>
              </w:rPr>
              <w:t>12</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07</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val="en-US" w:eastAsia="zh-CN"/>
                <w14:textFill>
                  <w14:solidFill>
                    <w14:schemeClr w14:val="tx1"/>
                  </w14:solidFill>
                </w14:textFill>
              </w:rPr>
              <w:t>09</w:t>
            </w:r>
            <w:r>
              <w:rPr>
                <w:rFonts w:hint="eastAsia" w:ascii="宋体" w:hAnsi="宋体"/>
                <w:color w:val="000000" w:themeColor="text1"/>
                <w14:textFill>
                  <w14:solidFill>
                    <w14:schemeClr w14:val="tx1"/>
                  </w14:solidFill>
                </w14:textFill>
              </w:rPr>
              <w:t>时</w:t>
            </w:r>
            <w:r>
              <w:rPr>
                <w:rFonts w:hint="eastAsia" w:ascii="宋体" w:hAnsi="宋体"/>
                <w:color w:val="000000" w:themeColor="text1"/>
                <w:lang w:val="en-US" w:eastAsia="zh-CN"/>
                <w14:textFill>
                  <w14:solidFill>
                    <w14:schemeClr w14:val="tx1"/>
                  </w14:solidFill>
                </w14:textFill>
              </w:rPr>
              <w:t>30</w:t>
            </w:r>
            <w:r>
              <w:rPr>
                <w:rFonts w:hint="eastAsia" w:ascii="宋体" w:hAnsi="宋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构成投标文件的其他材料</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招标文件要求提供其它资料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投标有效期</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90  </w:t>
            </w:r>
            <w:r>
              <w:rPr>
                <w:rFonts w:hint="eastAsia" w:ascii="宋体" w:hAnsi="宋体"/>
                <w:color w:val="000000" w:themeColor="text1"/>
                <w14:textFill>
                  <w14:solidFill>
                    <w14:schemeClr w14:val="tx1"/>
                  </w14:solidFill>
                </w14:textFill>
              </w:rPr>
              <w:t>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投标保证金</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一、投标保证金的金额：陆万元整（￥60000.00）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二、本项目的投标保证金可以采用投标保函或现金缴纳投标保证金的方式；现金缴纳投标保证金分为：银行汇款的方式。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1、银行汇款：投标保证金必须从投标人基本账户转入下 列保证金专用账户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收款单位：宝丰县公共资源交易中心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账号：2624 2927 7977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开户行：中国银行宝丰支行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 投标人的投标保证金必须通过投标人基本账户以转 账或电汇的形式缴纳。账户必须是已加入平顶山市公共 资源交易投标人或投标人库中录入的账户(不支持结算 卡支付)。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 投标人缴纳保证金后，应在规定的缴纳截止时间前 通过宝丰县公共资源交易中心交易系统将保证金成功绑定至本投标项目。具体操作请查看以下链接。 链接地址：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"http://www.bfggzy.com/ggtz/19710.jhtml"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http://www.bfggzy.com/ggtz/19710.jhtml</w:t>
            </w:r>
            <w:r>
              <w:rPr>
                <w:rFonts w:hint="eastAsia"/>
                <w:color w:val="000000" w:themeColor="text1"/>
                <w14:textFill>
                  <w14:solidFill>
                    <w14:schemeClr w14:val="tx1"/>
                  </w14:solidFill>
                </w14:textFill>
              </w:rPr>
              <w:fldChar w:fldCharType="end"/>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1.3.其他事项：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1.3.1 投标人应仔细阅读操作手册，在要求的截止时间 前完成投标保证金的缴纳和绑定工作，并充分考虑人为 操作和银行异地跨行转账到账的时间等因素，因投标人 操作不当或银行到账时间等问题造成的无法投标等一切 后果，由投标人自行承担。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1.3.2 投标人少交错交保证金属无效缴纳。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1.3.3 </w:t>
            </w:r>
            <w:r>
              <w:rPr>
                <w:rFonts w:hint="eastAsia" w:ascii="宋体" w:hAnsi="宋体"/>
                <w:b/>
                <w:color w:val="000000" w:themeColor="text1"/>
                <w14:textFill>
                  <w14:solidFill>
                    <w14:schemeClr w14:val="tx1"/>
                  </w14:solidFill>
                </w14:textFill>
              </w:rPr>
              <w:t>规定投标保证金到账截止时间为开标前一日 24 时。 (超时到账视为未交保证金，取消报名资格)</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1.3.4 废标项目重新招标时，必须按修改后的招标文件 重新缴纳保证金，原缴纳保证金及时退还。 </w:t>
            </w:r>
          </w:p>
          <w:p>
            <w:pPr>
              <w:kinsoku w:val="0"/>
              <w:overflowPunct w:val="0"/>
              <w:autoSpaceDE w:val="0"/>
              <w:autoSpaceDN w:val="0"/>
              <w:adjustRightInd w:val="0"/>
              <w:snapToGrid w:val="0"/>
              <w:spacing w:line="360" w:lineRule="auto"/>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2、采用投标保函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3、2.1.投标保函开具时间及方式：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（1）开具截至时间：开标前一日24点前，（超时到账视为未交保证金，取消投标资格）。</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 开 具 方 式 ： 在 宝 丰 县 公 共 资 源 交 易 中 心 （http://www.bfggzy.com/）对应项目公告下点击“我 要投标”进入投标管理页面，选择“开具投标保函”。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2.2.银行汇款缴纳时间及方式：</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（1）交纳及到账时间：开标前一日24点前，（超时到账视为未交保证金，取消投标资格）。 </w:t>
            </w:r>
          </w:p>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获 取 方 式 ： 在 宝 丰 县 公 共 资 源 交 易 中 心 （http://www.bfggzy.com/）对应项目公告下点击“我 要投标”进入投标管理页面，选择“保证金账号”。（保 证金账户由银行账号池提供，且每个标段每个投标人获 取的账号均不会相同，保证金递交须由投标人的基本账 户汇出，若出现多个投标人保证金交至同一账号或多个 保证金由同已基本账号转出均按无效处理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近年财务状况的年份要求</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1</w:t>
            </w:r>
            <w:r>
              <w:rPr>
                <w:rFonts w:hint="eastAsia" w:cs="Times New Roman"/>
                <w:color w:val="000000" w:themeColor="text1"/>
                <w14:textFill>
                  <w14:solidFill>
                    <w14:schemeClr w14:val="tx1"/>
                  </w14:solidFill>
                </w14:textFill>
              </w:rPr>
              <w:t>年度（如投标单位为新成立企业，提供自注册后的企业财务报表）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3.5.3</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近年发生的诉讼及仲裁情况的年份要求</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是否允许递交备选投标方案</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3.7.3</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签字和（或）盖章要求</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（1）电子投标文件：所有要求投标人加盖公章的地方都 应用投标人单位的 CA 密匙盖电子印章；所有要求法定 代表人签字或盖章的地方都应用法定代表人的CA密匙盖 电子签字印章。</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（2）已标价工程量清单逐页加盖单位 CA 密匙盖电子印章。</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（3）电子化投标文件具体制作教材请投标人通过CA证书登录平顶山市公共资源电子化交易系统在右上角“组建下载”中查看。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电子投标文件的上传</w:t>
            </w:r>
          </w:p>
        </w:tc>
        <w:tc>
          <w:tcPr>
            <w:tcW w:w="6177" w:type="dxa"/>
            <w:tcBorders>
              <w:top w:val="single" w:color="auto" w:sz="4" w:space="0"/>
              <w:left w:val="nil"/>
              <w:bottom w:val="single" w:color="auto" w:sz="4" w:space="0"/>
              <w:right w:val="single" w:color="auto" w:sz="4" w:space="0"/>
            </w:tcBorders>
            <w:vAlign w:val="center"/>
          </w:tcPr>
          <w:p>
            <w:pPr>
              <w:pStyle w:val="33"/>
              <w:widowControl w:val="0"/>
              <w:kinsoku w:val="0"/>
              <w:overflowPunct w:val="0"/>
              <w:autoSpaceDE w:val="0"/>
              <w:autoSpaceDN w:val="0"/>
              <w:adjustRightInd w:val="0"/>
              <w:snapToGrid w:val="0"/>
              <w:spacing w:before="0" w:beforeAutospacing="0" w:after="0" w:afterAutospacing="0" w:line="360" w:lineRule="auto"/>
              <w:rPr>
                <w:rFonts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加密电子投标文件应在招标文件规定的投标截止时间（开标时间）之前成功提交至《全国公共资源交易平台（河南省•宝丰县）》。逾期到达交易系统的电子投标文件视为放弃本次投标。投标人应充分考虑并预留技术处理和上传数据所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开标时间和地点</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left"/>
              <w:rPr>
                <w:rFonts w:ascii="宋体" w:hAnsi="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时间</w:t>
            </w:r>
            <w:r>
              <w:rPr>
                <w:rFonts w:hint="eastAsia"/>
                <w:color w:val="000000" w:themeColor="text1"/>
                <w14:textFill>
                  <w14:solidFill>
                    <w14:schemeClr w14:val="tx1"/>
                  </w14:solidFill>
                </w14:textFill>
              </w:rPr>
              <w:t>：2023年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07</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分</w:t>
            </w:r>
          </w:p>
          <w:p>
            <w:pPr>
              <w:kinsoku w:val="0"/>
              <w:overflowPunct w:val="0"/>
              <w:autoSpaceDE w:val="0"/>
              <w:autoSpaceDN w:val="0"/>
              <w:adjustRightInd w:val="0"/>
              <w:snapToGrid w:val="0"/>
              <w:spacing w:line="360" w:lineRule="auto"/>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开标地点</w:t>
            </w:r>
            <w:r>
              <w:rPr>
                <w:rFonts w:hint="eastAsia" w:ascii="宋体" w:hAnsi="宋体"/>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宝丰县公共资源交易中心网上开标大厅。</w:t>
            </w:r>
          </w:p>
          <w:p>
            <w:pPr>
              <w:kinsoku w:val="0"/>
              <w:overflowPunct w:val="0"/>
              <w:autoSpaceDE w:val="0"/>
              <w:autoSpaceDN w:val="0"/>
              <w:adjustRightInd w:val="0"/>
              <w:snapToGrid w:val="0"/>
              <w:spacing w:line="360" w:lineRule="auto"/>
              <w:jc w:val="left"/>
              <w:rPr>
                <w:rFonts w:cs="Times New Roman"/>
                <w:color w:val="000000" w:themeColor="text1"/>
                <w14:textFill>
                  <w14:solidFill>
                    <w14:schemeClr w14:val="tx1"/>
                  </w14:solidFill>
                </w14:textFill>
              </w:rPr>
            </w:pPr>
            <w:r>
              <w:rPr>
                <w:rFonts w:hint="eastAsia" w:ascii="宋体" w:hAnsi="宋体"/>
                <w:b/>
                <w:color w:val="000000" w:themeColor="text1"/>
                <w:kern w:val="0"/>
                <w14:textFill>
                  <w14:solidFill>
                    <w14:schemeClr w14:val="tx1"/>
                  </w14:solidFill>
                </w14:textFill>
              </w:rPr>
              <w:t>全面实行在线“不见面”开标，投标人远程在线解密投标文件，不再到开标现场，投标人开标前应仔细阅读《“不见面”开标注意事项及操作流程》。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开标程序</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 xml:space="preserve">（1）投标人使用本单位 CA 数字证书远程进行解密。 </w:t>
            </w:r>
          </w:p>
          <w:p>
            <w:pPr>
              <w:kinsoku w:val="0"/>
              <w:overflowPunct w:val="0"/>
              <w:autoSpaceDE w:val="0"/>
              <w:autoSpaceDN w:val="0"/>
              <w:adjustRightInd w:val="0"/>
              <w:snapToGrid w:val="0"/>
              <w:spacing w:line="360" w:lineRule="auto"/>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 xml:space="preserve">（2）由宝丰县电子招投标系统电子唱标并向所有投标人公示。 </w:t>
            </w:r>
          </w:p>
          <w:p>
            <w:pPr>
              <w:kinsoku w:val="0"/>
              <w:overflowPunct w:val="0"/>
              <w:autoSpaceDE w:val="0"/>
              <w:autoSpaceDN w:val="0"/>
              <w:adjustRightInd w:val="0"/>
              <w:snapToGrid w:val="0"/>
              <w:spacing w:line="360" w:lineRule="auto"/>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（3）在宝丰县电子招投标系统公开抽取 K 值。</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kern w:val="0"/>
                <w14:textFill>
                  <w14:solidFill>
                    <w14:schemeClr w14:val="tx1"/>
                  </w14:solidFill>
                </w14:textFill>
              </w:rPr>
              <w:t>全面实行在线“不见面”开标，投标人远程在线解密投标文件，不再到开标现场，投标人开标前应仔细阅读《“不见面”开标注意事项及操作流程》。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评标委员会的组建</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评标委员会构成：5，其中招标人代表 1 人，技术、经济 类专家 4 人，其中技术、经济等方面的专家不得少于成员总数的三分之二，经济专家不得少于成员总数的五分之二。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技术经济专家确定方式：开标前由招标人在宝丰县公共资源交易中心从河南省综合评标专家库中随机抽取。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是否授权评标委员会确定中标人</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否，推荐的中标候选人数：1-3 名(如果有特殊情况，按实际情况推荐)。 </w:t>
            </w:r>
          </w:p>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依法必须进行招标的项目，招标人应当确定排名第一的中标候选人为中标人。排名第一的中标候选人放弃中标、 因不可抗力不能履行合同、不按照招标文件要求提交履 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w:t>
            </w:r>
          </w:p>
        </w:tc>
        <w:tc>
          <w:tcPr>
            <w:tcW w:w="2387"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履约担保及招标人工程款支付担保</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履约担保及招标人工程款支付担保的形式：保函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履约担保及招标人工程款支付担保的金额：中标合同价款的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29"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w:t>
            </w:r>
          </w:p>
        </w:tc>
        <w:tc>
          <w:tcPr>
            <w:tcW w:w="2410"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不良行为记录</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2410"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招标控制价</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详见投标人须知正文第 10.11.4 项； </w:t>
            </w:r>
          </w:p>
          <w:p>
            <w:pPr>
              <w:kinsoku w:val="0"/>
              <w:overflowPunct w:val="0"/>
              <w:autoSpaceDE w:val="0"/>
              <w:autoSpaceDN w:val="0"/>
              <w:adjustRightInd w:val="0"/>
              <w:snapToGrid w:val="0"/>
              <w:spacing w:line="360" w:lineRule="auto"/>
              <w:ind w:firstLine="411"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注：以上相关的不可竞争费用如有未列明的或不准的，请以 宝丰县公共资源招投标系统中上传的控制价及工程量清单为准。 </w:t>
            </w:r>
          </w:p>
          <w:p>
            <w:pPr>
              <w:kinsoku w:val="0"/>
              <w:overflowPunct w:val="0"/>
              <w:autoSpaceDE w:val="0"/>
              <w:autoSpaceDN w:val="0"/>
              <w:adjustRightInd w:val="0"/>
              <w:snapToGrid w:val="0"/>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招标控制价是招标人控制招标工程造价的最高限价，投 标人的投标总报价高于招标控制价总价的视为无效报价，其 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2410"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施工组织设计是否采用“暗标”评审方式</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10.4  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2410"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是否实行计算机辅助评标</w:t>
            </w:r>
          </w:p>
        </w:tc>
        <w:tc>
          <w:tcPr>
            <w:tcW w:w="61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是，投标人需按照招标文件及宝丰县电子招投标系统编制、制作、上传投标文件。计算机辅助评标方法见第三章“评标办法”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（1）在中标通知书发出前，招标人将中标候选人的情况在本招标项目招标公告发布的同一媒介和有形建筑市场／交易中心予以公示，公示期不少于3日历天。</w:t>
            </w:r>
          </w:p>
          <w:p>
            <w:pPr>
              <w:kinsoku w:val="0"/>
              <w:overflowPunct w:val="0"/>
              <w:autoSpaceDE w:val="0"/>
              <w:autoSpaceDN w:val="0"/>
              <w:adjustRightInd w:val="0"/>
              <w:snapToGrid w:val="0"/>
              <w:spacing w:line="360" w:lineRule="auto"/>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评标结果公示结束后，中标人应按照招标文件要求足额缴纳履约保证金并提供相关证明。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left="210" w:hanging="210" w:hanging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left="210" w:hanging="210" w:hanging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构成招标文件组成部分的“通用合同条款”、“专用合同条款”、“技术标准和要求”和“工程量清单”等章节中出现的措辞“发包人”和“承包人”，在招标投标阶段</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left="210" w:hanging="210" w:hanging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left="210" w:hanging="210" w:hanging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10.10解释权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  合同实质性条款承诺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10.11合同实质性条款承诺</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10.11.1 投标报价及招标控制价编制依据</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（1）本工程施工图设计及施工图纸所选定的有关图集；</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（2）招标人提供的招标文件的“修改”、“补充”、“答疑”；</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10.11.2 定额选用和费用计取：</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1）．建设单位提供的图纸和设计变更单；</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清单执行《建设工程工程量清单计价规范》（GB50500-2013）、《房屋建筑与装饰工程工程量计算规范》（GB50854-2013）；《通用安装工程工程量计算规范》（GB50856-2013）；《市政工程工程量计算规范》GB50857-2013；</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3）．定额执行《河南省房屋建筑与装饰工程预算定额》（HA01-31-2016）、《河南省通用安装工程预算定额》（HA02-31-2016）；《河南省市政工程预算定额》(HAA1-31-2016)及相关的配套文件等计价标准；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4）．相关费用动态调整执行豫建标定【2021】36号文第10期（2021年7-12月）价格指数；</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5）．增值税采用一般计税方法，税率9%计取；</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6）．安全文明施工费、规费、其他措施项目费（夜间施工增加费、二次搬运费、冬雨季施工增加费）按规定足额计取；</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7）．主要材料价格：参照《平顶山工程造价》2022年第3期计入，不足部分参考市场价。（不含增值税的“裸价”）</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10.11.3 本招标文件中未规定的项目，由招标人与中标人在签订施工承包合同时进行约定或按发生时的实际情况由招标人代表和监理工程师共同签字认可。</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10.11.4</w:t>
            </w:r>
            <w:r>
              <w:rPr>
                <w:rFonts w:hint="eastAsia" w:ascii="宋体" w:hAnsi="宋体"/>
                <w:b/>
                <w:bCs/>
                <w:color w:val="000000" w:themeColor="text1"/>
                <w:kern w:val="0"/>
                <w14:textFill>
                  <w14:solidFill>
                    <w14:schemeClr w14:val="tx1"/>
                  </w14:solidFill>
                </w14:textFill>
              </w:rPr>
              <w:t>、</w:t>
            </w:r>
            <w:r>
              <w:rPr>
                <w:rFonts w:hint="eastAsia" w:ascii="宋体" w:hAnsi="宋体"/>
                <w:b/>
                <w:bCs/>
                <w:color w:val="000000" w:themeColor="text1"/>
                <w14:textFill>
                  <w14:solidFill>
                    <w14:schemeClr w14:val="tx1"/>
                  </w14:solidFill>
                </w14:textFill>
              </w:rPr>
              <w:t>本项目招标控制价为：</w:t>
            </w:r>
          </w:p>
          <w:tbl>
            <w:tblPr>
              <w:tblStyle w:val="18"/>
              <w:tblW w:w="7612" w:type="dxa"/>
              <w:jc w:val="center"/>
              <w:tblLayout w:type="fixed"/>
              <w:tblCellMar>
                <w:top w:w="0" w:type="dxa"/>
                <w:left w:w="108" w:type="dxa"/>
                <w:bottom w:w="0" w:type="dxa"/>
                <w:right w:w="108" w:type="dxa"/>
              </w:tblCellMar>
            </w:tblPr>
            <w:tblGrid>
              <w:gridCol w:w="366"/>
              <w:gridCol w:w="513"/>
              <w:gridCol w:w="1276"/>
              <w:gridCol w:w="1276"/>
              <w:gridCol w:w="1531"/>
              <w:gridCol w:w="994"/>
              <w:gridCol w:w="870"/>
              <w:gridCol w:w="786"/>
            </w:tblGrid>
            <w:tr>
              <w:tblPrEx>
                <w:tblCellMar>
                  <w:top w:w="0" w:type="dxa"/>
                  <w:left w:w="108" w:type="dxa"/>
                  <w:bottom w:w="0" w:type="dxa"/>
                  <w:right w:w="108" w:type="dxa"/>
                </w:tblCellMar>
              </w:tblPrEx>
              <w:trPr>
                <w:trHeight w:val="264" w:hRule="atLeast"/>
                <w:jc w:val="center"/>
              </w:trPr>
              <w:tc>
                <w:tcPr>
                  <w:tcW w:w="366"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序号</w:t>
                  </w:r>
                </w:p>
              </w:tc>
              <w:tc>
                <w:tcPr>
                  <w:tcW w:w="513" w:type="dxa"/>
                  <w:vMerge w:val="restart"/>
                  <w:tcBorders>
                    <w:top w:val="single" w:color="auto" w:sz="4" w:space="0"/>
                    <w:left w:val="nil"/>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标段</w:t>
                  </w:r>
                </w:p>
              </w:tc>
              <w:tc>
                <w:tcPr>
                  <w:tcW w:w="1276" w:type="dxa"/>
                  <w:vMerge w:val="restart"/>
                  <w:tcBorders>
                    <w:top w:val="single" w:color="auto" w:sz="4" w:space="0"/>
                    <w:left w:val="nil"/>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招标控制价（元）</w:t>
                  </w:r>
                </w:p>
              </w:tc>
              <w:tc>
                <w:tcPr>
                  <w:tcW w:w="545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其中</w:t>
                  </w:r>
                </w:p>
              </w:tc>
            </w:tr>
            <w:tr>
              <w:tblPrEx>
                <w:tblCellMar>
                  <w:top w:w="0" w:type="dxa"/>
                  <w:left w:w="108" w:type="dxa"/>
                  <w:bottom w:w="0" w:type="dxa"/>
                  <w:right w:w="108" w:type="dxa"/>
                </w:tblCellMar>
              </w:tblPrEx>
              <w:trPr>
                <w:trHeight w:val="1323" w:hRule="atLeast"/>
                <w:jc w:val="center"/>
              </w:trPr>
              <w:tc>
                <w:tcPr>
                  <w:tcW w:w="366" w:type="dxa"/>
                  <w:vMerge w:val="continue"/>
                  <w:tcBorders>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p>
              </w:tc>
              <w:tc>
                <w:tcPr>
                  <w:tcW w:w="513" w:type="dxa"/>
                  <w:vMerge w:val="continue"/>
                  <w:tcBorders>
                    <w:left w:val="nil"/>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p>
              </w:tc>
              <w:tc>
                <w:tcPr>
                  <w:tcW w:w="1276" w:type="dxa"/>
                  <w:vMerge w:val="continue"/>
                  <w:tcBorders>
                    <w:left w:val="nil"/>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安全文明施工措施费（不含税）（元）</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措施项目费</w:t>
                  </w:r>
                </w:p>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（不含安全文明施工措施费）（不含税）（元）</w:t>
                  </w:r>
                </w:p>
              </w:tc>
              <w:tc>
                <w:tcPr>
                  <w:tcW w:w="9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暂列金额（不含税）（元）</w:t>
                  </w:r>
                </w:p>
              </w:tc>
              <w:tc>
                <w:tcPr>
                  <w:tcW w:w="8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规费（不含税）（元）</w:t>
                  </w:r>
                </w:p>
              </w:tc>
              <w:tc>
                <w:tcPr>
                  <w:tcW w:w="78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增值税（元）</w:t>
                  </w:r>
                </w:p>
              </w:tc>
            </w:tr>
            <w:tr>
              <w:tblPrEx>
                <w:tblCellMar>
                  <w:top w:w="0" w:type="dxa"/>
                  <w:left w:w="108" w:type="dxa"/>
                  <w:bottom w:w="0" w:type="dxa"/>
                  <w:right w:w="108" w:type="dxa"/>
                </w:tblCellMar>
              </w:tblPrEx>
              <w:trPr>
                <w:trHeight w:val="361" w:hRule="atLeast"/>
                <w:jc w:val="center"/>
              </w:trPr>
              <w:tc>
                <w:tcPr>
                  <w:tcW w:w="366" w:type="dxa"/>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w:t>
                  </w:r>
                </w:p>
              </w:tc>
              <w:tc>
                <w:tcPr>
                  <w:tcW w:w="513"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第一标段</w:t>
                  </w:r>
                </w:p>
              </w:tc>
              <w:tc>
                <w:tcPr>
                  <w:tcW w:w="1276" w:type="dxa"/>
                  <w:tcBorders>
                    <w:top w:val="nil"/>
                    <w:left w:val="nil"/>
                    <w:bottom w:val="single" w:color="auto" w:sz="4" w:space="0"/>
                    <w:right w:val="single" w:color="auto" w:sz="4" w:space="0"/>
                  </w:tcBorders>
                  <w:shd w:val="clear" w:color="auto" w:fill="FFFFFF"/>
                  <w:vAlign w:val="center"/>
                </w:tcPr>
                <w:p>
                  <w:pPr>
                    <w:jc w:val="center"/>
                    <w:rPr>
                      <w:rFonts w:ascii="仿宋" w:hAnsi="仿宋" w:eastAsia="仿宋" w:cs="宋体"/>
                      <w:color w:val="000000" w:themeColor="text1"/>
                      <w:sz w:val="22"/>
                      <w:szCs w:val="22"/>
                      <w14:textFill>
                        <w14:solidFill>
                          <w14:schemeClr w14:val="tx1"/>
                        </w14:solidFill>
                      </w14:textFill>
                    </w:rPr>
                  </w:pPr>
                  <w:r>
                    <w:rPr>
                      <w:rFonts w:hint="eastAsia" w:ascii="宋体" w:hAnsi="宋体"/>
                      <w:color w:val="000000" w:themeColor="text1"/>
                      <w:kern w:val="0"/>
                      <w14:textFill>
                        <w14:solidFill>
                          <w14:schemeClr w14:val="tx1"/>
                        </w14:solidFill>
                      </w14:textFill>
                    </w:rPr>
                    <w:t>6563523.15</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131477.54</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44453.37</w:t>
                  </w:r>
                </w:p>
              </w:tc>
              <w:tc>
                <w:tcPr>
                  <w:tcW w:w="9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0</w:t>
                  </w:r>
                </w:p>
              </w:tc>
              <w:tc>
                <w:tcPr>
                  <w:tcW w:w="870"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119797.43</w:t>
                  </w:r>
                </w:p>
              </w:tc>
              <w:tc>
                <w:tcPr>
                  <w:tcW w:w="786" w:type="dxa"/>
                  <w:tcBorders>
                    <w:top w:val="nil"/>
                    <w:left w:val="nil"/>
                    <w:bottom w:val="single" w:color="auto" w:sz="4" w:space="0"/>
                    <w:right w:val="single" w:color="auto" w:sz="4" w:space="0"/>
                  </w:tcBorders>
                  <w:shd w:val="clear" w:color="auto" w:fill="FFFFFF"/>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541942.28</w:t>
                  </w:r>
                </w:p>
              </w:tc>
            </w:tr>
          </w:tbl>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投标人投报的以上内容高于招标控制价中相应费用的其投标将被否决（本条款不需投标人承诺）。</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10.11.5  </w:t>
            </w:r>
            <w:r>
              <w:rPr>
                <w:rFonts w:hint="eastAsia" w:ascii="宋体" w:hAnsi="宋体"/>
                <w:color w:val="000000" w:themeColor="text1"/>
                <w14:textFill>
                  <w14:solidFill>
                    <w14:schemeClr w14:val="tx1"/>
                  </w14:solidFill>
                </w14:textFill>
              </w:rPr>
              <w:t>工期：45个日历天。</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10.11.6  </w:t>
            </w:r>
            <w:r>
              <w:rPr>
                <w:rFonts w:hint="eastAsia" w:ascii="宋体" w:hAnsi="宋体"/>
                <w:color w:val="000000" w:themeColor="text1"/>
                <w14:textFill>
                  <w14:solidFill>
                    <w14:schemeClr w14:val="tx1"/>
                  </w14:solidFill>
                </w14:textFill>
              </w:rPr>
              <w:t>工程质量：合格，符合国家、行业现行的各项相关标准和规范。若因质量达不到合格标准，中标人应无条件返修并承担由此给招标人造成的一切损失。</w:t>
            </w:r>
          </w:p>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10.11.7</w:t>
            </w:r>
            <w:r>
              <w:rPr>
                <w:rFonts w:hint="eastAsia" w:ascii="宋体" w:hAnsi="宋体"/>
                <w:color w:val="000000" w:themeColor="text1"/>
                <w14:textFill>
                  <w14:solidFill>
                    <w14:schemeClr w14:val="tx1"/>
                  </w14:solidFill>
                </w14:textFill>
              </w:rPr>
              <w:t>工程竣工结算价：</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⑴本工程竣工结算价采用合同价+签证变更价合同形式；</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⑵中标后发生的政策性变化根据相关定额及配套综合解释等规定调整。人工费、管理费、机械费调整采用施工同期价格指数。</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⑶施工过程中按设计单位出具的经招标人、监理单位认可的设计变更通知单增减工程量，当工程量清单项目工程量的变化幅度在15%以内时，其综合单价不做调整，执行原有综合单价；当工程量清单项目工程量的变化幅度在15%以外时，其综合单价以及对应的措施费（如有）均应作调整。调整的办法是由承包人对增加的工程量或减少后剩余的工程量提出的综合单价，经发包人确认后调整。本项目实施过程中若有变更，变更部分按投标价总优惠率执行。</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10.11.8</w:t>
            </w:r>
            <w:r>
              <w:rPr>
                <w:rFonts w:hint="eastAsia" w:ascii="宋体" w:hAnsi="宋体"/>
                <w:color w:val="000000" w:themeColor="text1"/>
                <w14:textFill>
                  <w14:solidFill>
                    <w14:schemeClr w14:val="tx1"/>
                  </w14:solidFill>
                </w14:textFill>
              </w:rPr>
              <w:t>工程款支付办法：</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10.11.8.1项目进场开工后，发包人向承包人支付合同金额的30％的预付款。</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10.11.8.2进度款：根据实际工程进度付款，承包方向发包方报送工程进度报表，经监理工程师、项目业主验收合格并签字认可后，按已完成工程价款的80%付款。</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10.11.8.3项目全部竣工，相关部门验收合格后，支付至工程决算的97%。余3%作为质量保证金，待工程竣工验收合格一年后无息付清。工程竣工后，施工单位应向业主提供竣工归档资料，并整理成册，竣工图纸一式三份。并确保竣工资料真实、准确、齐全、完整。工程款支付以甲乙双方签订的合同为准。</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10.11.9</w:t>
            </w:r>
            <w:r>
              <w:rPr>
                <w:rFonts w:hint="eastAsia" w:ascii="宋体" w:hAnsi="宋体"/>
                <w:color w:val="000000" w:themeColor="text1"/>
                <w14:textFill>
                  <w14:solidFill>
                    <w14:schemeClr w14:val="tx1"/>
                  </w14:solidFill>
                </w14:textFill>
              </w:rPr>
              <w:t>材料供应办法</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⑴本次招标工程施工过程中所需材料均由中标人自行采购、运输、保管，材料采购前其质量、价格必须经招标人认可，结算时以招标人批准日的价格办理工程结算，中标人并按有关法律法规、规范、标准等有关规定向工程监理单位提供产品合格证明、检验报告等并对材料质量负责。</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⑵材料在使用前，应按要求进行检验或试验，试验合格,并经招标人和监理单位认可后用于本工程。不合格的不得使用，由此发生的费用由中标人承担。</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⑶中标人使用的材料不符合设计或有关标准要求时，中标人应负责修复、拆除或重新采购，并承担由此发生的费用，由此延误的工期不予顺延。</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⑷中标人采购的材料与设计或标准不符时，中标人应按监理方和招标人要求的时间运出施工现场，重新采购符合要求的产品，并承担由此发生的费用，由此延误的工期不予顺延。</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⑸中标人采购的材料均应</w:t>
            </w:r>
            <w:r>
              <w:rPr>
                <w:rFonts w:hint="eastAsia" w:ascii="宋体" w:hAnsi="宋体"/>
                <w:color w:val="000000" w:themeColor="text1"/>
                <w:kern w:val="0"/>
                <w14:textFill>
                  <w14:solidFill>
                    <w14:schemeClr w14:val="tx1"/>
                  </w14:solidFill>
                </w14:textFill>
              </w:rPr>
              <w:t>为国家正规大型生产厂家的合格产品。</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10.11.10</w:t>
            </w:r>
            <w:r>
              <w:rPr>
                <w:rFonts w:hint="eastAsia" w:ascii="宋体" w:hAnsi="宋体"/>
                <w:color w:val="000000" w:themeColor="text1"/>
                <w14:textFill>
                  <w14:solidFill>
                    <w14:schemeClr w14:val="tx1"/>
                  </w14:solidFill>
                </w14:textFill>
              </w:rPr>
              <w:t>其它：</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⑴ 投标人一旦中标，应保证按招标人的要求，迅速进场组织施工，且必须服从招标人的统一指挥与协调管理，相互配合做到文明施工。</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⑵ 施工单位对进场的所有工人应进行全面教育,对施工现场内的成品必须爱护,若有损坏,照价赔偿。</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⑶ 对投入本工程使用的材料必须满足消防要求和环保要求。</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⑷ 中标人必须自行承担施工责任，不得转包或非法分包；否则应承担违约责任。若违约,招标人有权要求中标人无条件撤出,不支付已完工程款,并承担工程总价5%的违约金。</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⑸ 施工时项目经理应与投标时的项目经理保持一致，若不一致招标人有权取消其中标资格。项目经理在工程施工过程中不得随意更换，项目经理每周至少在施工现场办公5天，每少在场一天扣500元，在竣工结算时扣除。对不称职者，招标人有权要求更换，投标人应承担由此造成的后果。</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10.11.11农民工工资保障金（以下内容应在投标文件中逐条承诺，否则评标委员会将否决其投标）</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根据平顶山市劳动和社会保障局、平顶山市建设委员会平劳社监察(2004)1号文件规定，在投标文件中必须对农民工工资保障金做出以下承诺，否则在评标时将实行“一票否决”，视为无效标。</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在中标后，中标人应按中标价的2％向有关部门足额缴纳农民工工资保障金。以担保方式办理，统一存放在有关部门。</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一旦承包的工程项目中出现拖欠农民工工资的情况，可由有关部门从该工资保障金中先予以划支。若此保障金以保函的形式办理的，在办理中标通知书前交于有关部门集中统一保管。</w:t>
            </w:r>
            <w:bookmarkStart w:id="0" w:name="_Toc5838"/>
            <w:bookmarkEnd w:id="0"/>
          </w:p>
          <w:p>
            <w:pPr>
              <w:kinsoku w:val="0"/>
              <w:overflowPunct w:val="0"/>
              <w:autoSpaceDE w:val="0"/>
              <w:autoSpaceDN w:val="0"/>
              <w:adjustRightInd w:val="0"/>
              <w:snapToGrid w:val="0"/>
              <w:spacing w:line="360" w:lineRule="auto"/>
              <w:ind w:right="2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10.11.12 建筑劳务实名制管理（</w:t>
            </w:r>
            <w:r>
              <w:rPr>
                <w:rFonts w:hint="eastAsia" w:ascii="宋体" w:hAnsi="宋体"/>
                <w:b/>
                <w:bCs/>
                <w:color w:val="000000" w:themeColor="text1"/>
                <w14:textFill>
                  <w14:solidFill>
                    <w14:schemeClr w14:val="tx1"/>
                  </w14:solidFill>
                </w14:textFill>
              </w:rPr>
              <w:t>以下内容应在投标文件中逐条承诺，否则评标委员会将否决其投标</w:t>
            </w:r>
            <w:r>
              <w:rPr>
                <w:rFonts w:hint="eastAsia" w:ascii="宋体" w:hAnsi="宋体"/>
                <w:b/>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依据豫建建【2018】16号文件及平建办【2018】12号《关于加强房屋建筑和市政基础设施工程建设领域劳务用工实名制管理的通知》规定，实行劳务用工实名制和人工费用与其工程款分账管理制度。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10.12农民工工资保障金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依据《建设领域农民工工资支付管理暂行办法》、《工资支付管理暂行规定》和河南省劳动和社会保障厅联合豫劳社监察[2003]19号文规定，参投企业在投标文件中必须对农民工工资保障金做出承诺：在中标后，按中标价的2%在中标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结果公示期结束后2个工作日内以支票、汇票、本票、基本户转账、现金等形式缴纳至有关部分；一旦承包的工程项目中出现拖欠农民工工资情况，可由行政主管部门从该保障金中预先划支。注：投标人需单独承诺此项内容，格式自拟，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否则其投标予以拒绝。</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标人不能按要求足额缴纳农民工工资保障金的，视为放弃中标，其投标保证金不予退还，给招标人造成的损失超过投标保证金数额的，中标人还应当对超过部分予以赔偿。招标人可按中标候选人顺序确定第二名（以此类推）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10.13建筑劳务实名制管理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p>
        </w:tc>
        <w:tc>
          <w:tcPr>
            <w:tcW w:w="8587"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依据豫建建【2018】16号文件及平建办【2018】12号《关于加强房屋建筑和市政基础设施工程建设领域劳务用工实名制管理的通知》规定，实行劳务用工实名制和人工费用与其工程款分账管理制度。</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注：投标人需单独承诺此项内容，格式自拟，否则其投标予以拒绝。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10.14招标代理服务费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16" w:type="dxa"/>
            <w:gridSpan w:val="5"/>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依据《河南省招标代理服务收费指导意见》豫招协【2023】002号文件的标准计取，由中标人在领取中标通知书同时以现金或转账方式支付。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10.15</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河南省政府采购合同融资政策告知函</w:t>
            </w:r>
          </w:p>
        </w:tc>
        <w:tc>
          <w:tcPr>
            <w:tcW w:w="694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河南省政府采购合同融资政策告知函</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各供应商：</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欢迎贵公司参与河南省政府采购活动！</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autoSpaceDE w:val="0"/>
              <w:autoSpaceDN w:val="0"/>
              <w:adjustRightInd w:val="0"/>
              <w:spacing w:line="360" w:lineRule="auto"/>
              <w:rPr>
                <w:rFonts w:ascii="宋体" w:hAnsi="宋体" w:cs="黑体"/>
                <w:color w:val="000000" w:themeColor="text1"/>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10.16</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宝丰县政府采购合同融资政策告知书</w:t>
            </w:r>
          </w:p>
        </w:tc>
        <w:tc>
          <w:tcPr>
            <w:tcW w:w="694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尊敬的政府采购供应商：您好！</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欢迎您参与宝丰县政府采购业务！感谢您对我县经济社会发展做出贡献！</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为进一步优化我县营商环境，切实缓解中小微企业融资难、融资贵的问题，2018年平顶山市财政局与平顶山银行签署战略合作协议，帮助在政府采购项目中中标的供应商解决融资问题，平顶山银行推出了用于借款人履行政府采购合同的“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目前，平顶山银行在我县政府采购合同融资工作已全面开展，如有意向享受我县政府采购合同融资政策，请拨打平顶山银行联系电话18603759553或到人民路中段鑫都财富广场平顶山银行人民路支行咨询办理。</w:t>
            </w:r>
          </w:p>
          <w:p>
            <w:pPr>
              <w:autoSpaceDE w:val="0"/>
              <w:autoSpaceDN w:val="0"/>
              <w:adjustRightInd w:val="0"/>
              <w:spacing w:line="360" w:lineRule="auto"/>
              <w:rPr>
                <w:rFonts w:ascii="宋体" w:hAnsi="宋体" w:cs="黑体"/>
                <w:color w:val="000000" w:themeColor="text1"/>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期待您一如既往支持我县政府采购工作！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10.17</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农行宝丰县支行“政采e贷”信贷产品</w:t>
            </w:r>
          </w:p>
        </w:tc>
        <w:tc>
          <w:tcPr>
            <w:tcW w:w="6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一、供应商准入标准</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1.公司成立1年（含）以上；</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2.近两年有政府采购中标记录且在河南省政府采购网备案。</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二、采购标的准入标准</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1.采购标的必须由县级（市、区）（含）以上政府负责采购；</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2.采购标的仅限于货物类和服务类采购合同，不包括工程类合同。</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三、融资要素</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1.授信依据。以近两年在河南省政府采购网备案的合同为授信依据，授信额度为年均合同金额的70%，最高额度不超过500万元。</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2.融资依据。以在河南省政府采购网备案的合同为融资依据，融资金额不超过备案合同总金额的90%。</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3.融资期限。最长不超过1年。</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4.贷款利率。采用固定利率，目前利率为3.85%。</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5.担保方式。信用放款，追加应收账款质押。以融资的采购合同未来可形成的应收账款，由经营行在人民银行动产融资统一登记公示系统进行应收账款质押登记。</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6.还款方式。一次性还本付息。</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联系电话：王行长15836974469 张经理15290758588</w:t>
            </w:r>
          </w:p>
          <w:p>
            <w:pPr>
              <w:autoSpaceDE w:val="0"/>
              <w:autoSpaceDN w:val="0"/>
              <w:adjustRightInd w:val="0"/>
              <w:spacing w:line="360" w:lineRule="auto"/>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曹经理15617360109</w:t>
            </w:r>
          </w:p>
        </w:tc>
      </w:tr>
    </w:tbl>
    <w:p>
      <w:pPr>
        <w:pStyle w:val="34"/>
        <w:keepLines w:val="0"/>
        <w:kinsoku w:val="0"/>
        <w:overflowPunct w:val="0"/>
        <w:autoSpaceDE w:val="0"/>
        <w:autoSpaceDN w:val="0"/>
        <w:adjustRightInd w:val="0"/>
        <w:snapToGrid w:val="0"/>
        <w:spacing w:line="360" w:lineRule="auto"/>
        <w:rPr>
          <w:rFonts w:ascii="宋体" w:hAnsi="宋体" w:eastAsia="宋体"/>
          <w:color w:val="000000" w:themeColor="text1"/>
          <w:sz w:val="21"/>
          <w:szCs w:val="21"/>
          <w:u w:val="none"/>
          <w14:textFill>
            <w14:solidFill>
              <w14:schemeClr w14:val="tx1"/>
            </w14:solidFill>
          </w14:textFill>
        </w:rPr>
      </w:pPr>
      <w:bookmarkStart w:id="1" w:name="_Toc28551"/>
      <w:bookmarkEnd w:id="1"/>
      <w:r>
        <w:rPr>
          <w:rFonts w:hint="eastAsia" w:ascii="宋体" w:hAnsi="宋体" w:eastAsia="宋体"/>
          <w:color w:val="000000" w:themeColor="text1"/>
          <w:sz w:val="21"/>
          <w:szCs w:val="21"/>
          <w:u w:val="none"/>
          <w14:textFill>
            <w14:solidFill>
              <w14:schemeClr w14:val="tx1"/>
            </w14:solidFill>
          </w14:textFill>
        </w:rPr>
        <w:t>1. 总则</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2" w:name="_Toc179632547"/>
      <w:bookmarkEnd w:id="2"/>
      <w:bookmarkStart w:id="3" w:name="_Toc144974498"/>
      <w:bookmarkEnd w:id="3"/>
      <w:bookmarkStart w:id="4" w:name="_Toc152045530"/>
      <w:bookmarkEnd w:id="4"/>
      <w:bookmarkStart w:id="5" w:name="_Toc152042306"/>
      <w:bookmarkEnd w:id="5"/>
      <w:bookmarkStart w:id="6" w:name="_Toc1544"/>
      <w:r>
        <w:rPr>
          <w:rFonts w:hint="eastAsia" w:ascii="宋体" w:hAnsi="宋体" w:eastAsia="宋体"/>
          <w:color w:val="000000" w:themeColor="text1"/>
          <w:sz w:val="21"/>
          <w:szCs w:val="21"/>
          <w:u w:val="none"/>
          <w14:textFill>
            <w14:solidFill>
              <w14:schemeClr w14:val="tx1"/>
            </w14:solidFill>
          </w14:textFill>
        </w:rPr>
        <w:t xml:space="preserve">1.1 </w:t>
      </w:r>
      <w:bookmarkEnd w:id="6"/>
      <w:r>
        <w:rPr>
          <w:rFonts w:hint="eastAsia" w:ascii="宋体" w:hAnsi="宋体" w:eastAsia="宋体"/>
          <w:color w:val="000000" w:themeColor="text1"/>
          <w:sz w:val="21"/>
          <w:szCs w:val="21"/>
          <w:u w:val="none"/>
          <w14:textFill>
            <w14:solidFill>
              <w14:schemeClr w14:val="tx1"/>
            </w14:solidFill>
          </w14:textFill>
        </w:rPr>
        <w:t>项目概况</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1.1.1根据《中华人民共和国招标投标法》等有关法律、法规和规章的规定，本招标项目已具备招标条件，现对本项目施工进行招标。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本项目招标代理机构：见投标人须知前附表。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建设地点及规模：见投标人须知前附表。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bookmarkStart w:id="7" w:name="_Toc179632548"/>
      <w:bookmarkEnd w:id="7"/>
      <w:bookmarkStart w:id="8" w:name="_Toc152042307"/>
      <w:bookmarkEnd w:id="8"/>
      <w:bookmarkStart w:id="9" w:name="_Toc152045531"/>
      <w:bookmarkEnd w:id="9"/>
      <w:bookmarkStart w:id="10" w:name="_Toc144974499"/>
      <w:bookmarkEnd w:id="10"/>
      <w:bookmarkStart w:id="11" w:name="_Toc27770"/>
      <w:r>
        <w:rPr>
          <w:rFonts w:hint="eastAsia" w:ascii="宋体" w:hAnsi="宋体"/>
          <w:color w:val="000000" w:themeColor="text1"/>
          <w14:textFill>
            <w14:solidFill>
              <w14:schemeClr w14:val="tx1"/>
            </w14:solidFill>
          </w14:textFill>
        </w:rPr>
        <w:t xml:space="preserve">1.2 </w:t>
      </w:r>
      <w:bookmarkEnd w:id="11"/>
      <w:r>
        <w:rPr>
          <w:rFonts w:hint="eastAsia" w:ascii="宋体" w:hAnsi="宋体"/>
          <w:color w:val="000000" w:themeColor="text1"/>
          <w14:textFill>
            <w14:solidFill>
              <w14:schemeClr w14:val="tx1"/>
            </w14:solidFill>
          </w14:textFill>
        </w:rPr>
        <w:t>资金来源和落实情况</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 本招标项目的资金来源：见投标人须知前附表。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 本招标项目的出资比例：见投标人须知前附表。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 本招标项目的资金落实情况：见投标人须知前附表。</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12" w:name="_Toc179632549"/>
      <w:bookmarkEnd w:id="12"/>
      <w:bookmarkStart w:id="13" w:name="_Toc152042308"/>
      <w:bookmarkEnd w:id="13"/>
      <w:bookmarkStart w:id="14" w:name="_Toc144974500"/>
      <w:bookmarkEnd w:id="14"/>
      <w:bookmarkStart w:id="15" w:name="_Toc152045532"/>
      <w:bookmarkEnd w:id="15"/>
      <w:bookmarkStart w:id="16" w:name="_Toc12277"/>
      <w:r>
        <w:rPr>
          <w:rFonts w:hint="eastAsia" w:ascii="宋体" w:hAnsi="宋体" w:eastAsia="宋体"/>
          <w:color w:val="000000" w:themeColor="text1"/>
          <w:sz w:val="21"/>
          <w:szCs w:val="21"/>
          <w:u w:val="none"/>
          <w14:textFill>
            <w14:solidFill>
              <w14:schemeClr w14:val="tx1"/>
            </w14:solidFill>
          </w14:textFill>
        </w:rPr>
        <w:t xml:space="preserve">1.3 </w:t>
      </w:r>
      <w:bookmarkEnd w:id="16"/>
      <w:r>
        <w:rPr>
          <w:rFonts w:hint="eastAsia" w:ascii="宋体" w:hAnsi="宋体" w:eastAsia="宋体"/>
          <w:color w:val="000000" w:themeColor="text1"/>
          <w:sz w:val="21"/>
          <w:szCs w:val="21"/>
          <w:u w:val="none"/>
          <w14:textFill>
            <w14:solidFill>
              <w14:schemeClr w14:val="tx1"/>
            </w14:solidFill>
          </w14:textFill>
        </w:rPr>
        <w:t>招标范围、计划工期和质量要求</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 本次招标范围：见投标人须知前附表。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 本招标项目的计划工期：见投标人须知前附表。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 本招标项目的质量要求：见投标人须知前附表。</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17" w:name="_Toc152045533"/>
      <w:bookmarkEnd w:id="17"/>
      <w:bookmarkStart w:id="18" w:name="_Toc179632550"/>
      <w:bookmarkEnd w:id="18"/>
      <w:bookmarkStart w:id="19" w:name="_Toc152042309"/>
      <w:bookmarkEnd w:id="19"/>
      <w:bookmarkStart w:id="20" w:name="_Toc144974501"/>
      <w:bookmarkEnd w:id="20"/>
      <w:bookmarkStart w:id="21" w:name="_Toc25349"/>
      <w:r>
        <w:rPr>
          <w:rFonts w:hint="eastAsia" w:ascii="宋体" w:hAnsi="宋体" w:eastAsia="宋体"/>
          <w:color w:val="000000" w:themeColor="text1"/>
          <w:sz w:val="21"/>
          <w:szCs w:val="21"/>
          <w:u w:val="none"/>
          <w14:textFill>
            <w14:solidFill>
              <w14:schemeClr w14:val="tx1"/>
            </w14:solidFill>
          </w14:textFill>
        </w:rPr>
        <w:t xml:space="preserve">1.4 </w:t>
      </w:r>
      <w:bookmarkEnd w:id="21"/>
      <w:r>
        <w:rPr>
          <w:rFonts w:hint="eastAsia" w:ascii="宋体" w:hAnsi="宋体" w:eastAsia="宋体"/>
          <w:color w:val="000000" w:themeColor="text1"/>
          <w:sz w:val="21"/>
          <w:szCs w:val="21"/>
          <w:u w:val="none"/>
          <w14:textFill>
            <w14:solidFill>
              <w14:schemeClr w14:val="tx1"/>
            </w14:solidFill>
          </w14:textFill>
        </w:rPr>
        <w:t xml:space="preserve">投标人资格要求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1.4.1投标人应具备承担本标段施工的资质条件、能力和信誉。</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(l）资质条件：见投标人须知前附表；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(2）财务要求：见投标人须知前附表；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(3）业绩要求：见投标人须知前附表；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(4）信誉要求：见投标人须知前附表；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(5）项目经理资格：见投标人须知前附表；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(6）其他要求：见投标人须知前附表。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1.4.2 投标人须知前附表规定接受联合体投标的，除应符合本章第1.4.1项和投标人须知前附表的要求外，还应遵守以下规定：</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(1）联合体各方应按招标文件提供的格式签订联合体协议书，明确联合体牵头人和各方权利义务；</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(2）由同一专业的单位组成的联合体，按照资质等级较低的单位确定资质等级；</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(3）联合体各方不得再以自己名义单独或参加其他联合体在同一标段中投标。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1.4.3 投标人不得存在下列情形之一</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(l）为招标人不具有独立法人资格的附属机构（单位）。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(2）为本工程前期准备提供设计或咨询服务的，但设计施工总承包的除外。</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(3）为本工程的监理人。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(4）为本工程的代建人。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(5）为本工程提供招标代理服务的。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(6）与本工程的监理人或代建人或招标代理机构同为一个法定代表人的。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(7）与本工程的监理人或代建人或招标代理机构相互控股或参股的。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(8）与本工程的监理人或代建人或招标代理机构相互任职或工作的。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(9）被责令停业的。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(10）被暂停或取消投标资格的。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(11）财产被接管或冻结的。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(12）在最近三年内有骗取中标或严重违约或重大工程质量问题的。</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22" w:name="_Toc179632552"/>
      <w:bookmarkEnd w:id="22"/>
      <w:bookmarkStart w:id="23" w:name="_Toc144974503"/>
      <w:bookmarkEnd w:id="23"/>
      <w:bookmarkStart w:id="24" w:name="_Toc152042311"/>
      <w:bookmarkEnd w:id="24"/>
      <w:bookmarkStart w:id="25" w:name="_Toc152045535"/>
      <w:bookmarkEnd w:id="25"/>
      <w:bookmarkStart w:id="26" w:name="_Toc27522"/>
      <w:r>
        <w:rPr>
          <w:rFonts w:hint="eastAsia" w:ascii="宋体" w:hAnsi="宋体" w:eastAsia="宋体"/>
          <w:color w:val="000000" w:themeColor="text1"/>
          <w:sz w:val="21"/>
          <w:szCs w:val="21"/>
          <w:u w:val="none"/>
          <w14:textFill>
            <w14:solidFill>
              <w14:schemeClr w14:val="tx1"/>
            </w14:solidFill>
          </w14:textFill>
        </w:rPr>
        <w:t xml:space="preserve">1.5 </w:t>
      </w:r>
      <w:bookmarkEnd w:id="26"/>
      <w:r>
        <w:rPr>
          <w:rFonts w:hint="eastAsia" w:ascii="宋体" w:hAnsi="宋体" w:eastAsia="宋体"/>
          <w:color w:val="000000" w:themeColor="text1"/>
          <w:sz w:val="21"/>
          <w:szCs w:val="21"/>
          <w:u w:val="none"/>
          <w14:textFill>
            <w14:solidFill>
              <w14:schemeClr w14:val="tx1"/>
            </w14:solidFill>
          </w14:textFill>
        </w:rPr>
        <w:t>费用承担</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27" w:name="_Toc152042312"/>
      <w:bookmarkEnd w:id="27"/>
      <w:bookmarkStart w:id="28" w:name="_Toc179632553"/>
      <w:bookmarkEnd w:id="28"/>
      <w:bookmarkStart w:id="29" w:name="_Toc152045536"/>
      <w:bookmarkEnd w:id="29"/>
      <w:bookmarkStart w:id="30" w:name="_Toc144974504"/>
      <w:bookmarkEnd w:id="30"/>
      <w:bookmarkStart w:id="31" w:name="_Toc24176"/>
      <w:r>
        <w:rPr>
          <w:rFonts w:hint="eastAsia" w:ascii="宋体" w:hAnsi="宋体" w:eastAsia="宋体"/>
          <w:color w:val="000000" w:themeColor="text1"/>
          <w:sz w:val="21"/>
          <w:szCs w:val="21"/>
          <w:u w:val="none"/>
          <w14:textFill>
            <w14:solidFill>
              <w14:schemeClr w14:val="tx1"/>
            </w14:solidFill>
          </w14:textFill>
        </w:rPr>
        <w:t xml:space="preserve">1.6 </w:t>
      </w:r>
      <w:bookmarkEnd w:id="31"/>
      <w:r>
        <w:rPr>
          <w:rFonts w:hint="eastAsia" w:ascii="宋体" w:hAnsi="宋体" w:eastAsia="宋体"/>
          <w:color w:val="000000" w:themeColor="text1"/>
          <w:sz w:val="21"/>
          <w:szCs w:val="21"/>
          <w:u w:val="none"/>
          <w14:textFill>
            <w14:solidFill>
              <w14:schemeClr w14:val="tx1"/>
            </w14:solidFill>
          </w14:textFill>
        </w:rPr>
        <w:t>保密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参与招标投标活动的各方应对招标文件和投标文件中的商业和技术等秘密保密，违者应对由此造成的后果承担法律责任。 </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32" w:name="_Toc152042313"/>
      <w:bookmarkEnd w:id="32"/>
      <w:bookmarkStart w:id="33" w:name="_Toc144974505"/>
      <w:bookmarkEnd w:id="33"/>
      <w:bookmarkStart w:id="34" w:name="_Toc152045537"/>
      <w:bookmarkEnd w:id="34"/>
      <w:bookmarkStart w:id="35" w:name="_Toc179632554"/>
      <w:bookmarkEnd w:id="35"/>
      <w:bookmarkStart w:id="36" w:name="_Toc19489"/>
      <w:r>
        <w:rPr>
          <w:rFonts w:hint="eastAsia" w:ascii="宋体" w:hAnsi="宋体" w:eastAsia="宋体"/>
          <w:color w:val="000000" w:themeColor="text1"/>
          <w:sz w:val="21"/>
          <w:szCs w:val="21"/>
          <w:u w:val="none"/>
          <w14:textFill>
            <w14:solidFill>
              <w14:schemeClr w14:val="tx1"/>
            </w14:solidFill>
          </w14:textFill>
        </w:rPr>
        <w:t xml:space="preserve">1.7 </w:t>
      </w:r>
      <w:bookmarkEnd w:id="36"/>
      <w:r>
        <w:rPr>
          <w:rFonts w:hint="eastAsia" w:ascii="宋体" w:hAnsi="宋体" w:eastAsia="宋体"/>
          <w:color w:val="000000" w:themeColor="text1"/>
          <w:sz w:val="21"/>
          <w:szCs w:val="21"/>
          <w:u w:val="none"/>
          <w14:textFill>
            <w14:solidFill>
              <w14:schemeClr w14:val="tx1"/>
            </w14:solidFill>
          </w14:textFill>
        </w:rPr>
        <w:t>语言文字</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除专用术语外，与招标投标有关的语言均使用中文。必要时专用术语应附有中文注释。</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37" w:name="_Toc144974506"/>
      <w:bookmarkEnd w:id="37"/>
      <w:bookmarkStart w:id="38" w:name="_Toc152045538"/>
      <w:bookmarkEnd w:id="38"/>
      <w:bookmarkStart w:id="39" w:name="_Toc179632555"/>
      <w:bookmarkEnd w:id="39"/>
      <w:bookmarkStart w:id="40" w:name="_Toc152042314"/>
      <w:bookmarkEnd w:id="40"/>
      <w:bookmarkStart w:id="41" w:name="_Toc11408"/>
      <w:r>
        <w:rPr>
          <w:rFonts w:hint="eastAsia" w:ascii="宋体" w:hAnsi="宋体" w:eastAsia="宋体"/>
          <w:color w:val="000000" w:themeColor="text1"/>
          <w:sz w:val="21"/>
          <w:szCs w:val="21"/>
          <w:u w:val="none"/>
          <w14:textFill>
            <w14:solidFill>
              <w14:schemeClr w14:val="tx1"/>
            </w14:solidFill>
          </w14:textFill>
        </w:rPr>
        <w:t xml:space="preserve">1.8 </w:t>
      </w:r>
      <w:bookmarkEnd w:id="41"/>
      <w:r>
        <w:rPr>
          <w:rFonts w:hint="eastAsia" w:ascii="宋体" w:hAnsi="宋体" w:eastAsia="宋体"/>
          <w:color w:val="000000" w:themeColor="text1"/>
          <w:sz w:val="21"/>
          <w:szCs w:val="21"/>
          <w:u w:val="none"/>
          <w14:textFill>
            <w14:solidFill>
              <w14:schemeClr w14:val="tx1"/>
            </w14:solidFill>
          </w14:textFill>
        </w:rPr>
        <w:t>计量单位</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42" w:name="_Toc152045539"/>
      <w:bookmarkEnd w:id="42"/>
      <w:bookmarkStart w:id="43" w:name="_Toc179632556"/>
      <w:bookmarkEnd w:id="43"/>
      <w:bookmarkStart w:id="44" w:name="_Toc144974507"/>
      <w:bookmarkEnd w:id="44"/>
      <w:bookmarkStart w:id="45" w:name="_Toc152042315"/>
      <w:bookmarkEnd w:id="45"/>
      <w:bookmarkStart w:id="46" w:name="_Toc22513"/>
      <w:r>
        <w:rPr>
          <w:rFonts w:hint="eastAsia" w:ascii="宋体" w:hAnsi="宋体" w:eastAsia="宋体"/>
          <w:color w:val="000000" w:themeColor="text1"/>
          <w:sz w:val="21"/>
          <w:szCs w:val="21"/>
          <w:u w:val="none"/>
          <w14:textFill>
            <w14:solidFill>
              <w14:schemeClr w14:val="tx1"/>
            </w14:solidFill>
          </w14:textFill>
        </w:rPr>
        <w:t xml:space="preserve">1.9 </w:t>
      </w:r>
      <w:bookmarkEnd w:id="46"/>
      <w:r>
        <w:rPr>
          <w:rFonts w:hint="eastAsia" w:ascii="宋体" w:hAnsi="宋体" w:eastAsia="宋体"/>
          <w:color w:val="000000" w:themeColor="text1"/>
          <w:sz w:val="21"/>
          <w:szCs w:val="21"/>
          <w:u w:val="none"/>
          <w14:textFill>
            <w14:solidFill>
              <w14:schemeClr w14:val="tx1"/>
            </w14:solidFill>
          </w14:textFill>
        </w:rPr>
        <w:t>踏勘现场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 投标人须知前附表规定组织踏勘现场的，招标人按投标人须知前附表规定的时间、地点组织投标人踏勘项目现场。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 投标人踏勘现场发生的费用自理。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 除招标人的原因外，投标人自行负责在踏勘现场中所发生的人员伤亡和财产损失。</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47" w:name="_Toc152045540"/>
      <w:bookmarkEnd w:id="47"/>
      <w:bookmarkStart w:id="48" w:name="_Toc144974508"/>
      <w:bookmarkEnd w:id="48"/>
      <w:bookmarkStart w:id="49" w:name="_Toc179632557"/>
      <w:bookmarkEnd w:id="49"/>
      <w:bookmarkStart w:id="50" w:name="_Toc152042316"/>
      <w:bookmarkEnd w:id="50"/>
      <w:bookmarkStart w:id="51" w:name="_Toc21556"/>
      <w:r>
        <w:rPr>
          <w:rFonts w:hint="eastAsia" w:ascii="宋体" w:hAnsi="宋体" w:eastAsia="宋体"/>
          <w:color w:val="000000" w:themeColor="text1"/>
          <w:sz w:val="21"/>
          <w:szCs w:val="21"/>
          <w:u w:val="none"/>
          <w14:textFill>
            <w14:solidFill>
              <w14:schemeClr w14:val="tx1"/>
            </w14:solidFill>
          </w14:textFill>
        </w:rPr>
        <w:t xml:space="preserve">1.10 </w:t>
      </w:r>
      <w:bookmarkEnd w:id="51"/>
      <w:r>
        <w:rPr>
          <w:rFonts w:hint="eastAsia" w:ascii="宋体" w:hAnsi="宋体" w:eastAsia="宋体"/>
          <w:color w:val="000000" w:themeColor="text1"/>
          <w:sz w:val="21"/>
          <w:szCs w:val="21"/>
          <w:u w:val="none"/>
          <w14:textFill>
            <w14:solidFill>
              <w14:schemeClr w14:val="tx1"/>
            </w14:solidFill>
          </w14:textFill>
        </w:rPr>
        <w:t>投标预备会</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bookmarkStart w:id="52" w:name="_Toc179632558"/>
      <w:bookmarkEnd w:id="52"/>
      <w:bookmarkStart w:id="53" w:name="_Toc152042317"/>
      <w:bookmarkEnd w:id="53"/>
      <w:bookmarkStart w:id="54" w:name="_Toc144974509"/>
      <w:bookmarkEnd w:id="54"/>
      <w:bookmarkStart w:id="55" w:name="_Toc152045541"/>
      <w:r>
        <w:rPr>
          <w:rFonts w:hint="eastAsia" w:ascii="宋体" w:hAnsi="宋体"/>
          <w:color w:val="000000" w:themeColor="text1"/>
          <w14:textFill>
            <w14:solidFill>
              <w14:schemeClr w14:val="tx1"/>
            </w14:solidFill>
          </w14:textFill>
        </w:rPr>
        <w:t xml:space="preserve">1.10.1 </w:t>
      </w:r>
      <w:bookmarkEnd w:id="55"/>
      <w:r>
        <w:rPr>
          <w:rFonts w:hint="eastAsia" w:ascii="宋体" w:hAnsi="宋体"/>
          <w:color w:val="000000" w:themeColor="text1"/>
          <w14:textFill>
            <w14:solidFill>
              <w14:schemeClr w14:val="tx1"/>
            </w14:solidFill>
          </w14:textFill>
        </w:rPr>
        <w:t>投标人须知前附表规定召开投标预备会的，招标人按投标人须知前附表规定的时间和地点召开投标预备会，澄清投标人提出的问题。</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 投标人应在投标人须知前附表规定的时间前，</w:t>
      </w:r>
      <w:r>
        <w:rPr>
          <w:rFonts w:hint="eastAsia" w:ascii="宋体" w:hAnsi="宋体"/>
          <w:color w:val="000000" w:themeColor="text1"/>
          <w:kern w:val="0"/>
          <w14:textFill>
            <w14:solidFill>
              <w14:schemeClr w14:val="tx1"/>
            </w14:solidFill>
          </w14:textFill>
        </w:rPr>
        <w:t>在电子交易信息系统中</w:t>
      </w:r>
      <w:r>
        <w:rPr>
          <w:rFonts w:hint="eastAsia" w:ascii="宋体" w:hAnsi="宋体"/>
          <w:color w:val="000000" w:themeColor="text1"/>
          <w14:textFill>
            <w14:solidFill>
              <w14:schemeClr w14:val="tx1"/>
            </w14:solidFill>
          </w14:textFill>
        </w:rPr>
        <w:t>提出。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1.10.3 投标预备会后，招标人在投标人须知前附表规定的时间内，</w:t>
      </w:r>
      <w:r>
        <w:rPr>
          <w:rFonts w:hint="eastAsia" w:ascii="宋体" w:hAnsi="宋体"/>
          <w:color w:val="000000" w:themeColor="text1"/>
          <w:kern w:val="0"/>
          <w14:textFill>
            <w14:solidFill>
              <w14:schemeClr w14:val="tx1"/>
            </w14:solidFill>
          </w14:textFill>
        </w:rPr>
        <w:t>在电子交易信息系统中</w:t>
      </w:r>
      <w:r>
        <w:rPr>
          <w:rFonts w:hint="eastAsia" w:ascii="宋体" w:hAnsi="宋体"/>
          <w:color w:val="000000" w:themeColor="text1"/>
          <w14:textFill>
            <w14:solidFill>
              <w14:schemeClr w14:val="tx1"/>
            </w14:solidFill>
          </w14:textFill>
        </w:rPr>
        <w:t>进行对投标人所提问颗的澄清。该澄清内容为招标文件的组成部分。</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56" w:name="_Toc30444"/>
      <w:bookmarkEnd w:id="56"/>
      <w:r>
        <w:rPr>
          <w:rFonts w:hint="eastAsia" w:ascii="宋体" w:hAnsi="宋体" w:eastAsia="宋体"/>
          <w:color w:val="000000" w:themeColor="text1"/>
          <w:sz w:val="21"/>
          <w:szCs w:val="21"/>
          <w:u w:val="none"/>
          <w14:textFill>
            <w14:solidFill>
              <w14:schemeClr w14:val="tx1"/>
            </w14:solidFill>
          </w14:textFill>
        </w:rPr>
        <w:t>1.11 分包</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bookmarkStart w:id="57" w:name="_Toc179632559"/>
      <w:bookmarkEnd w:id="57"/>
      <w:r>
        <w:rPr>
          <w:rFonts w:hint="eastAsia" w:ascii="宋体" w:hAnsi="宋体"/>
          <w:color w:val="000000" w:themeColor="text1"/>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58" w:name="_Toc20528"/>
      <w:bookmarkEnd w:id="58"/>
      <w:r>
        <w:rPr>
          <w:rFonts w:hint="eastAsia" w:ascii="宋体" w:hAnsi="宋体" w:eastAsia="宋体"/>
          <w:color w:val="000000" w:themeColor="text1"/>
          <w:sz w:val="21"/>
          <w:szCs w:val="21"/>
          <w:u w:val="none"/>
          <w14:textFill>
            <w14:solidFill>
              <w14:schemeClr w14:val="tx1"/>
            </w14:solidFill>
          </w14:textFill>
        </w:rPr>
        <w:t>1.12 偏离</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投标人须知前附表允许投标文件偏离招标文件某些要求的，偏离应当符合招标文件规定的偏离范围和幅度。</w:t>
      </w:r>
    </w:p>
    <w:p>
      <w:pPr>
        <w:pStyle w:val="34"/>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59" w:name="_Toc144974510"/>
      <w:bookmarkEnd w:id="59"/>
      <w:bookmarkStart w:id="60" w:name="_Toc152045542"/>
      <w:bookmarkEnd w:id="60"/>
      <w:bookmarkStart w:id="61" w:name="_Toc179632560"/>
      <w:bookmarkEnd w:id="61"/>
      <w:bookmarkStart w:id="62" w:name="_Toc152042318"/>
      <w:bookmarkEnd w:id="62"/>
      <w:bookmarkStart w:id="63" w:name="_Toc10318"/>
      <w:r>
        <w:rPr>
          <w:rFonts w:hint="eastAsia" w:ascii="宋体" w:hAnsi="宋体" w:eastAsia="宋体"/>
          <w:color w:val="000000" w:themeColor="text1"/>
          <w:sz w:val="21"/>
          <w:szCs w:val="21"/>
          <w:u w:val="none"/>
          <w14:textFill>
            <w14:solidFill>
              <w14:schemeClr w14:val="tx1"/>
            </w14:solidFill>
          </w14:textFill>
        </w:rPr>
        <w:t xml:space="preserve">2. </w:t>
      </w:r>
      <w:bookmarkEnd w:id="63"/>
      <w:r>
        <w:rPr>
          <w:rFonts w:hint="eastAsia" w:ascii="宋体" w:hAnsi="宋体" w:eastAsia="宋体"/>
          <w:color w:val="000000" w:themeColor="text1"/>
          <w:sz w:val="21"/>
          <w:szCs w:val="21"/>
          <w:u w:val="none"/>
          <w14:textFill>
            <w14:solidFill>
              <w14:schemeClr w14:val="tx1"/>
            </w14:solidFill>
          </w14:textFill>
        </w:rPr>
        <w:t>招标文件</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64" w:name="_Toc179632561"/>
      <w:bookmarkEnd w:id="64"/>
      <w:bookmarkStart w:id="65" w:name="_Toc152042319"/>
      <w:bookmarkEnd w:id="65"/>
      <w:bookmarkStart w:id="66" w:name="_Toc144974511"/>
      <w:bookmarkEnd w:id="66"/>
      <w:bookmarkStart w:id="67" w:name="_Toc152045543"/>
      <w:bookmarkEnd w:id="67"/>
      <w:bookmarkStart w:id="68" w:name="_Toc15267"/>
      <w:r>
        <w:rPr>
          <w:rFonts w:hint="eastAsia" w:ascii="宋体" w:hAnsi="宋体" w:eastAsia="宋体"/>
          <w:color w:val="000000" w:themeColor="text1"/>
          <w:sz w:val="21"/>
          <w:szCs w:val="21"/>
          <w:u w:val="none"/>
          <w14:textFill>
            <w14:solidFill>
              <w14:schemeClr w14:val="tx1"/>
            </w14:solidFill>
          </w14:textFill>
        </w:rPr>
        <w:t xml:space="preserve">2.1 </w:t>
      </w:r>
      <w:bookmarkEnd w:id="68"/>
      <w:r>
        <w:rPr>
          <w:rFonts w:hint="eastAsia" w:ascii="宋体" w:hAnsi="宋体" w:eastAsia="宋体"/>
          <w:color w:val="000000" w:themeColor="text1"/>
          <w:sz w:val="21"/>
          <w:szCs w:val="21"/>
          <w:u w:val="none"/>
          <w14:textFill>
            <w14:solidFill>
              <w14:schemeClr w14:val="tx1"/>
            </w14:solidFill>
          </w14:textFill>
        </w:rPr>
        <w:t>招标文件的组成</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本招标文件包括：</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（5）工程量清单</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（6）技术标准和要求</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（7）投标文件格式</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（8）其他资料</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根据本章第1.10款、2.2款和第2.3款对招标文件所作的澄清、修改，到招标监督机构和造价管理机构备案后，构成招标文件的组成部分。</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69" w:name="_Toc179632562"/>
      <w:bookmarkEnd w:id="69"/>
      <w:bookmarkStart w:id="70" w:name="_Toc152045544"/>
      <w:bookmarkEnd w:id="70"/>
      <w:bookmarkStart w:id="71" w:name="_Toc152042320"/>
      <w:bookmarkEnd w:id="71"/>
      <w:bookmarkStart w:id="72" w:name="_Toc144974512"/>
      <w:bookmarkEnd w:id="72"/>
      <w:bookmarkStart w:id="73" w:name="_Toc6216"/>
      <w:r>
        <w:rPr>
          <w:rFonts w:hint="eastAsia" w:ascii="宋体" w:hAnsi="宋体" w:eastAsia="宋体"/>
          <w:color w:val="000000" w:themeColor="text1"/>
          <w:sz w:val="21"/>
          <w:szCs w:val="21"/>
          <w:u w:val="none"/>
          <w14:textFill>
            <w14:solidFill>
              <w14:schemeClr w14:val="tx1"/>
            </w14:solidFill>
          </w14:textFill>
        </w:rPr>
        <w:t xml:space="preserve">2.2 </w:t>
      </w:r>
      <w:bookmarkEnd w:id="73"/>
      <w:r>
        <w:rPr>
          <w:rFonts w:hint="eastAsia" w:ascii="宋体" w:hAnsi="宋体" w:eastAsia="宋体"/>
          <w:color w:val="000000" w:themeColor="text1"/>
          <w:sz w:val="21"/>
          <w:szCs w:val="21"/>
          <w:u w:val="none"/>
          <w14:textFill>
            <w14:solidFill>
              <w14:schemeClr w14:val="tx1"/>
            </w14:solidFill>
          </w14:textFill>
        </w:rPr>
        <w:t>招标文件的澄清</w:t>
      </w:r>
    </w:p>
    <w:p>
      <w:pPr>
        <w:kinsoku w:val="0"/>
        <w:overflowPunct w:val="0"/>
        <w:autoSpaceDE w:val="0"/>
        <w:autoSpaceDN w:val="0"/>
        <w:adjustRightInd w:val="0"/>
        <w:snapToGrid w:val="0"/>
        <w:spacing w:line="360" w:lineRule="auto"/>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2.2.1投标人应仔细阅读和检查招标文件的全部内容。如发现缺页或附件不全，应</w:t>
      </w:r>
      <w:r>
        <w:rPr>
          <w:rFonts w:hint="eastAsia" w:ascii="宋体" w:hAnsi="宋体"/>
          <w:color w:val="000000" w:themeColor="text1"/>
          <w:kern w:val="0"/>
          <w14:textFill>
            <w14:solidFill>
              <w14:schemeClr w14:val="tx1"/>
            </w14:solidFill>
          </w14:textFill>
        </w:rPr>
        <w:t>在电子交易信息系统中</w:t>
      </w:r>
      <w:r>
        <w:rPr>
          <w:rFonts w:hint="eastAsia" w:ascii="宋体" w:hAnsi="宋体"/>
          <w:color w:val="000000" w:themeColor="text1"/>
          <w14:textFill>
            <w14:solidFill>
              <w14:schemeClr w14:val="tx1"/>
            </w14:solidFill>
          </w14:textFill>
        </w:rPr>
        <w:t>及时向招标人提出，以便补齐。如有疑问，应在投标人须知前附表规定的时间前凭 CA 数字证书通过全国公共资源交易平台（河南省·宝丰县）（网址：http://www.bfggzy.com/）“登录业务系统”入口进入电子交易系统以不署名的形式提出。如未提出异议，视为全面接受招标文件的实质性条款并对招标文件无任何异议。</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 招标文件的澄清（答疑）、纪要、修改补充通知在招标监督机构和造价管理机构备案后，在投标人须知前附表规定的投标截止时间15天前在电子交易信息系统中发给所有购买招标文件的投标人，但不指明澄清问题的来源。如果澄清发出的时间距投标截止时间不足15天，相应延长投标截止时间。</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 投标人在收到澄清后，应在投标人须知前附表规定的时间内在电子交易信息系统中通知招标人，确认已收到该澄清。</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 投标人应及时全国公共资源交易平台（河南省·宝丰县）系统后台，因投标人不及时关注相关信息造成的后果，投标人自行负责。</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74" w:name="_Toc152045545"/>
      <w:bookmarkEnd w:id="74"/>
      <w:bookmarkStart w:id="75" w:name="_Toc152042321"/>
      <w:bookmarkEnd w:id="75"/>
      <w:bookmarkStart w:id="76" w:name="_Toc179632563"/>
      <w:bookmarkEnd w:id="76"/>
      <w:bookmarkStart w:id="77" w:name="_Toc144974513"/>
      <w:bookmarkEnd w:id="77"/>
      <w:bookmarkStart w:id="78" w:name="_Toc16733"/>
      <w:r>
        <w:rPr>
          <w:rFonts w:hint="eastAsia" w:ascii="宋体" w:hAnsi="宋体" w:eastAsia="宋体"/>
          <w:color w:val="000000" w:themeColor="text1"/>
          <w:sz w:val="21"/>
          <w:szCs w:val="21"/>
          <w:u w:val="none"/>
          <w14:textFill>
            <w14:solidFill>
              <w14:schemeClr w14:val="tx1"/>
            </w14:solidFill>
          </w14:textFill>
        </w:rPr>
        <w:t xml:space="preserve">2.3 </w:t>
      </w:r>
      <w:bookmarkEnd w:id="78"/>
      <w:r>
        <w:rPr>
          <w:rFonts w:hint="eastAsia" w:ascii="宋体" w:hAnsi="宋体" w:eastAsia="宋体"/>
          <w:color w:val="000000" w:themeColor="text1"/>
          <w:sz w:val="21"/>
          <w:szCs w:val="21"/>
          <w:u w:val="none"/>
          <w14:textFill>
            <w14:solidFill>
              <w14:schemeClr w14:val="tx1"/>
            </w14:solidFill>
          </w14:textFill>
        </w:rPr>
        <w:t>招标文件的修改</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2.3.1在投标截止时间 15 天前，招标人可主动或在解答投标人提出的澄清答疑时对招标文件进行修改，招标文件的澄清、修改、变更等内容在相关媒体发布前须报招标投标监督部门备案，招标文件的修改在全国公共资源交易平台（河南省·宝丰县）及其它招标公告发布媒体发布。如果修改招标文件的时间距投标截止时间不足 15 天，相应延长投标截止时间。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2.3.2投标人在投标截止时间前，应通过《全国公共资源交易平台（河南省·宝丰县）》（网 址：http://www.bfggzy.com/）“补充公告”栏或“登录业务系统”入口进入电子交易系统随时查看有关该工程招标文件的澄清、修改(招标答疑、补遗文件)公示等内容。投标人应注意及时浏览网上发布的澄清和修改通知并下载，因投标人原因未及时获知澄清答疑、修改内容而导致的任何后果，其风险概由投标人自行承担。</w:t>
      </w:r>
      <w:bookmarkStart w:id="79" w:name="_Toc144974514"/>
      <w:bookmarkEnd w:id="79"/>
      <w:bookmarkStart w:id="80" w:name="_Toc152042322"/>
      <w:bookmarkEnd w:id="80"/>
      <w:bookmarkStart w:id="81" w:name="_Toc179632564"/>
      <w:bookmarkEnd w:id="81"/>
      <w:bookmarkStart w:id="82" w:name="_Toc152045546"/>
      <w:bookmarkEnd w:id="82"/>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3.投标文件</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83" w:name="_Toc144974515"/>
      <w:bookmarkEnd w:id="83"/>
      <w:bookmarkStart w:id="84" w:name="_Toc152042323"/>
      <w:bookmarkEnd w:id="84"/>
      <w:bookmarkStart w:id="85" w:name="_Toc152045547"/>
      <w:bookmarkEnd w:id="85"/>
      <w:bookmarkStart w:id="86" w:name="_Toc179632565"/>
      <w:bookmarkEnd w:id="86"/>
      <w:bookmarkStart w:id="87" w:name="_Toc16450"/>
      <w:r>
        <w:rPr>
          <w:rFonts w:hint="eastAsia" w:ascii="宋体" w:hAnsi="宋体" w:eastAsia="宋体"/>
          <w:color w:val="000000" w:themeColor="text1"/>
          <w:sz w:val="21"/>
          <w:szCs w:val="21"/>
          <w:u w:val="none"/>
          <w14:textFill>
            <w14:solidFill>
              <w14:schemeClr w14:val="tx1"/>
            </w14:solidFill>
          </w14:textFill>
        </w:rPr>
        <w:t xml:space="preserve">3.1 </w:t>
      </w:r>
      <w:bookmarkEnd w:id="87"/>
      <w:r>
        <w:rPr>
          <w:rFonts w:hint="eastAsia" w:ascii="宋体" w:hAnsi="宋体" w:eastAsia="宋体"/>
          <w:color w:val="000000" w:themeColor="text1"/>
          <w:sz w:val="21"/>
          <w:szCs w:val="21"/>
          <w:u w:val="none"/>
          <w14:textFill>
            <w14:solidFill>
              <w14:schemeClr w14:val="tx1"/>
            </w14:solidFill>
          </w14:textFill>
        </w:rPr>
        <w:t>投标文件的组成</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 投标文件应包括下列内容：</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详见第八章：投标文件格式。</w:t>
      </w:r>
    </w:p>
    <w:p>
      <w:pPr>
        <w:kinsoku w:val="0"/>
        <w:overflowPunct w:val="0"/>
        <w:autoSpaceDE w:val="0"/>
        <w:autoSpaceDN w:val="0"/>
        <w:adjustRightInd w:val="0"/>
        <w:snapToGrid w:val="0"/>
        <w:spacing w:line="360" w:lineRule="auto"/>
        <w:ind w:firstLine="422" w:firstLineChars="200"/>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投标文件格式以《全国公共资源交易平台</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河南省</w:t>
      </w:r>
      <w:r>
        <w:rPr>
          <w:rFonts w:hint="eastAsia" w:ascii="MS Mincho" w:hAnsi="MS Mincho" w:eastAsia="MS Mincho" w:cs="MS Mincho"/>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宝丰县</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》公共资源交易系统最终生成的为准</w:t>
      </w:r>
      <w:r>
        <w:rPr>
          <w:rFonts w:hint="eastAsia" w:ascii="宋体" w:hAnsi="宋体"/>
          <w:color w:val="000000" w:themeColor="text1"/>
          <w14:textFill>
            <w14:solidFill>
              <w14:schemeClr w14:val="tx1"/>
            </w14:solidFill>
          </w14:textFill>
        </w:rPr>
        <w:t>。</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88" w:name="_Toc144974516"/>
      <w:bookmarkEnd w:id="88"/>
      <w:bookmarkStart w:id="89" w:name="_Toc152045548"/>
      <w:bookmarkEnd w:id="89"/>
      <w:bookmarkStart w:id="90" w:name="_Toc179632566"/>
      <w:bookmarkEnd w:id="90"/>
      <w:bookmarkStart w:id="91" w:name="_Toc152042324"/>
      <w:bookmarkEnd w:id="91"/>
      <w:bookmarkStart w:id="92" w:name="_Toc28568"/>
      <w:r>
        <w:rPr>
          <w:rFonts w:hint="eastAsia" w:ascii="宋体" w:hAnsi="宋体" w:eastAsia="宋体"/>
          <w:color w:val="000000" w:themeColor="text1"/>
          <w:sz w:val="21"/>
          <w:szCs w:val="21"/>
          <w:u w:val="none"/>
          <w14:textFill>
            <w14:solidFill>
              <w14:schemeClr w14:val="tx1"/>
            </w14:solidFill>
          </w14:textFill>
        </w:rPr>
        <w:t xml:space="preserve">3.2 </w:t>
      </w:r>
      <w:bookmarkEnd w:id="92"/>
      <w:r>
        <w:rPr>
          <w:rFonts w:hint="eastAsia" w:ascii="宋体" w:hAnsi="宋体" w:eastAsia="宋体"/>
          <w:color w:val="000000" w:themeColor="text1"/>
          <w:sz w:val="21"/>
          <w:szCs w:val="21"/>
          <w:u w:val="none"/>
          <w14:textFill>
            <w14:solidFill>
              <w14:schemeClr w14:val="tx1"/>
            </w14:solidFill>
          </w14:textFill>
        </w:rPr>
        <w:t>投标报价</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bookmarkStart w:id="93" w:name="_Toc152042325"/>
      <w:bookmarkEnd w:id="93"/>
      <w:bookmarkStart w:id="94" w:name="_Toc179632567"/>
      <w:bookmarkEnd w:id="94"/>
      <w:bookmarkStart w:id="95" w:name="_Toc152045549"/>
      <w:bookmarkEnd w:id="95"/>
      <w:bookmarkStart w:id="96" w:name="_Toc144974517"/>
      <w:r>
        <w:rPr>
          <w:rFonts w:hint="eastAsia" w:ascii="宋体" w:hAnsi="宋体"/>
          <w:color w:val="000000" w:themeColor="text1"/>
          <w14:textFill>
            <w14:solidFill>
              <w14:schemeClr w14:val="tx1"/>
            </w14:solidFill>
          </w14:textFill>
        </w:rPr>
        <w:t xml:space="preserve">3.2.1 </w:t>
      </w:r>
      <w:bookmarkEnd w:id="96"/>
      <w:r>
        <w:rPr>
          <w:rFonts w:hint="eastAsia" w:ascii="宋体" w:hAnsi="宋体"/>
          <w:color w:val="000000" w:themeColor="text1"/>
          <w14:textFill>
            <w14:solidFill>
              <w14:schemeClr w14:val="tx1"/>
            </w14:solidFill>
          </w14:textFill>
        </w:rPr>
        <w:t>投标人应按第五章“工程量清单”的要求填写相应表格。投标总报价为所有人工费、材料费，安全措施费，规费，质量检测费，税金及其他所有费用的总和。</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3.2.2 投标人在投标截止时间前修改投标函中的投标总报价，应同时修改“已标价工程量清单”中的相应报价。此修改须符合本章第4.3 款的有关要求。</w:t>
      </w:r>
    </w:p>
    <w:p>
      <w:pPr>
        <w:pStyle w:val="35"/>
        <w:keepLines w:val="0"/>
        <w:kinsoku w:val="0"/>
        <w:overflowPunct w:val="0"/>
        <w:autoSpaceDE w:val="0"/>
        <w:autoSpaceDN w:val="0"/>
        <w:adjustRightInd w:val="0"/>
        <w:snapToGrid w:val="0"/>
        <w:spacing w:line="360" w:lineRule="auto"/>
        <w:ind w:firstLine="315" w:firstLineChars="150"/>
        <w:rPr>
          <w:rFonts w:ascii="宋体" w:hAnsi="宋体" w:eastAsia="宋体"/>
          <w:color w:val="000000" w:themeColor="text1"/>
          <w:sz w:val="21"/>
          <w:szCs w:val="21"/>
          <w:u w:val="none"/>
          <w14:textFill>
            <w14:solidFill>
              <w14:schemeClr w14:val="tx1"/>
            </w14:solidFill>
          </w14:textFill>
        </w:rPr>
      </w:pPr>
      <w:bookmarkStart w:id="97" w:name="_Toc20022"/>
      <w:bookmarkEnd w:id="97"/>
      <w:r>
        <w:rPr>
          <w:rFonts w:hint="eastAsia" w:ascii="宋体" w:hAnsi="宋体" w:eastAsia="宋体"/>
          <w:color w:val="000000" w:themeColor="text1"/>
          <w:sz w:val="21"/>
          <w:szCs w:val="21"/>
          <w:u w:val="none"/>
          <w14:textFill>
            <w14:solidFill>
              <w14:schemeClr w14:val="tx1"/>
            </w14:solidFill>
          </w14:textFill>
        </w:rPr>
        <w:t>3.3 投标有效期</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 在投标人须知前附表规定的投标有效期内，投标人不得要求撤销或修改其投标文件。</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3.3.2出现特殊情况需要延长投标有效期的，招标人</w:t>
      </w:r>
      <w:r>
        <w:rPr>
          <w:rFonts w:hint="eastAsia" w:ascii="宋体" w:hAnsi="宋体"/>
          <w:color w:val="000000" w:themeColor="text1"/>
          <w:kern w:val="0"/>
          <w14:textFill>
            <w14:solidFill>
              <w14:schemeClr w14:val="tx1"/>
            </w14:solidFill>
          </w14:textFill>
        </w:rPr>
        <w:t>在电子交易信息系统中</w:t>
      </w:r>
      <w:r>
        <w:rPr>
          <w:rFonts w:hint="eastAsia" w:ascii="宋体" w:hAnsi="宋体"/>
          <w:color w:val="000000" w:themeColor="text1"/>
          <w14:textFill>
            <w14:solidFill>
              <w14:schemeClr w14:val="tx1"/>
            </w14:solidFill>
          </w14:textFill>
        </w:rPr>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pPr>
        <w:pStyle w:val="8"/>
        <w:keepLines w:val="0"/>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w:t>
      </w:r>
      <w:r>
        <w:rPr>
          <w:rFonts w:hint="eastAsia" w:ascii="宋体" w:hAnsi="宋体"/>
          <w:b w:val="0"/>
          <w:bCs w:val="0"/>
          <w:color w:val="000000" w:themeColor="text1"/>
          <w14:textFill>
            <w14:solidFill>
              <w14:schemeClr w14:val="tx1"/>
            </w14:solidFill>
          </w14:textFill>
        </w:rPr>
        <w:t xml:space="preserve"> 投标保证金</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 投标人在递交投标文件的同时，应按投标人须知前附表规定的金额、形式和“投标文件格式”规定的投标保证金格式递交投标保证金，并作为其投标文件的组成部分。联合体投标的，其投标保证金由牵头人递交，并应符合投标人须知前附表的规定。</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3.4.2 投标人不按本章第3.4.1 项要求提交投标保证金的，否决其投标。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 招标人与中标人签订合同后5日内，向未中标的投标人和中标人退还投标保证金。</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3.4.4 有下列情形之一的，投标保证金将不予退还：</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(1）投标人在规定的投标有效期内撤销或修改其投标文件；</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(2）中标人在收到中标通知书后，无正当理由拒签合同协议书或未按招标文件规定提交履约担保。</w:t>
      </w:r>
    </w:p>
    <w:p>
      <w:pPr>
        <w:pStyle w:val="8"/>
        <w:keepLines w:val="0"/>
        <w:kinsoku w:val="0"/>
        <w:overflowPunct w:val="0"/>
        <w:autoSpaceDE w:val="0"/>
        <w:autoSpaceDN w:val="0"/>
        <w:adjustRightInd w:val="0"/>
        <w:snapToGrid w:val="0"/>
        <w:rPr>
          <w:rFonts w:ascii="宋体" w:hAnsi="宋体"/>
          <w:b w:val="0"/>
          <w:bCs w:val="0"/>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w:t>
      </w:r>
      <w:r>
        <w:rPr>
          <w:rFonts w:hint="eastAsia" w:ascii="宋体" w:hAnsi="宋体"/>
          <w:b w:val="0"/>
          <w:bCs w:val="0"/>
          <w:color w:val="000000" w:themeColor="text1"/>
          <w14:textFill>
            <w14:solidFill>
              <w14:schemeClr w14:val="tx1"/>
            </w14:solidFill>
          </w14:textFill>
        </w:rPr>
        <w:t xml:space="preserve"> 资格审查资料（适用于未进行资格预审的）</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符合投标人须知前附表“1.4.1投标人资质条件、能力和信誉”要求。</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bookmarkStart w:id="98" w:name="_Toc152042330"/>
      <w:bookmarkEnd w:id="98"/>
      <w:bookmarkStart w:id="99" w:name="_Toc179632572"/>
      <w:bookmarkEnd w:id="99"/>
      <w:bookmarkStart w:id="100" w:name="_Toc144974522"/>
      <w:bookmarkEnd w:id="100"/>
      <w:bookmarkStart w:id="101" w:name="_Toc152045554"/>
      <w:r>
        <w:rPr>
          <w:rFonts w:hint="eastAsia" w:ascii="宋体" w:hAnsi="宋体"/>
          <w:color w:val="000000" w:themeColor="text1"/>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bookmarkEnd w:id="101"/>
    </w:p>
    <w:p>
      <w:pPr>
        <w:pStyle w:val="35"/>
        <w:keepLines w:val="0"/>
        <w:kinsoku w:val="0"/>
        <w:overflowPunct w:val="0"/>
        <w:autoSpaceDE w:val="0"/>
        <w:autoSpaceDN w:val="0"/>
        <w:adjustRightInd w:val="0"/>
        <w:snapToGrid w:val="0"/>
        <w:spacing w:line="360" w:lineRule="auto"/>
        <w:rPr>
          <w:rFonts w:ascii="宋体" w:hAnsi="宋体" w:eastAsia="宋体"/>
          <w:color w:val="000000" w:themeColor="text1"/>
          <w:sz w:val="21"/>
          <w:szCs w:val="21"/>
          <w:u w:val="none"/>
          <w14:textFill>
            <w14:solidFill>
              <w14:schemeClr w14:val="tx1"/>
            </w14:solidFill>
          </w14:textFill>
        </w:rPr>
      </w:pPr>
      <w:bookmarkStart w:id="102" w:name="_Toc23140"/>
      <w:bookmarkEnd w:id="102"/>
      <w:r>
        <w:rPr>
          <w:rFonts w:hint="eastAsia" w:ascii="宋体" w:hAnsi="宋体" w:eastAsia="宋体"/>
          <w:color w:val="000000" w:themeColor="text1"/>
          <w:sz w:val="21"/>
          <w:szCs w:val="21"/>
          <w:u w:val="none"/>
          <w14:textFill>
            <w14:solidFill>
              <w14:schemeClr w14:val="tx1"/>
            </w14:solidFill>
          </w14:textFill>
        </w:rPr>
        <w:t>3.7 投标文件的编制</w:t>
      </w:r>
    </w:p>
    <w:p>
      <w:pPr>
        <w:pStyle w:val="33"/>
        <w:widowControl w:val="0"/>
        <w:shd w:val="clear" w:color="auto" w:fill="FFFFFF"/>
        <w:kinsoku w:val="0"/>
        <w:overflowPunct w:val="0"/>
        <w:autoSpaceDE w:val="0"/>
        <w:autoSpaceDN w:val="0"/>
        <w:adjustRightInd w:val="0"/>
        <w:snapToGrid w:val="0"/>
        <w:spacing w:before="0" w:beforeAutospacing="0" w:after="0" w:afterAutospacing="0" w:line="360" w:lineRule="auto"/>
        <w:ind w:firstLine="525" w:firstLineChars="25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3.7.1 投标文件应按第八章“投标文件格式”进行编写（注：投标文件格式以《全国公共资源交易平台(河南省</w:t>
      </w:r>
      <w:r>
        <w:rPr>
          <w:color w:val="000000" w:themeColor="text1"/>
          <w:kern w:val="2"/>
          <w:sz w:val="21"/>
          <w:szCs w:val="21"/>
          <w14:textFill>
            <w14:solidFill>
              <w14:schemeClr w14:val="tx1"/>
            </w14:solidFill>
          </w14:textFill>
        </w:rPr>
        <w:t>▪</w:t>
      </w:r>
      <w:r>
        <w:rPr>
          <w:rFonts w:hint="eastAsia"/>
          <w:color w:val="000000" w:themeColor="text1"/>
          <w:kern w:val="2"/>
          <w:sz w:val="21"/>
          <w:szCs w:val="21"/>
          <w14:textFill>
            <w14:solidFill>
              <w14:schemeClr w14:val="tx1"/>
            </w14:solidFill>
          </w14:textFill>
        </w:rPr>
        <w:t xml:space="preserve">宝丰县)》公共资源交易系统最终生成的为准），如有必要，可以增加附页，作为投标文件的组成部分。其中，投标函附录在满足招标文件实质性要求的基础上，可以提出比招标文件要求更有利于招标人的承诺。 </w:t>
      </w:r>
    </w:p>
    <w:p>
      <w:pPr>
        <w:pStyle w:val="33"/>
        <w:widowControl w:val="0"/>
        <w:shd w:val="clear" w:color="auto" w:fill="FFFFFF"/>
        <w:kinsoku w:val="0"/>
        <w:overflowPunct w:val="0"/>
        <w:autoSpaceDE w:val="0"/>
        <w:autoSpaceDN w:val="0"/>
        <w:adjustRightInd w:val="0"/>
        <w:snapToGrid w:val="0"/>
        <w:spacing w:before="0" w:beforeAutospacing="0" w:after="0" w:afterAutospacing="0" w:line="360" w:lineRule="auto"/>
        <w:ind w:firstLine="525" w:firstLineChars="25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3.7.2 投标文件应当对招标文件有关工期、投标有效期、质量要求、招标范围等实质性内容作出响应。 </w:t>
      </w:r>
    </w:p>
    <w:p>
      <w:pPr>
        <w:pStyle w:val="33"/>
        <w:widowControl w:val="0"/>
        <w:shd w:val="clear" w:color="auto" w:fill="FFFFFF"/>
        <w:kinsoku w:val="0"/>
        <w:overflowPunct w:val="0"/>
        <w:autoSpaceDE w:val="0"/>
        <w:autoSpaceDN w:val="0"/>
        <w:adjustRightInd w:val="0"/>
        <w:snapToGrid w:val="0"/>
        <w:spacing w:before="0" w:beforeAutospacing="0" w:after="0" w:afterAutospacing="0" w:line="360" w:lineRule="auto"/>
        <w:ind w:firstLine="525" w:firstLineChars="25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pStyle w:val="33"/>
        <w:widowControl w:val="0"/>
        <w:shd w:val="clear" w:color="auto" w:fill="FFFFFF"/>
        <w:kinsoku w:val="0"/>
        <w:overflowPunct w:val="0"/>
        <w:autoSpaceDE w:val="0"/>
        <w:autoSpaceDN w:val="0"/>
        <w:adjustRightInd w:val="0"/>
        <w:snapToGrid w:val="0"/>
        <w:spacing w:before="0" w:beforeAutospacing="0" w:after="0" w:afterAutospacing="0" w:line="360" w:lineRule="auto"/>
        <w:ind w:firstLine="525" w:firstLineChars="25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3.7.4 投标文件份数见投标人须知前附表。</w:t>
      </w:r>
    </w:p>
    <w:p>
      <w:pPr>
        <w:pStyle w:val="33"/>
        <w:widowControl w:val="0"/>
        <w:shd w:val="clear" w:color="auto" w:fill="FFFFFF"/>
        <w:kinsoku w:val="0"/>
        <w:overflowPunct w:val="0"/>
        <w:autoSpaceDE w:val="0"/>
        <w:autoSpaceDN w:val="0"/>
        <w:adjustRightInd w:val="0"/>
        <w:snapToGrid w:val="0"/>
        <w:spacing w:before="0" w:beforeAutospacing="0" w:after="0" w:afterAutospacing="0" w:line="360" w:lineRule="auto"/>
        <w:ind w:firstLine="525" w:firstLineChars="25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3.7.5 投标文件编制目录，具体装订要求见投标人须知前附表规定。</w:t>
      </w:r>
    </w:p>
    <w:p>
      <w:pPr>
        <w:pStyle w:val="34"/>
        <w:keepLines w:val="0"/>
        <w:kinsoku w:val="0"/>
        <w:overflowPunct w:val="0"/>
        <w:autoSpaceDE w:val="0"/>
        <w:autoSpaceDN w:val="0"/>
        <w:adjustRightInd w:val="0"/>
        <w:snapToGrid w:val="0"/>
        <w:spacing w:line="360" w:lineRule="auto"/>
        <w:rPr>
          <w:rFonts w:ascii="宋体" w:hAnsi="宋体" w:eastAsia="宋体"/>
          <w:b/>
          <w:bCs/>
          <w:color w:val="000000" w:themeColor="text1"/>
          <w:sz w:val="21"/>
          <w:szCs w:val="21"/>
          <w:u w:val="none"/>
          <w14:textFill>
            <w14:solidFill>
              <w14:schemeClr w14:val="tx1"/>
            </w14:solidFill>
          </w14:textFill>
        </w:rPr>
      </w:pPr>
      <w:bookmarkStart w:id="103" w:name="_Toc152045555"/>
      <w:bookmarkEnd w:id="103"/>
      <w:bookmarkStart w:id="104" w:name="_Toc144974523"/>
      <w:bookmarkEnd w:id="104"/>
      <w:bookmarkStart w:id="105" w:name="_Toc152042331"/>
      <w:bookmarkEnd w:id="105"/>
      <w:bookmarkStart w:id="106" w:name="_Toc179632573"/>
      <w:bookmarkEnd w:id="106"/>
      <w:bookmarkStart w:id="107" w:name="_Toc13299"/>
      <w:r>
        <w:rPr>
          <w:rFonts w:hint="eastAsia" w:ascii="宋体" w:hAnsi="宋体" w:eastAsia="宋体"/>
          <w:b/>
          <w:bCs/>
          <w:color w:val="000000" w:themeColor="text1"/>
          <w:sz w:val="21"/>
          <w:szCs w:val="21"/>
          <w:u w:val="none"/>
          <w14:textFill>
            <w14:solidFill>
              <w14:schemeClr w14:val="tx1"/>
            </w14:solidFill>
          </w14:textFill>
        </w:rPr>
        <w:t xml:space="preserve">4. </w:t>
      </w:r>
      <w:bookmarkEnd w:id="107"/>
      <w:r>
        <w:rPr>
          <w:rFonts w:hint="eastAsia" w:ascii="宋体" w:hAnsi="宋体" w:eastAsia="宋体"/>
          <w:b/>
          <w:bCs/>
          <w:color w:val="000000" w:themeColor="text1"/>
          <w:sz w:val="21"/>
          <w:szCs w:val="21"/>
          <w:u w:val="none"/>
          <w14:textFill>
            <w14:solidFill>
              <w14:schemeClr w14:val="tx1"/>
            </w14:solidFill>
          </w14:textFill>
        </w:rPr>
        <w:t>投标</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08" w:name="_Toc144974525"/>
      <w:bookmarkEnd w:id="108"/>
      <w:bookmarkStart w:id="109" w:name="_Toc152042335"/>
      <w:bookmarkEnd w:id="109"/>
      <w:bookmarkStart w:id="110" w:name="_Toc144974527"/>
      <w:bookmarkEnd w:id="110"/>
      <w:bookmarkStart w:id="111" w:name="_Toc152042333"/>
      <w:bookmarkEnd w:id="111"/>
      <w:bookmarkStart w:id="112" w:name="_Toc179632575"/>
      <w:bookmarkEnd w:id="112"/>
      <w:bookmarkStart w:id="113" w:name="_Toc179632577"/>
      <w:bookmarkEnd w:id="113"/>
      <w:bookmarkStart w:id="114" w:name="_Toc152045557"/>
      <w:bookmarkEnd w:id="114"/>
      <w:bookmarkStart w:id="115" w:name="_Toc152045559"/>
      <w:bookmarkEnd w:id="115"/>
      <w:bookmarkStart w:id="116" w:name="_Toc1338"/>
      <w:r>
        <w:rPr>
          <w:rFonts w:hint="eastAsia" w:ascii="宋体" w:hAnsi="宋体" w:eastAsia="宋体"/>
          <w:color w:val="000000" w:themeColor="text1"/>
          <w:sz w:val="21"/>
          <w:szCs w:val="21"/>
          <w:u w:val="none"/>
          <w14:textFill>
            <w14:solidFill>
              <w14:schemeClr w14:val="tx1"/>
            </w14:solidFill>
          </w14:textFill>
        </w:rPr>
        <w:t>4.1 投标文件的密封和标记</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4.1.1 加密电子投标文件应在采购文件规定的投标截止时间（开标时间）之前成功提交至</w:t>
      </w:r>
      <w:bookmarkEnd w:id="116"/>
      <w:r>
        <w:rPr>
          <w:rFonts w:hint="eastAsia" w:ascii="宋体" w:hAnsi="宋体" w:eastAsia="宋体"/>
          <w:color w:val="000000" w:themeColor="text1"/>
          <w:sz w:val="21"/>
          <w:szCs w:val="21"/>
          <w:u w:val="none"/>
          <w14:textFill>
            <w14:solidFill>
              <w14:schemeClr w14:val="tx1"/>
            </w14:solidFill>
          </w14:textFill>
        </w:rPr>
        <w:t>《全国公共资源交易平台（河南省•宝丰县）》公共资源交易系统。逾期到达交易系统的电子投标文件视为放弃本次投标。投标人应充分考虑并预留技术处理和上传数据所需时间。</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4.1.2. 投标人对同一项目多个标段进行投标的，加密电子投标文件应按标段分别提交。</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4.2 投标文件的递交</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 xml:space="preserve"> 投标人应在投标人须知前附表第2.2.2项规定的投标截止时间前递交投标文件电子版。</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17" w:name="_Toc152045558"/>
      <w:bookmarkEnd w:id="117"/>
      <w:bookmarkStart w:id="118" w:name="_Toc152042334"/>
      <w:bookmarkEnd w:id="118"/>
      <w:bookmarkStart w:id="119" w:name="_Toc179632576"/>
      <w:bookmarkEnd w:id="119"/>
      <w:bookmarkStart w:id="120" w:name="_Toc144974526"/>
      <w:r>
        <w:rPr>
          <w:rFonts w:hint="eastAsia" w:ascii="宋体" w:hAnsi="宋体" w:eastAsia="宋体"/>
          <w:color w:val="000000" w:themeColor="text1"/>
          <w:sz w:val="21"/>
          <w:szCs w:val="21"/>
          <w:u w:val="none"/>
          <w14:textFill>
            <w14:solidFill>
              <w14:schemeClr w14:val="tx1"/>
            </w14:solidFill>
          </w14:textFill>
        </w:rPr>
        <w:t xml:space="preserve">4.3 </w:t>
      </w:r>
      <w:bookmarkEnd w:id="120"/>
      <w:r>
        <w:rPr>
          <w:rFonts w:hint="eastAsia" w:ascii="宋体" w:hAnsi="宋体" w:eastAsia="宋体"/>
          <w:color w:val="000000" w:themeColor="text1"/>
          <w:sz w:val="21"/>
          <w:szCs w:val="21"/>
          <w:u w:val="none"/>
          <w14:textFill>
            <w14:solidFill>
              <w14:schemeClr w14:val="tx1"/>
            </w14:solidFill>
          </w14:textFill>
        </w:rPr>
        <w:t>投标文件的修改与撤回</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 xml:space="preserve"> 在本章投标人须知前附表第2.2.2项规定的投标截止时间前，投标人可以修改或撤回已递交的投标文件。</w:t>
      </w:r>
    </w:p>
    <w:p>
      <w:pPr>
        <w:pStyle w:val="34"/>
        <w:keepLines w:val="0"/>
        <w:kinsoku w:val="0"/>
        <w:overflowPunct w:val="0"/>
        <w:autoSpaceDE w:val="0"/>
        <w:autoSpaceDN w:val="0"/>
        <w:adjustRightInd w:val="0"/>
        <w:snapToGrid w:val="0"/>
        <w:spacing w:line="360" w:lineRule="auto"/>
        <w:rPr>
          <w:rFonts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5. 开标</w:t>
      </w:r>
    </w:p>
    <w:p>
      <w:pPr>
        <w:kinsoku w:val="0"/>
        <w:overflowPunct w:val="0"/>
        <w:autoSpaceDE w:val="0"/>
        <w:autoSpaceDN w:val="0"/>
        <w:adjustRightInd w:val="0"/>
        <w:snapToGrid w:val="0"/>
        <w:spacing w:line="360" w:lineRule="auto"/>
        <w:ind w:firstLine="420" w:firstLineChars="200"/>
        <w:rPr>
          <w:rFonts w:ascii="宋体" w:hAnsi="宋体"/>
          <w:b/>
          <w:color w:val="000000" w:themeColor="text1"/>
          <w:kern w:val="0"/>
          <w14:textFill>
            <w14:solidFill>
              <w14:schemeClr w14:val="tx1"/>
            </w14:solidFill>
          </w14:textFill>
        </w:rPr>
      </w:pPr>
      <w:bookmarkStart w:id="121" w:name="_Toc144974530"/>
      <w:bookmarkEnd w:id="121"/>
      <w:bookmarkStart w:id="122" w:name="_Toc152045560"/>
      <w:bookmarkEnd w:id="122"/>
      <w:bookmarkStart w:id="123" w:name="_Toc144974529"/>
      <w:bookmarkEnd w:id="123"/>
      <w:bookmarkStart w:id="124" w:name="_Toc152042338"/>
      <w:bookmarkEnd w:id="124"/>
      <w:bookmarkStart w:id="125" w:name="_Toc152042337"/>
      <w:bookmarkEnd w:id="125"/>
      <w:bookmarkStart w:id="126" w:name="_Toc144974528"/>
      <w:bookmarkEnd w:id="126"/>
      <w:bookmarkStart w:id="127" w:name="_Toc179632579"/>
      <w:bookmarkEnd w:id="127"/>
      <w:bookmarkStart w:id="128" w:name="_Toc179632578"/>
      <w:bookmarkEnd w:id="128"/>
      <w:bookmarkStart w:id="129" w:name="_Toc179632580"/>
      <w:bookmarkEnd w:id="129"/>
      <w:bookmarkStart w:id="130" w:name="_Toc152045561"/>
      <w:bookmarkEnd w:id="130"/>
      <w:bookmarkStart w:id="131" w:name="_Toc152042336"/>
      <w:bookmarkEnd w:id="131"/>
      <w:bookmarkStart w:id="132" w:name="_Toc152045562"/>
      <w:bookmarkEnd w:id="132"/>
      <w:bookmarkStart w:id="133" w:name="_Toc17438"/>
      <w:r>
        <w:rPr>
          <w:rFonts w:hint="eastAsia" w:ascii="宋体" w:hAnsi="宋体"/>
          <w:color w:val="000000" w:themeColor="text1"/>
          <w14:textFill>
            <w14:solidFill>
              <w14:schemeClr w14:val="tx1"/>
            </w14:solidFill>
          </w14:textFill>
        </w:rPr>
        <w:t xml:space="preserve"> </w:t>
      </w:r>
      <w:bookmarkEnd w:id="133"/>
      <w:r>
        <w:rPr>
          <w:rFonts w:hint="eastAsia" w:ascii="宋体" w:hAnsi="宋体"/>
          <w:b/>
          <w:color w:val="000000" w:themeColor="text1"/>
          <w:kern w:val="0"/>
          <w14:textFill>
            <w14:solidFill>
              <w14:schemeClr w14:val="tx1"/>
            </w14:solidFill>
          </w14:textFill>
        </w:rPr>
        <w:t>全面实行在线“不见面”开标，投标人远程在线解密投标文件，不再到开标现场，投标人开标前应仔细阅读《“不见面”开标注意事项及操作流程》。</w:t>
      </w:r>
    </w:p>
    <w:p>
      <w:pPr>
        <w:pStyle w:val="34"/>
        <w:keepLines w:val="0"/>
        <w:kinsoku w:val="0"/>
        <w:overflowPunct w:val="0"/>
        <w:autoSpaceDE w:val="0"/>
        <w:autoSpaceDN w:val="0"/>
        <w:adjustRightInd w:val="0"/>
        <w:snapToGrid w:val="0"/>
        <w:spacing w:line="360" w:lineRule="auto"/>
        <w:rPr>
          <w:rFonts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6. 评标</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34" w:name="_Toc152045563"/>
      <w:bookmarkEnd w:id="134"/>
      <w:bookmarkStart w:id="135" w:name="_Toc144974531"/>
      <w:bookmarkEnd w:id="135"/>
      <w:bookmarkStart w:id="136" w:name="_Toc152042339"/>
      <w:bookmarkEnd w:id="136"/>
      <w:bookmarkStart w:id="137" w:name="_Toc179632581"/>
      <w:bookmarkEnd w:id="137"/>
      <w:bookmarkStart w:id="138" w:name="_Toc16832"/>
      <w:r>
        <w:rPr>
          <w:rFonts w:hint="eastAsia" w:ascii="宋体" w:hAnsi="宋体" w:eastAsia="宋体"/>
          <w:color w:val="000000" w:themeColor="text1"/>
          <w:sz w:val="21"/>
          <w:szCs w:val="21"/>
          <w:u w:val="none"/>
          <w14:textFill>
            <w14:solidFill>
              <w14:schemeClr w14:val="tx1"/>
            </w14:solidFill>
          </w14:textFill>
        </w:rPr>
        <w:t xml:space="preserve">6.1 </w:t>
      </w:r>
      <w:bookmarkEnd w:id="138"/>
      <w:r>
        <w:rPr>
          <w:rFonts w:hint="eastAsia" w:ascii="宋体" w:hAnsi="宋体" w:eastAsia="宋体"/>
          <w:color w:val="000000" w:themeColor="text1"/>
          <w:sz w:val="21"/>
          <w:szCs w:val="21"/>
          <w:u w:val="none"/>
          <w14:textFill>
            <w14:solidFill>
              <w14:schemeClr w14:val="tx1"/>
            </w14:solidFill>
          </w14:textFill>
        </w:rPr>
        <w:t>评标委员会</w:t>
      </w:r>
    </w:p>
    <w:p>
      <w:pPr>
        <w:kinsoku w:val="0"/>
        <w:overflowPunct w:val="0"/>
        <w:autoSpaceDE w:val="0"/>
        <w:autoSpaceDN w:val="0"/>
        <w:adjustRightInd w:val="0"/>
        <w:snapToGrid w:val="0"/>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6.1.1评标由招标人依法组建的评标委员会负责。评标委员会由招标人或其委托的招标代理机构熟悉相关业务的代表，以及有关技术、经济等方面的专家组成。评标委员会成员人 数以及技术、经济等方面专家的确定方式见投标人须知前附表。</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6.1.2 评标委员会成员有下列情形之一的，应当回避。</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（1）招标人或投标人的主要负责人的近亲属。</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（2）项目主管部门或者行政监督部门的人员。</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（3）与投标人有经济利益关系，可能影响对投标公正评审。</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（4）曾因在招标、评标以及其他与招标投标有关活动中从事违法行为而受过行政处罚或刑事处罚的。</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39" w:name="_Toc152045564"/>
      <w:bookmarkEnd w:id="139"/>
      <w:bookmarkStart w:id="140" w:name="_Toc152042340"/>
      <w:bookmarkEnd w:id="140"/>
      <w:bookmarkStart w:id="141" w:name="_Toc179632582"/>
      <w:bookmarkEnd w:id="141"/>
      <w:bookmarkStart w:id="142" w:name="_Toc144974532"/>
      <w:bookmarkEnd w:id="142"/>
      <w:bookmarkStart w:id="143" w:name="_Toc29964"/>
      <w:r>
        <w:rPr>
          <w:rFonts w:hint="eastAsia" w:ascii="宋体" w:hAnsi="宋体" w:eastAsia="宋体"/>
          <w:color w:val="000000" w:themeColor="text1"/>
          <w:sz w:val="21"/>
          <w:szCs w:val="21"/>
          <w:u w:val="none"/>
          <w14:textFill>
            <w14:solidFill>
              <w14:schemeClr w14:val="tx1"/>
            </w14:solidFill>
          </w14:textFill>
        </w:rPr>
        <w:t xml:space="preserve">6.2 </w:t>
      </w:r>
      <w:bookmarkEnd w:id="143"/>
      <w:r>
        <w:rPr>
          <w:rFonts w:hint="eastAsia" w:ascii="宋体" w:hAnsi="宋体" w:eastAsia="宋体"/>
          <w:color w:val="000000" w:themeColor="text1"/>
          <w:sz w:val="21"/>
          <w:szCs w:val="21"/>
          <w:u w:val="none"/>
          <w14:textFill>
            <w14:solidFill>
              <w14:schemeClr w14:val="tx1"/>
            </w14:solidFill>
          </w14:textFill>
        </w:rPr>
        <w:t>评标原则</w:t>
      </w:r>
      <w:r>
        <w:rPr>
          <w:rFonts w:hint="eastAsia" w:ascii="宋体" w:hAnsi="宋体" w:eastAsia="宋体"/>
          <w:color w:val="000000" w:themeColor="text1"/>
          <w:sz w:val="21"/>
          <w:szCs w:val="21"/>
          <w:u w:val="none"/>
          <w14:textFill>
            <w14:solidFill>
              <w14:schemeClr w14:val="tx1"/>
            </w14:solidFill>
          </w14:textFill>
        </w:rPr>
        <w:tab/>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44" w:name="_Toc179632583"/>
      <w:bookmarkEnd w:id="144"/>
      <w:bookmarkStart w:id="145" w:name="_Toc152042341"/>
      <w:bookmarkEnd w:id="145"/>
      <w:bookmarkStart w:id="146" w:name="_Toc152045565"/>
      <w:bookmarkEnd w:id="146"/>
      <w:bookmarkStart w:id="147" w:name="_Toc144974533"/>
      <w:bookmarkEnd w:id="147"/>
      <w:bookmarkStart w:id="148" w:name="_Toc27259"/>
      <w:r>
        <w:rPr>
          <w:rFonts w:hint="eastAsia" w:ascii="宋体" w:hAnsi="宋体" w:eastAsia="宋体"/>
          <w:color w:val="000000" w:themeColor="text1"/>
          <w:sz w:val="21"/>
          <w:szCs w:val="21"/>
          <w:u w:val="none"/>
          <w14:textFill>
            <w14:solidFill>
              <w14:schemeClr w14:val="tx1"/>
            </w14:solidFill>
          </w14:textFill>
        </w:rPr>
        <w:t xml:space="preserve">6.3 </w:t>
      </w:r>
      <w:bookmarkEnd w:id="148"/>
      <w:r>
        <w:rPr>
          <w:rFonts w:hint="eastAsia" w:ascii="宋体" w:hAnsi="宋体" w:eastAsia="宋体"/>
          <w:color w:val="000000" w:themeColor="text1"/>
          <w:sz w:val="21"/>
          <w:szCs w:val="21"/>
          <w:u w:val="none"/>
          <w14:textFill>
            <w14:solidFill>
              <w14:schemeClr w14:val="tx1"/>
            </w14:solidFill>
          </w14:textFill>
        </w:rPr>
        <w:t>评标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如评标委员会对需要回复的投标人回复内容有异议的，经过几次回复仍不清楚的，需在监督下进行免提电话进行质疑。</w:t>
      </w:r>
    </w:p>
    <w:p>
      <w:pPr>
        <w:kinsoku w:val="0"/>
        <w:overflowPunct w:val="0"/>
        <w:autoSpaceDE w:val="0"/>
        <w:autoSpaceDN w:val="0"/>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评标时如因系统异常、停电、电脑病毒、网络堵塞等原因无法正常进行的，由技术人员排查解决，短时间无法解决的，经监督部门同意后，暂停评标活动，待问题解决后继续评标。</w:t>
      </w:r>
    </w:p>
    <w:p>
      <w:pPr>
        <w:pStyle w:val="34"/>
        <w:keepLines w:val="0"/>
        <w:kinsoku w:val="0"/>
        <w:overflowPunct w:val="0"/>
        <w:autoSpaceDE w:val="0"/>
        <w:autoSpaceDN w:val="0"/>
        <w:adjustRightInd w:val="0"/>
        <w:snapToGrid w:val="0"/>
        <w:spacing w:line="360" w:lineRule="auto"/>
        <w:rPr>
          <w:rFonts w:ascii="宋体" w:hAnsi="宋体" w:eastAsia="宋体"/>
          <w:color w:val="000000" w:themeColor="text1"/>
          <w:sz w:val="21"/>
          <w:szCs w:val="21"/>
          <w:u w:val="none"/>
          <w14:textFill>
            <w14:solidFill>
              <w14:schemeClr w14:val="tx1"/>
            </w14:solidFill>
          </w14:textFill>
        </w:rPr>
      </w:pPr>
      <w:bookmarkStart w:id="149" w:name="_Toc144974534"/>
      <w:bookmarkEnd w:id="149"/>
      <w:bookmarkStart w:id="150" w:name="_Toc152042342"/>
      <w:bookmarkEnd w:id="150"/>
      <w:bookmarkStart w:id="151" w:name="_Toc179632584"/>
      <w:bookmarkEnd w:id="151"/>
      <w:bookmarkStart w:id="152" w:name="_Toc152045566"/>
      <w:bookmarkEnd w:id="152"/>
      <w:bookmarkStart w:id="153" w:name="_Toc24678"/>
      <w:r>
        <w:rPr>
          <w:rFonts w:hint="eastAsia" w:ascii="宋体" w:hAnsi="宋体" w:eastAsia="宋体"/>
          <w:color w:val="000000" w:themeColor="text1"/>
          <w:sz w:val="21"/>
          <w:szCs w:val="21"/>
          <w:u w:val="none"/>
          <w14:textFill>
            <w14:solidFill>
              <w14:schemeClr w14:val="tx1"/>
            </w14:solidFill>
          </w14:textFill>
        </w:rPr>
        <w:t xml:space="preserve">7. </w:t>
      </w:r>
      <w:bookmarkEnd w:id="153"/>
      <w:r>
        <w:rPr>
          <w:rFonts w:hint="eastAsia" w:ascii="宋体" w:hAnsi="宋体" w:eastAsia="宋体"/>
          <w:color w:val="000000" w:themeColor="text1"/>
          <w:sz w:val="21"/>
          <w:szCs w:val="21"/>
          <w:u w:val="none"/>
          <w14:textFill>
            <w14:solidFill>
              <w14:schemeClr w14:val="tx1"/>
            </w14:solidFill>
          </w14:textFill>
        </w:rPr>
        <w:t>合同授予</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54" w:name="_Toc152042343"/>
      <w:bookmarkEnd w:id="154"/>
      <w:bookmarkStart w:id="155" w:name="_Toc152045567"/>
      <w:bookmarkEnd w:id="155"/>
      <w:bookmarkStart w:id="156" w:name="_Toc144974535"/>
      <w:bookmarkEnd w:id="156"/>
      <w:bookmarkStart w:id="157" w:name="_Toc179632585"/>
      <w:bookmarkEnd w:id="157"/>
      <w:bookmarkStart w:id="158" w:name="_Toc12147"/>
      <w:r>
        <w:rPr>
          <w:rFonts w:hint="eastAsia" w:ascii="宋体" w:hAnsi="宋体" w:eastAsia="宋体"/>
          <w:color w:val="000000" w:themeColor="text1"/>
          <w:sz w:val="21"/>
          <w:szCs w:val="21"/>
          <w:u w:val="none"/>
          <w14:textFill>
            <w14:solidFill>
              <w14:schemeClr w14:val="tx1"/>
            </w14:solidFill>
          </w14:textFill>
        </w:rPr>
        <w:t xml:space="preserve">7 .1 </w:t>
      </w:r>
      <w:bookmarkEnd w:id="158"/>
      <w:r>
        <w:rPr>
          <w:rFonts w:hint="eastAsia" w:ascii="宋体" w:hAnsi="宋体" w:eastAsia="宋体"/>
          <w:color w:val="000000" w:themeColor="text1"/>
          <w:sz w:val="21"/>
          <w:szCs w:val="21"/>
          <w:u w:val="none"/>
          <w14:textFill>
            <w14:solidFill>
              <w14:schemeClr w14:val="tx1"/>
            </w14:solidFill>
          </w14:textFill>
        </w:rPr>
        <w:t>定标方式</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59" w:name="_Toc152042344"/>
      <w:bookmarkEnd w:id="159"/>
      <w:bookmarkStart w:id="160" w:name="_Toc179632586"/>
      <w:bookmarkEnd w:id="160"/>
      <w:bookmarkStart w:id="161" w:name="_Toc152045568"/>
      <w:bookmarkEnd w:id="161"/>
      <w:bookmarkStart w:id="162" w:name="_Toc144974536"/>
      <w:bookmarkEnd w:id="162"/>
      <w:bookmarkStart w:id="163" w:name="_Toc21905"/>
      <w:r>
        <w:rPr>
          <w:rFonts w:hint="eastAsia" w:ascii="宋体" w:hAnsi="宋体" w:eastAsia="宋体"/>
          <w:color w:val="000000" w:themeColor="text1"/>
          <w:sz w:val="21"/>
          <w:szCs w:val="21"/>
          <w:u w:val="none"/>
          <w14:textFill>
            <w14:solidFill>
              <w14:schemeClr w14:val="tx1"/>
            </w14:solidFill>
          </w14:textFill>
        </w:rPr>
        <w:t xml:space="preserve">7.2 </w:t>
      </w:r>
      <w:bookmarkEnd w:id="163"/>
      <w:r>
        <w:rPr>
          <w:rFonts w:hint="eastAsia" w:ascii="宋体" w:hAnsi="宋体" w:eastAsia="宋体"/>
          <w:color w:val="000000" w:themeColor="text1"/>
          <w:sz w:val="21"/>
          <w:szCs w:val="21"/>
          <w:u w:val="none"/>
          <w14:textFill>
            <w14:solidFill>
              <w14:schemeClr w14:val="tx1"/>
            </w14:solidFill>
          </w14:textFill>
        </w:rPr>
        <w:t>中标通知</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在本章第3.3款规定的投标有效期内，招标人以书面形式向中标人发出中标通知书，同时将中标结果通知未中标的投标人。</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64" w:name="_Toc179632587"/>
      <w:bookmarkEnd w:id="164"/>
      <w:bookmarkStart w:id="165" w:name="_Toc144974537"/>
      <w:bookmarkEnd w:id="165"/>
      <w:bookmarkStart w:id="166" w:name="_Toc152042345"/>
      <w:bookmarkEnd w:id="166"/>
      <w:bookmarkStart w:id="167" w:name="_Toc152045569"/>
      <w:bookmarkEnd w:id="167"/>
      <w:bookmarkStart w:id="168" w:name="_Toc30803"/>
      <w:r>
        <w:rPr>
          <w:rFonts w:hint="eastAsia" w:ascii="宋体" w:hAnsi="宋体" w:eastAsia="宋体"/>
          <w:color w:val="000000" w:themeColor="text1"/>
          <w:sz w:val="21"/>
          <w:szCs w:val="21"/>
          <w:u w:val="none"/>
          <w14:textFill>
            <w14:solidFill>
              <w14:schemeClr w14:val="tx1"/>
            </w14:solidFill>
          </w14:textFill>
        </w:rPr>
        <w:t>7.3</w:t>
      </w:r>
      <w:bookmarkEnd w:id="168"/>
      <w:r>
        <w:rPr>
          <w:rFonts w:hint="eastAsia" w:ascii="宋体" w:hAnsi="宋体" w:eastAsia="宋体"/>
          <w:color w:val="000000" w:themeColor="text1"/>
          <w:sz w:val="21"/>
          <w:szCs w:val="21"/>
          <w:u w:val="none"/>
          <w14:textFill>
            <w14:solidFill>
              <w14:schemeClr w14:val="tx1"/>
            </w14:solidFill>
          </w14:textFill>
        </w:rPr>
        <w:t>履约担保</w:t>
      </w:r>
    </w:p>
    <w:p>
      <w:pPr>
        <w:kinsoku w:val="0"/>
        <w:overflowPunct w:val="0"/>
        <w:autoSpaceDE w:val="0"/>
        <w:autoSpaceDN w:val="0"/>
        <w:adjustRightInd w:val="0"/>
        <w:snapToGrid w:val="0"/>
        <w:spacing w:line="360" w:lineRule="auto"/>
        <w:ind w:firstLine="420" w:firstLineChars="200"/>
        <w:textAlignment w:val="top"/>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 在签订合同前，中标人应按投标人须知前附表规定的金额、担保形式和招标文件第四章“合同条款及格式”规定的履约担保格式向招标人提交履约担保。</w:t>
      </w:r>
    </w:p>
    <w:p>
      <w:pPr>
        <w:kinsoku w:val="0"/>
        <w:overflowPunct w:val="0"/>
        <w:autoSpaceDE w:val="0"/>
        <w:autoSpaceDN w:val="0"/>
        <w:adjustRightInd w:val="0"/>
        <w:snapToGrid w:val="0"/>
        <w:spacing w:line="360" w:lineRule="auto"/>
        <w:ind w:firstLine="420" w:firstLineChars="200"/>
        <w:textAlignment w:val="top"/>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 项要求提交履约担保的，视为放弃中标，其投标保证金不予退还，给招标人造成的损失超过投标保证金数额的，中标人还应当对超过部分予以赔偿。</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69" w:name="_Toc152045570"/>
      <w:bookmarkEnd w:id="169"/>
      <w:bookmarkStart w:id="170" w:name="_Toc152042346"/>
      <w:bookmarkEnd w:id="170"/>
      <w:bookmarkStart w:id="171" w:name="_Toc144974538"/>
      <w:bookmarkEnd w:id="171"/>
      <w:bookmarkStart w:id="172" w:name="_Toc179632588"/>
      <w:bookmarkEnd w:id="172"/>
      <w:bookmarkStart w:id="173" w:name="_Toc9195"/>
      <w:r>
        <w:rPr>
          <w:rFonts w:hint="eastAsia" w:ascii="宋体" w:hAnsi="宋体" w:eastAsia="宋体"/>
          <w:color w:val="000000" w:themeColor="text1"/>
          <w:sz w:val="21"/>
          <w:szCs w:val="21"/>
          <w:u w:val="none"/>
          <w14:textFill>
            <w14:solidFill>
              <w14:schemeClr w14:val="tx1"/>
            </w14:solidFill>
          </w14:textFill>
        </w:rPr>
        <w:t xml:space="preserve">7.4 </w:t>
      </w:r>
      <w:bookmarkEnd w:id="173"/>
      <w:r>
        <w:rPr>
          <w:rFonts w:hint="eastAsia" w:ascii="宋体" w:hAnsi="宋体" w:eastAsia="宋体"/>
          <w:color w:val="000000" w:themeColor="text1"/>
          <w:sz w:val="21"/>
          <w:szCs w:val="21"/>
          <w:u w:val="none"/>
          <w14:textFill>
            <w14:solidFill>
              <w14:schemeClr w14:val="tx1"/>
            </w14:solidFill>
          </w14:textFill>
        </w:rPr>
        <w:t>签订合同</w:t>
      </w:r>
    </w:p>
    <w:p>
      <w:pPr>
        <w:kinsoku w:val="0"/>
        <w:overflowPunct w:val="0"/>
        <w:autoSpaceDE w:val="0"/>
        <w:autoSpaceDN w:val="0"/>
        <w:adjustRightInd w:val="0"/>
        <w:snapToGrid w:val="0"/>
        <w:spacing w:line="360" w:lineRule="auto"/>
        <w:ind w:firstLine="420" w:firstLineChars="200"/>
        <w:textAlignment w:val="top"/>
        <w:rPr>
          <w:rFonts w:ascii="宋体" w:hAnsi="宋体"/>
          <w:b/>
          <w:bCs/>
          <w:color w:val="000000" w:themeColor="text1"/>
          <w:kern w:val="0"/>
          <w14:textFill>
            <w14:solidFill>
              <w14:schemeClr w14:val="tx1"/>
            </w14:solidFill>
          </w14:textFill>
        </w:rPr>
      </w:pPr>
      <w:bookmarkStart w:id="174" w:name="_Toc144974539"/>
      <w:bookmarkEnd w:id="174"/>
      <w:bookmarkStart w:id="175" w:name="_Toc179632589"/>
      <w:bookmarkEnd w:id="175"/>
      <w:bookmarkStart w:id="176" w:name="_Toc152045571"/>
      <w:bookmarkEnd w:id="176"/>
      <w:bookmarkStart w:id="177" w:name="_Toc152042347"/>
      <w:r>
        <w:rPr>
          <w:rFonts w:hint="eastAsia" w:ascii="宋体" w:hAnsi="宋体"/>
          <w:color w:val="000000" w:themeColor="text1"/>
          <w:kern w:val="0"/>
          <w14:textFill>
            <w14:solidFill>
              <w14:schemeClr w14:val="tx1"/>
            </w14:solidFill>
          </w14:textFill>
        </w:rPr>
        <w:t>7.4.1</w:t>
      </w:r>
      <w:bookmarkEnd w:id="177"/>
      <w:r>
        <w:rPr>
          <w:rFonts w:hint="eastAsia" w:ascii="宋体" w:hAnsi="宋体"/>
          <w:color w:val="000000" w:themeColor="text1"/>
          <w14:textFill>
            <w14:solidFill>
              <w14:schemeClr w14:val="tx1"/>
            </w14:solidFill>
          </w14:textFill>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hint="eastAsia" w:ascii="宋体" w:hAnsi="宋体"/>
          <w:color w:val="000000" w:themeColor="text1"/>
          <w:kern w:val="0"/>
          <w14:textFill>
            <w14:solidFill>
              <w14:schemeClr w14:val="tx1"/>
            </w14:solidFill>
          </w14:textFill>
        </w:rPr>
        <w:t xml:space="preserve"> </w:t>
      </w:r>
    </w:p>
    <w:p>
      <w:pPr>
        <w:kinsoku w:val="0"/>
        <w:overflowPunct w:val="0"/>
        <w:autoSpaceDE w:val="0"/>
        <w:autoSpaceDN w:val="0"/>
        <w:adjustRightInd w:val="0"/>
        <w:snapToGrid w:val="0"/>
        <w:spacing w:line="360" w:lineRule="auto"/>
        <w:ind w:firstLine="420" w:firstLineChars="200"/>
        <w:textAlignment w:val="top"/>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7.4.2 发出中标通知书后，招标人无正当理由拒签合同的，招标人向中标人退还投标保证金；给中标人造成损失的，还应当赔偿损失。 </w:t>
      </w:r>
    </w:p>
    <w:p>
      <w:pPr>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 重新招标和不再招标</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78" w:name="_Toc152045572"/>
      <w:bookmarkEnd w:id="178"/>
      <w:bookmarkStart w:id="179" w:name="_Toc152042348"/>
      <w:bookmarkEnd w:id="179"/>
      <w:bookmarkStart w:id="180" w:name="_Toc144974540"/>
      <w:bookmarkEnd w:id="180"/>
      <w:bookmarkStart w:id="181" w:name="_Toc179632590"/>
      <w:bookmarkEnd w:id="181"/>
      <w:bookmarkStart w:id="182" w:name="_Toc11255"/>
      <w:r>
        <w:rPr>
          <w:rFonts w:hint="eastAsia" w:ascii="宋体" w:hAnsi="宋体" w:eastAsia="宋体"/>
          <w:color w:val="000000" w:themeColor="text1"/>
          <w:sz w:val="21"/>
          <w:szCs w:val="21"/>
          <w:u w:val="none"/>
          <w14:textFill>
            <w14:solidFill>
              <w14:schemeClr w14:val="tx1"/>
            </w14:solidFill>
          </w14:textFill>
        </w:rPr>
        <w:t xml:space="preserve">8.1 </w:t>
      </w:r>
      <w:bookmarkEnd w:id="182"/>
      <w:r>
        <w:rPr>
          <w:rFonts w:hint="eastAsia" w:ascii="宋体" w:hAnsi="宋体" w:eastAsia="宋体"/>
          <w:color w:val="000000" w:themeColor="text1"/>
          <w:sz w:val="21"/>
          <w:szCs w:val="21"/>
          <w:u w:val="none"/>
          <w14:textFill>
            <w14:solidFill>
              <w14:schemeClr w14:val="tx1"/>
            </w14:solidFill>
          </w14:textFill>
        </w:rPr>
        <w:t>重新招标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有下列情形之一的，招标人将重新招标：</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（1）投标截止时间止，投标人少于3个的；</w:t>
      </w:r>
    </w:p>
    <w:p>
      <w:pPr>
        <w:kinsoku w:val="0"/>
        <w:overflowPunct w:val="0"/>
        <w:autoSpaceDE w:val="0"/>
        <w:autoSpaceDN w:val="0"/>
        <w:adjustRightInd w:val="0"/>
        <w:snapToGrid w:val="0"/>
        <w:spacing w:line="360" w:lineRule="auto"/>
        <w:ind w:firstLine="359" w:firstLineChars="17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（2）经评标委员会评审后否决所有投标的。</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83" w:name="_Toc144974541"/>
      <w:bookmarkEnd w:id="183"/>
      <w:bookmarkStart w:id="184" w:name="_Toc179632591"/>
      <w:bookmarkEnd w:id="184"/>
      <w:bookmarkStart w:id="185" w:name="_Toc152045573"/>
      <w:bookmarkEnd w:id="185"/>
      <w:bookmarkStart w:id="186" w:name="_Toc152042349"/>
      <w:bookmarkEnd w:id="186"/>
      <w:bookmarkStart w:id="187" w:name="_Toc24585"/>
      <w:r>
        <w:rPr>
          <w:rFonts w:hint="eastAsia" w:ascii="宋体" w:hAnsi="宋体" w:eastAsia="宋体"/>
          <w:color w:val="000000" w:themeColor="text1"/>
          <w:sz w:val="21"/>
          <w:szCs w:val="21"/>
          <w:u w:val="none"/>
          <w14:textFill>
            <w14:solidFill>
              <w14:schemeClr w14:val="tx1"/>
            </w14:solidFill>
          </w14:textFill>
        </w:rPr>
        <w:t xml:space="preserve">8.2 </w:t>
      </w:r>
      <w:bookmarkEnd w:id="187"/>
      <w:r>
        <w:rPr>
          <w:rFonts w:hint="eastAsia" w:ascii="宋体" w:hAnsi="宋体" w:eastAsia="宋体"/>
          <w:color w:val="000000" w:themeColor="text1"/>
          <w:sz w:val="21"/>
          <w:szCs w:val="21"/>
          <w:u w:val="none"/>
          <w14:textFill>
            <w14:solidFill>
              <w14:schemeClr w14:val="tx1"/>
            </w14:solidFill>
          </w14:textFill>
        </w:rPr>
        <w:t>不再招标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重新招标后投标人仍少于3个或者所有投标被否决的，属于必须审批或核准的工程建设项目，经原审批或核准部门批准后不再进行招标。</w:t>
      </w:r>
    </w:p>
    <w:p>
      <w:pPr>
        <w:pStyle w:val="34"/>
        <w:keepLines w:val="0"/>
        <w:kinsoku w:val="0"/>
        <w:overflowPunct w:val="0"/>
        <w:autoSpaceDE w:val="0"/>
        <w:autoSpaceDN w:val="0"/>
        <w:adjustRightInd w:val="0"/>
        <w:snapToGrid w:val="0"/>
        <w:spacing w:line="360" w:lineRule="auto"/>
        <w:rPr>
          <w:rFonts w:ascii="宋体" w:hAnsi="宋体" w:eastAsia="宋体"/>
          <w:color w:val="000000" w:themeColor="text1"/>
          <w:sz w:val="21"/>
          <w:szCs w:val="21"/>
          <w:u w:val="none"/>
          <w14:textFill>
            <w14:solidFill>
              <w14:schemeClr w14:val="tx1"/>
            </w14:solidFill>
          </w14:textFill>
        </w:rPr>
      </w:pPr>
      <w:bookmarkStart w:id="188" w:name="_Toc144974542"/>
      <w:bookmarkEnd w:id="188"/>
      <w:bookmarkStart w:id="189" w:name="_Toc152042350"/>
      <w:bookmarkEnd w:id="189"/>
      <w:bookmarkStart w:id="190" w:name="_Toc179632592"/>
      <w:bookmarkEnd w:id="190"/>
      <w:bookmarkStart w:id="191" w:name="_Toc152045574"/>
      <w:bookmarkEnd w:id="191"/>
      <w:bookmarkStart w:id="192" w:name="_Toc22817"/>
      <w:r>
        <w:rPr>
          <w:rFonts w:hint="eastAsia" w:ascii="宋体" w:hAnsi="宋体" w:eastAsia="宋体"/>
          <w:color w:val="000000" w:themeColor="text1"/>
          <w:sz w:val="21"/>
          <w:szCs w:val="21"/>
          <w:u w:val="none"/>
          <w14:textFill>
            <w14:solidFill>
              <w14:schemeClr w14:val="tx1"/>
            </w14:solidFill>
          </w14:textFill>
        </w:rPr>
        <w:t xml:space="preserve">9. </w:t>
      </w:r>
      <w:bookmarkEnd w:id="192"/>
      <w:r>
        <w:rPr>
          <w:rFonts w:hint="eastAsia" w:ascii="宋体" w:hAnsi="宋体" w:eastAsia="宋体"/>
          <w:color w:val="000000" w:themeColor="text1"/>
          <w:sz w:val="21"/>
          <w:szCs w:val="21"/>
          <w:u w:val="none"/>
          <w14:textFill>
            <w14:solidFill>
              <w14:schemeClr w14:val="tx1"/>
            </w14:solidFill>
          </w14:textFill>
        </w:rPr>
        <w:t>纪律和监督</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93" w:name="_Toc152045575"/>
      <w:bookmarkEnd w:id="193"/>
      <w:bookmarkStart w:id="194" w:name="_Toc179632593"/>
      <w:bookmarkEnd w:id="194"/>
      <w:bookmarkStart w:id="195" w:name="_Toc144974543"/>
      <w:bookmarkEnd w:id="195"/>
      <w:bookmarkStart w:id="196" w:name="_Toc152042351"/>
      <w:bookmarkEnd w:id="196"/>
      <w:bookmarkStart w:id="197" w:name="_Toc31"/>
      <w:r>
        <w:rPr>
          <w:rFonts w:hint="eastAsia" w:ascii="宋体" w:hAnsi="宋体" w:eastAsia="宋体"/>
          <w:color w:val="000000" w:themeColor="text1"/>
          <w:sz w:val="21"/>
          <w:szCs w:val="21"/>
          <w:u w:val="none"/>
          <w14:textFill>
            <w14:solidFill>
              <w14:schemeClr w14:val="tx1"/>
            </w14:solidFill>
          </w14:textFill>
        </w:rPr>
        <w:t xml:space="preserve">9.1 </w:t>
      </w:r>
      <w:bookmarkEnd w:id="197"/>
      <w:r>
        <w:rPr>
          <w:rFonts w:hint="eastAsia" w:ascii="宋体" w:hAnsi="宋体" w:eastAsia="宋体"/>
          <w:color w:val="000000" w:themeColor="text1"/>
          <w:sz w:val="21"/>
          <w:szCs w:val="21"/>
          <w:u w:val="none"/>
          <w14:textFill>
            <w14:solidFill>
              <w14:schemeClr w14:val="tx1"/>
            </w14:solidFill>
          </w14:textFill>
        </w:rPr>
        <w:t>对招标人的纪律要求</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198" w:name="_Toc179632594"/>
      <w:bookmarkEnd w:id="198"/>
      <w:bookmarkStart w:id="199" w:name="_Toc152042352"/>
      <w:bookmarkEnd w:id="199"/>
      <w:bookmarkStart w:id="200" w:name="_Toc152045576"/>
      <w:bookmarkEnd w:id="200"/>
      <w:bookmarkStart w:id="201" w:name="_Toc144974544"/>
      <w:bookmarkEnd w:id="201"/>
      <w:bookmarkStart w:id="202" w:name="_Toc7625"/>
      <w:r>
        <w:rPr>
          <w:rFonts w:hint="eastAsia" w:ascii="宋体" w:hAnsi="宋体" w:eastAsia="宋体"/>
          <w:color w:val="000000" w:themeColor="text1"/>
          <w:sz w:val="21"/>
          <w:szCs w:val="21"/>
          <w:u w:val="none"/>
          <w14:textFill>
            <w14:solidFill>
              <w14:schemeClr w14:val="tx1"/>
            </w14:solidFill>
          </w14:textFill>
        </w:rPr>
        <w:t xml:space="preserve">9.2 </w:t>
      </w:r>
      <w:bookmarkEnd w:id="202"/>
      <w:r>
        <w:rPr>
          <w:rFonts w:hint="eastAsia" w:ascii="宋体" w:hAnsi="宋体" w:eastAsia="宋体"/>
          <w:color w:val="000000" w:themeColor="text1"/>
          <w:sz w:val="21"/>
          <w:szCs w:val="21"/>
          <w:u w:val="none"/>
          <w14:textFill>
            <w14:solidFill>
              <w14:schemeClr w14:val="tx1"/>
            </w14:solidFill>
          </w14:textFill>
        </w:rPr>
        <w:t>对投标人的纪律要求</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203" w:name="_Toc144974545"/>
      <w:bookmarkEnd w:id="203"/>
      <w:bookmarkStart w:id="204" w:name="_Toc152042353"/>
      <w:bookmarkEnd w:id="204"/>
      <w:bookmarkStart w:id="205" w:name="_Toc179632595"/>
      <w:bookmarkEnd w:id="205"/>
      <w:bookmarkStart w:id="206" w:name="_Toc152045577"/>
      <w:bookmarkEnd w:id="206"/>
      <w:bookmarkStart w:id="207" w:name="_Toc28810"/>
      <w:r>
        <w:rPr>
          <w:rFonts w:hint="eastAsia" w:ascii="宋体" w:hAnsi="宋体" w:eastAsia="宋体"/>
          <w:color w:val="000000" w:themeColor="text1"/>
          <w:sz w:val="21"/>
          <w:szCs w:val="21"/>
          <w:u w:val="none"/>
          <w14:textFill>
            <w14:solidFill>
              <w14:schemeClr w14:val="tx1"/>
            </w14:solidFill>
          </w14:textFill>
        </w:rPr>
        <w:t xml:space="preserve">9.3 </w:t>
      </w:r>
      <w:bookmarkEnd w:id="207"/>
      <w:r>
        <w:rPr>
          <w:rFonts w:hint="eastAsia" w:ascii="宋体" w:hAnsi="宋体" w:eastAsia="宋体"/>
          <w:color w:val="000000" w:themeColor="text1"/>
          <w:sz w:val="21"/>
          <w:szCs w:val="21"/>
          <w:u w:val="none"/>
          <w14:textFill>
            <w14:solidFill>
              <w14:schemeClr w14:val="tx1"/>
            </w14:solidFill>
          </w14:textFill>
        </w:rPr>
        <w:t>对评标委员会成员的纪律要求</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208" w:name="_Toc179632596"/>
      <w:bookmarkEnd w:id="208"/>
      <w:bookmarkStart w:id="209" w:name="_Toc152045578"/>
      <w:bookmarkEnd w:id="209"/>
      <w:bookmarkStart w:id="210" w:name="_Toc2551"/>
      <w:bookmarkEnd w:id="210"/>
      <w:bookmarkStart w:id="211" w:name="_Toc152042354"/>
      <w:bookmarkEnd w:id="211"/>
      <w:bookmarkStart w:id="212" w:name="_Toc144974546"/>
      <w:r>
        <w:rPr>
          <w:rFonts w:hint="eastAsia" w:ascii="宋体" w:hAnsi="宋体" w:eastAsia="宋体"/>
          <w:color w:val="000000" w:themeColor="text1"/>
          <w:sz w:val="21"/>
          <w:szCs w:val="21"/>
          <w:u w:val="none"/>
          <w14:textFill>
            <w14:solidFill>
              <w14:schemeClr w14:val="tx1"/>
            </w14:solidFill>
          </w14:textFill>
        </w:rPr>
        <w:t xml:space="preserve">9.4 </w:t>
      </w:r>
      <w:bookmarkEnd w:id="212"/>
      <w:r>
        <w:rPr>
          <w:rFonts w:hint="eastAsia" w:ascii="宋体" w:hAnsi="宋体" w:eastAsia="宋体"/>
          <w:color w:val="000000" w:themeColor="text1"/>
          <w:sz w:val="21"/>
          <w:szCs w:val="21"/>
          <w:u w:val="none"/>
          <w14:textFill>
            <w14:solidFill>
              <w14:schemeClr w14:val="tx1"/>
            </w14:solidFill>
          </w14:textFill>
        </w:rPr>
        <w:t>对与评标活动有关的工作人员的纪律要求</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bookmarkStart w:id="213" w:name="_Toc152042355"/>
      <w:bookmarkEnd w:id="213"/>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35"/>
        <w:keepLines w:val="0"/>
        <w:kinsoku w:val="0"/>
        <w:overflowPunct w:val="0"/>
        <w:autoSpaceDE w:val="0"/>
        <w:autoSpaceDN w:val="0"/>
        <w:adjustRightInd w:val="0"/>
        <w:snapToGrid w:val="0"/>
        <w:spacing w:line="360" w:lineRule="auto"/>
        <w:ind w:firstLine="420" w:firstLineChars="200"/>
        <w:rPr>
          <w:rFonts w:ascii="宋体" w:hAnsi="宋体" w:eastAsia="宋体"/>
          <w:color w:val="000000" w:themeColor="text1"/>
          <w:sz w:val="21"/>
          <w:szCs w:val="21"/>
          <w:u w:val="none"/>
          <w14:textFill>
            <w14:solidFill>
              <w14:schemeClr w14:val="tx1"/>
            </w14:solidFill>
          </w14:textFill>
        </w:rPr>
      </w:pPr>
      <w:bookmarkStart w:id="214" w:name="_Toc152045579"/>
      <w:bookmarkEnd w:id="214"/>
      <w:bookmarkStart w:id="215" w:name="_Toc152042356"/>
      <w:bookmarkEnd w:id="215"/>
      <w:bookmarkStart w:id="216" w:name="_Toc179632597"/>
      <w:bookmarkEnd w:id="216"/>
      <w:bookmarkStart w:id="217" w:name="_Toc2517"/>
      <w:r>
        <w:rPr>
          <w:rFonts w:hint="eastAsia" w:ascii="宋体" w:hAnsi="宋体" w:eastAsia="宋体"/>
          <w:color w:val="000000" w:themeColor="text1"/>
          <w:sz w:val="21"/>
          <w:szCs w:val="21"/>
          <w:u w:val="none"/>
          <w14:textFill>
            <w14:solidFill>
              <w14:schemeClr w14:val="tx1"/>
            </w14:solidFill>
          </w14:textFill>
        </w:rPr>
        <w:t xml:space="preserve">9.5 </w:t>
      </w:r>
      <w:bookmarkEnd w:id="217"/>
      <w:r>
        <w:rPr>
          <w:rFonts w:hint="eastAsia" w:ascii="宋体" w:hAnsi="宋体" w:eastAsia="宋体"/>
          <w:color w:val="000000" w:themeColor="text1"/>
          <w:sz w:val="21"/>
          <w:szCs w:val="21"/>
          <w:u w:val="none"/>
          <w14:textFill>
            <w14:solidFill>
              <w14:schemeClr w14:val="tx1"/>
            </w14:solidFill>
          </w14:textFill>
        </w:rPr>
        <w:t>投诉</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投标人和其他利害关系人认为本次招标活动违反法律、法规和规章规定的，有权向有关行政监督部门投诉。</w:t>
      </w:r>
    </w:p>
    <w:p>
      <w:pPr>
        <w:pStyle w:val="7"/>
        <w:keepLines w:val="0"/>
        <w:kinsoku w:val="0"/>
        <w:overflowPunct w:val="0"/>
        <w:autoSpaceDE w:val="0"/>
        <w:autoSpaceDN w:val="0"/>
        <w:adjustRightInd w:val="0"/>
        <w:snapToGrid w:val="0"/>
        <w:rPr>
          <w:rFonts w:ascii="宋体" w:hAnsi="宋体"/>
          <w:color w:val="000000" w:themeColor="text1"/>
          <w:sz w:val="21"/>
          <w:szCs w:val="21"/>
          <w14:textFill>
            <w14:solidFill>
              <w14:schemeClr w14:val="tx1"/>
            </w14:solidFill>
          </w14:textFill>
        </w:rPr>
      </w:pPr>
      <w:bookmarkStart w:id="218" w:name="_Toc232470823"/>
      <w:bookmarkEnd w:id="218"/>
      <w:bookmarkStart w:id="219" w:name="_Toc144974547"/>
      <w:bookmarkEnd w:id="219"/>
      <w:bookmarkStart w:id="220" w:name="_Toc152042357"/>
      <w:bookmarkEnd w:id="220"/>
      <w:bookmarkStart w:id="221" w:name="_Toc179632598"/>
      <w:bookmarkEnd w:id="221"/>
      <w:bookmarkStart w:id="222" w:name="_Toc152045580"/>
      <w:bookmarkEnd w:id="222"/>
      <w:bookmarkStart w:id="223" w:name="_Toc25149"/>
      <w:r>
        <w:rPr>
          <w:rFonts w:hint="eastAsia" w:ascii="宋体" w:hAnsi="宋体"/>
          <w:color w:val="000000" w:themeColor="text1"/>
          <w:sz w:val="21"/>
          <w:szCs w:val="21"/>
          <w14:textFill>
            <w14:solidFill>
              <w14:schemeClr w14:val="tx1"/>
            </w14:solidFill>
          </w14:textFill>
        </w:rPr>
        <w:t xml:space="preserve">10. </w:t>
      </w:r>
      <w:bookmarkEnd w:id="223"/>
      <w:r>
        <w:rPr>
          <w:rFonts w:hint="eastAsia" w:ascii="宋体" w:hAnsi="宋体"/>
          <w:color w:val="000000" w:themeColor="text1"/>
          <w:sz w:val="21"/>
          <w:szCs w:val="21"/>
          <w14:textFill>
            <w14:solidFill>
              <w14:schemeClr w14:val="tx1"/>
            </w14:solidFill>
          </w14:textFill>
        </w:rPr>
        <w:t>需要补充的其他内容</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见投标人须知前附表</w:t>
      </w:r>
    </w:p>
    <w:p>
      <w:pPr>
        <w:kinsoku w:val="0"/>
        <w:overflowPunct w:val="0"/>
        <w:autoSpaceDE w:val="0"/>
        <w:autoSpaceDN w:val="0"/>
        <w:adjustRightInd w:val="0"/>
        <w:snapToGrid w:val="0"/>
        <w:spacing w:line="360" w:lineRule="auto"/>
        <w:ind w:right="22" w:firstLine="420" w:firstLineChars="200"/>
        <w:rPr>
          <w:rFonts w:ascii="宋体" w:hAnsi="宋体"/>
          <w:color w:val="000000" w:themeColor="text1"/>
          <w14:textFill>
            <w14:solidFill>
              <w14:schemeClr w14:val="tx1"/>
            </w14:solidFill>
          </w14:textFill>
        </w:rPr>
      </w:pPr>
    </w:p>
    <w:p>
      <w:pPr>
        <w:kinsoku w:val="0"/>
        <w:overflowPunct w:val="0"/>
        <w:autoSpaceDE w:val="0"/>
        <w:autoSpaceDN w:val="0"/>
        <w:adjustRightInd w:val="0"/>
        <w:snapToGrid w:val="0"/>
        <w:spacing w:line="360" w:lineRule="auto"/>
        <w:ind w:right="22" w:firstLine="723" w:firstLineChars="200"/>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br w:type="page"/>
      </w: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第三章  评标办法</w:t>
      </w:r>
    </w:p>
    <w:p>
      <w:pPr>
        <w:kinsoku w:val="0"/>
        <w:overflowPunct w:val="0"/>
        <w:autoSpaceDE w:val="0"/>
        <w:autoSpaceDN w:val="0"/>
        <w:adjustRightInd w:val="0"/>
        <w:snapToGrid w:val="0"/>
        <w:spacing w:line="360" w:lineRule="auto"/>
        <w:jc w:val="center"/>
        <w:outlineLvl w:val="0"/>
        <w:rPr>
          <w:rFonts w:ascii="宋体" w:hAnsi="宋体"/>
          <w:bCs/>
          <w:color w:val="000000" w:themeColor="text1"/>
          <w:sz w:val="28"/>
          <w:szCs w:val="36"/>
          <w14:textFill>
            <w14:solidFill>
              <w14:schemeClr w14:val="tx1"/>
            </w14:solidFill>
          </w14:textFill>
        </w:rPr>
      </w:pPr>
      <w:r>
        <w:rPr>
          <w:rFonts w:hint="eastAsia" w:ascii="宋体" w:hAnsi="宋体"/>
          <w:color w:val="000000" w:themeColor="text1"/>
          <w:sz w:val="24"/>
          <w:szCs w:val="32"/>
          <w14:textFill>
            <w14:solidFill>
              <w14:schemeClr w14:val="tx1"/>
            </w14:solidFill>
          </w14:textFill>
        </w:rPr>
        <w:t>（综合评估法）</w:t>
      </w:r>
    </w:p>
    <w:p>
      <w:pPr>
        <w:kinsoku w:val="0"/>
        <w:overflowPunct w:val="0"/>
        <w:autoSpaceDE w:val="0"/>
        <w:autoSpaceDN w:val="0"/>
        <w:adjustRightInd w:val="0"/>
        <w:snapToGrid w:val="0"/>
        <w:spacing w:after="312" w:afterLines="100"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评标办法前附表</w:t>
      </w:r>
    </w:p>
    <w:tbl>
      <w:tblPr>
        <w:tblStyle w:val="1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19"/>
        <w:gridCol w:w="1949"/>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5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条款号</w:t>
            </w: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评审因素</w:t>
            </w:r>
          </w:p>
        </w:tc>
        <w:tc>
          <w:tcPr>
            <w:tcW w:w="527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4" w:type="dxa"/>
            <w:vMerge w:val="restart"/>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w:t>
            </w:r>
          </w:p>
        </w:tc>
        <w:tc>
          <w:tcPr>
            <w:tcW w:w="1119" w:type="dxa"/>
            <w:vMerge w:val="restart"/>
            <w:tcBorders>
              <w:top w:val="nil"/>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形式评审投标人名称</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    准</w:t>
            </w: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w:t>
            </w:r>
          </w:p>
        </w:tc>
        <w:tc>
          <w:tcPr>
            <w:tcW w:w="527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投标函签字盖章</w:t>
            </w:r>
          </w:p>
        </w:tc>
        <w:tc>
          <w:tcPr>
            <w:tcW w:w="527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投标文件格式</w:t>
            </w:r>
          </w:p>
        </w:tc>
        <w:tc>
          <w:tcPr>
            <w:tcW w:w="527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联合体投标人</w:t>
            </w:r>
          </w:p>
        </w:tc>
        <w:tc>
          <w:tcPr>
            <w:tcW w:w="527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报价唯一</w:t>
            </w:r>
          </w:p>
        </w:tc>
        <w:tc>
          <w:tcPr>
            <w:tcW w:w="527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34" w:type="dxa"/>
            <w:vMerge w:val="restart"/>
            <w:tcBorders>
              <w:top w:val="nil"/>
              <w:left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2.1.2</w:t>
            </w:r>
          </w:p>
        </w:tc>
        <w:tc>
          <w:tcPr>
            <w:tcW w:w="1119" w:type="dxa"/>
            <w:vMerge w:val="restart"/>
            <w:tcBorders>
              <w:top w:val="nil"/>
              <w:left w:val="nil"/>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资格评审</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    准</w:t>
            </w: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落实政府采购政策满足的资格要求</w:t>
            </w:r>
          </w:p>
        </w:tc>
        <w:tc>
          <w:tcPr>
            <w:tcW w:w="5277" w:type="dxa"/>
            <w:tcBorders>
              <w:top w:val="single" w:color="auto" w:sz="4" w:space="0"/>
              <w:left w:val="nil"/>
              <w:bottom w:val="single" w:color="auto" w:sz="4" w:space="0"/>
              <w:right w:val="single" w:color="auto" w:sz="4" w:space="0"/>
            </w:tcBorders>
            <w:vAlign w:val="center"/>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政府采购促进中小企业发展管理办法》财库【2020】46号规定本项目专门面向中小企业采购，符合条件的供应商应按文件要求提供相应声明函。（监狱企业、残疾人福利性单位视同小微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4" w:type="dxa"/>
            <w:vMerge w:val="continue"/>
            <w:tcBorders>
              <w:top w:val="nil"/>
              <w:left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19" w:type="dxa"/>
            <w:vMerge w:val="continue"/>
            <w:tcBorders>
              <w:top w:val="nil"/>
              <w:left w:val="nil"/>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营业执照</w:t>
            </w:r>
          </w:p>
        </w:tc>
        <w:tc>
          <w:tcPr>
            <w:tcW w:w="5277" w:type="dxa"/>
            <w:tcBorders>
              <w:top w:val="single" w:color="auto" w:sz="4" w:space="0"/>
              <w:left w:val="nil"/>
              <w:bottom w:val="single" w:color="auto" w:sz="4" w:space="0"/>
              <w:right w:val="single" w:color="auto" w:sz="4" w:space="0"/>
            </w:tcBorders>
            <w:vAlign w:val="center"/>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color w:val="000000" w:themeColor="text1"/>
                <w:sz w:val="22"/>
                <w:szCs w:val="28"/>
                <w14:textFill>
                  <w14:solidFill>
                    <w14:schemeClr w14:val="tx1"/>
                  </w14:solidFill>
                </w14:textFill>
              </w:rPr>
              <w:t>具有独立承担民事责任的能力，</w:t>
            </w:r>
            <w:r>
              <w:rPr>
                <w:rFonts w:hint="eastAsia" w:ascii="宋体" w:hAnsi="宋体"/>
                <w:color w:val="000000" w:themeColor="text1"/>
                <w14:textFill>
                  <w14:solidFill>
                    <w14:schemeClr w14:val="tx1"/>
                  </w14:solidFill>
                </w14:textFill>
              </w:rPr>
              <w:t>须持有有效的企业法人营业执照、税务登记证、组织机构代码证（或三证合一营业执照扫描件或复印件，也可提供电子营业执照）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4" w:type="dxa"/>
            <w:vMerge w:val="continue"/>
            <w:tcBorders>
              <w:top w:val="nil"/>
              <w:left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19" w:type="dxa"/>
            <w:vMerge w:val="continue"/>
            <w:tcBorders>
              <w:top w:val="nil"/>
              <w:left w:val="nil"/>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44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资质等级、安全生产许可证</w:t>
            </w:r>
          </w:p>
        </w:tc>
        <w:tc>
          <w:tcPr>
            <w:tcW w:w="5277" w:type="dxa"/>
            <w:tcBorders>
              <w:top w:val="single" w:color="auto" w:sz="4" w:space="0"/>
              <w:left w:val="nil"/>
              <w:bottom w:val="single" w:color="auto" w:sz="4" w:space="0"/>
              <w:right w:val="single" w:color="auto" w:sz="4" w:space="0"/>
            </w:tcBorders>
            <w:vAlign w:val="center"/>
          </w:tcPr>
          <w:p>
            <w:pPr>
              <w:spacing w:line="273" w:lineRule="auto"/>
              <w:jc w:val="left"/>
              <w:rPr>
                <w:rFonts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投标人</w:t>
            </w:r>
            <w:r>
              <w:rPr>
                <w:rFonts w:hint="eastAsia" w:ascii="宋体" w:hAnsi="宋体"/>
                <w:color w:val="000000" w:themeColor="text1"/>
                <w14:textFill>
                  <w14:solidFill>
                    <w14:schemeClr w14:val="tx1"/>
                  </w14:solidFill>
                </w14:textFill>
              </w:rPr>
              <w:t>具备建筑工程施工总承包三级及以上资质，</w:t>
            </w:r>
            <w:r>
              <w:rPr>
                <w:rFonts w:hint="eastAsia" w:ascii="宋体" w:hAnsi="宋体" w:cs="宋体"/>
                <w:bCs/>
                <w:color w:val="000000" w:themeColor="text1"/>
                <w14:textFill>
                  <w14:solidFill>
                    <w14:schemeClr w14:val="tx1"/>
                  </w14:solidFill>
                </w14:textFill>
              </w:rPr>
              <w:t>持有有效的企业</w:t>
            </w:r>
            <w:r>
              <w:rPr>
                <w:rFonts w:hint="eastAsia" w:ascii="宋体" w:hAnsi="宋体"/>
                <w:color w:val="000000" w:themeColor="text1"/>
                <w14:textFill>
                  <w14:solidFill>
                    <w14:schemeClr w14:val="tx1"/>
                  </w14:solidFill>
                </w14:textFill>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项目经理</w:t>
            </w:r>
          </w:p>
        </w:tc>
        <w:tc>
          <w:tcPr>
            <w:tcW w:w="5277" w:type="dxa"/>
            <w:tcBorders>
              <w:top w:val="single" w:color="auto" w:sz="4" w:space="0"/>
              <w:left w:val="nil"/>
              <w:bottom w:val="single" w:color="auto" w:sz="4" w:space="0"/>
              <w:right w:val="single" w:color="auto" w:sz="4" w:space="0"/>
            </w:tcBorders>
            <w:vAlign w:val="center"/>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投标人拟派项目经理须具备建筑工程专业二级及以上注册建造师执业资格和有效的安全生产考核合格证书，且现阶段未担任其他在建工程的项目经理；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技术负责人</w:t>
            </w:r>
          </w:p>
        </w:tc>
        <w:tc>
          <w:tcPr>
            <w:tcW w:w="5277" w:type="dxa"/>
            <w:tcBorders>
              <w:top w:val="single" w:color="auto" w:sz="4" w:space="0"/>
              <w:left w:val="nil"/>
              <w:bottom w:val="single" w:color="auto" w:sz="4" w:space="0"/>
              <w:right w:val="single" w:color="auto" w:sz="4" w:space="0"/>
            </w:tcBorders>
            <w:vAlign w:val="center"/>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技术负责人具有相关专业工程师或以上职称</w:t>
            </w:r>
            <w:r>
              <w:rPr>
                <w:rFonts w:hint="eastAsia" w:ascii="宋体" w:hAnsi="宋体" w:cs="宋体"/>
                <w:bCs/>
                <w:color w:val="000000" w:themeColor="text1"/>
                <w14:textFill>
                  <w14:solidFill>
                    <w14:schemeClr w14:val="tx1"/>
                  </w14:solidFill>
                </w14:textFill>
              </w:rPr>
              <w:t>，具有有效的职称证书</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73" w:lineRule="auto"/>
              <w:jc w:val="left"/>
              <w:rPr>
                <w:rFonts w:hint="eastAsia"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拟派其他主要人员（五大员）</w:t>
            </w:r>
          </w:p>
        </w:tc>
        <w:tc>
          <w:tcPr>
            <w:tcW w:w="5277" w:type="dxa"/>
            <w:tcBorders>
              <w:top w:val="single" w:color="auto" w:sz="4" w:space="0"/>
              <w:left w:val="nil"/>
              <w:bottom w:val="single" w:color="auto" w:sz="4" w:space="0"/>
              <w:right w:val="single" w:color="auto" w:sz="4" w:space="0"/>
            </w:tcBorders>
            <w:vAlign w:val="center"/>
          </w:tcPr>
          <w:p>
            <w:pPr>
              <w:spacing w:line="273" w:lineRule="auto"/>
              <w:jc w:val="left"/>
              <w:rPr>
                <w:rFonts w:hint="eastAsia"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拟派其他主要人员（五大员）：质量员（质检员）、施工员、资料员、安全员（或专职安全员）、材料员相关资格证书或职业培训合格证书；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73"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投标人拟派项目经理、技术负责人及委托代理人</w:t>
            </w:r>
          </w:p>
        </w:tc>
        <w:tc>
          <w:tcPr>
            <w:tcW w:w="5277" w:type="dxa"/>
            <w:tcBorders>
              <w:top w:val="single" w:color="auto" w:sz="4" w:space="0"/>
              <w:left w:val="nil"/>
              <w:bottom w:val="single" w:color="auto" w:sz="4" w:space="0"/>
              <w:right w:val="single" w:color="auto" w:sz="4" w:space="0"/>
            </w:tcBorders>
            <w:vAlign w:val="center"/>
          </w:tcPr>
          <w:p>
            <w:pPr>
              <w:spacing w:line="273" w:lineRule="auto"/>
              <w:jc w:val="lef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投标人拟派项目经理、技术负责人及委托代理人</w:t>
            </w:r>
            <w:r>
              <w:rPr>
                <w:rFonts w:hint="eastAsia" w:ascii="宋体" w:hAnsi="宋体"/>
                <w:color w:val="000000" w:themeColor="text1"/>
                <w14:textFill>
                  <w14:solidFill>
                    <w14:schemeClr w14:val="tx1"/>
                  </w14:solidFill>
                </w14:textFill>
              </w:rPr>
              <w:t>提供</w:t>
            </w:r>
            <w:r>
              <w:rPr>
                <w:rFonts w:hint="eastAsia" w:ascii="宋体" w:hAnsi="宋体" w:cs="宋体"/>
                <w:bCs/>
                <w:color w:val="000000" w:themeColor="text1"/>
                <w14:textFill>
                  <w14:solidFill>
                    <w14:schemeClr w14:val="tx1"/>
                  </w14:solidFill>
                </w14:textFill>
              </w:rPr>
              <w:t>为其缴纳的</w:t>
            </w:r>
            <w:r>
              <w:rPr>
                <w:rFonts w:hint="eastAsia" w:ascii="宋体" w:hAnsi="宋体" w:cs="宋体"/>
                <w:color w:val="000000" w:themeColor="text1"/>
                <w14:textFill>
                  <w14:solidFill>
                    <w14:schemeClr w14:val="tx1"/>
                  </w14:solidFill>
                </w14:textFill>
              </w:rPr>
              <w:t>2023年1月1日以来至少6个月</w:t>
            </w:r>
            <w:r>
              <w:rPr>
                <w:rFonts w:hint="eastAsia" w:ascii="宋体" w:hAnsi="宋体" w:cs="宋体"/>
                <w:bCs/>
                <w:color w:val="000000" w:themeColor="text1"/>
                <w14:textFill>
                  <w14:solidFill>
                    <w14:schemeClr w14:val="tx1"/>
                  </w14:solidFill>
                </w14:textFill>
              </w:rPr>
              <w:t>的养老保险证明。（新聘用的人员从聘用之日算起）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right w:val="single" w:color="auto" w:sz="4" w:space="0"/>
            </w:tcBorders>
            <w:tcMar>
              <w:top w:w="0" w:type="dxa"/>
              <w:left w:w="57" w:type="dxa"/>
              <w:bottom w:w="0" w:type="dxa"/>
              <w:right w:w="57" w:type="dxa"/>
            </w:tcMar>
            <w:vAlign w:val="center"/>
          </w:tcPr>
          <w:p>
            <w:pPr>
              <w:spacing w:line="273"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宝丰县政府采购供应商信用承诺函</w:t>
            </w:r>
          </w:p>
        </w:tc>
        <w:tc>
          <w:tcPr>
            <w:tcW w:w="5277" w:type="dxa"/>
            <w:tcBorders>
              <w:top w:val="single" w:color="auto" w:sz="4" w:space="0"/>
              <w:left w:val="nil"/>
              <w:right w:val="single" w:color="auto" w:sz="4" w:space="0"/>
            </w:tcBorders>
            <w:vAlign w:val="center"/>
          </w:tcPr>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s="宋体"/>
                <w:bCs/>
                <w:color w:val="000000" w:themeColor="text1"/>
                <w14:textFill>
                  <w14:solidFill>
                    <w14:schemeClr w14:val="tx1"/>
                  </w14:solidFill>
                </w14:textFill>
              </w:rPr>
              <w:t>需具</w:t>
            </w:r>
            <w:r>
              <w:rPr>
                <w:rFonts w:hint="eastAsia" w:ascii="宋体" w:hAnsi="宋体"/>
                <w:color w:val="000000" w:themeColor="text1"/>
                <w14:textFill>
                  <w14:solidFill>
                    <w14:schemeClr w14:val="tx1"/>
                  </w14:solidFill>
                </w14:textFill>
              </w:rPr>
              <w:t>有良好的商业信誉和健全的财务会计制度。（投标人无需提供证明材料，只需在投标文件格式中填写宝丰县政府采购供应商信用承诺函)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投标人需具有履行合同所必需的设备和专业技术能力。（投标人无需提供证明材料，只需在投标文件格式中填写宝丰县政府采购供应商信用承诺函)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s="宋体"/>
                <w:bCs/>
                <w:color w:val="000000" w:themeColor="text1"/>
                <w14:textFill>
                  <w14:solidFill>
                    <w14:schemeClr w14:val="tx1"/>
                  </w14:solidFill>
                </w14:textFill>
              </w:rPr>
              <w:t>需具</w:t>
            </w:r>
            <w:r>
              <w:rPr>
                <w:rFonts w:hint="eastAsia" w:ascii="宋体" w:hAnsi="宋体"/>
                <w:color w:val="000000" w:themeColor="text1"/>
                <w14:textFill>
                  <w14:solidFill>
                    <w14:schemeClr w14:val="tx1"/>
                  </w14:solidFill>
                </w14:textFill>
              </w:rPr>
              <w:t>有依法缴纳税收和社会保障资金的良好记录。（投标人无需提供证明材料，只需在投标文件格式中填写宝丰县政府采购供应商信用承诺函)</w:t>
            </w:r>
          </w:p>
          <w:p>
            <w:pPr>
              <w:kinsoku w:val="0"/>
              <w:overflowPunct w:val="0"/>
              <w:autoSpaceDE w:val="0"/>
              <w:autoSpaceDN w:val="0"/>
              <w:adjustRightInd w:val="0"/>
              <w:snapToGrid w:val="0"/>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投标人参加政府采购活动近三年内，在经营活动中没有重大违法记录。</w:t>
            </w:r>
            <w:r>
              <w:rPr>
                <w:rFonts w:hint="eastAsia"/>
                <w:color w:val="000000" w:themeColor="text1"/>
                <w:shd w:val="clear" w:color="auto" w:fill="FFFFFF"/>
                <w14:textFill>
                  <w14:solidFill>
                    <w14:schemeClr w14:val="tx1"/>
                  </w14:solidFill>
                </w14:textFill>
              </w:rPr>
              <w:t>（投标人无需提供证明材料，只需在投标文件格式中填写宝丰县政府采购供应商信用承诺函)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其他要求</w:t>
            </w:r>
          </w:p>
        </w:tc>
        <w:tc>
          <w:tcPr>
            <w:tcW w:w="5277" w:type="dxa"/>
            <w:tcBorders>
              <w:top w:val="single" w:color="auto" w:sz="4" w:space="0"/>
              <w:left w:val="nil"/>
              <w:bottom w:val="single" w:color="auto" w:sz="4" w:space="0"/>
              <w:right w:val="single" w:color="auto" w:sz="4" w:space="0"/>
            </w:tcBorders>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要求：（投标人出具书面声明，格式自拟）：（1）企业没有处于被责令停业、投标资格被取消，财产没有被接管、冻结、破产状态；（2）近三年来在经营活动中没有骗取中标和严重违约及重大质量问题；（3）未存在被有关部门暂停投标资格并在暂停期内；（4）投标人未被列入失信被执行人、重大税收违法失信主体、政府采购严重违法失信行为记录名单；（5）单位负责人为同一人或者存在直接控股、管理关系的不同投标人，不得参加同一合同项下的政府采购活动（以“国家企业信用信息公示系统”查询为准，需包含公司基本信息、股东信息及股权变更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资料真实性承诺</w:t>
            </w:r>
          </w:p>
        </w:tc>
        <w:tc>
          <w:tcPr>
            <w:tcW w:w="5277" w:type="dxa"/>
            <w:tcBorders>
              <w:top w:val="single" w:color="auto" w:sz="4" w:space="0"/>
              <w:left w:val="nil"/>
              <w:bottom w:val="single" w:color="auto" w:sz="4" w:space="0"/>
              <w:right w:val="single" w:color="auto" w:sz="4" w:space="0"/>
            </w:tcBorders>
          </w:tcPr>
          <w:p>
            <w:pPr>
              <w:spacing w:line="273"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投标企业提供的所有资料经核查后出现任何虚假资料的，直接取消其投标资格。（提供书面承诺）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4" w:type="dxa"/>
            <w:vMerge w:val="restart"/>
            <w:tcBorders>
              <w:top w:val="nil"/>
              <w:left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2.1.3</w:t>
            </w:r>
          </w:p>
        </w:tc>
        <w:tc>
          <w:tcPr>
            <w:tcW w:w="1119" w:type="dxa"/>
            <w:vMerge w:val="restart"/>
            <w:tcBorders>
              <w:top w:val="nil"/>
              <w:left w:val="nil"/>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响 应 性</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评审标准</w:t>
            </w: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投标内容</w:t>
            </w:r>
          </w:p>
        </w:tc>
        <w:tc>
          <w:tcPr>
            <w:tcW w:w="52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工期</w:t>
            </w:r>
          </w:p>
        </w:tc>
        <w:tc>
          <w:tcPr>
            <w:tcW w:w="52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符合或优于第二章“投标人须知前附表”第1.3.2项规定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工程质量</w:t>
            </w:r>
          </w:p>
        </w:tc>
        <w:tc>
          <w:tcPr>
            <w:tcW w:w="52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符合或优于第二章“投标人须知前附表”第1.3.3项规定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4" w:type="dxa"/>
            <w:vMerge w:val="continue"/>
            <w:tcBorders>
              <w:left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投标保证金</w:t>
            </w:r>
          </w:p>
        </w:tc>
        <w:tc>
          <w:tcPr>
            <w:tcW w:w="52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符合第二章“投标人须知前附表”第</w:t>
            </w:r>
            <w:r>
              <w:rPr>
                <w:rFonts w:ascii="宋体" w:hAnsi="宋体"/>
                <w:color w:val="000000" w:themeColor="text1"/>
                <w14:textFill>
                  <w14:solidFill>
                    <w14:schemeClr w14:val="tx1"/>
                  </w14:solidFill>
                </w14:textFill>
              </w:rPr>
              <w:t>3.4.1</w:t>
            </w:r>
            <w:r>
              <w:rPr>
                <w:rFonts w:hint="eastAsia" w:ascii="宋体" w:hAnsi="宋体"/>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119" w:type="dxa"/>
            <w:vMerge w:val="continue"/>
            <w:tcBorders>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4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投标有效期</w:t>
            </w:r>
          </w:p>
        </w:tc>
        <w:tc>
          <w:tcPr>
            <w:tcW w:w="527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7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2.2.1</w:t>
            </w:r>
          </w:p>
        </w:tc>
        <w:tc>
          <w:tcPr>
            <w:tcW w:w="111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分值构成</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（总分100分）</w:t>
            </w:r>
          </w:p>
        </w:tc>
        <w:tc>
          <w:tcPr>
            <w:tcW w:w="7226"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技术部分：</w:t>
            </w:r>
            <w:r>
              <w:rPr>
                <w:rFonts w:hint="eastAsia" w:ascii="宋体" w:hAnsi="宋体"/>
                <w:color w:val="000000" w:themeColor="text1"/>
                <w:u w:val="single"/>
                <w14:textFill>
                  <w14:solidFill>
                    <w14:schemeClr w14:val="tx1"/>
                  </w14:solidFill>
                </w14:textFill>
              </w:rPr>
              <w:t xml:space="preserve"> 25 </w:t>
            </w:r>
            <w:r>
              <w:rPr>
                <w:rFonts w:hint="eastAsia" w:ascii="宋体" w:hAnsi="宋体"/>
                <w:color w:val="000000" w:themeColor="text1"/>
                <w14:textFill>
                  <w14:solidFill>
                    <w14:schemeClr w14:val="tx1"/>
                  </w14:solidFill>
                </w14:textFill>
              </w:rPr>
              <w:t>分</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商务部分：</w:t>
            </w:r>
            <w:r>
              <w:rPr>
                <w:rFonts w:hint="eastAsia" w:ascii="宋体" w:hAnsi="宋体"/>
                <w:color w:val="000000" w:themeColor="text1"/>
                <w:u w:val="single"/>
                <w14:textFill>
                  <w14:solidFill>
                    <w14:schemeClr w14:val="tx1"/>
                  </w14:solidFill>
                </w14:textFill>
              </w:rPr>
              <w:t xml:space="preserve"> 50 </w:t>
            </w:r>
            <w:r>
              <w:rPr>
                <w:rFonts w:hint="eastAsia" w:ascii="宋体" w:hAnsi="宋体"/>
                <w:color w:val="000000" w:themeColor="text1"/>
                <w14:textFill>
                  <w14:solidFill>
                    <w14:schemeClr w14:val="tx1"/>
                  </w14:solidFill>
                </w14:textFill>
              </w:rPr>
              <w:t>分</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其他因素评分：</w:t>
            </w:r>
            <w:r>
              <w:rPr>
                <w:rFonts w:hint="eastAsia" w:ascii="宋体" w:hAnsi="宋体"/>
                <w:color w:val="000000" w:themeColor="text1"/>
                <w:u w:val="single"/>
                <w14:textFill>
                  <w14:solidFill>
                    <w14:schemeClr w14:val="tx1"/>
                  </w14:solidFill>
                </w14:textFill>
              </w:rPr>
              <w:t xml:space="preserve"> 25 </w:t>
            </w:r>
            <w:r>
              <w:rPr>
                <w:rFonts w:hint="eastAsia" w:ascii="宋体" w:hAnsi="宋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p>
        </w:tc>
        <w:tc>
          <w:tcPr>
            <w:tcW w:w="111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评标基准价计算方法</w:t>
            </w:r>
          </w:p>
        </w:tc>
        <w:tc>
          <w:tcPr>
            <w:tcW w:w="7226"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投报的工程量清单总报价【含安全文明施工措施费（不含税）、规费（不含税）、税金】及安全文明施工措施费（不含税）、规费（不含税）、税金高于招标控制价的，其投标被否决且其投报的工程量清单报价不参与评标基准价的计算】</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工程量清单报价评标基准价的按下列公式确定：</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评标基准价=招标控制价【不含安全文明施工措施费（不含税）、规费（不含税）、税金】×K+工程量清单报价【不含安全文明施工措施费（不含税）、规费（不含税）、税金】×（1-K）</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中：当有效投标人大于5家（不含5家）时，工程量清单报价为各有效投标人工程量清单报价，去掉一个最高和一个最低报价后的算术平均值；当有效投标人少于5家时（含5家），工程量清单报价则以所有有效投标人工程量清单报价直接作算术平均值。</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K为招标控制价权重系数，分别为0.3≦K≦0.5（0.3、0.4、0.5），在开标现场随机抽取。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w:t>
            </w:r>
          </w:p>
        </w:tc>
        <w:tc>
          <w:tcPr>
            <w:tcW w:w="111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投标报价的偏差率</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计算公式</w:t>
            </w:r>
          </w:p>
        </w:tc>
        <w:tc>
          <w:tcPr>
            <w:tcW w:w="7226"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偏差率=100% ×（投标人投报工程量清单报价-评标基准值）/评标基准值</w:t>
            </w:r>
          </w:p>
        </w:tc>
      </w:tr>
    </w:tbl>
    <w:p>
      <w:pPr>
        <w:pStyle w:val="7"/>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bookmarkStart w:id="224" w:name="_Toc23469"/>
      <w:bookmarkEnd w:id="224"/>
      <w:bookmarkStart w:id="225" w:name="_Toc184635093"/>
      <w:bookmarkEnd w:id="225"/>
    </w:p>
    <w:tbl>
      <w:tblPr>
        <w:tblStyle w:val="18"/>
        <w:tblpPr w:leftFromText="180" w:rightFromText="180" w:vertAnchor="text" w:tblpXSpec="center" w:tblpY="1"/>
        <w:tblOverlap w:val="never"/>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287"/>
        <w:gridCol w:w="916"/>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547" w:type="dxa"/>
            <w:tcBorders>
              <w:top w:val="single" w:color="auto" w:sz="4" w:space="0"/>
            </w:tcBorders>
            <w:vAlign w:val="center"/>
          </w:tcPr>
          <w:p>
            <w:pPr>
              <w:spacing w:line="360" w:lineRule="auto"/>
              <w:jc w:val="center"/>
              <w:rPr>
                <w:rFonts w:ascii="宋体" w:hAnsi="宋体" w:cs="宋体"/>
                <w:b/>
                <w:color w:val="000000" w:themeColor="text1"/>
                <w:sz w:val="22"/>
                <w14:textFill>
                  <w14:solidFill>
                    <w14:schemeClr w14:val="tx1"/>
                  </w14:solidFill>
                </w14:textFill>
              </w:rPr>
            </w:pPr>
            <w:r>
              <w:rPr>
                <w:rFonts w:hint="eastAsia" w:ascii="宋体" w:hAnsi="宋体"/>
                <w:b/>
                <w:color w:val="000000" w:themeColor="text1"/>
                <w:sz w:val="22"/>
                <w:szCs w:val="32"/>
                <w14:textFill>
                  <w14:solidFill>
                    <w14:schemeClr w14:val="tx1"/>
                  </w14:solidFill>
                </w14:textFill>
              </w:rPr>
              <w:t>评标项目</w:t>
            </w:r>
          </w:p>
        </w:tc>
        <w:tc>
          <w:tcPr>
            <w:tcW w:w="2203" w:type="dxa"/>
            <w:gridSpan w:val="2"/>
            <w:vAlign w:val="center"/>
          </w:tcPr>
          <w:p>
            <w:pPr>
              <w:spacing w:line="360" w:lineRule="auto"/>
              <w:jc w:val="center"/>
              <w:rPr>
                <w:rFonts w:ascii="宋体" w:hAnsi="宋体" w:cs="宋体"/>
                <w:b/>
                <w:color w:val="000000" w:themeColor="text1"/>
                <w:sz w:val="22"/>
                <w14:textFill>
                  <w14:solidFill>
                    <w14:schemeClr w14:val="tx1"/>
                  </w14:solidFill>
                </w14:textFill>
              </w:rPr>
            </w:pPr>
            <w:r>
              <w:rPr>
                <w:rFonts w:hint="eastAsia" w:ascii="宋体" w:hAnsi="宋体"/>
                <w:b/>
                <w:color w:val="000000" w:themeColor="text1"/>
                <w:sz w:val="22"/>
                <w:szCs w:val="32"/>
                <w14:textFill>
                  <w14:solidFill>
                    <w14:schemeClr w14:val="tx1"/>
                  </w14:solidFill>
                </w14:textFill>
              </w:rPr>
              <w:t>评标分值</w:t>
            </w:r>
          </w:p>
        </w:tc>
        <w:tc>
          <w:tcPr>
            <w:tcW w:w="5154" w:type="dxa"/>
            <w:vAlign w:val="center"/>
          </w:tcPr>
          <w:p>
            <w:pPr>
              <w:spacing w:line="360" w:lineRule="auto"/>
              <w:jc w:val="center"/>
              <w:rPr>
                <w:rFonts w:ascii="宋体" w:hAnsi="宋体" w:cs="宋体"/>
                <w:b/>
                <w:color w:val="000000" w:themeColor="text1"/>
                <w:sz w:val="22"/>
                <w14:textFill>
                  <w14:solidFill>
                    <w14:schemeClr w14:val="tx1"/>
                  </w14:solidFill>
                </w14:textFill>
              </w:rPr>
            </w:pPr>
            <w:r>
              <w:rPr>
                <w:rFonts w:hint="eastAsia" w:ascii="宋体" w:hAnsi="宋体"/>
                <w:b/>
                <w:color w:val="000000" w:themeColor="text1"/>
                <w:sz w:val="22"/>
                <w:szCs w:val="32"/>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47" w:type="dxa"/>
            <w:vMerge w:val="restart"/>
            <w:tcBorders>
              <w:top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施工组织设计评分标准</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25分</w:t>
            </w: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内容完整性</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技术标的主要内容具有完整性，符合招标文件的要求。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主要施工方案与技术措施</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施工方案（含工程特点、施工重点与难点及绿色施工）总体安排合理，运用先进、合理的施工工艺、施工机械；对施工难点有先进和合理的建议。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质量管理体系与措施</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组织机构形式合理，有完善的指挥系统、质量监控系统、联络协调系统，对项目提出先进、可行、具体的保证措施。主体结构质量保证措施完整得力、经济、安全、切实可行。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安全管理体系与措施</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文明施工、环境保护管理体系及施工现场扬尘治理措施</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创安全文明标准化工地目标明确，有针对项目实际情况，科学可行的创建计划和符合相关标准、规范、规程的创建保证措施和安全文明措施费用投入使用计划，符合有关文明施工、健康卫生的规定。施工现场扬尘治理措施符合河南省《城市房屋建筑和市政基础设施工程及道路扬尘污染防治标准》（DBJ41/174）的规定，防治方案科学、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工期保证措施</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工期承诺满足招标文件要求，工期保证措施合理且有针对性，有具体的违约责任承诺。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拟投入资源配备计划</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2.劳动力：投入计划与进度计划呼应，较好满足施工需要，调配投入计划合理、准确；</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3.主要物资计划：主要物资（含PC构件的供应需求）投入计划与进度计划呼应，较好满足施工需要，调配投入计划合理、准确。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tcBorders>
              <w:bottom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施工进度表与网络计划图</w:t>
            </w:r>
          </w:p>
        </w:tc>
        <w:tc>
          <w:tcPr>
            <w:tcW w:w="916" w:type="dxa"/>
            <w:tcBorders>
              <w:bottom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关键线路清晰、准确、完整、计划编制合理、可行、满足招标文件对工期的要求。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tcBorders>
              <w:top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施工总平面图布置</w:t>
            </w:r>
          </w:p>
        </w:tc>
        <w:tc>
          <w:tcPr>
            <w:tcW w:w="916" w:type="dxa"/>
            <w:tcBorders>
              <w:top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0.5-1分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总体布置基本合理、基本满足施工需要。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技术创新的应用实施措施</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（1）节能减排、（2）绿色施工、（3）工艺创新、（4）装配式建筑等技术创新的应用实施措施符合工程情况，具有针对性、可行性、经济适用性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采用新工艺、新技术、新设备、新材料、BIM等的程度</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采用新工艺、新技术、新设备、新材料、BIM等的程度满足设计要求，符合施工需要和相应技术标准等规定，经济适用。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施工现场实施信息化监控和数据处理</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0.5-1.5分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施工现场实施信息化监控和数据处理系统布置合理，满足需要。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7" w:type="dxa"/>
            <w:vMerge w:val="continue"/>
            <w:tcBorders>
              <w:bottom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风险管理措施</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风险防控管理措施齐全，风险预控符合规范要求，风险控制要点定位准确，各阶段风险控制及应急措施得力。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1547" w:type="dxa"/>
            <w:vMerge w:val="restart"/>
            <w:tcBorders>
              <w:top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综合标评分</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   准</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25分</w:t>
            </w: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企业业绩</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投标人2020年1月1日以来承担过类似工程业绩，每提供一份得3分，需要提供施工合同，以合同签订日期为准，本项最高得6分。</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注：提供合同原件扫描件或复印件加盖公章。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履职尽责承诺</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优惠承诺</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优惠承诺符合工程实际情况，确保依法依规，优惠基本合理，基本详实可行。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547" w:type="dxa"/>
            <w:vMerge w:val="continue"/>
            <w:vAlign w:val="center"/>
          </w:tcPr>
          <w:p>
            <w:pPr>
              <w:spacing w:line="360" w:lineRule="auto"/>
              <w:jc w:val="left"/>
              <w:rPr>
                <w:rFonts w:ascii="宋体" w:hAnsi="宋体" w:cs="宋体"/>
                <w:color w:val="000000" w:themeColor="text1"/>
                <w14:textFill>
                  <w14:solidFill>
                    <w14:schemeClr w14:val="tx1"/>
                  </w14:solidFill>
                </w14:textFill>
              </w:rPr>
            </w:pPr>
          </w:p>
        </w:tc>
        <w:tc>
          <w:tcPr>
            <w:tcW w:w="1287"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招标人意见</w:t>
            </w:r>
          </w:p>
        </w:tc>
        <w:tc>
          <w:tcPr>
            <w:tcW w:w="916"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招标人可根据公司整体实力及相关服务承诺进行打分。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47" w:type="dxa"/>
            <w:vMerge w:val="restart"/>
            <w:tcBorders>
              <w:top w:val="single" w:color="auto" w:sz="4" w:space="0"/>
              <w:bottom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商务评分标准</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50分</w:t>
            </w:r>
          </w:p>
        </w:tc>
        <w:tc>
          <w:tcPr>
            <w:tcW w:w="1287"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w:t>
            </w:r>
          </w:p>
        </w:tc>
        <w:tc>
          <w:tcPr>
            <w:tcW w:w="916"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30分</w:t>
            </w:r>
          </w:p>
        </w:tc>
        <w:tc>
          <w:tcPr>
            <w:tcW w:w="5154" w:type="dxa"/>
            <w:vAlign w:val="center"/>
          </w:tcPr>
          <w:p>
            <w:pPr>
              <w:spacing w:line="360" w:lineRule="auto"/>
              <w:jc w:val="left"/>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47" w:type="dxa"/>
            <w:vMerge w:val="continue"/>
            <w:tcBorders>
              <w:top w:val="single" w:color="auto" w:sz="4" w:space="0"/>
              <w:bottom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87"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分部分项工程项目清单单价评审</w:t>
            </w:r>
          </w:p>
        </w:tc>
        <w:tc>
          <w:tcPr>
            <w:tcW w:w="916"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从最高投标限价中分部分项工程项目权重最大的前10-30项清单项目中抽取15项，在剩余的分部分项工程项目清单项目中抽取5项。</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综合单价基准值是以各有效投标报价中（当有效投标人5名及以上时，去掉1个最高、1个最低值）对应抽取清单项目综合单价的算术平均值。</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投标人报价在综合单价基准值95%–103%范围内（不含95%和103%）的，每项得0.5分；在综合单价基准值90%–95%范围内（含90%和95%）每项得0.25分。满分共计10分。超出该范围的不得分。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47" w:type="dxa"/>
            <w:vMerge w:val="continue"/>
            <w:tcBorders>
              <w:top w:val="single" w:color="auto" w:sz="4" w:space="0"/>
              <w:bottom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87"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措施项目费的评审（不含安全文明措施费）</w:t>
            </w:r>
          </w:p>
        </w:tc>
        <w:tc>
          <w:tcPr>
            <w:tcW w:w="916"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5分</w:t>
            </w:r>
          </w:p>
        </w:tc>
        <w:tc>
          <w:tcPr>
            <w:tcW w:w="5154" w:type="dxa"/>
            <w:vAlign w:val="center"/>
          </w:tcPr>
          <w:p>
            <w:pPr>
              <w:spacing w:line="360" w:lineRule="auto"/>
              <w:jc w:val="left"/>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47" w:type="dxa"/>
            <w:vMerge w:val="continue"/>
            <w:tcBorders>
              <w:top w:val="single" w:color="auto" w:sz="4" w:space="0"/>
              <w:bottom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87"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 主要材料单价的评审</w:t>
            </w:r>
          </w:p>
        </w:tc>
        <w:tc>
          <w:tcPr>
            <w:tcW w:w="916"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5分</w:t>
            </w:r>
          </w:p>
        </w:tc>
        <w:tc>
          <w:tcPr>
            <w:tcW w:w="5154" w:type="dxa"/>
            <w:vAlign w:val="center"/>
          </w:tcPr>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从最高投标限价中材料总价权重最大的前10-20项材料中抽取6项，在剩余材料中抽取4项。</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主要材料单价基准值是以各有效投标报价中（当有效投标人5名及以上时，去掉1个最高、1个最低值）对应抽取材料单价的算术平均值。</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当投标人报价在材料单价基准值95%–103%范围内（不含95%和103%）每项得0.5分，在材料单价基准值90%–95%范围内（含90%和95%）每项得0.25分。超出该范围的不得分。材料单价与综合单价组成中价格不一致时该项为0分。</w:t>
            </w:r>
          </w:p>
        </w:tc>
      </w:tr>
    </w:tbl>
    <w:tbl>
      <w:tblPr>
        <w:tblStyle w:val="1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insoku w:val="0"/>
              <w:overflowPunct w:val="0"/>
              <w:autoSpaceDE w:val="0"/>
              <w:autoSpaceDN w:val="0"/>
              <w:adjustRightInd w:val="0"/>
              <w:snapToGrid w:val="0"/>
              <w:spacing w:line="360" w:lineRule="auto"/>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备注</w:t>
            </w:r>
          </w:p>
        </w:tc>
        <w:tc>
          <w:tcPr>
            <w:tcW w:w="834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ind w:firstLine="211" w:firstLineChars="100"/>
              <w:jc w:val="left"/>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上述评标过程</w:t>
            </w:r>
            <w:r>
              <w:rPr>
                <w:rFonts w:hint="eastAsia" w:ascii="宋体" w:hAnsi="宋体"/>
                <w:b/>
                <w:bCs/>
                <w:color w:val="000000" w:themeColor="text1"/>
                <w14:textFill>
                  <w14:solidFill>
                    <w14:schemeClr w14:val="tx1"/>
                  </w14:solidFill>
                </w14:textFill>
              </w:rPr>
              <w:t>涉及的证件以投标文件中的</w:t>
            </w:r>
            <w:r>
              <w:rPr>
                <w:rFonts w:hint="eastAsia" w:ascii="宋体" w:hAnsi="宋体"/>
                <w:b/>
                <w:color w:val="000000" w:themeColor="text1"/>
                <w14:textFill>
                  <w14:solidFill>
                    <w14:schemeClr w14:val="tx1"/>
                  </w14:solidFill>
                </w14:textFill>
              </w:rPr>
              <w:t>扫描件（或图片）为准，投标文件</w:t>
            </w:r>
            <w:r>
              <w:rPr>
                <w:rFonts w:hint="eastAsia" w:ascii="宋体" w:hAnsi="宋体"/>
                <w:b/>
                <w:bCs/>
                <w:color w:val="000000" w:themeColor="text1"/>
                <w:kern w:val="0"/>
                <w14:textFill>
                  <w14:solidFill>
                    <w14:schemeClr w14:val="tx1"/>
                  </w14:solidFill>
                </w14:textFill>
              </w:rPr>
              <w:t>中提供上述资料的</w:t>
            </w:r>
            <w:r>
              <w:rPr>
                <w:rFonts w:hint="eastAsia" w:ascii="宋体" w:hAnsi="宋体"/>
                <w:b/>
                <w:color w:val="000000" w:themeColor="text1"/>
                <w14:textFill>
                  <w14:solidFill>
                    <w14:schemeClr w14:val="tx1"/>
                  </w14:solidFill>
                </w14:textFill>
              </w:rPr>
              <w:t>扫描件（或图片）</w:t>
            </w:r>
            <w:r>
              <w:rPr>
                <w:rFonts w:hint="eastAsia" w:ascii="宋体" w:hAnsi="宋体"/>
                <w:b/>
                <w:bCs/>
                <w:color w:val="000000" w:themeColor="text1"/>
                <w:kern w:val="0"/>
                <w14:textFill>
                  <w14:solidFill>
                    <w14:schemeClr w14:val="tx1"/>
                  </w14:solidFill>
                </w14:textFill>
              </w:rPr>
              <w:t>必须真实有效（上述资料需提供能清晰识别其中内容的扫面件或图片，否则将不予认可），若发现提供虚假材料，招标人有权取消其中标资格，并上报相关行政监督部门，给予相应处罚或处分。</w:t>
            </w:r>
          </w:p>
        </w:tc>
      </w:tr>
    </w:tbl>
    <w:p>
      <w:pPr>
        <w:rPr>
          <w:color w:val="000000" w:themeColor="text1"/>
          <w14:textFill>
            <w14:solidFill>
              <w14:schemeClr w14:val="tx1"/>
            </w14:solidFill>
          </w14:textFill>
        </w:rPr>
      </w:pPr>
    </w:p>
    <w:p>
      <w:pPr>
        <w:pStyle w:val="7"/>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1、评标方法</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7"/>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bookmarkStart w:id="226" w:name="_Toc184635094"/>
      <w:bookmarkEnd w:id="226"/>
      <w:bookmarkStart w:id="227" w:name="_Toc1879"/>
      <w:r>
        <w:rPr>
          <w:rFonts w:hint="eastAsia" w:ascii="宋体" w:hAnsi="宋体"/>
          <w:color w:val="000000" w:themeColor="text1"/>
          <w14:textFill>
            <w14:solidFill>
              <w14:schemeClr w14:val="tx1"/>
            </w14:solidFill>
          </w14:textFill>
        </w:rPr>
        <w:t>2</w:t>
      </w:r>
      <w:bookmarkEnd w:id="227"/>
      <w:r>
        <w:rPr>
          <w:rFonts w:hint="eastAsia" w:ascii="宋体" w:hAnsi="宋体"/>
          <w:color w:val="000000" w:themeColor="text1"/>
          <w14:textFill>
            <w14:solidFill>
              <w14:schemeClr w14:val="tx1"/>
            </w14:solidFill>
          </w14:textFill>
        </w:rPr>
        <w:t>、评审标准</w:t>
      </w:r>
    </w:p>
    <w:p>
      <w:pPr>
        <w:pStyle w:val="8"/>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 初步评审标准</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 形式评审标准：见评标办法前附表。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2.1.2 资格评审标准：见评标办法前附表（适用于未进行资格预审的）。</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2.1.2 资格评审标准：见资格预审文件第三章“资格审查办法”详细审查标准（适用于已进行资格预审的）。</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2.1.3 响应性评审标准：见评标办法前附表。</w:t>
      </w:r>
    </w:p>
    <w:p>
      <w:pPr>
        <w:pStyle w:val="8"/>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 分值构成与评分标准</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2.2.1 分值构成</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(l）技术部分：见评标办法前附表；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(2）商务部分：见评标办法前附表；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(3）其他评分因素：见评标办法前附表。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 评标基准价计算</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评标基准价计算方法：见评标办法前附表。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 投标报价的偏差率计算</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投标报价的偏差率计算公式：见评标办法前附表。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 评分标准</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(1）技术部分评分标准：见评标办法前附表；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(2）商务部分评分标准：见评标办法前附表；</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(3）其他因素评分标准：见评标办法前附表。</w:t>
      </w:r>
    </w:p>
    <w:p>
      <w:pPr>
        <w:pStyle w:val="7"/>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bookmarkStart w:id="228" w:name="_Toc184635095"/>
      <w:bookmarkEnd w:id="228"/>
      <w:bookmarkStart w:id="229" w:name="_Toc7323"/>
      <w:r>
        <w:rPr>
          <w:rFonts w:hint="eastAsia" w:ascii="宋体" w:hAnsi="宋体"/>
          <w:color w:val="000000" w:themeColor="text1"/>
          <w14:textFill>
            <w14:solidFill>
              <w14:schemeClr w14:val="tx1"/>
            </w14:solidFill>
          </w14:textFill>
        </w:rPr>
        <w:t>3</w:t>
      </w:r>
      <w:bookmarkEnd w:id="229"/>
      <w:r>
        <w:rPr>
          <w:rFonts w:hint="eastAsia" w:ascii="宋体" w:hAnsi="宋体"/>
          <w:color w:val="000000" w:themeColor="text1"/>
          <w14:textFill>
            <w14:solidFill>
              <w14:schemeClr w14:val="tx1"/>
            </w14:solidFill>
          </w14:textFill>
        </w:rPr>
        <w:t>、评标程序</w:t>
      </w:r>
    </w:p>
    <w:p>
      <w:pPr>
        <w:pStyle w:val="8"/>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 初步评审</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3.1.1评标委员会依据本章第2.1 款规定的标准对投标文件进行初步评审。有一项不符合评审标准的，否决其投标。（适用于未进行资格预审的）</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 评标委员会依据本章第2.1.1 项、第2.1.3 项规定的评审标准对投标文件进行初步评审。有一项不符合评审标准的，否决其投标。当投标人资格预审申请文件的内容发生重大变化时，评标委员会依据本章第2.1.2 项规定的标准对其更新资料进行评审。（适用于已进行资格预审的）</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3.1.2 投标人有以下情形之一的，评标委员会将否决其投标：</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(l）第二章“投标人须知”第1.4.3 项规定的任何一种情形的：</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(2）串通投标或弄虚作假或有其他违法行为的；</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(3）不按评标委员会要求澄清、说明或补正的。</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3.1.3 投标报价有算术错误的，评标委员会按以下原则对投标报价进行修正，修正的价格经投标人书面确认后具有约束力。投标人不接受修正价格的，否决其投标。</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(1）投标文件中的大写金额与小写金额不一致的，以大写金额为准；</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(2）总价金额与依据单价计算出的结果不一致的，以单价金额为准修正总价，但单价金额小数点有明显错误的除外。</w:t>
      </w:r>
    </w:p>
    <w:p>
      <w:pPr>
        <w:pStyle w:val="8"/>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 详细评审</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3.2.1 评标委员会按本章第2.2 款规定的量化因素和分值进行打分，并计算出综合评估得分。</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(1）按本章第2.2.4(1）目规定的评审因素和分值对技术部分计算出得分A；</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(2）按本章第2.2.4(2）目规定的评审因素和分值对商务部分计算出得分B；</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(3）按本章第2.2.4(3）目规定的评审因素和分值对其他部分计算出得分C。</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3.2.2 评分分值计算保留小数点后两位，小数点后第三位“四舍五入”。</w:t>
      </w:r>
    </w:p>
    <w:p>
      <w:pPr>
        <w:kinsoku w:val="0"/>
        <w:overflowPunct w:val="0"/>
        <w:autoSpaceDE w:val="0"/>
        <w:autoSpaceDN w:val="0"/>
        <w:adjustRightInd w:val="0"/>
        <w:snapToGrid w:val="0"/>
        <w:spacing w:line="380" w:lineRule="exact"/>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3.2.3 每个评标委员会成员计算的投标人得分=A 十B 十C ；投标人的最终得分=评标委员会所有成员得分的算术平均值。</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否决其投标。</w:t>
      </w:r>
    </w:p>
    <w:p>
      <w:pPr>
        <w:pStyle w:val="8"/>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 投标文件的澄清和补正</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 在评标过程中，评标委员会可以要求投标人对所提交投标文件中不明确的内容进行书面澄清或说明，或者对细微偏差进行补正。评标委员会不接受投标人主动提出的澄清、说明或补正。</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3.3.2 澄清、说明和补正不得改变投标文件的实质性内容（算术性错误修正的除外）。投标人的澄清、说明和补正属于投标文件的组成部分。</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3.3.3 评标委员会对投标人提交的澄清、说明或补正有疑问的，可以要求投标人进一步澄清、说明或补正，直至满足评标委员会的要求。</w:t>
      </w:r>
    </w:p>
    <w:p>
      <w:pPr>
        <w:pStyle w:val="8"/>
        <w:keepLines w:val="0"/>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 评标结果</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 除第二章“投标人须知”前附表授权直接确定中标人外，评标委员会按照得分高到低的顺序推荐中标候选人。</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3.4.2 评标委员会完成评标后，由应当向招标人提交评标报告。</w:t>
      </w:r>
    </w:p>
    <w:p>
      <w:pPr>
        <w:kinsoku w:val="0"/>
        <w:overflowPunct w:val="0"/>
        <w:autoSpaceDE w:val="0"/>
        <w:autoSpaceDN w:val="0"/>
        <w:adjustRightInd w:val="0"/>
        <w:snapToGrid w:val="0"/>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根据《中华人民共和国招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中标候选人为中标人，也可以重新招标。</w:t>
      </w:r>
    </w:p>
    <w:p>
      <w:pPr>
        <w:kinsoku w:val="0"/>
        <w:overflowPunct w:val="0"/>
        <w:autoSpaceDE w:val="0"/>
        <w:autoSpaceDN w:val="0"/>
        <w:adjustRightInd w:val="0"/>
        <w:snapToGrid w:val="0"/>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14:textFill>
            <w14:solidFill>
              <w14:schemeClr w14:val="tx1"/>
            </w14:solidFill>
          </w14:textFill>
        </w:rPr>
        <w:t>附件：否决投标条件</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否决投标条件</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B0.总  则</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本附件所集中列示的否决投标条件，是本章“评标办法”的组成部分，是对第二章“投标人须知”和本章正文部分所规定的否决投标条件的总结和补充，如果出现相互矛盾的情况，以本章正文部分的规定为准。</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B1.否决投标条件</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投标人或其投标文件有下列情形之一的，其投标将被否决：</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B1.1  有第二章“投标人须知”第1.4.3项规定的任何一种情形的。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B1.2  有串通投标或弄虚作假或有其他违法行为的。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B1.3  不按评标委员会要求澄清、说明或补正的。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B1.4  在形式评审、资格评审（适用于未进行资格预审的）、响应性评审中，评标委员会认定投标人的投标文件不符合评标办法前附表中规定的任何一项评审标准的。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B1.5  当投标人资格预审申请文件的内容发生重大变化时，其在投标文件中更新的资料，未能通过资格评审的（适用于已进行资格预审的）。</w:t>
      </w:r>
    </w:p>
    <w:p>
      <w:pPr>
        <w:kinsoku w:val="0"/>
        <w:overflowPunct w:val="0"/>
        <w:autoSpaceDE w:val="0"/>
        <w:autoSpaceDN w:val="0"/>
        <w:adjustRightInd w:val="0"/>
        <w:snapToGrid w:val="0"/>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B1.6  </w:t>
      </w:r>
      <w:r>
        <w:rPr>
          <w:rFonts w:hint="eastAsia" w:ascii="宋体" w:hAnsi="宋体"/>
          <w:color w:val="000000" w:themeColor="text1"/>
          <w14:textFill>
            <w14:solidFill>
              <w14:schemeClr w14:val="tx1"/>
            </w14:solidFill>
          </w14:textFill>
        </w:rPr>
        <w:t>投标报价文件首页（投标函及投标函附录除外）未经工程造价专业人员（造价工程师或造价员）加盖执业专用章的。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B1.7 在施工组织设计和项目管理机构评审中，评标委员会认定投标人的投标未能通过此项评审的。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B1.8  评标委员会认定投标人以低于成本报价竞标的。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B1.9  投标人投报的工程量清单总报价高于招标控制价的其投标被否决。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B1.10 符合第三章第3.1.2项中的任何一项规定的。</w:t>
      </w:r>
    </w:p>
    <w:p>
      <w:pPr>
        <w:widowControl/>
        <w:spacing w:line="360" w:lineRule="auto"/>
        <w:jc w:val="left"/>
        <w:rPr>
          <w:rFonts w:ascii="宋体" w:hAnsi="宋体"/>
          <w:color w:val="000000" w:themeColor="text1"/>
          <w:sz w:val="32"/>
          <w:szCs w:val="32"/>
          <w14:textFill>
            <w14:solidFill>
              <w14:schemeClr w14:val="tx1"/>
            </w14:solidFill>
          </w14:textFill>
        </w:rPr>
        <w:sectPr>
          <w:footerReference r:id="rId5" w:type="default"/>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6"/>
          <w:szCs w:val="36"/>
          <w14:textFill>
            <w14:solidFill>
              <w14:schemeClr w14:val="tx1"/>
            </w14:solidFill>
          </w14:textFill>
        </w:rPr>
      </w:pPr>
      <w:bookmarkStart w:id="230" w:name="_Toc2724"/>
      <w:bookmarkEnd w:id="230"/>
      <w:r>
        <w:rPr>
          <w:rFonts w:hint="eastAsia" w:ascii="宋体" w:hAnsi="宋体"/>
          <w:b/>
          <w:bCs/>
          <w:color w:val="000000" w:themeColor="text1"/>
          <w:sz w:val="36"/>
          <w:szCs w:val="36"/>
          <w14:textFill>
            <w14:solidFill>
              <w14:schemeClr w14:val="tx1"/>
            </w14:solidFill>
          </w14:textFill>
        </w:rPr>
        <w:t>第四章  合同条款及格式</w:t>
      </w:r>
    </w:p>
    <w:p>
      <w:pPr>
        <w:kinsoku w:val="0"/>
        <w:overflowPunct w:val="0"/>
        <w:autoSpaceDE w:val="0"/>
        <w:autoSpaceDN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参照国家建设部、工商行政管理局制定的《建设工程施工合同》（GF-2017-0201）。具体内容合同签订时约定。</w:t>
      </w:r>
    </w:p>
    <w:p>
      <w:pPr>
        <w:kinsoku w:val="0"/>
        <w:overflowPunct w:val="0"/>
        <w:autoSpaceDE w:val="0"/>
        <w:autoSpaceDN w:val="0"/>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合同协议书</w:t>
      </w:r>
    </w:p>
    <w:p>
      <w:pPr>
        <w:kinsoku w:val="0"/>
        <w:overflowPunct w:val="0"/>
        <w:autoSpaceDE w:val="0"/>
        <w:autoSpaceDN w:val="0"/>
        <w:adjustRightInd w:val="0"/>
        <w:snapToGrid w:val="0"/>
        <w:spacing w:line="360" w:lineRule="auto"/>
        <w:rPr>
          <w:rFonts w:ascii="宋体" w:hAnsi="宋体"/>
          <w:b/>
          <w:color w:val="000000" w:themeColor="text1"/>
          <w:u w:val="single"/>
          <w14:textFill>
            <w14:solidFill>
              <w14:schemeClr w14:val="tx1"/>
            </w14:solidFill>
          </w14:textFill>
        </w:rPr>
      </w:pPr>
      <w:r>
        <w:rPr>
          <w:rFonts w:hint="eastAsia" w:ascii="宋体" w:hAnsi="宋体"/>
          <w:b/>
          <w:color w:val="000000" w:themeColor="text1"/>
          <w14:textFill>
            <w14:solidFill>
              <w14:schemeClr w14:val="tx1"/>
            </w14:solidFill>
          </w14:textFill>
        </w:rPr>
        <w:t>发包人（全称）：</w:t>
      </w:r>
      <w:r>
        <w:rPr>
          <w:rFonts w:hint="eastAsia" w:ascii="宋体" w:hAnsi="宋体"/>
          <w:b/>
          <w:color w:val="000000" w:themeColor="text1"/>
          <w:u w:val="single"/>
          <w14:textFill>
            <w14:solidFill>
              <w14:schemeClr w14:val="tx1"/>
            </w14:solidFill>
          </w14:textFill>
        </w:rPr>
        <w:t>                       </w:t>
      </w:r>
    </w:p>
    <w:p>
      <w:pPr>
        <w:kinsoku w:val="0"/>
        <w:overflowPunct w:val="0"/>
        <w:autoSpaceDE w:val="0"/>
        <w:autoSpaceDN w:val="0"/>
        <w:adjustRightInd w:val="0"/>
        <w:snapToGrid w:val="0"/>
        <w:spacing w:line="360" w:lineRule="auto"/>
        <w:rPr>
          <w:rFonts w:ascii="宋体" w:hAnsi="宋体"/>
          <w:b/>
          <w:color w:val="000000" w:themeColor="text1"/>
          <w:u w:val="single"/>
          <w14:textFill>
            <w14:solidFill>
              <w14:schemeClr w14:val="tx1"/>
            </w14:solidFill>
          </w14:textFill>
        </w:rPr>
      </w:pPr>
      <w:r>
        <w:rPr>
          <w:rFonts w:hint="eastAsia" w:ascii="宋体" w:hAnsi="宋体"/>
          <w:b/>
          <w:color w:val="000000" w:themeColor="text1"/>
          <w14:textFill>
            <w14:solidFill>
              <w14:schemeClr w14:val="tx1"/>
            </w14:solidFill>
          </w14:textFill>
        </w:rPr>
        <w:t>承包人（全称）：</w:t>
      </w:r>
      <w:r>
        <w:rPr>
          <w:rFonts w:hint="eastAsia" w:ascii="宋体" w:hAnsi="宋体"/>
          <w:b/>
          <w:color w:val="000000" w:themeColor="text1"/>
          <w:u w:val="single"/>
          <w14:textFill>
            <w14:solidFill>
              <w14:schemeClr w14:val="tx1"/>
            </w14:solidFill>
          </w14:textFill>
        </w:rPr>
        <w:t>                    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工程施工及有关事项协商一致，共同达成如下协议：</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val="0"/>
          <w:color w:val="000000" w:themeColor="text1"/>
          <w14:textFill>
            <w14:solidFill>
              <w14:schemeClr w14:val="tx1"/>
            </w14:solidFill>
          </w14:textFill>
        </w:rPr>
        <w:t xml:space="preserve"> </w:t>
      </w:r>
      <w:bookmarkStart w:id="231" w:name="_Toc351203481"/>
      <w:r>
        <w:rPr>
          <w:rFonts w:hint="eastAsia" w:ascii="宋体" w:hAnsi="宋体"/>
          <w:b w:val="0"/>
          <w:color w:val="000000" w:themeColor="text1"/>
          <w14:textFill>
            <w14:solidFill>
              <w14:schemeClr w14:val="tx1"/>
            </w14:solidFill>
          </w14:textFill>
        </w:rPr>
        <w:t>一、工程概况</w:t>
      </w:r>
      <w:bookmarkEnd w:id="231"/>
    </w:p>
    <w:p>
      <w:pPr>
        <w:kinsoku w:val="0"/>
        <w:overflowPunct w:val="0"/>
        <w:autoSpaceDE w:val="0"/>
        <w:autoSpaceDN w:val="0"/>
        <w:adjustRightInd w:val="0"/>
        <w:snapToGrid w:val="0"/>
        <w:spacing w:line="360" w:lineRule="auto"/>
        <w:ind w:firstLine="411" w:firstLineChars="196"/>
        <w:rPr>
          <w:rFonts w:ascii="宋体" w:hAnsi="宋体"/>
          <w:color w:val="000000" w:themeColor="text1"/>
          <w:u w:val="single"/>
          <w14:textFill>
            <w14:solidFill>
              <w14:schemeClr w14:val="tx1"/>
            </w14:solidFill>
          </w14:textFill>
        </w:rPr>
      </w:pPr>
      <w:r>
        <w:rPr>
          <w:rFonts w:hint="eastAsia" w:ascii="宋体" w:hAnsi="宋体"/>
          <w:bCs/>
          <w:color w:val="000000" w:themeColor="text1"/>
          <w14:textFill>
            <w14:solidFill>
              <w14:schemeClr w14:val="tx1"/>
            </w14:solidFill>
          </w14:textFill>
        </w:rPr>
        <w:t>1.工程名称</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11"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2.工程地点：</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11"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3.工程立项批准文号：</w:t>
      </w:r>
      <w:r>
        <w:rPr>
          <w:rFonts w:hint="eastAsia" w:ascii="宋体" w:hAnsi="宋体"/>
          <w:color w:val="000000" w:themeColor="text1"/>
          <w:u w:val="single"/>
          <w14:textFill>
            <w14:solidFill>
              <w14:schemeClr w14:val="tx1"/>
            </w14:solidFill>
          </w14:textFill>
        </w:rPr>
        <w:t xml:space="preserve">       </w:t>
      </w:r>
      <w:r>
        <w:rPr>
          <w:rFonts w:hint="eastAsia" w:ascii="宋体" w:hAnsi="宋体"/>
          <w:bCs/>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11"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4.资金来源：</w:t>
      </w:r>
      <w:r>
        <w:rPr>
          <w:rFonts w:hint="eastAsia" w:ascii="宋体" w:hAnsi="宋体"/>
          <w:color w:val="000000" w:themeColor="text1"/>
          <w:u w:val="single"/>
          <w14:textFill>
            <w14:solidFill>
              <w14:schemeClr w14:val="tx1"/>
            </w14:solidFill>
          </w14:textFill>
        </w:rPr>
        <w:t xml:space="preserve">       </w:t>
      </w:r>
      <w:r>
        <w:rPr>
          <w:rFonts w:hint="eastAsia" w:ascii="宋体" w:hAnsi="宋体"/>
          <w:bCs/>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11"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5.工程内容：</w:t>
      </w:r>
      <w:r>
        <w:rPr>
          <w:rFonts w:hint="eastAsia" w:ascii="宋体" w:hAnsi="宋体"/>
          <w:color w:val="000000" w:themeColor="text1"/>
          <w:u w:val="single"/>
          <w14:textFill>
            <w14:solidFill>
              <w14:schemeClr w14:val="tx1"/>
            </w14:solidFill>
          </w14:textFill>
        </w:rPr>
        <w:t xml:space="preserve">       </w:t>
      </w:r>
      <w:r>
        <w:rPr>
          <w:rFonts w:hint="eastAsia" w:ascii="宋体" w:hAnsi="宋体"/>
          <w:bCs/>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11" w:firstLineChars="196"/>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群体工程应附《承包人承揽工程项目一览表》（附件1）。</w:t>
      </w:r>
    </w:p>
    <w:p>
      <w:pPr>
        <w:kinsoku w:val="0"/>
        <w:overflowPunct w:val="0"/>
        <w:autoSpaceDE w:val="0"/>
        <w:autoSpaceDN w:val="0"/>
        <w:adjustRightInd w:val="0"/>
        <w:snapToGrid w:val="0"/>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6.工程承包范围：</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w:t>
      </w:r>
    </w:p>
    <w:p>
      <w:pPr>
        <w:pStyle w:val="8"/>
        <w:keepLines w:val="0"/>
        <w:kinsoku w:val="0"/>
        <w:overflowPunct w:val="0"/>
        <w:autoSpaceDE w:val="0"/>
        <w:autoSpaceDN w:val="0"/>
        <w:adjustRightInd w:val="0"/>
        <w:snapToGrid w:val="0"/>
        <w:spacing w:before="120" w:after="120"/>
        <w:rPr>
          <w:rFonts w:ascii="宋体" w:hAnsi="宋体"/>
          <w:b w:val="0"/>
          <w:color w:val="000000" w:themeColor="text1"/>
          <w14:textFill>
            <w14:solidFill>
              <w14:schemeClr w14:val="tx1"/>
            </w14:solidFill>
          </w14:textFill>
        </w:rPr>
      </w:pPr>
      <w:r>
        <w:rPr>
          <w:rFonts w:hint="eastAsia" w:ascii="宋体" w:hAnsi="宋体"/>
          <w:b w:val="0"/>
          <w:color w:val="000000" w:themeColor="text1"/>
          <w14:textFill>
            <w14:solidFill>
              <w14:schemeClr w14:val="tx1"/>
            </w14:solidFill>
          </w14:textFill>
        </w:rPr>
        <w:t xml:space="preserve">   </w:t>
      </w:r>
      <w:bookmarkStart w:id="232" w:name="_Toc351203482"/>
      <w:r>
        <w:rPr>
          <w:rFonts w:hint="eastAsia" w:ascii="宋体" w:hAnsi="宋体"/>
          <w:b w:val="0"/>
          <w:color w:val="000000" w:themeColor="text1"/>
          <w14:textFill>
            <w14:solidFill>
              <w14:schemeClr w14:val="tx1"/>
            </w14:solidFill>
          </w14:textFill>
        </w:rPr>
        <w:t>二、合同工期</w:t>
      </w:r>
      <w:bookmarkEnd w:id="232"/>
    </w:p>
    <w:p>
      <w:pPr>
        <w:kinsoku w:val="0"/>
        <w:overflowPunct w:val="0"/>
        <w:autoSpaceDE w:val="0"/>
        <w:autoSpaceDN w:val="0"/>
        <w:adjustRightInd w:val="0"/>
        <w:snapToGrid w:val="0"/>
        <w:spacing w:line="360" w:lineRule="auto"/>
        <w:ind w:firstLine="45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计划开工日期：</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日。</w:t>
      </w:r>
    </w:p>
    <w:p>
      <w:pPr>
        <w:kinsoku w:val="0"/>
        <w:overflowPunct w:val="0"/>
        <w:autoSpaceDE w:val="0"/>
        <w:autoSpaceDN w:val="0"/>
        <w:adjustRightInd w:val="0"/>
        <w:snapToGrid w:val="0"/>
        <w:spacing w:line="360" w:lineRule="auto"/>
        <w:ind w:firstLine="45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计划竣工日期：</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日。</w:t>
      </w:r>
    </w:p>
    <w:p>
      <w:pPr>
        <w:kinsoku w:val="0"/>
        <w:overflowPunct w:val="0"/>
        <w:autoSpaceDE w:val="0"/>
        <w:autoSpaceDN w:val="0"/>
        <w:adjustRightInd w:val="0"/>
        <w:snapToGrid w:val="0"/>
        <w:spacing w:line="360" w:lineRule="auto"/>
        <w:ind w:firstLine="45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工期总日历天数：</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天。工期总日历天数与根据前述计划开竣工日期计算的工期天数不一致的，以工期总日历天数为准。</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bookmarkStart w:id="233" w:name="_Toc351203483"/>
      <w:bookmarkEnd w:id="233"/>
      <w:r>
        <w:rPr>
          <w:rFonts w:hint="eastAsia" w:ascii="宋体" w:hAnsi="宋体"/>
          <w:b w:val="0"/>
          <w:color w:val="000000" w:themeColor="text1"/>
          <w14:textFill>
            <w14:solidFill>
              <w14:schemeClr w14:val="tx1"/>
            </w14:solidFill>
          </w14:textFill>
        </w:rPr>
        <w:t>三、质量标准</w:t>
      </w:r>
    </w:p>
    <w:p>
      <w:pPr>
        <w:kinsoku w:val="0"/>
        <w:overflowPunct w:val="0"/>
        <w:autoSpaceDE w:val="0"/>
        <w:autoSpaceDN w:val="0"/>
        <w:adjustRightInd w:val="0"/>
        <w:snapToGrid w:val="0"/>
        <w:spacing w:line="360" w:lineRule="auto"/>
        <w:ind w:firstLine="45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工程质量符合</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标准。</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val="0"/>
          <w:color w:val="000000" w:themeColor="text1"/>
          <w14:textFill>
            <w14:solidFill>
              <w14:schemeClr w14:val="tx1"/>
            </w14:solidFill>
          </w14:textFill>
        </w:rPr>
        <w:t xml:space="preserve"> </w:t>
      </w:r>
      <w:bookmarkStart w:id="234" w:name="_Toc351203484"/>
      <w:r>
        <w:rPr>
          <w:rFonts w:hint="eastAsia" w:ascii="宋体" w:hAnsi="宋体"/>
          <w:b w:val="0"/>
          <w:color w:val="000000" w:themeColor="text1"/>
          <w14:textFill>
            <w14:solidFill>
              <w14:schemeClr w14:val="tx1"/>
            </w14:solidFill>
          </w14:textFill>
        </w:rPr>
        <w:t>四、签约合同价与合同价格形式</w:t>
      </w:r>
      <w:bookmarkEnd w:id="234"/>
      <w:r>
        <w:rPr>
          <w:rFonts w:hint="eastAsia" w:ascii="宋体" w:hAnsi="宋体"/>
          <w:b w:val="0"/>
          <w:color w:val="000000" w:themeColor="text1"/>
          <w14:textFill>
            <w14:solidFill>
              <w14:schemeClr w14:val="tx1"/>
            </w14:solidFill>
          </w14:textFill>
        </w:rPr>
        <w:tab/>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1.签约合同价为：</w:t>
      </w:r>
    </w:p>
    <w:p>
      <w:pPr>
        <w:kinsoku w:val="0"/>
        <w:overflowPunct w:val="0"/>
        <w:autoSpaceDE w:val="0"/>
        <w:autoSpaceDN w:val="0"/>
        <w:adjustRightInd w:val="0"/>
        <w:snapToGrid w:val="0"/>
        <w:spacing w:line="360"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人民币（大写）</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其中：</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（1）安全文明施工费：</w:t>
      </w:r>
    </w:p>
    <w:p>
      <w:pPr>
        <w:kinsoku w:val="0"/>
        <w:overflowPunct w:val="0"/>
        <w:autoSpaceDE w:val="0"/>
        <w:autoSpaceDN w:val="0"/>
        <w:adjustRightInd w:val="0"/>
        <w:snapToGrid w:val="0"/>
        <w:spacing w:line="360" w:lineRule="auto"/>
        <w:ind w:firstLine="945" w:firstLineChars="4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人民币（大写）</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（2）材料和工程设备暂估价金额：</w:t>
      </w:r>
    </w:p>
    <w:p>
      <w:pPr>
        <w:kinsoku w:val="0"/>
        <w:overflowPunct w:val="0"/>
        <w:autoSpaceDE w:val="0"/>
        <w:autoSpaceDN w:val="0"/>
        <w:adjustRightInd w:val="0"/>
        <w:snapToGrid w:val="0"/>
        <w:spacing w:line="360" w:lineRule="auto"/>
        <w:ind w:firstLine="945" w:firstLineChars="4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人民币（大写）</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（3）专业工程暂估价金额：</w:t>
      </w:r>
    </w:p>
    <w:p>
      <w:pPr>
        <w:kinsoku w:val="0"/>
        <w:overflowPunct w:val="0"/>
        <w:autoSpaceDE w:val="0"/>
        <w:autoSpaceDN w:val="0"/>
        <w:adjustRightInd w:val="0"/>
        <w:snapToGrid w:val="0"/>
        <w:spacing w:line="360" w:lineRule="auto"/>
        <w:ind w:firstLine="945" w:firstLineChars="4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人民币（大写）</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（4）暂列金额：</w:t>
      </w:r>
    </w:p>
    <w:p>
      <w:pPr>
        <w:kinsoku w:val="0"/>
        <w:overflowPunct w:val="0"/>
        <w:autoSpaceDE w:val="0"/>
        <w:autoSpaceDN w:val="0"/>
        <w:adjustRightInd w:val="0"/>
        <w:snapToGrid w:val="0"/>
        <w:spacing w:line="360" w:lineRule="auto"/>
        <w:ind w:firstLine="945" w:firstLineChars="4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人民币（大写）</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2.合同价格形式：</w:t>
      </w:r>
      <w:r>
        <w:rPr>
          <w:rFonts w:hint="eastAsia" w:ascii="宋体" w:hAnsi="宋体"/>
          <w:color w:val="000000" w:themeColor="text1"/>
          <w:u w:val="single"/>
          <w14:textFill>
            <w14:solidFill>
              <w14:schemeClr w14:val="tx1"/>
            </w14:solidFill>
          </w14:textFill>
        </w:rPr>
        <w:t>                      </w:t>
      </w:r>
      <w:r>
        <w:rPr>
          <w:rFonts w:hint="eastAsia" w:ascii="宋体" w:hAnsi="宋体"/>
          <w:color w:val="000000" w:themeColor="text1"/>
          <w14:textFill>
            <w14:solidFill>
              <w14:schemeClr w14:val="tx1"/>
            </w14:solidFill>
          </w14:textFill>
        </w:rPr>
        <w:t>。</w:t>
      </w:r>
    </w:p>
    <w:p>
      <w:pPr>
        <w:pStyle w:val="8"/>
        <w:keepLines w:val="0"/>
        <w:kinsoku w:val="0"/>
        <w:overflowPunct w:val="0"/>
        <w:autoSpaceDE w:val="0"/>
        <w:autoSpaceDN w:val="0"/>
        <w:adjustRightInd w:val="0"/>
        <w:snapToGrid w:val="0"/>
        <w:spacing w:before="120" w:after="120"/>
        <w:rPr>
          <w:rFonts w:ascii="宋体" w:hAnsi="宋体"/>
          <w:b w:val="0"/>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val="0"/>
          <w:color w:val="000000" w:themeColor="text1"/>
          <w14:textFill>
            <w14:solidFill>
              <w14:schemeClr w14:val="tx1"/>
            </w14:solidFill>
          </w14:textFill>
        </w:rPr>
        <w:t xml:space="preserve"> </w:t>
      </w:r>
      <w:bookmarkStart w:id="235" w:name="_Toc351203485"/>
      <w:r>
        <w:rPr>
          <w:rFonts w:hint="eastAsia" w:ascii="宋体" w:hAnsi="宋体"/>
          <w:b w:val="0"/>
          <w:color w:val="000000" w:themeColor="text1"/>
          <w14:textFill>
            <w14:solidFill>
              <w14:schemeClr w14:val="tx1"/>
            </w14:solidFill>
          </w14:textFill>
        </w:rPr>
        <w:t>五、</w:t>
      </w:r>
      <w:bookmarkEnd w:id="235"/>
      <w:r>
        <w:rPr>
          <w:rFonts w:hint="eastAsia" w:ascii="宋体" w:hAnsi="宋体"/>
          <w:b w:val="0"/>
          <w:color w:val="000000" w:themeColor="text1"/>
          <w14:textFill>
            <w14:solidFill>
              <w14:schemeClr w14:val="tx1"/>
            </w14:solidFill>
          </w14:textFill>
        </w:rPr>
        <w:t>项目经理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承包人项目经理：</w:t>
      </w:r>
      <w:r>
        <w:rPr>
          <w:rFonts w:hint="eastAsia" w:ascii="宋体" w:hAnsi="宋体"/>
          <w:color w:val="000000" w:themeColor="text1"/>
          <w:u w:val="single"/>
          <w14:textFill>
            <w14:solidFill>
              <w14:schemeClr w14:val="tx1"/>
            </w14:solidFill>
          </w14:textFill>
        </w:rPr>
        <w:t>                     </w:t>
      </w:r>
      <w:r>
        <w:rPr>
          <w:rFonts w:hint="eastAsia" w:ascii="宋体" w:hAnsi="宋体"/>
          <w:color w:val="000000" w:themeColor="text1"/>
          <w14:textFill>
            <w14:solidFill>
              <w14:schemeClr w14:val="tx1"/>
            </w14:solidFill>
          </w14:textFill>
        </w:rPr>
        <w:t>。</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val="0"/>
          <w:color w:val="000000" w:themeColor="text1"/>
          <w14:textFill>
            <w14:solidFill>
              <w14:schemeClr w14:val="tx1"/>
            </w14:solidFill>
          </w14:textFill>
        </w:rPr>
        <w:t xml:space="preserve"> </w:t>
      </w:r>
      <w:bookmarkStart w:id="236" w:name="_Toc351203486"/>
      <w:r>
        <w:rPr>
          <w:rFonts w:hint="eastAsia" w:ascii="宋体" w:hAnsi="宋体"/>
          <w:b w:val="0"/>
          <w:color w:val="000000" w:themeColor="text1"/>
          <w14:textFill>
            <w14:solidFill>
              <w14:schemeClr w14:val="tx1"/>
            </w14:solidFill>
          </w14:textFill>
        </w:rPr>
        <w:t>六、合同文件构成</w:t>
      </w:r>
      <w:bookmarkEnd w:id="236"/>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本协议书与下列文件一起构成合同文件：</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（1）中标通知书（如果有）；</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（2）投标函及其附录（如果有）； </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（3）专用合同条款及其附件；</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（4）通用合同条款；</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（5）技术标准和要求；</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（6）图纸；</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（7）已标价工程量清单或预算书；</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（8）其他合同文件。</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在合同订立及履行过程中形成的与合同有关的文件均构成合同文件组成部分。</w:t>
      </w:r>
    </w:p>
    <w:p>
      <w:pPr>
        <w:kinsoku w:val="0"/>
        <w:overflowPunct w:val="0"/>
        <w:autoSpaceDE w:val="0"/>
        <w:autoSpaceDN w:val="0"/>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pStyle w:val="8"/>
        <w:keepLines w:val="0"/>
        <w:kinsoku w:val="0"/>
        <w:overflowPunct w:val="0"/>
        <w:autoSpaceDE w:val="0"/>
        <w:autoSpaceDN w:val="0"/>
        <w:adjustRightInd w:val="0"/>
        <w:snapToGrid w:val="0"/>
        <w:spacing w:before="120" w:after="120"/>
        <w:rPr>
          <w:rFonts w:ascii="宋体" w:hAnsi="宋体"/>
          <w:b w:val="0"/>
          <w:color w:val="000000" w:themeColor="text1"/>
          <w14:textFill>
            <w14:solidFill>
              <w14:schemeClr w14:val="tx1"/>
            </w14:solidFill>
          </w14:textFill>
        </w:rPr>
      </w:pPr>
      <w:r>
        <w:rPr>
          <w:rFonts w:hint="eastAsia" w:ascii="宋体" w:hAnsi="宋体"/>
          <w:b w:val="0"/>
          <w:color w:val="000000" w:themeColor="text1"/>
          <w14:textFill>
            <w14:solidFill>
              <w14:schemeClr w14:val="tx1"/>
            </w14:solidFill>
          </w14:textFill>
        </w:rPr>
        <w:t xml:space="preserve">    </w:t>
      </w:r>
      <w:bookmarkStart w:id="237" w:name="_Toc351203487"/>
      <w:r>
        <w:rPr>
          <w:rFonts w:hint="eastAsia" w:ascii="宋体" w:hAnsi="宋体"/>
          <w:b w:val="0"/>
          <w:color w:val="000000" w:themeColor="text1"/>
          <w14:textFill>
            <w14:solidFill>
              <w14:schemeClr w14:val="tx1"/>
            </w14:solidFill>
          </w14:textFill>
        </w:rPr>
        <w:t>七、承诺</w:t>
      </w:r>
      <w:bookmarkEnd w:id="237"/>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1.发包人承诺按照法律规定履行项目审批手续、筹集工程建设资金并按照合同约定的期限和方式支付合同价款。</w:t>
      </w:r>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3.发包人和承包人通过招投标形式签订合同的，双方理解并承诺不再就同一工程另行签订与合同实质性内容相背离的协议。</w:t>
      </w:r>
    </w:p>
    <w:p>
      <w:pPr>
        <w:kinsoku w:val="0"/>
        <w:overflowPunct w:val="0"/>
        <w:autoSpaceDE w:val="0"/>
        <w:autoSpaceDN w:val="0"/>
        <w:adjustRightInd w:val="0"/>
        <w:snapToGrid w:val="0"/>
        <w:spacing w:line="360" w:lineRule="auto"/>
        <w:rPr>
          <w:rFonts w:ascii="宋体" w:hAnsi="宋体"/>
          <w:bCs/>
          <w:color w:val="000000" w:themeColor="text1"/>
          <w14:textFill>
            <w14:solidFill>
              <w14:schemeClr w14:val="tx1"/>
            </w14:solidFill>
          </w14:textFill>
        </w:rPr>
      </w:pPr>
      <w:bookmarkStart w:id="238" w:name="_Toc351203488"/>
      <w:bookmarkEnd w:id="238"/>
      <w:r>
        <w:rPr>
          <w:rFonts w:hint="eastAsia" w:ascii="宋体" w:hAnsi="宋体"/>
          <w:b/>
          <w:color w:val="000000" w:themeColor="text1"/>
          <w14:textFill>
            <w14:solidFill>
              <w14:schemeClr w14:val="tx1"/>
            </w14:solidFill>
          </w14:textFill>
        </w:rPr>
        <w:t xml:space="preserve">    八、词语含义</w:t>
      </w:r>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本协议书中词语含义与第二部分通用合同条款中赋予的含义相同。</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val="0"/>
          <w:color w:val="000000" w:themeColor="text1"/>
          <w14:textFill>
            <w14:solidFill>
              <w14:schemeClr w14:val="tx1"/>
            </w14:solidFill>
          </w14:textFill>
        </w:rPr>
        <w:t xml:space="preserve">  </w:t>
      </w:r>
      <w:bookmarkStart w:id="239" w:name="_Toc351203489"/>
      <w:r>
        <w:rPr>
          <w:rFonts w:hint="eastAsia" w:ascii="宋体" w:hAnsi="宋体"/>
          <w:b w:val="0"/>
          <w:color w:val="000000" w:themeColor="text1"/>
          <w14:textFill>
            <w14:solidFill>
              <w14:schemeClr w14:val="tx1"/>
            </w14:solidFill>
          </w14:textFill>
        </w:rPr>
        <w:t>九、签订时间</w:t>
      </w:r>
      <w:bookmarkEnd w:id="239"/>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本合同于</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日签订。</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bookmarkStart w:id="240" w:name="_Toc351203490"/>
      <w:bookmarkEnd w:id="240"/>
      <w:r>
        <w:rPr>
          <w:rFonts w:hint="eastAsia" w:ascii="宋体" w:hAnsi="宋体"/>
          <w:b w:val="0"/>
          <w:color w:val="000000" w:themeColor="text1"/>
          <w14:textFill>
            <w14:solidFill>
              <w14:schemeClr w14:val="tx1"/>
            </w14:solidFill>
          </w14:textFill>
        </w:rPr>
        <w:t>十、签订地点</w:t>
      </w:r>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本合同在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签订。</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bookmarkStart w:id="241" w:name="_Toc351203491"/>
      <w:bookmarkEnd w:id="241"/>
      <w:r>
        <w:rPr>
          <w:rFonts w:hint="eastAsia" w:ascii="宋体" w:hAnsi="宋体"/>
          <w:b w:val="0"/>
          <w:color w:val="000000" w:themeColor="text1"/>
          <w14:textFill>
            <w14:solidFill>
              <w14:schemeClr w14:val="tx1"/>
            </w14:solidFill>
          </w14:textFill>
        </w:rPr>
        <w:t>十一、补充协议</w:t>
      </w:r>
    </w:p>
    <w:p>
      <w:pPr>
        <w:kinsoku w:val="0"/>
        <w:overflowPunct w:val="0"/>
        <w:autoSpaceDE w:val="0"/>
        <w:autoSpaceDN w:val="0"/>
        <w:adjustRightInd w:val="0"/>
        <w:snapToGrid w:val="0"/>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合同未尽事宜，合同当事人另行签订补充协议，补充协议是合同的组成部分。</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bookmarkStart w:id="242" w:name="_Toc351203492"/>
      <w:bookmarkEnd w:id="242"/>
      <w:r>
        <w:rPr>
          <w:rFonts w:hint="eastAsia" w:ascii="宋体" w:hAnsi="宋体"/>
          <w:b w:val="0"/>
          <w:color w:val="000000" w:themeColor="text1"/>
          <w14:textFill>
            <w14:solidFill>
              <w14:schemeClr w14:val="tx1"/>
            </w14:solidFill>
          </w14:textFill>
        </w:rPr>
        <w:t>十二、合同生效</w:t>
      </w:r>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本合同自</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生效。</w:t>
      </w:r>
    </w:p>
    <w:p>
      <w:pPr>
        <w:pStyle w:val="8"/>
        <w:keepLines w:val="0"/>
        <w:kinsoku w:val="0"/>
        <w:overflowPunct w:val="0"/>
        <w:autoSpaceDE w:val="0"/>
        <w:autoSpaceDN w:val="0"/>
        <w:adjustRightInd w:val="0"/>
        <w:snapToGrid w:val="0"/>
        <w:spacing w:before="120" w:after="1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bookmarkStart w:id="243" w:name="_Toc351203493"/>
      <w:bookmarkEnd w:id="243"/>
      <w:r>
        <w:rPr>
          <w:rFonts w:hint="eastAsia" w:ascii="宋体" w:hAnsi="宋体"/>
          <w:b w:val="0"/>
          <w:color w:val="000000" w:themeColor="text1"/>
          <w14:textFill>
            <w14:solidFill>
              <w14:schemeClr w14:val="tx1"/>
            </w14:solidFill>
          </w14:textFill>
        </w:rPr>
        <w:t>十三、合同份数</w:t>
      </w:r>
    </w:p>
    <w:p>
      <w:pPr>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本合同一式</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份，均具有同等法律效力，发包人执</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份，承包人执</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份。</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  (公章)                               承包人：  (公章)</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法定代表人或其委托代理人：                     法定代表人或其委托代理人：</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（签字）                                      （签字）</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组织机构代码：</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 xml:space="preserve">                    组织机构代码：</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  址：</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 xml:space="preserve">                    地  址：</w:t>
      </w:r>
      <w:r>
        <w:rPr>
          <w:rFonts w:hint="eastAsia" w:ascii="宋体" w:hAnsi="宋体"/>
          <w:color w:val="000000" w:themeColor="text1"/>
          <w:u w:val="single"/>
          <w14:textFill>
            <w14:solidFill>
              <w14:schemeClr w14:val="tx1"/>
            </w14:solidFill>
          </w14:textFill>
        </w:rPr>
        <w:t xml:space="preserve">  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邮政编码：</w:t>
      </w:r>
      <w:r>
        <w:rPr>
          <w:rFonts w:hint="eastAsia" w:ascii="宋体" w:hAnsi="宋体"/>
          <w:color w:val="000000" w:themeColor="text1"/>
          <w:u w:val="single"/>
          <w14:textFill>
            <w14:solidFill>
              <w14:schemeClr w14:val="tx1"/>
            </w14:solidFill>
          </w14:textFill>
        </w:rPr>
        <w:t xml:space="preserve">      </w:t>
      </w:r>
      <w:r>
        <w:rPr>
          <w:rFonts w:hint="eastAsia" w:ascii="宋体" w:hAnsi="宋体"/>
          <w:color w:val="000000" w:themeColor="text1"/>
          <w14:textFill>
            <w14:solidFill>
              <w14:schemeClr w14:val="tx1"/>
            </w14:solidFill>
          </w14:textFill>
        </w:rPr>
        <w:t xml:space="preserve">                    邮政编码：</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 xml:space="preserve">                    法定代表人：</w:t>
      </w:r>
      <w:r>
        <w:rPr>
          <w:rFonts w:hint="eastAsia" w:ascii="宋体" w:hAnsi="宋体"/>
          <w:color w:val="000000" w:themeColor="text1"/>
          <w:u w:val="single"/>
          <w14:textFill>
            <w14:solidFill>
              <w14:schemeClr w14:val="tx1"/>
            </w14:solidFill>
          </w14:textFill>
        </w:rPr>
        <w:t xml:space="preserve">      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委托代理人：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委托代理人：</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  话：</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电  话：</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  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传  真：</w:t>
      </w:r>
      <w:r>
        <w:rPr>
          <w:rFonts w:hint="eastAsia" w:ascii="宋体" w:hAnsi="宋体"/>
          <w:color w:val="000000" w:themeColor="text1"/>
          <w:u w:val="single"/>
          <w14:textFill>
            <w14:solidFill>
              <w14:schemeClr w14:val="tx1"/>
            </w14:solidFill>
          </w14:textFill>
        </w:rPr>
        <w:t xml:space="preserve">  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电子信箱：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电子信箱：</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开户银行：</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账  号：</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 xml:space="preserve">                     账  号：</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jc w:val="center"/>
        <w:outlineLvl w:val="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0"/>
          <w:szCs w:val="30"/>
          <w14:textFill>
            <w14:solidFill>
              <w14:schemeClr w14:val="tx1"/>
            </w14:solidFill>
          </w14:textFill>
        </w:rPr>
        <w:br w:type="page"/>
      </w:r>
      <w:bookmarkStart w:id="244" w:name="_Toc28866"/>
      <w:bookmarkEnd w:id="244"/>
      <w:r>
        <w:rPr>
          <w:rFonts w:hint="eastAsia" w:ascii="宋体" w:hAnsi="宋体"/>
          <w:b/>
          <w:bCs/>
          <w:color w:val="000000" w:themeColor="text1"/>
          <w:sz w:val="36"/>
          <w:szCs w:val="36"/>
          <w14:textFill>
            <w14:solidFill>
              <w14:schemeClr w14:val="tx1"/>
            </w14:solidFill>
          </w14:textFill>
        </w:rPr>
        <w:t>第五章 工程量清单</w:t>
      </w:r>
    </w:p>
    <w:p>
      <w:pPr>
        <w:kinsoku w:val="0"/>
        <w:overflowPunct w:val="0"/>
        <w:autoSpaceDE w:val="0"/>
        <w:autoSpaceDN w:val="0"/>
        <w:adjustRightInd w:val="0"/>
        <w:snapToGrid w:val="0"/>
        <w:spacing w:line="360" w:lineRule="auto"/>
        <w:jc w:val="center"/>
        <w:outlineLvl w:val="0"/>
        <w:rPr>
          <w:rFonts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（另册提供）</w:t>
      </w:r>
    </w:p>
    <w:p>
      <w:pPr>
        <w:pStyle w:val="8"/>
        <w:keepLines w:val="0"/>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widowControl/>
        <w:jc w:val="left"/>
        <w:rPr>
          <w:rFonts w:ascii="宋体" w:hAnsi="宋体"/>
          <w:color w:val="000000" w:themeColor="text1"/>
          <w:sz w:val="28"/>
          <w:szCs w:val="28"/>
          <w14:textFill>
            <w14:solidFill>
              <w14:schemeClr w14:val="tx1"/>
            </w14:solidFill>
          </w14:textFill>
        </w:rPr>
        <w:sectPr>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6"/>
          <w:szCs w:val="36"/>
          <w14:textFill>
            <w14:solidFill>
              <w14:schemeClr w14:val="tx1"/>
            </w14:solidFill>
          </w14:textFill>
        </w:rPr>
      </w:pPr>
      <w:bookmarkStart w:id="245" w:name="_Toc10362"/>
      <w:bookmarkEnd w:id="245"/>
      <w:r>
        <w:rPr>
          <w:rFonts w:hint="eastAsia" w:ascii="宋体" w:hAnsi="宋体"/>
          <w:b/>
          <w:bCs/>
          <w:color w:val="000000" w:themeColor="text1"/>
          <w:sz w:val="36"/>
          <w:szCs w:val="36"/>
          <w14:textFill>
            <w14:solidFill>
              <w14:schemeClr w14:val="tx1"/>
            </w14:solidFill>
          </w14:textFill>
        </w:rPr>
        <w:t>第六章  技术标准和要求</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一、施工图纸、技术交底等的有关技术说明文件</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二、实施的有关标准与法规</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国家、地方现行的工程建设施工及验收规范、施工技术标准、工程建设施工操作规程、《建设工程质量管理条例》、《建设工程安全生产管理条例》等；规范中指定的标准或法规为工程实施中实际采用的标准和法规，中标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建筑建设工程及其他相关工程的习惯作法。</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本工程实施中所采用的材料、设备和工艺应在各个方面符合引用的标准规范。</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本工程实施中采用图纸中指定的和以下列出的有关技术规范和标准。所采用的规范和标准如出现标准不一致的情况，以标准高的为准。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其它现行的有关工程技术、施工验收标准及规范。</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技术规范和标准不全或与现行规范标准不一致时，以现行规范标准为准。</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三、工程验收</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工程验收按照国家目前有关规定执行。</w:t>
      </w:r>
    </w:p>
    <w:p>
      <w:pPr>
        <w:widowControl/>
        <w:spacing w:line="360" w:lineRule="auto"/>
        <w:jc w:val="left"/>
        <w:rPr>
          <w:rFonts w:ascii="宋体" w:hAnsi="宋体"/>
          <w:color w:val="000000" w:themeColor="text1"/>
          <w:sz w:val="32"/>
          <w:szCs w:val="32"/>
          <w14:textFill>
            <w14:solidFill>
              <w14:schemeClr w14:val="tx1"/>
            </w14:solidFill>
          </w14:textFill>
        </w:rPr>
        <w:sectPr>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6"/>
          <w:szCs w:val="36"/>
          <w14:textFill>
            <w14:solidFill>
              <w14:schemeClr w14:val="tx1"/>
            </w14:solidFill>
          </w14:textFill>
        </w:rPr>
      </w:pPr>
      <w:bookmarkStart w:id="246" w:name="_Toc30282"/>
      <w:bookmarkEnd w:id="246"/>
      <w:r>
        <w:rPr>
          <w:rFonts w:hint="eastAsia" w:ascii="宋体" w:hAnsi="宋体"/>
          <w:b/>
          <w:bCs/>
          <w:color w:val="000000" w:themeColor="text1"/>
          <w:sz w:val="36"/>
          <w:szCs w:val="36"/>
          <w14:textFill>
            <w14:solidFill>
              <w14:schemeClr w14:val="tx1"/>
            </w14:solidFill>
          </w14:textFill>
        </w:rPr>
        <w:t>第七章  投标文件格式</w:t>
      </w:r>
    </w:p>
    <w:p>
      <w:pPr>
        <w:kinsoku w:val="0"/>
        <w:overflowPunct w:val="0"/>
        <w:autoSpaceDE w:val="0"/>
        <w:autoSpaceDN w:val="0"/>
        <w:adjustRightInd w:val="0"/>
        <w:snapToGrid w:val="0"/>
        <w:spacing w:before="312" w:beforeLines="10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一、投标函及投标函附录</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（一）投标函</w:t>
      </w:r>
    </w:p>
    <w:p>
      <w:pPr>
        <w:widowControl/>
        <w:spacing w:before="75" w:after="75" w:line="360" w:lineRule="auto"/>
        <w:ind w:firstLine="480" w:firstLineChars="200"/>
        <w:jc w:val="left"/>
        <w:rPr>
          <w:rFonts w:ascii="Arial" w:hAnsi="Arial"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u w:val="single"/>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（招标人名称）：</w:t>
      </w:r>
    </w:p>
    <w:p>
      <w:pPr>
        <w:widowControl/>
        <w:spacing w:before="75" w:after="75" w:line="360" w:lineRule="auto"/>
        <w:jc w:val="left"/>
        <w:rPr>
          <w:rFonts w:ascii="Arial" w:hAnsi="Arial" w:cs="Arial"/>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 xml:space="preserve">    1</w:t>
      </w:r>
      <w:r>
        <w:rPr>
          <w:rFonts w:hint="eastAsia" w:ascii="宋体" w:hAnsi="宋体" w:cs="Arial"/>
          <w:color w:val="000000" w:themeColor="text1"/>
          <w:kern w:val="0"/>
          <w:sz w:val="24"/>
          <w:szCs w:val="24"/>
          <w14:textFill>
            <w14:solidFill>
              <w14:schemeClr w14:val="tx1"/>
            </w14:solidFill>
          </w14:textFill>
        </w:rPr>
        <w:t>．我方已仔细研究了</w:t>
      </w:r>
      <w:r>
        <w:rPr>
          <w:rFonts w:hint="eastAsia" w:ascii="宋体" w:hAnsi="宋体" w:cs="Arial"/>
          <w:color w:val="000000" w:themeColor="text1"/>
          <w:kern w:val="0"/>
          <w:sz w:val="24"/>
          <w:szCs w:val="24"/>
          <w:u w:val="single"/>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（项目名称）招标文件的全部内容，愿意以人民币（大写）</w:t>
      </w:r>
      <w:r>
        <w:rPr>
          <w:rFonts w:hint="eastAsia" w:ascii="宋体" w:hAnsi="宋体" w:cs="Arial"/>
          <w:color w:val="000000" w:themeColor="text1"/>
          <w:kern w:val="0"/>
          <w:sz w:val="24"/>
          <w:szCs w:val="24"/>
          <w:u w:val="single"/>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 xml:space="preserve"> （小写</w:t>
      </w:r>
      <w:r>
        <w:rPr>
          <w:rFonts w:cs="Times New Roman"/>
          <w:color w:val="000000" w:themeColor="text1"/>
          <w:kern w:val="0"/>
          <w:sz w:val="24"/>
          <w:szCs w:val="24"/>
          <w:u w:val="single"/>
          <w14:textFill>
            <w14:solidFill>
              <w14:schemeClr w14:val="tx1"/>
            </w14:solidFill>
          </w14:textFill>
        </w:rPr>
        <w:t xml:space="preserve"> </w:t>
      </w:r>
      <w:r>
        <w:rPr>
          <w:rFonts w:hint="eastAsia" w:ascii="宋体" w:hAnsi="宋体" w:cs="Times New Roman"/>
          <w:color w:val="000000" w:themeColor="text1"/>
          <w:kern w:val="0"/>
          <w:sz w:val="24"/>
          <w:szCs w:val="24"/>
          <w:u w:val="single"/>
          <w14:textFill>
            <w14:solidFill>
              <w14:schemeClr w14:val="tx1"/>
            </w14:solidFill>
          </w14:textFill>
        </w:rPr>
        <w:t xml:space="preserve">        </w:t>
      </w:r>
      <w:r>
        <w:rPr>
          <w:rFonts w:hint="eastAsia" w:ascii="宋体" w:hAnsi="宋体" w:cs="Times New Roman"/>
          <w:color w:val="000000" w:themeColor="text1"/>
          <w:kern w:val="0"/>
          <w:sz w:val="24"/>
          <w:szCs w:val="24"/>
          <w14:textFill>
            <w14:solidFill>
              <w14:schemeClr w14:val="tx1"/>
            </w14:solidFill>
          </w14:textFill>
        </w:rPr>
        <w:t>元</w:t>
      </w:r>
      <w:r>
        <w:rPr>
          <w:rFonts w:hint="eastAsia" w:ascii="宋体" w:hAnsi="宋体" w:cs="Arial"/>
          <w:color w:val="000000" w:themeColor="text1"/>
          <w:kern w:val="0"/>
          <w:sz w:val="24"/>
          <w:szCs w:val="24"/>
          <w14:textFill>
            <w14:solidFill>
              <w14:schemeClr w14:val="tx1"/>
            </w14:solidFill>
          </w14:textFill>
        </w:rPr>
        <w:t>）的投标总报价，工期：</w:t>
      </w:r>
      <w:r>
        <w:rPr>
          <w:rFonts w:hint="eastAsia" w:ascii="宋体" w:hAnsi="宋体" w:cs="Arial"/>
          <w:color w:val="000000" w:themeColor="text1"/>
          <w:kern w:val="0"/>
          <w:sz w:val="24"/>
          <w:szCs w:val="24"/>
          <w:u w:val="single"/>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日历天，按合同约定实施和完成承包工程，修补工程中的任何缺陷，工程质量达到</w:t>
      </w:r>
      <w:r>
        <w:rPr>
          <w:rFonts w:hint="eastAsia" w:ascii="宋体" w:hAnsi="宋体" w:cs="Arial"/>
          <w:color w:val="000000" w:themeColor="text1"/>
          <w:kern w:val="0"/>
          <w:sz w:val="24"/>
          <w:szCs w:val="24"/>
          <w:u w:val="single"/>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w:t>
      </w:r>
    </w:p>
    <w:p>
      <w:pPr>
        <w:widowControl/>
        <w:spacing w:before="75" w:after="75" w:line="360" w:lineRule="auto"/>
        <w:ind w:firstLine="420"/>
        <w:jc w:val="left"/>
        <w:rPr>
          <w:rFonts w:ascii="Arial" w:hAnsi="Arial" w:cs="Arial"/>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．我方承诺在投标有效期内不修改、撤销投标文件。</w:t>
      </w:r>
    </w:p>
    <w:p>
      <w:pPr>
        <w:widowControl/>
        <w:spacing w:before="75" w:after="75" w:line="360" w:lineRule="auto"/>
        <w:ind w:firstLine="420"/>
        <w:jc w:val="left"/>
        <w:rPr>
          <w:rFonts w:ascii="Arial" w:hAnsi="Arial" w:cs="Arial"/>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3</w:t>
      </w:r>
      <w:r>
        <w:rPr>
          <w:rFonts w:hint="eastAsia" w:ascii="宋体" w:hAnsi="宋体" w:cs="Arial"/>
          <w:color w:val="000000" w:themeColor="text1"/>
          <w:kern w:val="0"/>
          <w:sz w:val="24"/>
          <w:szCs w:val="24"/>
          <w14:textFill>
            <w14:solidFill>
              <w14:schemeClr w14:val="tx1"/>
            </w14:solidFill>
          </w14:textFill>
        </w:rPr>
        <w:t>．随同本投标函提交投标保证金一份，金额为人民币（大写）</w:t>
      </w:r>
      <w:r>
        <w:rPr>
          <w:rFonts w:hint="eastAsia" w:ascii="宋体" w:hAnsi="宋体" w:cs="Arial"/>
          <w:color w:val="000000" w:themeColor="text1"/>
          <w:kern w:val="0"/>
          <w:sz w:val="24"/>
          <w:szCs w:val="24"/>
          <w:u w:val="single"/>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（小写</w:t>
      </w:r>
      <w:r>
        <w:rPr>
          <w:rFonts w:hint="eastAsia" w:ascii="宋体" w:hAnsi="宋体" w:cs="Arial"/>
          <w:color w:val="000000" w:themeColor="text1"/>
          <w:kern w:val="0"/>
          <w:sz w:val="24"/>
          <w:szCs w:val="24"/>
          <w:u w:val="single"/>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元</w:t>
      </w:r>
      <w:r>
        <w:rPr>
          <w:rFonts w:hint="eastAsia" w:ascii="宋体" w:hAnsi="宋体"/>
          <w:color w:val="000000" w:themeColor="text1"/>
          <w:kern w:val="0"/>
          <w:sz w:val="24"/>
          <w:szCs w:val="24"/>
          <w14:textFill>
            <w14:solidFill>
              <w14:schemeClr w14:val="tx1"/>
            </w14:solidFill>
          </w14:textFill>
        </w:rPr>
        <w:t>）。</w:t>
      </w:r>
    </w:p>
    <w:p>
      <w:pPr>
        <w:widowControl/>
        <w:spacing w:before="75" w:after="75" w:line="360" w:lineRule="auto"/>
        <w:ind w:firstLine="420"/>
        <w:jc w:val="left"/>
        <w:rPr>
          <w:rFonts w:ascii="Arial" w:hAnsi="Arial" w:cs="Arial"/>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4</w:t>
      </w:r>
      <w:r>
        <w:rPr>
          <w:rFonts w:hint="eastAsia" w:ascii="宋体" w:hAnsi="宋体" w:cs="Arial"/>
          <w:color w:val="000000" w:themeColor="text1"/>
          <w:kern w:val="0"/>
          <w:sz w:val="24"/>
          <w:szCs w:val="24"/>
          <w14:textFill>
            <w14:solidFill>
              <w14:schemeClr w14:val="tx1"/>
            </w14:solidFill>
          </w14:textFill>
        </w:rPr>
        <w:t>．如我方中标：</w:t>
      </w:r>
    </w:p>
    <w:p>
      <w:pPr>
        <w:widowControl/>
        <w:spacing w:before="75" w:after="75" w:line="360" w:lineRule="auto"/>
        <w:ind w:firstLine="720"/>
        <w:jc w:val="left"/>
        <w:rPr>
          <w:rFonts w:ascii="Arial" w:hAnsi="Arial"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w:t>
      </w:r>
      <w:r>
        <w:rPr>
          <w:rFonts w:cs="Times New Roman"/>
          <w:color w:val="000000" w:themeColor="text1"/>
          <w:kern w:val="0"/>
          <w:sz w:val="24"/>
          <w:szCs w:val="24"/>
          <w14:textFill>
            <w14:solidFill>
              <w14:schemeClr w14:val="tx1"/>
            </w14:solidFill>
          </w14:textFill>
        </w:rPr>
        <w:t>1</w:t>
      </w:r>
      <w:r>
        <w:rPr>
          <w:rFonts w:hint="eastAsia" w:ascii="宋体" w:hAnsi="宋体" w:cs="Arial"/>
          <w:color w:val="000000" w:themeColor="text1"/>
          <w:kern w:val="0"/>
          <w:sz w:val="24"/>
          <w:szCs w:val="24"/>
          <w14:textFill>
            <w14:solidFill>
              <w14:schemeClr w14:val="tx1"/>
            </w14:solidFill>
          </w14:textFill>
        </w:rPr>
        <w:t>）我方承诺在收到中标通知书后，在中标通知书规定的期限内与你方签订合同。</w:t>
      </w:r>
    </w:p>
    <w:p>
      <w:pPr>
        <w:widowControl/>
        <w:spacing w:before="75" w:after="75" w:line="360" w:lineRule="auto"/>
        <w:ind w:firstLine="720"/>
        <w:jc w:val="left"/>
        <w:rPr>
          <w:rFonts w:ascii="Arial" w:hAnsi="Arial"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w:t>
      </w:r>
      <w:r>
        <w:rPr>
          <w:rFonts w:cs="Times New Roman"/>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）随同本投标函递交的投标函附录属于合同文件的组成部分。</w:t>
      </w:r>
    </w:p>
    <w:p>
      <w:pPr>
        <w:widowControl/>
        <w:spacing w:before="75" w:after="75" w:line="360" w:lineRule="auto"/>
        <w:ind w:firstLine="720"/>
        <w:jc w:val="left"/>
        <w:rPr>
          <w:rFonts w:ascii="Arial" w:hAnsi="Arial"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w:t>
      </w:r>
      <w:r>
        <w:rPr>
          <w:rFonts w:cs="Times New Roman"/>
          <w:color w:val="000000" w:themeColor="text1"/>
          <w:kern w:val="0"/>
          <w:sz w:val="24"/>
          <w:szCs w:val="24"/>
          <w14:textFill>
            <w14:solidFill>
              <w14:schemeClr w14:val="tx1"/>
            </w14:solidFill>
          </w14:textFill>
        </w:rPr>
        <w:t>3</w:t>
      </w:r>
      <w:r>
        <w:rPr>
          <w:rFonts w:hint="eastAsia" w:ascii="宋体" w:hAnsi="宋体" w:cs="Arial"/>
          <w:color w:val="000000" w:themeColor="text1"/>
          <w:kern w:val="0"/>
          <w:sz w:val="24"/>
          <w:szCs w:val="24"/>
          <w14:textFill>
            <w14:solidFill>
              <w14:schemeClr w14:val="tx1"/>
            </w14:solidFill>
          </w14:textFill>
        </w:rPr>
        <w:t>）我方承诺在合同约定的期限内完成并移交全部合同工程。</w:t>
      </w:r>
    </w:p>
    <w:p>
      <w:pPr>
        <w:widowControl/>
        <w:spacing w:before="75" w:after="75" w:line="360" w:lineRule="auto"/>
        <w:ind w:firstLine="420"/>
        <w:jc w:val="left"/>
        <w:rPr>
          <w:rFonts w:ascii="Arial" w:hAnsi="Arial" w:cs="Arial"/>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5</w:t>
      </w:r>
      <w:r>
        <w:rPr>
          <w:rFonts w:hint="eastAsia" w:ascii="宋体" w:hAnsi="宋体" w:cs="Arial"/>
          <w:color w:val="000000" w:themeColor="text1"/>
          <w:kern w:val="0"/>
          <w:sz w:val="24"/>
          <w:szCs w:val="24"/>
          <w14:textFill>
            <w14:solidFill>
              <w14:schemeClr w14:val="tx1"/>
            </w14:solidFill>
          </w14:textFill>
        </w:rPr>
        <w:t>．我方在此声明，所递交的投标文件及有关资料内容完整、真实和准确，且不存在第二章“投标人须知”第</w:t>
      </w:r>
      <w:r>
        <w:rPr>
          <w:rFonts w:cs="Times New Roman"/>
          <w:color w:val="000000" w:themeColor="text1"/>
          <w:kern w:val="0"/>
          <w:sz w:val="24"/>
          <w:szCs w:val="24"/>
          <w14:textFill>
            <w14:solidFill>
              <w14:schemeClr w14:val="tx1"/>
            </w14:solidFill>
          </w14:textFill>
        </w:rPr>
        <w:t>1.4.3</w:t>
      </w:r>
      <w:r>
        <w:rPr>
          <w:rFonts w:hint="eastAsia" w:ascii="宋体" w:hAnsi="宋体" w:cs="Arial"/>
          <w:color w:val="000000" w:themeColor="text1"/>
          <w:kern w:val="0"/>
          <w:sz w:val="24"/>
          <w:szCs w:val="24"/>
          <w14:textFill>
            <w14:solidFill>
              <w14:schemeClr w14:val="tx1"/>
            </w14:solidFill>
          </w14:textFill>
        </w:rPr>
        <w:t>项规定的任何一种情形。</w:t>
      </w:r>
    </w:p>
    <w:p>
      <w:pPr>
        <w:widowControl/>
        <w:spacing w:before="75" w:after="75" w:line="360" w:lineRule="auto"/>
        <w:ind w:firstLine="420"/>
        <w:jc w:val="left"/>
        <w:rPr>
          <w:rFonts w:ascii="Arial" w:hAnsi="Arial" w:cs="Arial"/>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6</w:t>
      </w:r>
      <w:r>
        <w:rPr>
          <w:rFonts w:hint="eastAsia" w:ascii="宋体" w:hAnsi="宋体" w:cs="Arial"/>
          <w:color w:val="000000" w:themeColor="text1"/>
          <w:kern w:val="0"/>
          <w:sz w:val="24"/>
          <w:szCs w:val="24"/>
          <w14:textFill>
            <w14:solidFill>
              <w14:schemeClr w14:val="tx1"/>
            </w14:solidFill>
          </w14:textFill>
        </w:rPr>
        <w:t>．其他补充说明在“其他材料”中列明。</w:t>
      </w:r>
      <w:r>
        <w:rPr>
          <w:rFonts w:ascii="Arial" w:hAnsi="Arial" w:cs="Arial"/>
          <w:color w:val="000000" w:themeColor="text1"/>
          <w:kern w:val="0"/>
          <w:sz w:val="24"/>
          <w:szCs w:val="24"/>
          <w14:textFill>
            <w14:solidFill>
              <w14:schemeClr w14:val="tx1"/>
            </w14:solidFill>
          </w14:textFill>
        </w:rPr>
        <w:t xml:space="preserve"> </w:t>
      </w:r>
    </w:p>
    <w:p>
      <w:pPr>
        <w:widowControl/>
        <w:spacing w:before="75" w:after="75" w:line="360" w:lineRule="auto"/>
        <w:jc w:val="left"/>
        <w:rPr>
          <w:rFonts w:ascii="Arial" w:hAnsi="Arial" w:cs="Arial"/>
          <w:color w:val="000000" w:themeColor="text1"/>
          <w:kern w:val="0"/>
          <w:sz w:val="24"/>
          <w:szCs w:val="24"/>
          <w14:textFill>
            <w14:solidFill>
              <w14:schemeClr w14:val="tx1"/>
            </w14:solidFill>
          </w14:textFill>
        </w:rPr>
      </w:pPr>
      <w:r>
        <w:rPr>
          <w:rFonts w:ascii="Arial" w:hAnsi="Arial" w:cs="Arial"/>
          <w:color w:val="000000" w:themeColor="text1"/>
          <w:kern w:val="0"/>
          <w:sz w:val="24"/>
          <w:szCs w:val="24"/>
          <w14:textFill>
            <w14:solidFill>
              <w14:schemeClr w14:val="tx1"/>
            </w14:solidFill>
          </w14:textFill>
        </w:rPr>
        <w:t xml:space="preserve"> </w:t>
      </w:r>
    </w:p>
    <w:p>
      <w:pPr>
        <w:widowControl/>
        <w:spacing w:before="75" w:after="75" w:line="360" w:lineRule="auto"/>
        <w:ind w:firstLine="3675"/>
        <w:jc w:val="left"/>
        <w:rPr>
          <w:rFonts w:ascii="Arial" w:hAnsi="Arial" w:cs="Arial"/>
          <w:color w:val="000000" w:themeColor="text1"/>
          <w:kern w:val="0"/>
          <w:sz w:val="24"/>
          <w:szCs w:val="24"/>
          <w14:textFill>
            <w14:solidFill>
              <w14:schemeClr w14:val="tx1"/>
            </w14:solidFill>
          </w14:textFill>
        </w:rPr>
      </w:pPr>
      <w:r>
        <w:rPr>
          <w:rFonts w:cs="Times New Roman"/>
          <w:color w:val="000000" w:themeColor="text1"/>
          <w:kern w:val="0"/>
          <w:sz w:val="24"/>
          <w:szCs w:val="24"/>
          <w14:textFill>
            <w14:solidFill>
              <w14:schemeClr w14:val="tx1"/>
            </w14:solidFill>
          </w14:textFill>
        </w:rPr>
        <w:t xml:space="preserve"> </w:t>
      </w:r>
    </w:p>
    <w:p>
      <w:pPr>
        <w:kinsoku w:val="0"/>
        <w:overflowPunct w:val="0"/>
        <w:autoSpaceDE w:val="0"/>
        <w:autoSpaceDN w:val="0"/>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投标人（电子签章）：</w:t>
      </w:r>
    </w:p>
    <w:p>
      <w:pPr>
        <w:kinsoku w:val="0"/>
        <w:overflowPunct w:val="0"/>
        <w:autoSpaceDE w:val="0"/>
        <w:autoSpaceDN w:val="0"/>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法定代表人或其委托代理人（电子签章）：</w:t>
      </w:r>
    </w:p>
    <w:p>
      <w:pPr>
        <w:kinsoku w:val="0"/>
        <w:overflowPunct w:val="0"/>
        <w:autoSpaceDE w:val="0"/>
        <w:autoSpaceDN w:val="0"/>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日期： </w:t>
      </w:r>
    </w:p>
    <w:p>
      <w:pPr>
        <w:kinsoku w:val="0"/>
        <w:overflowPunct w:val="0"/>
        <w:autoSpaceDE w:val="0"/>
        <w:autoSpaceDN w:val="0"/>
        <w:adjustRightInd w:val="0"/>
        <w:snapToGrid w:val="0"/>
        <w:spacing w:before="312" w:beforeLines="100" w:after="156" w:afterLines="50"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kinsoku w:val="0"/>
        <w:overflowPunct w:val="0"/>
        <w:autoSpaceDE w:val="0"/>
        <w:autoSpaceDN w:val="0"/>
        <w:adjustRightInd w:val="0"/>
        <w:snapToGrid w:val="0"/>
        <w:spacing w:before="312" w:beforeLines="100" w:after="156" w:afterLines="50" w:line="360" w:lineRule="auto"/>
        <w:jc w:val="center"/>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（二）投标函附录</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tbl>
      <w:tblPr>
        <w:tblStyle w:val="18"/>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
        <w:gridCol w:w="1035"/>
        <w:gridCol w:w="2600"/>
        <w:gridCol w:w="1365"/>
        <w:gridCol w:w="1434"/>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4041" w:type="dxa"/>
            <w:gridSpan w:val="3"/>
            <w:tcBorders>
              <w:top w:val="single" w:color="auto" w:sz="4" w:space="0"/>
              <w:left w:val="single" w:color="000000" w:sz="8" w:space="0"/>
              <w:bottom w:val="single" w:color="000000" w:sz="4" w:space="0"/>
              <w:right w:val="single" w:color="000000" w:sz="4" w:space="0"/>
            </w:tcBorders>
            <w:vAlign w:val="center"/>
          </w:tcPr>
          <w:p>
            <w:pPr>
              <w:pStyle w:val="39"/>
              <w:widowControl w:val="0"/>
              <w:kinsoku w:val="0"/>
              <w:overflowPunct w:val="0"/>
              <w:autoSpaceDE w:val="0"/>
              <w:autoSpaceDN w:val="0"/>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工程名称</w:t>
            </w:r>
          </w:p>
        </w:tc>
        <w:tc>
          <w:tcPr>
            <w:tcW w:w="4739" w:type="dxa"/>
            <w:gridSpan w:val="3"/>
            <w:tcBorders>
              <w:top w:val="single" w:color="auto" w:sz="4" w:space="0"/>
              <w:left w:val="nil"/>
              <w:bottom w:val="single" w:color="000000" w:sz="4" w:space="0"/>
              <w:right w:val="single" w:color="000000" w:sz="8" w:space="0"/>
            </w:tcBorders>
            <w:vAlign w:val="center"/>
          </w:tcPr>
          <w:p>
            <w:pPr>
              <w:pStyle w:val="39"/>
              <w:widowControl w:val="0"/>
              <w:kinsoku w:val="0"/>
              <w:overflowPunct w:val="0"/>
              <w:autoSpaceDE w:val="0"/>
              <w:autoSpaceDN w:val="0"/>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u w:val="single"/>
                <w14:textFill>
                  <w14:solidFill>
                    <w14:schemeClr w14:val="tx1"/>
                  </w14:solidFill>
                </w14:textFill>
              </w:rPr>
              <w:t xml:space="preserve">          （项目名称）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4041" w:type="dxa"/>
            <w:gridSpan w:val="3"/>
            <w:tcBorders>
              <w:top w:val="single" w:color="auto" w:sz="4" w:space="0"/>
              <w:left w:val="single" w:color="000000" w:sz="8" w:space="0"/>
              <w:bottom w:val="single" w:color="000000" w:sz="4" w:space="0"/>
              <w:right w:val="single" w:color="000000" w:sz="4" w:space="0"/>
            </w:tcBorders>
            <w:vAlign w:val="center"/>
          </w:tcPr>
          <w:p>
            <w:pPr>
              <w:pStyle w:val="39"/>
              <w:widowControl w:val="0"/>
              <w:kinsoku w:val="0"/>
              <w:overflowPunct w:val="0"/>
              <w:autoSpaceDE w:val="0"/>
              <w:autoSpaceDN w:val="0"/>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w:t>
            </w:r>
          </w:p>
        </w:tc>
        <w:tc>
          <w:tcPr>
            <w:tcW w:w="4739" w:type="dxa"/>
            <w:gridSpan w:val="3"/>
            <w:tcBorders>
              <w:top w:val="single" w:color="auto" w:sz="4" w:space="0"/>
              <w:left w:val="nil"/>
              <w:bottom w:val="single" w:color="000000" w:sz="4" w:space="0"/>
              <w:right w:val="single" w:color="000000" w:sz="8" w:space="0"/>
            </w:tcBorders>
            <w:vAlign w:val="center"/>
          </w:tcPr>
          <w:p>
            <w:pPr>
              <w:kinsoku w:val="0"/>
              <w:overflowPunct w:val="0"/>
              <w:autoSpaceDE w:val="0"/>
              <w:autoSpaceDN w:val="0"/>
              <w:adjustRightInd w:val="0"/>
              <w:snapToGrid w:val="0"/>
              <w:spacing w:line="360" w:lineRule="auto"/>
              <w:jc w:val="center"/>
              <w:rPr>
                <w:rFonts w:ascii="宋体" w:hAnsi="宋体"/>
                <w:b/>
                <w:bCs/>
                <w:color w:val="000000" w:themeColor="text1"/>
                <w:spacing w:val="1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406" w:type="dxa"/>
            <w:vMerge w:val="restart"/>
            <w:tcBorders>
              <w:top w:val="nil"/>
              <w:left w:val="single" w:color="000000" w:sz="8"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工</w:t>
            </w:r>
          </w:p>
          <w:p>
            <w:pPr>
              <w:kinsoku w:val="0"/>
              <w:overflowPunct w:val="0"/>
              <w:autoSpaceDE w:val="0"/>
              <w:autoSpaceDN w:val="0"/>
              <w:adjustRightInd w:val="0"/>
              <w:snapToGrid w:val="0"/>
              <w:spacing w:line="360" w:lineRule="auto"/>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程</w:t>
            </w:r>
          </w:p>
          <w:p>
            <w:pPr>
              <w:kinsoku w:val="0"/>
              <w:overflowPunct w:val="0"/>
              <w:autoSpaceDE w:val="0"/>
              <w:autoSpaceDN w:val="0"/>
              <w:adjustRightInd w:val="0"/>
              <w:snapToGrid w:val="0"/>
              <w:spacing w:line="360" w:lineRule="auto"/>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造</w:t>
            </w:r>
          </w:p>
          <w:p>
            <w:pPr>
              <w:kinsoku w:val="0"/>
              <w:overflowPunct w:val="0"/>
              <w:autoSpaceDE w:val="0"/>
              <w:autoSpaceDN w:val="0"/>
              <w:adjustRightInd w:val="0"/>
              <w:snapToGrid w:val="0"/>
              <w:spacing w:line="360" w:lineRule="auto"/>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价</w:t>
            </w:r>
          </w:p>
        </w:tc>
        <w:tc>
          <w:tcPr>
            <w:tcW w:w="1035" w:type="dxa"/>
            <w:tcBorders>
              <w:top w:val="single" w:color="auto" w:sz="4" w:space="0"/>
              <w:left w:val="nil"/>
              <w:bottom w:val="single" w:color="000000"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1</w:t>
            </w:r>
          </w:p>
        </w:tc>
        <w:tc>
          <w:tcPr>
            <w:tcW w:w="2600" w:type="dxa"/>
            <w:tcBorders>
              <w:top w:val="single" w:color="auto" w:sz="4" w:space="0"/>
              <w:left w:val="nil"/>
              <w:bottom w:val="single" w:color="000000" w:sz="4" w:space="0"/>
              <w:right w:val="single" w:color="000000"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工程量清单报价</w:t>
            </w:r>
          </w:p>
          <w:p>
            <w:pPr>
              <w:kinsoku w:val="0"/>
              <w:overflowPunct w:val="0"/>
              <w:autoSpaceDE w:val="0"/>
              <w:autoSpaceDN w:val="0"/>
              <w:adjustRightInd w:val="0"/>
              <w:snapToGrid w:val="0"/>
              <w:spacing w:line="360" w:lineRule="auto"/>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14:textFill>
                  <w14:solidFill>
                    <w14:schemeClr w14:val="tx1"/>
                  </w14:solidFill>
                </w14:textFill>
              </w:rPr>
              <w:t>【不含安全文明施工措施费（不含税）、规费（不含税）、税金】</w:t>
            </w:r>
          </w:p>
        </w:tc>
        <w:tc>
          <w:tcPr>
            <w:tcW w:w="4739" w:type="dxa"/>
            <w:gridSpan w:val="3"/>
            <w:tcBorders>
              <w:top w:val="single" w:color="auto" w:sz="4" w:space="0"/>
              <w:left w:val="nil"/>
              <w:bottom w:val="single" w:color="000000" w:sz="4" w:space="0"/>
              <w:right w:val="single" w:color="000000" w:sz="8" w:space="0"/>
            </w:tcBorders>
            <w:vAlign w:val="center"/>
          </w:tcPr>
          <w:p>
            <w:pPr>
              <w:kinsoku w:val="0"/>
              <w:overflowPunct w:val="0"/>
              <w:autoSpaceDE w:val="0"/>
              <w:autoSpaceDN w:val="0"/>
              <w:adjustRightInd w:val="0"/>
              <w:snapToGrid w:val="0"/>
              <w:spacing w:line="360" w:lineRule="auto"/>
              <w:ind w:firstLine="420" w:firstLineChars="200"/>
              <w:jc w:val="center"/>
              <w:rPr>
                <w:rFonts w:ascii="宋体" w:hAnsi="宋体"/>
                <w:b/>
                <w:bCs/>
                <w:color w:val="000000" w:themeColor="text1"/>
                <w:spacing w:val="136"/>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406" w:type="dxa"/>
            <w:vMerge w:val="continue"/>
            <w:tcBorders>
              <w:top w:val="nil"/>
              <w:left w:val="single" w:color="000000" w:sz="8" w:space="0"/>
              <w:bottom w:val="single" w:color="auto" w:sz="4" w:space="0"/>
              <w:right w:val="single" w:color="auto" w:sz="4" w:space="0"/>
            </w:tcBorders>
            <w:vAlign w:val="center"/>
          </w:tcPr>
          <w:p>
            <w:pPr>
              <w:widowControl/>
              <w:jc w:val="left"/>
              <w:rPr>
                <w:rFonts w:ascii="宋体" w:hAnsi="宋体"/>
                <w:color w:val="000000" w:themeColor="text1"/>
                <w:spacing w:val="-4"/>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2</w:t>
            </w:r>
          </w:p>
        </w:tc>
        <w:tc>
          <w:tcPr>
            <w:tcW w:w="2600" w:type="dxa"/>
            <w:tcBorders>
              <w:top w:val="single" w:color="auto" w:sz="4" w:space="0"/>
              <w:left w:val="nil"/>
              <w:bottom w:val="single" w:color="auto" w:sz="4" w:space="0"/>
              <w:right w:val="single" w:color="000000"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安全文明施工措施费</w:t>
            </w:r>
          </w:p>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14:textFill>
                  <w14:solidFill>
                    <w14:schemeClr w14:val="tx1"/>
                  </w14:solidFill>
                </w14:textFill>
              </w:rPr>
              <w:t>（不含税）</w:t>
            </w:r>
          </w:p>
        </w:tc>
        <w:tc>
          <w:tcPr>
            <w:tcW w:w="4739" w:type="dxa"/>
            <w:gridSpan w:val="3"/>
            <w:tcBorders>
              <w:top w:val="single" w:color="auto" w:sz="4" w:space="0"/>
              <w:left w:val="nil"/>
              <w:bottom w:val="single" w:color="auto" w:sz="4" w:space="0"/>
              <w:right w:val="single" w:color="000000" w:sz="8" w:space="0"/>
            </w:tcBorders>
            <w:vAlign w:val="center"/>
          </w:tcPr>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406" w:type="dxa"/>
            <w:vMerge w:val="continue"/>
            <w:tcBorders>
              <w:top w:val="nil"/>
              <w:left w:val="single" w:color="000000" w:sz="8" w:space="0"/>
              <w:bottom w:val="single" w:color="auto" w:sz="4" w:space="0"/>
              <w:right w:val="single" w:color="auto" w:sz="4" w:space="0"/>
            </w:tcBorders>
            <w:vAlign w:val="center"/>
          </w:tcPr>
          <w:p>
            <w:pPr>
              <w:widowControl/>
              <w:jc w:val="left"/>
              <w:rPr>
                <w:rFonts w:ascii="宋体" w:hAnsi="宋体"/>
                <w:color w:val="000000" w:themeColor="text1"/>
                <w:spacing w:val="-4"/>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3</w:t>
            </w:r>
          </w:p>
        </w:tc>
        <w:tc>
          <w:tcPr>
            <w:tcW w:w="2600" w:type="dxa"/>
            <w:tcBorders>
              <w:top w:val="single" w:color="auto" w:sz="4" w:space="0"/>
              <w:left w:val="nil"/>
              <w:bottom w:val="single" w:color="auto" w:sz="4" w:space="0"/>
              <w:right w:val="single" w:color="000000" w:sz="4" w:space="0"/>
            </w:tcBorders>
            <w:vAlign w:val="center"/>
          </w:tcPr>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14:textFill>
                  <w14:solidFill>
                    <w14:schemeClr w14:val="tx1"/>
                  </w14:solidFill>
                </w14:textFill>
              </w:rPr>
              <w:t>规费（不含税）</w:t>
            </w:r>
          </w:p>
        </w:tc>
        <w:tc>
          <w:tcPr>
            <w:tcW w:w="4739" w:type="dxa"/>
            <w:gridSpan w:val="3"/>
            <w:tcBorders>
              <w:top w:val="single" w:color="auto" w:sz="4" w:space="0"/>
              <w:left w:val="nil"/>
              <w:bottom w:val="single" w:color="auto" w:sz="4" w:space="0"/>
              <w:right w:val="single" w:color="000000" w:sz="8" w:space="0"/>
            </w:tcBorders>
            <w:vAlign w:val="center"/>
          </w:tcPr>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06" w:type="dxa"/>
            <w:vMerge w:val="continue"/>
            <w:tcBorders>
              <w:top w:val="nil"/>
              <w:left w:val="single" w:color="000000" w:sz="8" w:space="0"/>
              <w:bottom w:val="single" w:color="auto" w:sz="4" w:space="0"/>
              <w:right w:val="single" w:color="auto" w:sz="4" w:space="0"/>
            </w:tcBorders>
            <w:vAlign w:val="center"/>
          </w:tcPr>
          <w:p>
            <w:pPr>
              <w:widowControl/>
              <w:jc w:val="left"/>
              <w:rPr>
                <w:rFonts w:ascii="宋体" w:hAnsi="宋体"/>
                <w:color w:val="000000" w:themeColor="text1"/>
                <w:spacing w:val="-4"/>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4</w:t>
            </w:r>
          </w:p>
        </w:tc>
        <w:tc>
          <w:tcPr>
            <w:tcW w:w="2600" w:type="dxa"/>
            <w:tcBorders>
              <w:top w:val="single" w:color="auto" w:sz="4" w:space="0"/>
              <w:left w:val="nil"/>
              <w:bottom w:val="single" w:color="auto" w:sz="4" w:space="0"/>
              <w:right w:val="single" w:color="000000" w:sz="4" w:space="0"/>
            </w:tcBorders>
            <w:vAlign w:val="center"/>
          </w:tcPr>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税金</w:t>
            </w:r>
          </w:p>
        </w:tc>
        <w:tc>
          <w:tcPr>
            <w:tcW w:w="4739" w:type="dxa"/>
            <w:gridSpan w:val="3"/>
            <w:tcBorders>
              <w:top w:val="single" w:color="auto" w:sz="4" w:space="0"/>
              <w:left w:val="nil"/>
              <w:bottom w:val="single" w:color="auto" w:sz="4" w:space="0"/>
              <w:right w:val="single" w:color="000000" w:sz="8" w:space="0"/>
            </w:tcBorders>
            <w:vAlign w:val="center"/>
          </w:tcPr>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406" w:type="dxa"/>
            <w:vMerge w:val="continue"/>
            <w:tcBorders>
              <w:top w:val="nil"/>
              <w:left w:val="single" w:color="000000" w:sz="8" w:space="0"/>
              <w:bottom w:val="single" w:color="auto" w:sz="4" w:space="0"/>
              <w:right w:val="single" w:color="auto" w:sz="4" w:space="0"/>
            </w:tcBorders>
            <w:vAlign w:val="center"/>
          </w:tcPr>
          <w:p>
            <w:pPr>
              <w:widowControl/>
              <w:jc w:val="left"/>
              <w:rPr>
                <w:rFonts w:ascii="宋体" w:hAnsi="宋体"/>
                <w:color w:val="000000" w:themeColor="text1"/>
                <w:spacing w:val="-4"/>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1+2+3+4</w:t>
            </w:r>
          </w:p>
        </w:tc>
        <w:tc>
          <w:tcPr>
            <w:tcW w:w="2600" w:type="dxa"/>
            <w:tcBorders>
              <w:top w:val="single" w:color="auto" w:sz="4" w:space="0"/>
              <w:left w:val="nil"/>
              <w:bottom w:val="single" w:color="auto" w:sz="4" w:space="0"/>
              <w:right w:val="single" w:color="000000" w:sz="4" w:space="0"/>
            </w:tcBorders>
            <w:vAlign w:val="center"/>
          </w:tcPr>
          <w:p>
            <w:pPr>
              <w:kinsoku w:val="0"/>
              <w:overflowPunct w:val="0"/>
              <w:autoSpaceDE w:val="0"/>
              <w:autoSpaceDN w:val="0"/>
              <w:adjustRightInd w:val="0"/>
              <w:snapToGrid w:val="0"/>
              <w:jc w:val="center"/>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工程量清单总报价</w:t>
            </w:r>
          </w:p>
        </w:tc>
        <w:tc>
          <w:tcPr>
            <w:tcW w:w="4739" w:type="dxa"/>
            <w:gridSpan w:val="3"/>
            <w:tcBorders>
              <w:top w:val="single" w:color="auto" w:sz="4" w:space="0"/>
              <w:left w:val="nil"/>
              <w:bottom w:val="single" w:color="auto" w:sz="4" w:space="0"/>
              <w:right w:val="single" w:color="000000" w:sz="8" w:space="0"/>
            </w:tcBorders>
            <w:vAlign w:val="center"/>
          </w:tcPr>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4041" w:type="dxa"/>
            <w:gridSpan w:val="3"/>
            <w:tcBorders>
              <w:top w:val="single" w:color="auto" w:sz="4" w:space="0"/>
              <w:left w:val="single" w:color="000000" w:sz="8" w:space="0"/>
              <w:bottom w:val="single" w:color="auto" w:sz="4" w:space="0"/>
              <w:right w:val="single" w:color="000000" w:sz="4" w:space="0"/>
            </w:tcBorders>
            <w:vAlign w:val="center"/>
          </w:tcPr>
          <w:p>
            <w:pPr>
              <w:pStyle w:val="39"/>
              <w:widowControl w:val="0"/>
              <w:kinsoku w:val="0"/>
              <w:overflowPunct w:val="0"/>
              <w:autoSpaceDE w:val="0"/>
              <w:autoSpaceDN w:val="0"/>
              <w:adjustRightInd w:val="0"/>
              <w:snapToGrid w:val="0"/>
              <w:spacing w:line="360" w:lineRule="auto"/>
              <w:rPr>
                <w:rFonts w:ascii="宋体" w:hAnsi="宋体"/>
                <w:color w:val="000000" w:themeColor="text1"/>
                <w:spacing w:val="-4"/>
                <w:kern w:val="2"/>
                <w:sz w:val="21"/>
                <w:szCs w:val="21"/>
                <w14:textFill>
                  <w14:solidFill>
                    <w14:schemeClr w14:val="tx1"/>
                  </w14:solidFill>
                </w14:textFill>
              </w:rPr>
            </w:pPr>
            <w:r>
              <w:rPr>
                <w:rFonts w:hint="eastAsia" w:ascii="宋体" w:hAnsi="宋体"/>
                <w:color w:val="000000" w:themeColor="text1"/>
                <w:spacing w:val="-4"/>
                <w:kern w:val="2"/>
                <w:sz w:val="21"/>
                <w:szCs w:val="21"/>
                <w14:textFill>
                  <w14:solidFill>
                    <w14:schemeClr w14:val="tx1"/>
                  </w14:solidFill>
                </w14:textFill>
              </w:rPr>
              <w:t>人工费（不含税）</w:t>
            </w:r>
          </w:p>
        </w:tc>
        <w:tc>
          <w:tcPr>
            <w:tcW w:w="4739" w:type="dxa"/>
            <w:gridSpan w:val="3"/>
            <w:tcBorders>
              <w:top w:val="single" w:color="auto" w:sz="4" w:space="0"/>
              <w:left w:val="nil"/>
              <w:bottom w:val="single" w:color="auto" w:sz="4" w:space="0"/>
              <w:right w:val="single" w:color="000000" w:sz="8" w:space="0"/>
            </w:tcBorders>
            <w:vAlign w:val="center"/>
          </w:tcPr>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4041" w:type="dxa"/>
            <w:gridSpan w:val="3"/>
            <w:tcBorders>
              <w:top w:val="single" w:color="auto" w:sz="4" w:space="0"/>
              <w:left w:val="single" w:color="000000" w:sz="8" w:space="0"/>
              <w:bottom w:val="single" w:color="auto" w:sz="4" w:space="0"/>
              <w:right w:val="single" w:color="000000" w:sz="4" w:space="0"/>
            </w:tcBorders>
            <w:vAlign w:val="center"/>
          </w:tcPr>
          <w:p>
            <w:pPr>
              <w:pStyle w:val="39"/>
              <w:widowControl w:val="0"/>
              <w:kinsoku w:val="0"/>
              <w:overflowPunct w:val="0"/>
              <w:autoSpaceDE w:val="0"/>
              <w:autoSpaceDN w:val="0"/>
              <w:adjustRightInd w:val="0"/>
              <w:snapToGrid w:val="0"/>
              <w:spacing w:line="360" w:lineRule="auto"/>
              <w:rPr>
                <w:rFonts w:ascii="宋体" w:hAnsi="宋体"/>
                <w:color w:val="000000" w:themeColor="text1"/>
                <w:spacing w:val="-4"/>
                <w:kern w:val="2"/>
                <w:sz w:val="21"/>
                <w:szCs w:val="21"/>
                <w14:textFill>
                  <w14:solidFill>
                    <w14:schemeClr w14:val="tx1"/>
                  </w14:solidFill>
                </w14:textFill>
              </w:rPr>
            </w:pPr>
            <w:r>
              <w:rPr>
                <w:rFonts w:hint="eastAsia" w:ascii="宋体" w:hAnsi="宋体"/>
                <w:color w:val="000000" w:themeColor="text1"/>
                <w:spacing w:val="-4"/>
                <w:kern w:val="2"/>
                <w:sz w:val="21"/>
                <w:szCs w:val="21"/>
                <w14:textFill>
                  <w14:solidFill>
                    <w14:schemeClr w14:val="tx1"/>
                  </w14:solidFill>
                </w14:textFill>
              </w:rPr>
              <w:t>措施项目费</w:t>
            </w:r>
          </w:p>
          <w:p>
            <w:pPr>
              <w:pStyle w:val="39"/>
              <w:widowControl w:val="0"/>
              <w:kinsoku w:val="0"/>
              <w:overflowPunct w:val="0"/>
              <w:autoSpaceDE w:val="0"/>
              <w:autoSpaceDN w:val="0"/>
              <w:adjustRightInd w:val="0"/>
              <w:snapToGrid w:val="0"/>
              <w:spacing w:line="360" w:lineRule="auto"/>
              <w:rPr>
                <w:rFonts w:ascii="宋体" w:hAnsi="宋体"/>
                <w:color w:val="000000" w:themeColor="text1"/>
                <w:spacing w:val="-4"/>
                <w:kern w:val="2"/>
                <w:sz w:val="21"/>
                <w:szCs w:val="21"/>
                <w14:textFill>
                  <w14:solidFill>
                    <w14:schemeClr w14:val="tx1"/>
                  </w14:solidFill>
                </w14:textFill>
              </w:rPr>
            </w:pPr>
            <w:r>
              <w:rPr>
                <w:rFonts w:hint="eastAsia" w:ascii="宋体" w:hAnsi="宋体"/>
                <w:color w:val="000000" w:themeColor="text1"/>
                <w:spacing w:val="-4"/>
                <w:kern w:val="2"/>
                <w:sz w:val="21"/>
                <w:szCs w:val="21"/>
                <w14:textFill>
                  <w14:solidFill>
                    <w14:schemeClr w14:val="tx1"/>
                  </w14:solidFill>
                </w14:textFill>
              </w:rPr>
              <w:t>（不含安全文明施工措施费）</w:t>
            </w:r>
          </w:p>
        </w:tc>
        <w:tc>
          <w:tcPr>
            <w:tcW w:w="4739" w:type="dxa"/>
            <w:gridSpan w:val="3"/>
            <w:tcBorders>
              <w:top w:val="single" w:color="auto" w:sz="4" w:space="0"/>
              <w:left w:val="nil"/>
              <w:bottom w:val="single" w:color="auto" w:sz="4" w:space="0"/>
              <w:right w:val="single" w:color="000000" w:sz="8" w:space="0"/>
            </w:tcBorders>
            <w:vAlign w:val="center"/>
          </w:tcPr>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4041" w:type="dxa"/>
            <w:gridSpan w:val="3"/>
            <w:tcBorders>
              <w:top w:val="single" w:color="auto" w:sz="4" w:space="0"/>
              <w:left w:val="single" w:color="000000" w:sz="8" w:space="0"/>
              <w:bottom w:val="single" w:color="000000" w:sz="4" w:space="0"/>
              <w:right w:val="single" w:color="000000" w:sz="4" w:space="0"/>
            </w:tcBorders>
            <w:vAlign w:val="center"/>
          </w:tcPr>
          <w:p>
            <w:pPr>
              <w:kinsoku w:val="0"/>
              <w:overflowPunct w:val="0"/>
              <w:autoSpaceDE w:val="0"/>
              <w:autoSpaceDN w:val="0"/>
              <w:adjustRightInd w:val="0"/>
              <w:snapToGrid w:val="0"/>
              <w:spacing w:line="360" w:lineRule="auto"/>
              <w:jc w:val="center"/>
              <w:rPr>
                <w:rFonts w:ascii="宋体" w:hAnsi="宋体"/>
                <w:b/>
                <w:bCs/>
                <w:color w:val="000000" w:themeColor="text1"/>
                <w:spacing w:val="136"/>
                <w14:textFill>
                  <w14:solidFill>
                    <w14:schemeClr w14:val="tx1"/>
                  </w14:solidFill>
                </w14:textFill>
              </w:rPr>
            </w:pPr>
            <w:r>
              <w:rPr>
                <w:rFonts w:hint="eastAsia" w:ascii="宋体" w:hAnsi="宋体"/>
                <w:color w:val="000000" w:themeColor="text1"/>
                <w14:textFill>
                  <w14:solidFill>
                    <w14:schemeClr w14:val="tx1"/>
                  </w14:solidFill>
                </w14:textFill>
              </w:rPr>
              <w:t>投报工程质量</w:t>
            </w:r>
          </w:p>
        </w:tc>
        <w:tc>
          <w:tcPr>
            <w:tcW w:w="4739" w:type="dxa"/>
            <w:gridSpan w:val="3"/>
            <w:tcBorders>
              <w:top w:val="single" w:color="auto" w:sz="4" w:space="0"/>
              <w:left w:val="nil"/>
              <w:bottom w:val="single" w:color="000000" w:sz="4" w:space="0"/>
              <w:right w:val="single" w:color="000000" w:sz="8" w:space="0"/>
            </w:tcBorders>
            <w:vAlign w:val="center"/>
          </w:tcPr>
          <w:p>
            <w:pPr>
              <w:kinsoku w:val="0"/>
              <w:overflowPunct w:val="0"/>
              <w:autoSpaceDE w:val="0"/>
              <w:autoSpaceDN w:val="0"/>
              <w:adjustRightInd w:val="0"/>
              <w:snapToGrid w:val="0"/>
              <w:spacing w:line="360" w:lineRule="auto"/>
              <w:ind w:firstLine="966" w:firstLineChars="200"/>
              <w:jc w:val="center"/>
              <w:rPr>
                <w:rFonts w:ascii="宋体" w:hAnsi="宋体"/>
                <w:b/>
                <w:bCs/>
                <w:color w:val="000000" w:themeColor="text1"/>
                <w:spacing w:val="1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041" w:type="dxa"/>
            <w:gridSpan w:val="3"/>
            <w:tcBorders>
              <w:top w:val="single" w:color="auto" w:sz="4" w:space="0"/>
              <w:left w:val="single" w:color="000000" w:sz="8" w:space="0"/>
              <w:bottom w:val="single" w:color="000000" w:sz="4" w:space="0"/>
              <w:right w:val="single" w:color="000000" w:sz="4" w:space="0"/>
            </w:tcBorders>
            <w:vAlign w:val="center"/>
          </w:tcPr>
          <w:p>
            <w:pPr>
              <w:kinsoku w:val="0"/>
              <w:overflowPunct w:val="0"/>
              <w:autoSpaceDE w:val="0"/>
              <w:autoSpaceDN w:val="0"/>
              <w:adjustRightInd w:val="0"/>
              <w:snapToGrid w:val="0"/>
              <w:spacing w:line="360" w:lineRule="auto"/>
              <w:jc w:val="center"/>
              <w:rPr>
                <w:rFonts w:ascii="宋体" w:hAnsi="宋体"/>
                <w:b/>
                <w:bCs/>
                <w:color w:val="000000" w:themeColor="text1"/>
                <w:spacing w:val="136"/>
                <w14:textFill>
                  <w14:solidFill>
                    <w14:schemeClr w14:val="tx1"/>
                  </w14:solidFill>
                </w14:textFill>
              </w:rPr>
            </w:pPr>
            <w:r>
              <w:rPr>
                <w:rFonts w:hint="eastAsia" w:ascii="宋体" w:hAnsi="宋体"/>
                <w:color w:val="000000" w:themeColor="text1"/>
                <w14:textFill>
                  <w14:solidFill>
                    <w14:schemeClr w14:val="tx1"/>
                  </w14:solidFill>
                </w14:textFill>
              </w:rPr>
              <w:t>投报施工工期</w:t>
            </w:r>
          </w:p>
        </w:tc>
        <w:tc>
          <w:tcPr>
            <w:tcW w:w="4739" w:type="dxa"/>
            <w:gridSpan w:val="3"/>
            <w:tcBorders>
              <w:top w:val="single" w:color="auto" w:sz="4" w:space="0"/>
              <w:left w:val="nil"/>
              <w:bottom w:val="single" w:color="000000" w:sz="4" w:space="0"/>
              <w:right w:val="single" w:color="000000" w:sz="8" w:space="0"/>
            </w:tcBorders>
            <w:vAlign w:val="center"/>
          </w:tcPr>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4041" w:type="dxa"/>
            <w:gridSpan w:val="3"/>
            <w:vMerge w:val="restart"/>
            <w:tcBorders>
              <w:top w:val="nil"/>
              <w:left w:val="single" w:color="000000" w:sz="8" w:space="0"/>
              <w:bottom w:val="single" w:color="auto" w:sz="4" w:space="0"/>
              <w:right w:val="single" w:color="000000"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项目经理</w:t>
            </w:r>
          </w:p>
        </w:tc>
        <w:tc>
          <w:tcPr>
            <w:tcW w:w="1365" w:type="dxa"/>
            <w:tcBorders>
              <w:top w:val="single" w:color="auto" w:sz="4" w:space="0"/>
              <w:left w:val="nil"/>
              <w:bottom w:val="single" w:color="000000"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434" w:type="dxa"/>
            <w:tcBorders>
              <w:top w:val="single" w:color="auto" w:sz="4" w:space="0"/>
              <w:left w:val="nil"/>
              <w:bottom w:val="single" w:color="000000"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级别</w:t>
            </w:r>
          </w:p>
        </w:tc>
        <w:tc>
          <w:tcPr>
            <w:tcW w:w="1940" w:type="dxa"/>
            <w:tcBorders>
              <w:top w:val="single" w:color="auto" w:sz="4" w:space="0"/>
              <w:left w:val="nil"/>
              <w:bottom w:val="single" w:color="000000" w:sz="4" w:space="0"/>
              <w:right w:val="single" w:color="000000" w:sz="8"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4041" w:type="dxa"/>
            <w:gridSpan w:val="3"/>
            <w:vMerge w:val="continue"/>
            <w:tcBorders>
              <w:top w:val="nil"/>
              <w:left w:val="single" w:color="000000" w:sz="8" w:space="0"/>
              <w:bottom w:val="single" w:color="auto" w:sz="4" w:space="0"/>
              <w:right w:val="single" w:color="000000" w:sz="4" w:space="0"/>
            </w:tcBorders>
            <w:vAlign w:val="center"/>
          </w:tcPr>
          <w:p>
            <w:pPr>
              <w:widowControl/>
              <w:jc w:val="left"/>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000000"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34" w:type="dxa"/>
            <w:tcBorders>
              <w:top w:val="single" w:color="auto" w:sz="4" w:space="0"/>
              <w:left w:val="nil"/>
              <w:bottom w:val="single" w:color="000000"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940" w:type="dxa"/>
            <w:tcBorders>
              <w:top w:val="single" w:color="auto" w:sz="4" w:space="0"/>
              <w:left w:val="nil"/>
              <w:bottom w:val="single" w:color="000000" w:sz="4" w:space="0"/>
              <w:right w:val="single" w:color="000000" w:sz="8"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8780" w:type="dxa"/>
            <w:gridSpan w:val="6"/>
            <w:tcBorders>
              <w:top w:val="single" w:color="auto" w:sz="4" w:space="0"/>
              <w:left w:val="single" w:color="auto" w:sz="4" w:space="0"/>
              <w:bottom w:val="single" w:color="auto" w:sz="4" w:space="0"/>
              <w:right w:val="single" w:color="000000" w:sz="8" w:space="0"/>
            </w:tcBorders>
            <w:vAlign w:val="center"/>
          </w:tcPr>
          <w:p>
            <w:pPr>
              <w:kinsoku w:val="0"/>
              <w:overflowPunct w:val="0"/>
              <w:autoSpaceDE w:val="0"/>
              <w:autoSpaceDN w:val="0"/>
              <w:adjustRightInd w:val="0"/>
              <w:snapToGrid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其他优惠说明：</w:t>
            </w:r>
          </w:p>
        </w:tc>
      </w:tr>
    </w:tbl>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投标人（电子签章）：</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法定代表人或其委托代理人（电子签章）：</w:t>
      </w:r>
    </w:p>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二、法定代表人身份证明或附有法定代表人身份证明的授权委托书</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（一）法定代表人身份证明</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单位性质：</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    址：</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    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性        别：</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龄：</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        务：</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（投标人名称）的法定代表人。</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日          </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（二）授权委托书</w:t>
      </w:r>
    </w:p>
    <w:p>
      <w:pPr>
        <w:kinsoku w:val="0"/>
        <w:overflowPunct w:val="0"/>
        <w:autoSpaceDE w:val="0"/>
        <w:autoSpaceDN w:val="0"/>
        <w:adjustRightInd w:val="0"/>
        <w:snapToGrid w:val="0"/>
        <w:spacing w:line="360" w:lineRule="auto"/>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（姓名）系</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（投标人名称）的法定代表人，现委托</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（姓名）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（电话：</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电子邮箱：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）为我方代理人。代理人根据授权，以我方名义签署、澄清、说明、补正、递交、撤回、修改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（项目名称）投标文件、签订合同和处理有关事宜，其法律后果由我方承担。</w:t>
      </w:r>
    </w:p>
    <w:p>
      <w:pPr>
        <w:kinsoku w:val="0"/>
        <w:overflowPunct w:val="0"/>
        <w:autoSpaceDE w:val="0"/>
        <w:autoSpaceDN w:val="0"/>
        <w:adjustRightInd w:val="0"/>
        <w:snapToGrid w:val="0"/>
        <w:spacing w:before="156" w:beforeLines="50"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委托期限：</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before="312" w:beforeLines="100" w:after="312" w:afterLines="100"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代理人无转委托权。</w:t>
      </w:r>
    </w:p>
    <w:p>
      <w:pPr>
        <w:kinsoku w:val="0"/>
        <w:overflowPunct w:val="0"/>
        <w:autoSpaceDE w:val="0"/>
        <w:autoSpaceDN w:val="0"/>
        <w:adjustRightInd w:val="0"/>
        <w:snapToGrid w:val="0"/>
        <w:spacing w:after="312" w:afterLines="100"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附：法定代表人身份证、委托代理人身份证</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4830" w:firstLineChars="2300"/>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三、联合体协议书</w:t>
      </w:r>
    </w:p>
    <w:p>
      <w:pPr>
        <w:kinsoku w:val="0"/>
        <w:overflowPunct w:val="0"/>
        <w:autoSpaceDE w:val="0"/>
        <w:autoSpaceDN w:val="0"/>
        <w:adjustRightInd w:val="0"/>
        <w:snapToGrid w:val="0"/>
        <w:spacing w:before="312" w:beforeLines="100" w:after="156" w:afterLines="50"/>
        <w:jc w:val="center"/>
        <w:rPr>
          <w:rFonts w:ascii="宋体" w:hAnsi="宋体"/>
          <w:color w:val="000000" w:themeColor="text1"/>
          <w:sz w:val="20"/>
          <w:szCs w:val="28"/>
          <w14:textFill>
            <w14:solidFill>
              <w14:schemeClr w14:val="tx1"/>
            </w14:solidFill>
          </w14:textFill>
        </w:rPr>
      </w:pPr>
      <w:r>
        <w:rPr>
          <w:rFonts w:hint="eastAsia" w:ascii="宋体" w:hAnsi="宋体"/>
          <w:color w:val="000000" w:themeColor="text1"/>
          <w:sz w:val="20"/>
          <w:szCs w:val="28"/>
          <w14:textFill>
            <w14:solidFill>
              <w14:schemeClr w14:val="tx1"/>
            </w14:solidFill>
          </w14:textFill>
        </w:rPr>
        <w:t>（不适用）</w:t>
      </w:r>
    </w:p>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牵头人名称：</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法定住所：</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成员二名称：</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法定住所：</w:t>
      </w:r>
      <w:r>
        <w:rPr>
          <w:rFonts w:hint="eastAsia" w:ascii="宋体" w:hAnsi="宋体"/>
          <w:color w:val="000000" w:themeColor="text1"/>
          <w:u w:val="single"/>
          <w14:textFill>
            <w14:solidFill>
              <w14:schemeClr w14:val="tx1"/>
            </w14:solidFill>
          </w14:textFill>
        </w:rPr>
        <w:t xml:space="preserve">                                                    </w:t>
      </w:r>
    </w:p>
    <w:p>
      <w:pPr>
        <w:kinsoku w:val="0"/>
        <w:overflowPunct w:val="0"/>
        <w:autoSpaceDE w:val="0"/>
        <w:autoSpaceDN w:val="0"/>
        <w:adjustRightInd w:val="0"/>
        <w:snapToGrid w:val="0"/>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鉴于上述各成员单位经过友好协商，自愿组成</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（联合体名称）联合体，共同参加</w:t>
      </w:r>
    </w:p>
    <w:p>
      <w:pPr>
        <w:kinsoku w:val="0"/>
        <w:overflowPunct w:val="0"/>
        <w:autoSpaceDE w:val="0"/>
        <w:autoSpaceDN w:val="0"/>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（招标人名称）（以下简称招标人）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（项目名称）（以下简称本工程）的施工投标并争取赢得本工程施工承包合同（以下简称合同）。现就联合体投标事宜订立如下协议：</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（某成员单位名称）为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（联合体名称）牵头人。</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4．联合体各成员单位内部的职责分工如下：</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。按照本条上述分工，联合体成员单位各自所承担的合同工作量比例如下：</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5．投标工作和联合体在中标后工程实施过程中的有关费用按各自承担的工作量分摊。</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6．联合体中标后，本联合体协议是合同的附件，对联合体各成员单位有合同约束力。</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7．本协议书自签署之日起生效，联合体未中标或者中标时合同履行完毕后自动失效。</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8．本协议书一式</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份，联合体成员和招标人各执一份。</w:t>
      </w:r>
    </w:p>
    <w:p>
      <w:pPr>
        <w:kinsoku w:val="0"/>
        <w:overflowPunct w:val="0"/>
        <w:autoSpaceDE w:val="0"/>
        <w:autoSpaceDN w:val="0"/>
        <w:adjustRightInd w:val="0"/>
        <w:snapToGrid w:val="0"/>
        <w:spacing w:line="360" w:lineRule="auto"/>
        <w:ind w:firstLine="1785" w:firstLineChars="8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牵头人名称：</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ind w:firstLine="1785" w:firstLineChars="8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法定代表人或其委托代理人：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ind w:firstLine="1785" w:firstLineChars="8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成员二名称：</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ind w:firstLine="1785" w:firstLineChars="8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法定代表人或其委托代理人：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ind w:firstLine="2100" w:firstLineChars="10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jc w:val="righ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日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备注：本协议书由委托代理人签字的，应附法定代表人签字的授权委托书。</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四、投标保证金</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（附投标保证金缴款凭证）</w:t>
      </w:r>
    </w:p>
    <w:p>
      <w:pPr>
        <w:pStyle w:val="38"/>
        <w:jc w:val="center"/>
        <w:rPr>
          <w:color w:val="000000" w:themeColor="text1"/>
          <w14:textFill>
            <w14:solidFill>
              <w14:schemeClr w14:val="tx1"/>
            </w14:solidFill>
          </w14:textFill>
        </w:rPr>
      </w:pP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五、已标价工程量清单</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六、施工组织设计</w:t>
      </w:r>
    </w:p>
    <w:p>
      <w:pPr>
        <w:kinsoku w:val="0"/>
        <w:overflowPunct w:val="0"/>
        <w:autoSpaceDE w:val="0"/>
        <w:autoSpaceDN w:val="0"/>
        <w:adjustRightInd w:val="0"/>
        <w:snapToGrid w:val="0"/>
        <w:spacing w:line="360" w:lineRule="auto"/>
        <w:ind w:firstLine="539" w:firstLineChars="257"/>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 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kinsoku w:val="0"/>
        <w:overflowPunct w:val="0"/>
        <w:autoSpaceDE w:val="0"/>
        <w:autoSpaceDN w:val="0"/>
        <w:adjustRightInd w:val="0"/>
        <w:snapToGrid w:val="0"/>
        <w:spacing w:line="360" w:lineRule="auto"/>
        <w:ind w:firstLine="539" w:firstLineChars="257"/>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 施工组织设计除采用文字表述外可附下列图表，图表及格式要求附后。</w:t>
      </w:r>
    </w:p>
    <w:p>
      <w:pPr>
        <w:kinsoku w:val="0"/>
        <w:overflowPunct w:val="0"/>
        <w:autoSpaceDE w:val="0"/>
        <w:autoSpaceDN w:val="0"/>
        <w:adjustRightInd w:val="0"/>
        <w:snapToGrid w:val="0"/>
        <w:spacing w:line="360" w:lineRule="auto"/>
        <w:ind w:firstLine="898" w:firstLineChars="428"/>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附表一 拟投入本项目的主要施工设备表</w:t>
      </w:r>
    </w:p>
    <w:p>
      <w:pPr>
        <w:kinsoku w:val="0"/>
        <w:overflowPunct w:val="0"/>
        <w:autoSpaceDE w:val="0"/>
        <w:autoSpaceDN w:val="0"/>
        <w:adjustRightInd w:val="0"/>
        <w:snapToGrid w:val="0"/>
        <w:spacing w:line="360" w:lineRule="auto"/>
        <w:ind w:firstLine="898" w:firstLineChars="428"/>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附表二 拟配备本项目的试验和检测仪器设备表</w:t>
      </w:r>
    </w:p>
    <w:p>
      <w:pPr>
        <w:kinsoku w:val="0"/>
        <w:overflowPunct w:val="0"/>
        <w:autoSpaceDE w:val="0"/>
        <w:autoSpaceDN w:val="0"/>
        <w:adjustRightInd w:val="0"/>
        <w:snapToGrid w:val="0"/>
        <w:spacing w:line="360" w:lineRule="auto"/>
        <w:ind w:firstLine="898" w:firstLineChars="428"/>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附表三 劳动力计划表</w:t>
      </w:r>
    </w:p>
    <w:p>
      <w:pPr>
        <w:kinsoku w:val="0"/>
        <w:overflowPunct w:val="0"/>
        <w:autoSpaceDE w:val="0"/>
        <w:autoSpaceDN w:val="0"/>
        <w:adjustRightInd w:val="0"/>
        <w:snapToGrid w:val="0"/>
        <w:spacing w:line="360" w:lineRule="auto"/>
        <w:ind w:firstLine="898" w:firstLineChars="428"/>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附表四 计划开、竣工日期和施工进度网络图</w:t>
      </w:r>
    </w:p>
    <w:p>
      <w:pPr>
        <w:kinsoku w:val="0"/>
        <w:overflowPunct w:val="0"/>
        <w:autoSpaceDE w:val="0"/>
        <w:autoSpaceDN w:val="0"/>
        <w:adjustRightInd w:val="0"/>
        <w:snapToGrid w:val="0"/>
        <w:spacing w:line="360" w:lineRule="auto"/>
        <w:ind w:firstLine="898" w:firstLineChars="428"/>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附表五 施工总平面图</w:t>
      </w:r>
    </w:p>
    <w:p>
      <w:pPr>
        <w:kinsoku w:val="0"/>
        <w:overflowPunct w:val="0"/>
        <w:autoSpaceDE w:val="0"/>
        <w:autoSpaceDN w:val="0"/>
        <w:adjustRightInd w:val="0"/>
        <w:snapToGrid w:val="0"/>
        <w:spacing w:line="360" w:lineRule="auto"/>
        <w:ind w:firstLine="898" w:firstLineChars="428"/>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附表六 临时用地表</w:t>
      </w: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附表一：拟投入本工程的主要施工设备表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设备名称</w:t>
            </w: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型号</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w:t>
            </w: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  量</w:t>
            </w: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国别</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产地</w:t>
            </w: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制造</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年份</w:t>
            </w: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额定功率</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（KW）</w:t>
            </w: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能力</w:t>
            </w: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用于施</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工部位</w:t>
            </w: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附表二：拟配备本工程的试验和检测仪器设备表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仪器设备</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    称</w:t>
            </w: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型号</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w:t>
            </w: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  量</w:t>
            </w: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国别</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产地</w:t>
            </w: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制造</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年份</w:t>
            </w: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已使用台</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    数</w:t>
            </w: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  途</w:t>
            </w: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67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2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6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before="156" w:beforeLines="50" w:after="156" w:afterLines="5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附表三：劳动力计划表</w:t>
      </w:r>
    </w:p>
    <w:p>
      <w:pPr>
        <w:kinsoku w:val="0"/>
        <w:overflowPunct w:val="0"/>
        <w:autoSpaceDE w:val="0"/>
        <w:autoSpaceDN w:val="0"/>
        <w:adjustRightInd w:val="0"/>
        <w:snapToGrid w:val="0"/>
        <w:spacing w:line="360" w:lineRule="auto"/>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单位：人   </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工种</w:t>
            </w:r>
          </w:p>
        </w:tc>
        <w:tc>
          <w:tcPr>
            <w:tcW w:w="7796" w:type="dxa"/>
            <w:gridSpan w:val="7"/>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附表四：计划开、竣工日期和施工进度网络图</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1．投标人应递交施工进度网络图或施工进度表，说明按招标文件要求的计划工期进行施工的各个关键日期。</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2．施工进度表可采用网络图和（或）横道图表示。</w:t>
      </w: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附表五：施工总平面图</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投标人应递交一份施工总平面图，绘出现场临时设施布置图表并附文字说明，说明临时设施、加工车间、现场办公、设备及仓储、供电、供水、卫生、生活、道路、消防等设施的情况和布置。</w:t>
      </w: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附表六：临时用地表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  途</w:t>
            </w: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面 积（平方米）</w:t>
            </w: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位  置</w:t>
            </w: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before="156" w:beforeLines="5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七、项目管理机构</w:t>
      </w:r>
    </w:p>
    <w:p>
      <w:pPr>
        <w:kinsoku w:val="0"/>
        <w:overflowPunct w:val="0"/>
        <w:autoSpaceDE w:val="0"/>
        <w:autoSpaceDN w:val="0"/>
        <w:adjustRightInd w:val="0"/>
        <w:snapToGrid w:val="0"/>
        <w:spacing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（一）项目管理机构组成表</w:t>
      </w:r>
    </w:p>
    <w:tbl>
      <w:tblPr>
        <w:tblStyle w:val="18"/>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3"/>
        <w:gridCol w:w="859"/>
        <w:gridCol w:w="1134"/>
        <w:gridCol w:w="1113"/>
        <w:gridCol w:w="1058"/>
        <w:gridCol w:w="1125"/>
        <w:gridCol w:w="136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职务</w:t>
            </w:r>
          </w:p>
        </w:tc>
        <w:tc>
          <w:tcPr>
            <w:tcW w:w="793" w:type="dxa"/>
            <w:vMerge w:val="restart"/>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859" w:type="dxa"/>
            <w:vMerge w:val="restart"/>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5795" w:type="dxa"/>
            <w:gridSpan w:val="5"/>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793"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85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证书名称</w:t>
            </w: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级别</w:t>
            </w: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证号</w:t>
            </w: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w:t>
            </w: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养老保险</w:t>
            </w:r>
          </w:p>
        </w:tc>
        <w:tc>
          <w:tcPr>
            <w:tcW w:w="708"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85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1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05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bl>
    <w:p>
      <w:pPr>
        <w:widowControl/>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（二）主要人员简历表</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附1：项目负责人简历表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  名</w:t>
            </w:r>
          </w:p>
        </w:tc>
        <w:tc>
          <w:tcPr>
            <w:tcW w:w="103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龄</w:t>
            </w:r>
          </w:p>
        </w:tc>
        <w:tc>
          <w:tcPr>
            <w:tcW w:w="127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学历</w:t>
            </w: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  称</w:t>
            </w:r>
          </w:p>
        </w:tc>
        <w:tc>
          <w:tcPr>
            <w:tcW w:w="103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  务</w:t>
            </w:r>
          </w:p>
        </w:tc>
        <w:tc>
          <w:tcPr>
            <w:tcW w:w="127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拟在本工程任职</w:t>
            </w: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技术职称</w:t>
            </w:r>
          </w:p>
        </w:tc>
        <w:tc>
          <w:tcPr>
            <w:tcW w:w="52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毕业学校</w:t>
            </w:r>
          </w:p>
        </w:tc>
        <w:tc>
          <w:tcPr>
            <w:tcW w:w="7413" w:type="dxa"/>
            <w:gridSpan w:val="5"/>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  间</w:t>
            </w: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参加过的类似项目名称</w:t>
            </w: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工程概况说明</w:t>
            </w: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344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14:textFill>
            <w14:solidFill>
              <w14:schemeClr w14:val="tx1"/>
            </w14:solidFill>
          </w14:textFill>
        </w:rPr>
        <w:t>附2：主要项目管理人员简历表</w:t>
      </w:r>
    </w:p>
    <w:tbl>
      <w:tblPr>
        <w:tblStyle w:val="18"/>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04"/>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ind w:firstLine="630" w:firstLineChars="3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岗位名称</w:t>
            </w:r>
          </w:p>
        </w:tc>
        <w:tc>
          <w:tcPr>
            <w:tcW w:w="5584"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ind w:firstLine="630" w:firstLineChars="3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    名</w:t>
            </w:r>
          </w:p>
        </w:tc>
        <w:tc>
          <w:tcPr>
            <w:tcW w:w="270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left="14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龄</w:t>
            </w:r>
          </w:p>
        </w:tc>
        <w:tc>
          <w:tcPr>
            <w:tcW w:w="162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ind w:firstLine="630" w:firstLineChars="3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    别</w:t>
            </w:r>
          </w:p>
        </w:tc>
        <w:tc>
          <w:tcPr>
            <w:tcW w:w="270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left="14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毕业学校</w:t>
            </w:r>
          </w:p>
        </w:tc>
        <w:tc>
          <w:tcPr>
            <w:tcW w:w="162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ind w:firstLine="630" w:firstLineChars="3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学历和专业</w:t>
            </w:r>
          </w:p>
        </w:tc>
        <w:tc>
          <w:tcPr>
            <w:tcW w:w="270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left="14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毕业时间</w:t>
            </w:r>
          </w:p>
        </w:tc>
        <w:tc>
          <w:tcPr>
            <w:tcW w:w="162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ind w:firstLine="420" w:firstLineChars="2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拥有的执业资格</w:t>
            </w:r>
          </w:p>
        </w:tc>
        <w:tc>
          <w:tcPr>
            <w:tcW w:w="270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left="147"/>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专业职称</w:t>
            </w:r>
          </w:p>
        </w:tc>
        <w:tc>
          <w:tcPr>
            <w:tcW w:w="162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ind w:firstLine="315" w:firstLineChars="1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执业资格证书编号</w:t>
            </w:r>
          </w:p>
        </w:tc>
        <w:tc>
          <w:tcPr>
            <w:tcW w:w="270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工作年限</w:t>
            </w:r>
          </w:p>
        </w:tc>
        <w:tc>
          <w:tcPr>
            <w:tcW w:w="162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jc w:val="center"/>
        </w:trPr>
        <w:tc>
          <w:tcPr>
            <w:tcW w:w="7924" w:type="dxa"/>
            <w:gridSpan w:val="4"/>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作</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绩</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担</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的</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w:t>
            </w:r>
          </w:p>
          <w:p>
            <w:pPr>
              <w:kinsoku w:val="0"/>
              <w:overflowPunct w:val="0"/>
              <w:autoSpaceDE w:val="0"/>
              <w:autoSpaceDN w:val="0"/>
              <w:adjustRightInd w:val="0"/>
              <w:snapToGrid w:val="0"/>
              <w:spacing w:line="360" w:lineRule="auto"/>
              <w:ind w:firstLine="1050" w:firstLineChars="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作</w:t>
            </w: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42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八、拟分包项目情况表（不适用）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w:t>
            </w:r>
          </w:p>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号</w:t>
            </w:r>
          </w:p>
        </w:tc>
        <w:tc>
          <w:tcPr>
            <w:tcW w:w="1843" w:type="dxa"/>
            <w:vMerge w:val="restart"/>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拟分包项目名称、范围及理由</w:t>
            </w:r>
          </w:p>
        </w:tc>
        <w:tc>
          <w:tcPr>
            <w:tcW w:w="5111" w:type="dxa"/>
            <w:gridSpan w:val="5"/>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拟选分包人</w:t>
            </w:r>
          </w:p>
        </w:tc>
        <w:tc>
          <w:tcPr>
            <w:tcW w:w="983" w:type="dxa"/>
            <w:vMerge w:val="restart"/>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拟选分包人名称</w:t>
            </w: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注册地点</w:t>
            </w: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企业资质</w:t>
            </w: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有关业绩</w:t>
            </w:r>
          </w:p>
        </w:tc>
        <w:tc>
          <w:tcPr>
            <w:tcW w:w="98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843" w:type="dxa"/>
            <w:vMerge w:val="restart"/>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843" w:type="dxa"/>
            <w:vMerge w:val="restart"/>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843" w:type="dxa"/>
            <w:vMerge w:val="restart"/>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843" w:type="dxa"/>
            <w:vMerge w:val="restart"/>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75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95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090"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1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8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line="360" w:lineRule="auto"/>
        <w:ind w:right="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备注：本表所列分包仅限于承包人自行施工范围内的非主体、非关键工程。</w:t>
      </w:r>
    </w:p>
    <w:p>
      <w:pPr>
        <w:kinsoku w:val="0"/>
        <w:overflowPunct w:val="0"/>
        <w:autoSpaceDE w:val="0"/>
        <w:autoSpaceDN w:val="0"/>
        <w:adjustRightInd w:val="0"/>
        <w:snapToGrid w:val="0"/>
        <w:spacing w:line="360" w:lineRule="auto"/>
        <w:ind w:right="42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日    期：       年     月     日  </w:t>
      </w:r>
    </w:p>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九、资格审查资料</w:t>
      </w: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（一）投标人基本情况表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w:t>
            </w:r>
          </w:p>
        </w:tc>
        <w:tc>
          <w:tcPr>
            <w:tcW w:w="7020" w:type="dxa"/>
            <w:gridSpan w:val="9"/>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注册地址</w:t>
            </w:r>
          </w:p>
        </w:tc>
        <w:tc>
          <w:tcPr>
            <w:tcW w:w="3389" w:type="dxa"/>
            <w:gridSpan w:val="5"/>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邮政编码</w:t>
            </w:r>
          </w:p>
        </w:tc>
        <w:tc>
          <w:tcPr>
            <w:tcW w:w="2385"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联系方式</w:t>
            </w:r>
          </w:p>
        </w:tc>
        <w:tc>
          <w:tcPr>
            <w:tcW w:w="8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w:t>
            </w:r>
          </w:p>
        </w:tc>
        <w:tc>
          <w:tcPr>
            <w:tcW w:w="2492"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  话</w:t>
            </w:r>
          </w:p>
        </w:tc>
        <w:tc>
          <w:tcPr>
            <w:tcW w:w="2385"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  真</w:t>
            </w:r>
          </w:p>
        </w:tc>
        <w:tc>
          <w:tcPr>
            <w:tcW w:w="2492"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网  址</w:t>
            </w:r>
          </w:p>
        </w:tc>
        <w:tc>
          <w:tcPr>
            <w:tcW w:w="2385"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组织结构</w:t>
            </w:r>
          </w:p>
        </w:tc>
        <w:tc>
          <w:tcPr>
            <w:tcW w:w="7020" w:type="dxa"/>
            <w:gridSpan w:val="9"/>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p>
        </w:tc>
        <w:tc>
          <w:tcPr>
            <w:tcW w:w="8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02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技术职称</w:t>
            </w:r>
          </w:p>
        </w:tc>
        <w:tc>
          <w:tcPr>
            <w:tcW w:w="1701"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p>
        </w:tc>
        <w:tc>
          <w:tcPr>
            <w:tcW w:w="141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技术负责人</w:t>
            </w:r>
          </w:p>
        </w:tc>
        <w:tc>
          <w:tcPr>
            <w:tcW w:w="89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021"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1276"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技术职称</w:t>
            </w:r>
          </w:p>
        </w:tc>
        <w:tc>
          <w:tcPr>
            <w:tcW w:w="1701"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p>
        </w:tc>
        <w:tc>
          <w:tcPr>
            <w:tcW w:w="1416"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w:t>
            </w:r>
          </w:p>
        </w:tc>
        <w:tc>
          <w:tcPr>
            <w:tcW w:w="1918"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5102" w:type="dxa"/>
            <w:gridSpan w:val="7"/>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993" w:type="dxa"/>
            <w:vMerge w:val="restart"/>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其中</w:t>
            </w:r>
          </w:p>
        </w:tc>
        <w:tc>
          <w:tcPr>
            <w:tcW w:w="1984"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项目经理</w:t>
            </w:r>
          </w:p>
        </w:tc>
        <w:tc>
          <w:tcPr>
            <w:tcW w:w="2125"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营业执照号</w:t>
            </w:r>
          </w:p>
        </w:tc>
        <w:tc>
          <w:tcPr>
            <w:tcW w:w="1918"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510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84"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注册资金</w:t>
            </w:r>
          </w:p>
        </w:tc>
        <w:tc>
          <w:tcPr>
            <w:tcW w:w="1918"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510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84"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w:t>
            </w:r>
          </w:p>
        </w:tc>
        <w:tc>
          <w:tcPr>
            <w:tcW w:w="1918"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510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84"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账号</w:t>
            </w:r>
          </w:p>
        </w:tc>
        <w:tc>
          <w:tcPr>
            <w:tcW w:w="1918"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c>
          <w:tcPr>
            <w:tcW w:w="510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984"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  工</w:t>
            </w:r>
          </w:p>
        </w:tc>
        <w:tc>
          <w:tcPr>
            <w:tcW w:w="2125" w:type="dxa"/>
            <w:gridSpan w:val="2"/>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经营范围</w:t>
            </w:r>
          </w:p>
        </w:tc>
        <w:tc>
          <w:tcPr>
            <w:tcW w:w="7020" w:type="dxa"/>
            <w:gridSpan w:val="9"/>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c>
          <w:tcPr>
            <w:tcW w:w="7020" w:type="dxa"/>
            <w:gridSpan w:val="9"/>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spacing w:line="600" w:lineRule="exact"/>
        <w:jc w:val="center"/>
        <w:rPr>
          <w:b/>
          <w:bCs/>
          <w:color w:val="000000" w:themeColor="text1"/>
          <w:sz w:val="28"/>
          <w:szCs w:val="36"/>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b/>
          <w:bCs/>
          <w:color w:val="000000" w:themeColor="text1"/>
          <w:sz w:val="28"/>
          <w:szCs w:val="36"/>
          <w14:textFill>
            <w14:solidFill>
              <w14:schemeClr w14:val="tx1"/>
            </w14:solidFill>
          </w14:textFill>
        </w:rPr>
        <w:t>宝丰县政府采购供应商信用承诺函</w:t>
      </w:r>
    </w:p>
    <w:p>
      <w:pPr>
        <w:spacing w:line="600" w:lineRule="exact"/>
        <w:jc w:val="left"/>
        <w:rPr>
          <w:color w:val="000000" w:themeColor="text1"/>
          <w:sz w:val="22"/>
          <w:szCs w:val="28"/>
          <w:u w:val="single"/>
          <w14:textFill>
            <w14:solidFill>
              <w14:schemeClr w14:val="tx1"/>
            </w14:solidFill>
          </w14:textFill>
        </w:rPr>
      </w:pPr>
      <w:r>
        <w:rPr>
          <w:rFonts w:hint="eastAsia"/>
          <w:color w:val="000000" w:themeColor="text1"/>
          <w:sz w:val="22"/>
          <w:szCs w:val="28"/>
          <w14:textFill>
            <w14:solidFill>
              <w14:schemeClr w14:val="tx1"/>
            </w14:solidFill>
          </w14:textFill>
        </w:rPr>
        <w:t>致</w:t>
      </w:r>
      <w:r>
        <w:rPr>
          <w:rFonts w:hint="eastAsia"/>
          <w:color w:val="000000" w:themeColor="text1"/>
          <w:sz w:val="22"/>
          <w:szCs w:val="28"/>
          <w:u w:val="single"/>
          <w14:textFill>
            <w14:solidFill>
              <w14:schemeClr w14:val="tx1"/>
            </w14:solidFill>
          </w14:textFill>
        </w:rPr>
        <w:t>（采购人或采购代理机构）：</w:t>
      </w:r>
    </w:p>
    <w:p>
      <w:pPr>
        <w:spacing w:line="600" w:lineRule="exact"/>
        <w:jc w:val="left"/>
        <w:rPr>
          <w:color w:val="000000" w:themeColor="text1"/>
          <w:sz w:val="22"/>
          <w:szCs w:val="28"/>
          <w:u w:val="single"/>
          <w14:textFill>
            <w14:solidFill>
              <w14:schemeClr w14:val="tx1"/>
            </w14:solidFill>
          </w14:textFill>
        </w:rPr>
      </w:pPr>
      <w:r>
        <w:rPr>
          <w:rFonts w:hint="eastAsia"/>
          <w:color w:val="000000" w:themeColor="text1"/>
          <w:sz w:val="22"/>
          <w:szCs w:val="28"/>
          <w14:textFill>
            <w14:solidFill>
              <w14:schemeClr w14:val="tx1"/>
            </w14:solidFill>
          </w14:textFill>
        </w:rPr>
        <w:t>单位名称：</w:t>
      </w:r>
      <w:r>
        <w:rPr>
          <w:color w:val="000000" w:themeColor="text1"/>
          <w:sz w:val="22"/>
          <w:szCs w:val="28"/>
          <w:u w:val="single"/>
          <w14:textFill>
            <w14:solidFill>
              <w14:schemeClr w14:val="tx1"/>
            </w14:solidFill>
          </w14:textFill>
        </w:rPr>
        <w:t xml:space="preserve">                                           </w:t>
      </w:r>
    </w:p>
    <w:p>
      <w:pPr>
        <w:spacing w:line="600" w:lineRule="exact"/>
        <w:jc w:val="left"/>
        <w:rPr>
          <w:color w:val="000000" w:themeColor="text1"/>
          <w:sz w:val="22"/>
          <w:szCs w:val="28"/>
          <w:u w:val="single"/>
          <w14:textFill>
            <w14:solidFill>
              <w14:schemeClr w14:val="tx1"/>
            </w14:solidFill>
          </w14:textFill>
        </w:rPr>
      </w:pPr>
      <w:r>
        <w:rPr>
          <w:rFonts w:hint="eastAsia"/>
          <w:color w:val="000000" w:themeColor="text1"/>
          <w:sz w:val="22"/>
          <w:szCs w:val="28"/>
          <w14:textFill>
            <w14:solidFill>
              <w14:schemeClr w14:val="tx1"/>
            </w14:solidFill>
          </w14:textFill>
        </w:rPr>
        <w:t>统一社会信用代码：</w:t>
      </w:r>
      <w:r>
        <w:rPr>
          <w:color w:val="000000" w:themeColor="text1"/>
          <w:sz w:val="22"/>
          <w:szCs w:val="28"/>
          <w:u w:val="single"/>
          <w14:textFill>
            <w14:solidFill>
              <w14:schemeClr w14:val="tx1"/>
            </w14:solidFill>
          </w14:textFill>
        </w:rPr>
        <w:t xml:space="preserve">                                   </w:t>
      </w:r>
    </w:p>
    <w:p>
      <w:pPr>
        <w:spacing w:line="600" w:lineRule="exact"/>
        <w:jc w:val="left"/>
        <w:rPr>
          <w:color w:val="000000" w:themeColor="text1"/>
          <w:sz w:val="22"/>
          <w:szCs w:val="28"/>
          <w:u w:val="single"/>
          <w14:textFill>
            <w14:solidFill>
              <w14:schemeClr w14:val="tx1"/>
            </w14:solidFill>
          </w14:textFill>
        </w:rPr>
      </w:pPr>
      <w:r>
        <w:rPr>
          <w:rFonts w:hint="eastAsia"/>
          <w:color w:val="000000" w:themeColor="text1"/>
          <w:sz w:val="22"/>
          <w:szCs w:val="28"/>
          <w14:textFill>
            <w14:solidFill>
              <w14:schemeClr w14:val="tx1"/>
            </w14:solidFill>
          </w14:textFill>
        </w:rPr>
        <w:t>法定代表人：</w:t>
      </w:r>
      <w:r>
        <w:rPr>
          <w:color w:val="000000" w:themeColor="text1"/>
          <w:sz w:val="22"/>
          <w:szCs w:val="28"/>
          <w:u w:val="single"/>
          <w14:textFill>
            <w14:solidFill>
              <w14:schemeClr w14:val="tx1"/>
            </w14:solidFill>
          </w14:textFill>
        </w:rPr>
        <w:t xml:space="preserve">                                         </w:t>
      </w:r>
    </w:p>
    <w:p>
      <w:pPr>
        <w:spacing w:line="600" w:lineRule="exact"/>
        <w:jc w:val="left"/>
        <w:rPr>
          <w:color w:val="000000" w:themeColor="text1"/>
          <w:sz w:val="22"/>
          <w:szCs w:val="28"/>
          <w:u w:val="single"/>
          <w14:textFill>
            <w14:solidFill>
              <w14:schemeClr w14:val="tx1"/>
            </w14:solidFill>
          </w14:textFill>
        </w:rPr>
      </w:pPr>
      <w:r>
        <w:rPr>
          <w:rFonts w:hint="eastAsia"/>
          <w:color w:val="000000" w:themeColor="text1"/>
          <w:sz w:val="22"/>
          <w:szCs w:val="28"/>
          <w14:textFill>
            <w14:solidFill>
              <w14:schemeClr w14:val="tx1"/>
            </w14:solidFill>
          </w14:textFill>
        </w:rPr>
        <w:t>联系地址和电话：</w:t>
      </w:r>
      <w:r>
        <w:rPr>
          <w:color w:val="000000" w:themeColor="text1"/>
          <w:sz w:val="22"/>
          <w:szCs w:val="28"/>
          <w:u w:val="single"/>
          <w14:textFill>
            <w14:solidFill>
              <w14:schemeClr w14:val="tx1"/>
            </w14:solidFill>
          </w14:textFill>
        </w:rPr>
        <w:t xml:space="preserve">                                     </w:t>
      </w:r>
    </w:p>
    <w:p>
      <w:pPr>
        <w:spacing w:line="600" w:lineRule="exact"/>
        <w:jc w:val="left"/>
        <w:rPr>
          <w:color w:val="000000" w:themeColor="text1"/>
          <w:sz w:val="22"/>
          <w:szCs w:val="28"/>
          <w14:textFill>
            <w14:solidFill>
              <w14:schemeClr w14:val="tx1"/>
            </w14:solidFill>
          </w14:textFill>
        </w:rPr>
      </w:pPr>
      <w:r>
        <w:rPr>
          <w:color w:val="000000" w:themeColor="text1"/>
          <w:sz w:val="22"/>
          <w:szCs w:val="28"/>
          <w14:textFill>
            <w14:solidFill>
              <w14:schemeClr w14:val="tx1"/>
            </w14:solidFill>
          </w14:textFill>
        </w:rPr>
        <w:t xml:space="preserve">   </w:t>
      </w:r>
      <w:r>
        <w:rPr>
          <w:rFonts w:hint="eastAsia"/>
          <w:color w:val="000000" w:themeColor="text1"/>
          <w:sz w:val="22"/>
          <w:szCs w:val="28"/>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numPr>
          <w:ilvl w:val="0"/>
          <w:numId w:val="2"/>
        </w:num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具有独立承担民事责任的能力；</w:t>
      </w:r>
    </w:p>
    <w:p>
      <w:pPr>
        <w:numPr>
          <w:ilvl w:val="0"/>
          <w:numId w:val="2"/>
        </w:num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具有良好的商业信誉和健全的财务会计制度；</w:t>
      </w:r>
    </w:p>
    <w:p>
      <w:pPr>
        <w:numPr>
          <w:ilvl w:val="0"/>
          <w:numId w:val="2"/>
        </w:num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具有履行合同所必需的设备和专业技术能力；</w:t>
      </w:r>
    </w:p>
    <w:p>
      <w:pPr>
        <w:numPr>
          <w:ilvl w:val="0"/>
          <w:numId w:val="2"/>
        </w:num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有依法缴纳税收和社会保障资金的良好记录；</w:t>
      </w:r>
    </w:p>
    <w:p>
      <w:pPr>
        <w:numPr>
          <w:ilvl w:val="0"/>
          <w:numId w:val="2"/>
        </w:num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参加政府采购活动前三年内，在经营活动中没有重大违法记录；</w:t>
      </w:r>
    </w:p>
    <w:p>
      <w:pPr>
        <w:numPr>
          <w:ilvl w:val="0"/>
          <w:numId w:val="2"/>
        </w:numPr>
        <w:spacing w:line="600" w:lineRule="exact"/>
        <w:jc w:val="left"/>
        <w:rPr>
          <w:color w:val="000000" w:themeColor="text1"/>
          <w:sz w:val="22"/>
          <w:szCs w:val="28"/>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未被列入失信被执行人、重大税收违法失信主体、政府采购严重违法失信行为记录名单。</w:t>
      </w:r>
      <w:r>
        <w:rPr>
          <w:color w:val="000000" w:themeColor="text1"/>
          <w:sz w:val="24"/>
          <w:szCs w:val="32"/>
          <w14:textFill>
            <w14:solidFill>
              <w14:schemeClr w14:val="tx1"/>
            </w14:solidFill>
          </w14:textFill>
        </w:rPr>
        <w:t xml:space="preserve"> </w:t>
      </w:r>
      <w:r>
        <w:rPr>
          <w:color w:val="000000" w:themeColor="text1"/>
          <w:sz w:val="22"/>
          <w:szCs w:val="28"/>
          <w14:textFill>
            <w14:solidFill>
              <w14:schemeClr w14:val="tx1"/>
            </w14:solidFill>
          </w14:textFill>
        </w:rPr>
        <w:t xml:space="preserve"> </w:t>
      </w:r>
    </w:p>
    <w:p>
      <w:pPr>
        <w:numPr>
          <w:ilvl w:val="0"/>
          <w:numId w:val="2"/>
        </w:num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法律、行政法规规定的其他条件。</w:t>
      </w:r>
    </w:p>
    <w:p>
      <w:pPr>
        <w:spacing w:line="600" w:lineRule="exact"/>
        <w:ind w:left="280" w:firstLine="560"/>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我单位保证上述承诺事项的真实性，如有弄虚作假或其他违法违规行为，愿意承担一切法律责任，并承担因此所造成的一切损失。</w:t>
      </w:r>
    </w:p>
    <w:p>
      <w:pPr>
        <w:spacing w:line="600" w:lineRule="exact"/>
        <w:jc w:val="left"/>
        <w:rPr>
          <w:color w:val="000000" w:themeColor="text1"/>
          <w:sz w:val="22"/>
          <w:szCs w:val="28"/>
          <w14:textFill>
            <w14:solidFill>
              <w14:schemeClr w14:val="tx1"/>
            </w14:solidFill>
          </w14:textFill>
        </w:rPr>
      </w:pPr>
    </w:p>
    <w:p>
      <w:p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投标人：</w:t>
      </w:r>
      <w:r>
        <w:rPr>
          <w:color w:val="000000" w:themeColor="text1"/>
          <w:sz w:val="22"/>
          <w:szCs w:val="28"/>
          <w:u w:val="single"/>
          <w14:textFill>
            <w14:solidFill>
              <w14:schemeClr w14:val="tx1"/>
            </w14:solidFill>
          </w14:textFill>
        </w:rPr>
        <w:t xml:space="preserve">          </w:t>
      </w:r>
      <w:r>
        <w:rPr>
          <w:rFonts w:hint="eastAsia"/>
          <w:color w:val="000000" w:themeColor="text1"/>
          <w:sz w:val="22"/>
          <w:szCs w:val="28"/>
          <w14:textFill>
            <w14:solidFill>
              <w14:schemeClr w14:val="tx1"/>
            </w14:solidFill>
          </w14:textFill>
        </w:rPr>
        <w:t>（电子签章）</w:t>
      </w:r>
    </w:p>
    <w:p>
      <w:pPr>
        <w:spacing w:line="600" w:lineRule="exact"/>
        <w:jc w:val="left"/>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法定代表人：</w:t>
      </w:r>
      <w:r>
        <w:rPr>
          <w:color w:val="000000" w:themeColor="text1"/>
          <w:sz w:val="22"/>
          <w:szCs w:val="28"/>
          <w:u w:val="single"/>
          <w14:textFill>
            <w14:solidFill>
              <w14:schemeClr w14:val="tx1"/>
            </w14:solidFill>
          </w14:textFill>
        </w:rPr>
        <w:t xml:space="preserve">                   </w:t>
      </w:r>
      <w:r>
        <w:rPr>
          <w:rFonts w:hint="eastAsia"/>
          <w:color w:val="000000" w:themeColor="text1"/>
          <w:sz w:val="22"/>
          <w:szCs w:val="28"/>
          <w14:textFill>
            <w14:solidFill>
              <w14:schemeClr w14:val="tx1"/>
            </w14:solidFill>
          </w14:textFill>
        </w:rPr>
        <w:t>（电子签字或电子签章）</w:t>
      </w:r>
    </w:p>
    <w:p>
      <w:pPr>
        <w:widowControl/>
        <w:jc w:val="left"/>
        <w:rPr>
          <w:rFonts w:ascii="宋体" w:hAnsi="宋体"/>
          <w:color w:val="000000" w:themeColor="text1"/>
          <w14:textFill>
            <w14:solidFill>
              <w14:schemeClr w14:val="tx1"/>
            </w14:solidFill>
          </w14:textFill>
        </w:rPr>
      </w:pPr>
      <w:r>
        <w:rPr>
          <w:rFonts w:hint="eastAsia"/>
          <w:color w:val="000000" w:themeColor="text1"/>
          <w:sz w:val="22"/>
          <w:szCs w:val="28"/>
          <w14:textFill>
            <w14:solidFill>
              <w14:schemeClr w14:val="tx1"/>
            </w14:solidFill>
          </w14:textFill>
        </w:rPr>
        <w:t>日期：</w:t>
      </w:r>
      <w:r>
        <w:rPr>
          <w:color w:val="000000" w:themeColor="text1"/>
          <w:sz w:val="22"/>
          <w:szCs w:val="28"/>
          <w14:textFill>
            <w14:solidFill>
              <w14:schemeClr w14:val="tx1"/>
            </w14:solidFill>
          </w14:textFill>
        </w:rPr>
        <w:t xml:space="preserve">         </w:t>
      </w:r>
      <w:r>
        <w:rPr>
          <w:rFonts w:hint="eastAsia"/>
          <w:color w:val="000000" w:themeColor="text1"/>
          <w:sz w:val="22"/>
          <w:szCs w:val="28"/>
          <w14:textFill>
            <w14:solidFill>
              <w14:schemeClr w14:val="tx1"/>
            </w14:solidFill>
          </w14:textFill>
        </w:rPr>
        <w:t>年</w:t>
      </w:r>
      <w:r>
        <w:rPr>
          <w:color w:val="000000" w:themeColor="text1"/>
          <w:sz w:val="22"/>
          <w:szCs w:val="28"/>
          <w14:textFill>
            <w14:solidFill>
              <w14:schemeClr w14:val="tx1"/>
            </w14:solidFill>
          </w14:textFill>
        </w:rPr>
        <w:t xml:space="preserve">      </w:t>
      </w:r>
      <w:r>
        <w:rPr>
          <w:rFonts w:hint="eastAsia"/>
          <w:color w:val="000000" w:themeColor="text1"/>
          <w:sz w:val="22"/>
          <w:szCs w:val="28"/>
          <w14:textFill>
            <w14:solidFill>
              <w14:schemeClr w14:val="tx1"/>
            </w14:solidFill>
          </w14:textFill>
        </w:rPr>
        <w:t>月</w:t>
      </w:r>
      <w:r>
        <w:rPr>
          <w:color w:val="000000" w:themeColor="text1"/>
          <w:sz w:val="22"/>
          <w:szCs w:val="28"/>
          <w14:textFill>
            <w14:solidFill>
              <w14:schemeClr w14:val="tx1"/>
            </w14:solidFill>
          </w14:textFill>
        </w:rPr>
        <w:t xml:space="preserve">      </w:t>
      </w:r>
      <w:r>
        <w:rPr>
          <w:rFonts w:hint="eastAsia"/>
          <w:color w:val="000000" w:themeColor="text1"/>
          <w:sz w:val="22"/>
          <w:szCs w:val="28"/>
          <w14:textFill>
            <w14:solidFill>
              <w14:schemeClr w14:val="tx1"/>
            </w14:solidFill>
          </w14:textFill>
        </w:rPr>
        <w:t>日</w:t>
      </w:r>
    </w:p>
    <w:p>
      <w:pPr>
        <w:widowControl/>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pPr>
        <w:kinsoku w:val="0"/>
        <w:overflowPunct w:val="0"/>
        <w:autoSpaceDE w:val="0"/>
        <w:autoSpaceDN w:val="0"/>
        <w:adjustRightInd w:val="0"/>
        <w:snapToGrid w:val="0"/>
        <w:spacing w:before="156" w:beforeLines="50" w:after="312" w:afterLines="10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（二）近年财务状况</w:t>
      </w:r>
    </w:p>
    <w:p>
      <w:pPr>
        <w:kinsoku w:val="0"/>
        <w:overflowPunct w:val="0"/>
        <w:autoSpaceDE w:val="0"/>
        <w:autoSpaceDN w:val="0"/>
        <w:adjustRightInd w:val="0"/>
        <w:snapToGrid w:val="0"/>
        <w:spacing w:before="312" w:beforeLines="100" w:after="156" w:afterLines="50" w:line="360" w:lineRule="auto"/>
        <w:ind w:firstLine="1260" w:firstLineChars="600"/>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（三）投标人投报业绩汇总</w:t>
      </w:r>
    </w:p>
    <w:p>
      <w:pPr>
        <w:kinsoku w:val="0"/>
        <w:overflowPunct w:val="0"/>
        <w:autoSpaceDE w:val="0"/>
        <w:autoSpaceDN w:val="0"/>
        <w:adjustRightInd w:val="0"/>
        <w:snapToGrid w:val="0"/>
        <w:spacing w:before="312" w:beforeLines="100" w:after="156" w:after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注：填写投标人针对本项目所投报的业绩且投标文件中所包含的内容。</w:t>
      </w:r>
    </w:p>
    <w:tbl>
      <w:tblPr>
        <w:tblStyle w:val="18"/>
        <w:tblW w:w="8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atLeast"/>
        </w:trPr>
        <w:tc>
          <w:tcPr>
            <w:tcW w:w="22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614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614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614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614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614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614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2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6142"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before="312" w:beforeLines="100" w:after="156" w:afterLines="50" w:line="360" w:lineRule="auto"/>
              <w:jc w:val="center"/>
              <w:rPr>
                <w:rFonts w:ascii="宋体" w:hAnsi="宋体"/>
                <w:color w:val="000000" w:themeColor="text1"/>
                <w:sz w:val="24"/>
                <w:szCs w:val="24"/>
                <w14:textFill>
                  <w14:solidFill>
                    <w14:schemeClr w14:val="tx1"/>
                  </w14:solidFill>
                </w14:textFill>
              </w:rPr>
            </w:pPr>
          </w:p>
        </w:tc>
      </w:tr>
    </w:tbl>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widowControl/>
        <w:spacing w:line="360" w:lineRule="auto"/>
        <w:jc w:val="left"/>
        <w:rPr>
          <w:rFonts w:ascii="宋体" w:hAnsi="宋体"/>
          <w:color w:val="000000" w:themeColor="text1"/>
          <w:sz w:val="24"/>
          <w:szCs w:val="24"/>
          <w14:textFill>
            <w14:solidFill>
              <w14:schemeClr w14:val="tx1"/>
            </w14:solidFill>
          </w14:textFill>
        </w:rPr>
        <w:sectPr>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before="156" w:beforeLines="50" w:after="156" w:afterLines="50" w:line="360" w:lineRule="auto"/>
        <w:ind w:left="720" w:hanging="720" w:hanging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（四）近年完成的类似项目情况表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项目所在地</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发包人名称</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发包人地址</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发包人联系人及电话</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合同价格</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开工日期</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竣工日期</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承担的工作</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工程质量</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项目经理</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技术负责人</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总监理工程师及电话</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项目描述</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c>
          <w:tcPr>
            <w:tcW w:w="6094"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bl>
    <w:p>
      <w:pPr>
        <w:kinsoku w:val="0"/>
        <w:overflowPunct w:val="0"/>
        <w:autoSpaceDE w:val="0"/>
        <w:autoSpaceDN w:val="0"/>
        <w:adjustRightInd w:val="0"/>
        <w:snapToGrid w:val="0"/>
        <w:spacing w:before="156" w:beforeLines="50" w:after="156" w:afterLines="5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color w:val="000000" w:themeColor="text1"/>
          <w:sz w:val="24"/>
          <w:szCs w:val="24"/>
          <w14:textFill>
            <w14:solidFill>
              <w14:schemeClr w14:val="tx1"/>
            </w14:solidFill>
          </w14:textFill>
        </w:rPr>
        <w:sectPr>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before="156" w:beforeLines="50" w:after="156" w:afterLines="5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（五）正在施工的和新承接的项目情况表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项目所在地</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发包人名称</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发包人地址</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发包人电话</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签约合同价</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开工日期</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计划竣工日期</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承担的工作</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工程质量</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项目经理</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技术负责人</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总监理工程师及电话</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项目描述</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c>
          <w:tcPr>
            <w:tcW w:w="609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p>
        </w:tc>
      </w:tr>
    </w:tbl>
    <w:p>
      <w:pPr>
        <w:widowControl/>
        <w:jc w:val="left"/>
        <w:rPr>
          <w:rFonts w:ascii="宋体" w:hAnsi="宋体"/>
          <w:color w:val="000000" w:themeColor="text1"/>
          <w:sz w:val="24"/>
          <w:szCs w:val="24"/>
          <w14:textFill>
            <w14:solidFill>
              <w14:schemeClr w14:val="tx1"/>
            </w14:solidFill>
          </w14:textFill>
        </w:rPr>
        <w:sectPr>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before="156" w:beforeLines="50" w:after="312" w:afterLines="10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近年发生的诉讼和仲裁情况</w:t>
      </w:r>
    </w:p>
    <w:p>
      <w:pPr>
        <w:widowControl/>
        <w:spacing w:line="360" w:lineRule="auto"/>
        <w:jc w:val="left"/>
        <w:rPr>
          <w:rFonts w:ascii="宋体" w:hAnsi="宋体"/>
          <w:color w:val="000000" w:themeColor="text1"/>
          <w:sz w:val="24"/>
          <w:szCs w:val="24"/>
          <w14:textFill>
            <w14:solidFill>
              <w14:schemeClr w14:val="tx1"/>
            </w14:solidFill>
          </w14:textFill>
        </w:rPr>
        <w:sectPr>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before="156" w:beforeLines="50" w:after="156" w:afterLines="50" w:line="360" w:lineRule="auto"/>
        <w:rPr>
          <w:rFonts w:ascii="宋体" w:hAnsi="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企业其他信誉情况表</w:t>
      </w:r>
      <w:r>
        <w:rPr>
          <w:rFonts w:hint="eastAsia" w:ascii="宋体" w:hAnsi="宋体"/>
          <w:color w:val="000000" w:themeColor="text1"/>
          <w14:textFill>
            <w14:solidFill>
              <w14:schemeClr w14:val="tx1"/>
            </w14:solidFill>
          </w14:textFill>
        </w:rPr>
        <w:t>（年份要求同诉讼及仲裁情况年份要求）</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1、近年企业不良行为记录情况</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2、在施工程以及近年已竣工工程合同履行情况</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3、其  他</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left="630" w:hanging="630" w:hanging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before="156" w:beforeLines="50" w:after="156" w:afterLines="50"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主要项目管理人员简历表</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说明：“主要人员简历表”同本章附件七之（二）。未进行资格预审但本章“项目管理机构”已有本表内容的，无需重复提交。</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widowControl/>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kinsoku w:val="0"/>
        <w:overflowPunct w:val="0"/>
        <w:autoSpaceDE w:val="0"/>
        <w:autoSpaceDN w:val="0"/>
        <w:adjustRightInd w:val="0"/>
        <w:snapToGrid w:val="0"/>
        <w:spacing w:before="312" w:beforeLines="100"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十、其他材料</w:t>
      </w:r>
    </w:p>
    <w:p>
      <w:pPr>
        <w:pStyle w:val="10"/>
        <w:ind w:left="840" w:hanging="42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投标人需提供的其他资料</w:t>
      </w:r>
    </w:p>
    <w:p>
      <w:pPr>
        <w:pStyle w:val="10"/>
        <w:ind w:left="840" w:hanging="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10"/>
        <w:spacing w:line="360" w:lineRule="auto"/>
        <w:ind w:left="902" w:hanging="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平顶山市房屋建筑市场和市政基础设施工程项目</w:t>
      </w:r>
    </w:p>
    <w:p>
      <w:pPr>
        <w:pStyle w:val="10"/>
        <w:spacing w:line="360" w:lineRule="auto"/>
        <w:ind w:left="902" w:hanging="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招标投标活动承诺书</w:t>
      </w:r>
    </w:p>
    <w:p>
      <w:pPr>
        <w:pStyle w:val="10"/>
        <w:spacing w:line="360" w:lineRule="auto"/>
        <w:ind w:left="840" w:hanging="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10"/>
        <w:spacing w:line="360" w:lineRule="auto"/>
        <w:ind w:left="840" w:hanging="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我单位承诺，在</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招投标活动中，自觉遵守《中华人民共和国招标投标法》、《中华人民共和国招标投标法实施条例》、河南省实施《中华人民共和国招标投标法》办法等招标投标相关法律、法规和制度规定，如有违反，愿承担相关法律责任。</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（电子签章）</w:t>
      </w:r>
    </w:p>
    <w:p>
      <w:pPr>
        <w:kinsoku w:val="0"/>
        <w:overflowPunct w:val="0"/>
        <w:autoSpaceDE w:val="0"/>
        <w:autoSpaceDN w:val="0"/>
        <w:adjustRightInd w:val="0"/>
        <w:snapToGrid w:val="0"/>
        <w:spacing w:line="360" w:lineRule="auto"/>
        <w:ind w:firstLine="357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3570" w:firstLineChars="17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p>
    <w:p>
      <w:pPr>
        <w:widowControl/>
        <w:jc w:val="left"/>
        <w:rPr>
          <w:rFonts w:ascii="宋体" w:hAnsi="宋体"/>
          <w:b/>
          <w:bCs/>
          <w:color w:val="000000" w:themeColor="text1"/>
          <w:sz w:val="30"/>
          <w:szCs w:val="30"/>
          <w14:textFill>
            <w14:solidFill>
              <w14:schemeClr w14:val="tx1"/>
            </w14:solidFill>
          </w14:textFill>
        </w:rPr>
      </w:pPr>
      <w:r>
        <w:rPr>
          <w:rFonts w:ascii="宋体" w:hAnsi="宋体"/>
          <w:b/>
          <w:bCs/>
          <w:color w:val="000000" w:themeColor="text1"/>
          <w:sz w:val="30"/>
          <w:szCs w:val="30"/>
          <w14:textFill>
            <w14:solidFill>
              <w14:schemeClr w14:val="tx1"/>
            </w14:solidFill>
          </w14:textFill>
        </w:rPr>
        <w:br w:type="page"/>
      </w:r>
    </w:p>
    <w:p>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招标代理服务费承诺函</w:t>
      </w:r>
    </w:p>
    <w:p>
      <w:pPr>
        <w:pStyle w:val="11"/>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p>
    <w:p>
      <w:pPr>
        <w:pStyle w:val="11"/>
        <w:kinsoku w:val="0"/>
        <w:overflowPunct w:val="0"/>
        <w:autoSpaceDE w:val="0"/>
        <w:autoSpaceDN w:val="0"/>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致</w:t>
      </w:r>
      <w:r>
        <w:rPr>
          <w:rFonts w:hint="eastAsia" w:ascii="宋体" w:hAnsi="宋体"/>
          <w:bCs/>
          <w:color w:val="000000" w:themeColor="text1"/>
          <w:u w:val="single"/>
          <w14:textFill>
            <w14:solidFill>
              <w14:schemeClr w14:val="tx1"/>
            </w14:solidFill>
          </w14:textFill>
        </w:rPr>
        <w:t xml:space="preserve">                  （代理机构）  </w:t>
      </w:r>
      <w:r>
        <w:rPr>
          <w:rFonts w:hint="eastAsia" w:ascii="宋体" w:hAnsi="宋体"/>
          <w:bCs/>
          <w:color w:val="000000" w:themeColor="text1"/>
          <w14:textFill>
            <w14:solidFill>
              <w14:schemeClr w14:val="tx1"/>
            </w14:solidFill>
          </w14:textFill>
        </w:rPr>
        <w:t>：</w:t>
      </w:r>
    </w:p>
    <w:p>
      <w:pPr>
        <w:pStyle w:val="11"/>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我单位在参加</w:t>
      </w:r>
      <w:r>
        <w:rPr>
          <w:rFonts w:hint="eastAsia" w:ascii="宋体" w:hAnsi="宋体"/>
          <w:bCs/>
          <w:color w:val="000000" w:themeColor="text1"/>
          <w:u w:val="single"/>
          <w14:textFill>
            <w14:solidFill>
              <w14:schemeClr w14:val="tx1"/>
            </w14:solidFill>
          </w14:textFill>
        </w:rPr>
        <w:t xml:space="preserve">       （项目名称） </w:t>
      </w:r>
      <w:r>
        <w:rPr>
          <w:rFonts w:hint="eastAsia" w:ascii="宋体" w:hAnsi="宋体"/>
          <w:bCs/>
          <w:color w:val="000000" w:themeColor="text1"/>
          <w14:textFill>
            <w14:solidFill>
              <w14:schemeClr w14:val="tx1"/>
            </w14:solidFill>
          </w14:textFill>
        </w:rPr>
        <w:t>的投标活动中，郑重承诺如下：</w:t>
      </w:r>
    </w:p>
    <w:p>
      <w:pPr>
        <w:pStyle w:val="11"/>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我单位若在本项目招标中获取中标，保证在中标公告发布后5个工作日内，按照招标文件中的规定，以支票、银行转账、汇票或现金形式，向招标代理机构一次性足额支付招标代理服务费用。否则，由此产生的一切法律后果和责任有我单位承担。我单位声明放弃对此提出任何异议和追索的权利。</w:t>
      </w:r>
    </w:p>
    <w:p>
      <w:pPr>
        <w:pStyle w:val="11"/>
        <w:kinsoku w:val="0"/>
        <w:overflowPunct w:val="0"/>
        <w:autoSpaceDE w:val="0"/>
        <w:autoSpaceDN w:val="0"/>
        <w:adjustRightInd w:val="0"/>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特此承诺。</w:t>
      </w:r>
    </w:p>
    <w:p>
      <w:pPr>
        <w:pStyle w:val="11"/>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p>
    <w:p>
      <w:pPr>
        <w:pStyle w:val="11"/>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p>
    <w:p>
      <w:pPr>
        <w:pStyle w:val="11"/>
        <w:kinsoku w:val="0"/>
        <w:overflowPunct w:val="0"/>
        <w:autoSpaceDE w:val="0"/>
        <w:autoSpaceDN w:val="0"/>
        <w:adjustRightInd w:val="0"/>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jc w:val="left"/>
        <w:rPr>
          <w:rFonts w:ascii="宋体" w:hAnsi="宋体"/>
          <w:color w:val="000000" w:themeColor="text1"/>
          <w:kern w:val="0"/>
          <w:u w:val="single"/>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法定代表人或授权委托人</w:t>
      </w:r>
      <w:r>
        <w:rPr>
          <w:rFonts w:hint="eastAsia" w:ascii="宋体" w:hAnsi="宋体"/>
          <w:color w:val="000000" w:themeColor="text1"/>
          <w:spacing w:val="6"/>
          <w:kern w:val="0"/>
          <w14:textFill>
            <w14:solidFill>
              <w14:schemeClr w14:val="tx1"/>
            </w14:solidFill>
          </w14:textFill>
        </w:rPr>
        <w:t>（电子签章）</w:t>
      </w:r>
      <w:r>
        <w:rPr>
          <w:rFonts w:hint="eastAsia"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u w:val="single"/>
          <w14:textFill>
            <w14:solidFill>
              <w14:schemeClr w14:val="tx1"/>
            </w14:solidFill>
          </w14:textFill>
        </w:rPr>
        <w:t xml:space="preserve">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（全称并加盖</w:t>
      </w:r>
      <w:r>
        <w:rPr>
          <w:rFonts w:hint="eastAsia" w:ascii="宋体" w:hAnsi="宋体"/>
          <w:color w:val="000000" w:themeColor="text1"/>
          <w:spacing w:val="6"/>
          <w:kern w:val="0"/>
          <w14:textFill>
            <w14:solidFill>
              <w14:schemeClr w14:val="tx1"/>
            </w14:solidFill>
          </w14:textFill>
        </w:rPr>
        <w:t>电子签章</w:t>
      </w:r>
      <w:r>
        <w:rPr>
          <w:rFonts w:hint="eastAsia" w:ascii="宋体" w:hAnsi="宋体"/>
          <w:color w:val="000000" w:themeColor="text1"/>
          <w14:textFill>
            <w14:solidFill>
              <w14:schemeClr w14:val="tx1"/>
            </w14:solidFill>
          </w14:textFill>
        </w:rPr>
        <w:t>）</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年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月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p>
    <w:p>
      <w:pPr>
        <w:widowControl/>
        <w:jc w:val="center"/>
        <w:rPr>
          <w:rFonts w:ascii="宋体" w:hAnsi="宋体"/>
          <w:b/>
          <w:bCs/>
          <w:color w:val="000000" w:themeColor="text1"/>
          <w:sz w:val="30"/>
          <w:szCs w:val="30"/>
          <w14:textFill>
            <w14:solidFill>
              <w14:schemeClr w14:val="tx1"/>
            </w14:solidFill>
          </w14:textFill>
        </w:rPr>
      </w:pPr>
    </w:p>
    <w:p>
      <w:pPr>
        <w:widowControl/>
        <w:jc w:val="center"/>
        <w:rPr>
          <w:rFonts w:ascii="宋体" w:hAnsi="宋体"/>
          <w:b/>
          <w:bCs/>
          <w:color w:val="000000" w:themeColor="text1"/>
          <w:sz w:val="30"/>
          <w:szCs w:val="30"/>
          <w14:textFill>
            <w14:solidFill>
              <w14:schemeClr w14:val="tx1"/>
            </w14:solidFill>
          </w14:textFill>
        </w:rPr>
      </w:pPr>
    </w:p>
    <w:p>
      <w:pPr>
        <w:widowControl/>
        <w:jc w:val="center"/>
        <w:rPr>
          <w:rFonts w:ascii="宋体" w:hAnsi="宋体"/>
          <w:b/>
          <w:bCs/>
          <w:color w:val="000000" w:themeColor="text1"/>
          <w:sz w:val="30"/>
          <w:szCs w:val="30"/>
          <w14:textFill>
            <w14:solidFill>
              <w14:schemeClr w14:val="tx1"/>
            </w14:solidFill>
          </w14:textFill>
        </w:rPr>
      </w:pPr>
    </w:p>
    <w:p>
      <w:pPr>
        <w:widowControl/>
        <w:jc w:val="left"/>
        <w:rPr>
          <w:rFonts w:ascii="宋体" w:hAnsi="宋体"/>
          <w:b/>
          <w:bCs/>
          <w:color w:val="000000" w:themeColor="text1"/>
          <w:sz w:val="30"/>
          <w:szCs w:val="30"/>
          <w14:textFill>
            <w14:solidFill>
              <w14:schemeClr w14:val="tx1"/>
            </w14:solidFill>
          </w14:textFill>
        </w:rPr>
      </w:pPr>
      <w:r>
        <w:rPr>
          <w:rFonts w:ascii="宋体" w:hAnsi="宋体"/>
          <w:b/>
          <w:bCs/>
          <w:color w:val="000000" w:themeColor="text1"/>
          <w:sz w:val="30"/>
          <w:szCs w:val="30"/>
          <w14:textFill>
            <w14:solidFill>
              <w14:schemeClr w14:val="tx1"/>
            </w14:solidFill>
          </w14:textFill>
        </w:rPr>
        <w:br w:type="page"/>
      </w:r>
    </w:p>
    <w:p>
      <w:pPr>
        <w:widowControl/>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投标单位公示主要内容汇总</w:t>
      </w:r>
    </w:p>
    <w:tbl>
      <w:tblPr>
        <w:tblStyle w:val="18"/>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2" w:hRule="atLeast"/>
        </w:trPr>
        <w:tc>
          <w:tcPr>
            <w:tcW w:w="9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投标人名称：</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统一社会信用代码：</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投标报价：</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单位地址：</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投标内容：</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工期：</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质量：</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项目经理：      （证书编号：）</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项目组成人员：</w:t>
            </w:r>
          </w:p>
          <w:p>
            <w:pPr>
              <w:widowControl/>
              <w:spacing w:line="360" w:lineRule="auto"/>
              <w:jc w:val="left"/>
              <w:rPr>
                <w:rFonts w:ascii="宋体" w:hAnsi="宋体"/>
                <w:b/>
                <w:bCs/>
                <w:color w:val="000000" w:themeColor="text1"/>
                <w:kern w:val="0"/>
                <w:sz w:val="22"/>
                <w:szCs w:val="22"/>
                <w14:textFill>
                  <w14:solidFill>
                    <w14:schemeClr w14:val="tx1"/>
                  </w14:solidFill>
                </w14:textFill>
              </w:rPr>
            </w:pP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业绩（一）：</w:t>
            </w:r>
          </w:p>
          <w:p>
            <w:pPr>
              <w:widowControl/>
              <w:spacing w:line="360" w:lineRule="auto"/>
              <w:ind w:firstLine="431" w:firstLineChars="196"/>
              <w:jc w:val="left"/>
              <w:rPr>
                <w:rFonts w:ascii="宋体" w:hAnsi="宋体"/>
                <w:bCs/>
                <w:color w:val="000000" w:themeColor="text1"/>
                <w:kern w:val="0"/>
                <w:sz w:val="22"/>
                <w:szCs w:val="22"/>
                <w14:textFill>
                  <w14:solidFill>
                    <w14:schemeClr w14:val="tx1"/>
                  </w14:solidFill>
                </w14:textFill>
              </w:rPr>
            </w:pPr>
            <w:r>
              <w:rPr>
                <w:rFonts w:ascii="宋体" w:hAnsi="宋体"/>
                <w:bCs/>
                <w:color w:val="000000" w:themeColor="text1"/>
                <w:kern w:val="0"/>
                <w:sz w:val="22"/>
                <w:szCs w:val="22"/>
                <w14:textFill>
                  <w14:solidFill>
                    <w14:schemeClr w14:val="tx1"/>
                  </w14:solidFill>
                </w14:textFill>
              </w:rPr>
              <w:t>项目名称</w:t>
            </w:r>
            <w:r>
              <w:rPr>
                <w:rFonts w:hint="eastAsia" w:ascii="宋体" w:hAnsi="宋体"/>
                <w:bCs/>
                <w:color w:val="000000" w:themeColor="text1"/>
                <w:kern w:val="0"/>
                <w:sz w:val="22"/>
                <w:szCs w:val="22"/>
                <w14:textFill>
                  <w14:solidFill>
                    <w14:schemeClr w14:val="tx1"/>
                  </w14:solidFill>
                </w14:textFill>
              </w:rPr>
              <w:t>：</w:t>
            </w:r>
          </w:p>
          <w:p>
            <w:pPr>
              <w:widowControl/>
              <w:spacing w:line="360" w:lineRule="auto"/>
              <w:ind w:firstLine="431" w:firstLineChars="196"/>
              <w:jc w:val="left"/>
              <w:rPr>
                <w:rFonts w:ascii="宋体" w:hAnsi="宋体"/>
                <w:bCs/>
                <w:color w:val="000000" w:themeColor="text1"/>
                <w:kern w:val="0"/>
                <w:sz w:val="22"/>
                <w:szCs w:val="22"/>
                <w14:textFill>
                  <w14:solidFill>
                    <w14:schemeClr w14:val="tx1"/>
                  </w14:solidFill>
                </w14:textFill>
              </w:rPr>
            </w:pPr>
            <w:r>
              <w:rPr>
                <w:rFonts w:ascii="宋体" w:hAnsi="宋体"/>
                <w:bCs/>
                <w:color w:val="000000" w:themeColor="text1"/>
                <w:kern w:val="0"/>
                <w:sz w:val="22"/>
                <w:szCs w:val="22"/>
                <w14:textFill>
                  <w14:solidFill>
                    <w14:schemeClr w14:val="tx1"/>
                  </w14:solidFill>
                </w14:textFill>
              </w:rPr>
              <w:t>项目负责人名单</w:t>
            </w:r>
            <w:r>
              <w:rPr>
                <w:rFonts w:hint="eastAsia" w:ascii="宋体" w:hAnsi="宋体"/>
                <w:bCs/>
                <w:color w:val="000000" w:themeColor="text1"/>
                <w:kern w:val="0"/>
                <w:sz w:val="22"/>
                <w:szCs w:val="22"/>
                <w14:textFill>
                  <w14:solidFill>
                    <w14:schemeClr w14:val="tx1"/>
                  </w14:solidFill>
                </w14:textFill>
              </w:rPr>
              <w:t>：</w:t>
            </w:r>
          </w:p>
          <w:p>
            <w:pPr>
              <w:widowControl/>
              <w:spacing w:line="360" w:lineRule="auto"/>
              <w:ind w:firstLine="431" w:firstLineChars="196"/>
              <w:jc w:val="left"/>
              <w:rPr>
                <w:rFonts w:ascii="宋体" w:hAnsi="宋体"/>
                <w:bCs/>
                <w:color w:val="000000" w:themeColor="text1"/>
                <w:kern w:val="0"/>
                <w:sz w:val="22"/>
                <w:szCs w:val="22"/>
                <w14:textFill>
                  <w14:solidFill>
                    <w14:schemeClr w14:val="tx1"/>
                  </w14:solidFill>
                </w14:textFill>
              </w:rPr>
            </w:pPr>
            <w:r>
              <w:rPr>
                <w:rFonts w:ascii="宋体" w:hAnsi="宋体"/>
                <w:bCs/>
                <w:color w:val="000000" w:themeColor="text1"/>
                <w:kern w:val="0"/>
                <w:sz w:val="22"/>
                <w:szCs w:val="22"/>
                <w14:textFill>
                  <w14:solidFill>
                    <w14:schemeClr w14:val="tx1"/>
                  </w14:solidFill>
                </w14:textFill>
              </w:rPr>
              <w:t>中标公示查询媒体</w:t>
            </w:r>
            <w:r>
              <w:rPr>
                <w:rFonts w:hint="eastAsia" w:ascii="宋体" w:hAnsi="宋体"/>
                <w:bCs/>
                <w:color w:val="000000" w:themeColor="text1"/>
                <w:kern w:val="0"/>
                <w:sz w:val="22"/>
                <w:szCs w:val="22"/>
                <w14:textFill>
                  <w14:solidFill>
                    <w14:schemeClr w14:val="tx1"/>
                  </w14:solidFill>
                </w14:textFill>
              </w:rPr>
              <w:t>：</w:t>
            </w:r>
          </w:p>
          <w:p>
            <w:pPr>
              <w:widowControl/>
              <w:spacing w:line="360" w:lineRule="auto"/>
              <w:ind w:firstLine="431" w:firstLineChars="196"/>
              <w:jc w:val="left"/>
              <w:rPr>
                <w:rFonts w:ascii="宋体" w:hAnsi="宋体"/>
                <w:bCs/>
                <w:color w:val="000000" w:themeColor="text1"/>
                <w:kern w:val="0"/>
                <w:sz w:val="22"/>
                <w:szCs w:val="22"/>
                <w14:textFill>
                  <w14:solidFill>
                    <w14:schemeClr w14:val="tx1"/>
                  </w14:solidFill>
                </w14:textFill>
              </w:rPr>
            </w:pPr>
            <w:r>
              <w:rPr>
                <w:rFonts w:ascii="宋体" w:hAnsi="宋体"/>
                <w:bCs/>
                <w:color w:val="000000" w:themeColor="text1"/>
                <w:kern w:val="0"/>
                <w:sz w:val="22"/>
                <w:szCs w:val="22"/>
                <w14:textFill>
                  <w14:solidFill>
                    <w14:schemeClr w14:val="tx1"/>
                  </w14:solidFill>
                </w14:textFill>
              </w:rPr>
              <w:t>合同金额</w:t>
            </w:r>
            <w:r>
              <w:rPr>
                <w:rFonts w:hint="eastAsia" w:ascii="宋体" w:hAnsi="宋体"/>
                <w:bCs/>
                <w:color w:val="000000" w:themeColor="text1"/>
                <w:kern w:val="0"/>
                <w:sz w:val="22"/>
                <w:szCs w:val="22"/>
                <w14:textFill>
                  <w14:solidFill>
                    <w14:schemeClr w14:val="tx1"/>
                  </w14:solidFill>
                </w14:textFill>
              </w:rPr>
              <w:t>：</w:t>
            </w:r>
          </w:p>
          <w:p>
            <w:pPr>
              <w:widowControl/>
              <w:spacing w:line="360" w:lineRule="auto"/>
              <w:ind w:firstLine="431" w:firstLineChars="196"/>
              <w:jc w:val="left"/>
              <w:rPr>
                <w:rFonts w:ascii="宋体" w:hAnsi="宋体"/>
                <w:bCs/>
                <w:color w:val="000000" w:themeColor="text1"/>
                <w:kern w:val="0"/>
                <w:sz w:val="22"/>
                <w:szCs w:val="22"/>
                <w14:textFill>
                  <w14:solidFill>
                    <w14:schemeClr w14:val="tx1"/>
                  </w14:solidFill>
                </w14:textFill>
              </w:rPr>
            </w:pPr>
            <w:r>
              <w:rPr>
                <w:rFonts w:ascii="宋体" w:hAnsi="宋体"/>
                <w:bCs/>
                <w:color w:val="000000" w:themeColor="text1"/>
                <w:kern w:val="0"/>
                <w:sz w:val="22"/>
                <w:szCs w:val="22"/>
                <w14:textFill>
                  <w14:solidFill>
                    <w14:schemeClr w14:val="tx1"/>
                  </w14:solidFill>
                </w14:textFill>
              </w:rPr>
              <w:t>合同签订日期</w:t>
            </w:r>
            <w:r>
              <w:rPr>
                <w:rFonts w:hint="eastAsia" w:ascii="宋体" w:hAnsi="宋体"/>
                <w:bCs/>
                <w:color w:val="000000" w:themeColor="text1"/>
                <w:kern w:val="0"/>
                <w:sz w:val="22"/>
                <w:szCs w:val="22"/>
                <w14:textFill>
                  <w14:solidFill>
                    <w14:schemeClr w14:val="tx1"/>
                  </w14:solidFill>
                </w14:textFill>
              </w:rPr>
              <w:t>：</w:t>
            </w:r>
          </w:p>
          <w:p>
            <w:pPr>
              <w:widowControl/>
              <w:spacing w:line="360" w:lineRule="auto"/>
              <w:ind w:firstLine="431" w:firstLineChars="196"/>
              <w:jc w:val="left"/>
              <w:rPr>
                <w:rFonts w:ascii="宋体" w:hAnsi="宋体"/>
                <w:bCs/>
                <w:color w:val="000000" w:themeColor="text1"/>
                <w:kern w:val="0"/>
                <w:sz w:val="22"/>
                <w:szCs w:val="22"/>
                <w14:textFill>
                  <w14:solidFill>
                    <w14:schemeClr w14:val="tx1"/>
                  </w14:solidFill>
                </w14:textFill>
              </w:rPr>
            </w:pPr>
            <w:r>
              <w:rPr>
                <w:rFonts w:ascii="宋体" w:hAnsi="宋体"/>
                <w:bCs/>
                <w:color w:val="000000" w:themeColor="text1"/>
                <w:kern w:val="0"/>
                <w:sz w:val="22"/>
                <w:szCs w:val="22"/>
                <w14:textFill>
                  <w14:solidFill>
                    <w14:schemeClr w14:val="tx1"/>
                  </w14:solidFill>
                </w14:textFill>
              </w:rPr>
              <w:t>验收日期</w:t>
            </w:r>
            <w:r>
              <w:rPr>
                <w:rFonts w:hint="eastAsia" w:ascii="宋体" w:hAnsi="宋体"/>
                <w:bCs/>
                <w:color w:val="000000" w:themeColor="text1"/>
                <w:kern w:val="0"/>
                <w:sz w:val="22"/>
                <w:szCs w:val="22"/>
                <w14:textFill>
                  <w14:solidFill>
                    <w14:schemeClr w14:val="tx1"/>
                  </w14:solidFill>
                </w14:textFill>
              </w:rPr>
              <w:t>：</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业绩（二）：</w:t>
            </w:r>
          </w:p>
          <w:p>
            <w:pPr>
              <w:widowControl/>
              <w:spacing w:line="360" w:lineRule="auto"/>
              <w:jc w:val="left"/>
              <w:rPr>
                <w:rFonts w:ascii="宋体" w:hAnsi="宋体"/>
                <w:b/>
                <w:bCs/>
                <w:color w:val="000000" w:themeColor="text1"/>
                <w:kern w:val="0"/>
                <w:sz w:val="22"/>
                <w:szCs w:val="22"/>
                <w14:textFill>
                  <w14:solidFill>
                    <w14:schemeClr w14:val="tx1"/>
                  </w14:solidFill>
                </w14:textFill>
              </w:rPr>
            </w:pPr>
            <w:r>
              <w:rPr>
                <w:rFonts w:ascii="宋体" w:hAnsi="宋体"/>
                <w:b/>
                <w:bCs/>
                <w:color w:val="000000" w:themeColor="text1"/>
                <w:kern w:val="0"/>
                <w:sz w:val="22"/>
                <w:szCs w:val="22"/>
                <w14:textFill>
                  <w14:solidFill>
                    <w14:schemeClr w14:val="tx1"/>
                  </w14:solidFill>
                </w14:textFill>
              </w:rPr>
              <w:t>……</w:t>
            </w:r>
            <w:r>
              <w:rPr>
                <w:rFonts w:hint="eastAsia" w:ascii="宋体" w:hAnsi="宋体"/>
                <w:b/>
                <w:bCs/>
                <w:color w:val="000000" w:themeColor="text1"/>
                <w:kern w:val="0"/>
                <w:sz w:val="22"/>
                <w:szCs w:val="22"/>
                <w14:textFill>
                  <w14:solidFill>
                    <w14:schemeClr w14:val="tx1"/>
                  </w14:solidFill>
                </w14:textFill>
              </w:rPr>
              <w:t>.</w:t>
            </w:r>
          </w:p>
          <w:p>
            <w:pPr>
              <w:pStyle w:val="4"/>
              <w:rPr>
                <w:color w:val="000000" w:themeColor="text1"/>
                <w14:textFill>
                  <w14:solidFill>
                    <w14:schemeClr w14:val="tx1"/>
                  </w14:solidFill>
                </w14:textFill>
              </w:rPr>
            </w:pPr>
          </w:p>
        </w:tc>
      </w:tr>
    </w:tbl>
    <w:p>
      <w:pPr>
        <w:widowControl/>
        <w:jc w:val="left"/>
        <w:rPr>
          <w:rFonts w:ascii="宋体" w:hAnsi="宋体"/>
          <w:b/>
          <w:bCs/>
          <w:color w:val="000000" w:themeColor="text1"/>
          <w:sz w:val="30"/>
          <w:szCs w:val="30"/>
          <w14:textFill>
            <w14:solidFill>
              <w14:schemeClr w14:val="tx1"/>
            </w14:solidFill>
          </w14:textFill>
        </w:rPr>
        <w:sectPr>
          <w:pgSz w:w="11906" w:h="16838"/>
          <w:pgMar w:top="1440" w:right="1080" w:bottom="1440" w:left="1080" w:header="720" w:footer="720" w:gutter="0"/>
          <w:cols w:space="720" w:num="1"/>
          <w:docGrid w:type="lines" w:linePitch="312" w:charSpace="0"/>
        </w:sectPr>
      </w:pP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6"/>
          <w:szCs w:val="36"/>
          <w14:textFill>
            <w14:solidFill>
              <w14:schemeClr w14:val="tx1"/>
            </w14:solidFill>
          </w14:textFill>
        </w:rPr>
      </w:pPr>
      <w:bookmarkStart w:id="247" w:name="_Toc21606"/>
      <w:bookmarkEnd w:id="247"/>
      <w:r>
        <w:rPr>
          <w:rFonts w:hint="eastAsia" w:ascii="宋体" w:hAnsi="宋体"/>
          <w:b/>
          <w:bCs/>
          <w:color w:val="000000" w:themeColor="text1"/>
          <w:sz w:val="36"/>
          <w:szCs w:val="36"/>
          <w14:textFill>
            <w14:solidFill>
              <w14:schemeClr w14:val="tx1"/>
            </w14:solidFill>
          </w14:textFill>
        </w:rPr>
        <w:t>第八章 其他资料</w:t>
      </w:r>
    </w:p>
    <w:p>
      <w:pPr>
        <w:spacing w:line="360" w:lineRule="auto"/>
        <w:jc w:val="center"/>
        <w:rPr>
          <w:rFonts w:ascii="宋体" w:hAnsi="宋体"/>
          <w:b/>
          <w:color w:val="000000" w:themeColor="text1"/>
          <w:sz w:val="24"/>
          <w:szCs w:val="24"/>
          <w14:textFill>
            <w14:solidFill>
              <w14:schemeClr w14:val="tx1"/>
            </w14:solidFill>
          </w14:textFill>
        </w:rPr>
      </w:pPr>
      <w:bookmarkStart w:id="248" w:name="_Toc12066"/>
      <w:r>
        <w:rPr>
          <w:rFonts w:hint="eastAsia" w:ascii="宋体" w:hAnsi="宋体"/>
          <w:b/>
          <w:color w:val="000000" w:themeColor="text1"/>
          <w:sz w:val="24"/>
          <w:szCs w:val="24"/>
          <w14:textFill>
            <w14:solidFill>
              <w14:schemeClr w14:val="tx1"/>
            </w14:solidFill>
          </w14:textFill>
        </w:rPr>
        <w:t>政府采购政策</w:t>
      </w:r>
      <w:bookmarkEnd w:id="248"/>
    </w:p>
    <w:p>
      <w:pPr>
        <w:pStyle w:val="6"/>
        <w:keepLines w:val="0"/>
        <w:widowControl/>
        <w:spacing w:line="360" w:lineRule="auto"/>
        <w:jc w:val="center"/>
        <w:rPr>
          <w:rFonts w:ascii="宋体" w:hAnsi="宋体" w:eastAsia="宋体"/>
          <w:color w:val="000000" w:themeColor="text1"/>
          <w:sz w:val="24"/>
          <w:szCs w:val="24"/>
          <w14:textFill>
            <w14:solidFill>
              <w14:schemeClr w14:val="tx1"/>
            </w14:solidFill>
          </w14:textFill>
        </w:rPr>
      </w:pPr>
      <w:bookmarkStart w:id="249" w:name="_Toc5578"/>
      <w:bookmarkEnd w:id="249"/>
      <w:r>
        <w:rPr>
          <w:rFonts w:hint="eastAsia" w:ascii="宋体" w:hAnsi="宋体" w:eastAsia="宋体"/>
          <w:color w:val="000000" w:themeColor="text1"/>
          <w:sz w:val="24"/>
          <w:szCs w:val="24"/>
          <w14:textFill>
            <w14:solidFill>
              <w14:schemeClr w14:val="tx1"/>
            </w14:solidFill>
          </w14:textFill>
        </w:rPr>
        <w:t>一、关于中小企业及产品（如有）</w:t>
      </w:r>
    </w:p>
    <w:p>
      <w:pPr>
        <w:spacing w:line="360" w:lineRule="auto"/>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1、政府采购政策：</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1.1《政府采购促进中小企业发展管理办法》（财库﹝2020﹞46 号）</w:t>
      </w:r>
    </w:p>
    <w:p>
      <w:pPr>
        <w:spacing w:line="360" w:lineRule="auto"/>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2、附声明函（</w:t>
      </w:r>
      <w:r>
        <w:rPr>
          <w:rFonts w:hint="eastAsia" w:ascii="宋体" w:hAnsi="宋体"/>
          <w:color w:val="000000" w:themeColor="text1"/>
          <w:sz w:val="24"/>
          <w:szCs w:val="24"/>
          <w14:textFill>
            <w14:solidFill>
              <w14:schemeClr w14:val="tx1"/>
            </w14:solidFill>
          </w14:textFill>
        </w:rPr>
        <w:t>无声明函投标报价评审时不予价格扣除优惠</w:t>
      </w:r>
      <w:r>
        <w:rPr>
          <w:rFonts w:hint="eastAsia" w:ascii="宋体" w:hAnsi="宋体"/>
          <w:b/>
          <w:color w:val="000000" w:themeColor="text1"/>
          <w:sz w:val="24"/>
          <w:szCs w:val="24"/>
          <w14:textFill>
            <w14:solidFill>
              <w14:schemeClr w14:val="tx1"/>
            </w14:solidFill>
          </w14:textFill>
        </w:rPr>
        <w:t>）</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中小企业声明函</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本公司（联合体）郑重声明，根据《政府采购促进中小 企业发展管理办法》（财库﹝2020﹞46 号）的规定，本公司 （联合体）参加（单位名称）的（项目名称）采购活动，工程全部由符合政策要求的中小企业承接。相关企业（含联合 体中的中小企业、签订分包意向协议的中小企业）的具体情 况如下：</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u w:val="single"/>
          <w14:textFill>
            <w14:solidFill>
              <w14:schemeClr w14:val="tx1"/>
            </w14:solidFill>
          </w14:textFill>
        </w:rPr>
        <w:t xml:space="preserve">（标的名称） </w:t>
      </w:r>
      <w:r>
        <w:rPr>
          <w:rFonts w:hint="eastAsia" w:ascii="宋体" w:hAnsi="宋体"/>
          <w:color w:val="000000" w:themeColor="text1"/>
          <w:sz w:val="24"/>
          <w:szCs w:val="24"/>
          <w14:textFill>
            <w14:solidFill>
              <w14:schemeClr w14:val="tx1"/>
            </w14:solidFill>
          </w14:textFill>
        </w:rPr>
        <w:t>，属于</w:t>
      </w:r>
      <w:r>
        <w:rPr>
          <w:rFonts w:hint="eastAsia" w:ascii="宋体" w:hAnsi="宋体"/>
          <w:color w:val="000000" w:themeColor="text1"/>
          <w:sz w:val="24"/>
          <w:szCs w:val="24"/>
          <w:u w:val="single"/>
          <w14:textFill>
            <w14:solidFill>
              <w14:schemeClr w14:val="tx1"/>
            </w14:solidFill>
          </w14:textFill>
        </w:rPr>
        <w:t>（采购文件中明确的所属行业）</w:t>
      </w:r>
      <w:r>
        <w:rPr>
          <w:rFonts w:hint="eastAsia" w:ascii="宋体" w:hAnsi="宋体"/>
          <w:color w:val="000000" w:themeColor="text1"/>
          <w:sz w:val="24"/>
          <w:szCs w:val="24"/>
          <w14:textFill>
            <w14:solidFill>
              <w14:schemeClr w14:val="tx1"/>
            </w14:solidFill>
          </w14:textFill>
        </w:rPr>
        <w:t>； 承建（承接）企业为</w:t>
      </w:r>
      <w:r>
        <w:rPr>
          <w:rFonts w:hint="eastAsia" w:ascii="宋体" w:hAnsi="宋体"/>
          <w:color w:val="000000" w:themeColor="text1"/>
          <w:sz w:val="24"/>
          <w:szCs w:val="24"/>
          <w:u w:val="single"/>
          <w14:textFill>
            <w14:solidFill>
              <w14:schemeClr w14:val="tx1"/>
            </w14:solidFill>
          </w14:textFill>
        </w:rPr>
        <w:t>（企业名称）</w:t>
      </w:r>
      <w:r>
        <w:rPr>
          <w:rFonts w:hint="eastAsia" w:ascii="宋体" w:hAnsi="宋体"/>
          <w:color w:val="000000" w:themeColor="text1"/>
          <w:sz w:val="24"/>
          <w:szCs w:val="24"/>
          <w14:textFill>
            <w14:solidFill>
              <w14:schemeClr w14:val="tx1"/>
            </w14:solidFill>
          </w14:textFill>
        </w:rPr>
        <w:t>，从业人员</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人，营业 收入为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万元，资产总额为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万元，属于</w:t>
      </w:r>
      <w:r>
        <w:rPr>
          <w:rFonts w:hint="eastAsia" w:ascii="宋体" w:hAnsi="宋体"/>
          <w:color w:val="000000" w:themeColor="text1"/>
          <w:sz w:val="24"/>
          <w:szCs w:val="24"/>
          <w:u w:val="single"/>
          <w14:textFill>
            <w14:solidFill>
              <w14:schemeClr w14:val="tx1"/>
            </w14:solidFill>
          </w14:textFill>
        </w:rPr>
        <w:t>（中型企业、 小型企业、微型企业）</w:t>
      </w:r>
      <w:r>
        <w:rPr>
          <w:rFonts w:hint="eastAsia" w:ascii="宋体" w:hAnsi="宋体"/>
          <w:color w:val="000000" w:themeColor="text1"/>
          <w:sz w:val="24"/>
          <w:szCs w:val="24"/>
          <w14:textFill>
            <w14:solidFill>
              <w14:schemeClr w14:val="tx1"/>
            </w14:solidFill>
          </w14:textFill>
        </w:rPr>
        <w:t xml:space="preserve">； </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 xml:space="preserve">（标的名称） </w:t>
      </w:r>
      <w:r>
        <w:rPr>
          <w:rFonts w:hint="eastAsia" w:ascii="宋体" w:hAnsi="宋体"/>
          <w:color w:val="000000" w:themeColor="text1"/>
          <w:sz w:val="24"/>
          <w:szCs w:val="24"/>
          <w14:textFill>
            <w14:solidFill>
              <w14:schemeClr w14:val="tx1"/>
            </w14:solidFill>
          </w14:textFill>
        </w:rPr>
        <w:t>，属于</w:t>
      </w:r>
      <w:r>
        <w:rPr>
          <w:rFonts w:hint="eastAsia" w:ascii="宋体" w:hAnsi="宋体"/>
          <w:color w:val="000000" w:themeColor="text1"/>
          <w:sz w:val="24"/>
          <w:szCs w:val="24"/>
          <w:u w:val="single"/>
          <w14:textFill>
            <w14:solidFill>
              <w14:schemeClr w14:val="tx1"/>
            </w14:solidFill>
          </w14:textFill>
        </w:rPr>
        <w:t>（采购文件中明确的所属行业）</w:t>
      </w:r>
      <w:r>
        <w:rPr>
          <w:rFonts w:hint="eastAsia" w:ascii="宋体" w:hAnsi="宋体"/>
          <w:color w:val="000000" w:themeColor="text1"/>
          <w:sz w:val="24"/>
          <w:szCs w:val="24"/>
          <w14:textFill>
            <w14:solidFill>
              <w14:schemeClr w14:val="tx1"/>
            </w14:solidFill>
          </w14:textFill>
        </w:rPr>
        <w:t>； 承建（承接）企业为</w:t>
      </w:r>
      <w:r>
        <w:rPr>
          <w:rFonts w:hint="eastAsia" w:ascii="宋体" w:hAnsi="宋体"/>
          <w:color w:val="000000" w:themeColor="text1"/>
          <w:sz w:val="24"/>
          <w:szCs w:val="24"/>
          <w:u w:val="single"/>
          <w14:textFill>
            <w14:solidFill>
              <w14:schemeClr w14:val="tx1"/>
            </w14:solidFill>
          </w14:textFill>
        </w:rPr>
        <w:t>（企业名称）</w:t>
      </w:r>
      <w:r>
        <w:rPr>
          <w:rFonts w:hint="eastAsia" w:ascii="宋体" w:hAnsi="宋体"/>
          <w:color w:val="000000" w:themeColor="text1"/>
          <w:sz w:val="24"/>
          <w:szCs w:val="24"/>
          <w14:textFill>
            <w14:solidFill>
              <w14:schemeClr w14:val="tx1"/>
            </w14:solidFill>
          </w14:textFill>
        </w:rPr>
        <w:t>，从业人员</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人，营业 收入为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万元，资产总额为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万元，属于</w:t>
      </w:r>
      <w:r>
        <w:rPr>
          <w:rFonts w:hint="eastAsia" w:ascii="宋体" w:hAnsi="宋体"/>
          <w:color w:val="000000" w:themeColor="text1"/>
          <w:sz w:val="24"/>
          <w:szCs w:val="24"/>
          <w:u w:val="single"/>
          <w14:textFill>
            <w14:solidFill>
              <w14:schemeClr w14:val="tx1"/>
            </w14:solidFill>
          </w14:textFill>
        </w:rPr>
        <w:t>（中型企业、 小型企业、微型企业）</w:t>
      </w:r>
      <w:r>
        <w:rPr>
          <w:rFonts w:hint="eastAsia" w:ascii="宋体" w:hAnsi="宋体"/>
          <w:color w:val="000000" w:themeColor="text1"/>
          <w:sz w:val="24"/>
          <w:szCs w:val="24"/>
          <w14:textFill>
            <w14:solidFill>
              <w14:schemeClr w14:val="tx1"/>
            </w14:solidFill>
          </w14:textFill>
        </w:rPr>
        <w:t xml:space="preserve">； </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以上企业，不属于大企业的分支机构，不存在控股股东 为大企业的情形，也不存在与大企业的负责人为同一人的情 形。本企业对上述声明内容的真实性负责。如有虚假，将依 法承担相应责任。</w:t>
      </w:r>
    </w:p>
    <w:p>
      <w:pPr>
        <w:spacing w:line="360" w:lineRule="auto"/>
        <w:ind w:firstLine="4080" w:firstLineChars="17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企业名称（盖章）： </w:t>
      </w:r>
    </w:p>
    <w:p>
      <w:pPr>
        <w:spacing w:line="360" w:lineRule="auto"/>
        <w:ind w:firstLine="2412" w:firstLineChars="100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u w:val="single"/>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spacing w:val="43"/>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u w:val="single"/>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spacing w:val="43"/>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u w:val="single"/>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日</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p>
    <w:p>
      <w:pPr>
        <w:pStyle w:val="6"/>
        <w:keepLines w:val="0"/>
        <w:widowControl/>
        <w:spacing w:line="360" w:lineRule="auto"/>
        <w:jc w:val="center"/>
        <w:rPr>
          <w:rFonts w:ascii="宋体" w:hAnsi="宋体" w:eastAsia="宋体"/>
          <w:color w:val="000000" w:themeColor="text1"/>
          <w:sz w:val="24"/>
          <w:szCs w:val="24"/>
          <w14:textFill>
            <w14:solidFill>
              <w14:schemeClr w14:val="tx1"/>
            </w14:solidFill>
          </w14:textFill>
        </w:rPr>
      </w:pPr>
      <w:bookmarkStart w:id="250" w:name="_Toc21926"/>
      <w:bookmarkEnd w:id="250"/>
      <w:bookmarkStart w:id="251" w:name="_Toc1665"/>
      <w:bookmarkEnd w:id="251"/>
      <w:bookmarkStart w:id="252" w:name="_Toc9716"/>
      <w:bookmarkEnd w:id="252"/>
      <w:bookmarkStart w:id="253" w:name="_Toc8331"/>
      <w:bookmarkEnd w:id="253"/>
      <w:bookmarkStart w:id="254" w:name="_Toc26031"/>
      <w:bookmarkEnd w:id="254"/>
      <w:bookmarkStart w:id="255" w:name="_Toc8379"/>
      <w:bookmarkEnd w:id="255"/>
      <w:bookmarkStart w:id="256" w:name="_Toc13500"/>
      <w:bookmarkEnd w:id="256"/>
      <w:bookmarkStart w:id="257" w:name="_Toc4847"/>
      <w:bookmarkEnd w:id="257"/>
      <w:bookmarkStart w:id="258" w:name="_Toc22250"/>
      <w:bookmarkEnd w:id="258"/>
      <w:bookmarkStart w:id="259" w:name="_Toc20157"/>
      <w:bookmarkEnd w:id="259"/>
      <w:bookmarkStart w:id="260" w:name="_Toc16140"/>
      <w:bookmarkEnd w:id="260"/>
      <w:bookmarkStart w:id="261" w:name="_Toc10430"/>
      <w:bookmarkEnd w:id="261"/>
      <w:bookmarkStart w:id="262" w:name="_Toc9457"/>
      <w:bookmarkEnd w:id="262"/>
      <w:bookmarkStart w:id="263" w:name="_Toc3005"/>
      <w:bookmarkEnd w:id="263"/>
      <w:bookmarkStart w:id="264" w:name="_Toc10142"/>
      <w:bookmarkEnd w:id="264"/>
      <w:bookmarkStart w:id="265" w:name="_Toc12901"/>
      <w:bookmarkEnd w:id="265"/>
      <w:bookmarkStart w:id="266" w:name="_Toc1862"/>
      <w:bookmarkEnd w:id="266"/>
      <w:bookmarkStart w:id="267" w:name="_Toc13404"/>
      <w:bookmarkEnd w:id="267"/>
      <w:bookmarkStart w:id="268" w:name="_Toc25761"/>
      <w:bookmarkEnd w:id="268"/>
      <w:bookmarkStart w:id="269" w:name="_Toc12587"/>
      <w:bookmarkEnd w:id="269"/>
      <w:bookmarkStart w:id="270" w:name="_Toc20109"/>
      <w:bookmarkEnd w:id="270"/>
      <w:bookmarkStart w:id="271" w:name="_Toc4069"/>
      <w:r>
        <w:rPr>
          <w:rFonts w:hint="eastAsia" w:ascii="宋体" w:hAnsi="宋体" w:eastAsia="宋体"/>
          <w:color w:val="000000" w:themeColor="text1"/>
          <w:sz w:val="24"/>
          <w:szCs w:val="24"/>
          <w14:textFill>
            <w14:solidFill>
              <w14:schemeClr w14:val="tx1"/>
            </w14:solidFill>
          </w14:textFill>
        </w:rPr>
        <w:t>二、关于节能产品、环境标志产品（如有）</w:t>
      </w:r>
      <w:bookmarkEnd w:id="271"/>
    </w:p>
    <w:p>
      <w:pPr>
        <w:pStyle w:val="41"/>
        <w:widowControl/>
        <w:spacing w:line="360" w:lineRule="auto"/>
        <w:jc w:val="center"/>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执行国家最新一期节能、环境标志产品清单及相关要求</w:t>
      </w:r>
      <w:r>
        <w:rPr>
          <w:rFonts w:hint="eastAsia" w:hAnsi="宋体"/>
          <w:color w:val="000000" w:themeColor="text1"/>
          <w:sz w:val="24"/>
          <w:szCs w:val="24"/>
          <w14:textFill>
            <w14:solidFill>
              <w14:schemeClr w14:val="tx1"/>
            </w14:solidFill>
          </w14:textFill>
        </w:rPr>
        <w:br w:type="page"/>
      </w:r>
    </w:p>
    <w:p>
      <w:pPr>
        <w:pStyle w:val="6"/>
        <w:keepLines w:val="0"/>
        <w:widowControl/>
        <w:spacing w:line="360" w:lineRule="auto"/>
        <w:jc w:val="center"/>
        <w:rPr>
          <w:rFonts w:ascii="宋体" w:hAnsi="宋体" w:eastAsia="宋体"/>
          <w:color w:val="000000" w:themeColor="text1"/>
          <w:sz w:val="24"/>
          <w:szCs w:val="24"/>
          <w14:textFill>
            <w14:solidFill>
              <w14:schemeClr w14:val="tx1"/>
            </w14:solidFill>
          </w14:textFill>
        </w:rPr>
      </w:pPr>
      <w:bookmarkStart w:id="272" w:name="_Toc26376"/>
      <w:bookmarkEnd w:id="272"/>
      <w:bookmarkStart w:id="273" w:name="_Toc11777"/>
      <w:bookmarkEnd w:id="273"/>
      <w:bookmarkStart w:id="274" w:name="_Toc1211"/>
      <w:bookmarkEnd w:id="274"/>
      <w:bookmarkStart w:id="275" w:name="_Toc32767"/>
      <w:bookmarkEnd w:id="275"/>
      <w:bookmarkStart w:id="276" w:name="_Toc22668"/>
      <w:bookmarkEnd w:id="276"/>
      <w:bookmarkStart w:id="277" w:name="_Toc12001"/>
      <w:bookmarkEnd w:id="277"/>
      <w:bookmarkStart w:id="278" w:name="_Toc12805"/>
      <w:bookmarkEnd w:id="278"/>
      <w:bookmarkStart w:id="279" w:name="_Toc9456"/>
      <w:bookmarkEnd w:id="279"/>
      <w:bookmarkStart w:id="280" w:name="_Toc19557"/>
      <w:bookmarkEnd w:id="280"/>
      <w:bookmarkStart w:id="281" w:name="_Toc21667"/>
      <w:bookmarkEnd w:id="281"/>
      <w:bookmarkStart w:id="282" w:name="_Toc22147"/>
      <w:bookmarkEnd w:id="282"/>
      <w:bookmarkStart w:id="283" w:name="_Toc10964"/>
      <w:bookmarkEnd w:id="283"/>
      <w:bookmarkStart w:id="284" w:name="_Toc14428"/>
      <w:bookmarkEnd w:id="284"/>
      <w:bookmarkStart w:id="285" w:name="_Toc25658"/>
      <w:bookmarkEnd w:id="285"/>
      <w:bookmarkStart w:id="286" w:name="_Toc13032"/>
      <w:bookmarkEnd w:id="286"/>
      <w:bookmarkStart w:id="287" w:name="_Toc28094"/>
      <w:bookmarkEnd w:id="287"/>
      <w:bookmarkStart w:id="288" w:name="_Toc13878"/>
      <w:bookmarkEnd w:id="288"/>
      <w:bookmarkStart w:id="289" w:name="_Toc23075"/>
      <w:bookmarkEnd w:id="289"/>
      <w:bookmarkStart w:id="290" w:name="_Toc27008"/>
      <w:bookmarkEnd w:id="290"/>
      <w:bookmarkStart w:id="291" w:name="_Toc11149"/>
      <w:bookmarkEnd w:id="291"/>
      <w:bookmarkStart w:id="292" w:name="_Toc28742"/>
      <w:bookmarkEnd w:id="292"/>
      <w:bookmarkStart w:id="293" w:name="_Toc15943"/>
      <w:r>
        <w:rPr>
          <w:rFonts w:hint="eastAsia" w:ascii="宋体" w:hAnsi="宋体" w:eastAsia="宋体"/>
          <w:color w:val="000000" w:themeColor="text1"/>
          <w:sz w:val="24"/>
          <w:szCs w:val="24"/>
          <w14:textFill>
            <w14:solidFill>
              <w14:schemeClr w14:val="tx1"/>
            </w14:solidFill>
          </w14:textFill>
        </w:rPr>
        <w:t>三、关于监狱企业（如有）</w:t>
      </w:r>
      <w:bookmarkEnd w:id="293"/>
    </w:p>
    <w:p>
      <w:pPr>
        <w:widowControl/>
        <w:spacing w:line="360" w:lineRule="auto"/>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1、政府采购政策</w:t>
      </w:r>
    </w:p>
    <w:p>
      <w:pPr>
        <w:widowControl/>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财政部、司法部关于政府采购支持监狱企业发展有关问题的通知（财库【2014】68号）</w:t>
      </w:r>
    </w:p>
    <w:p>
      <w:pPr>
        <w:widowControl/>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pPr>
        <w:widowControl/>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p>
    <w:p>
      <w:pPr>
        <w:pStyle w:val="6"/>
        <w:keepLines w:val="0"/>
        <w:widowControl/>
        <w:spacing w:line="360" w:lineRule="auto"/>
        <w:jc w:val="center"/>
        <w:rPr>
          <w:rFonts w:ascii="宋体" w:hAnsi="宋体" w:eastAsia="宋体"/>
          <w:color w:val="000000" w:themeColor="text1"/>
          <w:sz w:val="24"/>
          <w:szCs w:val="24"/>
          <w14:textFill>
            <w14:solidFill>
              <w14:schemeClr w14:val="tx1"/>
            </w14:solidFill>
          </w14:textFill>
        </w:rPr>
      </w:pPr>
      <w:bookmarkStart w:id="294" w:name="_Toc16430"/>
      <w:bookmarkEnd w:id="294"/>
      <w:bookmarkStart w:id="295" w:name="_Toc17427"/>
      <w:bookmarkEnd w:id="295"/>
      <w:bookmarkStart w:id="296" w:name="_Toc11061"/>
      <w:bookmarkEnd w:id="296"/>
      <w:bookmarkStart w:id="297" w:name="_Toc31222"/>
      <w:bookmarkEnd w:id="297"/>
      <w:bookmarkStart w:id="298" w:name="_Toc6120"/>
      <w:bookmarkEnd w:id="298"/>
      <w:bookmarkStart w:id="299" w:name="_Toc13020"/>
      <w:bookmarkEnd w:id="299"/>
      <w:bookmarkStart w:id="300" w:name="_Toc18268"/>
      <w:bookmarkEnd w:id="300"/>
      <w:bookmarkStart w:id="301" w:name="_Toc25936"/>
      <w:bookmarkEnd w:id="301"/>
      <w:bookmarkStart w:id="302" w:name="_Toc4710"/>
      <w:bookmarkEnd w:id="302"/>
      <w:bookmarkStart w:id="303" w:name="_Toc29136"/>
      <w:bookmarkEnd w:id="303"/>
      <w:bookmarkStart w:id="304" w:name="_Toc18807"/>
      <w:bookmarkEnd w:id="304"/>
      <w:bookmarkStart w:id="305" w:name="_Toc23431"/>
      <w:bookmarkEnd w:id="305"/>
      <w:bookmarkStart w:id="306" w:name="_Toc27314"/>
      <w:bookmarkEnd w:id="306"/>
      <w:bookmarkStart w:id="307" w:name="_Toc4163"/>
      <w:bookmarkEnd w:id="307"/>
      <w:bookmarkStart w:id="308" w:name="_Toc797"/>
      <w:bookmarkEnd w:id="308"/>
      <w:bookmarkStart w:id="309" w:name="_Toc23611"/>
      <w:bookmarkEnd w:id="309"/>
      <w:bookmarkStart w:id="310" w:name="_Toc23541"/>
      <w:bookmarkEnd w:id="310"/>
      <w:bookmarkStart w:id="311" w:name="_Toc27643"/>
      <w:bookmarkEnd w:id="311"/>
      <w:bookmarkStart w:id="312" w:name="_Toc22643"/>
      <w:bookmarkEnd w:id="312"/>
      <w:bookmarkStart w:id="313" w:name="_Toc8829"/>
      <w:bookmarkEnd w:id="313"/>
      <w:bookmarkStart w:id="314" w:name="_Toc16088"/>
      <w:bookmarkEnd w:id="314"/>
      <w:bookmarkStart w:id="315" w:name="_Toc16786"/>
      <w:r>
        <w:rPr>
          <w:rFonts w:hint="eastAsia" w:ascii="宋体" w:hAnsi="宋体" w:eastAsia="宋体"/>
          <w:color w:val="000000" w:themeColor="text1"/>
          <w:sz w:val="24"/>
          <w:szCs w:val="24"/>
          <w14:textFill>
            <w14:solidFill>
              <w14:schemeClr w14:val="tx1"/>
            </w14:solidFill>
          </w14:textFill>
        </w:rPr>
        <w:t>四、关于促进残疾人就业的政府采购政策（如有）</w:t>
      </w:r>
      <w:bookmarkEnd w:id="315"/>
    </w:p>
    <w:p>
      <w:pPr>
        <w:widowControl/>
        <w:spacing w:line="360" w:lineRule="auto"/>
        <w:jc w:val="center"/>
        <w:rPr>
          <w:rFonts w:ascii="宋体" w:hAnsi="宋体"/>
          <w:color w:val="000000" w:themeColor="text1"/>
          <w:sz w:val="24"/>
          <w:szCs w:val="24"/>
          <w14:textFill>
            <w14:solidFill>
              <w14:schemeClr w14:val="tx1"/>
            </w14:solidFill>
          </w14:textFill>
        </w:rPr>
      </w:pPr>
      <w:bookmarkStart w:id="316" w:name="sendNo"/>
      <w:bookmarkEnd w:id="316"/>
      <w:r>
        <w:rPr>
          <w:rFonts w:hint="eastAsia" w:ascii="宋体" w:hAnsi="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政府采购政策</w:t>
      </w:r>
    </w:p>
    <w:p>
      <w:pPr>
        <w:widowControl/>
        <w:spacing w:line="360" w:lineRule="auto"/>
        <w:ind w:left="360"/>
        <w:jc w:val="left"/>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关于促进残疾人就业政府采购政策的通知（财库〔2017〕141号）</w:t>
      </w:r>
    </w:p>
    <w:p>
      <w:pPr>
        <w:widowControl/>
        <w:spacing w:line="360" w:lineRule="auto"/>
        <w:jc w:val="center"/>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 xml:space="preserve"> </w:t>
      </w:r>
    </w:p>
    <w:p>
      <w:pPr>
        <w:widowControl/>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pPr>
        <w:widowControl/>
        <w:spacing w:line="360" w:lineRule="auto"/>
        <w:jc w:val="left"/>
        <w:rPr>
          <w:rFonts w:ascii="宋体" w:hAnsi="宋体"/>
          <w:b/>
          <w:color w:val="000000" w:themeColor="text1"/>
          <w:kern w:val="0"/>
          <w:sz w:val="24"/>
          <w:szCs w:val="24"/>
          <w14:textFill>
            <w14:solidFill>
              <w14:schemeClr w14:val="tx1"/>
            </w14:solidFill>
          </w14:textFill>
        </w:rPr>
      </w:pPr>
      <w:bookmarkStart w:id="317" w:name="toDeptId"/>
      <w:bookmarkEnd w:id="317"/>
      <w:r>
        <w:rPr>
          <w:rFonts w:hint="eastAsia" w:ascii="宋体" w:hAnsi="宋体"/>
          <w:b/>
          <w:color w:val="000000" w:themeColor="text1"/>
          <w:kern w:val="0"/>
          <w:sz w:val="24"/>
          <w:szCs w:val="24"/>
          <w14:textFill>
            <w14:solidFill>
              <w14:schemeClr w14:val="tx1"/>
            </w14:solidFill>
          </w14:textFill>
        </w:rPr>
        <w:t>2、附声明函（</w:t>
      </w:r>
      <w:r>
        <w:rPr>
          <w:rFonts w:hint="eastAsia" w:ascii="宋体" w:hAnsi="宋体"/>
          <w:color w:val="000000" w:themeColor="text1"/>
          <w:sz w:val="24"/>
          <w:szCs w:val="24"/>
          <w14:textFill>
            <w14:solidFill>
              <w14:schemeClr w14:val="tx1"/>
            </w14:solidFill>
          </w14:textFill>
        </w:rPr>
        <w:t>无声明函投标报价评审时不予价格扣除优惠</w:t>
      </w:r>
      <w:r>
        <w:rPr>
          <w:rFonts w:hint="eastAsia" w:ascii="宋体" w:hAnsi="宋体"/>
          <w:b/>
          <w:color w:val="000000" w:themeColor="text1"/>
          <w:kern w:val="0"/>
          <w:sz w:val="24"/>
          <w:szCs w:val="24"/>
          <w14:textFill>
            <w14:solidFill>
              <w14:schemeClr w14:val="tx1"/>
            </w14:solidFill>
          </w14:textFill>
        </w:rPr>
        <w:t>）</w:t>
      </w:r>
    </w:p>
    <w:p>
      <w:pPr>
        <w:widowControl/>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pPr>
        <w:widowControl/>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pPr>
        <w:widowControl/>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pPr>
        <w:spacing w:line="360" w:lineRule="auto"/>
        <w:jc w:val="center"/>
        <w:rPr>
          <w:rFonts w:ascii="宋体" w:hAnsi="宋体"/>
          <w:b/>
          <w:color w:val="000000" w:themeColor="text1"/>
          <w:spacing w:val="6"/>
          <w:sz w:val="24"/>
          <w:szCs w:val="24"/>
          <w14:textFill>
            <w14:solidFill>
              <w14:schemeClr w14:val="tx1"/>
            </w14:solidFill>
          </w14:textFill>
        </w:rPr>
      </w:pPr>
      <w:bookmarkStart w:id="318" w:name="OLE_LINK14"/>
      <w:bookmarkEnd w:id="318"/>
      <w:bookmarkStart w:id="319" w:name="OLE_LINK13"/>
      <w:r>
        <w:rPr>
          <w:rFonts w:hint="eastAsia" w:ascii="宋体" w:hAnsi="宋体"/>
          <w:b/>
          <w:color w:val="000000" w:themeColor="text1"/>
          <w:spacing w:val="6"/>
          <w:sz w:val="24"/>
          <w:szCs w:val="24"/>
          <w14:textFill>
            <w14:solidFill>
              <w14:schemeClr w14:val="tx1"/>
            </w14:solidFill>
          </w14:textFill>
        </w:rPr>
        <w:t>残疾人福利性单位声明函</w:t>
      </w:r>
      <w:bookmarkEnd w:id="319"/>
    </w:p>
    <w:p>
      <w:pPr>
        <w:spacing w:line="360" w:lineRule="auto"/>
        <w:rPr>
          <w:rFonts w:ascii="宋体" w:hAnsi="宋体"/>
          <w:b/>
          <w:color w:val="000000" w:themeColor="text1"/>
          <w:spacing w:val="6"/>
          <w:sz w:val="24"/>
          <w:szCs w:val="24"/>
          <w14:textFill>
            <w14:solidFill>
              <w14:schemeClr w14:val="tx1"/>
            </w14:solidFill>
          </w14:textFill>
        </w:rPr>
      </w:pPr>
      <w:r>
        <w:rPr>
          <w:rFonts w:hint="eastAsia" w:ascii="宋体" w:hAnsi="宋体"/>
          <w:b/>
          <w:color w:val="000000" w:themeColor="text1"/>
          <w:spacing w:val="6"/>
          <w:sz w:val="24"/>
          <w:szCs w:val="24"/>
          <w14:textFill>
            <w14:solidFill>
              <w14:schemeClr w14:val="tx1"/>
            </w14:solidFill>
          </w14:textFill>
        </w:rPr>
        <w:t xml:space="preserve"> </w:t>
      </w:r>
    </w:p>
    <w:p>
      <w:pPr>
        <w:spacing w:line="36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szCs w:val="24"/>
          <w14:textFill>
            <w14:solidFill>
              <w14:schemeClr w14:val="tx1"/>
            </w14:solidFill>
          </w14:textFill>
        </w:rPr>
        <w:t>〔2017〕141</w:t>
      </w:r>
      <w:r>
        <w:rPr>
          <w:rFonts w:hint="eastAsia" w:ascii="宋体" w:hAnsi="宋体"/>
          <w:color w:val="000000" w:themeColor="text1"/>
          <w:spacing w:val="6"/>
          <w:sz w:val="24"/>
          <w:szCs w:val="24"/>
          <w14:textFill>
            <w14:solidFill>
              <w14:schemeClr w14:val="tx1"/>
            </w14:solidFill>
          </w14:textFill>
        </w:rPr>
        <w:t>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本单位对上述声明的真实性负责。如有虚假，将依法承担相应责任。</w:t>
      </w:r>
    </w:p>
    <w:p>
      <w:pPr>
        <w:spacing w:line="36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w:t>
      </w:r>
    </w:p>
    <w:p>
      <w:pPr>
        <w:autoSpaceDE w:val="0"/>
        <w:autoSpaceDN w:val="0"/>
        <w:adjustRightInd w:val="0"/>
        <w:spacing w:line="360" w:lineRule="auto"/>
        <w:ind w:left="2601" w:right="-20"/>
        <w:jc w:val="left"/>
        <w:rPr>
          <w:rFonts w:ascii="宋体" w:hAnsi="宋体"/>
          <w:color w:val="000000" w:themeColor="text1"/>
          <w:kern w:val="0"/>
          <w:position w:val="-2"/>
          <w:sz w:val="24"/>
          <w:szCs w:val="24"/>
          <w14:textFill>
            <w14:solidFill>
              <w14:schemeClr w14:val="tx1"/>
            </w14:solidFill>
          </w14:textFill>
        </w:rPr>
      </w:pPr>
      <w:r>
        <w:rPr>
          <w:rFonts w:hint="eastAsia" w:ascii="宋体" w:hAnsi="宋体"/>
          <w:color w:val="000000" w:themeColor="text1"/>
          <w:kern w:val="0"/>
          <w:position w:val="-2"/>
          <w:sz w:val="24"/>
          <w:szCs w:val="24"/>
          <w14:textFill>
            <w14:solidFill>
              <w14:schemeClr w14:val="tx1"/>
            </w14:solidFill>
          </w14:textFill>
        </w:rPr>
        <w:t xml:space="preserve"> </w:t>
      </w:r>
    </w:p>
    <w:p>
      <w:pPr>
        <w:autoSpaceDE w:val="0"/>
        <w:autoSpaceDN w:val="0"/>
        <w:adjustRightInd w:val="0"/>
        <w:spacing w:line="360" w:lineRule="auto"/>
        <w:ind w:left="2601" w:right="-20"/>
        <w:jc w:val="left"/>
        <w:rPr>
          <w:rFonts w:ascii="宋体" w:hAnsi="宋体"/>
          <w:color w:val="000000" w:themeColor="text1"/>
          <w:kern w:val="0"/>
          <w:position w:val="-2"/>
          <w:sz w:val="24"/>
          <w:szCs w:val="24"/>
          <w14:textFill>
            <w14:solidFill>
              <w14:schemeClr w14:val="tx1"/>
            </w14:solidFill>
          </w14:textFill>
        </w:rPr>
      </w:pPr>
      <w:r>
        <w:rPr>
          <w:rFonts w:hint="eastAsia" w:ascii="宋体" w:hAnsi="宋体"/>
          <w:color w:val="000000" w:themeColor="text1"/>
          <w:kern w:val="0"/>
          <w:position w:val="-2"/>
          <w:sz w:val="24"/>
          <w:szCs w:val="24"/>
          <w14:textFill>
            <w14:solidFill>
              <w14:schemeClr w14:val="tx1"/>
            </w14:solidFill>
          </w14:textFill>
        </w:rPr>
        <w:t xml:space="preserve"> </w:t>
      </w:r>
    </w:p>
    <w:p>
      <w:pPr>
        <w:autoSpaceDE w:val="0"/>
        <w:autoSpaceDN w:val="0"/>
        <w:adjustRightInd w:val="0"/>
        <w:spacing w:line="360" w:lineRule="auto"/>
        <w:ind w:firstLine="4800" w:firstLineChars="20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企业名称（盖章）：</w:t>
      </w:r>
    </w:p>
    <w:p>
      <w:pPr>
        <w:autoSpaceDE w:val="0"/>
        <w:autoSpaceDN w:val="0"/>
        <w:adjustRightInd w:val="0"/>
        <w:spacing w:line="360" w:lineRule="auto"/>
        <w:ind w:left="2601" w:right="-20" w:firstLine="2160" w:firstLineChars="900"/>
        <w:jc w:val="left"/>
        <w:rPr>
          <w:rFonts w:ascii="宋体" w:hAnsi="宋体"/>
          <w:color w:val="000000" w:themeColor="text1"/>
          <w:kern w:val="0"/>
          <w:position w:val="-2"/>
          <w:sz w:val="24"/>
          <w:szCs w:val="24"/>
          <w14:textFill>
            <w14:solidFill>
              <w14:schemeClr w14:val="tx1"/>
            </w14:solidFill>
          </w14:textFill>
        </w:rPr>
      </w:pPr>
      <w:r>
        <w:rPr>
          <w:rFonts w:hint="eastAsia" w:ascii="宋体" w:hAnsi="宋体"/>
          <w:color w:val="000000" w:themeColor="text1"/>
          <w:kern w:val="0"/>
          <w:position w:val="-2"/>
          <w:sz w:val="24"/>
          <w:szCs w:val="24"/>
          <w:u w:val="single"/>
          <w14:textFill>
            <w14:solidFill>
              <w14:schemeClr w14:val="tx1"/>
            </w14:solidFill>
          </w14:textFill>
        </w:rPr>
        <w:t xml:space="preserve">      </w:t>
      </w:r>
      <w:r>
        <w:rPr>
          <w:rFonts w:hint="eastAsia" w:ascii="宋体" w:hAnsi="宋体"/>
          <w:color w:val="000000" w:themeColor="text1"/>
          <w:kern w:val="0"/>
          <w:position w:val="-2"/>
          <w:sz w:val="24"/>
          <w:szCs w:val="24"/>
          <w14:textFill>
            <w14:solidFill>
              <w14:schemeClr w14:val="tx1"/>
            </w14:solidFill>
          </w14:textFill>
        </w:rPr>
        <w:t>年</w:t>
      </w:r>
      <w:r>
        <w:rPr>
          <w:rFonts w:hint="eastAsia" w:ascii="宋体" w:hAnsi="宋体"/>
          <w:color w:val="000000" w:themeColor="text1"/>
          <w:kern w:val="0"/>
          <w:position w:val="-2"/>
          <w:sz w:val="24"/>
          <w:szCs w:val="24"/>
          <w:u w:val="single"/>
          <w14:textFill>
            <w14:solidFill>
              <w14:schemeClr w14:val="tx1"/>
            </w14:solidFill>
          </w14:textFill>
        </w:rPr>
        <w:t xml:space="preserve">     </w:t>
      </w:r>
      <w:r>
        <w:rPr>
          <w:rFonts w:hint="eastAsia" w:ascii="宋体" w:hAnsi="宋体"/>
          <w:color w:val="000000" w:themeColor="text1"/>
          <w:kern w:val="0"/>
          <w:position w:val="-2"/>
          <w:sz w:val="24"/>
          <w:szCs w:val="24"/>
          <w14:textFill>
            <w14:solidFill>
              <w14:schemeClr w14:val="tx1"/>
            </w14:solidFill>
          </w14:textFill>
        </w:rPr>
        <w:t>月</w:t>
      </w:r>
      <w:r>
        <w:rPr>
          <w:rFonts w:hint="eastAsia" w:ascii="宋体" w:hAnsi="宋体"/>
          <w:color w:val="000000" w:themeColor="text1"/>
          <w:kern w:val="0"/>
          <w:position w:val="-2"/>
          <w:sz w:val="24"/>
          <w:szCs w:val="24"/>
          <w:u w:val="single"/>
          <w14:textFill>
            <w14:solidFill>
              <w14:schemeClr w14:val="tx1"/>
            </w14:solidFill>
          </w14:textFill>
        </w:rPr>
        <w:t xml:space="preserve">    </w:t>
      </w:r>
      <w:r>
        <w:rPr>
          <w:rFonts w:hint="eastAsia" w:ascii="宋体" w:hAnsi="宋体"/>
          <w:color w:val="000000" w:themeColor="text1"/>
          <w:kern w:val="0"/>
          <w:position w:val="-2"/>
          <w:sz w:val="24"/>
          <w:szCs w:val="24"/>
          <w14:textFill>
            <w14:solidFill>
              <w14:schemeClr w14:val="tx1"/>
            </w14:solidFill>
          </w14:textFill>
        </w:rPr>
        <w:t>日</w:t>
      </w:r>
    </w:p>
    <w:p>
      <w:pPr>
        <w:pStyle w:val="4"/>
        <w:widowControl/>
        <w:spacing w:line="360" w:lineRule="auto"/>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pStyle w:val="6"/>
        <w:keepLines w:val="0"/>
        <w:widowControl/>
        <w:spacing w:line="360" w:lineRule="auto"/>
        <w:jc w:val="center"/>
        <w:rPr>
          <w:rFonts w:ascii="宋体" w:hAnsi="宋体" w:eastAsia="宋体"/>
          <w:color w:val="000000" w:themeColor="text1"/>
          <w:sz w:val="24"/>
          <w:szCs w:val="24"/>
          <w14:textFill>
            <w14:solidFill>
              <w14:schemeClr w14:val="tx1"/>
            </w14:solidFill>
          </w14:textFill>
        </w:rPr>
      </w:pPr>
      <w:bookmarkStart w:id="320" w:name="_Toc11279"/>
      <w:bookmarkEnd w:id="320"/>
      <w:bookmarkStart w:id="321" w:name="_Toc7246"/>
      <w:bookmarkEnd w:id="321"/>
      <w:bookmarkStart w:id="322" w:name="_Toc29905"/>
      <w:bookmarkEnd w:id="322"/>
      <w:bookmarkStart w:id="323" w:name="_Toc26823"/>
      <w:bookmarkEnd w:id="323"/>
      <w:bookmarkStart w:id="324" w:name="_Toc5660"/>
      <w:bookmarkEnd w:id="324"/>
      <w:bookmarkStart w:id="325" w:name="_Toc8358"/>
      <w:bookmarkEnd w:id="325"/>
      <w:bookmarkStart w:id="326" w:name="_Toc14052"/>
      <w:bookmarkEnd w:id="326"/>
      <w:bookmarkStart w:id="327" w:name="_Toc10783"/>
      <w:bookmarkEnd w:id="327"/>
      <w:bookmarkStart w:id="328" w:name="_Toc31728"/>
      <w:r>
        <w:rPr>
          <w:rFonts w:hint="eastAsia" w:ascii="宋体" w:hAnsi="宋体" w:eastAsia="宋体"/>
          <w:color w:val="000000" w:themeColor="text1"/>
          <w:sz w:val="24"/>
          <w:szCs w:val="24"/>
          <w14:textFill>
            <w14:solidFill>
              <w14:schemeClr w14:val="tx1"/>
            </w14:solidFill>
          </w14:textFill>
        </w:rPr>
        <w:t xml:space="preserve"> </w:t>
      </w:r>
      <w:bookmarkEnd w:id="328"/>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6"/>
        <w:keepLines w:val="0"/>
        <w:widowControl/>
        <w:spacing w:line="360" w:lineRule="auto"/>
        <w:jc w:val="center"/>
        <w:rPr>
          <w:rFonts w:ascii="宋体" w:hAnsi="宋体" w:eastAsia="宋体"/>
          <w:b w:val="0"/>
          <w:bCs w:val="0"/>
          <w:color w:val="000000" w:themeColor="text1"/>
          <w:sz w:val="24"/>
          <w:szCs w:val="24"/>
          <w14:textFill>
            <w14:solidFill>
              <w14:schemeClr w14:val="tx1"/>
            </w14:solidFill>
          </w14:textFill>
        </w:rPr>
      </w:pPr>
      <w:bookmarkStart w:id="329" w:name="_Toc24854"/>
      <w:bookmarkEnd w:id="329"/>
      <w:r>
        <w:rPr>
          <w:rFonts w:hint="eastAsia" w:ascii="宋体" w:hAnsi="宋体" w:eastAsia="宋体"/>
          <w:color w:val="000000" w:themeColor="text1"/>
          <w:sz w:val="24"/>
          <w:szCs w:val="24"/>
          <w14:textFill>
            <w14:solidFill>
              <w14:schemeClr w14:val="tx1"/>
            </w14:solidFill>
          </w14:textFill>
        </w:rPr>
        <w:t>五、其他政府采购政策及证明材料（如有）</w:t>
      </w:r>
    </w:p>
    <w:p>
      <w:pPr>
        <w:spacing w:line="360" w:lineRule="auto"/>
        <w:ind w:firstLine="506" w:firstLineChars="200"/>
        <w:jc w:val="center"/>
        <w:rPr>
          <w:rFonts w:ascii="宋体" w:hAnsi="宋体"/>
          <w:b/>
          <w:color w:val="000000" w:themeColor="text1"/>
          <w:spacing w:val="6"/>
          <w:sz w:val="24"/>
          <w:szCs w:val="24"/>
          <w14:textFill>
            <w14:solidFill>
              <w14:schemeClr w14:val="tx1"/>
            </w14:solidFill>
          </w14:textFill>
        </w:rPr>
      </w:pPr>
      <w:r>
        <w:rPr>
          <w:rFonts w:hint="eastAsia" w:ascii="宋体" w:hAnsi="宋体"/>
          <w:b/>
          <w:color w:val="000000" w:themeColor="text1"/>
          <w:spacing w:val="6"/>
          <w:sz w:val="24"/>
          <w:szCs w:val="24"/>
          <w14:textFill>
            <w14:solidFill>
              <w14:schemeClr w14:val="tx1"/>
            </w14:solidFill>
          </w14:textFill>
        </w:rPr>
        <w:t>银政易贷</w:t>
      </w:r>
    </w:p>
    <w:p>
      <w:pPr>
        <w:spacing w:line="36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w:t>
      </w:r>
    </w:p>
    <w:p>
      <w:pPr>
        <w:spacing w:line="480" w:lineRule="auto"/>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尊敬的政府采购供应商： </w:t>
      </w:r>
    </w:p>
    <w:p>
      <w:pPr>
        <w:spacing w:line="48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您好！</w:t>
      </w:r>
    </w:p>
    <w:p>
      <w:pPr>
        <w:spacing w:line="48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欢迎您参与平顶山市政府采购业务！感谢您对我区经济社会发展做出的贡献！</w:t>
      </w:r>
    </w:p>
    <w:p>
      <w:pPr>
        <w:spacing w:line="48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为进一步优化平顶山市营商环境，切实缓解中小微企业融资难、融资贵的问题，2018年平顶山市财政局与平顶山银行签署战略合作协议，帮助在政府采购项目中中标的供应商解决融资问题，平顶山银行推出了用于借款人履行政府采购合同的 “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pPr>
        <w:spacing w:line="48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目前，平顶山银行和市政府采购合同融资工作已全面开始，如有意向享受我市政府采购合同融资政策，请登录平顶山市政府采购网（http：//pingdingshan.hngp.gov.cn）或拨打平顶山银行联系电话0375-2980538自主选择融资服务机构，按程序进行融资。</w:t>
      </w:r>
    </w:p>
    <w:p>
      <w:pPr>
        <w:spacing w:line="480" w:lineRule="auto"/>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期待您一如既往支持平顶山市政府采购工作！</w:t>
      </w:r>
    </w:p>
    <w:p>
      <w:pPr>
        <w:widowControl/>
        <w:jc w:val="left"/>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br w:type="page"/>
      </w:r>
    </w:p>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河南省政府采购合同融资政策告知函</w:t>
      </w:r>
    </w:p>
    <w:p>
      <w:pPr>
        <w:widowControl/>
        <w:adjustRightInd w:val="0"/>
        <w:snapToGrid w:val="0"/>
        <w:spacing w:before="156" w:beforeLines="50"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各供应商：</w:t>
      </w:r>
    </w:p>
    <w:p>
      <w:pPr>
        <w:widowControl/>
        <w:adjustRightInd w:val="0"/>
        <w:snapToGrid w:val="0"/>
        <w:spacing w:before="156" w:beforeLines="50"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欢迎贵公司参与河南省政府采购活动！</w:t>
      </w:r>
    </w:p>
    <w:p>
      <w:pPr>
        <w:widowControl/>
        <w:adjustRightInd w:val="0"/>
        <w:snapToGrid w:val="0"/>
        <w:spacing w:before="156" w:beforeLines="50"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adjustRightInd w:val="0"/>
        <w:snapToGrid w:val="0"/>
        <w:spacing w:before="156" w:beforeLines="50"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贷款渠道和提供贷款的金融机构，可在河南省政府采购网“河南省政府采购合同融资平台”查询联系。</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p>
    <w:p>
      <w:pPr>
        <w:pStyle w:val="10"/>
        <w:kinsoku w:val="0"/>
        <w:overflowPunct w:val="0"/>
        <w:autoSpaceDE w:val="0"/>
        <w:autoSpaceDN w:val="0"/>
        <w:adjustRightInd w:val="0"/>
        <w:snapToGrid w:val="0"/>
        <w:spacing w:line="360" w:lineRule="auto"/>
        <w:ind w:left="48" w:leftChars="23" w:firstLine="420" w:firstLineChars="200"/>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2"/>
        <w:ind w:firstLine="0" w:firstLineChars="0"/>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kinsoku w:val="0"/>
        <w:overflowPunct w:val="0"/>
        <w:autoSpaceDE w:val="0"/>
        <w:autoSpaceDN w:val="0"/>
        <w:adjustRightInd w:val="0"/>
        <w:snapToGrid w:val="0"/>
        <w:spacing w:line="360" w:lineRule="auto"/>
        <w:jc w:val="center"/>
        <w:outlineLvl w:val="0"/>
        <w:rPr>
          <w:rFonts w:ascii="宋体" w:hAnsi="宋体"/>
          <w:b/>
          <w:bCs/>
          <w:color w:val="000000" w:themeColor="text1"/>
          <w:sz w:val="30"/>
          <w:szCs w:val="30"/>
          <w14:textFill>
            <w14:solidFill>
              <w14:schemeClr w14:val="tx1"/>
            </w14:solidFill>
          </w14:textFill>
        </w:rPr>
      </w:pPr>
      <w:bookmarkStart w:id="330" w:name="_Toc12319"/>
      <w:bookmarkEnd w:id="330"/>
      <w:r>
        <w:rPr>
          <w:rFonts w:hint="eastAsia" w:ascii="宋体" w:hAnsi="宋体"/>
          <w:b/>
          <w:bCs/>
          <w:color w:val="000000" w:themeColor="text1"/>
          <w:sz w:val="30"/>
          <w:szCs w:val="30"/>
          <w14:textFill>
            <w14:solidFill>
              <w14:schemeClr w14:val="tx1"/>
            </w14:solidFill>
          </w14:textFill>
        </w:rPr>
        <w:t>全流程电子化交易注意事项</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化交易项目投标文件是投标人、供应商（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一、电子化投标</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（一）网上投标保证金的缴纳</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1、递交形式: 投标人的投标保证金必须通过投标人基本账户以转账或电汇的形式缴纳（账户必须是已加入平顶山市公共资源交易投标人或供应商诚信库中的账户）。</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3、投标人在成功绑定后，将系统生成的回执单图片制作在投标文件中，作为缴纳保证金的依据。</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4、投标人应仔细阅读操作手册并充分考虑异地跨行转账到账时间等因素，因投标人操作不当或银行到账时间等问题造成保证金无法正常绑定影响投标的，由投标人自行承担后果。</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5、未中标投标人的投标保证金在项目结束后，由中介服务机构向中心项目负责人提出退款申请，项目负责人同意并经财务部门核对后，通过中心交易平台退还给投标人。</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（二）电子化投标文件的签章</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1、投标人在生成电子化投标文件后，应对电子化投标文件进行签章，未进行签章的视为无效投标。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（三）电子化投标文件的格式及上传投标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pPr>
        <w:kinsoku w:val="0"/>
        <w:overflowPunct w:val="0"/>
        <w:autoSpaceDE w:val="0"/>
        <w:autoSpaceDN w:val="0"/>
        <w:adjustRightInd w:val="0"/>
        <w:snapToGrid w:val="0"/>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注：投标人投报多个标段的，根据标段制作各个标段的投标文件后上传</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2、电子化投标文件应在投标截止时间前成功上传至平顶山市公共资源电子化交易系统。至投标截止时间止，仍未上传成功的电子化投标文件将不予接收。</w:t>
      </w:r>
    </w:p>
    <w:p>
      <w:pPr>
        <w:kinsoku w:val="0"/>
        <w:overflowPunct w:val="0"/>
        <w:autoSpaceDE w:val="0"/>
        <w:autoSpaceDN w:val="0"/>
        <w:adjustRightInd w:val="0"/>
        <w:snapToGrid w:val="0"/>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kinsoku w:val="0"/>
        <w:overflowPunct w:val="0"/>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（四）电子化项目开标、解密、唱标、评标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1、电子化投标文件采用双重加密方式。开标时，首先由投标人使用CA证书，在规定时间内对其电子化投标文件进行首次解密，投标人解密完成后，再由中介服务机构使用CA证书对投标文件进行再次解密。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2、电子化投标文件解密异常的处理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如出现投标人的电子投标文件无法解密的情况，投标人应及时联系中介服务机构说明。投标文件解密异常，按以下步骤进行处理：</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（1）首先由技术人员进行问题排查。</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（2）经技术人员排查后，是投标人文件自身问题导致投标文件无法解密的，该投标文件将不予接收、解密和唱标，开标会议继续进行。</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3、待所有投标人投标文件解密完成后，由中介服务机构操作，对所有已解密投标文件进行唱标。</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kinsoku w:val="0"/>
        <w:overflowPunct w:val="0"/>
        <w:autoSpaceDE w:val="0"/>
        <w:autoSpaceDN w:val="0"/>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5、如评标委员会对需要回复的投标人回复内容有异议的，经过几次回复仍不清楚的，需在监督下进行免提电话进行质疑。</w:t>
      </w:r>
    </w:p>
    <w:p>
      <w:pPr>
        <w:pStyle w:val="10"/>
        <w:kinsoku w:val="0"/>
        <w:overflowPunct w:val="0"/>
        <w:autoSpaceDE w:val="0"/>
        <w:autoSpaceDN w:val="0"/>
        <w:adjustRightInd w:val="0"/>
        <w:snapToGrid w:val="0"/>
        <w:spacing w:line="360" w:lineRule="auto"/>
        <w:ind w:left="48" w:leftChars="23" w:firstLine="420" w:firstLineChars="200"/>
        <w:rPr>
          <w:rFonts w:ascii="宋体" w:hAnsi="宋体"/>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、评标时如因系统异常、停电、电脑病毒、网络堵塞等原因无法正常进行的，由技术人员排查解决，短时间无法解决的，经监督部门同意后，暂停评标活动，待问题解决后继续评标。</w:t>
      </w:r>
    </w:p>
    <w:p>
      <w:pPr>
        <w:pStyle w:val="10"/>
        <w:kinsoku w:val="0"/>
        <w:overflowPunct w:val="0"/>
        <w:autoSpaceDE w:val="0"/>
        <w:autoSpaceDN w:val="0"/>
        <w:adjustRightInd w:val="0"/>
        <w:snapToGrid w:val="0"/>
        <w:spacing w:line="360" w:lineRule="auto"/>
        <w:ind w:left="48" w:leftChars="23" w:firstLine="420" w:firstLineChars="200"/>
        <w:rPr>
          <w:rFonts w:ascii="宋体" w:hAnsi="宋体"/>
          <w:color w:val="000000" w:themeColor="text1"/>
          <w14:textFill>
            <w14:solidFill>
              <w14:schemeClr w14:val="tx1"/>
            </w14:solidFill>
          </w14:textFill>
        </w:rPr>
      </w:pPr>
    </w:p>
    <w:p>
      <w:pPr>
        <w:pStyle w:val="10"/>
        <w:kinsoku w:val="0"/>
        <w:overflowPunct w:val="0"/>
        <w:autoSpaceDE w:val="0"/>
        <w:autoSpaceDN w:val="0"/>
        <w:adjustRightInd w:val="0"/>
        <w:snapToGrid w:val="0"/>
        <w:spacing w:line="360" w:lineRule="auto"/>
        <w:ind w:left="48" w:leftChars="23" w:firstLine="420" w:firstLineChars="200"/>
        <w:rPr>
          <w:rFonts w:ascii="宋体" w:hAnsi="宋体"/>
          <w:color w:val="000000" w:themeColor="text1"/>
          <w14:textFill>
            <w14:solidFill>
              <w14:schemeClr w14:val="tx1"/>
            </w14:solidFill>
          </w14:textFill>
        </w:rPr>
      </w:pPr>
    </w:p>
    <w:p>
      <w:pPr>
        <w:pStyle w:val="10"/>
        <w:kinsoku w:val="0"/>
        <w:overflowPunct w:val="0"/>
        <w:autoSpaceDE w:val="0"/>
        <w:autoSpaceDN w:val="0"/>
        <w:adjustRightInd w:val="0"/>
        <w:snapToGrid w:val="0"/>
        <w:spacing w:line="360" w:lineRule="auto"/>
        <w:ind w:left="48" w:leftChars="23" w:firstLine="420" w:firstLineChars="200"/>
        <w:rPr>
          <w:rFonts w:ascii="宋体" w:hAnsi="宋体"/>
          <w:color w:val="000000" w:themeColor="text1"/>
          <w14:textFill>
            <w14:solidFill>
              <w14:schemeClr w14:val="tx1"/>
            </w14:solidFill>
          </w14:textFill>
        </w:rPr>
      </w:pPr>
    </w:p>
    <w:p>
      <w:pPr>
        <w:pStyle w:val="10"/>
        <w:kinsoku w:val="0"/>
        <w:overflowPunct w:val="0"/>
        <w:autoSpaceDE w:val="0"/>
        <w:autoSpaceDN w:val="0"/>
        <w:adjustRightInd w:val="0"/>
        <w:snapToGrid w:val="0"/>
        <w:spacing w:line="360" w:lineRule="auto"/>
        <w:ind w:left="48" w:leftChars="23" w:firstLine="420" w:firstLineChars="200"/>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single"/>
      </w:rPr>
    </w:pPr>
    <w:r>
      <w:rPr>
        <w:rFonts w:hint="eastAsia"/>
        <w:u w:val="single"/>
      </w:rPr>
      <w:t xml:space="preserve">河南驰翔工程管理有限公司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single"/>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69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69</w:t>
                    </w:r>
                    <w:r>
                      <w:fldChar w:fldCharType="end"/>
                    </w:r>
                  </w:p>
                </w:txbxContent>
              </v:textbox>
            </v:shape>
          </w:pict>
        </mc:Fallback>
      </mc:AlternateContent>
    </w:r>
    <w:r>
      <w:rPr>
        <w:rFonts w:hint="eastAsia"/>
        <w:u w:val="single"/>
      </w:rPr>
      <w:t xml:space="preserve">河南驰翔工程管理有限公司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left"/>
    </w:pPr>
    <w:r>
      <w:rPr>
        <w:rFonts w:hint="eastAsia" w:ascii="宋体" w:hAnsi="宋体"/>
      </w:rPr>
      <w:t>宝丰县第一高级中学人行道、广场、围墙翻新工程</w:t>
    </w:r>
    <w:r>
      <w:rPr>
        <w:rFonts w:hint="eastAsia" w:ascii="宋体" w:hAnsi="宋体"/>
        <w:lang w:val="en-US" w:eastAsia="zh-CN"/>
      </w:rPr>
      <w:t>项目</w:t>
    </w:r>
    <w:r>
      <w:rPr>
        <w:rFonts w:hint="eastAsia" w:ascii="宋体" w:hAnsi="宋体"/>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73C3F"/>
    <w:multiLevelType w:val="singleLevel"/>
    <w:tmpl w:val="6A373C3F"/>
    <w:lvl w:ilvl="0" w:tentative="0">
      <w:start w:val="1"/>
      <w:numFmt w:val="chineseCounting"/>
      <w:suff w:val="nothing"/>
      <w:lvlText w:val="（%1）"/>
      <w:lvlJc w:val="left"/>
      <w:pPr>
        <w:ind w:left="280" w:firstLine="0"/>
      </w:pPr>
    </w:lvl>
  </w:abstractNum>
  <w:abstractNum w:abstractNumId="1">
    <w:nsid w:val="7CC01BE5"/>
    <w:multiLevelType w:val="multilevel"/>
    <w:tmpl w:val="7CC01BE5"/>
    <w:lvl w:ilvl="0" w:tentative="0">
      <w:start w:val="7"/>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N2NjMTVlN2IxMzY2ZWJhYTBlOTM4MmVhZWQ4MzcifQ=="/>
  </w:docVars>
  <w:rsids>
    <w:rsidRoot w:val="00AB7678"/>
    <w:rsid w:val="000043A2"/>
    <w:rsid w:val="00010F54"/>
    <w:rsid w:val="00023FAF"/>
    <w:rsid w:val="00025CF0"/>
    <w:rsid w:val="00033E19"/>
    <w:rsid w:val="000400F9"/>
    <w:rsid w:val="00041557"/>
    <w:rsid w:val="0005751E"/>
    <w:rsid w:val="000673C0"/>
    <w:rsid w:val="00067BE3"/>
    <w:rsid w:val="000722FE"/>
    <w:rsid w:val="00096F1B"/>
    <w:rsid w:val="000D53D7"/>
    <w:rsid w:val="000E564A"/>
    <w:rsid w:val="000E6438"/>
    <w:rsid w:val="000F4CBC"/>
    <w:rsid w:val="000F54A6"/>
    <w:rsid w:val="00114C63"/>
    <w:rsid w:val="0013248A"/>
    <w:rsid w:val="00140915"/>
    <w:rsid w:val="00153829"/>
    <w:rsid w:val="00154CD2"/>
    <w:rsid w:val="001636F8"/>
    <w:rsid w:val="00174FCB"/>
    <w:rsid w:val="001852C1"/>
    <w:rsid w:val="001870A7"/>
    <w:rsid w:val="00187499"/>
    <w:rsid w:val="001C5ED1"/>
    <w:rsid w:val="001F0C5E"/>
    <w:rsid w:val="001F40DB"/>
    <w:rsid w:val="002138D3"/>
    <w:rsid w:val="00214C0B"/>
    <w:rsid w:val="00221F36"/>
    <w:rsid w:val="00234D47"/>
    <w:rsid w:val="00236469"/>
    <w:rsid w:val="002439FA"/>
    <w:rsid w:val="00246948"/>
    <w:rsid w:val="00264225"/>
    <w:rsid w:val="002C02F1"/>
    <w:rsid w:val="002E60C6"/>
    <w:rsid w:val="002F6961"/>
    <w:rsid w:val="00300418"/>
    <w:rsid w:val="00300AE9"/>
    <w:rsid w:val="00310CCB"/>
    <w:rsid w:val="003233AB"/>
    <w:rsid w:val="003236C2"/>
    <w:rsid w:val="0033625F"/>
    <w:rsid w:val="00341E47"/>
    <w:rsid w:val="00352D2F"/>
    <w:rsid w:val="00353E72"/>
    <w:rsid w:val="003571A1"/>
    <w:rsid w:val="0036356C"/>
    <w:rsid w:val="00374344"/>
    <w:rsid w:val="00382505"/>
    <w:rsid w:val="0038704B"/>
    <w:rsid w:val="00387B00"/>
    <w:rsid w:val="00392E59"/>
    <w:rsid w:val="00397CED"/>
    <w:rsid w:val="003B6CB0"/>
    <w:rsid w:val="003D27E0"/>
    <w:rsid w:val="003E0AC4"/>
    <w:rsid w:val="003E472A"/>
    <w:rsid w:val="004034C2"/>
    <w:rsid w:val="00411357"/>
    <w:rsid w:val="00426E40"/>
    <w:rsid w:val="004308C7"/>
    <w:rsid w:val="00441EC2"/>
    <w:rsid w:val="0046119B"/>
    <w:rsid w:val="004875AE"/>
    <w:rsid w:val="0049218B"/>
    <w:rsid w:val="004A07EF"/>
    <w:rsid w:val="004B7BD1"/>
    <w:rsid w:val="004C0F9C"/>
    <w:rsid w:val="004D2405"/>
    <w:rsid w:val="004D615B"/>
    <w:rsid w:val="004E1854"/>
    <w:rsid w:val="004F3842"/>
    <w:rsid w:val="004F41CB"/>
    <w:rsid w:val="004F54F6"/>
    <w:rsid w:val="00513ACD"/>
    <w:rsid w:val="00513B58"/>
    <w:rsid w:val="00514C00"/>
    <w:rsid w:val="00522B12"/>
    <w:rsid w:val="005239A4"/>
    <w:rsid w:val="00541E0C"/>
    <w:rsid w:val="005436A6"/>
    <w:rsid w:val="00544919"/>
    <w:rsid w:val="00553622"/>
    <w:rsid w:val="00557C61"/>
    <w:rsid w:val="00574C97"/>
    <w:rsid w:val="00586E6F"/>
    <w:rsid w:val="00594447"/>
    <w:rsid w:val="005A05D1"/>
    <w:rsid w:val="005E6E3B"/>
    <w:rsid w:val="006235D9"/>
    <w:rsid w:val="006305AE"/>
    <w:rsid w:val="00650F5F"/>
    <w:rsid w:val="00652225"/>
    <w:rsid w:val="006522CD"/>
    <w:rsid w:val="00652B7F"/>
    <w:rsid w:val="006A21AD"/>
    <w:rsid w:val="006C1E57"/>
    <w:rsid w:val="006C41D3"/>
    <w:rsid w:val="006C7103"/>
    <w:rsid w:val="007155F6"/>
    <w:rsid w:val="0078373E"/>
    <w:rsid w:val="007B49AD"/>
    <w:rsid w:val="007E0D49"/>
    <w:rsid w:val="008311FA"/>
    <w:rsid w:val="008478AB"/>
    <w:rsid w:val="00850C43"/>
    <w:rsid w:val="00850C9F"/>
    <w:rsid w:val="00860339"/>
    <w:rsid w:val="008632ED"/>
    <w:rsid w:val="00880F50"/>
    <w:rsid w:val="00892234"/>
    <w:rsid w:val="00895999"/>
    <w:rsid w:val="008A4376"/>
    <w:rsid w:val="008A7DFB"/>
    <w:rsid w:val="008B77DC"/>
    <w:rsid w:val="008C487A"/>
    <w:rsid w:val="008D147A"/>
    <w:rsid w:val="008D45D3"/>
    <w:rsid w:val="008D5E4C"/>
    <w:rsid w:val="008D64B1"/>
    <w:rsid w:val="00901CAD"/>
    <w:rsid w:val="0091166D"/>
    <w:rsid w:val="00914755"/>
    <w:rsid w:val="00917130"/>
    <w:rsid w:val="00922734"/>
    <w:rsid w:val="00927052"/>
    <w:rsid w:val="0093777D"/>
    <w:rsid w:val="009435A9"/>
    <w:rsid w:val="00946CE7"/>
    <w:rsid w:val="00964E8C"/>
    <w:rsid w:val="00970225"/>
    <w:rsid w:val="00976B3F"/>
    <w:rsid w:val="009A586E"/>
    <w:rsid w:val="009A70FD"/>
    <w:rsid w:val="009B30ED"/>
    <w:rsid w:val="009B6215"/>
    <w:rsid w:val="009B7795"/>
    <w:rsid w:val="009C2321"/>
    <w:rsid w:val="009E13F2"/>
    <w:rsid w:val="00A072B5"/>
    <w:rsid w:val="00A22628"/>
    <w:rsid w:val="00A3733A"/>
    <w:rsid w:val="00A43062"/>
    <w:rsid w:val="00A82DAD"/>
    <w:rsid w:val="00A97820"/>
    <w:rsid w:val="00AA2118"/>
    <w:rsid w:val="00AA7951"/>
    <w:rsid w:val="00AB3349"/>
    <w:rsid w:val="00AB7678"/>
    <w:rsid w:val="00AD1FA8"/>
    <w:rsid w:val="00AD2294"/>
    <w:rsid w:val="00AF3DCB"/>
    <w:rsid w:val="00B0512F"/>
    <w:rsid w:val="00B2320E"/>
    <w:rsid w:val="00B451AA"/>
    <w:rsid w:val="00B521BE"/>
    <w:rsid w:val="00B653D0"/>
    <w:rsid w:val="00B66359"/>
    <w:rsid w:val="00B74232"/>
    <w:rsid w:val="00B774F4"/>
    <w:rsid w:val="00BD6861"/>
    <w:rsid w:val="00BE1C37"/>
    <w:rsid w:val="00BE509B"/>
    <w:rsid w:val="00BF5D21"/>
    <w:rsid w:val="00C064E0"/>
    <w:rsid w:val="00C07398"/>
    <w:rsid w:val="00C1601C"/>
    <w:rsid w:val="00C23640"/>
    <w:rsid w:val="00C26C13"/>
    <w:rsid w:val="00C41294"/>
    <w:rsid w:val="00C510A7"/>
    <w:rsid w:val="00C7442C"/>
    <w:rsid w:val="00C8540B"/>
    <w:rsid w:val="00C953E0"/>
    <w:rsid w:val="00CA13F7"/>
    <w:rsid w:val="00CC2BDF"/>
    <w:rsid w:val="00CD321C"/>
    <w:rsid w:val="00CD5B53"/>
    <w:rsid w:val="00CE5F54"/>
    <w:rsid w:val="00D04B0A"/>
    <w:rsid w:val="00D05FD7"/>
    <w:rsid w:val="00D13D4A"/>
    <w:rsid w:val="00D14CB1"/>
    <w:rsid w:val="00D20DFD"/>
    <w:rsid w:val="00D30205"/>
    <w:rsid w:val="00D35253"/>
    <w:rsid w:val="00D50E8C"/>
    <w:rsid w:val="00D555B2"/>
    <w:rsid w:val="00D572AD"/>
    <w:rsid w:val="00D67324"/>
    <w:rsid w:val="00D85BA5"/>
    <w:rsid w:val="00D93E2E"/>
    <w:rsid w:val="00DA7478"/>
    <w:rsid w:val="00DE4267"/>
    <w:rsid w:val="00DE4F89"/>
    <w:rsid w:val="00DF084C"/>
    <w:rsid w:val="00E05D01"/>
    <w:rsid w:val="00E05D84"/>
    <w:rsid w:val="00E35AB6"/>
    <w:rsid w:val="00E42F8B"/>
    <w:rsid w:val="00E43780"/>
    <w:rsid w:val="00E43AFA"/>
    <w:rsid w:val="00E65DD9"/>
    <w:rsid w:val="00E70351"/>
    <w:rsid w:val="00E75DB5"/>
    <w:rsid w:val="00E90A20"/>
    <w:rsid w:val="00E94D70"/>
    <w:rsid w:val="00EB6250"/>
    <w:rsid w:val="00EE39B4"/>
    <w:rsid w:val="00F00374"/>
    <w:rsid w:val="00F00A79"/>
    <w:rsid w:val="00F02C03"/>
    <w:rsid w:val="00F05AA2"/>
    <w:rsid w:val="00F12246"/>
    <w:rsid w:val="00F14400"/>
    <w:rsid w:val="00F20167"/>
    <w:rsid w:val="00F2265B"/>
    <w:rsid w:val="00F25F35"/>
    <w:rsid w:val="00F44427"/>
    <w:rsid w:val="00F46579"/>
    <w:rsid w:val="00F64C6B"/>
    <w:rsid w:val="00F66C6C"/>
    <w:rsid w:val="00F751F8"/>
    <w:rsid w:val="00FA07DF"/>
    <w:rsid w:val="00FA33DC"/>
    <w:rsid w:val="00FF65BD"/>
    <w:rsid w:val="01A76078"/>
    <w:rsid w:val="07E86502"/>
    <w:rsid w:val="087D3E5F"/>
    <w:rsid w:val="0F020524"/>
    <w:rsid w:val="0F2E3AE0"/>
    <w:rsid w:val="147768AB"/>
    <w:rsid w:val="18CA152F"/>
    <w:rsid w:val="1F7A4639"/>
    <w:rsid w:val="2EEA74DF"/>
    <w:rsid w:val="32DB0299"/>
    <w:rsid w:val="3C084498"/>
    <w:rsid w:val="43366E18"/>
    <w:rsid w:val="4AEA0F0D"/>
    <w:rsid w:val="4BDC71CD"/>
    <w:rsid w:val="4E7E3A27"/>
    <w:rsid w:val="53833E7F"/>
    <w:rsid w:val="59841FCD"/>
    <w:rsid w:val="5ACD6680"/>
    <w:rsid w:val="5C5A477B"/>
    <w:rsid w:val="5F7E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EastAsia"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6">
    <w:name w:val="heading 2"/>
    <w:basedOn w:val="1"/>
    <w:next w:val="1"/>
    <w:link w:val="23"/>
    <w:qFormat/>
    <w:uiPriority w:val="99"/>
    <w:pPr>
      <w:keepNext/>
      <w:keepLines/>
      <w:spacing w:line="412" w:lineRule="auto"/>
      <w:outlineLvl w:val="1"/>
    </w:pPr>
    <w:rPr>
      <w:rFonts w:ascii="Arial" w:hAnsi="Arial" w:eastAsia="黑体" w:cs="Arial"/>
      <w:b/>
      <w:bCs/>
      <w:sz w:val="32"/>
      <w:szCs w:val="32"/>
    </w:rPr>
  </w:style>
  <w:style w:type="paragraph" w:styleId="7">
    <w:name w:val="heading 3"/>
    <w:basedOn w:val="1"/>
    <w:next w:val="1"/>
    <w:link w:val="24"/>
    <w:qFormat/>
    <w:uiPriority w:val="99"/>
    <w:pPr>
      <w:keepNext/>
      <w:keepLines/>
      <w:spacing w:line="360" w:lineRule="auto"/>
      <w:outlineLvl w:val="2"/>
    </w:pPr>
    <w:rPr>
      <w:b/>
      <w:bCs/>
      <w:sz w:val="24"/>
      <w:szCs w:val="24"/>
    </w:rPr>
  </w:style>
  <w:style w:type="paragraph" w:styleId="8">
    <w:name w:val="heading 4"/>
    <w:basedOn w:val="1"/>
    <w:next w:val="1"/>
    <w:link w:val="25"/>
    <w:qFormat/>
    <w:uiPriority w:val="99"/>
    <w:pPr>
      <w:keepNext/>
      <w:keepLines/>
      <w:spacing w:line="360" w:lineRule="auto"/>
      <w:outlineLvl w:val="3"/>
    </w:pPr>
    <w:rPr>
      <w:rFonts w:ascii="Arial" w:hAnsi="Arial" w:cs="Arial"/>
      <w:b/>
      <w:bCs/>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link w:val="27"/>
    <w:unhideWhenUsed/>
    <w:qFormat/>
    <w:uiPriority w:val="99"/>
    <w:pPr>
      <w:ind w:firstLine="420" w:firstLineChars="100"/>
    </w:pPr>
  </w:style>
  <w:style w:type="paragraph" w:styleId="3">
    <w:name w:val="Body Text"/>
    <w:basedOn w:val="1"/>
    <w:next w:val="1"/>
    <w:link w:val="26"/>
    <w:semiHidden/>
    <w:unhideWhenUsed/>
    <w:qFormat/>
    <w:uiPriority w:val="99"/>
    <w:pPr>
      <w:spacing w:before="100" w:beforeAutospacing="1" w:after="120"/>
    </w:pPr>
  </w:style>
  <w:style w:type="paragraph" w:styleId="4">
    <w:name w:val="Body Text First Indent 2"/>
    <w:basedOn w:val="5"/>
    <w:link w:val="29"/>
    <w:semiHidden/>
    <w:unhideWhenUsed/>
    <w:qFormat/>
    <w:uiPriority w:val="99"/>
    <w:pPr>
      <w:ind w:firstLine="420" w:firstLineChars="200"/>
    </w:pPr>
  </w:style>
  <w:style w:type="paragraph" w:styleId="5">
    <w:name w:val="Body Text Indent"/>
    <w:basedOn w:val="1"/>
    <w:link w:val="28"/>
    <w:semiHidden/>
    <w:unhideWhenUsed/>
    <w:qFormat/>
    <w:uiPriority w:val="99"/>
    <w:pPr>
      <w:spacing w:before="100" w:beforeAutospacing="1" w:after="120"/>
      <w:ind w:left="420" w:leftChars="200"/>
    </w:pPr>
  </w:style>
  <w:style w:type="paragraph" w:styleId="9">
    <w:name w:val="annotation text"/>
    <w:basedOn w:val="1"/>
    <w:link w:val="37"/>
    <w:unhideWhenUsed/>
    <w:qFormat/>
    <w:uiPriority w:val="99"/>
    <w:pPr>
      <w:jc w:val="left"/>
    </w:pPr>
  </w:style>
  <w:style w:type="paragraph" w:styleId="10">
    <w:name w:val="List 2"/>
    <w:basedOn w:val="1"/>
    <w:unhideWhenUsed/>
    <w:qFormat/>
    <w:uiPriority w:val="99"/>
    <w:pPr>
      <w:spacing w:before="100" w:beforeAutospacing="1" w:after="100" w:afterAutospacing="1"/>
      <w:ind w:left="200" w:leftChars="200" w:hanging="200" w:hangingChars="200"/>
      <w:contextualSpacing/>
    </w:pPr>
  </w:style>
  <w:style w:type="paragraph" w:styleId="11">
    <w:name w:val="Plain Text"/>
    <w:basedOn w:val="1"/>
    <w:next w:val="1"/>
    <w:link w:val="45"/>
    <w:unhideWhenUsed/>
    <w:qFormat/>
    <w:uiPriority w:val="99"/>
    <w:rPr>
      <w:rFonts w:ascii="Calibri" w:hAnsi="Courier New" w:cs="宋体"/>
    </w:rPr>
  </w:style>
  <w:style w:type="paragraph" w:styleId="12">
    <w:name w:val="Date"/>
    <w:basedOn w:val="1"/>
    <w:next w:val="1"/>
    <w:link w:val="43"/>
    <w:semiHidden/>
    <w:unhideWhenUsed/>
    <w:qFormat/>
    <w:uiPriority w:val="99"/>
    <w:pPr>
      <w:ind w:left="100" w:leftChars="2500"/>
    </w:pPr>
  </w:style>
  <w:style w:type="paragraph" w:styleId="13">
    <w:name w:val="Balloon Text"/>
    <w:basedOn w:val="1"/>
    <w:link w:val="42"/>
    <w:semiHidden/>
    <w:unhideWhenUsed/>
    <w:qFormat/>
    <w:uiPriority w:val="99"/>
    <w:rPr>
      <w:sz w:val="18"/>
      <w:szCs w:val="18"/>
    </w:rPr>
  </w:style>
  <w:style w:type="paragraph" w:styleId="14">
    <w:name w:val="footer"/>
    <w:basedOn w:val="1"/>
    <w:link w:val="36"/>
    <w:unhideWhenUsed/>
    <w:qFormat/>
    <w:uiPriority w:val="99"/>
    <w:pPr>
      <w:snapToGrid w:val="0"/>
      <w:jc w:val="left"/>
    </w:pPr>
    <w:rPr>
      <w:sz w:val="18"/>
      <w:szCs w:val="18"/>
    </w:rPr>
  </w:style>
  <w:style w:type="paragraph" w:styleId="15">
    <w:name w:val="header"/>
    <w:basedOn w:val="1"/>
    <w:link w:val="30"/>
    <w:unhideWhenUsed/>
    <w:qFormat/>
    <w:uiPriority w:val="99"/>
    <w:pPr>
      <w:pBdr>
        <w:bottom w:val="single" w:color="auto" w:sz="6" w:space="1"/>
      </w:pBdr>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1"/>
    <w:qFormat/>
    <w:uiPriority w:val="99"/>
    <w:pPr>
      <w:spacing w:before="240" w:after="60"/>
      <w:jc w:val="center"/>
      <w:outlineLvl w:val="0"/>
    </w:pPr>
    <w:rPr>
      <w:rFonts w:ascii="Cambria" w:hAnsi="Cambria" w:cs="Times New Roman"/>
      <w:b/>
      <w:bCs/>
      <w:kern w:val="0"/>
      <w:sz w:val="32"/>
      <w:szCs w:val="32"/>
    </w:rPr>
  </w:style>
  <w:style w:type="character" w:styleId="20">
    <w:name w:val="Strong"/>
    <w:basedOn w:val="19"/>
    <w:qFormat/>
    <w:uiPriority w:val="22"/>
    <w:rPr>
      <w:b/>
      <w:bCs/>
    </w:rPr>
  </w:style>
  <w:style w:type="character" w:styleId="21">
    <w:name w:val="FollowedHyperlink"/>
    <w:basedOn w:val="19"/>
    <w:unhideWhenUsed/>
    <w:qFormat/>
    <w:uiPriority w:val="99"/>
    <w:rPr>
      <w:color w:val="800080"/>
      <w:u w:val="single"/>
    </w:rPr>
  </w:style>
  <w:style w:type="character" w:styleId="22">
    <w:name w:val="Hyperlink"/>
    <w:basedOn w:val="19"/>
    <w:unhideWhenUsed/>
    <w:qFormat/>
    <w:uiPriority w:val="99"/>
    <w:rPr>
      <w:color w:val="0000FF"/>
      <w:u w:val="single"/>
    </w:rPr>
  </w:style>
  <w:style w:type="character" w:customStyle="1" w:styleId="23">
    <w:name w:val="标题 2 Char"/>
    <w:basedOn w:val="19"/>
    <w:link w:val="6"/>
    <w:qFormat/>
    <w:uiPriority w:val="99"/>
    <w:rPr>
      <w:rFonts w:ascii="Arial" w:hAnsi="Arial" w:eastAsia="黑体" w:cs="Arial"/>
      <w:b/>
      <w:bCs/>
      <w:snapToGrid/>
      <w:kern w:val="2"/>
      <w:sz w:val="32"/>
      <w:szCs w:val="32"/>
    </w:rPr>
  </w:style>
  <w:style w:type="character" w:customStyle="1" w:styleId="24">
    <w:name w:val="标题 3 Char"/>
    <w:basedOn w:val="19"/>
    <w:link w:val="7"/>
    <w:qFormat/>
    <w:uiPriority w:val="99"/>
    <w:rPr>
      <w:rFonts w:ascii="Times New Roman" w:hAnsi="Times New Roman" w:eastAsia="宋体" w:cs="Calibri"/>
      <w:b/>
      <w:bCs/>
      <w:snapToGrid/>
      <w:kern w:val="2"/>
      <w:sz w:val="24"/>
    </w:rPr>
  </w:style>
  <w:style w:type="character" w:customStyle="1" w:styleId="25">
    <w:name w:val="标题 4 Char"/>
    <w:basedOn w:val="19"/>
    <w:link w:val="8"/>
    <w:qFormat/>
    <w:uiPriority w:val="99"/>
    <w:rPr>
      <w:rFonts w:ascii="Arial" w:hAnsi="Arial" w:eastAsia="宋体" w:cs="Arial"/>
      <w:b/>
      <w:bCs/>
      <w:snapToGrid/>
      <w:kern w:val="2"/>
      <w:szCs w:val="21"/>
    </w:rPr>
  </w:style>
  <w:style w:type="character" w:customStyle="1" w:styleId="26">
    <w:name w:val="正文文本 Char"/>
    <w:basedOn w:val="19"/>
    <w:link w:val="3"/>
    <w:semiHidden/>
    <w:qFormat/>
    <w:uiPriority w:val="99"/>
    <w:rPr>
      <w:rFonts w:ascii="Times New Roman" w:hAnsi="Times New Roman" w:eastAsia="宋体" w:cs="Calibri"/>
      <w:snapToGrid/>
      <w:kern w:val="2"/>
      <w:szCs w:val="21"/>
    </w:rPr>
  </w:style>
  <w:style w:type="character" w:customStyle="1" w:styleId="27">
    <w:name w:val="正文首行缩进 Char"/>
    <w:basedOn w:val="26"/>
    <w:link w:val="2"/>
    <w:qFormat/>
    <w:uiPriority w:val="99"/>
    <w:rPr>
      <w:rFonts w:ascii="Times New Roman" w:hAnsi="Times New Roman" w:eastAsia="宋体" w:cs="Calibri"/>
      <w:snapToGrid/>
      <w:kern w:val="2"/>
      <w:szCs w:val="21"/>
    </w:rPr>
  </w:style>
  <w:style w:type="character" w:customStyle="1" w:styleId="28">
    <w:name w:val="正文文本缩进 Char"/>
    <w:basedOn w:val="19"/>
    <w:link w:val="5"/>
    <w:semiHidden/>
    <w:qFormat/>
    <w:uiPriority w:val="99"/>
    <w:rPr>
      <w:rFonts w:ascii="Times New Roman" w:hAnsi="Times New Roman" w:eastAsia="宋体" w:cs="Calibri"/>
      <w:snapToGrid/>
      <w:kern w:val="2"/>
      <w:szCs w:val="21"/>
    </w:rPr>
  </w:style>
  <w:style w:type="character" w:customStyle="1" w:styleId="29">
    <w:name w:val="正文首行缩进 2 Char"/>
    <w:basedOn w:val="28"/>
    <w:link w:val="4"/>
    <w:semiHidden/>
    <w:qFormat/>
    <w:uiPriority w:val="99"/>
    <w:rPr>
      <w:rFonts w:ascii="Times New Roman" w:hAnsi="Times New Roman" w:eastAsia="宋体" w:cs="Calibri"/>
      <w:snapToGrid/>
      <w:kern w:val="2"/>
      <w:szCs w:val="21"/>
    </w:rPr>
  </w:style>
  <w:style w:type="character" w:customStyle="1" w:styleId="30">
    <w:name w:val="页眉 Char"/>
    <w:basedOn w:val="19"/>
    <w:link w:val="15"/>
    <w:qFormat/>
    <w:uiPriority w:val="99"/>
    <w:rPr>
      <w:rFonts w:ascii="Times New Roman" w:hAnsi="Times New Roman" w:eastAsia="宋体" w:cs="Calibri"/>
      <w:snapToGrid/>
      <w:kern w:val="2"/>
      <w:sz w:val="18"/>
      <w:szCs w:val="18"/>
    </w:rPr>
  </w:style>
  <w:style w:type="character" w:customStyle="1" w:styleId="31">
    <w:name w:val="标题 Char"/>
    <w:basedOn w:val="19"/>
    <w:link w:val="17"/>
    <w:qFormat/>
    <w:uiPriority w:val="99"/>
    <w:rPr>
      <w:rFonts w:ascii="Cambria" w:hAnsi="Cambria" w:eastAsia="宋体"/>
      <w:b/>
      <w:bCs/>
      <w:snapToGrid/>
      <w:sz w:val="32"/>
      <w:szCs w:val="32"/>
    </w:rPr>
  </w:style>
  <w:style w:type="paragraph" w:customStyle="1" w:styleId="32">
    <w:name w:val="WPSOffice手动目录 1"/>
    <w:basedOn w:val="1"/>
    <w:qFormat/>
    <w:uiPriority w:val="0"/>
    <w:pPr>
      <w:widowControl/>
      <w:jc w:val="left"/>
    </w:pPr>
    <w:rPr>
      <w:rFonts w:cs="Times New Roman"/>
      <w:kern w:val="0"/>
      <w:sz w:val="24"/>
      <w:szCs w:val="24"/>
    </w:rPr>
  </w:style>
  <w:style w:type="paragraph" w:customStyle="1" w:styleId="33">
    <w:name w:val="cjk"/>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样式 标题 2 + Times New Roman 四号 非加粗 段前: 5 磅 段后: 0 磅 行距: 固定值 20..."/>
    <w:basedOn w:val="6"/>
    <w:qFormat/>
    <w:uiPriority w:val="0"/>
    <w:pPr>
      <w:spacing w:line="400" w:lineRule="exact"/>
    </w:pPr>
    <w:rPr>
      <w:rFonts w:ascii="Times New Roman" w:hAnsi="Times New Roman" w:cs="Times New Roman"/>
      <w:b w:val="0"/>
      <w:bCs w:val="0"/>
      <w:sz w:val="28"/>
      <w:szCs w:val="28"/>
      <w:u w:val="words"/>
    </w:rPr>
  </w:style>
  <w:style w:type="paragraph" w:customStyle="1" w:styleId="35">
    <w:name w:val="样式 标题 3 + (中文) 黑体 小四 非加粗 段前: 7.8 磅 段后: 0 磅 行距: 固定值 20 磅"/>
    <w:basedOn w:val="7"/>
    <w:qFormat/>
    <w:uiPriority w:val="0"/>
    <w:pPr>
      <w:spacing w:line="400" w:lineRule="exact"/>
    </w:pPr>
    <w:rPr>
      <w:rFonts w:eastAsia="黑体"/>
      <w:b w:val="0"/>
      <w:bCs w:val="0"/>
      <w:u w:val="words"/>
    </w:rPr>
  </w:style>
  <w:style w:type="character" w:customStyle="1" w:styleId="36">
    <w:name w:val="页脚 Char"/>
    <w:basedOn w:val="19"/>
    <w:link w:val="14"/>
    <w:qFormat/>
    <w:uiPriority w:val="99"/>
    <w:rPr>
      <w:rFonts w:ascii="Times New Roman" w:hAnsi="Times New Roman" w:eastAsia="宋体" w:cs="Calibri"/>
      <w:snapToGrid/>
      <w:kern w:val="2"/>
      <w:sz w:val="18"/>
      <w:szCs w:val="18"/>
    </w:rPr>
  </w:style>
  <w:style w:type="character" w:customStyle="1" w:styleId="37">
    <w:name w:val="批注文字 Char"/>
    <w:basedOn w:val="19"/>
    <w:link w:val="9"/>
    <w:qFormat/>
    <w:uiPriority w:val="99"/>
    <w:rPr>
      <w:rFonts w:ascii="Times New Roman" w:hAnsi="Times New Roman" w:eastAsia="宋体" w:cs="Calibri"/>
      <w:snapToGrid/>
      <w:kern w:val="2"/>
      <w:szCs w:val="21"/>
    </w:rPr>
  </w:style>
  <w:style w:type="paragraph" w:customStyle="1" w:styleId="38">
    <w:name w:val="无间隔1"/>
    <w:basedOn w:val="1"/>
    <w:qFormat/>
    <w:uiPriority w:val="0"/>
    <w:pPr>
      <w:spacing w:line="400" w:lineRule="exact"/>
    </w:pPr>
    <w:rPr>
      <w:sz w:val="24"/>
      <w:szCs w:val="24"/>
    </w:rPr>
  </w:style>
  <w:style w:type="paragraph" w:customStyle="1" w:styleId="39">
    <w:name w:val="节标题"/>
    <w:basedOn w:val="1"/>
    <w:next w:val="1"/>
    <w:qFormat/>
    <w:uiPriority w:val="0"/>
    <w:pPr>
      <w:widowControl/>
      <w:spacing w:line="578" w:lineRule="atLeast"/>
      <w:jc w:val="center"/>
      <w:textAlignment w:val="baseline"/>
    </w:pPr>
    <w:rPr>
      <w:color w:val="000000"/>
      <w:kern w:val="0"/>
      <w:sz w:val="28"/>
      <w:szCs w:val="28"/>
      <w:u w:color="000000"/>
    </w:rPr>
  </w:style>
  <w:style w:type="paragraph" w:customStyle="1" w:styleId="40">
    <w:name w:val="Default"/>
    <w:basedOn w:val="1"/>
    <w:next w:val="1"/>
    <w:link w:val="44"/>
    <w:qFormat/>
    <w:uiPriority w:val="0"/>
    <w:pPr>
      <w:autoSpaceDE w:val="0"/>
      <w:autoSpaceDN w:val="0"/>
      <w:adjustRightInd w:val="0"/>
      <w:jc w:val="left"/>
    </w:pPr>
    <w:rPr>
      <w:rFonts w:ascii="宋体" w:cs="宋体"/>
      <w:color w:val="000000"/>
      <w:kern w:val="0"/>
      <w:sz w:val="24"/>
      <w:szCs w:val="24"/>
    </w:rPr>
  </w:style>
  <w:style w:type="paragraph" w:customStyle="1" w:styleId="41">
    <w:name w:val="纯文本1"/>
    <w:basedOn w:val="1"/>
    <w:qFormat/>
    <w:uiPriority w:val="0"/>
    <w:rPr>
      <w:rFonts w:ascii="宋体" w:hAnsi="Courier New" w:cs="Times New Roman"/>
    </w:rPr>
  </w:style>
  <w:style w:type="character" w:customStyle="1" w:styleId="42">
    <w:name w:val="批注框文本 Char"/>
    <w:basedOn w:val="19"/>
    <w:link w:val="13"/>
    <w:semiHidden/>
    <w:uiPriority w:val="99"/>
    <w:rPr>
      <w:rFonts w:ascii="Times New Roman" w:hAnsi="Times New Roman" w:eastAsia="宋体" w:cs="Calibri"/>
      <w:kern w:val="2"/>
      <w:sz w:val="18"/>
      <w:szCs w:val="18"/>
    </w:rPr>
  </w:style>
  <w:style w:type="character" w:customStyle="1" w:styleId="43">
    <w:name w:val="日期 Char"/>
    <w:basedOn w:val="19"/>
    <w:link w:val="12"/>
    <w:semiHidden/>
    <w:uiPriority w:val="99"/>
    <w:rPr>
      <w:rFonts w:ascii="Times New Roman" w:hAnsi="Times New Roman" w:eastAsia="宋体" w:cs="Calibri"/>
      <w:kern w:val="2"/>
      <w:sz w:val="21"/>
      <w:szCs w:val="21"/>
    </w:rPr>
  </w:style>
  <w:style w:type="character" w:customStyle="1" w:styleId="44">
    <w:name w:val="Default Char Char"/>
    <w:link w:val="40"/>
    <w:uiPriority w:val="0"/>
    <w:rPr>
      <w:rFonts w:ascii="宋体" w:hAnsi="Times New Roman" w:eastAsia="宋体" w:cs="宋体"/>
      <w:color w:val="000000"/>
      <w:sz w:val="24"/>
      <w:szCs w:val="24"/>
    </w:rPr>
  </w:style>
  <w:style w:type="character" w:customStyle="1" w:styleId="45">
    <w:name w:val="纯文本 Char"/>
    <w:basedOn w:val="19"/>
    <w:link w:val="11"/>
    <w:qFormat/>
    <w:uiPriority w:val="99"/>
    <w:rPr>
      <w:rFonts w:ascii="Calibri" w:hAnsi="Courier New"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32919</Words>
  <Characters>35092</Characters>
  <Lines>302</Lines>
  <Paragraphs>85</Paragraphs>
  <TotalTime>0</TotalTime>
  <ScaleCrop>false</ScaleCrop>
  <LinksUpToDate>false</LinksUpToDate>
  <CharactersWithSpaces>39621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2023-08-14T01:18:00Z</dcterms:created>
  <dc:creator>河南驰翔工程管理有限公司:王娜</dc:creator>
  <cp:lastModifiedBy>张士奇</cp:lastModifiedBy>
  <cp:lastPrinted>2023-11-10T06:57:00Z</cp:lastPrinted>
  <dcterms:modified xsi:type="dcterms:W3CDTF">2023-11-13T11:04:21Z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7C16670EC6F643B1B882F1476BC09194_13</vt:lpwstr>
  </property>
</Properties>
</file>