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jc w:val="center"/>
        <w:rPr>
          <w:rFonts w:ascii="宋体" w:hAnsi="宋体" w:cs="宋体"/>
          <w:b/>
          <w:bCs/>
          <w:sz w:val="48"/>
          <w:szCs w:val="48"/>
        </w:rPr>
      </w:pPr>
    </w:p>
    <w:p>
      <w:pPr>
        <w:pStyle w:val="16"/>
        <w:jc w:val="center"/>
        <w:rPr>
          <w:b/>
          <w:bCs/>
          <w:color w:val="000000"/>
          <w:sz w:val="48"/>
          <w:szCs w:val="44"/>
        </w:rPr>
      </w:pPr>
      <w:r>
        <w:rPr>
          <w:rFonts w:hint="eastAsia"/>
          <w:b/>
          <w:bCs/>
          <w:color w:val="000000"/>
          <w:sz w:val="48"/>
          <w:szCs w:val="44"/>
        </w:rPr>
        <w:t>宝丰县交通运输局宝丰县乡村振兴农村路网升级改造工程（一期）项目</w:t>
      </w:r>
      <w:r>
        <w:rPr>
          <w:b/>
          <w:bCs/>
          <w:color w:val="000000"/>
          <w:sz w:val="48"/>
          <w:szCs w:val="44"/>
        </w:rPr>
        <w:t xml:space="preserve"> </w:t>
      </w:r>
    </w:p>
    <w:p>
      <w:pPr>
        <w:pStyle w:val="16"/>
        <w:jc w:val="center"/>
        <w:rPr>
          <w:rFonts w:ascii="宋体" w:hAnsi="宋体" w:cs="宋体"/>
          <w:b/>
          <w:bCs/>
          <w:sz w:val="48"/>
          <w:szCs w:val="48"/>
        </w:rPr>
      </w:pPr>
      <w:r>
        <w:rPr>
          <w:rFonts w:hint="eastAsia" w:ascii="宋体" w:hAnsi="宋体" w:cs="宋体"/>
          <w:b/>
          <w:bCs/>
          <w:sz w:val="48"/>
          <w:szCs w:val="48"/>
        </w:rPr>
        <w:t>（第2标段</w:t>
      </w:r>
      <w:r>
        <w:rPr>
          <w:rFonts w:hint="eastAsia" w:ascii="宋体" w:hAnsi="宋体" w:cs="宋体"/>
          <w:b/>
          <w:bCs/>
          <w:sz w:val="48"/>
          <w:szCs w:val="48"/>
          <w:lang w:eastAsia="zh-CN"/>
        </w:rPr>
        <w:t>、第</w:t>
      </w:r>
      <w:r>
        <w:rPr>
          <w:rFonts w:hint="eastAsia" w:ascii="宋体" w:hAnsi="宋体" w:cs="宋体"/>
          <w:b/>
          <w:bCs/>
          <w:sz w:val="48"/>
          <w:szCs w:val="48"/>
          <w:lang w:val="en-US" w:eastAsia="zh-CN"/>
        </w:rPr>
        <w:t>3标段</w:t>
      </w:r>
      <w:r>
        <w:rPr>
          <w:rFonts w:hint="eastAsia" w:ascii="宋体" w:hAnsi="宋体" w:cs="宋体"/>
          <w:b/>
          <w:bCs/>
          <w:sz w:val="48"/>
          <w:szCs w:val="48"/>
        </w:rPr>
        <w:t>）</w:t>
      </w:r>
    </w:p>
    <w:p>
      <w:pPr>
        <w:snapToGrid w:val="0"/>
        <w:spacing w:after="100" w:afterAutospacing="1"/>
        <w:jc w:val="left"/>
        <w:rPr>
          <w:rFonts w:ascii="宋体" w:hAnsi="宋体" w:cs="宋体"/>
          <w:b/>
          <w:sz w:val="28"/>
          <w:szCs w:val="28"/>
        </w:rPr>
      </w:pPr>
    </w:p>
    <w:p>
      <w:pPr>
        <w:snapToGrid w:val="0"/>
        <w:spacing w:after="100" w:afterAutospacing="1"/>
        <w:jc w:val="center"/>
        <w:rPr>
          <w:rFonts w:hint="eastAsia" w:ascii="宋体" w:hAnsi="宋体" w:cs="宋体"/>
          <w:b/>
          <w:sz w:val="84"/>
          <w:szCs w:val="84"/>
        </w:rPr>
      </w:pPr>
    </w:p>
    <w:p>
      <w:pPr>
        <w:snapToGrid w:val="0"/>
        <w:spacing w:after="100" w:afterAutospacing="1"/>
        <w:jc w:val="center"/>
        <w:rPr>
          <w:rFonts w:ascii="宋体" w:hAnsi="宋体" w:cs="宋体"/>
          <w:b/>
          <w:sz w:val="84"/>
          <w:szCs w:val="84"/>
        </w:rPr>
      </w:pPr>
      <w:r>
        <w:rPr>
          <w:rFonts w:hint="eastAsia" w:ascii="宋体" w:hAnsi="宋体" w:cs="宋体"/>
          <w:b/>
          <w:sz w:val="84"/>
          <w:szCs w:val="84"/>
        </w:rPr>
        <w:t>招标文件</w:t>
      </w:r>
    </w:p>
    <w:p>
      <w:pPr>
        <w:snapToGrid w:val="0"/>
        <w:spacing w:after="100" w:afterAutospacing="1"/>
        <w:jc w:val="center"/>
        <w:rPr>
          <w:rFonts w:ascii="宋体" w:hAnsi="宋体" w:cs="宋体"/>
          <w:sz w:val="28"/>
          <w:szCs w:val="28"/>
        </w:rPr>
      </w:pPr>
      <w:r>
        <w:rPr>
          <w:rFonts w:ascii="微软简隶书" w:eastAsia="微软简隶书"/>
        </w:rPr>
        <w:drawing>
          <wp:inline distT="0" distB="0" distL="0" distR="0">
            <wp:extent cx="2562225" cy="2466975"/>
            <wp:effectExtent l="0" t="0" r="0" b="0"/>
            <wp:docPr id="2" name="图片 2" descr="768e797c582bd9266f26237d40d6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68e797c582bd9266f26237d40d6257"/>
                    <pic:cNvPicPr>
                      <a:picLocks noChangeAspect="1" noChangeArrowheads="1"/>
                    </pic:cNvPicPr>
                  </pic:nvPicPr>
                  <pic:blipFill>
                    <a:blip r:embed="rId7" cstate="print">
                      <a:extLst>
                        <a:ext uri="{28A0092B-C50C-407E-A947-70E740481C1C}">
                          <a14:useLocalDpi xmlns:a14="http://schemas.microsoft.com/office/drawing/2010/main" val="0"/>
                        </a:ext>
                      </a:extLst>
                    </a:blip>
                    <a:srcRect l="23906" t="23047" r="20438" b="22061"/>
                    <a:stretch>
                      <a:fillRect/>
                    </a:stretch>
                  </pic:blipFill>
                  <pic:spPr>
                    <a:xfrm>
                      <a:off x="0" y="0"/>
                      <a:ext cx="2562225" cy="2466975"/>
                    </a:xfrm>
                    <a:prstGeom prst="rect">
                      <a:avLst/>
                    </a:prstGeom>
                    <a:noFill/>
                    <a:ln>
                      <a:noFill/>
                    </a:ln>
                  </pic:spPr>
                </pic:pic>
              </a:graphicData>
            </a:graphic>
          </wp:inline>
        </w:drawing>
      </w:r>
    </w:p>
    <w:p>
      <w:pPr>
        <w:snapToGrid w:val="0"/>
        <w:spacing w:after="100" w:afterAutospacing="1"/>
        <w:jc w:val="left"/>
        <w:rPr>
          <w:rFonts w:ascii="宋体" w:hAnsi="宋体" w:cs="宋体"/>
          <w:b/>
          <w:sz w:val="28"/>
          <w:szCs w:val="28"/>
        </w:rPr>
      </w:pPr>
    </w:p>
    <w:p>
      <w:pPr>
        <w:widowControl/>
        <w:spacing w:line="360" w:lineRule="auto"/>
        <w:ind w:firstLine="2891" w:firstLineChars="900"/>
        <w:rPr>
          <w:rFonts w:ascii="宋体" w:hAnsi="宋体" w:cs="宋体"/>
          <w:b/>
          <w:sz w:val="32"/>
          <w:szCs w:val="32"/>
        </w:rPr>
      </w:pPr>
    </w:p>
    <w:p>
      <w:pPr>
        <w:spacing w:line="360" w:lineRule="auto"/>
        <w:ind w:firstLine="2530" w:firstLineChars="900"/>
        <w:rPr>
          <w:rFonts w:ascii="宋体" w:hAnsi="宋体"/>
          <w:b/>
          <w:bCs/>
          <w:sz w:val="28"/>
          <w:szCs w:val="28"/>
        </w:rPr>
      </w:pPr>
    </w:p>
    <w:p>
      <w:pPr>
        <w:spacing w:line="360" w:lineRule="auto"/>
        <w:ind w:firstLine="1807" w:firstLineChars="500"/>
        <w:rPr>
          <w:rFonts w:ascii="宋体" w:hAnsi="宋体"/>
          <w:b/>
          <w:bCs/>
          <w:sz w:val="36"/>
          <w:szCs w:val="36"/>
        </w:rPr>
      </w:pPr>
      <w:r>
        <w:rPr>
          <w:rFonts w:hint="eastAsia" w:ascii="宋体" w:hAnsi="宋体"/>
          <w:b/>
          <w:bCs/>
          <w:sz w:val="36"/>
          <w:szCs w:val="36"/>
        </w:rPr>
        <w:t>招 标 人：宝丰县交通运输局</w:t>
      </w:r>
    </w:p>
    <w:p>
      <w:pPr>
        <w:spacing w:line="360" w:lineRule="auto"/>
        <w:jc w:val="center"/>
        <w:rPr>
          <w:rFonts w:ascii="宋体" w:hAnsi="宋体"/>
          <w:b/>
          <w:bCs/>
          <w:sz w:val="36"/>
          <w:szCs w:val="36"/>
        </w:rPr>
      </w:pPr>
      <w:r>
        <w:rPr>
          <w:rFonts w:hint="eastAsia" w:ascii="宋体" w:hAnsi="宋体"/>
          <w:b/>
          <w:bCs/>
          <w:sz w:val="36"/>
          <w:szCs w:val="36"/>
        </w:rPr>
        <w:t>代理机构：慧霖建设发展集团有限公司</w:t>
      </w:r>
    </w:p>
    <w:p>
      <w:pPr>
        <w:spacing w:line="360" w:lineRule="auto"/>
        <w:ind w:firstLine="1807" w:firstLineChars="500"/>
        <w:rPr>
          <w:rFonts w:ascii="宋体" w:hAnsi="宋体"/>
          <w:b/>
          <w:bCs/>
          <w:sz w:val="36"/>
          <w:szCs w:val="36"/>
        </w:rPr>
      </w:pPr>
      <w:r>
        <w:rPr>
          <w:rFonts w:hint="eastAsia" w:ascii="宋体" w:hAnsi="宋体"/>
          <w:b/>
          <w:bCs/>
          <w:sz w:val="36"/>
          <w:szCs w:val="36"/>
        </w:rPr>
        <w:t>日    期：2023年</w:t>
      </w:r>
      <w:r>
        <w:rPr>
          <w:rFonts w:hint="eastAsia" w:ascii="宋体" w:hAnsi="宋体"/>
          <w:b/>
          <w:bCs/>
          <w:sz w:val="36"/>
          <w:szCs w:val="36"/>
          <w:lang w:val="en-US" w:eastAsia="zh-CN"/>
        </w:rPr>
        <w:t>12</w:t>
      </w:r>
      <w:r>
        <w:rPr>
          <w:rFonts w:hint="eastAsia" w:ascii="宋体" w:hAnsi="宋体"/>
          <w:b/>
          <w:bCs/>
          <w:sz w:val="36"/>
          <w:szCs w:val="36"/>
        </w:rPr>
        <w:t>月</w:t>
      </w:r>
    </w:p>
    <w:p>
      <w:pPr>
        <w:spacing w:line="360" w:lineRule="auto"/>
        <w:rPr>
          <w:rFonts w:ascii="宋体" w:hAnsi="宋体"/>
          <w:b/>
          <w:szCs w:val="21"/>
        </w:rPr>
      </w:pPr>
    </w:p>
    <w:p>
      <w:pPr>
        <w:spacing w:line="360" w:lineRule="auto"/>
        <w:rPr>
          <w:rFonts w:ascii="宋体" w:hAnsi="宋体"/>
          <w:b/>
          <w:bCs/>
          <w:sz w:val="32"/>
        </w:rPr>
      </w:pPr>
    </w:p>
    <w:p>
      <w:pPr>
        <w:tabs>
          <w:tab w:val="left" w:pos="3630"/>
          <w:tab w:val="center" w:pos="4535"/>
        </w:tabs>
        <w:spacing w:line="360" w:lineRule="auto"/>
        <w:jc w:val="center"/>
        <w:rPr>
          <w:rFonts w:ascii="宋体" w:hAnsi="宋体"/>
          <w:sz w:val="28"/>
        </w:rPr>
      </w:pPr>
      <w:bookmarkStart w:id="0" w:name="_Toc18744"/>
      <w:bookmarkStart w:id="1" w:name="_Toc489430447"/>
      <w:bookmarkStart w:id="2" w:name="_Toc474766479"/>
      <w:bookmarkStart w:id="3" w:name="_Toc152045527"/>
      <w:bookmarkStart w:id="4" w:name="_Toc152042303"/>
      <w:bookmarkStart w:id="5" w:name="_Toc144974495"/>
      <w:r>
        <w:rPr>
          <w:rFonts w:hint="eastAsia" w:ascii="宋体" w:hAnsi="宋体"/>
          <w:b/>
          <w:bCs/>
          <w:sz w:val="44"/>
        </w:rPr>
        <w:t>目 录</w:t>
      </w:r>
    </w:p>
    <w:sdt>
      <w:sdtPr>
        <w:rPr>
          <w:rFonts w:asciiTheme="majorHAnsi" w:hAnsiTheme="majorHAnsi" w:eastAsiaTheme="majorEastAsia" w:cstheme="majorBidi"/>
          <w:b/>
          <w:bCs/>
          <w:kern w:val="0"/>
          <w:sz w:val="28"/>
          <w:szCs w:val="28"/>
          <w:lang w:val="zh-CN"/>
        </w:rPr>
        <w:id w:val="32015760"/>
        <w:docPartObj>
          <w:docPartGallery w:val="Table of Contents"/>
          <w:docPartUnique/>
        </w:docPartObj>
      </w:sdtPr>
      <w:sdtEndPr>
        <w:rPr>
          <w:rFonts w:ascii="Calibri" w:hAnsi="Calibri" w:eastAsia="宋体" w:cs="黑体"/>
          <w:b w:val="0"/>
          <w:bCs w:val="0"/>
          <w:kern w:val="2"/>
          <w:sz w:val="21"/>
          <w:szCs w:val="24"/>
          <w:lang w:val="en-US"/>
        </w:rPr>
      </w:sdtEndPr>
      <w:sdtContent>
        <w:p>
          <w:pPr>
            <w:pStyle w:val="22"/>
            <w:tabs>
              <w:tab w:val="right" w:leader="dot" w:pos="9740"/>
            </w:tabs>
            <w:spacing w:line="480" w:lineRule="auto"/>
            <w:jc w:val="both"/>
            <w:rPr>
              <w:rFonts w:asciiTheme="minorHAnsi" w:hAnsiTheme="minorHAnsi" w:eastAsiaTheme="minorEastAsia" w:cstheme="minorBidi"/>
              <w:sz w:val="32"/>
              <w:szCs w:val="32"/>
            </w:rPr>
          </w:pPr>
          <w:r>
            <w:fldChar w:fldCharType="begin"/>
          </w:r>
          <w:r>
            <w:instrText xml:space="preserve"> TOC \o "1-3" \h \z \u </w:instrText>
          </w:r>
          <w:r>
            <w:fldChar w:fldCharType="separate"/>
          </w:r>
          <w:r>
            <w:fldChar w:fldCharType="begin"/>
          </w:r>
          <w:r>
            <w:instrText xml:space="preserve"> HYPERLINK \l "_Toc116314077" </w:instrText>
          </w:r>
          <w:r>
            <w:fldChar w:fldCharType="separate"/>
          </w:r>
          <w:r>
            <w:rPr>
              <w:rStyle w:val="36"/>
              <w:rFonts w:hint="eastAsia"/>
              <w:color w:val="auto"/>
              <w:sz w:val="32"/>
              <w:szCs w:val="32"/>
            </w:rPr>
            <w:t>第一章招标公告</w:t>
          </w:r>
          <w:r>
            <w:rPr>
              <w:sz w:val="32"/>
              <w:szCs w:val="32"/>
            </w:rPr>
            <w:tab/>
          </w:r>
          <w:r>
            <w:rPr>
              <w:sz w:val="32"/>
              <w:szCs w:val="32"/>
            </w:rPr>
            <w:fldChar w:fldCharType="begin"/>
          </w:r>
          <w:r>
            <w:rPr>
              <w:sz w:val="32"/>
              <w:szCs w:val="32"/>
            </w:rPr>
            <w:instrText xml:space="preserve"> PAGEREF _Toc116314077 \h </w:instrText>
          </w:r>
          <w:r>
            <w:rPr>
              <w:sz w:val="32"/>
              <w:szCs w:val="32"/>
            </w:rPr>
            <w:fldChar w:fldCharType="separate"/>
          </w:r>
          <w:r>
            <w:rPr>
              <w:sz w:val="32"/>
              <w:szCs w:val="32"/>
            </w:rPr>
            <w:t>3</w:t>
          </w:r>
          <w:r>
            <w:rPr>
              <w:sz w:val="32"/>
              <w:szCs w:val="32"/>
            </w:rPr>
            <w:fldChar w:fldCharType="end"/>
          </w:r>
          <w:r>
            <w:rPr>
              <w:sz w:val="32"/>
              <w:szCs w:val="32"/>
            </w:rPr>
            <w:fldChar w:fldCharType="end"/>
          </w:r>
        </w:p>
        <w:p>
          <w:pPr>
            <w:pStyle w:val="22"/>
            <w:tabs>
              <w:tab w:val="right" w:leader="dot" w:pos="9740"/>
            </w:tabs>
            <w:spacing w:line="480" w:lineRule="auto"/>
            <w:rPr>
              <w:rFonts w:asciiTheme="minorHAnsi" w:hAnsiTheme="minorHAnsi" w:eastAsiaTheme="minorEastAsia" w:cstheme="minorBidi"/>
              <w:sz w:val="32"/>
              <w:szCs w:val="32"/>
            </w:rPr>
          </w:pPr>
          <w:r>
            <w:fldChar w:fldCharType="begin"/>
          </w:r>
          <w:r>
            <w:instrText xml:space="preserve"> HYPERLINK \l "_Toc116314078" </w:instrText>
          </w:r>
          <w:r>
            <w:fldChar w:fldCharType="separate"/>
          </w:r>
          <w:r>
            <w:rPr>
              <w:rStyle w:val="36"/>
              <w:rFonts w:hint="eastAsia"/>
              <w:color w:val="auto"/>
              <w:sz w:val="32"/>
              <w:szCs w:val="32"/>
            </w:rPr>
            <w:t>第二章投标人须知</w:t>
          </w:r>
          <w:r>
            <w:rPr>
              <w:sz w:val="32"/>
              <w:szCs w:val="32"/>
            </w:rPr>
            <w:tab/>
          </w:r>
          <w:r>
            <w:rPr>
              <w:sz w:val="32"/>
              <w:szCs w:val="32"/>
            </w:rPr>
            <w:fldChar w:fldCharType="begin"/>
          </w:r>
          <w:r>
            <w:rPr>
              <w:sz w:val="32"/>
              <w:szCs w:val="32"/>
            </w:rPr>
            <w:instrText xml:space="preserve"> PAGEREF _Toc116314078 \h </w:instrText>
          </w:r>
          <w:r>
            <w:rPr>
              <w:sz w:val="32"/>
              <w:szCs w:val="32"/>
            </w:rPr>
            <w:fldChar w:fldCharType="separate"/>
          </w:r>
          <w:r>
            <w:rPr>
              <w:sz w:val="32"/>
              <w:szCs w:val="32"/>
            </w:rPr>
            <w:t>9</w:t>
          </w:r>
          <w:r>
            <w:rPr>
              <w:sz w:val="32"/>
              <w:szCs w:val="32"/>
            </w:rPr>
            <w:fldChar w:fldCharType="end"/>
          </w:r>
          <w:r>
            <w:rPr>
              <w:sz w:val="32"/>
              <w:szCs w:val="32"/>
            </w:rPr>
            <w:fldChar w:fldCharType="end"/>
          </w:r>
        </w:p>
        <w:p>
          <w:pPr>
            <w:pStyle w:val="22"/>
            <w:tabs>
              <w:tab w:val="right" w:leader="dot" w:pos="9740"/>
            </w:tabs>
            <w:spacing w:line="480" w:lineRule="auto"/>
            <w:rPr>
              <w:rFonts w:asciiTheme="minorHAnsi" w:hAnsiTheme="minorHAnsi" w:eastAsiaTheme="minorEastAsia" w:cstheme="minorBidi"/>
              <w:sz w:val="32"/>
              <w:szCs w:val="32"/>
            </w:rPr>
          </w:pPr>
          <w:r>
            <w:fldChar w:fldCharType="begin"/>
          </w:r>
          <w:r>
            <w:instrText xml:space="preserve"> HYPERLINK \l "_Toc116314131" </w:instrText>
          </w:r>
          <w:r>
            <w:fldChar w:fldCharType="separate"/>
          </w:r>
          <w:r>
            <w:rPr>
              <w:rStyle w:val="36"/>
              <w:rFonts w:hint="eastAsia" w:ascii="宋体" w:hAnsi="宋体"/>
              <w:color w:val="auto"/>
              <w:sz w:val="32"/>
              <w:szCs w:val="32"/>
            </w:rPr>
            <w:t>第三章评标办法（综合评估法）</w:t>
          </w:r>
          <w:r>
            <w:rPr>
              <w:sz w:val="32"/>
              <w:szCs w:val="32"/>
            </w:rPr>
            <w:tab/>
          </w:r>
          <w:r>
            <w:rPr>
              <w:sz w:val="32"/>
              <w:szCs w:val="32"/>
            </w:rPr>
            <w:fldChar w:fldCharType="begin"/>
          </w:r>
          <w:r>
            <w:rPr>
              <w:sz w:val="32"/>
              <w:szCs w:val="32"/>
            </w:rPr>
            <w:instrText xml:space="preserve"> PAGEREF _Toc116314131 \h </w:instrText>
          </w:r>
          <w:r>
            <w:rPr>
              <w:sz w:val="32"/>
              <w:szCs w:val="32"/>
            </w:rPr>
            <w:fldChar w:fldCharType="separate"/>
          </w:r>
          <w:r>
            <w:rPr>
              <w:sz w:val="32"/>
              <w:szCs w:val="32"/>
            </w:rPr>
            <w:t>28</w:t>
          </w:r>
          <w:r>
            <w:rPr>
              <w:sz w:val="32"/>
              <w:szCs w:val="32"/>
            </w:rPr>
            <w:fldChar w:fldCharType="end"/>
          </w:r>
          <w:r>
            <w:rPr>
              <w:sz w:val="32"/>
              <w:szCs w:val="32"/>
            </w:rPr>
            <w:fldChar w:fldCharType="end"/>
          </w:r>
        </w:p>
        <w:p>
          <w:pPr>
            <w:pStyle w:val="22"/>
            <w:tabs>
              <w:tab w:val="right" w:leader="dot" w:pos="9740"/>
            </w:tabs>
            <w:spacing w:line="480" w:lineRule="auto"/>
            <w:rPr>
              <w:rFonts w:asciiTheme="minorHAnsi" w:hAnsiTheme="minorHAnsi" w:eastAsiaTheme="minorEastAsia" w:cstheme="minorBidi"/>
              <w:sz w:val="32"/>
              <w:szCs w:val="32"/>
            </w:rPr>
          </w:pPr>
          <w:r>
            <w:fldChar w:fldCharType="begin"/>
          </w:r>
          <w:r>
            <w:instrText xml:space="preserve"> HYPERLINK \l "_Toc116314143" </w:instrText>
          </w:r>
          <w:r>
            <w:fldChar w:fldCharType="separate"/>
          </w:r>
          <w:r>
            <w:rPr>
              <w:rStyle w:val="36"/>
              <w:rFonts w:hint="eastAsia" w:ascii="宋体" w:hAnsi="宋体"/>
              <w:color w:val="auto"/>
              <w:sz w:val="32"/>
              <w:szCs w:val="32"/>
            </w:rPr>
            <w:t>第四章合同条款及格式</w:t>
          </w:r>
          <w:r>
            <w:rPr>
              <w:sz w:val="32"/>
              <w:szCs w:val="32"/>
            </w:rPr>
            <w:tab/>
          </w:r>
          <w:r>
            <w:rPr>
              <w:sz w:val="32"/>
              <w:szCs w:val="32"/>
            </w:rPr>
            <w:fldChar w:fldCharType="begin"/>
          </w:r>
          <w:r>
            <w:rPr>
              <w:sz w:val="32"/>
              <w:szCs w:val="32"/>
            </w:rPr>
            <w:instrText xml:space="preserve"> PAGEREF _Toc116314143 \h </w:instrText>
          </w:r>
          <w:r>
            <w:rPr>
              <w:sz w:val="32"/>
              <w:szCs w:val="32"/>
            </w:rPr>
            <w:fldChar w:fldCharType="separate"/>
          </w:r>
          <w:r>
            <w:rPr>
              <w:sz w:val="32"/>
              <w:szCs w:val="32"/>
            </w:rPr>
            <w:t>34</w:t>
          </w:r>
          <w:r>
            <w:rPr>
              <w:sz w:val="32"/>
              <w:szCs w:val="32"/>
            </w:rPr>
            <w:fldChar w:fldCharType="end"/>
          </w:r>
          <w:r>
            <w:rPr>
              <w:sz w:val="32"/>
              <w:szCs w:val="32"/>
            </w:rPr>
            <w:fldChar w:fldCharType="end"/>
          </w:r>
        </w:p>
        <w:p>
          <w:pPr>
            <w:pStyle w:val="22"/>
            <w:tabs>
              <w:tab w:val="right" w:leader="dot" w:pos="9740"/>
            </w:tabs>
            <w:spacing w:line="480" w:lineRule="auto"/>
            <w:rPr>
              <w:rFonts w:asciiTheme="minorHAnsi" w:hAnsiTheme="minorHAnsi" w:eastAsiaTheme="minorEastAsia" w:cstheme="minorBidi"/>
              <w:sz w:val="32"/>
              <w:szCs w:val="32"/>
            </w:rPr>
          </w:pPr>
          <w:r>
            <w:fldChar w:fldCharType="begin"/>
          </w:r>
          <w:r>
            <w:instrText xml:space="preserve"> HYPERLINK \l "_Toc116314145" </w:instrText>
          </w:r>
          <w:r>
            <w:fldChar w:fldCharType="separate"/>
          </w:r>
          <w:r>
            <w:rPr>
              <w:rStyle w:val="36"/>
              <w:rFonts w:hint="eastAsia" w:ascii="宋体" w:hAnsi="宋体"/>
              <w:color w:val="auto"/>
              <w:sz w:val="32"/>
              <w:szCs w:val="32"/>
            </w:rPr>
            <w:t>第五章技术标准及规范</w:t>
          </w:r>
          <w:r>
            <w:rPr>
              <w:sz w:val="32"/>
              <w:szCs w:val="32"/>
            </w:rPr>
            <w:tab/>
          </w:r>
          <w:r>
            <w:rPr>
              <w:sz w:val="32"/>
              <w:szCs w:val="32"/>
            </w:rPr>
            <w:fldChar w:fldCharType="begin"/>
          </w:r>
          <w:r>
            <w:rPr>
              <w:sz w:val="32"/>
              <w:szCs w:val="32"/>
            </w:rPr>
            <w:instrText xml:space="preserve"> PAGEREF _Toc116314145 \h </w:instrText>
          </w:r>
          <w:r>
            <w:rPr>
              <w:sz w:val="32"/>
              <w:szCs w:val="32"/>
            </w:rPr>
            <w:fldChar w:fldCharType="separate"/>
          </w:r>
          <w:r>
            <w:rPr>
              <w:sz w:val="32"/>
              <w:szCs w:val="32"/>
            </w:rPr>
            <w:t>40</w:t>
          </w:r>
          <w:r>
            <w:rPr>
              <w:sz w:val="32"/>
              <w:szCs w:val="32"/>
            </w:rPr>
            <w:fldChar w:fldCharType="end"/>
          </w:r>
          <w:r>
            <w:rPr>
              <w:sz w:val="32"/>
              <w:szCs w:val="32"/>
            </w:rPr>
            <w:fldChar w:fldCharType="end"/>
          </w:r>
        </w:p>
        <w:p>
          <w:pPr>
            <w:pStyle w:val="22"/>
            <w:tabs>
              <w:tab w:val="right" w:leader="dot" w:pos="9740"/>
            </w:tabs>
            <w:spacing w:line="480" w:lineRule="auto"/>
            <w:rPr>
              <w:rFonts w:asciiTheme="minorHAnsi" w:hAnsiTheme="minorHAnsi" w:eastAsiaTheme="minorEastAsia" w:cstheme="minorBidi"/>
              <w:sz w:val="32"/>
              <w:szCs w:val="32"/>
            </w:rPr>
          </w:pPr>
          <w:r>
            <w:fldChar w:fldCharType="begin"/>
          </w:r>
          <w:r>
            <w:instrText xml:space="preserve"> HYPERLINK \l "_Toc116314146" </w:instrText>
          </w:r>
          <w:r>
            <w:fldChar w:fldCharType="separate"/>
          </w:r>
          <w:r>
            <w:rPr>
              <w:rStyle w:val="36"/>
              <w:rFonts w:hint="eastAsia" w:ascii="宋体" w:hAnsi="宋体"/>
              <w:color w:val="auto"/>
              <w:sz w:val="32"/>
              <w:szCs w:val="32"/>
            </w:rPr>
            <w:t>第六章监理任务范围及监理工作大纲</w:t>
          </w:r>
          <w:r>
            <w:rPr>
              <w:sz w:val="32"/>
              <w:szCs w:val="32"/>
            </w:rPr>
            <w:tab/>
          </w:r>
          <w:r>
            <w:rPr>
              <w:sz w:val="32"/>
              <w:szCs w:val="32"/>
            </w:rPr>
            <w:fldChar w:fldCharType="begin"/>
          </w:r>
          <w:r>
            <w:rPr>
              <w:sz w:val="32"/>
              <w:szCs w:val="32"/>
            </w:rPr>
            <w:instrText xml:space="preserve"> PAGEREF _Toc116314146 \h </w:instrText>
          </w:r>
          <w:r>
            <w:rPr>
              <w:sz w:val="32"/>
              <w:szCs w:val="32"/>
            </w:rPr>
            <w:fldChar w:fldCharType="separate"/>
          </w:r>
          <w:r>
            <w:rPr>
              <w:sz w:val="32"/>
              <w:szCs w:val="32"/>
            </w:rPr>
            <w:t>41</w:t>
          </w:r>
          <w:r>
            <w:rPr>
              <w:sz w:val="32"/>
              <w:szCs w:val="32"/>
            </w:rPr>
            <w:fldChar w:fldCharType="end"/>
          </w:r>
          <w:r>
            <w:rPr>
              <w:sz w:val="32"/>
              <w:szCs w:val="32"/>
            </w:rPr>
            <w:fldChar w:fldCharType="end"/>
          </w:r>
        </w:p>
        <w:p>
          <w:pPr>
            <w:pStyle w:val="22"/>
            <w:tabs>
              <w:tab w:val="right" w:leader="dot" w:pos="9740"/>
            </w:tabs>
            <w:spacing w:line="480" w:lineRule="auto"/>
            <w:rPr>
              <w:rFonts w:asciiTheme="minorHAnsi" w:hAnsiTheme="minorHAnsi" w:eastAsiaTheme="minorEastAsia" w:cstheme="minorBidi"/>
              <w:sz w:val="32"/>
              <w:szCs w:val="32"/>
            </w:rPr>
          </w:pPr>
          <w:r>
            <w:fldChar w:fldCharType="begin"/>
          </w:r>
          <w:r>
            <w:instrText xml:space="preserve"> HYPERLINK \l "_Toc116314147" </w:instrText>
          </w:r>
          <w:r>
            <w:fldChar w:fldCharType="separate"/>
          </w:r>
          <w:r>
            <w:rPr>
              <w:rStyle w:val="36"/>
              <w:rFonts w:hint="eastAsia" w:ascii="宋体" w:hAnsi="宋体"/>
              <w:color w:val="auto"/>
              <w:sz w:val="32"/>
              <w:szCs w:val="32"/>
            </w:rPr>
            <w:t>第七章投标文件格式</w:t>
          </w:r>
          <w:r>
            <w:rPr>
              <w:sz w:val="32"/>
              <w:szCs w:val="32"/>
            </w:rPr>
            <w:tab/>
          </w:r>
          <w:r>
            <w:rPr>
              <w:sz w:val="32"/>
              <w:szCs w:val="32"/>
            </w:rPr>
            <w:fldChar w:fldCharType="begin"/>
          </w:r>
          <w:r>
            <w:rPr>
              <w:sz w:val="32"/>
              <w:szCs w:val="32"/>
            </w:rPr>
            <w:instrText xml:space="preserve"> PAGEREF _Toc116314147 \h </w:instrText>
          </w:r>
          <w:r>
            <w:rPr>
              <w:sz w:val="32"/>
              <w:szCs w:val="32"/>
            </w:rPr>
            <w:fldChar w:fldCharType="separate"/>
          </w:r>
          <w:r>
            <w:rPr>
              <w:sz w:val="32"/>
              <w:szCs w:val="32"/>
            </w:rPr>
            <w:t>43</w:t>
          </w:r>
          <w:r>
            <w:rPr>
              <w:sz w:val="32"/>
              <w:szCs w:val="32"/>
            </w:rPr>
            <w:fldChar w:fldCharType="end"/>
          </w:r>
          <w:r>
            <w:rPr>
              <w:sz w:val="32"/>
              <w:szCs w:val="32"/>
            </w:rPr>
            <w:fldChar w:fldCharType="end"/>
          </w:r>
        </w:p>
        <w:p>
          <w:r>
            <w:fldChar w:fldCharType="end"/>
          </w:r>
        </w:p>
      </w:sdtContent>
    </w:sdt>
    <w:p>
      <w:pPr>
        <w:widowControl/>
        <w:spacing w:line="312" w:lineRule="auto"/>
        <w:jc w:val="center"/>
        <w:rPr>
          <w:b/>
          <w:bCs/>
        </w:rPr>
      </w:pPr>
    </w:p>
    <w:p>
      <w:pPr>
        <w:widowControl/>
        <w:spacing w:line="312" w:lineRule="auto"/>
        <w:jc w:val="left"/>
        <w:rPr>
          <w:b/>
          <w:bCs/>
        </w:rPr>
      </w:pPr>
    </w:p>
    <w:p>
      <w:pPr>
        <w:widowControl/>
        <w:spacing w:line="312" w:lineRule="auto"/>
        <w:jc w:val="left"/>
        <w:rPr>
          <w:b/>
          <w:bCs/>
        </w:rPr>
      </w:pPr>
    </w:p>
    <w:p>
      <w:pPr>
        <w:widowControl/>
        <w:spacing w:line="312" w:lineRule="auto"/>
        <w:jc w:val="left"/>
        <w:rPr>
          <w:b/>
          <w:bCs/>
        </w:rPr>
      </w:pPr>
    </w:p>
    <w:p>
      <w:pPr>
        <w:widowControl/>
        <w:spacing w:line="312" w:lineRule="auto"/>
        <w:jc w:val="left"/>
        <w:rPr>
          <w:b/>
          <w:bCs/>
        </w:rPr>
      </w:pPr>
    </w:p>
    <w:p>
      <w:pPr>
        <w:widowControl/>
        <w:spacing w:line="312" w:lineRule="auto"/>
        <w:jc w:val="left"/>
        <w:rPr>
          <w:b/>
          <w:bCs/>
        </w:rPr>
      </w:pPr>
    </w:p>
    <w:p>
      <w:pPr>
        <w:widowControl/>
        <w:spacing w:line="312" w:lineRule="auto"/>
        <w:jc w:val="left"/>
        <w:rPr>
          <w:b/>
          <w:bCs/>
        </w:rPr>
      </w:pPr>
    </w:p>
    <w:p>
      <w:pPr>
        <w:widowControl/>
        <w:spacing w:line="312" w:lineRule="auto"/>
        <w:jc w:val="left"/>
        <w:rPr>
          <w:b/>
          <w:bCs/>
        </w:rPr>
      </w:pPr>
    </w:p>
    <w:p>
      <w:pPr>
        <w:widowControl/>
        <w:spacing w:line="312" w:lineRule="auto"/>
        <w:jc w:val="left"/>
        <w:rPr>
          <w:b/>
          <w:bCs/>
        </w:rPr>
      </w:pPr>
    </w:p>
    <w:p>
      <w:pPr>
        <w:widowControl/>
        <w:spacing w:line="312" w:lineRule="auto"/>
        <w:jc w:val="left"/>
        <w:rPr>
          <w:b/>
          <w:bCs/>
        </w:rPr>
      </w:pPr>
    </w:p>
    <w:p>
      <w:pPr>
        <w:widowControl/>
        <w:spacing w:line="312" w:lineRule="auto"/>
        <w:jc w:val="left"/>
        <w:rPr>
          <w:b/>
          <w:bCs/>
        </w:rPr>
      </w:pPr>
    </w:p>
    <w:p>
      <w:pPr>
        <w:widowControl/>
        <w:spacing w:line="312" w:lineRule="auto"/>
        <w:jc w:val="left"/>
        <w:rPr>
          <w:b/>
          <w:bCs/>
        </w:rPr>
      </w:pPr>
    </w:p>
    <w:p>
      <w:pPr>
        <w:widowControl/>
        <w:spacing w:line="312" w:lineRule="auto"/>
        <w:jc w:val="left"/>
        <w:rPr>
          <w:b/>
          <w:bCs/>
        </w:rPr>
      </w:pPr>
    </w:p>
    <w:p>
      <w:pPr>
        <w:widowControl/>
        <w:spacing w:line="312" w:lineRule="auto"/>
        <w:jc w:val="left"/>
        <w:rPr>
          <w:b/>
          <w:bCs/>
        </w:rPr>
      </w:pPr>
    </w:p>
    <w:p>
      <w:pPr>
        <w:widowControl/>
        <w:spacing w:line="312" w:lineRule="auto"/>
        <w:jc w:val="left"/>
        <w:rPr>
          <w:b/>
          <w:bCs/>
        </w:rPr>
      </w:pPr>
    </w:p>
    <w:p>
      <w:pPr>
        <w:widowControl/>
        <w:spacing w:line="312" w:lineRule="auto"/>
        <w:jc w:val="left"/>
        <w:rPr>
          <w:b/>
          <w:bCs/>
        </w:rPr>
      </w:pPr>
    </w:p>
    <w:p>
      <w:pPr>
        <w:widowControl/>
        <w:spacing w:line="312" w:lineRule="auto"/>
        <w:jc w:val="left"/>
        <w:rPr>
          <w:b/>
          <w:bCs/>
        </w:rPr>
      </w:pPr>
    </w:p>
    <w:p>
      <w:pPr>
        <w:pStyle w:val="30"/>
      </w:pPr>
      <w:bookmarkStart w:id="6" w:name="_Toc489430807"/>
      <w:bookmarkStart w:id="7" w:name="_Toc116314077"/>
      <w:r>
        <w:rPr>
          <w:rFonts w:hint="eastAsia"/>
        </w:rPr>
        <w:t>第一章招标公告</w:t>
      </w:r>
      <w:bookmarkEnd w:id="0"/>
      <w:bookmarkEnd w:id="1"/>
      <w:bookmarkEnd w:id="2"/>
      <w:bookmarkEnd w:id="6"/>
      <w:bookmarkEnd w:id="7"/>
    </w:p>
    <w:p>
      <w:pPr>
        <w:keepNext w:val="0"/>
        <w:keepLines w:val="0"/>
        <w:pageBreakBefore w:val="0"/>
        <w:widowControl w:val="0"/>
        <w:kinsoku/>
        <w:overflowPunct/>
        <w:topLinePunct w:val="0"/>
        <w:autoSpaceDE/>
        <w:autoSpaceDN/>
        <w:bidi w:val="0"/>
        <w:adjustRightInd w:val="0"/>
        <w:snapToGrid w:val="0"/>
        <w:spacing w:line="440" w:lineRule="exact"/>
        <w:jc w:val="center"/>
        <w:textAlignment w:val="auto"/>
        <w:rPr>
          <w:rFonts w:hint="eastAsia" w:ascii="宋体" w:hAnsi="宋体" w:cs="宋体"/>
          <w:b/>
          <w:sz w:val="28"/>
          <w:szCs w:val="28"/>
        </w:rPr>
      </w:pPr>
      <w:bookmarkStart w:id="8" w:name="_Toc32527"/>
      <w:bookmarkStart w:id="9" w:name="_Toc489430462"/>
      <w:bookmarkStart w:id="10" w:name="_Toc489430822"/>
      <w:r>
        <w:rPr>
          <w:rFonts w:hint="eastAsia" w:ascii="宋体" w:hAnsi="宋体" w:cs="宋体"/>
          <w:b/>
          <w:sz w:val="28"/>
          <w:szCs w:val="28"/>
        </w:rPr>
        <w:t>宝丰县交通运输局宝丰县乡村振兴农村路网升级改造工程（一期）项目</w:t>
      </w:r>
    </w:p>
    <w:p>
      <w:pPr>
        <w:keepNext w:val="0"/>
        <w:keepLines w:val="0"/>
        <w:pageBreakBefore w:val="0"/>
        <w:widowControl w:val="0"/>
        <w:kinsoku/>
        <w:overflowPunct/>
        <w:topLinePunct w:val="0"/>
        <w:autoSpaceDE/>
        <w:autoSpaceDN/>
        <w:bidi w:val="0"/>
        <w:adjustRightInd w:val="0"/>
        <w:snapToGrid w:val="0"/>
        <w:spacing w:line="440" w:lineRule="exact"/>
        <w:jc w:val="center"/>
        <w:textAlignment w:val="auto"/>
        <w:rPr>
          <w:rFonts w:ascii="宋体" w:hAnsi="宋体" w:cs="宋体"/>
          <w:b/>
          <w:sz w:val="28"/>
          <w:szCs w:val="28"/>
        </w:rPr>
      </w:pPr>
      <w:r>
        <w:rPr>
          <w:rFonts w:hint="eastAsia" w:ascii="宋体" w:hAnsi="宋体" w:cs="宋体"/>
          <w:b/>
          <w:sz w:val="28"/>
          <w:szCs w:val="28"/>
        </w:rPr>
        <w:t>招标公告</w:t>
      </w:r>
    </w:p>
    <w:p>
      <w:pPr>
        <w:keepNext w:val="0"/>
        <w:keepLines w:val="0"/>
        <w:pageBreakBefore w:val="0"/>
        <w:widowControl w:val="0"/>
        <w:kinsoku/>
        <w:overflowPunct/>
        <w:topLinePunct w:val="0"/>
        <w:autoSpaceDE/>
        <w:autoSpaceDN/>
        <w:bidi w:val="0"/>
        <w:adjustRightInd w:val="0"/>
        <w:snapToGrid w:val="0"/>
        <w:spacing w:line="440" w:lineRule="exact"/>
        <w:textAlignment w:val="auto"/>
        <w:rPr>
          <w:rFonts w:ascii="宋体" w:hAnsi="宋体" w:cs="宋体"/>
          <w:sz w:val="24"/>
        </w:rPr>
      </w:pPr>
      <w:bookmarkStart w:id="11" w:name="_Toc35393792"/>
      <w:bookmarkStart w:id="12" w:name="_Toc28359004"/>
      <w:bookmarkStart w:id="13" w:name="_Toc35393623"/>
      <w:bookmarkStart w:id="14" w:name="_Toc28359081"/>
      <w:r>
        <w:rPr>
          <w:rFonts w:hint="eastAsia" w:ascii="宋体" w:hAnsi="宋体" w:cs="宋体"/>
          <w:sz w:val="24"/>
        </w:rPr>
        <w:t>项目概况</w:t>
      </w:r>
    </w:p>
    <w:p>
      <w:pPr>
        <w:keepNext w:val="0"/>
        <w:keepLines w:val="0"/>
        <w:pageBreakBefore w:val="0"/>
        <w:widowControl w:val="0"/>
        <w:kinsoku/>
        <w:overflowPunct/>
        <w:topLinePunct w:val="0"/>
        <w:autoSpaceDE/>
        <w:autoSpaceDN/>
        <w:bidi w:val="0"/>
        <w:adjustRightInd w:val="0"/>
        <w:snapToGrid w:val="0"/>
        <w:spacing w:line="440" w:lineRule="exact"/>
        <w:ind w:firstLine="480" w:firstLineChars="200"/>
        <w:textAlignment w:val="auto"/>
        <w:rPr>
          <w:rFonts w:ascii="宋体" w:hAnsi="宋体" w:cs="宋体"/>
          <w:sz w:val="24"/>
        </w:rPr>
      </w:pPr>
      <w:r>
        <w:rPr>
          <w:rFonts w:hint="eastAsia" w:ascii="宋体" w:hAnsi="宋体" w:cs="宋体"/>
          <w:sz w:val="24"/>
        </w:rPr>
        <w:t>宝丰县交通运输局宝丰县乡村振兴农村路网升级改造工程（一期）项目的潜在投标人应在宝丰县公共资源交易中心电子交易系统获取招标文件，并于</w:t>
      </w:r>
      <w:r>
        <w:rPr>
          <w:rFonts w:hint="eastAsia" w:ascii="宋体" w:hAnsi="宋体" w:cs="宋体"/>
          <w:sz w:val="24"/>
          <w:lang w:val="en-US" w:eastAsia="zh-CN"/>
        </w:rPr>
        <w:t>2023</w:t>
      </w:r>
      <w:r>
        <w:rPr>
          <w:rFonts w:hint="eastAsia" w:ascii="宋体" w:hAnsi="宋体" w:cs="宋体"/>
          <w:sz w:val="24"/>
        </w:rPr>
        <w:t>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26</w:t>
      </w:r>
      <w:r>
        <w:rPr>
          <w:rFonts w:hint="eastAsia" w:ascii="宋体" w:hAnsi="宋体" w:cs="宋体"/>
          <w:sz w:val="24"/>
        </w:rPr>
        <w:t>日</w:t>
      </w:r>
      <w:r>
        <w:rPr>
          <w:rFonts w:hint="eastAsia" w:ascii="宋体" w:hAnsi="宋体" w:cs="宋体"/>
          <w:sz w:val="24"/>
          <w:lang w:val="en-US" w:eastAsia="zh-CN"/>
        </w:rPr>
        <w:t>10</w:t>
      </w:r>
      <w:r>
        <w:rPr>
          <w:rFonts w:hint="eastAsia" w:ascii="宋体" w:hAnsi="宋体" w:cs="宋体"/>
          <w:sz w:val="24"/>
        </w:rPr>
        <w:t>时</w:t>
      </w:r>
      <w:r>
        <w:rPr>
          <w:rFonts w:hint="eastAsia" w:ascii="宋体" w:hAnsi="宋体" w:cs="宋体"/>
          <w:sz w:val="24"/>
          <w:lang w:val="en-US" w:eastAsia="zh-CN"/>
        </w:rPr>
        <w:t>30</w:t>
      </w:r>
      <w:r>
        <w:rPr>
          <w:rFonts w:hint="eastAsia" w:ascii="宋体" w:hAnsi="宋体" w:cs="宋体"/>
          <w:sz w:val="24"/>
        </w:rPr>
        <w:t>分（北京时间）前递交投标文件。</w:t>
      </w:r>
      <w:bookmarkStart w:id="15" w:name="_Toc35393621"/>
      <w:bookmarkStart w:id="16" w:name="_Toc35393790"/>
      <w:bookmarkStart w:id="17" w:name="_Toc28359079"/>
      <w:bookmarkStart w:id="18" w:name="_Toc28359002"/>
      <w:bookmarkStart w:id="19" w:name="_Hlk24379207"/>
    </w:p>
    <w:p>
      <w:pPr>
        <w:keepNext w:val="0"/>
        <w:keepLines w:val="0"/>
        <w:pageBreakBefore w:val="0"/>
        <w:widowControl w:val="0"/>
        <w:kinsoku/>
        <w:overflowPunct/>
        <w:topLinePunct w:val="0"/>
        <w:autoSpaceDE/>
        <w:autoSpaceDN/>
        <w:bidi w:val="0"/>
        <w:adjustRightInd w:val="0"/>
        <w:snapToGrid w:val="0"/>
        <w:spacing w:line="440" w:lineRule="exact"/>
        <w:textAlignment w:val="auto"/>
        <w:rPr>
          <w:rFonts w:ascii="宋体" w:hAnsi="宋体" w:cs="宋体"/>
          <w:b/>
          <w:bCs/>
          <w:sz w:val="24"/>
        </w:rPr>
      </w:pPr>
      <w:r>
        <w:rPr>
          <w:rFonts w:hint="eastAsia" w:ascii="宋体" w:hAnsi="宋体" w:cs="宋体"/>
          <w:b/>
          <w:sz w:val="24"/>
        </w:rPr>
        <w:t>一、项目基本情况</w:t>
      </w:r>
      <w:bookmarkEnd w:id="15"/>
      <w:bookmarkEnd w:id="16"/>
      <w:bookmarkEnd w:id="17"/>
      <w:bookmarkEnd w:id="18"/>
    </w:p>
    <w:p>
      <w:pPr>
        <w:keepNext w:val="0"/>
        <w:keepLines w:val="0"/>
        <w:pageBreakBefore w:val="0"/>
        <w:widowControl w:val="0"/>
        <w:kinsoku/>
        <w:overflowPunct/>
        <w:topLinePunct w:val="0"/>
        <w:autoSpaceDE/>
        <w:autoSpaceDN/>
        <w:bidi w:val="0"/>
        <w:adjustRightInd w:val="0"/>
        <w:snapToGrid w:val="0"/>
        <w:spacing w:line="440" w:lineRule="exact"/>
        <w:textAlignment w:val="auto"/>
        <w:rPr>
          <w:rFonts w:hint="default" w:ascii="宋体" w:hAnsi="宋体" w:eastAsia="宋体" w:cs="宋体"/>
          <w:sz w:val="24"/>
          <w:lang w:val="en-US" w:eastAsia="zh-CN"/>
        </w:rPr>
      </w:pPr>
      <w:r>
        <w:rPr>
          <w:rFonts w:hint="eastAsia" w:ascii="宋体" w:hAnsi="宋体" w:cs="宋体"/>
          <w:sz w:val="24"/>
        </w:rPr>
        <w:t>1、采购项目编号：宝财招标-2023-74</w:t>
      </w:r>
    </w:p>
    <w:p>
      <w:pPr>
        <w:keepNext w:val="0"/>
        <w:keepLines w:val="0"/>
        <w:pageBreakBefore w:val="0"/>
        <w:widowControl w:val="0"/>
        <w:kinsoku/>
        <w:overflowPunct/>
        <w:topLinePunct w:val="0"/>
        <w:autoSpaceDE/>
        <w:autoSpaceDN/>
        <w:bidi w:val="0"/>
        <w:adjustRightInd w:val="0"/>
        <w:snapToGrid w:val="0"/>
        <w:spacing w:line="440" w:lineRule="exact"/>
        <w:textAlignment w:val="auto"/>
        <w:rPr>
          <w:rFonts w:hint="eastAsia" w:ascii="宋体" w:hAnsi="宋体" w:cs="宋体"/>
          <w:sz w:val="24"/>
        </w:rPr>
      </w:pPr>
      <w:r>
        <w:rPr>
          <w:rFonts w:hint="eastAsia" w:ascii="宋体" w:hAnsi="宋体" w:cs="宋体"/>
          <w:sz w:val="24"/>
        </w:rPr>
        <w:t>2、项目名称：宝丰县交通运输局宝丰县乡村振兴农村路网升级改造工程（一期）项目</w:t>
      </w:r>
    </w:p>
    <w:p>
      <w:pPr>
        <w:keepNext w:val="0"/>
        <w:keepLines w:val="0"/>
        <w:pageBreakBefore w:val="0"/>
        <w:widowControl w:val="0"/>
        <w:kinsoku/>
        <w:overflowPunct/>
        <w:topLinePunct w:val="0"/>
        <w:autoSpaceDE/>
        <w:autoSpaceDN/>
        <w:bidi w:val="0"/>
        <w:adjustRightInd w:val="0"/>
        <w:snapToGrid w:val="0"/>
        <w:spacing w:line="440" w:lineRule="exact"/>
        <w:textAlignment w:val="auto"/>
        <w:rPr>
          <w:rFonts w:ascii="宋体" w:hAnsi="宋体" w:cs="宋体"/>
          <w:sz w:val="24"/>
        </w:rPr>
      </w:pPr>
      <w:r>
        <w:rPr>
          <w:rFonts w:hint="eastAsia" w:ascii="宋体" w:hAnsi="宋体" w:cs="宋体"/>
          <w:sz w:val="24"/>
        </w:rPr>
        <w:t>3、采购方式：公开招标</w:t>
      </w:r>
    </w:p>
    <w:bookmarkEnd w:id="19"/>
    <w:p>
      <w:pPr>
        <w:keepNext w:val="0"/>
        <w:keepLines w:val="0"/>
        <w:pageBreakBefore w:val="0"/>
        <w:widowControl w:val="0"/>
        <w:kinsoku/>
        <w:overflowPunct/>
        <w:topLinePunct w:val="0"/>
        <w:autoSpaceDE/>
        <w:autoSpaceDN/>
        <w:bidi w:val="0"/>
        <w:adjustRightInd w:val="0"/>
        <w:snapToGrid w:val="0"/>
        <w:spacing w:line="440" w:lineRule="exact"/>
        <w:textAlignment w:val="auto"/>
        <w:rPr>
          <w:rFonts w:ascii="宋体" w:hAnsi="宋体" w:cs="宋体"/>
          <w:sz w:val="24"/>
        </w:rPr>
      </w:pPr>
      <w:r>
        <w:rPr>
          <w:rFonts w:hint="eastAsia" w:ascii="宋体" w:hAnsi="宋体" w:cs="宋体"/>
          <w:sz w:val="24"/>
        </w:rPr>
        <w:t>4、预算金额：94215557元 ；最高限价：94215557元 ；</w:t>
      </w:r>
    </w:p>
    <w:tbl>
      <w:tblPr>
        <w:tblStyle w:val="33"/>
        <w:tblW w:w="95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500"/>
        <w:gridCol w:w="1332"/>
        <w:gridCol w:w="3064"/>
        <w:gridCol w:w="2590"/>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30" w:hRule="atLeast"/>
        </w:trPr>
        <w:tc>
          <w:tcPr>
            <w:tcW w:w="500" w:type="dxa"/>
            <w:shd w:val="clear" w:color="auto" w:fill="FFFFFF"/>
            <w:noWrap w:val="0"/>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val="0"/>
              <w:snapToGrid w:val="0"/>
              <w:spacing w:line="440" w:lineRule="exact"/>
              <w:jc w:val="center"/>
              <w:textAlignment w:val="auto"/>
              <w:rPr>
                <w:rFonts w:ascii="宋体" w:hAnsi="宋体" w:cs="宋体"/>
                <w:sz w:val="24"/>
              </w:rPr>
            </w:pPr>
            <w:r>
              <w:rPr>
                <w:rFonts w:hint="eastAsia" w:ascii="宋体" w:hAnsi="宋体" w:cs="宋体"/>
                <w:sz w:val="24"/>
              </w:rPr>
              <w:t>序号</w:t>
            </w:r>
          </w:p>
        </w:tc>
        <w:tc>
          <w:tcPr>
            <w:tcW w:w="1332" w:type="dxa"/>
            <w:shd w:val="clear" w:color="auto" w:fill="FFFFFF"/>
            <w:noWrap w:val="0"/>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val="0"/>
              <w:snapToGrid w:val="0"/>
              <w:spacing w:line="440" w:lineRule="exact"/>
              <w:jc w:val="center"/>
              <w:textAlignment w:val="auto"/>
              <w:rPr>
                <w:rFonts w:ascii="宋体" w:hAnsi="宋体" w:cs="宋体"/>
                <w:sz w:val="24"/>
              </w:rPr>
            </w:pPr>
            <w:r>
              <w:rPr>
                <w:rFonts w:hint="eastAsia" w:ascii="宋体" w:hAnsi="宋体" w:cs="宋体"/>
                <w:sz w:val="24"/>
              </w:rPr>
              <w:t>包号</w:t>
            </w:r>
          </w:p>
        </w:tc>
        <w:tc>
          <w:tcPr>
            <w:tcW w:w="3064" w:type="dxa"/>
            <w:shd w:val="clear" w:color="auto" w:fill="FFFFFF"/>
            <w:noWrap w:val="0"/>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val="0"/>
              <w:snapToGrid w:val="0"/>
              <w:spacing w:line="440" w:lineRule="exact"/>
              <w:jc w:val="center"/>
              <w:textAlignment w:val="auto"/>
              <w:rPr>
                <w:rFonts w:ascii="宋体" w:hAnsi="宋体" w:cs="宋体"/>
                <w:sz w:val="24"/>
              </w:rPr>
            </w:pPr>
            <w:r>
              <w:rPr>
                <w:rFonts w:hint="eastAsia" w:ascii="宋体" w:hAnsi="宋体" w:cs="宋体"/>
                <w:sz w:val="24"/>
              </w:rPr>
              <w:t>包名称</w:t>
            </w:r>
          </w:p>
        </w:tc>
        <w:tc>
          <w:tcPr>
            <w:tcW w:w="2590" w:type="dxa"/>
            <w:shd w:val="clear" w:color="auto" w:fill="FFFFFF"/>
            <w:noWrap w:val="0"/>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val="0"/>
              <w:snapToGrid w:val="0"/>
              <w:spacing w:line="440" w:lineRule="exact"/>
              <w:jc w:val="center"/>
              <w:textAlignment w:val="auto"/>
              <w:rPr>
                <w:rFonts w:ascii="宋体" w:hAnsi="宋体" w:cs="宋体"/>
                <w:sz w:val="24"/>
              </w:rPr>
            </w:pPr>
            <w:r>
              <w:rPr>
                <w:rFonts w:hint="eastAsia" w:ascii="宋体" w:hAnsi="宋体" w:cs="宋体"/>
                <w:sz w:val="24"/>
              </w:rPr>
              <w:t>包预算</w:t>
            </w:r>
          </w:p>
          <w:p>
            <w:pPr>
              <w:keepNext w:val="0"/>
              <w:keepLines w:val="0"/>
              <w:pageBreakBefore w:val="0"/>
              <w:widowControl w:val="0"/>
              <w:kinsoku/>
              <w:overflowPunct/>
              <w:topLinePunct w:val="0"/>
              <w:autoSpaceDE/>
              <w:autoSpaceDN/>
              <w:bidi w:val="0"/>
              <w:adjustRightInd w:val="0"/>
              <w:snapToGrid w:val="0"/>
              <w:spacing w:line="440" w:lineRule="exact"/>
              <w:jc w:val="center"/>
              <w:textAlignment w:val="auto"/>
              <w:rPr>
                <w:rFonts w:ascii="宋体" w:hAnsi="宋体" w:cs="宋体"/>
                <w:sz w:val="24"/>
              </w:rPr>
            </w:pPr>
            <w:r>
              <w:rPr>
                <w:rFonts w:hint="eastAsia" w:ascii="宋体" w:hAnsi="宋体" w:cs="宋体"/>
                <w:sz w:val="24"/>
              </w:rPr>
              <w:t>（元）</w:t>
            </w:r>
          </w:p>
        </w:tc>
        <w:tc>
          <w:tcPr>
            <w:tcW w:w="2079" w:type="dxa"/>
            <w:shd w:val="clear" w:color="auto" w:fill="FFFFFF"/>
            <w:noWrap w:val="0"/>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val="0"/>
              <w:snapToGrid w:val="0"/>
              <w:spacing w:line="440" w:lineRule="exact"/>
              <w:jc w:val="center"/>
              <w:textAlignment w:val="auto"/>
              <w:rPr>
                <w:rFonts w:ascii="宋体" w:hAnsi="宋体" w:cs="宋体"/>
                <w:sz w:val="24"/>
              </w:rPr>
            </w:pPr>
            <w:r>
              <w:rPr>
                <w:rFonts w:hint="eastAsia" w:ascii="宋体" w:hAnsi="宋体" w:cs="宋体"/>
                <w:sz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trPr>
        <w:tc>
          <w:tcPr>
            <w:tcW w:w="500" w:type="dxa"/>
            <w:shd w:val="clear" w:color="auto" w:fill="FFFFFF"/>
            <w:noWrap w:val="0"/>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val="0"/>
              <w:snapToGrid w:val="0"/>
              <w:spacing w:line="440" w:lineRule="exact"/>
              <w:jc w:val="center"/>
              <w:textAlignment w:val="auto"/>
              <w:rPr>
                <w:rFonts w:ascii="宋体" w:hAnsi="宋体" w:cs="宋体"/>
                <w:sz w:val="24"/>
              </w:rPr>
            </w:pPr>
            <w:r>
              <w:rPr>
                <w:rFonts w:hint="eastAsia" w:ascii="宋体" w:hAnsi="宋体" w:cs="宋体"/>
                <w:sz w:val="24"/>
              </w:rPr>
              <w:t>1</w:t>
            </w:r>
          </w:p>
        </w:tc>
        <w:tc>
          <w:tcPr>
            <w:tcW w:w="1332" w:type="dxa"/>
            <w:shd w:val="clear" w:color="auto" w:fill="FFFFFF"/>
            <w:noWrap w:val="0"/>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val="0"/>
              <w:snapToGrid w:val="0"/>
              <w:spacing w:line="440" w:lineRule="exact"/>
              <w:textAlignment w:val="auto"/>
              <w:rPr>
                <w:rFonts w:ascii="宋体" w:hAnsi="宋体" w:cs="宋体"/>
                <w:sz w:val="24"/>
              </w:rPr>
            </w:pPr>
            <w:r>
              <w:rPr>
                <w:rFonts w:hint="eastAsia" w:ascii="宋体" w:hAnsi="宋体" w:cs="宋体"/>
                <w:sz w:val="24"/>
              </w:rPr>
              <w:t>第1标段</w:t>
            </w:r>
          </w:p>
        </w:tc>
        <w:tc>
          <w:tcPr>
            <w:tcW w:w="3064" w:type="dxa"/>
            <w:shd w:val="clear" w:color="auto" w:fill="FFFFFF"/>
            <w:noWrap w:val="0"/>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val="0"/>
              <w:snapToGrid w:val="0"/>
              <w:spacing w:line="440" w:lineRule="exact"/>
              <w:jc w:val="center"/>
              <w:textAlignment w:val="auto"/>
              <w:rPr>
                <w:rFonts w:hint="eastAsia" w:ascii="宋体" w:hAnsi="宋体" w:eastAsia="宋体" w:cs="宋体"/>
                <w:sz w:val="24"/>
                <w:lang w:eastAsia="zh-CN"/>
              </w:rPr>
            </w:pPr>
            <w:r>
              <w:rPr>
                <w:rFonts w:hint="eastAsia" w:ascii="宋体" w:hAnsi="宋体" w:cs="宋体"/>
                <w:sz w:val="24"/>
                <w:lang w:eastAsia="zh-CN"/>
              </w:rPr>
              <w:t>施工标</w:t>
            </w:r>
          </w:p>
        </w:tc>
        <w:tc>
          <w:tcPr>
            <w:tcW w:w="2590" w:type="dxa"/>
            <w:shd w:val="clear" w:color="auto" w:fill="FFFFFF"/>
            <w:noWrap w:val="0"/>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val="0"/>
              <w:snapToGrid w:val="0"/>
              <w:spacing w:line="440" w:lineRule="exact"/>
              <w:jc w:val="center"/>
              <w:textAlignment w:val="auto"/>
              <w:rPr>
                <w:rFonts w:ascii="宋体" w:hAnsi="宋体" w:cs="宋体"/>
                <w:sz w:val="24"/>
              </w:rPr>
            </w:pPr>
            <w:r>
              <w:rPr>
                <w:rFonts w:hint="eastAsia" w:ascii="宋体" w:hAnsi="宋体" w:cs="宋体"/>
                <w:sz w:val="24"/>
              </w:rPr>
              <w:t>93045557元</w:t>
            </w:r>
          </w:p>
        </w:tc>
        <w:tc>
          <w:tcPr>
            <w:tcW w:w="2079" w:type="dxa"/>
            <w:shd w:val="clear" w:color="auto" w:fill="FFFFFF"/>
            <w:noWrap w:val="0"/>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val="0"/>
              <w:snapToGrid w:val="0"/>
              <w:spacing w:line="440" w:lineRule="exact"/>
              <w:jc w:val="center"/>
              <w:textAlignment w:val="auto"/>
              <w:rPr>
                <w:rFonts w:ascii="宋体" w:hAnsi="宋体" w:cs="宋体"/>
                <w:sz w:val="24"/>
              </w:rPr>
            </w:pPr>
            <w:r>
              <w:rPr>
                <w:rFonts w:hint="eastAsia" w:ascii="宋体" w:hAnsi="宋体" w:cs="宋体"/>
                <w:sz w:val="24"/>
              </w:rPr>
              <w:t>93045557元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500" w:type="dxa"/>
            <w:shd w:val="clear" w:color="auto" w:fill="FFFFFF"/>
            <w:noWrap w:val="0"/>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val="0"/>
              <w:snapToGrid w:val="0"/>
              <w:spacing w:line="440" w:lineRule="exact"/>
              <w:jc w:val="center"/>
              <w:textAlignment w:val="auto"/>
              <w:rPr>
                <w:rFonts w:hint="eastAsia" w:ascii="宋体" w:hAnsi="宋体" w:cs="宋体"/>
                <w:sz w:val="24"/>
              </w:rPr>
            </w:pPr>
            <w:r>
              <w:rPr>
                <w:rFonts w:hint="eastAsia" w:ascii="宋体" w:hAnsi="宋体" w:cs="宋体"/>
                <w:sz w:val="24"/>
              </w:rPr>
              <w:t>2</w:t>
            </w:r>
          </w:p>
        </w:tc>
        <w:tc>
          <w:tcPr>
            <w:tcW w:w="1332" w:type="dxa"/>
            <w:shd w:val="clear" w:color="auto" w:fill="FFFFFF"/>
            <w:noWrap w:val="0"/>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val="0"/>
              <w:snapToGrid w:val="0"/>
              <w:spacing w:line="440" w:lineRule="exact"/>
              <w:textAlignment w:val="auto"/>
              <w:rPr>
                <w:rFonts w:ascii="宋体" w:hAnsi="宋体" w:cs="宋体"/>
                <w:sz w:val="24"/>
              </w:rPr>
            </w:pPr>
            <w:r>
              <w:rPr>
                <w:rFonts w:hint="eastAsia" w:ascii="宋体" w:hAnsi="宋体" w:cs="宋体"/>
                <w:sz w:val="24"/>
              </w:rPr>
              <w:t>第2标段</w:t>
            </w:r>
          </w:p>
        </w:tc>
        <w:tc>
          <w:tcPr>
            <w:tcW w:w="3064" w:type="dxa"/>
            <w:shd w:val="clear" w:color="auto" w:fill="FFFFFF"/>
            <w:noWrap w:val="0"/>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val="0"/>
              <w:snapToGrid w:val="0"/>
              <w:spacing w:line="440" w:lineRule="exact"/>
              <w:jc w:val="center"/>
              <w:textAlignment w:val="auto"/>
              <w:rPr>
                <w:rFonts w:hint="eastAsia" w:ascii="宋体" w:hAnsi="宋体" w:eastAsia="宋体" w:cs="宋体"/>
                <w:sz w:val="24"/>
                <w:lang w:val="en-US" w:eastAsia="zh-CN"/>
              </w:rPr>
            </w:pPr>
            <w:r>
              <w:rPr>
                <w:rFonts w:hint="eastAsia" w:ascii="宋体" w:hAnsi="宋体" w:cs="宋体"/>
                <w:sz w:val="24"/>
                <w:lang w:val="en-US" w:eastAsia="zh-CN"/>
              </w:rPr>
              <w:t>监理标</w:t>
            </w:r>
          </w:p>
        </w:tc>
        <w:tc>
          <w:tcPr>
            <w:tcW w:w="2590" w:type="dxa"/>
            <w:shd w:val="clear" w:color="auto" w:fill="FFFFFF"/>
            <w:noWrap w:val="0"/>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val="0"/>
              <w:snapToGrid w:val="0"/>
              <w:spacing w:line="440" w:lineRule="exact"/>
              <w:jc w:val="center"/>
              <w:textAlignment w:val="auto"/>
              <w:rPr>
                <w:rFonts w:ascii="宋体" w:hAnsi="宋体" w:cs="宋体"/>
                <w:sz w:val="24"/>
              </w:rPr>
            </w:pPr>
            <w:r>
              <w:rPr>
                <w:rFonts w:hint="eastAsia" w:ascii="宋体" w:hAnsi="宋体" w:cs="宋体"/>
                <w:sz w:val="24"/>
              </w:rPr>
              <w:t>540000元</w:t>
            </w:r>
          </w:p>
        </w:tc>
        <w:tc>
          <w:tcPr>
            <w:tcW w:w="2079" w:type="dxa"/>
            <w:shd w:val="clear" w:color="auto" w:fill="FFFFFF"/>
            <w:noWrap w:val="0"/>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val="0"/>
              <w:snapToGrid w:val="0"/>
              <w:spacing w:line="440" w:lineRule="exact"/>
              <w:jc w:val="center"/>
              <w:textAlignment w:val="auto"/>
              <w:rPr>
                <w:rFonts w:hint="eastAsia" w:ascii="宋体" w:hAnsi="宋体" w:cs="宋体"/>
                <w:sz w:val="24"/>
              </w:rPr>
            </w:pPr>
            <w:r>
              <w:rPr>
                <w:rFonts w:hint="eastAsia" w:ascii="宋体" w:hAnsi="宋体" w:cs="宋体"/>
                <w:sz w:val="24"/>
              </w:rPr>
              <w:t>540000元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500" w:type="dxa"/>
            <w:shd w:val="clear" w:color="auto" w:fill="FFFFFF"/>
            <w:noWrap w:val="0"/>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val="0"/>
              <w:snapToGrid w:val="0"/>
              <w:spacing w:line="440" w:lineRule="exact"/>
              <w:jc w:val="center"/>
              <w:textAlignment w:val="auto"/>
              <w:rPr>
                <w:rFonts w:hint="default" w:ascii="宋体" w:hAnsi="宋体" w:eastAsia="宋体" w:cs="宋体"/>
                <w:sz w:val="24"/>
                <w:lang w:val="en-US" w:eastAsia="zh-CN"/>
              </w:rPr>
            </w:pPr>
            <w:r>
              <w:rPr>
                <w:rFonts w:hint="eastAsia" w:ascii="宋体" w:hAnsi="宋体" w:cs="宋体"/>
                <w:sz w:val="24"/>
                <w:lang w:val="en-US" w:eastAsia="zh-CN"/>
              </w:rPr>
              <w:t>3</w:t>
            </w:r>
          </w:p>
        </w:tc>
        <w:tc>
          <w:tcPr>
            <w:tcW w:w="1332" w:type="dxa"/>
            <w:shd w:val="clear" w:color="auto" w:fill="FFFFFF"/>
            <w:noWrap w:val="0"/>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val="0"/>
              <w:snapToGrid w:val="0"/>
              <w:spacing w:line="440" w:lineRule="exact"/>
              <w:textAlignment w:val="auto"/>
              <w:rPr>
                <w:rFonts w:hint="default" w:ascii="宋体" w:hAnsi="宋体" w:eastAsia="宋体" w:cs="宋体"/>
                <w:sz w:val="24"/>
                <w:lang w:val="en-US" w:eastAsia="zh-CN"/>
              </w:rPr>
            </w:pPr>
            <w:r>
              <w:rPr>
                <w:rFonts w:hint="eastAsia" w:ascii="宋体" w:hAnsi="宋体" w:cs="宋体"/>
                <w:sz w:val="24"/>
                <w:lang w:eastAsia="zh-CN"/>
              </w:rPr>
              <w:t>第</w:t>
            </w:r>
            <w:r>
              <w:rPr>
                <w:rFonts w:hint="eastAsia" w:ascii="宋体" w:hAnsi="宋体" w:cs="宋体"/>
                <w:sz w:val="24"/>
                <w:lang w:val="en-US" w:eastAsia="zh-CN"/>
              </w:rPr>
              <w:t>3标段</w:t>
            </w:r>
          </w:p>
        </w:tc>
        <w:tc>
          <w:tcPr>
            <w:tcW w:w="3064" w:type="dxa"/>
            <w:shd w:val="clear" w:color="auto" w:fill="FFFFFF"/>
            <w:noWrap w:val="0"/>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val="0"/>
              <w:snapToGrid w:val="0"/>
              <w:spacing w:line="440" w:lineRule="exact"/>
              <w:jc w:val="center"/>
              <w:textAlignment w:val="auto"/>
              <w:rPr>
                <w:rFonts w:hint="eastAsia" w:ascii="宋体" w:hAnsi="宋体" w:cs="宋体"/>
                <w:sz w:val="24"/>
              </w:rPr>
            </w:pPr>
            <w:r>
              <w:rPr>
                <w:rFonts w:hint="eastAsia" w:ascii="宋体" w:hAnsi="宋体" w:cs="宋体"/>
                <w:sz w:val="24"/>
                <w:lang w:val="en-US" w:eastAsia="zh-CN"/>
              </w:rPr>
              <w:t>监理标</w:t>
            </w:r>
          </w:p>
        </w:tc>
        <w:tc>
          <w:tcPr>
            <w:tcW w:w="2590" w:type="dxa"/>
            <w:shd w:val="clear" w:color="auto" w:fill="FFFFFF"/>
            <w:noWrap w:val="0"/>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val="0"/>
              <w:snapToGrid w:val="0"/>
              <w:spacing w:line="440" w:lineRule="exact"/>
              <w:jc w:val="center"/>
              <w:textAlignment w:val="auto"/>
              <w:rPr>
                <w:rFonts w:ascii="宋体" w:hAnsi="宋体" w:cs="宋体"/>
                <w:sz w:val="24"/>
              </w:rPr>
            </w:pPr>
            <w:r>
              <w:rPr>
                <w:rFonts w:hint="eastAsia" w:ascii="宋体" w:hAnsi="宋体" w:cs="宋体"/>
                <w:sz w:val="24"/>
              </w:rPr>
              <w:t>630000元</w:t>
            </w:r>
          </w:p>
        </w:tc>
        <w:tc>
          <w:tcPr>
            <w:tcW w:w="2079" w:type="dxa"/>
            <w:shd w:val="clear" w:color="auto" w:fill="FFFFFF"/>
            <w:noWrap w:val="0"/>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val="0"/>
              <w:snapToGrid w:val="0"/>
              <w:spacing w:line="440" w:lineRule="exact"/>
              <w:jc w:val="center"/>
              <w:textAlignment w:val="auto"/>
              <w:rPr>
                <w:rFonts w:hint="eastAsia" w:ascii="宋体" w:hAnsi="宋体" w:cs="宋体"/>
                <w:sz w:val="24"/>
              </w:rPr>
            </w:pPr>
            <w:r>
              <w:rPr>
                <w:rFonts w:hint="eastAsia" w:ascii="宋体" w:hAnsi="宋体" w:cs="宋体"/>
                <w:sz w:val="24"/>
              </w:rPr>
              <w:t>630000元</w:t>
            </w:r>
          </w:p>
        </w:tc>
      </w:tr>
    </w:tbl>
    <w:p>
      <w:pPr>
        <w:keepNext w:val="0"/>
        <w:keepLines w:val="0"/>
        <w:pageBreakBefore w:val="0"/>
        <w:widowControl w:val="0"/>
        <w:kinsoku/>
        <w:overflowPunct/>
        <w:topLinePunct w:val="0"/>
        <w:autoSpaceDE/>
        <w:autoSpaceDN/>
        <w:bidi w:val="0"/>
        <w:adjustRightInd w:val="0"/>
        <w:snapToGrid w:val="0"/>
        <w:spacing w:line="440" w:lineRule="exact"/>
        <w:textAlignment w:val="auto"/>
        <w:rPr>
          <w:rFonts w:ascii="宋体" w:hAnsi="宋体" w:cs="宋体"/>
          <w:sz w:val="24"/>
        </w:rPr>
      </w:pPr>
      <w:r>
        <w:rPr>
          <w:rFonts w:hint="eastAsia" w:ascii="宋体" w:hAnsi="宋体" w:cs="宋体"/>
          <w:sz w:val="24"/>
        </w:rPr>
        <w:t xml:space="preserve">5、采购需求： </w:t>
      </w:r>
    </w:p>
    <w:p>
      <w:pPr>
        <w:keepNext w:val="0"/>
        <w:keepLines w:val="0"/>
        <w:pageBreakBefore w:val="0"/>
        <w:widowControl w:val="0"/>
        <w:kinsoku/>
        <w:overflowPunct/>
        <w:topLinePunct w:val="0"/>
        <w:autoSpaceDE/>
        <w:autoSpaceDN/>
        <w:bidi w:val="0"/>
        <w:adjustRightInd w:val="0"/>
        <w:snapToGrid w:val="0"/>
        <w:spacing w:line="440" w:lineRule="exact"/>
        <w:textAlignment w:val="auto"/>
        <w:rPr>
          <w:rFonts w:ascii="宋体" w:hAnsi="宋体" w:cs="宋体"/>
          <w:sz w:val="24"/>
        </w:rPr>
      </w:pPr>
      <w:r>
        <w:rPr>
          <w:rFonts w:hint="eastAsia" w:ascii="宋体" w:hAnsi="宋体" w:cs="宋体"/>
          <w:sz w:val="24"/>
        </w:rPr>
        <w:t>5.1主要内容：本项目位于平顶山市宝丰县，为宝丰县农村公路升级改造项目，共涉及赵庄镇、商酒务镇、张八桥镇、观音堂林业生态旅游示范区、大营镇、杨庄镇、周庄镇、闹店镇、李庄乡、石桥镇、肖旗乡、前营乡 12 个乡镇共 191 条路。总里程116.980Km，其中 94 条沥青路，里程 90.192 公里；97 条水泥混凝土路，里程 26.788 公里。拟建道路双车道道路等级为四级公路（I 类），设计速度 20Km/h；单车道道路等级为四级公路（II类），设计车速 15Km/h。5.2招标范围：</w:t>
      </w:r>
    </w:p>
    <w:p>
      <w:pPr>
        <w:keepNext w:val="0"/>
        <w:keepLines w:val="0"/>
        <w:pageBreakBefore w:val="0"/>
        <w:widowControl w:val="0"/>
        <w:kinsoku/>
        <w:overflowPunct/>
        <w:topLinePunct w:val="0"/>
        <w:autoSpaceDE/>
        <w:autoSpaceDN/>
        <w:bidi w:val="0"/>
        <w:adjustRightInd w:val="0"/>
        <w:snapToGrid w:val="0"/>
        <w:spacing w:line="440" w:lineRule="exact"/>
        <w:textAlignment w:val="auto"/>
        <w:rPr>
          <w:rFonts w:ascii="宋体" w:hAnsi="宋体" w:cs="宋体"/>
          <w:sz w:val="24"/>
        </w:rPr>
      </w:pPr>
      <w:r>
        <w:rPr>
          <w:rFonts w:hint="eastAsia" w:ascii="宋体" w:hAnsi="宋体" w:cs="宋体"/>
          <w:sz w:val="24"/>
        </w:rPr>
        <w:t>第1标段：施工图及工程量清单内招标人发包的全部内容。</w:t>
      </w:r>
    </w:p>
    <w:p>
      <w:pPr>
        <w:keepNext w:val="0"/>
        <w:keepLines w:val="0"/>
        <w:pageBreakBefore w:val="0"/>
        <w:widowControl w:val="0"/>
        <w:kinsoku/>
        <w:overflowPunct/>
        <w:topLinePunct w:val="0"/>
        <w:autoSpaceDE/>
        <w:autoSpaceDN/>
        <w:bidi w:val="0"/>
        <w:adjustRightInd w:val="0"/>
        <w:snapToGrid w:val="0"/>
        <w:spacing w:line="440" w:lineRule="exact"/>
        <w:textAlignment w:val="auto"/>
        <w:rPr>
          <w:rFonts w:hint="eastAsia" w:ascii="宋体" w:hAnsi="宋体" w:cs="宋体"/>
          <w:color w:val="auto"/>
          <w:sz w:val="24"/>
          <w:lang w:eastAsia="zh-CN"/>
        </w:rPr>
      </w:pPr>
      <w:r>
        <w:rPr>
          <w:rFonts w:hint="eastAsia" w:ascii="宋体" w:hAnsi="宋体" w:cs="宋体"/>
          <w:color w:val="auto"/>
          <w:sz w:val="24"/>
        </w:rPr>
        <w:t>第2标段</w:t>
      </w:r>
      <w:r>
        <w:rPr>
          <w:rFonts w:hint="eastAsia" w:ascii="宋体" w:hAnsi="宋体" w:cs="宋体"/>
          <w:color w:val="auto"/>
          <w:sz w:val="24"/>
          <w:lang w:eastAsia="zh-CN"/>
        </w:rPr>
        <w:t>：</w:t>
      </w:r>
      <w:r>
        <w:rPr>
          <w:rFonts w:hint="eastAsia" w:ascii="宋体" w:hAnsi="宋体" w:cs="宋体"/>
          <w:color w:val="auto"/>
          <w:sz w:val="24"/>
        </w:rPr>
        <w:t>施工及缺陷责任期内质量修复的监理服务</w:t>
      </w:r>
      <w:r>
        <w:rPr>
          <w:rFonts w:hint="eastAsia" w:ascii="宋体" w:hAnsi="宋体" w:cs="宋体"/>
          <w:color w:val="auto"/>
          <w:sz w:val="24"/>
          <w:lang w:eastAsia="zh-CN"/>
        </w:rPr>
        <w:t>（李庄乡、闹店镇、周庄镇、杨庄镇、石桥</w:t>
      </w:r>
      <w:r>
        <w:rPr>
          <w:rFonts w:hint="eastAsia" w:ascii="宋体" w:hAnsi="宋体" w:cs="宋体"/>
          <w:color w:val="auto"/>
          <w:sz w:val="24"/>
        </w:rPr>
        <w:t>镇</w:t>
      </w:r>
      <w:r>
        <w:rPr>
          <w:rFonts w:hint="eastAsia" w:ascii="宋体" w:hAnsi="宋体" w:cs="宋体"/>
          <w:color w:val="auto"/>
          <w:sz w:val="24"/>
          <w:lang w:eastAsia="zh-CN"/>
        </w:rPr>
        <w:t>、</w:t>
      </w:r>
      <w:r>
        <w:rPr>
          <w:rFonts w:hint="eastAsia" w:ascii="宋体" w:hAnsi="宋体" w:cs="宋体"/>
          <w:color w:val="auto"/>
          <w:sz w:val="24"/>
        </w:rPr>
        <w:t>观音堂林业生态旅游示范区</w:t>
      </w:r>
      <w:r>
        <w:rPr>
          <w:rFonts w:hint="eastAsia" w:ascii="宋体" w:hAnsi="宋体" w:cs="宋体"/>
          <w:color w:val="auto"/>
          <w:sz w:val="24"/>
          <w:lang w:eastAsia="zh-CN"/>
        </w:rPr>
        <w:t>）</w:t>
      </w:r>
    </w:p>
    <w:p>
      <w:pPr>
        <w:keepNext w:val="0"/>
        <w:keepLines w:val="0"/>
        <w:pageBreakBefore w:val="0"/>
        <w:widowControl w:val="0"/>
        <w:kinsoku/>
        <w:overflowPunct/>
        <w:topLinePunct w:val="0"/>
        <w:autoSpaceDE/>
        <w:autoSpaceDN/>
        <w:bidi w:val="0"/>
        <w:adjustRightInd w:val="0"/>
        <w:snapToGrid w:val="0"/>
        <w:spacing w:line="440" w:lineRule="exact"/>
        <w:textAlignment w:val="auto"/>
        <w:rPr>
          <w:rFonts w:hint="eastAsia" w:ascii="宋体" w:hAnsi="宋体" w:eastAsia="宋体" w:cs="宋体"/>
          <w:color w:val="0000FF"/>
          <w:sz w:val="24"/>
          <w:lang w:eastAsia="zh-CN"/>
        </w:rPr>
      </w:pPr>
      <w:r>
        <w:rPr>
          <w:rFonts w:hint="eastAsia" w:ascii="宋体" w:hAnsi="宋体" w:cs="宋体"/>
          <w:color w:val="auto"/>
          <w:sz w:val="24"/>
          <w:lang w:eastAsia="zh-CN"/>
        </w:rPr>
        <w:t>第</w:t>
      </w:r>
      <w:r>
        <w:rPr>
          <w:rFonts w:hint="eastAsia" w:ascii="宋体" w:hAnsi="宋体" w:cs="宋体"/>
          <w:color w:val="auto"/>
          <w:sz w:val="24"/>
          <w:lang w:val="en-US" w:eastAsia="zh-CN"/>
        </w:rPr>
        <w:t>3标段</w:t>
      </w:r>
      <w:r>
        <w:rPr>
          <w:rFonts w:hint="eastAsia" w:ascii="宋体" w:hAnsi="宋体" w:cs="宋体"/>
          <w:color w:val="auto"/>
          <w:sz w:val="24"/>
        </w:rPr>
        <w:t>： 施工及缺陷责任期内质量修复的监理服务</w:t>
      </w:r>
      <w:r>
        <w:rPr>
          <w:rFonts w:hint="eastAsia" w:ascii="宋体" w:hAnsi="宋体" w:cs="宋体"/>
          <w:color w:val="auto"/>
          <w:sz w:val="24"/>
          <w:lang w:eastAsia="zh-CN"/>
        </w:rPr>
        <w:t>（</w:t>
      </w:r>
      <w:r>
        <w:rPr>
          <w:rFonts w:hint="eastAsia" w:ascii="宋体" w:hAnsi="宋体" w:cs="宋体"/>
          <w:color w:val="auto"/>
          <w:sz w:val="24"/>
        </w:rPr>
        <w:t>赵庄</w:t>
      </w:r>
      <w:r>
        <w:rPr>
          <w:rFonts w:hint="eastAsia" w:ascii="宋体" w:hAnsi="宋体" w:cs="宋体"/>
          <w:color w:val="auto"/>
          <w:sz w:val="24"/>
          <w:lang w:eastAsia="zh-CN"/>
        </w:rPr>
        <w:t>镇</w:t>
      </w:r>
      <w:r>
        <w:rPr>
          <w:rFonts w:hint="eastAsia" w:ascii="宋体" w:hAnsi="宋体" w:cs="宋体"/>
          <w:color w:val="auto"/>
          <w:sz w:val="24"/>
        </w:rPr>
        <w:t>、</w:t>
      </w:r>
      <w:r>
        <w:rPr>
          <w:rFonts w:hint="eastAsia" w:ascii="宋体" w:hAnsi="宋体" w:cs="宋体"/>
          <w:sz w:val="24"/>
        </w:rPr>
        <w:t>商酒务镇、张八桥镇、大营镇、肖旗乡、前营乡</w:t>
      </w:r>
      <w:r>
        <w:rPr>
          <w:rFonts w:hint="eastAsia" w:ascii="宋体" w:hAnsi="宋体" w:cs="宋体"/>
          <w:color w:val="0000FF"/>
          <w:sz w:val="24"/>
          <w:lang w:eastAsia="zh-CN"/>
        </w:rPr>
        <w:t>）</w:t>
      </w:r>
    </w:p>
    <w:p>
      <w:pPr>
        <w:keepNext w:val="0"/>
        <w:keepLines w:val="0"/>
        <w:pageBreakBefore w:val="0"/>
        <w:widowControl w:val="0"/>
        <w:kinsoku/>
        <w:overflowPunct/>
        <w:topLinePunct w:val="0"/>
        <w:autoSpaceDE/>
        <w:autoSpaceDN/>
        <w:bidi w:val="0"/>
        <w:adjustRightInd w:val="0"/>
        <w:snapToGrid w:val="0"/>
        <w:spacing w:line="440" w:lineRule="exact"/>
        <w:textAlignment w:val="auto"/>
        <w:rPr>
          <w:rFonts w:ascii="宋体" w:hAnsi="宋体" w:cs="宋体"/>
          <w:color w:val="auto"/>
          <w:sz w:val="24"/>
          <w:highlight w:val="none"/>
        </w:rPr>
      </w:pPr>
      <w:r>
        <w:rPr>
          <w:rFonts w:hint="eastAsia" w:ascii="宋体" w:hAnsi="宋体" w:cs="宋体"/>
          <w:color w:val="auto"/>
          <w:sz w:val="24"/>
          <w:highlight w:val="none"/>
        </w:rPr>
        <w:t>5.3标段划分：本项目共划分为</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个标段；第1标段：施工标；第2标段</w:t>
      </w:r>
      <w:r>
        <w:rPr>
          <w:rFonts w:hint="eastAsia" w:ascii="宋体" w:hAnsi="宋体" w:cs="宋体"/>
          <w:color w:val="auto"/>
          <w:sz w:val="24"/>
          <w:highlight w:val="none"/>
          <w:lang w:eastAsia="zh-CN"/>
        </w:rPr>
        <w:t>、第</w:t>
      </w:r>
      <w:r>
        <w:rPr>
          <w:rFonts w:hint="eastAsia" w:ascii="宋体" w:hAnsi="宋体" w:cs="宋体"/>
          <w:color w:val="auto"/>
          <w:sz w:val="24"/>
          <w:highlight w:val="none"/>
          <w:lang w:val="en-US" w:eastAsia="zh-CN"/>
        </w:rPr>
        <w:t>3标段</w:t>
      </w:r>
      <w:r>
        <w:rPr>
          <w:rFonts w:hint="eastAsia" w:ascii="宋体" w:hAnsi="宋体" w:cs="宋体"/>
          <w:color w:val="auto"/>
          <w:sz w:val="24"/>
          <w:highlight w:val="none"/>
        </w:rPr>
        <w:t>：监理标；</w:t>
      </w:r>
    </w:p>
    <w:p>
      <w:pPr>
        <w:keepNext w:val="0"/>
        <w:keepLines w:val="0"/>
        <w:pageBreakBefore w:val="0"/>
        <w:widowControl w:val="0"/>
        <w:kinsoku/>
        <w:overflowPunct/>
        <w:topLinePunct w:val="0"/>
        <w:autoSpaceDE/>
        <w:autoSpaceDN/>
        <w:bidi w:val="0"/>
        <w:adjustRightInd w:val="0"/>
        <w:snapToGrid w:val="0"/>
        <w:spacing w:line="440" w:lineRule="exact"/>
        <w:textAlignment w:val="auto"/>
        <w:rPr>
          <w:rFonts w:ascii="宋体" w:hAnsi="宋体" w:cs="宋体"/>
          <w:color w:val="auto"/>
          <w:sz w:val="24"/>
          <w:highlight w:val="none"/>
        </w:rPr>
      </w:pPr>
      <w:r>
        <w:rPr>
          <w:rFonts w:hint="eastAsia" w:ascii="宋体" w:hAnsi="宋体" w:cs="宋体"/>
          <w:color w:val="auto"/>
          <w:sz w:val="24"/>
          <w:highlight w:val="none"/>
        </w:rPr>
        <w:t>5.4资金来源：财政资金，已落实；</w:t>
      </w:r>
    </w:p>
    <w:p>
      <w:pPr>
        <w:keepNext w:val="0"/>
        <w:keepLines w:val="0"/>
        <w:pageBreakBefore w:val="0"/>
        <w:widowControl w:val="0"/>
        <w:kinsoku/>
        <w:overflowPunct/>
        <w:topLinePunct w:val="0"/>
        <w:autoSpaceDE/>
        <w:autoSpaceDN/>
        <w:bidi w:val="0"/>
        <w:adjustRightInd w:val="0"/>
        <w:snapToGrid w:val="0"/>
        <w:spacing w:line="44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5.5</w:t>
      </w:r>
      <w:r>
        <w:rPr>
          <w:rFonts w:hint="eastAsia" w:ascii="宋体" w:hAnsi="宋体"/>
          <w:color w:val="auto"/>
          <w:sz w:val="24"/>
          <w:highlight w:val="none"/>
        </w:rPr>
        <w:t>第1标段</w:t>
      </w:r>
      <w:r>
        <w:rPr>
          <w:rFonts w:hint="eastAsia" w:ascii="宋体" w:hAnsi="宋体" w:cs="宋体"/>
          <w:color w:val="auto"/>
          <w:sz w:val="24"/>
          <w:highlight w:val="none"/>
        </w:rPr>
        <w:t>施工工期：</w:t>
      </w:r>
      <w:r>
        <w:rPr>
          <w:rFonts w:hint="eastAsia" w:ascii="宋体" w:hAnsi="宋体" w:cs="宋体"/>
          <w:color w:val="auto"/>
          <w:sz w:val="24"/>
          <w:highlight w:val="none"/>
          <w:lang w:val="en-US" w:eastAsia="zh-CN"/>
        </w:rPr>
        <w:t>700</w:t>
      </w:r>
      <w:r>
        <w:rPr>
          <w:rFonts w:hint="eastAsia" w:ascii="宋体" w:hAnsi="宋体" w:cs="宋体"/>
          <w:color w:val="auto"/>
          <w:sz w:val="24"/>
          <w:highlight w:val="none"/>
        </w:rPr>
        <w:t>日历天；</w:t>
      </w:r>
    </w:p>
    <w:p>
      <w:pPr>
        <w:keepNext w:val="0"/>
        <w:keepLines w:val="0"/>
        <w:pageBreakBefore w:val="0"/>
        <w:widowControl w:val="0"/>
        <w:kinsoku/>
        <w:overflowPunct/>
        <w:topLinePunct w:val="0"/>
        <w:autoSpaceDE/>
        <w:autoSpaceDN/>
        <w:bidi w:val="0"/>
        <w:adjustRightInd w:val="0"/>
        <w:snapToGrid w:val="0"/>
        <w:spacing w:line="440" w:lineRule="exact"/>
        <w:textAlignment w:val="auto"/>
        <w:rPr>
          <w:rFonts w:hint="eastAsia" w:ascii="宋体" w:hAnsi="宋体" w:cs="宋体"/>
          <w:color w:val="auto"/>
          <w:sz w:val="24"/>
          <w:highlight w:val="none"/>
        </w:rPr>
      </w:pPr>
      <w:r>
        <w:rPr>
          <w:rFonts w:hint="eastAsia" w:ascii="宋体" w:hAnsi="宋体"/>
          <w:color w:val="auto"/>
          <w:sz w:val="24"/>
          <w:highlight w:val="none"/>
        </w:rPr>
        <w:t>第2标段</w:t>
      </w:r>
      <w:r>
        <w:rPr>
          <w:rFonts w:hint="eastAsia" w:ascii="宋体" w:hAnsi="宋体" w:cs="宋体"/>
          <w:color w:val="auto"/>
          <w:sz w:val="24"/>
          <w:highlight w:val="none"/>
          <w:lang w:eastAsia="zh-CN"/>
        </w:rPr>
        <w:t>、第</w:t>
      </w:r>
      <w:r>
        <w:rPr>
          <w:rFonts w:hint="eastAsia" w:ascii="宋体" w:hAnsi="宋体" w:cs="宋体"/>
          <w:color w:val="auto"/>
          <w:sz w:val="24"/>
          <w:highlight w:val="none"/>
          <w:lang w:val="en-US" w:eastAsia="zh-CN"/>
        </w:rPr>
        <w:t>3标段</w:t>
      </w:r>
      <w:r>
        <w:rPr>
          <w:rFonts w:hint="eastAsia" w:ascii="宋体" w:hAnsi="宋体" w:cs="宋体"/>
          <w:color w:val="auto"/>
          <w:sz w:val="24"/>
          <w:highlight w:val="none"/>
        </w:rPr>
        <w:t>监理服务期限：同施工工期及缺陷责任期；</w:t>
      </w:r>
    </w:p>
    <w:p>
      <w:pPr>
        <w:keepNext w:val="0"/>
        <w:keepLines w:val="0"/>
        <w:pageBreakBefore w:val="0"/>
        <w:widowControl w:val="0"/>
        <w:kinsoku/>
        <w:overflowPunct/>
        <w:topLinePunct w:val="0"/>
        <w:autoSpaceDE/>
        <w:autoSpaceDN/>
        <w:bidi w:val="0"/>
        <w:adjustRightInd w:val="0"/>
        <w:snapToGrid w:val="0"/>
        <w:spacing w:line="440" w:lineRule="exact"/>
        <w:textAlignment w:val="auto"/>
        <w:rPr>
          <w:rFonts w:ascii="宋体" w:hAnsi="宋体" w:cs="宋体"/>
          <w:color w:val="auto"/>
          <w:sz w:val="24"/>
          <w:highlight w:val="none"/>
        </w:rPr>
      </w:pPr>
      <w:r>
        <w:rPr>
          <w:rFonts w:hint="eastAsia" w:ascii="宋体" w:hAnsi="宋体" w:cs="宋体"/>
          <w:color w:val="auto"/>
          <w:sz w:val="24"/>
          <w:highlight w:val="none"/>
        </w:rPr>
        <w:t>5.6质量要求:合格</w:t>
      </w:r>
    </w:p>
    <w:p>
      <w:pPr>
        <w:keepNext w:val="0"/>
        <w:keepLines w:val="0"/>
        <w:pageBreakBefore w:val="0"/>
        <w:widowControl w:val="0"/>
        <w:numPr>
          <w:ilvl w:val="0"/>
          <w:numId w:val="1"/>
        </w:numPr>
        <w:kinsoku/>
        <w:overflowPunct/>
        <w:topLinePunct w:val="0"/>
        <w:autoSpaceDE/>
        <w:autoSpaceDN/>
        <w:bidi w:val="0"/>
        <w:adjustRightInd w:val="0"/>
        <w:snapToGrid w:val="0"/>
        <w:spacing w:line="440" w:lineRule="exact"/>
        <w:textAlignment w:val="auto"/>
        <w:rPr>
          <w:rFonts w:hint="eastAsia" w:ascii="宋体" w:hAnsi="宋体" w:cs="宋体"/>
          <w:color w:val="auto"/>
          <w:sz w:val="24"/>
          <w:highlight w:val="none"/>
        </w:rPr>
      </w:pPr>
      <w:bookmarkStart w:id="20" w:name="_Toc28359003"/>
      <w:bookmarkStart w:id="21" w:name="_Toc28359080"/>
      <w:bookmarkStart w:id="22" w:name="_Toc35393622"/>
      <w:bookmarkStart w:id="23" w:name="_Toc35393791"/>
      <w:r>
        <w:rPr>
          <w:rFonts w:hint="eastAsia" w:ascii="宋体" w:hAnsi="宋体" w:cs="宋体"/>
          <w:color w:val="auto"/>
          <w:sz w:val="24"/>
          <w:highlight w:val="none"/>
        </w:rPr>
        <w:t>合同履行期限：按合同实际签订为准；</w:t>
      </w:r>
    </w:p>
    <w:p>
      <w:pPr>
        <w:keepNext w:val="0"/>
        <w:keepLines w:val="0"/>
        <w:pageBreakBefore w:val="0"/>
        <w:widowControl w:val="0"/>
        <w:kinsoku/>
        <w:overflowPunct/>
        <w:topLinePunct w:val="0"/>
        <w:autoSpaceDE/>
        <w:autoSpaceDN/>
        <w:bidi w:val="0"/>
        <w:adjustRightInd w:val="0"/>
        <w:snapToGrid w:val="0"/>
        <w:spacing w:line="440" w:lineRule="exact"/>
        <w:textAlignment w:val="auto"/>
        <w:rPr>
          <w:rFonts w:ascii="宋体" w:hAnsi="宋体" w:cs="宋体"/>
          <w:color w:val="auto"/>
          <w:sz w:val="24"/>
          <w:highlight w:val="none"/>
        </w:rPr>
      </w:pPr>
      <w:r>
        <w:rPr>
          <w:rFonts w:hint="eastAsia" w:ascii="宋体" w:hAnsi="宋体" w:cs="宋体"/>
          <w:color w:val="auto"/>
          <w:sz w:val="24"/>
          <w:highlight w:val="none"/>
        </w:rPr>
        <w:t>7、本项目是否接受联合体投标：否</w:t>
      </w:r>
    </w:p>
    <w:p>
      <w:pPr>
        <w:keepNext w:val="0"/>
        <w:keepLines w:val="0"/>
        <w:pageBreakBefore w:val="0"/>
        <w:widowControl w:val="0"/>
        <w:kinsoku/>
        <w:overflowPunct/>
        <w:topLinePunct w:val="0"/>
        <w:autoSpaceDE/>
        <w:autoSpaceDN/>
        <w:bidi w:val="0"/>
        <w:adjustRightInd w:val="0"/>
        <w:snapToGrid w:val="0"/>
        <w:spacing w:line="44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8、是否接受进口产品：否。</w:t>
      </w:r>
    </w:p>
    <w:p>
      <w:pPr>
        <w:keepNext w:val="0"/>
        <w:keepLines w:val="0"/>
        <w:pageBreakBefore w:val="0"/>
        <w:widowControl w:val="0"/>
        <w:kinsoku/>
        <w:overflowPunct/>
        <w:topLinePunct w:val="0"/>
        <w:autoSpaceDE/>
        <w:autoSpaceDN/>
        <w:bidi w:val="0"/>
        <w:adjustRightInd w:val="0"/>
        <w:snapToGrid w:val="0"/>
        <w:spacing w:line="44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9、是否专门面向中小企业：是。</w:t>
      </w:r>
    </w:p>
    <w:p>
      <w:pPr>
        <w:keepNext w:val="0"/>
        <w:keepLines w:val="0"/>
        <w:pageBreakBefore w:val="0"/>
        <w:widowControl w:val="0"/>
        <w:kinsoku/>
        <w:overflowPunct/>
        <w:topLinePunct w:val="0"/>
        <w:autoSpaceDE/>
        <w:autoSpaceDN/>
        <w:bidi w:val="0"/>
        <w:adjustRightInd w:val="0"/>
        <w:snapToGrid w:val="0"/>
        <w:spacing w:line="440" w:lineRule="exact"/>
        <w:textAlignment w:val="auto"/>
        <w:rPr>
          <w:rFonts w:ascii="宋体" w:hAnsi="宋体" w:cs="宋体"/>
          <w:sz w:val="24"/>
        </w:rPr>
      </w:pPr>
      <w:r>
        <w:rPr>
          <w:rFonts w:hint="eastAsia" w:ascii="宋体" w:hAnsi="宋体" w:cs="宋体"/>
          <w:b/>
          <w:sz w:val="24"/>
        </w:rPr>
        <w:t>二、申请人的资格要求：</w:t>
      </w:r>
      <w:bookmarkEnd w:id="20"/>
      <w:bookmarkEnd w:id="21"/>
      <w:bookmarkEnd w:id="22"/>
      <w:bookmarkEnd w:id="23"/>
    </w:p>
    <w:p>
      <w:pPr>
        <w:adjustRightInd w:val="0"/>
        <w:snapToGrid w:val="0"/>
        <w:spacing w:line="360" w:lineRule="auto"/>
        <w:ind w:firstLine="480" w:firstLineChars="200"/>
        <w:jc w:val="left"/>
        <w:rPr>
          <w:rFonts w:hint="eastAsia" w:ascii="宋体" w:hAnsi="宋体" w:cs="宋体"/>
          <w:sz w:val="24"/>
          <w:u w:val="none"/>
        </w:rPr>
      </w:pPr>
      <w:r>
        <w:rPr>
          <w:rFonts w:hint="eastAsia" w:ascii="宋体" w:hAnsi="宋体" w:cs="宋体"/>
          <w:sz w:val="24"/>
          <w:u w:val="none"/>
        </w:rPr>
        <w:t>1、满足《中华人民共和国政府采购法》第二十二条规定；</w:t>
      </w:r>
    </w:p>
    <w:p>
      <w:pPr>
        <w:adjustRightInd w:val="0"/>
        <w:snapToGrid w:val="0"/>
        <w:spacing w:line="360" w:lineRule="auto"/>
        <w:ind w:firstLine="480" w:firstLineChars="200"/>
        <w:jc w:val="left"/>
        <w:rPr>
          <w:rFonts w:hint="eastAsia" w:ascii="宋体" w:hAnsi="宋体" w:cs="宋体"/>
          <w:sz w:val="24"/>
          <w:highlight w:val="yellow"/>
          <w:u w:val="none"/>
        </w:rPr>
      </w:pPr>
      <w:r>
        <w:rPr>
          <w:rFonts w:hint="eastAsia" w:ascii="宋体" w:hAnsi="宋体" w:cs="宋体"/>
          <w:sz w:val="24"/>
          <w:u w:val="none"/>
        </w:rPr>
        <w:t>2、落实政府采购政策需满足的资格要求：本项目落实节约能源、保护环境、扶持不发达地区和少数民族地区、促进小微企业、监狱企业及残疾人福利性单位发展等政府采购政策；根据《政府采购促进中小企业发展管理办法》财库〔2020〕46号规定，本项目专门面向中小企业采购。</w:t>
      </w:r>
    </w:p>
    <w:p>
      <w:pPr>
        <w:adjustRightInd w:val="0"/>
        <w:snapToGrid w:val="0"/>
        <w:spacing w:line="360" w:lineRule="auto"/>
        <w:ind w:firstLine="480" w:firstLineChars="200"/>
        <w:jc w:val="left"/>
        <w:rPr>
          <w:rFonts w:hint="eastAsia" w:ascii="宋体" w:hAnsi="宋体" w:cs="宋体"/>
          <w:sz w:val="24"/>
          <w:u w:val="none"/>
        </w:rPr>
      </w:pPr>
      <w:r>
        <w:rPr>
          <w:rFonts w:hint="eastAsia" w:ascii="宋体" w:hAnsi="宋体" w:cs="宋体"/>
          <w:sz w:val="24"/>
          <w:u w:val="none"/>
        </w:rPr>
        <w:t>3、本项目的特定资格要求：</w:t>
      </w:r>
    </w:p>
    <w:p>
      <w:pPr>
        <w:adjustRightInd w:val="0"/>
        <w:snapToGrid w:val="0"/>
        <w:spacing w:line="360" w:lineRule="auto"/>
        <w:ind w:firstLine="482" w:firstLineChars="200"/>
        <w:jc w:val="left"/>
        <w:rPr>
          <w:rFonts w:hint="eastAsia" w:ascii="宋体" w:hAnsi="宋体" w:cs="宋体"/>
          <w:b/>
          <w:sz w:val="24"/>
          <w:u w:val="none"/>
          <w:lang w:eastAsia="zh-CN"/>
        </w:rPr>
      </w:pPr>
      <w:r>
        <w:rPr>
          <w:rFonts w:hint="eastAsia" w:ascii="宋体" w:hAnsi="宋体" w:cs="宋体"/>
          <w:b/>
          <w:sz w:val="24"/>
          <w:u w:val="none"/>
          <w:lang w:eastAsia="zh-CN"/>
        </w:rPr>
        <w:t>第</w:t>
      </w:r>
      <w:r>
        <w:rPr>
          <w:rFonts w:hint="eastAsia" w:ascii="宋体" w:hAnsi="宋体" w:cs="宋体"/>
          <w:b/>
          <w:sz w:val="24"/>
          <w:u w:val="none"/>
          <w:lang w:val="en-US" w:eastAsia="zh-CN"/>
        </w:rPr>
        <w:t>1</w:t>
      </w:r>
      <w:r>
        <w:rPr>
          <w:rFonts w:hint="eastAsia" w:ascii="宋体" w:hAnsi="宋体" w:cs="宋体"/>
          <w:b/>
          <w:sz w:val="24"/>
          <w:u w:val="none"/>
          <w:lang w:eastAsia="zh-CN"/>
        </w:rPr>
        <w:t>标段</w:t>
      </w:r>
    </w:p>
    <w:p>
      <w:pPr>
        <w:adjustRightInd w:val="0"/>
        <w:snapToGrid w:val="0"/>
        <w:spacing w:line="360" w:lineRule="auto"/>
        <w:ind w:firstLine="480" w:firstLineChars="200"/>
        <w:jc w:val="left"/>
        <w:rPr>
          <w:rFonts w:hint="eastAsia" w:ascii="宋体" w:hAnsi="宋体" w:cs="宋体"/>
          <w:sz w:val="24"/>
          <w:u w:val="none"/>
        </w:rPr>
      </w:pPr>
      <w:r>
        <w:rPr>
          <w:rFonts w:hint="eastAsia" w:ascii="宋体" w:hAnsi="宋体" w:cs="宋体"/>
          <w:sz w:val="24"/>
          <w:u w:val="none"/>
        </w:rPr>
        <w:t>3.1.1企业资质要求：具有独立的法人资格及有效的营业执照，具有公路工程施工总承包三级及以上资质，具有有效的企业安全生产许可证；</w:t>
      </w:r>
    </w:p>
    <w:p>
      <w:pPr>
        <w:adjustRightInd w:val="0"/>
        <w:snapToGrid w:val="0"/>
        <w:spacing w:line="360" w:lineRule="auto"/>
        <w:ind w:firstLine="480" w:firstLineChars="200"/>
        <w:jc w:val="left"/>
        <w:rPr>
          <w:rFonts w:hint="eastAsia" w:ascii="宋体" w:hAnsi="宋体" w:cs="宋体"/>
          <w:sz w:val="24"/>
          <w:u w:val="none"/>
        </w:rPr>
      </w:pPr>
      <w:r>
        <w:rPr>
          <w:rFonts w:hint="eastAsia" w:ascii="宋体" w:hAnsi="宋体" w:cs="宋体"/>
          <w:sz w:val="24"/>
          <w:u w:val="none"/>
        </w:rPr>
        <w:t>3.1.2项目经理及技术负责人资格要求：拟派项目经理须具有公路工程二级注册建造师及以上资格，具有有效的安全生产考核合格证且无在建项目（提供承诺书，格式自拟）；技术负责人须具有相关专业中级及以上职称；拟派项目经理、技术负责人必须为本企业正式员工，提供与其单位签订的劳动合同及投标人202</w:t>
      </w:r>
      <w:r>
        <w:rPr>
          <w:rFonts w:ascii="宋体" w:hAnsi="宋体" w:cs="宋体"/>
          <w:sz w:val="24"/>
          <w:u w:val="none"/>
        </w:rPr>
        <w:t>3</w:t>
      </w:r>
      <w:r>
        <w:rPr>
          <w:rFonts w:hint="eastAsia" w:ascii="宋体" w:hAnsi="宋体" w:cs="宋体"/>
          <w:sz w:val="24"/>
          <w:u w:val="none"/>
        </w:rPr>
        <w:t>年1月以来为其连续缴纳3个月的养老保险缴纳证明（提供查询页面，社保部门未提供网络查询服务的由社保部门出具证明）；</w:t>
      </w:r>
    </w:p>
    <w:p>
      <w:pPr>
        <w:adjustRightInd w:val="0"/>
        <w:snapToGrid w:val="0"/>
        <w:spacing w:line="360" w:lineRule="auto"/>
        <w:ind w:firstLine="480" w:firstLineChars="200"/>
        <w:jc w:val="left"/>
        <w:rPr>
          <w:rFonts w:hint="eastAsia" w:ascii="宋体" w:hAnsi="宋体" w:cs="宋体"/>
          <w:sz w:val="24"/>
          <w:u w:val="none"/>
        </w:rPr>
      </w:pPr>
      <w:r>
        <w:rPr>
          <w:rFonts w:hint="eastAsia" w:ascii="宋体" w:hAnsi="宋体" w:cs="宋体"/>
          <w:sz w:val="24"/>
          <w:u w:val="none"/>
        </w:rPr>
        <w:t>3.2投标人提供供应商信用承诺函（投标人无需提供证明材料，只需在投标文件中提供宝丰县政府采购供应商信用承诺函，详见投标文件格式）：(一)具有独立承担民事责任的能力；(二)具有良好的商业信誉和健全的财务会计制度；(三)具有履行合同所必需的设备和专业技术能力；(四)有依法缴纳税收和社会保障资金的良好记录；(五)参加政府采购活动前三年内，在经营活动中没有重大违法记录；(六)法律、行政法规规定的其他条件。</w:t>
      </w:r>
    </w:p>
    <w:p>
      <w:pPr>
        <w:adjustRightInd w:val="0"/>
        <w:snapToGrid w:val="0"/>
        <w:spacing w:line="360" w:lineRule="auto"/>
        <w:ind w:firstLine="480" w:firstLineChars="200"/>
        <w:jc w:val="left"/>
        <w:rPr>
          <w:rFonts w:hint="eastAsia" w:ascii="宋体" w:hAnsi="宋体" w:cs="宋体"/>
          <w:sz w:val="24"/>
          <w:u w:val="none"/>
        </w:rPr>
      </w:pPr>
      <w:r>
        <w:rPr>
          <w:rFonts w:hint="eastAsia" w:ascii="宋体" w:hAnsi="宋体" w:cs="宋体"/>
          <w:sz w:val="24"/>
          <w:u w:val="none"/>
        </w:rPr>
        <w:t>3.3投标人在“信用中国”网站（www.creditchina.gov.cn）未被列入失信被执行人（查询对象为企业、法定代表人）、重大税收违法失信主体（查询对象为企业）；在 “中国政府采购网”网站（www.ccgp.gov.cn）未被列入政府采购严重违法失信行为记录名单（查询对象为企业）；在“国家企业信用信息公示系统” 网站（www.gsxt.gov.cn）未被列入严重违法失信企业名单（查询对象为企业）（提供相关查询截图）；</w:t>
      </w:r>
    </w:p>
    <w:p>
      <w:pPr>
        <w:adjustRightInd w:val="0"/>
        <w:snapToGrid w:val="0"/>
        <w:spacing w:line="360" w:lineRule="auto"/>
        <w:ind w:firstLine="480" w:firstLineChars="200"/>
        <w:jc w:val="left"/>
        <w:rPr>
          <w:rFonts w:hint="eastAsia" w:ascii="宋体" w:hAnsi="宋体" w:cs="宋体"/>
          <w:sz w:val="24"/>
          <w:u w:val="none"/>
        </w:rPr>
      </w:pPr>
      <w:r>
        <w:rPr>
          <w:rFonts w:hint="eastAsia" w:ascii="宋体" w:hAnsi="宋体" w:cs="宋体"/>
          <w:sz w:val="24"/>
          <w:u w:val="none"/>
        </w:rPr>
        <w:t>3.4投标企业提供的所有资料经核查后出现任何虚假资料的，直接取消其投标资格。（提供书面承诺）</w:t>
      </w:r>
    </w:p>
    <w:p>
      <w:pPr>
        <w:adjustRightInd w:val="0"/>
        <w:snapToGrid w:val="0"/>
        <w:spacing w:line="360" w:lineRule="auto"/>
        <w:ind w:firstLine="480" w:firstLineChars="200"/>
        <w:jc w:val="left"/>
        <w:rPr>
          <w:rFonts w:hint="eastAsia" w:ascii="宋体" w:hAnsi="宋体" w:cs="宋体"/>
          <w:sz w:val="24"/>
          <w:u w:val="none"/>
        </w:rPr>
      </w:pPr>
      <w:r>
        <w:rPr>
          <w:rFonts w:hint="eastAsia" w:ascii="宋体" w:hAnsi="宋体" w:cs="宋体"/>
          <w:sz w:val="24"/>
          <w:u w:val="none"/>
        </w:rPr>
        <w:t>3.5本项目不接受联合体投标。</w:t>
      </w:r>
    </w:p>
    <w:p>
      <w:pPr>
        <w:adjustRightInd w:val="0"/>
        <w:snapToGrid w:val="0"/>
        <w:spacing w:line="360" w:lineRule="auto"/>
        <w:ind w:firstLine="480" w:firstLineChars="200"/>
        <w:jc w:val="left"/>
        <w:rPr>
          <w:rFonts w:hint="eastAsia" w:ascii="宋体" w:hAnsi="宋体" w:cs="宋体"/>
          <w:sz w:val="24"/>
          <w:u w:val="none"/>
        </w:rPr>
      </w:pPr>
      <w:r>
        <w:rPr>
          <w:rFonts w:hint="eastAsia" w:ascii="宋体" w:hAnsi="宋体" w:cs="宋体"/>
          <w:sz w:val="24"/>
          <w:u w:val="none"/>
        </w:rPr>
        <w:t>3.6资格审查方式：采用资格后审。</w:t>
      </w:r>
    </w:p>
    <w:p>
      <w:pPr>
        <w:adjustRightInd w:val="0"/>
        <w:snapToGrid w:val="0"/>
        <w:spacing w:line="360" w:lineRule="auto"/>
        <w:ind w:firstLine="480" w:firstLineChars="200"/>
        <w:jc w:val="left"/>
        <w:rPr>
          <w:rFonts w:ascii="宋体" w:hAnsi="宋体" w:cs="宋体"/>
          <w:sz w:val="24"/>
          <w:u w:val="none"/>
        </w:rPr>
      </w:pPr>
      <w:r>
        <w:rPr>
          <w:rFonts w:hint="eastAsia" w:ascii="宋体" w:hAnsi="宋体" w:cs="宋体"/>
          <w:sz w:val="24"/>
          <w:u w:val="none"/>
        </w:rPr>
        <w:t>注：如投标单位为新成立企业，可提供注册后的相关证明材料。</w:t>
      </w:r>
    </w:p>
    <w:p>
      <w:pPr>
        <w:adjustRightInd w:val="0"/>
        <w:snapToGrid w:val="0"/>
        <w:spacing w:line="360" w:lineRule="auto"/>
        <w:ind w:firstLine="482" w:firstLineChars="200"/>
        <w:jc w:val="left"/>
        <w:rPr>
          <w:rFonts w:hint="eastAsia" w:ascii="宋体" w:hAnsi="宋体" w:cs="宋体"/>
          <w:b/>
          <w:sz w:val="24"/>
          <w:u w:val="none"/>
          <w:lang w:eastAsia="zh-CN"/>
        </w:rPr>
      </w:pPr>
      <w:r>
        <w:rPr>
          <w:rFonts w:hint="eastAsia" w:ascii="宋体" w:hAnsi="宋体" w:cs="宋体"/>
          <w:b/>
          <w:sz w:val="24"/>
          <w:u w:val="none"/>
          <w:lang w:eastAsia="zh-CN"/>
        </w:rPr>
        <w:t>第</w:t>
      </w:r>
      <w:r>
        <w:rPr>
          <w:rFonts w:hint="eastAsia" w:ascii="宋体" w:hAnsi="宋体" w:cs="宋体"/>
          <w:b/>
          <w:sz w:val="24"/>
          <w:u w:val="none"/>
          <w:lang w:val="en-US" w:eastAsia="zh-CN"/>
        </w:rPr>
        <w:t>2</w:t>
      </w:r>
      <w:r>
        <w:rPr>
          <w:rFonts w:hint="eastAsia" w:ascii="宋体" w:hAnsi="宋体" w:cs="宋体"/>
          <w:b/>
          <w:sz w:val="24"/>
          <w:u w:val="none"/>
          <w:lang w:eastAsia="zh-CN"/>
        </w:rPr>
        <w:t>标段、第</w:t>
      </w:r>
      <w:r>
        <w:rPr>
          <w:rFonts w:hint="eastAsia" w:ascii="宋体" w:hAnsi="宋体" w:cs="宋体"/>
          <w:b/>
          <w:sz w:val="24"/>
          <w:u w:val="none"/>
          <w:lang w:val="en-US" w:eastAsia="zh-CN"/>
        </w:rPr>
        <w:t>3</w:t>
      </w:r>
      <w:r>
        <w:rPr>
          <w:rFonts w:hint="eastAsia" w:ascii="宋体" w:hAnsi="宋体" w:cs="宋体"/>
          <w:b/>
          <w:sz w:val="24"/>
          <w:u w:val="none"/>
          <w:lang w:eastAsia="zh-CN"/>
        </w:rPr>
        <w:t>标段</w:t>
      </w:r>
    </w:p>
    <w:p>
      <w:pPr>
        <w:adjustRightInd w:val="0"/>
        <w:snapToGrid w:val="0"/>
        <w:spacing w:line="360" w:lineRule="auto"/>
        <w:ind w:firstLine="480" w:firstLineChars="200"/>
        <w:jc w:val="left"/>
        <w:rPr>
          <w:rFonts w:hint="eastAsia" w:ascii="宋体" w:hAnsi="宋体" w:cs="宋体"/>
          <w:color w:val="auto"/>
          <w:sz w:val="24"/>
          <w:u w:val="none"/>
        </w:rPr>
      </w:pPr>
      <w:r>
        <w:rPr>
          <w:rFonts w:hint="eastAsia" w:ascii="宋体" w:hAnsi="宋体" w:cs="宋体"/>
          <w:color w:val="auto"/>
          <w:sz w:val="24"/>
          <w:u w:val="none"/>
        </w:rPr>
        <w:t>3.1.1企业资质要求：具有独立的法人资格及有效的营业执照，具有公路工程专业</w:t>
      </w:r>
      <w:r>
        <w:rPr>
          <w:rFonts w:hint="eastAsia" w:ascii="宋体" w:hAnsi="宋体" w:cs="宋体"/>
          <w:color w:val="auto"/>
          <w:sz w:val="24"/>
          <w:u w:val="none"/>
          <w:lang w:eastAsia="zh-CN"/>
        </w:rPr>
        <w:t>乙</w:t>
      </w:r>
      <w:r>
        <w:rPr>
          <w:rFonts w:hint="eastAsia" w:ascii="宋体" w:hAnsi="宋体" w:cs="宋体"/>
          <w:color w:val="auto"/>
          <w:sz w:val="24"/>
          <w:u w:val="none"/>
        </w:rPr>
        <w:t>级及以上监理资质</w:t>
      </w:r>
      <w:r>
        <w:rPr>
          <w:rFonts w:hint="eastAsia" w:ascii="宋体" w:hAnsi="宋体" w:cs="宋体"/>
          <w:color w:val="auto"/>
          <w:sz w:val="24"/>
          <w:u w:val="none"/>
          <w:lang w:eastAsia="zh-CN"/>
        </w:rPr>
        <w:t>或市政公用工程丙</w:t>
      </w:r>
      <w:r>
        <w:rPr>
          <w:rFonts w:hint="eastAsia" w:ascii="宋体" w:hAnsi="宋体" w:cs="宋体"/>
          <w:color w:val="auto"/>
          <w:sz w:val="24"/>
          <w:u w:val="none"/>
        </w:rPr>
        <w:t>级及以上监理资质或工程监理综合资质；</w:t>
      </w:r>
    </w:p>
    <w:p>
      <w:pPr>
        <w:adjustRightInd w:val="0"/>
        <w:snapToGrid w:val="0"/>
        <w:spacing w:line="360" w:lineRule="auto"/>
        <w:ind w:firstLine="480" w:firstLineChars="200"/>
        <w:jc w:val="left"/>
        <w:rPr>
          <w:rFonts w:hint="eastAsia" w:ascii="宋体" w:hAnsi="宋体" w:cs="宋体"/>
          <w:sz w:val="24"/>
          <w:u w:val="none"/>
        </w:rPr>
      </w:pPr>
      <w:r>
        <w:rPr>
          <w:rFonts w:hint="eastAsia" w:ascii="宋体" w:hAnsi="宋体" w:cs="宋体"/>
          <w:color w:val="auto"/>
          <w:sz w:val="24"/>
          <w:u w:val="none"/>
        </w:rPr>
        <w:t>3.1.2项目总监理工程师资格要求：拟派项目总监理工程师应具有公路工程</w:t>
      </w:r>
      <w:r>
        <w:rPr>
          <w:rFonts w:hint="eastAsia" w:ascii="宋体" w:hAnsi="宋体" w:cs="宋体"/>
          <w:color w:val="auto"/>
          <w:sz w:val="24"/>
          <w:u w:val="none"/>
          <w:lang w:eastAsia="zh-CN"/>
        </w:rPr>
        <w:t>或市政公用工程</w:t>
      </w:r>
      <w:r>
        <w:rPr>
          <w:rFonts w:hint="eastAsia" w:ascii="宋体" w:hAnsi="宋体" w:cs="宋体"/>
          <w:color w:val="auto"/>
          <w:sz w:val="24"/>
          <w:u w:val="none"/>
        </w:rPr>
        <w:t>专业注册监理工程师资格证书；项目总监理工程师必须为本企业正式员工，提供与其单位签</w:t>
      </w:r>
      <w:r>
        <w:rPr>
          <w:rFonts w:hint="eastAsia" w:ascii="宋体" w:hAnsi="宋体" w:cs="宋体"/>
          <w:sz w:val="24"/>
          <w:u w:val="none"/>
        </w:rPr>
        <w:t>订的劳动合同及投标人202</w:t>
      </w:r>
      <w:r>
        <w:rPr>
          <w:rFonts w:ascii="宋体" w:hAnsi="宋体" w:cs="宋体"/>
          <w:sz w:val="24"/>
          <w:u w:val="none"/>
        </w:rPr>
        <w:t>3</w:t>
      </w:r>
      <w:r>
        <w:rPr>
          <w:rFonts w:hint="eastAsia" w:ascii="宋体" w:hAnsi="宋体" w:cs="宋体"/>
          <w:sz w:val="24"/>
          <w:u w:val="none"/>
        </w:rPr>
        <w:t>年1月以来为其连续缴纳3个月的养老保险缴纳证明（提供查询页面，社保部门未提供网络查询服务的由社保部门出具证明）；</w:t>
      </w:r>
    </w:p>
    <w:p>
      <w:pPr>
        <w:adjustRightInd w:val="0"/>
        <w:snapToGrid w:val="0"/>
        <w:spacing w:line="360" w:lineRule="auto"/>
        <w:ind w:firstLine="480" w:firstLineChars="200"/>
        <w:jc w:val="left"/>
        <w:rPr>
          <w:rFonts w:hint="eastAsia" w:ascii="宋体" w:hAnsi="宋体" w:cs="宋体"/>
          <w:sz w:val="24"/>
          <w:u w:val="none"/>
        </w:rPr>
      </w:pPr>
      <w:r>
        <w:rPr>
          <w:rFonts w:hint="eastAsia" w:ascii="宋体" w:hAnsi="宋体" w:cs="宋体"/>
          <w:sz w:val="24"/>
          <w:u w:val="none"/>
        </w:rPr>
        <w:t>3.2投标人提供供应商信用承诺函（投标人无需提供证明材料，只需在投标文件中提供宝丰县政府采购供应商信用承诺函，详见投标文件格式）：(一)具有独立承担民事责任的能力；(二)具有良好的商业信誉和健全的财务会计制度；(三)具有履行合同所必需的设备和专业技术能力；(四)有依法缴纳税收和社会保障资金的良好记录；(五)参加政府采购活动前三年内，在经营活动中没有重大违法记录；(六)法律、行政法规规定的其他条件。</w:t>
      </w:r>
    </w:p>
    <w:p>
      <w:pPr>
        <w:adjustRightInd w:val="0"/>
        <w:snapToGrid w:val="0"/>
        <w:spacing w:line="360" w:lineRule="auto"/>
        <w:ind w:firstLine="480" w:firstLineChars="200"/>
        <w:jc w:val="left"/>
        <w:rPr>
          <w:rFonts w:hint="eastAsia" w:ascii="宋体" w:hAnsi="宋体" w:cs="宋体"/>
          <w:sz w:val="24"/>
          <w:u w:val="none"/>
        </w:rPr>
      </w:pPr>
      <w:r>
        <w:rPr>
          <w:rFonts w:hint="eastAsia" w:ascii="宋体" w:hAnsi="宋体" w:cs="宋体"/>
          <w:sz w:val="24"/>
          <w:u w:val="none"/>
        </w:rPr>
        <w:t>3.3投标人在“信用中国”网站（www.creditchina.gov.cn）未被列入失信被执行人（查询对象为企业、法定代表人）、重大税收违法失信主体（查询对象为企业）；在 “中国政府采购网”网站（www.ccgp.gov.cn）未被列入政府采购严重违法失信行为记录名单（查询对象为企业）；在“国家企业信用信息公示系统” 网站（www.gsxt.gov.cn）未被列入严重违法失信企业名单（查询对象为企业）（提供相关查询截图）；</w:t>
      </w:r>
    </w:p>
    <w:p>
      <w:pPr>
        <w:adjustRightInd w:val="0"/>
        <w:snapToGrid w:val="0"/>
        <w:spacing w:line="360" w:lineRule="auto"/>
        <w:ind w:firstLine="480" w:firstLineChars="200"/>
        <w:jc w:val="left"/>
        <w:rPr>
          <w:rFonts w:hint="eastAsia" w:ascii="宋体" w:hAnsi="宋体" w:cs="宋体"/>
          <w:sz w:val="24"/>
          <w:u w:val="none"/>
        </w:rPr>
      </w:pPr>
      <w:r>
        <w:rPr>
          <w:rFonts w:hint="eastAsia" w:ascii="宋体" w:hAnsi="宋体" w:cs="宋体"/>
          <w:sz w:val="24"/>
          <w:u w:val="none"/>
        </w:rPr>
        <w:t>3.4投标企业提供的所有资料经核查后出现任何虚假资料的，直接取消其投标资格。（提供书面承诺）</w:t>
      </w:r>
    </w:p>
    <w:p>
      <w:pPr>
        <w:adjustRightInd w:val="0"/>
        <w:snapToGrid w:val="0"/>
        <w:spacing w:line="360" w:lineRule="auto"/>
        <w:ind w:firstLine="480" w:firstLineChars="200"/>
        <w:jc w:val="left"/>
        <w:rPr>
          <w:rFonts w:hint="eastAsia" w:ascii="宋体" w:hAnsi="宋体" w:cs="宋体"/>
          <w:sz w:val="24"/>
          <w:u w:val="none"/>
        </w:rPr>
      </w:pPr>
      <w:r>
        <w:rPr>
          <w:rFonts w:hint="eastAsia" w:ascii="宋体" w:hAnsi="宋体" w:cs="宋体"/>
          <w:sz w:val="24"/>
          <w:u w:val="none"/>
        </w:rPr>
        <w:t>3.5本项目不接受联合体投标。</w:t>
      </w:r>
    </w:p>
    <w:p>
      <w:pPr>
        <w:adjustRightInd w:val="0"/>
        <w:snapToGrid w:val="0"/>
        <w:spacing w:line="360" w:lineRule="auto"/>
        <w:ind w:firstLine="480" w:firstLineChars="200"/>
        <w:jc w:val="left"/>
        <w:rPr>
          <w:rFonts w:hint="eastAsia" w:ascii="宋体" w:hAnsi="宋体" w:cs="宋体"/>
          <w:sz w:val="24"/>
          <w:u w:val="none"/>
        </w:rPr>
      </w:pPr>
      <w:r>
        <w:rPr>
          <w:rFonts w:hint="eastAsia" w:ascii="宋体" w:hAnsi="宋体" w:cs="宋体"/>
          <w:sz w:val="24"/>
          <w:u w:val="none"/>
        </w:rPr>
        <w:t>3.6资格审查方式：采用资格后审。</w:t>
      </w:r>
    </w:p>
    <w:p>
      <w:pPr>
        <w:adjustRightInd w:val="0"/>
        <w:snapToGrid w:val="0"/>
        <w:spacing w:line="360" w:lineRule="auto"/>
        <w:ind w:firstLine="480" w:firstLineChars="200"/>
        <w:jc w:val="left"/>
        <w:rPr>
          <w:rFonts w:hint="eastAsia" w:ascii="宋体" w:hAnsi="宋体" w:cs="宋体"/>
          <w:sz w:val="24"/>
          <w:u w:val="none"/>
        </w:rPr>
      </w:pPr>
      <w:r>
        <w:rPr>
          <w:rFonts w:hint="eastAsia" w:ascii="宋体" w:hAnsi="宋体" w:cs="宋体"/>
          <w:sz w:val="24"/>
          <w:u w:val="none"/>
        </w:rPr>
        <w:t>注：如投标单位为新成立企业，可提供注册后的相关证明材料。</w:t>
      </w:r>
    </w:p>
    <w:p>
      <w:pPr>
        <w:keepNext w:val="0"/>
        <w:keepLines w:val="0"/>
        <w:pageBreakBefore w:val="0"/>
        <w:widowControl w:val="0"/>
        <w:kinsoku/>
        <w:overflowPunct/>
        <w:topLinePunct w:val="0"/>
        <w:autoSpaceDE/>
        <w:autoSpaceDN/>
        <w:bidi w:val="0"/>
        <w:adjustRightInd w:val="0"/>
        <w:snapToGrid w:val="0"/>
        <w:spacing w:line="440" w:lineRule="exact"/>
        <w:textAlignment w:val="auto"/>
        <w:rPr>
          <w:rFonts w:ascii="宋体" w:hAnsi="宋体" w:cs="宋体"/>
          <w:sz w:val="24"/>
        </w:rPr>
      </w:pPr>
      <w:r>
        <w:rPr>
          <w:rFonts w:hint="eastAsia" w:ascii="宋体" w:hAnsi="宋体" w:cs="宋体"/>
          <w:b/>
          <w:sz w:val="24"/>
        </w:rPr>
        <w:t>三、获取招标文件</w:t>
      </w:r>
      <w:bookmarkEnd w:id="11"/>
      <w:bookmarkEnd w:id="12"/>
      <w:bookmarkEnd w:id="13"/>
      <w:bookmarkEnd w:id="14"/>
    </w:p>
    <w:p>
      <w:pPr>
        <w:keepNext w:val="0"/>
        <w:keepLines w:val="0"/>
        <w:pageBreakBefore w:val="0"/>
        <w:widowControl w:val="0"/>
        <w:kinsoku/>
        <w:overflowPunct/>
        <w:topLinePunct w:val="0"/>
        <w:autoSpaceDE/>
        <w:autoSpaceDN/>
        <w:bidi w:val="0"/>
        <w:adjustRightInd w:val="0"/>
        <w:snapToGrid w:val="0"/>
        <w:spacing w:line="440" w:lineRule="exact"/>
        <w:textAlignment w:val="auto"/>
        <w:rPr>
          <w:rFonts w:ascii="宋体" w:hAnsi="宋体" w:cs="宋体"/>
          <w:sz w:val="24"/>
        </w:rPr>
      </w:pPr>
      <w:bookmarkStart w:id="24" w:name="_Toc28359005"/>
      <w:bookmarkStart w:id="25" w:name="_Toc35393793"/>
      <w:bookmarkStart w:id="26" w:name="_Toc28359082"/>
      <w:bookmarkStart w:id="27" w:name="_Toc35393624"/>
      <w:r>
        <w:rPr>
          <w:rFonts w:hint="eastAsia" w:ascii="宋体" w:hAnsi="宋体" w:cs="宋体"/>
          <w:sz w:val="24"/>
        </w:rPr>
        <w:t>1、时间：2023年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5</w:t>
      </w:r>
      <w:r>
        <w:rPr>
          <w:rFonts w:hint="eastAsia" w:ascii="宋体" w:hAnsi="宋体" w:cs="宋体"/>
          <w:sz w:val="24"/>
        </w:rPr>
        <w:t>日00时00分至 2023年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11</w:t>
      </w:r>
      <w:r>
        <w:rPr>
          <w:rFonts w:hint="eastAsia" w:ascii="宋体" w:hAnsi="宋体" w:cs="宋体"/>
          <w:sz w:val="24"/>
        </w:rPr>
        <w:t>日23时59分（北京时间，法定节假日除外。）</w:t>
      </w:r>
    </w:p>
    <w:p>
      <w:pPr>
        <w:keepNext w:val="0"/>
        <w:keepLines w:val="0"/>
        <w:pageBreakBefore w:val="0"/>
        <w:widowControl w:val="0"/>
        <w:kinsoku/>
        <w:overflowPunct/>
        <w:topLinePunct w:val="0"/>
        <w:autoSpaceDE/>
        <w:autoSpaceDN/>
        <w:bidi w:val="0"/>
        <w:adjustRightInd w:val="0"/>
        <w:snapToGrid w:val="0"/>
        <w:spacing w:line="440" w:lineRule="exact"/>
        <w:textAlignment w:val="auto"/>
        <w:rPr>
          <w:rFonts w:ascii="宋体" w:hAnsi="宋体" w:cs="宋体"/>
          <w:sz w:val="24"/>
        </w:rPr>
      </w:pPr>
      <w:r>
        <w:rPr>
          <w:rFonts w:hint="eastAsia" w:ascii="宋体" w:hAnsi="宋体" w:cs="宋体"/>
          <w:sz w:val="24"/>
        </w:rPr>
        <w:t>2、地点：宝丰县公共资源交易中心电子交易系统；</w:t>
      </w:r>
    </w:p>
    <w:p>
      <w:pPr>
        <w:keepNext w:val="0"/>
        <w:keepLines w:val="0"/>
        <w:pageBreakBefore w:val="0"/>
        <w:widowControl w:val="0"/>
        <w:kinsoku/>
        <w:overflowPunct/>
        <w:topLinePunct w:val="0"/>
        <w:autoSpaceDE/>
        <w:autoSpaceDN/>
        <w:bidi w:val="0"/>
        <w:adjustRightInd w:val="0"/>
        <w:snapToGrid w:val="0"/>
        <w:spacing w:line="440" w:lineRule="exact"/>
        <w:textAlignment w:val="auto"/>
        <w:rPr>
          <w:rFonts w:ascii="宋体" w:hAnsi="宋体" w:cs="宋体"/>
          <w:sz w:val="24"/>
        </w:rPr>
      </w:pPr>
      <w:r>
        <w:rPr>
          <w:rFonts w:hint="eastAsia" w:ascii="宋体" w:hAnsi="宋体" w:cs="宋体"/>
          <w:sz w:val="24"/>
        </w:rPr>
        <w:t>3、方式：该项目实施网上免费下载招标文件，潜在供应商下载文件需凭CA数字证书通过全国公共资源交易平台（河南省·宝丰县）（网址：http://</w:t>
      </w:r>
      <w:r>
        <w:fldChar w:fldCharType="begin"/>
      </w:r>
      <w:r>
        <w:instrText xml:space="preserve"> HYPERLINK "http://www.bfggzy.xn--com201851-ie7nh99iodgy63a/" </w:instrText>
      </w:r>
      <w:r>
        <w:fldChar w:fldCharType="separate"/>
      </w:r>
      <w:r>
        <w:rPr>
          <w:rStyle w:val="36"/>
          <w:rFonts w:hint="eastAsia" w:ascii="宋体" w:hAnsi="宋体" w:cs="宋体"/>
          <w:color w:val="auto"/>
          <w:sz w:val="24"/>
          <w:szCs w:val="24"/>
        </w:rPr>
        <w:t>www.bfggzy.com</w:t>
      </w:r>
      <w:r>
        <w:rPr>
          <w:rStyle w:val="36"/>
          <w:rFonts w:hint="eastAsia" w:ascii="宋体" w:hAnsi="宋体" w:cs="宋体"/>
          <w:color w:val="auto"/>
          <w:sz w:val="24"/>
          <w:szCs w:val="24"/>
        </w:rPr>
        <w:fldChar w:fldCharType="end"/>
      </w:r>
      <w:r>
        <w:rPr>
          <w:rFonts w:hint="eastAsia" w:ascii="宋体" w:hAnsi="宋体" w:cs="宋体"/>
          <w:sz w:val="24"/>
        </w:rPr>
        <w:t>/）“登录业务系统”入口进入电子交易系统下载招标文件，具体操作操作请查看以下链接：</w:t>
      </w:r>
    </w:p>
    <w:p>
      <w:pPr>
        <w:keepNext w:val="0"/>
        <w:keepLines w:val="0"/>
        <w:pageBreakBefore w:val="0"/>
        <w:widowControl w:val="0"/>
        <w:kinsoku/>
        <w:overflowPunct/>
        <w:topLinePunct w:val="0"/>
        <w:autoSpaceDE/>
        <w:autoSpaceDN/>
        <w:bidi w:val="0"/>
        <w:adjustRightInd w:val="0"/>
        <w:snapToGrid w:val="0"/>
        <w:spacing w:line="440" w:lineRule="exact"/>
        <w:textAlignment w:val="auto"/>
        <w:rPr>
          <w:rFonts w:ascii="宋体" w:hAnsi="宋体" w:cs="宋体"/>
          <w:sz w:val="24"/>
        </w:rPr>
      </w:pPr>
      <w:r>
        <w:rPr>
          <w:rFonts w:hint="eastAsia" w:ascii="宋体" w:hAnsi="宋体" w:cs="宋体"/>
          <w:sz w:val="24"/>
        </w:rPr>
        <w:t>链接地址：</w:t>
      </w:r>
      <w:r>
        <w:fldChar w:fldCharType="begin"/>
      </w:r>
      <w:r>
        <w:instrText xml:space="preserve"> HYPERLINK "http://www.bfggzy.cn/ggtz/19072.jhtml" </w:instrText>
      </w:r>
      <w:r>
        <w:fldChar w:fldCharType="separate"/>
      </w:r>
      <w:r>
        <w:rPr>
          <w:rStyle w:val="36"/>
          <w:rFonts w:hint="eastAsia" w:ascii="宋体" w:hAnsi="宋体" w:cs="宋体"/>
          <w:color w:val="auto"/>
          <w:sz w:val="24"/>
          <w:szCs w:val="24"/>
        </w:rPr>
        <w:t>http://www.bfggzy.com/ggtz/19072.jhtml</w:t>
      </w:r>
      <w:r>
        <w:rPr>
          <w:rStyle w:val="36"/>
          <w:rFonts w:hint="eastAsia" w:ascii="宋体" w:hAnsi="宋体" w:cs="宋体"/>
          <w:color w:val="auto"/>
          <w:sz w:val="24"/>
          <w:szCs w:val="24"/>
        </w:rPr>
        <w:fldChar w:fldCharType="end"/>
      </w:r>
      <w:r>
        <w:rPr>
          <w:rFonts w:hint="eastAsia" w:ascii="宋体" w:hAnsi="宋体" w:cs="宋体"/>
          <w:sz w:val="24"/>
        </w:rPr>
        <w:t>；</w:t>
      </w:r>
    </w:p>
    <w:p>
      <w:pPr>
        <w:keepNext w:val="0"/>
        <w:keepLines w:val="0"/>
        <w:pageBreakBefore w:val="0"/>
        <w:widowControl w:val="0"/>
        <w:kinsoku/>
        <w:overflowPunct/>
        <w:topLinePunct w:val="0"/>
        <w:autoSpaceDE/>
        <w:autoSpaceDN/>
        <w:bidi w:val="0"/>
        <w:adjustRightInd w:val="0"/>
        <w:snapToGrid w:val="0"/>
        <w:spacing w:line="440" w:lineRule="exact"/>
        <w:textAlignment w:val="auto"/>
        <w:rPr>
          <w:rFonts w:ascii="宋体" w:hAnsi="宋体" w:cs="宋体"/>
          <w:sz w:val="24"/>
        </w:rPr>
      </w:pPr>
      <w:r>
        <w:rPr>
          <w:rFonts w:hint="eastAsia" w:ascii="宋体" w:hAnsi="宋体" w:cs="宋体"/>
          <w:sz w:val="24"/>
        </w:rPr>
        <w:t>办理CA证书：</w:t>
      </w:r>
      <w:r>
        <w:fldChar w:fldCharType="begin"/>
      </w:r>
      <w:r>
        <w:instrText xml:space="preserve"> HYPERLINK "http://www.pdsggzy.com/tzgg/10814.jhtml" </w:instrText>
      </w:r>
      <w:r>
        <w:fldChar w:fldCharType="separate"/>
      </w:r>
      <w:r>
        <w:rPr>
          <w:rStyle w:val="36"/>
          <w:rFonts w:hint="eastAsia" w:ascii="宋体" w:hAnsi="宋体" w:cs="宋体"/>
          <w:color w:val="auto"/>
          <w:sz w:val="24"/>
          <w:szCs w:val="24"/>
        </w:rPr>
        <w:t>http://www.pdsggzy.com/tzgg/10814.jhtml</w:t>
      </w:r>
      <w:r>
        <w:rPr>
          <w:rStyle w:val="36"/>
          <w:rFonts w:hint="eastAsia" w:ascii="宋体" w:hAnsi="宋体" w:cs="宋体"/>
          <w:color w:val="auto"/>
          <w:sz w:val="24"/>
          <w:szCs w:val="24"/>
        </w:rPr>
        <w:fldChar w:fldCharType="end"/>
      </w:r>
      <w:r>
        <w:rPr>
          <w:rFonts w:hint="eastAsia" w:ascii="宋体" w:hAnsi="宋体" w:cs="宋体"/>
          <w:sz w:val="24"/>
        </w:rPr>
        <w:t>。</w:t>
      </w:r>
    </w:p>
    <w:p>
      <w:pPr>
        <w:keepNext w:val="0"/>
        <w:keepLines w:val="0"/>
        <w:pageBreakBefore w:val="0"/>
        <w:widowControl w:val="0"/>
        <w:kinsoku/>
        <w:overflowPunct/>
        <w:topLinePunct w:val="0"/>
        <w:autoSpaceDE/>
        <w:autoSpaceDN/>
        <w:bidi w:val="0"/>
        <w:adjustRightInd w:val="0"/>
        <w:snapToGrid w:val="0"/>
        <w:spacing w:line="440" w:lineRule="exact"/>
        <w:textAlignment w:val="auto"/>
        <w:rPr>
          <w:rFonts w:ascii="宋体" w:hAnsi="宋体" w:cs="宋体"/>
          <w:sz w:val="24"/>
        </w:rPr>
      </w:pPr>
      <w:r>
        <w:rPr>
          <w:rFonts w:hint="eastAsia" w:ascii="宋体" w:hAnsi="宋体" w:cs="宋体"/>
          <w:sz w:val="24"/>
        </w:rPr>
        <w:t>4、售价：0元。</w:t>
      </w:r>
    </w:p>
    <w:p>
      <w:pPr>
        <w:keepNext w:val="0"/>
        <w:keepLines w:val="0"/>
        <w:pageBreakBefore w:val="0"/>
        <w:widowControl w:val="0"/>
        <w:kinsoku/>
        <w:overflowPunct/>
        <w:topLinePunct w:val="0"/>
        <w:autoSpaceDE/>
        <w:autoSpaceDN/>
        <w:bidi w:val="0"/>
        <w:adjustRightInd w:val="0"/>
        <w:snapToGrid w:val="0"/>
        <w:spacing w:line="440" w:lineRule="exact"/>
        <w:textAlignment w:val="auto"/>
        <w:rPr>
          <w:rFonts w:ascii="宋体" w:hAnsi="宋体" w:cs="宋体"/>
          <w:b/>
          <w:sz w:val="24"/>
        </w:rPr>
      </w:pPr>
      <w:r>
        <w:rPr>
          <w:rFonts w:hint="eastAsia" w:ascii="宋体" w:hAnsi="宋体" w:cs="宋体"/>
          <w:b/>
          <w:sz w:val="24"/>
        </w:rPr>
        <w:t>四、</w:t>
      </w:r>
      <w:bookmarkEnd w:id="24"/>
      <w:bookmarkEnd w:id="25"/>
      <w:bookmarkEnd w:id="26"/>
      <w:bookmarkEnd w:id="27"/>
      <w:bookmarkStart w:id="28" w:name="_Toc28359084"/>
      <w:bookmarkStart w:id="29" w:name="_Toc28359007"/>
      <w:bookmarkStart w:id="30" w:name="_Toc35393794"/>
      <w:bookmarkStart w:id="31" w:name="_Toc35393625"/>
      <w:r>
        <w:rPr>
          <w:rFonts w:hint="eastAsia" w:ascii="宋体" w:hAnsi="宋体" w:cs="宋体"/>
          <w:b/>
          <w:sz w:val="24"/>
        </w:rPr>
        <w:t>投标截止时间（投标文件递交截止时间）及地点</w:t>
      </w:r>
    </w:p>
    <w:p>
      <w:pPr>
        <w:keepNext w:val="0"/>
        <w:keepLines w:val="0"/>
        <w:pageBreakBefore w:val="0"/>
        <w:widowControl w:val="0"/>
        <w:kinsoku/>
        <w:overflowPunct/>
        <w:topLinePunct w:val="0"/>
        <w:autoSpaceDE/>
        <w:autoSpaceDN/>
        <w:bidi w:val="0"/>
        <w:adjustRightInd w:val="0"/>
        <w:snapToGrid w:val="0"/>
        <w:spacing w:line="440" w:lineRule="exact"/>
        <w:textAlignment w:val="auto"/>
        <w:rPr>
          <w:rFonts w:ascii="宋体" w:hAnsi="宋体" w:cs="宋体"/>
          <w:sz w:val="24"/>
        </w:rPr>
      </w:pPr>
      <w:r>
        <w:rPr>
          <w:rFonts w:hint="eastAsia" w:ascii="宋体" w:hAnsi="宋体" w:cs="宋体"/>
          <w:sz w:val="24"/>
        </w:rPr>
        <w:t>1、时间：</w:t>
      </w:r>
      <w:r>
        <w:rPr>
          <w:rFonts w:hint="eastAsia" w:ascii="宋体" w:hAnsi="宋体" w:cs="宋体"/>
          <w:sz w:val="24"/>
          <w:lang w:val="en-US" w:eastAsia="zh-CN"/>
        </w:rPr>
        <w:t>2023</w:t>
      </w:r>
      <w:r>
        <w:rPr>
          <w:rFonts w:hint="eastAsia" w:ascii="宋体" w:hAnsi="宋体" w:cs="宋体"/>
          <w:sz w:val="24"/>
        </w:rPr>
        <w:t>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26</w:t>
      </w:r>
      <w:r>
        <w:rPr>
          <w:rFonts w:hint="eastAsia" w:ascii="宋体" w:hAnsi="宋体" w:cs="宋体"/>
          <w:sz w:val="24"/>
        </w:rPr>
        <w:t>日</w:t>
      </w:r>
      <w:r>
        <w:rPr>
          <w:rFonts w:hint="eastAsia" w:ascii="宋体" w:hAnsi="宋体" w:cs="宋体"/>
          <w:sz w:val="24"/>
          <w:lang w:val="en-US" w:eastAsia="zh-CN"/>
        </w:rPr>
        <w:t>10</w:t>
      </w:r>
      <w:r>
        <w:rPr>
          <w:rFonts w:hint="eastAsia" w:ascii="宋体" w:hAnsi="宋体" w:cs="宋体"/>
          <w:sz w:val="24"/>
        </w:rPr>
        <w:t>时</w:t>
      </w:r>
      <w:r>
        <w:rPr>
          <w:rFonts w:hint="eastAsia" w:ascii="宋体" w:hAnsi="宋体" w:cs="宋体"/>
          <w:sz w:val="24"/>
          <w:lang w:val="en-US" w:eastAsia="zh-CN"/>
        </w:rPr>
        <w:t>30</w:t>
      </w:r>
      <w:r>
        <w:rPr>
          <w:rFonts w:hint="eastAsia" w:ascii="宋体" w:hAnsi="宋体" w:cs="宋体"/>
          <w:sz w:val="24"/>
        </w:rPr>
        <w:t>分（北京时间）</w:t>
      </w:r>
    </w:p>
    <w:p>
      <w:pPr>
        <w:keepNext w:val="0"/>
        <w:keepLines w:val="0"/>
        <w:pageBreakBefore w:val="0"/>
        <w:widowControl w:val="0"/>
        <w:kinsoku/>
        <w:overflowPunct/>
        <w:topLinePunct w:val="0"/>
        <w:autoSpaceDE/>
        <w:autoSpaceDN/>
        <w:bidi w:val="0"/>
        <w:adjustRightInd w:val="0"/>
        <w:snapToGrid w:val="0"/>
        <w:spacing w:line="440" w:lineRule="exact"/>
        <w:textAlignment w:val="auto"/>
        <w:rPr>
          <w:rFonts w:ascii="宋体" w:hAnsi="宋体" w:cs="宋体"/>
          <w:sz w:val="24"/>
        </w:rPr>
      </w:pPr>
      <w:r>
        <w:rPr>
          <w:rFonts w:hint="eastAsia" w:ascii="宋体" w:hAnsi="宋体" w:cs="宋体"/>
          <w:sz w:val="24"/>
        </w:rPr>
        <w:t>2、地点：宝丰县公共资源交易中心网上开标大厅；</w:t>
      </w:r>
    </w:p>
    <w:p>
      <w:pPr>
        <w:keepNext w:val="0"/>
        <w:keepLines w:val="0"/>
        <w:pageBreakBefore w:val="0"/>
        <w:widowControl w:val="0"/>
        <w:kinsoku/>
        <w:overflowPunct/>
        <w:topLinePunct w:val="0"/>
        <w:autoSpaceDE/>
        <w:autoSpaceDN/>
        <w:bidi w:val="0"/>
        <w:adjustRightInd w:val="0"/>
        <w:snapToGrid w:val="0"/>
        <w:spacing w:line="440" w:lineRule="exact"/>
        <w:textAlignment w:val="auto"/>
        <w:rPr>
          <w:rFonts w:ascii="宋体" w:hAnsi="宋体" w:cs="宋体"/>
          <w:sz w:val="24"/>
        </w:rPr>
      </w:pPr>
      <w:r>
        <w:rPr>
          <w:rFonts w:hint="eastAsia" w:ascii="宋体" w:hAnsi="宋体" w:cs="宋体"/>
          <w:sz w:val="24"/>
        </w:rPr>
        <w:t>3、未按要求上传加密电子投标文件的，采购人不予受理。</w:t>
      </w:r>
    </w:p>
    <w:p>
      <w:pPr>
        <w:keepNext w:val="0"/>
        <w:keepLines w:val="0"/>
        <w:pageBreakBefore w:val="0"/>
        <w:widowControl w:val="0"/>
        <w:kinsoku/>
        <w:overflowPunct/>
        <w:topLinePunct w:val="0"/>
        <w:autoSpaceDE/>
        <w:autoSpaceDN/>
        <w:bidi w:val="0"/>
        <w:adjustRightInd w:val="0"/>
        <w:snapToGrid w:val="0"/>
        <w:spacing w:line="440" w:lineRule="exact"/>
        <w:textAlignment w:val="auto"/>
        <w:rPr>
          <w:rFonts w:ascii="宋体" w:hAnsi="宋体" w:cs="宋体"/>
          <w:b/>
          <w:sz w:val="24"/>
        </w:rPr>
      </w:pPr>
      <w:r>
        <w:rPr>
          <w:rFonts w:hint="eastAsia" w:ascii="宋体" w:hAnsi="宋体" w:cs="宋体"/>
          <w:b/>
          <w:sz w:val="24"/>
        </w:rPr>
        <w:t>五、</w:t>
      </w:r>
      <w:bookmarkEnd w:id="28"/>
      <w:bookmarkEnd w:id="29"/>
      <w:bookmarkEnd w:id="30"/>
      <w:bookmarkEnd w:id="31"/>
      <w:bookmarkStart w:id="32" w:name="_Toc35393795"/>
      <w:bookmarkStart w:id="33" w:name="_Toc35393626"/>
      <w:r>
        <w:rPr>
          <w:rFonts w:hint="eastAsia" w:ascii="宋体" w:hAnsi="宋体" w:cs="宋体"/>
          <w:b/>
          <w:sz w:val="24"/>
        </w:rPr>
        <w:t>开标时间及地点</w:t>
      </w:r>
    </w:p>
    <w:p>
      <w:pPr>
        <w:keepNext w:val="0"/>
        <w:keepLines w:val="0"/>
        <w:pageBreakBefore w:val="0"/>
        <w:widowControl w:val="0"/>
        <w:kinsoku/>
        <w:overflowPunct/>
        <w:topLinePunct w:val="0"/>
        <w:autoSpaceDE/>
        <w:autoSpaceDN/>
        <w:bidi w:val="0"/>
        <w:adjustRightInd w:val="0"/>
        <w:snapToGrid w:val="0"/>
        <w:spacing w:line="440" w:lineRule="exact"/>
        <w:textAlignment w:val="auto"/>
        <w:rPr>
          <w:rFonts w:ascii="宋体" w:hAnsi="宋体" w:cs="宋体"/>
          <w:sz w:val="24"/>
        </w:rPr>
      </w:pPr>
      <w:r>
        <w:rPr>
          <w:rFonts w:hint="eastAsia" w:ascii="宋体" w:hAnsi="宋体" w:cs="宋体"/>
          <w:sz w:val="24"/>
        </w:rPr>
        <w:t>1、开标时间：</w:t>
      </w:r>
      <w:r>
        <w:rPr>
          <w:rFonts w:hint="eastAsia" w:ascii="宋体" w:hAnsi="宋体" w:cs="宋体"/>
          <w:sz w:val="24"/>
          <w:lang w:val="en-US" w:eastAsia="zh-CN"/>
        </w:rPr>
        <w:t>2023</w:t>
      </w:r>
      <w:r>
        <w:rPr>
          <w:rFonts w:hint="eastAsia" w:ascii="宋体" w:hAnsi="宋体" w:cs="宋体"/>
          <w:sz w:val="24"/>
        </w:rPr>
        <w:t>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26</w:t>
      </w:r>
      <w:r>
        <w:rPr>
          <w:rFonts w:hint="eastAsia" w:ascii="宋体" w:hAnsi="宋体" w:cs="宋体"/>
          <w:sz w:val="24"/>
        </w:rPr>
        <w:t>日</w:t>
      </w:r>
      <w:r>
        <w:rPr>
          <w:rFonts w:hint="eastAsia" w:ascii="宋体" w:hAnsi="宋体" w:cs="宋体"/>
          <w:sz w:val="24"/>
          <w:lang w:val="en-US" w:eastAsia="zh-CN"/>
        </w:rPr>
        <w:t>10</w:t>
      </w:r>
      <w:r>
        <w:rPr>
          <w:rFonts w:hint="eastAsia" w:ascii="宋体" w:hAnsi="宋体" w:cs="宋体"/>
          <w:sz w:val="24"/>
        </w:rPr>
        <w:t>时</w:t>
      </w:r>
      <w:r>
        <w:rPr>
          <w:rFonts w:hint="eastAsia" w:ascii="宋体" w:hAnsi="宋体" w:cs="宋体"/>
          <w:sz w:val="24"/>
          <w:lang w:val="en-US" w:eastAsia="zh-CN"/>
        </w:rPr>
        <w:t>30</w:t>
      </w:r>
      <w:r>
        <w:rPr>
          <w:rFonts w:hint="eastAsia" w:ascii="宋体" w:hAnsi="宋体" w:cs="宋体"/>
          <w:sz w:val="24"/>
        </w:rPr>
        <w:t>分（北京时间）</w:t>
      </w:r>
    </w:p>
    <w:p>
      <w:pPr>
        <w:keepNext w:val="0"/>
        <w:keepLines w:val="0"/>
        <w:pageBreakBefore w:val="0"/>
        <w:widowControl w:val="0"/>
        <w:kinsoku/>
        <w:overflowPunct/>
        <w:topLinePunct w:val="0"/>
        <w:autoSpaceDE/>
        <w:autoSpaceDN/>
        <w:bidi w:val="0"/>
        <w:adjustRightInd w:val="0"/>
        <w:snapToGrid w:val="0"/>
        <w:spacing w:line="440" w:lineRule="exact"/>
        <w:textAlignment w:val="auto"/>
        <w:rPr>
          <w:rFonts w:ascii="宋体" w:hAnsi="宋体" w:cs="宋体"/>
          <w:sz w:val="24"/>
        </w:rPr>
      </w:pPr>
      <w:r>
        <w:rPr>
          <w:rFonts w:hint="eastAsia" w:ascii="宋体" w:hAnsi="宋体" w:cs="宋体"/>
          <w:sz w:val="24"/>
        </w:rPr>
        <w:t>2、开标地点：宝丰县公共资源交易中心网上开标大厅，全面实行在线“不见面”开标，供应商远程在线解密投标文件，不再到开标现场，供应商前应仔细阅读网站“紧急通告”等。</w:t>
      </w:r>
    </w:p>
    <w:p>
      <w:pPr>
        <w:keepNext w:val="0"/>
        <w:keepLines w:val="0"/>
        <w:pageBreakBefore w:val="0"/>
        <w:widowControl w:val="0"/>
        <w:kinsoku/>
        <w:overflowPunct/>
        <w:topLinePunct w:val="0"/>
        <w:autoSpaceDE/>
        <w:autoSpaceDN/>
        <w:bidi w:val="0"/>
        <w:adjustRightInd w:val="0"/>
        <w:snapToGrid w:val="0"/>
        <w:spacing w:line="440" w:lineRule="exact"/>
        <w:textAlignment w:val="auto"/>
        <w:rPr>
          <w:rFonts w:ascii="宋体" w:hAnsi="宋体" w:cs="宋体"/>
          <w:b/>
          <w:sz w:val="24"/>
        </w:rPr>
      </w:pPr>
      <w:r>
        <w:rPr>
          <w:rFonts w:hint="eastAsia" w:ascii="宋体" w:hAnsi="宋体" w:cs="宋体"/>
          <w:b/>
          <w:sz w:val="24"/>
        </w:rPr>
        <w:t>六、</w:t>
      </w:r>
      <w:bookmarkEnd w:id="32"/>
      <w:bookmarkEnd w:id="33"/>
      <w:r>
        <w:rPr>
          <w:rFonts w:hint="eastAsia" w:ascii="宋体" w:hAnsi="宋体" w:cs="宋体"/>
          <w:b/>
          <w:sz w:val="24"/>
        </w:rPr>
        <w:t>发布公告的媒介及招标公告期限</w:t>
      </w:r>
    </w:p>
    <w:p>
      <w:pPr>
        <w:keepNext w:val="0"/>
        <w:keepLines w:val="0"/>
        <w:pageBreakBefore w:val="0"/>
        <w:widowControl w:val="0"/>
        <w:kinsoku/>
        <w:overflowPunct/>
        <w:topLinePunct w:val="0"/>
        <w:autoSpaceDE/>
        <w:autoSpaceDN/>
        <w:bidi w:val="0"/>
        <w:adjustRightInd w:val="0"/>
        <w:snapToGrid w:val="0"/>
        <w:spacing w:line="440" w:lineRule="exact"/>
        <w:ind w:firstLine="480" w:firstLineChars="200"/>
        <w:textAlignment w:val="auto"/>
        <w:rPr>
          <w:rFonts w:ascii="宋体" w:hAnsi="宋体"/>
          <w:sz w:val="24"/>
        </w:rPr>
      </w:pPr>
      <w:r>
        <w:rPr>
          <w:rFonts w:hint="eastAsia" w:ascii="宋体" w:hAnsi="宋体"/>
          <w:sz w:val="24"/>
        </w:rPr>
        <w:t>本次招标公告同时在</w:t>
      </w:r>
      <w:r>
        <w:rPr>
          <w:rFonts w:hint="eastAsia" w:ascii="宋体" w:hAnsi="宋体" w:cs="宋体"/>
          <w:sz w:val="24"/>
        </w:rPr>
        <w:t>《河南省政府采购网》、《平顶山市政府采购网》、《平顶山市宝丰县政府采购网》、《全国公共资源交易平台》、《全国公共资源交易平台（河南省）》、《全国公共资源交易平台（河南省·平顶山市）》、《全国公共资源交易平台（河南省·宝丰县）》、《河南省电子招标投标公共服务平台》上发布</w:t>
      </w:r>
      <w:r>
        <w:rPr>
          <w:rFonts w:hint="eastAsia" w:ascii="宋体" w:hAnsi="宋体"/>
          <w:sz w:val="24"/>
        </w:rPr>
        <w:t>，</w:t>
      </w:r>
      <w:r>
        <w:rPr>
          <w:rFonts w:hint="eastAsia" w:ascii="宋体" w:hAnsi="宋体" w:cs="宋体"/>
          <w:sz w:val="24"/>
        </w:rPr>
        <w:t>招标公告期限为五个工作日。</w:t>
      </w:r>
    </w:p>
    <w:p>
      <w:pPr>
        <w:keepNext w:val="0"/>
        <w:keepLines w:val="0"/>
        <w:pageBreakBefore w:val="0"/>
        <w:widowControl w:val="0"/>
        <w:kinsoku/>
        <w:overflowPunct/>
        <w:topLinePunct w:val="0"/>
        <w:autoSpaceDE/>
        <w:autoSpaceDN/>
        <w:bidi w:val="0"/>
        <w:adjustRightInd w:val="0"/>
        <w:snapToGrid w:val="0"/>
        <w:spacing w:line="440" w:lineRule="exact"/>
        <w:textAlignment w:val="auto"/>
        <w:rPr>
          <w:rFonts w:ascii="宋体" w:hAnsi="宋体" w:cs="宋体"/>
          <w:b/>
          <w:sz w:val="24"/>
        </w:rPr>
      </w:pPr>
      <w:bookmarkStart w:id="34" w:name="_Toc28359008"/>
      <w:bookmarkStart w:id="35" w:name="_Toc28359085"/>
      <w:bookmarkStart w:id="36" w:name="_Toc35393627"/>
      <w:bookmarkStart w:id="37" w:name="_Toc35393796"/>
      <w:r>
        <w:rPr>
          <w:rFonts w:hint="eastAsia" w:ascii="宋体" w:hAnsi="宋体" w:cs="宋体"/>
          <w:b/>
          <w:sz w:val="24"/>
        </w:rPr>
        <w:t>七、其他补充事宜</w:t>
      </w:r>
    </w:p>
    <w:p>
      <w:pPr>
        <w:keepNext w:val="0"/>
        <w:keepLines w:val="0"/>
        <w:pageBreakBefore w:val="0"/>
        <w:widowControl w:val="0"/>
        <w:kinsoku/>
        <w:overflowPunct/>
        <w:topLinePunct w:val="0"/>
        <w:autoSpaceDE/>
        <w:autoSpaceDN/>
        <w:bidi w:val="0"/>
        <w:adjustRightInd w:val="0"/>
        <w:snapToGrid w:val="0"/>
        <w:spacing w:line="440" w:lineRule="exact"/>
        <w:ind w:firstLine="480" w:firstLineChars="200"/>
        <w:textAlignment w:val="auto"/>
        <w:rPr>
          <w:rFonts w:ascii="宋体" w:hAnsi="宋体"/>
          <w:sz w:val="24"/>
        </w:rPr>
      </w:pPr>
      <w:r>
        <w:rPr>
          <w:rFonts w:hint="eastAsia" w:ascii="宋体" w:hAnsi="宋体"/>
          <w:sz w:val="24"/>
        </w:rPr>
        <w:t>本项目采用网上远程异地开标解密，详细要求及注意事项请各供应商详细阅读宝丰县公共资源交易中心网发布的“紧急通告”，因各供应商未仔细阅读造成的损失，各供应商自行承担。</w:t>
      </w:r>
    </w:p>
    <w:p>
      <w:pPr>
        <w:keepNext w:val="0"/>
        <w:keepLines w:val="0"/>
        <w:pageBreakBefore w:val="0"/>
        <w:widowControl w:val="0"/>
        <w:kinsoku/>
        <w:overflowPunct/>
        <w:topLinePunct w:val="0"/>
        <w:autoSpaceDE/>
        <w:autoSpaceDN/>
        <w:bidi w:val="0"/>
        <w:adjustRightInd w:val="0"/>
        <w:snapToGrid w:val="0"/>
        <w:spacing w:line="440" w:lineRule="exact"/>
        <w:textAlignment w:val="auto"/>
        <w:rPr>
          <w:rFonts w:ascii="宋体" w:hAnsi="宋体" w:cs="宋体"/>
          <w:b/>
          <w:sz w:val="24"/>
        </w:rPr>
      </w:pPr>
      <w:r>
        <w:rPr>
          <w:rFonts w:hint="eastAsia" w:ascii="宋体" w:hAnsi="宋体" w:cs="宋体"/>
          <w:b/>
          <w:sz w:val="24"/>
        </w:rPr>
        <w:t>八、</w:t>
      </w:r>
      <w:bookmarkEnd w:id="34"/>
      <w:bookmarkEnd w:id="35"/>
      <w:bookmarkEnd w:id="36"/>
      <w:bookmarkEnd w:id="37"/>
      <w:r>
        <w:rPr>
          <w:rFonts w:hint="eastAsia" w:ascii="宋体" w:hAnsi="宋体" w:cs="宋体"/>
          <w:b/>
          <w:sz w:val="24"/>
        </w:rPr>
        <w:t>对本次招标提出询问，请按照以下方式联系</w:t>
      </w:r>
    </w:p>
    <w:p>
      <w:pPr>
        <w:keepNext w:val="0"/>
        <w:keepLines w:val="0"/>
        <w:pageBreakBefore w:val="0"/>
        <w:widowControl w:val="0"/>
        <w:kinsoku/>
        <w:overflowPunct/>
        <w:topLinePunct w:val="0"/>
        <w:autoSpaceDE/>
        <w:autoSpaceDN/>
        <w:bidi w:val="0"/>
        <w:adjustRightInd w:val="0"/>
        <w:snapToGrid w:val="0"/>
        <w:spacing w:line="440" w:lineRule="exact"/>
        <w:ind w:firstLine="240" w:firstLineChars="100"/>
        <w:textAlignment w:val="auto"/>
        <w:rPr>
          <w:rFonts w:hint="eastAsia" w:ascii="宋体" w:hAnsi="宋体"/>
          <w:color w:val="000000"/>
          <w:sz w:val="24"/>
        </w:rPr>
      </w:pPr>
      <w:r>
        <w:rPr>
          <w:rFonts w:hint="eastAsia" w:ascii="宋体" w:hAnsi="宋体"/>
          <w:color w:val="000000"/>
          <w:sz w:val="24"/>
        </w:rPr>
        <w:t>1.采购人信息</w:t>
      </w:r>
    </w:p>
    <w:p>
      <w:pPr>
        <w:keepNext w:val="0"/>
        <w:keepLines w:val="0"/>
        <w:pageBreakBefore w:val="0"/>
        <w:widowControl w:val="0"/>
        <w:kinsoku/>
        <w:overflowPunct/>
        <w:topLinePunct w:val="0"/>
        <w:autoSpaceDE/>
        <w:autoSpaceDN/>
        <w:bidi w:val="0"/>
        <w:adjustRightInd w:val="0"/>
        <w:snapToGrid w:val="0"/>
        <w:spacing w:line="440" w:lineRule="exact"/>
        <w:ind w:firstLine="480" w:firstLineChars="200"/>
        <w:textAlignment w:val="auto"/>
        <w:rPr>
          <w:rFonts w:hint="eastAsia" w:ascii="宋体" w:hAnsi="宋体"/>
          <w:color w:val="000000"/>
          <w:sz w:val="24"/>
        </w:rPr>
      </w:pPr>
      <w:r>
        <w:rPr>
          <w:rFonts w:hint="eastAsia" w:ascii="宋体" w:hAnsi="宋体"/>
          <w:color w:val="000000"/>
          <w:sz w:val="24"/>
        </w:rPr>
        <w:t xml:space="preserve">名称：宝丰县交通运输局       </w:t>
      </w:r>
    </w:p>
    <w:p>
      <w:pPr>
        <w:keepNext w:val="0"/>
        <w:keepLines w:val="0"/>
        <w:pageBreakBefore w:val="0"/>
        <w:widowControl w:val="0"/>
        <w:kinsoku/>
        <w:overflowPunct/>
        <w:topLinePunct w:val="0"/>
        <w:autoSpaceDE/>
        <w:autoSpaceDN/>
        <w:bidi w:val="0"/>
        <w:adjustRightInd w:val="0"/>
        <w:snapToGrid w:val="0"/>
        <w:spacing w:line="440" w:lineRule="exact"/>
        <w:ind w:firstLine="480" w:firstLineChars="200"/>
        <w:textAlignment w:val="auto"/>
        <w:rPr>
          <w:rFonts w:hint="eastAsia" w:ascii="宋体" w:hAnsi="宋体"/>
          <w:color w:val="000000"/>
          <w:sz w:val="24"/>
        </w:rPr>
      </w:pPr>
      <w:r>
        <w:rPr>
          <w:rFonts w:hint="eastAsia" w:ascii="宋体" w:hAnsi="宋体"/>
          <w:color w:val="000000"/>
          <w:sz w:val="24"/>
        </w:rPr>
        <w:t xml:space="preserve">地址：宝丰县迎宾大道中段   </w:t>
      </w:r>
    </w:p>
    <w:p>
      <w:pPr>
        <w:keepNext w:val="0"/>
        <w:keepLines w:val="0"/>
        <w:pageBreakBefore w:val="0"/>
        <w:widowControl w:val="0"/>
        <w:kinsoku/>
        <w:overflowPunct/>
        <w:topLinePunct w:val="0"/>
        <w:autoSpaceDE/>
        <w:autoSpaceDN/>
        <w:bidi w:val="0"/>
        <w:adjustRightInd w:val="0"/>
        <w:snapToGrid w:val="0"/>
        <w:spacing w:line="440" w:lineRule="exact"/>
        <w:ind w:firstLine="480" w:firstLineChars="200"/>
        <w:textAlignment w:val="auto"/>
        <w:rPr>
          <w:rFonts w:hint="eastAsia" w:ascii="宋体" w:hAnsi="宋体"/>
          <w:color w:val="000000"/>
          <w:sz w:val="24"/>
        </w:rPr>
      </w:pPr>
      <w:r>
        <w:rPr>
          <w:rFonts w:hint="eastAsia" w:ascii="宋体" w:hAnsi="宋体"/>
          <w:color w:val="000000"/>
          <w:sz w:val="24"/>
        </w:rPr>
        <w:t>联系人：鞠先生</w:t>
      </w:r>
    </w:p>
    <w:p>
      <w:pPr>
        <w:keepNext w:val="0"/>
        <w:keepLines w:val="0"/>
        <w:pageBreakBefore w:val="0"/>
        <w:widowControl w:val="0"/>
        <w:kinsoku/>
        <w:overflowPunct/>
        <w:topLinePunct w:val="0"/>
        <w:autoSpaceDE/>
        <w:autoSpaceDN/>
        <w:bidi w:val="0"/>
        <w:adjustRightInd w:val="0"/>
        <w:snapToGrid w:val="0"/>
        <w:spacing w:line="440" w:lineRule="exact"/>
        <w:ind w:firstLine="480" w:firstLineChars="200"/>
        <w:textAlignment w:val="auto"/>
        <w:rPr>
          <w:rFonts w:hint="eastAsia" w:ascii="宋体" w:hAnsi="宋体"/>
          <w:color w:val="000000"/>
          <w:sz w:val="24"/>
        </w:rPr>
      </w:pPr>
      <w:r>
        <w:rPr>
          <w:rFonts w:hint="eastAsia" w:ascii="宋体" w:hAnsi="宋体"/>
          <w:color w:val="000000"/>
          <w:sz w:val="24"/>
        </w:rPr>
        <w:t>联系方式：13343909299</w:t>
      </w:r>
    </w:p>
    <w:p>
      <w:pPr>
        <w:keepNext w:val="0"/>
        <w:keepLines w:val="0"/>
        <w:pageBreakBefore w:val="0"/>
        <w:widowControl w:val="0"/>
        <w:kinsoku/>
        <w:overflowPunct/>
        <w:topLinePunct w:val="0"/>
        <w:autoSpaceDE/>
        <w:autoSpaceDN/>
        <w:bidi w:val="0"/>
        <w:adjustRightInd w:val="0"/>
        <w:snapToGrid w:val="0"/>
        <w:spacing w:line="440" w:lineRule="exact"/>
        <w:ind w:firstLine="240" w:firstLineChars="100"/>
        <w:textAlignment w:val="auto"/>
        <w:rPr>
          <w:rFonts w:hint="eastAsia" w:ascii="宋体" w:hAnsi="宋体"/>
          <w:color w:val="000000"/>
          <w:sz w:val="24"/>
        </w:rPr>
      </w:pPr>
      <w:r>
        <w:rPr>
          <w:rFonts w:hint="eastAsia" w:ascii="宋体" w:hAnsi="宋体"/>
          <w:color w:val="000000"/>
          <w:sz w:val="24"/>
        </w:rPr>
        <w:t xml:space="preserve">2.采购代理机构信息（如有） </w:t>
      </w:r>
    </w:p>
    <w:p>
      <w:pPr>
        <w:keepNext w:val="0"/>
        <w:keepLines w:val="0"/>
        <w:pageBreakBefore w:val="0"/>
        <w:widowControl w:val="0"/>
        <w:kinsoku/>
        <w:overflowPunct/>
        <w:topLinePunct w:val="0"/>
        <w:autoSpaceDE/>
        <w:autoSpaceDN/>
        <w:bidi w:val="0"/>
        <w:adjustRightInd w:val="0"/>
        <w:snapToGrid w:val="0"/>
        <w:spacing w:line="440" w:lineRule="exact"/>
        <w:ind w:firstLine="480" w:firstLineChars="200"/>
        <w:textAlignment w:val="auto"/>
        <w:rPr>
          <w:rFonts w:ascii="宋体" w:hAnsi="宋体"/>
          <w:color w:val="000000"/>
          <w:sz w:val="24"/>
        </w:rPr>
      </w:pPr>
      <w:r>
        <w:rPr>
          <w:rFonts w:hint="eastAsia" w:ascii="宋体" w:hAnsi="宋体"/>
          <w:color w:val="000000"/>
          <w:sz w:val="24"/>
        </w:rPr>
        <w:t>名称：慧霖建设发展集团有限公司</w:t>
      </w:r>
    </w:p>
    <w:p>
      <w:pPr>
        <w:keepNext w:val="0"/>
        <w:keepLines w:val="0"/>
        <w:pageBreakBefore w:val="0"/>
        <w:widowControl w:val="0"/>
        <w:kinsoku/>
        <w:overflowPunct/>
        <w:topLinePunct w:val="0"/>
        <w:autoSpaceDE/>
        <w:autoSpaceDN/>
        <w:bidi w:val="0"/>
        <w:adjustRightInd w:val="0"/>
        <w:snapToGrid w:val="0"/>
        <w:spacing w:line="440" w:lineRule="exact"/>
        <w:ind w:firstLine="480" w:firstLineChars="200"/>
        <w:textAlignment w:val="auto"/>
        <w:rPr>
          <w:rFonts w:hint="eastAsia" w:ascii="宋体" w:hAnsi="宋体"/>
          <w:color w:val="000000"/>
          <w:sz w:val="24"/>
        </w:rPr>
      </w:pPr>
      <w:r>
        <w:rPr>
          <w:rFonts w:hint="eastAsia" w:ascii="宋体" w:hAnsi="宋体"/>
          <w:color w:val="000000"/>
          <w:sz w:val="24"/>
        </w:rPr>
        <w:t xml:space="preserve">地址：平顶山新华区建设路西段云顶灯饰城内1号楼3楼1-5号 </w:t>
      </w:r>
    </w:p>
    <w:p>
      <w:pPr>
        <w:keepNext w:val="0"/>
        <w:keepLines w:val="0"/>
        <w:pageBreakBefore w:val="0"/>
        <w:widowControl w:val="0"/>
        <w:kinsoku/>
        <w:overflowPunct/>
        <w:topLinePunct w:val="0"/>
        <w:autoSpaceDE/>
        <w:autoSpaceDN/>
        <w:bidi w:val="0"/>
        <w:adjustRightInd w:val="0"/>
        <w:snapToGrid w:val="0"/>
        <w:spacing w:line="440" w:lineRule="exact"/>
        <w:ind w:firstLine="480" w:firstLineChars="200"/>
        <w:textAlignment w:val="auto"/>
        <w:rPr>
          <w:rFonts w:hint="eastAsia" w:ascii="宋体" w:hAnsi="宋体"/>
          <w:color w:val="000000"/>
          <w:sz w:val="24"/>
        </w:rPr>
      </w:pPr>
      <w:r>
        <w:rPr>
          <w:rFonts w:hint="eastAsia" w:ascii="宋体" w:hAnsi="宋体"/>
          <w:color w:val="000000"/>
          <w:sz w:val="24"/>
        </w:rPr>
        <w:t>联系人：</w:t>
      </w:r>
      <w:r>
        <w:rPr>
          <w:rFonts w:hint="eastAsia" w:ascii="宋体" w:hAnsi="宋体"/>
          <w:color w:val="000000"/>
          <w:sz w:val="24"/>
          <w:lang w:eastAsia="zh-CN"/>
        </w:rPr>
        <w:t>张</w:t>
      </w:r>
      <w:r>
        <w:rPr>
          <w:rFonts w:hint="eastAsia" w:ascii="宋体" w:hAnsi="宋体"/>
          <w:color w:val="000000"/>
          <w:sz w:val="24"/>
        </w:rPr>
        <w:t>女士</w:t>
      </w:r>
    </w:p>
    <w:p>
      <w:pPr>
        <w:keepNext w:val="0"/>
        <w:keepLines w:val="0"/>
        <w:pageBreakBefore w:val="0"/>
        <w:widowControl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olor w:val="000000"/>
          <w:sz w:val="24"/>
          <w:lang w:eastAsia="zh-CN"/>
        </w:rPr>
      </w:pPr>
      <w:r>
        <w:rPr>
          <w:rFonts w:hint="eastAsia" w:ascii="宋体" w:hAnsi="宋体"/>
          <w:color w:val="000000"/>
          <w:sz w:val="24"/>
        </w:rPr>
        <w:t>联系方式：0375-6161678   199390</w:t>
      </w:r>
      <w:r>
        <w:rPr>
          <w:rFonts w:ascii="宋体" w:hAnsi="宋体"/>
          <w:color w:val="000000"/>
          <w:sz w:val="24"/>
        </w:rPr>
        <w:t>2510</w:t>
      </w:r>
      <w:r>
        <w:rPr>
          <w:rFonts w:hint="eastAsia" w:ascii="宋体" w:hAnsi="宋体"/>
          <w:color w:val="000000"/>
          <w:sz w:val="24"/>
          <w:lang w:val="en-US" w:eastAsia="zh-CN"/>
        </w:rPr>
        <w:t>1</w:t>
      </w:r>
    </w:p>
    <w:p>
      <w:pPr>
        <w:keepNext w:val="0"/>
        <w:keepLines w:val="0"/>
        <w:pageBreakBefore w:val="0"/>
        <w:widowControl w:val="0"/>
        <w:kinsoku/>
        <w:overflowPunct/>
        <w:topLinePunct w:val="0"/>
        <w:autoSpaceDE/>
        <w:autoSpaceDN/>
        <w:bidi w:val="0"/>
        <w:adjustRightInd w:val="0"/>
        <w:snapToGrid w:val="0"/>
        <w:spacing w:line="440" w:lineRule="exact"/>
        <w:ind w:firstLine="240" w:firstLineChars="100"/>
        <w:textAlignment w:val="auto"/>
        <w:rPr>
          <w:rFonts w:hint="eastAsia" w:ascii="宋体" w:hAnsi="宋体"/>
          <w:color w:val="000000"/>
          <w:sz w:val="24"/>
        </w:rPr>
      </w:pPr>
      <w:r>
        <w:rPr>
          <w:rFonts w:hint="eastAsia" w:ascii="宋体" w:hAnsi="宋体"/>
          <w:color w:val="000000"/>
          <w:sz w:val="24"/>
        </w:rPr>
        <w:t xml:space="preserve">3.项目联系方式 </w:t>
      </w:r>
    </w:p>
    <w:p>
      <w:pPr>
        <w:keepNext w:val="0"/>
        <w:keepLines w:val="0"/>
        <w:pageBreakBefore w:val="0"/>
        <w:widowControl w:val="0"/>
        <w:kinsoku/>
        <w:overflowPunct/>
        <w:topLinePunct w:val="0"/>
        <w:autoSpaceDE/>
        <w:autoSpaceDN/>
        <w:bidi w:val="0"/>
        <w:adjustRightInd w:val="0"/>
        <w:snapToGrid w:val="0"/>
        <w:spacing w:line="440" w:lineRule="exact"/>
        <w:ind w:firstLine="480" w:firstLineChars="200"/>
        <w:textAlignment w:val="auto"/>
        <w:rPr>
          <w:rFonts w:hint="eastAsia" w:ascii="宋体" w:hAnsi="宋体"/>
          <w:color w:val="000000"/>
          <w:sz w:val="24"/>
        </w:rPr>
      </w:pPr>
      <w:r>
        <w:rPr>
          <w:rFonts w:hint="eastAsia" w:ascii="宋体" w:hAnsi="宋体"/>
          <w:color w:val="000000"/>
          <w:sz w:val="24"/>
        </w:rPr>
        <w:t>项目联系人：</w:t>
      </w:r>
      <w:r>
        <w:rPr>
          <w:rFonts w:hint="eastAsia" w:ascii="宋体" w:hAnsi="宋体"/>
          <w:color w:val="000000"/>
          <w:sz w:val="24"/>
          <w:lang w:eastAsia="zh-CN"/>
        </w:rPr>
        <w:t>张</w:t>
      </w:r>
      <w:r>
        <w:rPr>
          <w:rFonts w:hint="eastAsia" w:ascii="宋体" w:hAnsi="宋体"/>
          <w:color w:val="000000"/>
          <w:sz w:val="24"/>
        </w:rPr>
        <w:t>女士</w:t>
      </w:r>
    </w:p>
    <w:p>
      <w:pPr>
        <w:keepNext w:val="0"/>
        <w:keepLines w:val="0"/>
        <w:pageBreakBefore w:val="0"/>
        <w:widowControl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olor w:val="000000"/>
          <w:sz w:val="24"/>
          <w:lang w:eastAsia="zh-CN"/>
        </w:rPr>
      </w:pPr>
      <w:r>
        <w:rPr>
          <w:rFonts w:hint="eastAsia" w:ascii="宋体" w:hAnsi="宋体"/>
          <w:color w:val="000000"/>
          <w:sz w:val="24"/>
        </w:rPr>
        <w:t>联系方式：0375-6161678   199390</w:t>
      </w:r>
      <w:r>
        <w:rPr>
          <w:rFonts w:ascii="宋体" w:hAnsi="宋体"/>
          <w:color w:val="000000"/>
          <w:sz w:val="24"/>
        </w:rPr>
        <w:t>2510</w:t>
      </w:r>
      <w:r>
        <w:rPr>
          <w:rFonts w:hint="eastAsia" w:ascii="宋体" w:hAnsi="宋体"/>
          <w:color w:val="000000"/>
          <w:sz w:val="24"/>
          <w:lang w:val="en-US" w:eastAsia="zh-CN"/>
        </w:rPr>
        <w:t>1</w:t>
      </w:r>
    </w:p>
    <w:p>
      <w:pPr>
        <w:keepNext w:val="0"/>
        <w:keepLines w:val="0"/>
        <w:pageBreakBefore w:val="0"/>
        <w:widowControl w:val="0"/>
        <w:kinsoku/>
        <w:overflowPunct/>
        <w:topLinePunct w:val="0"/>
        <w:autoSpaceDE/>
        <w:autoSpaceDN/>
        <w:bidi w:val="0"/>
        <w:adjustRightInd w:val="0"/>
        <w:snapToGrid w:val="0"/>
        <w:spacing w:line="440" w:lineRule="exact"/>
        <w:ind w:firstLine="480" w:firstLineChars="200"/>
        <w:textAlignment w:val="auto"/>
        <w:rPr>
          <w:rFonts w:ascii="宋体" w:hAnsi="宋体"/>
          <w:color w:val="000000"/>
          <w:sz w:val="24"/>
        </w:rPr>
      </w:pPr>
    </w:p>
    <w:p>
      <w:pPr>
        <w:keepNext w:val="0"/>
        <w:keepLines w:val="0"/>
        <w:pageBreakBefore w:val="0"/>
        <w:widowControl w:val="0"/>
        <w:kinsoku/>
        <w:wordWrap w:val="0"/>
        <w:overflowPunct/>
        <w:topLinePunct w:val="0"/>
        <w:autoSpaceDE/>
        <w:autoSpaceDN/>
        <w:bidi w:val="0"/>
        <w:adjustRightInd w:val="0"/>
        <w:snapToGrid w:val="0"/>
        <w:spacing w:line="440" w:lineRule="exact"/>
        <w:jc w:val="right"/>
        <w:textAlignment w:val="auto"/>
        <w:rPr>
          <w:rFonts w:ascii="宋体" w:hAnsi="宋体" w:cs="宋体"/>
          <w:kern w:val="0"/>
          <w:sz w:val="24"/>
        </w:rPr>
      </w:pPr>
      <w:r>
        <w:rPr>
          <w:rFonts w:hint="eastAsia" w:ascii="宋体" w:hAnsi="宋体" w:cs="宋体"/>
          <w:kern w:val="0"/>
          <w:sz w:val="24"/>
        </w:rPr>
        <w:t>发布日期：</w:t>
      </w:r>
      <w:r>
        <w:rPr>
          <w:rFonts w:hint="eastAsia" w:ascii="宋体" w:hAnsi="宋体" w:cs="宋体"/>
          <w:kern w:val="0"/>
          <w:sz w:val="24"/>
          <w:lang w:val="en-US" w:eastAsia="zh-CN"/>
        </w:rPr>
        <w:t>2023</w:t>
      </w:r>
      <w:r>
        <w:rPr>
          <w:rFonts w:hint="eastAsia" w:ascii="宋体" w:hAnsi="宋体" w:cs="宋体"/>
          <w:kern w:val="0"/>
          <w:sz w:val="24"/>
        </w:rPr>
        <w:t>年</w:t>
      </w:r>
      <w:r>
        <w:rPr>
          <w:rFonts w:hint="eastAsia" w:ascii="宋体" w:hAnsi="宋体" w:cs="宋体"/>
          <w:kern w:val="0"/>
          <w:sz w:val="24"/>
          <w:lang w:val="en-US" w:eastAsia="zh-CN"/>
        </w:rPr>
        <w:t>12</w:t>
      </w:r>
      <w:r>
        <w:rPr>
          <w:rFonts w:hint="eastAsia" w:ascii="宋体" w:hAnsi="宋体" w:cs="宋体"/>
          <w:kern w:val="0"/>
          <w:sz w:val="24"/>
        </w:rPr>
        <w:t>月</w:t>
      </w:r>
      <w:r>
        <w:rPr>
          <w:rFonts w:hint="eastAsia" w:ascii="宋体" w:hAnsi="宋体" w:cs="宋体"/>
          <w:kern w:val="0"/>
          <w:sz w:val="24"/>
          <w:lang w:val="en-US" w:eastAsia="zh-CN"/>
        </w:rPr>
        <w:t xml:space="preserve"> 4</w:t>
      </w:r>
      <w:r>
        <w:rPr>
          <w:rFonts w:hint="eastAsia" w:ascii="宋体" w:hAnsi="宋体" w:cs="宋体"/>
          <w:kern w:val="0"/>
          <w:sz w:val="24"/>
        </w:rPr>
        <w:t>日</w:t>
      </w:r>
    </w:p>
    <w:p>
      <w:pPr>
        <w:widowControl/>
        <w:shd w:val="clear" w:color="auto" w:fill="FFFFFF"/>
        <w:spacing w:line="420" w:lineRule="atLeast"/>
        <w:jc w:val="left"/>
        <w:rPr>
          <w:rFonts w:hint="eastAsia" w:ascii="宋体" w:hAnsi="宋体" w:cs="宋体"/>
          <w:b/>
          <w:bCs/>
          <w:kern w:val="0"/>
          <w:sz w:val="24"/>
        </w:rPr>
      </w:pPr>
    </w:p>
    <w:p>
      <w:pPr>
        <w:pStyle w:val="13"/>
        <w:ind w:left="900" w:hanging="480"/>
        <w:rPr>
          <w:rFonts w:ascii="宋体" w:hAnsi="宋体" w:cs="宋体"/>
          <w:kern w:val="0"/>
          <w:sz w:val="24"/>
        </w:rPr>
      </w:pPr>
    </w:p>
    <w:p>
      <w:pPr>
        <w:pStyle w:val="13"/>
        <w:ind w:left="900" w:hanging="480"/>
        <w:rPr>
          <w:rFonts w:ascii="宋体" w:hAnsi="宋体" w:cs="宋体"/>
          <w:kern w:val="0"/>
          <w:sz w:val="24"/>
        </w:rPr>
      </w:pPr>
    </w:p>
    <w:p>
      <w:pPr>
        <w:pStyle w:val="13"/>
        <w:ind w:left="900" w:hanging="480"/>
        <w:rPr>
          <w:rFonts w:ascii="宋体" w:hAnsi="宋体" w:cs="宋体"/>
          <w:kern w:val="0"/>
          <w:sz w:val="24"/>
        </w:rPr>
      </w:pPr>
    </w:p>
    <w:p>
      <w:pPr>
        <w:pStyle w:val="13"/>
        <w:ind w:left="900" w:hanging="480"/>
        <w:rPr>
          <w:rFonts w:ascii="宋体" w:hAnsi="宋体" w:cs="宋体"/>
          <w:kern w:val="0"/>
          <w:sz w:val="24"/>
        </w:rPr>
      </w:pPr>
    </w:p>
    <w:p>
      <w:pPr>
        <w:pStyle w:val="13"/>
        <w:ind w:left="900" w:hanging="480"/>
        <w:rPr>
          <w:rFonts w:ascii="宋体" w:hAnsi="宋体" w:cs="宋体"/>
          <w:kern w:val="0"/>
          <w:sz w:val="24"/>
        </w:rPr>
      </w:pPr>
    </w:p>
    <w:p>
      <w:pPr>
        <w:pStyle w:val="13"/>
        <w:ind w:left="900" w:hanging="480"/>
        <w:rPr>
          <w:rFonts w:ascii="宋体" w:hAnsi="宋体" w:cs="宋体"/>
          <w:kern w:val="0"/>
          <w:sz w:val="24"/>
        </w:rPr>
      </w:pPr>
    </w:p>
    <w:p>
      <w:pPr>
        <w:pStyle w:val="13"/>
        <w:ind w:left="900" w:hanging="480"/>
        <w:rPr>
          <w:rFonts w:ascii="宋体" w:hAnsi="宋体" w:cs="宋体"/>
          <w:kern w:val="0"/>
          <w:sz w:val="24"/>
        </w:rPr>
      </w:pPr>
    </w:p>
    <w:p>
      <w:pPr>
        <w:pStyle w:val="13"/>
        <w:ind w:left="900" w:hanging="480"/>
        <w:rPr>
          <w:rFonts w:ascii="宋体" w:hAnsi="宋体" w:cs="宋体"/>
          <w:kern w:val="0"/>
          <w:sz w:val="24"/>
        </w:rPr>
      </w:pPr>
    </w:p>
    <w:p>
      <w:pPr>
        <w:pStyle w:val="13"/>
        <w:ind w:left="900" w:hanging="480"/>
        <w:rPr>
          <w:rFonts w:ascii="宋体" w:hAnsi="宋体" w:cs="宋体"/>
          <w:kern w:val="0"/>
          <w:sz w:val="24"/>
        </w:rPr>
      </w:pPr>
    </w:p>
    <w:p>
      <w:pPr>
        <w:pStyle w:val="13"/>
        <w:ind w:left="900" w:hanging="480"/>
        <w:rPr>
          <w:rFonts w:ascii="宋体" w:hAnsi="宋体" w:cs="宋体"/>
          <w:kern w:val="0"/>
          <w:sz w:val="24"/>
        </w:rPr>
      </w:pPr>
    </w:p>
    <w:p>
      <w:pPr>
        <w:pStyle w:val="13"/>
        <w:ind w:left="900" w:hanging="480"/>
        <w:rPr>
          <w:rFonts w:ascii="宋体" w:hAnsi="宋体" w:cs="宋体"/>
          <w:kern w:val="0"/>
          <w:sz w:val="24"/>
        </w:rPr>
      </w:pPr>
    </w:p>
    <w:p>
      <w:pPr>
        <w:pStyle w:val="13"/>
        <w:ind w:left="900" w:hanging="480"/>
        <w:rPr>
          <w:rFonts w:ascii="宋体" w:hAnsi="宋体" w:cs="宋体"/>
          <w:kern w:val="0"/>
          <w:sz w:val="24"/>
        </w:rPr>
      </w:pPr>
    </w:p>
    <w:p>
      <w:pPr>
        <w:pStyle w:val="13"/>
        <w:ind w:left="900" w:hanging="480"/>
        <w:rPr>
          <w:rFonts w:ascii="宋体" w:hAnsi="宋体" w:cs="宋体"/>
          <w:kern w:val="0"/>
          <w:sz w:val="24"/>
        </w:rPr>
      </w:pPr>
    </w:p>
    <w:p>
      <w:pPr>
        <w:pStyle w:val="13"/>
        <w:ind w:left="900" w:hanging="480"/>
        <w:rPr>
          <w:rFonts w:ascii="宋体" w:hAnsi="宋体" w:cs="宋体"/>
          <w:kern w:val="0"/>
          <w:sz w:val="24"/>
        </w:rPr>
      </w:pPr>
    </w:p>
    <w:p>
      <w:pPr>
        <w:pStyle w:val="13"/>
        <w:ind w:left="900" w:hanging="480"/>
        <w:rPr>
          <w:rFonts w:ascii="宋体" w:hAnsi="宋体" w:cs="宋体"/>
          <w:kern w:val="0"/>
          <w:sz w:val="24"/>
        </w:rPr>
      </w:pPr>
    </w:p>
    <w:p>
      <w:pPr>
        <w:pStyle w:val="13"/>
        <w:ind w:left="900" w:hanging="480"/>
        <w:rPr>
          <w:rFonts w:ascii="宋体" w:hAnsi="宋体" w:cs="宋体"/>
          <w:kern w:val="0"/>
          <w:sz w:val="24"/>
        </w:rPr>
      </w:pPr>
    </w:p>
    <w:p>
      <w:pPr>
        <w:pStyle w:val="13"/>
        <w:ind w:left="900" w:hanging="480"/>
        <w:rPr>
          <w:rFonts w:ascii="宋体" w:hAnsi="宋体" w:cs="宋体"/>
          <w:kern w:val="0"/>
          <w:sz w:val="24"/>
        </w:rPr>
      </w:pPr>
    </w:p>
    <w:p>
      <w:pPr>
        <w:pStyle w:val="13"/>
        <w:ind w:left="900" w:hanging="480"/>
        <w:rPr>
          <w:rFonts w:ascii="宋体" w:hAnsi="宋体" w:cs="宋体"/>
          <w:kern w:val="0"/>
          <w:sz w:val="24"/>
        </w:rPr>
      </w:pPr>
    </w:p>
    <w:p>
      <w:pPr>
        <w:pStyle w:val="13"/>
        <w:ind w:left="900" w:hanging="480"/>
        <w:rPr>
          <w:rFonts w:ascii="宋体" w:hAnsi="宋体" w:cs="宋体"/>
          <w:kern w:val="0"/>
          <w:sz w:val="24"/>
        </w:rPr>
      </w:pPr>
    </w:p>
    <w:p>
      <w:pPr>
        <w:pStyle w:val="13"/>
        <w:ind w:left="900" w:hanging="480"/>
        <w:rPr>
          <w:rFonts w:ascii="宋体" w:hAnsi="宋体" w:cs="宋体"/>
          <w:kern w:val="0"/>
          <w:sz w:val="24"/>
        </w:rPr>
      </w:pPr>
    </w:p>
    <w:p>
      <w:pPr>
        <w:pStyle w:val="13"/>
        <w:ind w:left="900" w:hanging="480"/>
        <w:rPr>
          <w:rFonts w:ascii="宋体" w:hAnsi="宋体" w:cs="宋体"/>
          <w:kern w:val="0"/>
          <w:sz w:val="24"/>
        </w:rPr>
      </w:pPr>
    </w:p>
    <w:p>
      <w:pPr>
        <w:pStyle w:val="13"/>
        <w:ind w:left="900" w:hanging="480"/>
        <w:rPr>
          <w:rFonts w:ascii="宋体" w:hAnsi="宋体" w:cs="宋体"/>
          <w:kern w:val="0"/>
          <w:sz w:val="24"/>
        </w:rPr>
      </w:pPr>
    </w:p>
    <w:p>
      <w:pPr>
        <w:pStyle w:val="13"/>
        <w:ind w:left="900" w:hanging="480"/>
        <w:rPr>
          <w:rFonts w:ascii="宋体" w:hAnsi="宋体" w:cs="宋体"/>
          <w:kern w:val="0"/>
          <w:sz w:val="24"/>
        </w:rPr>
      </w:pPr>
    </w:p>
    <w:p>
      <w:pPr>
        <w:widowControl/>
        <w:shd w:val="clear" w:color="auto" w:fill="FFFFFF"/>
        <w:spacing w:line="420" w:lineRule="atLeast"/>
        <w:jc w:val="left"/>
        <w:rPr>
          <w:rFonts w:ascii="宋体" w:hAnsi="宋体" w:cs="宋体"/>
          <w:kern w:val="0"/>
          <w:szCs w:val="21"/>
        </w:rPr>
      </w:pPr>
      <w:r>
        <w:rPr>
          <w:rFonts w:hint="eastAsia" w:ascii="宋体" w:hAnsi="宋体" w:cs="宋体"/>
          <w:b/>
          <w:bCs/>
          <w:kern w:val="0"/>
          <w:sz w:val="24"/>
        </w:rPr>
        <w:t>温馨提示：</w:t>
      </w:r>
    </w:p>
    <w:p>
      <w:pPr>
        <w:widowControl/>
        <w:shd w:val="clear" w:color="auto" w:fill="FFFFFF"/>
        <w:spacing w:line="420" w:lineRule="atLeast"/>
        <w:jc w:val="left"/>
        <w:rPr>
          <w:rFonts w:ascii="宋体" w:hAnsi="宋体" w:cs="宋体"/>
          <w:kern w:val="0"/>
          <w:szCs w:val="21"/>
        </w:rPr>
      </w:pPr>
      <w:r>
        <w:rPr>
          <w:rFonts w:hint="eastAsia" w:ascii="宋体" w:hAnsi="宋体" w:cs="宋体"/>
          <w:kern w:val="0"/>
          <w:sz w:val="24"/>
        </w:rPr>
        <w:t>（注：宝丰县公共资源交易中心网站“紧急通告”与此“温馨提示”不一致的地方，以“紧急通告”为准。）</w:t>
      </w:r>
    </w:p>
    <w:p>
      <w:pPr>
        <w:widowControl/>
        <w:shd w:val="clear" w:color="auto" w:fill="FFFFFF"/>
        <w:spacing w:line="420" w:lineRule="atLeast"/>
        <w:jc w:val="left"/>
        <w:rPr>
          <w:rFonts w:ascii="宋体" w:hAnsi="宋体" w:cs="宋体"/>
          <w:kern w:val="0"/>
          <w:szCs w:val="21"/>
        </w:rPr>
      </w:pPr>
      <w:r>
        <w:rPr>
          <w:rFonts w:hint="eastAsia" w:ascii="宋体" w:hAnsi="宋体" w:cs="宋体"/>
          <w:kern w:val="0"/>
          <w:sz w:val="24"/>
        </w:rPr>
        <w:t>本项目为全流程电子化交易项目，请认真阅读采购文件，并注意以下事项：</w:t>
      </w:r>
    </w:p>
    <w:p>
      <w:pPr>
        <w:widowControl/>
        <w:shd w:val="clear" w:color="auto" w:fill="FFFFFF"/>
        <w:spacing w:line="420" w:lineRule="atLeast"/>
        <w:jc w:val="left"/>
        <w:rPr>
          <w:rFonts w:ascii="宋体" w:hAnsi="宋体" w:cs="宋体"/>
          <w:kern w:val="0"/>
          <w:szCs w:val="21"/>
        </w:rPr>
      </w:pPr>
      <w:r>
        <w:rPr>
          <w:rFonts w:hint="eastAsia" w:ascii="宋体" w:hAnsi="宋体" w:cs="宋体"/>
          <w:kern w:val="0"/>
          <w:sz w:val="24"/>
        </w:rPr>
        <w:t>1.投标人应按采购文件规定编制、提交电子投标文件。</w:t>
      </w:r>
    </w:p>
    <w:p>
      <w:pPr>
        <w:widowControl/>
        <w:shd w:val="clear" w:color="auto" w:fill="FFFFFF"/>
        <w:spacing w:line="420" w:lineRule="atLeast"/>
        <w:jc w:val="left"/>
        <w:rPr>
          <w:rFonts w:ascii="宋体" w:hAnsi="宋体" w:cs="宋体"/>
          <w:kern w:val="0"/>
          <w:szCs w:val="21"/>
        </w:rPr>
      </w:pPr>
      <w:r>
        <w:rPr>
          <w:rFonts w:hint="eastAsia" w:ascii="宋体" w:hAnsi="宋体" w:cs="宋体"/>
          <w:kern w:val="0"/>
          <w:sz w:val="24"/>
        </w:rPr>
        <w:t>2.本项目无需提供纸质版投标文件。</w:t>
      </w:r>
    </w:p>
    <w:p>
      <w:pPr>
        <w:widowControl/>
        <w:shd w:val="clear" w:color="auto" w:fill="FFFFFF"/>
        <w:spacing w:line="420" w:lineRule="atLeast"/>
        <w:jc w:val="left"/>
        <w:rPr>
          <w:rFonts w:ascii="宋体" w:hAnsi="宋体" w:cs="宋体"/>
          <w:kern w:val="0"/>
          <w:szCs w:val="21"/>
        </w:rPr>
      </w:pPr>
      <w:r>
        <w:rPr>
          <w:rFonts w:hint="eastAsia" w:ascii="宋体" w:hAnsi="宋体" w:cs="宋体"/>
          <w:kern w:val="0"/>
          <w:sz w:val="24"/>
        </w:rPr>
        <w:t>3.电子文件下载、制作、提交期间和开标（电子投标文件的解密）环节，投标人须使用CA数字证书（证书须在有效期内）。</w:t>
      </w:r>
    </w:p>
    <w:p>
      <w:pPr>
        <w:widowControl/>
        <w:shd w:val="clear" w:color="auto" w:fill="FFFFFF"/>
        <w:spacing w:line="420" w:lineRule="atLeast"/>
        <w:jc w:val="left"/>
        <w:rPr>
          <w:rFonts w:ascii="宋体" w:hAnsi="宋体" w:cs="宋体"/>
          <w:kern w:val="0"/>
          <w:szCs w:val="21"/>
        </w:rPr>
      </w:pPr>
      <w:r>
        <w:rPr>
          <w:rFonts w:hint="eastAsia" w:ascii="宋体" w:hAnsi="宋体" w:cs="宋体"/>
          <w:kern w:val="0"/>
          <w:sz w:val="24"/>
        </w:rPr>
        <w:t>4.电子投标文件的制作</w:t>
      </w:r>
    </w:p>
    <w:p>
      <w:pPr>
        <w:widowControl/>
        <w:shd w:val="clear" w:color="auto" w:fill="FFFFFF"/>
        <w:spacing w:line="420" w:lineRule="atLeast"/>
        <w:jc w:val="left"/>
        <w:rPr>
          <w:rFonts w:ascii="宋体" w:hAnsi="宋体" w:cs="宋体"/>
          <w:kern w:val="0"/>
          <w:szCs w:val="21"/>
        </w:rPr>
      </w:pPr>
      <w:r>
        <w:rPr>
          <w:rFonts w:hint="eastAsia" w:ascii="宋体" w:hAnsi="宋体" w:cs="宋体"/>
          <w:kern w:val="0"/>
          <w:sz w:val="24"/>
        </w:rPr>
        <w:t>4.1 投标人登录《全国公共资源交易平台(河南省▪宝丰县)》登录业务系统（www.bfggzy.com:8080/ggzy/）下载“宝丰县公共资源交易中心投标文件制作系统”，按采购文件要求制作电子投标文件。</w:t>
      </w:r>
    </w:p>
    <w:p>
      <w:pPr>
        <w:widowControl/>
        <w:shd w:val="clear" w:color="auto" w:fill="FFFFFF"/>
        <w:spacing w:line="420" w:lineRule="atLeast"/>
        <w:jc w:val="left"/>
        <w:rPr>
          <w:rFonts w:ascii="宋体" w:hAnsi="宋体" w:cs="宋体"/>
          <w:kern w:val="0"/>
          <w:szCs w:val="21"/>
        </w:rPr>
      </w:pPr>
      <w:r>
        <w:rPr>
          <w:rFonts w:hint="eastAsia" w:ascii="宋体" w:hAnsi="宋体" w:cs="宋体"/>
          <w:kern w:val="0"/>
          <w:sz w:val="24"/>
        </w:rPr>
        <w:t>电子投标文件的制作，参考《全国公共资源交易平台(河南省▪宝丰县)》登录业务系统（www.bfggzy.com:8080/ggzy/）——组件下载——交易系统操作手册（投标人、投标人）。</w:t>
      </w:r>
    </w:p>
    <w:p>
      <w:pPr>
        <w:widowControl/>
        <w:shd w:val="clear" w:color="auto" w:fill="FFFFFF"/>
        <w:spacing w:line="420" w:lineRule="atLeast"/>
        <w:jc w:val="left"/>
        <w:rPr>
          <w:rFonts w:ascii="宋体" w:hAnsi="宋体" w:cs="宋体"/>
          <w:kern w:val="0"/>
          <w:szCs w:val="21"/>
        </w:rPr>
      </w:pPr>
      <w:r>
        <w:rPr>
          <w:rFonts w:hint="eastAsia" w:ascii="宋体" w:hAnsi="宋体" w:cs="宋体"/>
          <w:kern w:val="0"/>
          <w:sz w:val="24"/>
        </w:rPr>
        <w:t>4.2 投标人须将采购文件要求的资质、业绩、荣誉及相关人员证明材料等资料原件扫描件（或图片）制作到所提交的电子投标文件中。</w:t>
      </w:r>
    </w:p>
    <w:p>
      <w:pPr>
        <w:widowControl/>
        <w:shd w:val="clear" w:color="auto" w:fill="FFFFFF"/>
        <w:spacing w:line="420" w:lineRule="atLeast"/>
        <w:jc w:val="left"/>
        <w:rPr>
          <w:rFonts w:ascii="宋体" w:hAnsi="宋体" w:cs="宋体"/>
          <w:kern w:val="0"/>
          <w:szCs w:val="21"/>
        </w:rPr>
      </w:pPr>
      <w:r>
        <w:rPr>
          <w:rFonts w:hint="eastAsia" w:ascii="宋体" w:hAnsi="宋体" w:cs="宋体"/>
          <w:kern w:val="0"/>
          <w:sz w:val="24"/>
        </w:rPr>
        <w:t>4.3投标人对同一项目多个标段进行投标的，应分别下载所投标段的采购文件，按标段制作电子投标文件，并按采购文件要求在相应位置加盖投标人电子印章和法定代表人电子签字。</w:t>
      </w:r>
    </w:p>
    <w:p>
      <w:pPr>
        <w:widowControl/>
        <w:shd w:val="clear" w:color="auto" w:fill="FFFFFF"/>
        <w:spacing w:line="420" w:lineRule="atLeast"/>
        <w:jc w:val="left"/>
        <w:rPr>
          <w:rFonts w:ascii="宋体" w:hAnsi="宋体" w:cs="宋体"/>
          <w:kern w:val="0"/>
          <w:szCs w:val="21"/>
        </w:rPr>
      </w:pPr>
      <w:r>
        <w:rPr>
          <w:rFonts w:hint="eastAsia" w:ascii="宋体" w:hAnsi="宋体" w:cs="宋体"/>
          <w:kern w:val="0"/>
          <w:sz w:val="24"/>
        </w:rPr>
        <w:t>一个标段对应生成一个文件夹（xxxx项目xx标段）, 其中包含2个文件和1个文件夹。后缀名为“.file”的文件用于电子投标使用，名称为“备份”的文件夹使用电子介质存储，供开标现场备用。</w:t>
      </w:r>
    </w:p>
    <w:p>
      <w:pPr>
        <w:widowControl/>
        <w:shd w:val="clear" w:color="auto" w:fill="FFFFFF"/>
        <w:spacing w:line="420" w:lineRule="atLeast"/>
        <w:jc w:val="left"/>
        <w:rPr>
          <w:rFonts w:ascii="宋体" w:hAnsi="宋体" w:cs="宋体"/>
          <w:kern w:val="0"/>
          <w:szCs w:val="21"/>
        </w:rPr>
      </w:pPr>
      <w:r>
        <w:rPr>
          <w:rFonts w:hint="eastAsia" w:ascii="宋体" w:hAnsi="宋体" w:cs="宋体"/>
          <w:kern w:val="0"/>
          <w:sz w:val="24"/>
        </w:rPr>
        <w:t>5.加密电子投标文件的提交</w:t>
      </w:r>
    </w:p>
    <w:p>
      <w:pPr>
        <w:widowControl/>
        <w:shd w:val="clear" w:color="auto" w:fill="FFFFFF"/>
        <w:spacing w:line="420" w:lineRule="atLeast"/>
        <w:jc w:val="left"/>
        <w:rPr>
          <w:rFonts w:ascii="宋体" w:hAnsi="宋体" w:cs="宋体"/>
          <w:kern w:val="0"/>
          <w:szCs w:val="21"/>
        </w:rPr>
      </w:pPr>
      <w:r>
        <w:rPr>
          <w:rFonts w:hint="eastAsia" w:ascii="宋体" w:hAnsi="宋体" w:cs="宋体"/>
          <w:kern w:val="0"/>
          <w:sz w:val="24"/>
        </w:rPr>
        <w:t>5.1加密电子投标文件应在采购文件规定的投标截止时间（开标时间）之前成功提交至《全国公共资源交易平台(河南省▪宝丰县)》登录业务系统（www.bfggzy.com:8080/ggzy/）。</w:t>
      </w:r>
    </w:p>
    <w:p>
      <w:pPr>
        <w:widowControl/>
        <w:shd w:val="clear" w:color="auto" w:fill="FFFFFF"/>
        <w:spacing w:line="420" w:lineRule="atLeast"/>
        <w:jc w:val="left"/>
        <w:rPr>
          <w:rFonts w:ascii="宋体" w:hAnsi="宋体" w:cs="宋体"/>
          <w:kern w:val="0"/>
          <w:szCs w:val="21"/>
        </w:rPr>
      </w:pPr>
      <w:r>
        <w:rPr>
          <w:rFonts w:hint="eastAsia" w:ascii="宋体" w:hAnsi="宋体" w:cs="宋体"/>
          <w:kern w:val="0"/>
          <w:sz w:val="24"/>
        </w:rPr>
        <w:t>投标人应充分考虑并预留技术处理和上传数据所需时间。</w:t>
      </w:r>
    </w:p>
    <w:p>
      <w:pPr>
        <w:widowControl/>
        <w:shd w:val="clear" w:color="auto" w:fill="FFFFFF"/>
        <w:spacing w:line="420" w:lineRule="atLeast"/>
        <w:jc w:val="left"/>
        <w:rPr>
          <w:rFonts w:ascii="宋体" w:hAnsi="宋体" w:cs="宋体"/>
          <w:kern w:val="0"/>
          <w:szCs w:val="21"/>
        </w:rPr>
        <w:sectPr>
          <w:footerReference r:id="rId3" w:type="default"/>
          <w:pgSz w:w="11910" w:h="16840"/>
          <w:pgMar w:top="1440" w:right="1080" w:bottom="1440" w:left="1080" w:header="815" w:footer="1105" w:gutter="0"/>
          <w:cols w:space="720" w:num="1"/>
          <w:titlePg/>
          <w:docGrid w:linePitch="286" w:charSpace="0"/>
        </w:sectPr>
      </w:pPr>
      <w:r>
        <w:rPr>
          <w:rFonts w:hint="eastAsia" w:ascii="宋体" w:hAnsi="宋体" w:cs="宋体"/>
          <w:kern w:val="0"/>
          <w:sz w:val="24"/>
        </w:rPr>
        <w:t>5.2投标人对同一项目多个标段进行投标的，加密电子投标文件应按标段分别提交。</w:t>
      </w:r>
    </w:p>
    <w:p>
      <w:pPr>
        <w:pStyle w:val="30"/>
      </w:pPr>
      <w:bookmarkStart w:id="38" w:name="_Toc116314078"/>
      <w:r>
        <w:rPr>
          <w:rFonts w:hint="eastAsia"/>
        </w:rPr>
        <w:t>第二章投标人须知</w:t>
      </w:r>
      <w:bookmarkEnd w:id="3"/>
      <w:bookmarkEnd w:id="4"/>
      <w:bookmarkEnd w:id="5"/>
      <w:bookmarkEnd w:id="8"/>
      <w:bookmarkEnd w:id="9"/>
      <w:bookmarkEnd w:id="10"/>
      <w:bookmarkEnd w:id="38"/>
    </w:p>
    <w:p>
      <w:pPr>
        <w:pStyle w:val="55"/>
        <w:jc w:val="center"/>
        <w:rPr>
          <w:rFonts w:ascii="宋体" w:hAnsi="宋体" w:eastAsia="宋体"/>
          <w:b/>
        </w:rPr>
      </w:pPr>
      <w:bookmarkStart w:id="39" w:name="_Toc30326"/>
      <w:bookmarkStart w:id="40" w:name="_Toc152045528"/>
      <w:bookmarkStart w:id="41" w:name="_Toc489430823"/>
      <w:bookmarkStart w:id="42" w:name="_Toc144974496"/>
      <w:bookmarkStart w:id="43" w:name="_Toc152042304"/>
      <w:bookmarkStart w:id="44" w:name="_Toc489430463"/>
      <w:bookmarkStart w:id="45" w:name="_Toc116314079"/>
      <w:r>
        <w:rPr>
          <w:rFonts w:hint="eastAsia" w:ascii="宋体" w:hAnsi="宋体" w:eastAsia="宋体"/>
          <w:b/>
        </w:rPr>
        <w:t>投标人须知前附表</w:t>
      </w:r>
      <w:bookmarkEnd w:id="39"/>
      <w:bookmarkEnd w:id="40"/>
      <w:bookmarkEnd w:id="41"/>
      <w:bookmarkEnd w:id="42"/>
      <w:bookmarkEnd w:id="43"/>
      <w:bookmarkEnd w:id="44"/>
      <w:bookmarkEnd w:id="45"/>
    </w:p>
    <w:tbl>
      <w:tblPr>
        <w:tblStyle w:val="33"/>
        <w:tblW w:w="9070" w:type="dxa"/>
        <w:jc w:val="center"/>
        <w:tblLayout w:type="fixed"/>
        <w:tblCellMar>
          <w:top w:w="0" w:type="dxa"/>
          <w:left w:w="108" w:type="dxa"/>
          <w:bottom w:w="0" w:type="dxa"/>
          <w:right w:w="108" w:type="dxa"/>
        </w:tblCellMar>
      </w:tblPr>
      <w:tblGrid>
        <w:gridCol w:w="1185"/>
        <w:gridCol w:w="1545"/>
        <w:gridCol w:w="6340"/>
      </w:tblGrid>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条款号</w:t>
            </w:r>
          </w:p>
        </w:tc>
        <w:tc>
          <w:tcPr>
            <w:tcW w:w="15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条款名称</w:t>
            </w:r>
          </w:p>
        </w:tc>
        <w:tc>
          <w:tcPr>
            <w:tcW w:w="63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编列内容</w:t>
            </w:r>
          </w:p>
        </w:tc>
      </w:tr>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w:t>
            </w:r>
          </w:p>
        </w:tc>
        <w:tc>
          <w:tcPr>
            <w:tcW w:w="6340" w:type="dxa"/>
            <w:tcBorders>
              <w:top w:val="single" w:color="auto" w:sz="4" w:space="0"/>
              <w:left w:val="single" w:color="auto" w:sz="4" w:space="0"/>
              <w:bottom w:val="single" w:color="auto" w:sz="4" w:space="0"/>
              <w:right w:val="single" w:color="auto" w:sz="4" w:space="0"/>
            </w:tcBorders>
          </w:tcPr>
          <w:p>
            <w:pPr>
              <w:spacing w:line="420" w:lineRule="exact"/>
              <w:jc w:val="left"/>
              <w:rPr>
                <w:rFonts w:hint="eastAsia" w:ascii="宋体" w:hAnsi="宋体" w:cs="宋体"/>
                <w:sz w:val="24"/>
                <w:lang w:val="zh-CN" w:bidi="zh-CN"/>
              </w:rPr>
            </w:pPr>
            <w:r>
              <w:rPr>
                <w:rFonts w:hint="eastAsia" w:ascii="宋体" w:hAnsi="宋体" w:cs="宋体"/>
                <w:sz w:val="24"/>
                <w:lang w:val="zh-CN" w:bidi="zh-CN"/>
              </w:rPr>
              <w:t xml:space="preserve">名称：宝丰县交通运输局       </w:t>
            </w:r>
          </w:p>
          <w:p>
            <w:pPr>
              <w:spacing w:line="420" w:lineRule="exact"/>
              <w:jc w:val="left"/>
              <w:rPr>
                <w:rFonts w:hint="eastAsia" w:ascii="宋体" w:hAnsi="宋体" w:cs="宋体"/>
                <w:sz w:val="24"/>
                <w:lang w:val="zh-CN" w:bidi="zh-CN"/>
              </w:rPr>
            </w:pPr>
            <w:r>
              <w:rPr>
                <w:rFonts w:hint="eastAsia" w:ascii="宋体" w:hAnsi="宋体" w:cs="宋体"/>
                <w:sz w:val="24"/>
                <w:lang w:val="zh-CN" w:bidi="zh-CN"/>
              </w:rPr>
              <w:t xml:space="preserve">地址：宝丰县迎宾大道中段   </w:t>
            </w:r>
          </w:p>
          <w:p>
            <w:pPr>
              <w:spacing w:line="420" w:lineRule="exact"/>
              <w:jc w:val="left"/>
              <w:rPr>
                <w:rFonts w:hint="eastAsia" w:ascii="宋体" w:hAnsi="宋体" w:cs="宋体"/>
                <w:sz w:val="24"/>
                <w:lang w:val="zh-CN" w:bidi="zh-CN"/>
              </w:rPr>
            </w:pPr>
            <w:r>
              <w:rPr>
                <w:rFonts w:hint="eastAsia" w:ascii="宋体" w:hAnsi="宋体" w:cs="宋体"/>
                <w:sz w:val="24"/>
                <w:lang w:val="zh-CN" w:bidi="zh-CN"/>
              </w:rPr>
              <w:t>联系人：鞠先生</w:t>
            </w:r>
          </w:p>
          <w:p>
            <w:pPr>
              <w:spacing w:line="420" w:lineRule="exact"/>
              <w:jc w:val="left"/>
              <w:rPr>
                <w:rFonts w:ascii="宋体" w:hAnsi="宋体" w:cs="宋体"/>
                <w:sz w:val="24"/>
                <w:lang w:val="zh-CN" w:bidi="zh-CN"/>
              </w:rPr>
            </w:pPr>
            <w:r>
              <w:rPr>
                <w:rFonts w:hint="eastAsia" w:ascii="宋体" w:hAnsi="宋体" w:cs="宋体"/>
                <w:sz w:val="24"/>
                <w:lang w:val="zh-CN" w:bidi="zh-CN"/>
              </w:rPr>
              <w:t>联系方式：13343909299</w:t>
            </w:r>
          </w:p>
        </w:tc>
      </w:tr>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1.1.3</w:t>
            </w:r>
          </w:p>
        </w:tc>
        <w:tc>
          <w:tcPr>
            <w:tcW w:w="1545" w:type="dxa"/>
            <w:tcBorders>
              <w:top w:val="single" w:color="auto" w:sz="4" w:space="0"/>
              <w:left w:val="single" w:color="auto" w:sz="4" w:space="0"/>
              <w:bottom w:val="single" w:color="auto" w:sz="4" w:space="0"/>
              <w:right w:val="single" w:color="auto" w:sz="4" w:space="0"/>
            </w:tcBorders>
            <w:vAlign w:val="center"/>
          </w:tcPr>
          <w:p>
            <w:pPr>
              <w:pStyle w:val="11"/>
              <w:snapToGrid w:val="0"/>
              <w:spacing w:line="360" w:lineRule="exact"/>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招标代理机构</w:t>
            </w:r>
          </w:p>
        </w:tc>
        <w:tc>
          <w:tcPr>
            <w:tcW w:w="6340" w:type="dxa"/>
            <w:tcBorders>
              <w:top w:val="single" w:color="auto" w:sz="4" w:space="0"/>
              <w:left w:val="single" w:color="auto" w:sz="4" w:space="0"/>
              <w:bottom w:val="single" w:color="auto" w:sz="4" w:space="0"/>
              <w:right w:val="single" w:color="auto" w:sz="4" w:space="0"/>
            </w:tcBorders>
          </w:tcPr>
          <w:p>
            <w:pPr>
              <w:autoSpaceDE w:val="0"/>
              <w:autoSpaceDN w:val="0"/>
              <w:spacing w:line="420" w:lineRule="exact"/>
              <w:jc w:val="left"/>
              <w:rPr>
                <w:rFonts w:ascii="宋体" w:hAnsi="宋体" w:cs="宋体"/>
                <w:sz w:val="24"/>
                <w:lang w:val="zh-CN" w:bidi="zh-CN"/>
              </w:rPr>
            </w:pPr>
            <w:r>
              <w:rPr>
                <w:rFonts w:hint="eastAsia" w:ascii="宋体" w:hAnsi="宋体" w:cs="宋体"/>
                <w:sz w:val="24"/>
                <w:lang w:val="zh-CN" w:bidi="zh-CN"/>
              </w:rPr>
              <w:t>名称：慧霖建设发展集团有限公司</w:t>
            </w:r>
          </w:p>
          <w:p>
            <w:pPr>
              <w:autoSpaceDE w:val="0"/>
              <w:autoSpaceDN w:val="0"/>
              <w:spacing w:line="420" w:lineRule="exact"/>
              <w:jc w:val="left"/>
              <w:rPr>
                <w:rFonts w:ascii="宋体" w:hAnsi="宋体" w:cs="宋体"/>
                <w:sz w:val="24"/>
                <w:lang w:val="zh-CN" w:bidi="zh-CN"/>
              </w:rPr>
            </w:pPr>
            <w:r>
              <w:rPr>
                <w:rFonts w:hint="eastAsia" w:ascii="宋体" w:hAnsi="宋体" w:cs="宋体"/>
                <w:sz w:val="24"/>
                <w:lang w:val="zh-CN" w:bidi="zh-CN"/>
              </w:rPr>
              <w:t xml:space="preserve">地址：平顶山新华区建设路西段云顶灯饰城内1号楼3楼1-5号 </w:t>
            </w:r>
          </w:p>
          <w:p>
            <w:pPr>
              <w:autoSpaceDE w:val="0"/>
              <w:autoSpaceDN w:val="0"/>
              <w:spacing w:line="420" w:lineRule="exact"/>
              <w:jc w:val="left"/>
              <w:rPr>
                <w:rFonts w:ascii="宋体" w:hAnsi="宋体" w:cs="宋体"/>
                <w:sz w:val="24"/>
                <w:lang w:val="zh-CN" w:bidi="zh-CN"/>
              </w:rPr>
            </w:pPr>
            <w:r>
              <w:rPr>
                <w:rFonts w:hint="eastAsia" w:ascii="宋体" w:hAnsi="宋体" w:cs="宋体"/>
                <w:sz w:val="24"/>
                <w:lang w:val="zh-CN" w:bidi="zh-CN"/>
              </w:rPr>
              <w:t>联系人：张女士</w:t>
            </w:r>
          </w:p>
          <w:p>
            <w:pPr>
              <w:autoSpaceDE w:val="0"/>
              <w:autoSpaceDN w:val="0"/>
              <w:spacing w:line="420" w:lineRule="exact"/>
              <w:jc w:val="left"/>
              <w:rPr>
                <w:rFonts w:ascii="宋体" w:hAnsi="宋体" w:cs="宋体"/>
                <w:sz w:val="24"/>
                <w:lang w:val="zh-CN" w:bidi="zh-CN"/>
              </w:rPr>
            </w:pPr>
            <w:r>
              <w:rPr>
                <w:rFonts w:hint="eastAsia" w:ascii="宋体" w:hAnsi="宋体" w:cs="宋体"/>
                <w:sz w:val="24"/>
                <w:lang w:val="zh-CN" w:bidi="zh-CN"/>
              </w:rPr>
              <w:t xml:space="preserve">联系方式：0375-6161678   </w:t>
            </w:r>
            <w:r>
              <w:rPr>
                <w:rFonts w:ascii="宋体" w:hAnsi="宋体" w:cs="宋体"/>
                <w:sz w:val="24"/>
                <w:lang w:val="zh-CN" w:bidi="zh-CN"/>
              </w:rPr>
              <w:t>1993902510</w:t>
            </w:r>
            <w:r>
              <w:rPr>
                <w:rFonts w:hint="eastAsia" w:ascii="宋体" w:hAnsi="宋体" w:cs="宋体"/>
                <w:sz w:val="24"/>
                <w:lang w:val="en-US" w:bidi="zh-CN"/>
              </w:rPr>
              <w:t>1</w:t>
            </w:r>
          </w:p>
        </w:tc>
      </w:tr>
      <w:tr>
        <w:tblPrEx>
          <w:tblCellMar>
            <w:top w:w="0" w:type="dxa"/>
            <w:left w:w="108" w:type="dxa"/>
            <w:bottom w:w="0" w:type="dxa"/>
            <w:right w:w="108" w:type="dxa"/>
          </w:tblCellMar>
        </w:tblPrEx>
        <w:trPr>
          <w:trHeight w:val="870"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1.1.4</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50" w:lineRule="exac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宝丰县交通运输局宝丰县乡村振兴农村路网升级改造工程（一期）项目</w:t>
            </w:r>
          </w:p>
        </w:tc>
      </w:tr>
      <w:tr>
        <w:tblPrEx>
          <w:tblCellMar>
            <w:top w:w="0" w:type="dxa"/>
            <w:left w:w="108" w:type="dxa"/>
            <w:bottom w:w="0" w:type="dxa"/>
            <w:right w:w="108" w:type="dxa"/>
          </w:tblCellMar>
        </w:tblPrEx>
        <w:trPr>
          <w:trHeight w:val="558"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1.1.5</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建设地点</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50" w:lineRule="exact"/>
              <w:rPr>
                <w:rFonts w:asciiTheme="minorEastAsia" w:hAnsiTheme="minorEastAsia" w:eastAsiaTheme="minorEastAsia" w:cstheme="minorEastAsia"/>
                <w:sz w:val="24"/>
                <w:highlight w:val="yellow"/>
              </w:rPr>
            </w:pPr>
            <w:r>
              <w:rPr>
                <w:rFonts w:hint="eastAsia" w:ascii="宋体" w:hAnsi="宋体" w:cs="宋体"/>
                <w:sz w:val="24"/>
                <w:lang w:bidi="zh-CN"/>
              </w:rPr>
              <w:t>宝丰县赵庄镇、商酒务镇、张八桥镇、观音堂林业生态旅游示范区、大营镇、杨庄镇、周庄镇、闹店</w:t>
            </w:r>
            <w:bookmarkStart w:id="836" w:name="_GoBack"/>
            <w:bookmarkEnd w:id="836"/>
            <w:r>
              <w:rPr>
                <w:rFonts w:hint="eastAsia" w:ascii="宋体" w:hAnsi="宋体" w:cs="宋体"/>
                <w:sz w:val="24"/>
                <w:lang w:bidi="zh-CN"/>
              </w:rPr>
              <w:t>镇、李庄乡、石桥镇、肖旗乡、前营乡</w:t>
            </w:r>
          </w:p>
        </w:tc>
      </w:tr>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1.2.1</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资金来源及比例</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5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财政资金100%</w:t>
            </w:r>
          </w:p>
        </w:tc>
      </w:tr>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1.2.2</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资金落实情况</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50" w:lineRule="exact"/>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已落实</w:t>
            </w:r>
          </w:p>
        </w:tc>
      </w:tr>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1.3.1</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招标范围</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color w:val="auto"/>
                <w:sz w:val="24"/>
              </w:rPr>
              <w:t>施工及缺陷责任期内质量修复的监理服务</w:t>
            </w:r>
          </w:p>
        </w:tc>
      </w:tr>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1.3.2</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监理服务期限</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同施工工期及缺陷责任期</w:t>
            </w:r>
          </w:p>
        </w:tc>
      </w:tr>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1.3.3</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质量</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合格</w:t>
            </w:r>
          </w:p>
        </w:tc>
      </w:tr>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1.4.1</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投标人资质条件、能力和信誉</w:t>
            </w:r>
          </w:p>
          <w:p>
            <w:pPr>
              <w:spacing w:line="360" w:lineRule="exact"/>
              <w:jc w:val="center"/>
              <w:rPr>
                <w:rFonts w:asciiTheme="minorEastAsia" w:hAnsiTheme="minorEastAsia" w:eastAsiaTheme="minorEastAsia" w:cstheme="minorEastAsia"/>
                <w:b/>
                <w:sz w:val="24"/>
                <w:highlight w:val="yellow"/>
              </w:rPr>
            </w:pPr>
          </w:p>
        </w:tc>
        <w:tc>
          <w:tcPr>
            <w:tcW w:w="6340" w:type="dxa"/>
            <w:tcBorders>
              <w:top w:val="single" w:color="auto" w:sz="4" w:space="0"/>
              <w:left w:val="single" w:color="auto" w:sz="4" w:space="0"/>
              <w:bottom w:val="single" w:color="auto" w:sz="4" w:space="0"/>
              <w:right w:val="single" w:color="auto" w:sz="4" w:space="0"/>
            </w:tcBorders>
            <w:vAlign w:val="center"/>
          </w:tcPr>
          <w:p>
            <w:pPr>
              <w:pStyle w:val="32"/>
              <w:ind w:left="0" w:firstLine="0" w:firstLineChars="0"/>
              <w:rPr>
                <w:kern w:val="0"/>
                <w:sz w:val="24"/>
                <w:lang w:bidi="zh-CN"/>
              </w:rPr>
            </w:pPr>
            <w:r>
              <w:rPr>
                <w:rFonts w:hint="eastAsia"/>
                <w:kern w:val="0"/>
                <w:sz w:val="24"/>
                <w:lang w:bidi="zh-CN"/>
              </w:rPr>
              <w:t>详见招标公告</w:t>
            </w:r>
          </w:p>
        </w:tc>
      </w:tr>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1.4.2</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是否接受联合体投标</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不接受</w:t>
            </w:r>
          </w:p>
        </w:tc>
      </w:tr>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1.9.1</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踏勘现场</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不组织</w:t>
            </w:r>
          </w:p>
        </w:tc>
      </w:tr>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1.10.1</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投标预备会</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不召开</w:t>
            </w:r>
          </w:p>
        </w:tc>
      </w:tr>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1.10.2</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投标人提出问题的截止时间</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递交投标文件的截止之日10日前</w:t>
            </w:r>
          </w:p>
        </w:tc>
      </w:tr>
      <w:tr>
        <w:tblPrEx>
          <w:tblCellMar>
            <w:top w:w="0" w:type="dxa"/>
            <w:left w:w="108" w:type="dxa"/>
            <w:bottom w:w="0" w:type="dxa"/>
            <w:right w:w="108" w:type="dxa"/>
          </w:tblCellMar>
        </w:tblPrEx>
        <w:trPr>
          <w:trHeight w:val="335"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1.10.3</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招标人澄清的时间</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递交投标文件的截止之日15日前</w:t>
            </w:r>
          </w:p>
        </w:tc>
      </w:tr>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分包</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不允许</w:t>
            </w:r>
          </w:p>
        </w:tc>
      </w:tr>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偏离</w:t>
            </w:r>
          </w:p>
        </w:tc>
        <w:tc>
          <w:tcPr>
            <w:tcW w:w="6340" w:type="dxa"/>
            <w:tcBorders>
              <w:top w:val="single" w:color="auto" w:sz="4" w:space="0"/>
              <w:left w:val="single" w:color="auto" w:sz="4" w:space="0"/>
              <w:bottom w:val="single" w:color="auto" w:sz="4" w:space="0"/>
              <w:right w:val="single" w:color="auto" w:sz="4" w:space="0"/>
            </w:tcBorders>
            <w:vAlign w:val="center"/>
          </w:tcPr>
          <w:p>
            <w:pPr>
              <w:pStyle w:val="52"/>
              <w:topLinePunct/>
              <w:spacing w:line="36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不允许</w:t>
            </w:r>
          </w:p>
        </w:tc>
      </w:tr>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构成招标文件的其他材料</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招标文件的补充文件（如有）、招标答疑纪要（如有） </w:t>
            </w:r>
          </w:p>
        </w:tc>
      </w:tr>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2.2.1</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投标人要求澄清招标文件的截止时间</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递交投标文件的截止之日10日前</w:t>
            </w:r>
          </w:p>
        </w:tc>
      </w:tr>
      <w:tr>
        <w:tblPrEx>
          <w:tblCellMar>
            <w:top w:w="0" w:type="dxa"/>
            <w:left w:w="108" w:type="dxa"/>
            <w:bottom w:w="0" w:type="dxa"/>
            <w:right w:w="108" w:type="dxa"/>
          </w:tblCellMar>
        </w:tblPrEx>
        <w:trPr>
          <w:trHeight w:val="650"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2.2.2</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投标截止时间</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详见招标公告</w:t>
            </w:r>
          </w:p>
        </w:tc>
      </w:tr>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2.2.3</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投标人确认收到招标文件澄清的时间</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招标文件的澄清文件发出之日24小时内</w:t>
            </w:r>
          </w:p>
        </w:tc>
      </w:tr>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2.3.2</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投标人确认收到招标文件修改的时间</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招标文件的修改文件发出之日24小时内</w:t>
            </w:r>
          </w:p>
        </w:tc>
      </w:tr>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3.1.1</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构成投标文件的其他材料</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其他相关资料</w:t>
            </w:r>
          </w:p>
        </w:tc>
      </w:tr>
      <w:tr>
        <w:tblPrEx>
          <w:tblCellMar>
            <w:top w:w="0" w:type="dxa"/>
            <w:left w:w="108" w:type="dxa"/>
            <w:bottom w:w="0" w:type="dxa"/>
            <w:right w:w="108" w:type="dxa"/>
          </w:tblCellMar>
        </w:tblPrEx>
        <w:trPr>
          <w:trHeight w:val="590"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3.3.1</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投标有效期</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sz w:val="24"/>
              </w:rPr>
            </w:pPr>
            <w:r>
              <w:rPr>
                <w:rFonts w:hint="eastAsia" w:ascii="宋体" w:hAnsi="宋体" w:cs="宋体"/>
                <w:sz w:val="24"/>
                <w:lang w:val="zh-CN" w:bidi="zh-CN"/>
              </w:rPr>
              <w:t>90日历天</w:t>
            </w:r>
          </w:p>
        </w:tc>
      </w:tr>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3.4.1</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投标保证金</w:t>
            </w:r>
          </w:p>
        </w:tc>
        <w:tc>
          <w:tcPr>
            <w:tcW w:w="6340"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20" w:lineRule="exact"/>
              <w:rPr>
                <w:rFonts w:ascii="宋体" w:hAnsi="宋体" w:cs="宋体"/>
                <w:b/>
                <w:sz w:val="24"/>
              </w:rPr>
            </w:pPr>
            <w:bookmarkStart w:id="46" w:name="_Toc15551"/>
            <w:r>
              <w:rPr>
                <w:rFonts w:hint="eastAsia" w:ascii="宋体" w:hAnsi="宋体" w:cs="宋体"/>
                <w:b/>
                <w:sz w:val="24"/>
              </w:rPr>
              <w:t>投标保证金的金</w:t>
            </w:r>
            <w:r>
              <w:rPr>
                <w:rFonts w:hint="eastAsia" w:ascii="宋体" w:hAnsi="宋体" w:cs="宋体"/>
                <w:b/>
                <w:sz w:val="24"/>
                <w:highlight w:val="none"/>
              </w:rPr>
              <w:t>额：</w:t>
            </w:r>
            <w:bookmarkEnd w:id="46"/>
            <w:r>
              <w:rPr>
                <w:rFonts w:hint="eastAsia" w:ascii="宋体" w:hAnsi="宋体" w:cs="宋体"/>
                <w:b/>
                <w:sz w:val="24"/>
                <w:highlight w:val="none"/>
              </w:rPr>
              <w:t>壹万元整</w:t>
            </w:r>
          </w:p>
          <w:p>
            <w:pPr>
              <w:spacing w:line="420" w:lineRule="exact"/>
              <w:rPr>
                <w:rFonts w:ascii="宋体" w:hAnsi="宋体" w:cs="宋体"/>
                <w:sz w:val="24"/>
              </w:rPr>
            </w:pPr>
            <w:r>
              <w:rPr>
                <w:rFonts w:hint="eastAsia" w:ascii="宋体" w:hAnsi="宋体" w:cs="宋体"/>
                <w:sz w:val="24"/>
              </w:rPr>
              <w:t>二、本项目的投标保证金，都可以采用投标保函或现金缴纳投标保证金的方式；现金缴纳投标保证金分为：银行汇款的方式</w:t>
            </w:r>
          </w:p>
          <w:p>
            <w:pPr>
              <w:spacing w:line="420" w:lineRule="exact"/>
              <w:rPr>
                <w:rFonts w:ascii="宋体" w:hAnsi="宋体" w:cs="宋体"/>
                <w:sz w:val="24"/>
              </w:rPr>
            </w:pPr>
            <w:r>
              <w:rPr>
                <w:rFonts w:hint="eastAsia" w:ascii="宋体" w:hAnsi="宋体" w:cs="宋体"/>
                <w:sz w:val="24"/>
              </w:rPr>
              <w:t>1、银行汇款：投标保证金必须从投标人基本账户转入下列保证金专用账户</w:t>
            </w:r>
          </w:p>
          <w:p>
            <w:pPr>
              <w:spacing w:line="420" w:lineRule="exact"/>
              <w:rPr>
                <w:rFonts w:ascii="宋体" w:hAnsi="宋体" w:cs="宋体"/>
                <w:sz w:val="24"/>
              </w:rPr>
            </w:pPr>
            <w:r>
              <w:rPr>
                <w:rFonts w:hint="eastAsia" w:ascii="宋体" w:hAnsi="宋体" w:cs="宋体"/>
                <w:sz w:val="24"/>
              </w:rPr>
              <w:t>收款单位：宝丰县公共资源交易中心</w:t>
            </w:r>
          </w:p>
          <w:p>
            <w:pPr>
              <w:spacing w:line="420" w:lineRule="exact"/>
              <w:rPr>
                <w:rFonts w:ascii="宋体" w:hAnsi="宋体" w:cs="宋体"/>
                <w:sz w:val="24"/>
              </w:rPr>
            </w:pPr>
            <w:r>
              <w:rPr>
                <w:rFonts w:hint="eastAsia" w:ascii="宋体" w:hAnsi="宋体" w:cs="宋体"/>
                <w:sz w:val="24"/>
              </w:rPr>
              <w:t>账号：2624  2927  7977</w:t>
            </w:r>
          </w:p>
          <w:p>
            <w:pPr>
              <w:spacing w:line="420" w:lineRule="exact"/>
              <w:rPr>
                <w:rFonts w:ascii="宋体" w:hAnsi="宋体" w:cs="宋体"/>
                <w:sz w:val="24"/>
              </w:rPr>
            </w:pPr>
            <w:r>
              <w:rPr>
                <w:rFonts w:hint="eastAsia" w:ascii="宋体" w:hAnsi="宋体" w:cs="宋体"/>
                <w:sz w:val="24"/>
              </w:rPr>
              <w:t>开户行：中国银行宝丰支行</w:t>
            </w:r>
          </w:p>
          <w:p>
            <w:pPr>
              <w:spacing w:line="420" w:lineRule="exact"/>
              <w:rPr>
                <w:rFonts w:ascii="宋体" w:hAnsi="宋体" w:cs="宋体"/>
                <w:sz w:val="24"/>
              </w:rPr>
            </w:pPr>
            <w:r>
              <w:rPr>
                <w:rFonts w:hint="eastAsia" w:ascii="宋体" w:hAnsi="宋体" w:cs="宋体"/>
                <w:sz w:val="24"/>
              </w:rPr>
              <w:t>1.1投标人的投标保证金必须通过投标人基本账户以转账或电汇的形式缴纳。账户必须是已加入平顶山市公共资源交易投标人或投标人库中录入的账户(不支持结算卡支付)。</w:t>
            </w:r>
          </w:p>
          <w:p>
            <w:pPr>
              <w:spacing w:line="420" w:lineRule="exact"/>
              <w:rPr>
                <w:rFonts w:ascii="宋体" w:hAnsi="宋体" w:cs="宋体"/>
                <w:sz w:val="24"/>
              </w:rPr>
            </w:pPr>
            <w:r>
              <w:rPr>
                <w:rFonts w:hint="eastAsia" w:ascii="宋体" w:hAnsi="宋体" w:cs="宋体"/>
                <w:sz w:val="24"/>
              </w:rPr>
              <w:t>1.2投标人缴纳保证金后，应在规定的缴纳截止时间前通过宝丰县公共资源交易中心交易系统将保证金成功绑定至本投标项目。具体操作请查看以下链接。</w:t>
            </w:r>
          </w:p>
          <w:p>
            <w:pPr>
              <w:spacing w:line="420" w:lineRule="exact"/>
              <w:rPr>
                <w:rFonts w:ascii="宋体" w:hAnsi="宋体" w:cs="宋体"/>
                <w:sz w:val="24"/>
              </w:rPr>
            </w:pPr>
            <w:r>
              <w:rPr>
                <w:rFonts w:hint="eastAsia" w:ascii="宋体" w:hAnsi="宋体" w:cs="宋体"/>
                <w:sz w:val="24"/>
              </w:rPr>
              <w:t>链接地址：http://www.bfggzy.com/ggtz/19710.jhtml</w:t>
            </w:r>
          </w:p>
          <w:p>
            <w:pPr>
              <w:spacing w:line="420" w:lineRule="exact"/>
              <w:rPr>
                <w:rFonts w:ascii="宋体" w:hAnsi="宋体" w:cs="宋体"/>
                <w:sz w:val="24"/>
              </w:rPr>
            </w:pPr>
            <w:r>
              <w:rPr>
                <w:rFonts w:hint="eastAsia" w:ascii="宋体" w:hAnsi="宋体" w:cs="宋体"/>
                <w:sz w:val="24"/>
              </w:rPr>
              <w:t>1.3.其他事项：</w:t>
            </w:r>
          </w:p>
          <w:p>
            <w:pPr>
              <w:spacing w:line="420" w:lineRule="exact"/>
              <w:rPr>
                <w:rFonts w:ascii="宋体" w:hAnsi="宋体" w:cs="宋体"/>
                <w:sz w:val="24"/>
              </w:rPr>
            </w:pPr>
            <w:r>
              <w:rPr>
                <w:rFonts w:hint="eastAsia" w:ascii="宋体" w:hAnsi="宋体" w:cs="宋体"/>
                <w:sz w:val="24"/>
              </w:rPr>
              <w:t>1.3.1投标人应仔细阅读操作手册，在要求的截止时间前完成投标保证金的缴纳和绑定工作，并充分考虑人为操作和银行异地跨行转账到账的时间等因素，因投标人操作不当或银行到账时间等问题造成的无法投标等一切后果，由投标人自行承担。</w:t>
            </w:r>
          </w:p>
          <w:p>
            <w:pPr>
              <w:spacing w:line="420" w:lineRule="exact"/>
              <w:rPr>
                <w:rFonts w:ascii="宋体" w:hAnsi="宋体" w:cs="宋体"/>
                <w:sz w:val="24"/>
              </w:rPr>
            </w:pPr>
            <w:r>
              <w:rPr>
                <w:rFonts w:hint="eastAsia" w:ascii="宋体" w:hAnsi="宋体" w:cs="宋体"/>
                <w:sz w:val="24"/>
              </w:rPr>
              <w:t>1.3.2投标人少交错交保证金属无效缴纳。</w:t>
            </w:r>
          </w:p>
          <w:p>
            <w:pPr>
              <w:spacing w:line="420" w:lineRule="exact"/>
              <w:rPr>
                <w:rFonts w:ascii="宋体" w:hAnsi="宋体" w:cs="宋体"/>
                <w:sz w:val="24"/>
              </w:rPr>
            </w:pPr>
            <w:r>
              <w:rPr>
                <w:rFonts w:hint="eastAsia" w:ascii="宋体" w:hAnsi="宋体" w:cs="宋体"/>
                <w:sz w:val="24"/>
              </w:rPr>
              <w:t>1.3.3规定投标保证金到账截止时间为开标前一日24时。 (超时到账视为未交保证金，取消报名资格)。</w:t>
            </w:r>
          </w:p>
          <w:p>
            <w:pPr>
              <w:spacing w:line="420" w:lineRule="exact"/>
              <w:rPr>
                <w:rFonts w:ascii="宋体" w:hAnsi="宋体" w:cs="宋体"/>
                <w:sz w:val="24"/>
              </w:rPr>
            </w:pPr>
            <w:r>
              <w:rPr>
                <w:rFonts w:hint="eastAsia" w:ascii="宋体" w:hAnsi="宋体" w:cs="宋体"/>
                <w:sz w:val="24"/>
              </w:rPr>
              <w:t>1.3.4废标项目重新招标时，必须按修改后的招标文件重新缴纳保证金，原缴纳保证金及时退还。</w:t>
            </w:r>
          </w:p>
          <w:p>
            <w:pPr>
              <w:spacing w:line="420" w:lineRule="exact"/>
              <w:rPr>
                <w:rFonts w:ascii="宋体" w:hAnsi="宋体" w:cs="宋体"/>
                <w:sz w:val="24"/>
              </w:rPr>
            </w:pPr>
            <w:r>
              <w:rPr>
                <w:rFonts w:hint="eastAsia" w:ascii="宋体" w:hAnsi="宋体" w:cs="宋体"/>
                <w:sz w:val="24"/>
              </w:rPr>
              <w:t>2、采用投标保函</w:t>
            </w:r>
          </w:p>
          <w:p>
            <w:pPr>
              <w:spacing w:line="420" w:lineRule="exact"/>
              <w:rPr>
                <w:rFonts w:ascii="宋体" w:hAnsi="宋体" w:cs="宋体"/>
                <w:sz w:val="24"/>
              </w:rPr>
            </w:pPr>
            <w:r>
              <w:rPr>
                <w:rFonts w:hint="eastAsia" w:ascii="宋体" w:hAnsi="宋体" w:cs="宋体"/>
                <w:sz w:val="24"/>
              </w:rPr>
              <w:t>3、2.1.投标保函开具时间及方式：</w:t>
            </w:r>
          </w:p>
          <w:p>
            <w:pPr>
              <w:spacing w:line="420" w:lineRule="exact"/>
              <w:rPr>
                <w:rFonts w:ascii="宋体" w:hAnsi="宋体" w:cs="宋体"/>
                <w:sz w:val="24"/>
              </w:rPr>
            </w:pPr>
            <w:r>
              <w:rPr>
                <w:rFonts w:hint="eastAsia" w:ascii="宋体" w:hAnsi="宋体" w:cs="宋体"/>
                <w:sz w:val="24"/>
              </w:rPr>
              <w:t>（1）开具截至时间：投标截止时间前一天24时。</w:t>
            </w:r>
          </w:p>
          <w:p>
            <w:pPr>
              <w:spacing w:line="420" w:lineRule="exact"/>
              <w:rPr>
                <w:rFonts w:ascii="宋体" w:hAnsi="宋体" w:cs="宋体"/>
                <w:sz w:val="24"/>
              </w:rPr>
            </w:pPr>
            <w:r>
              <w:rPr>
                <w:rFonts w:hint="eastAsia" w:ascii="宋体" w:hAnsi="宋体" w:cs="宋体"/>
                <w:sz w:val="24"/>
              </w:rPr>
              <w:t>（2）开具方式：在宝丰县公共资源交易中心（http://www.bfggzy.com/）对应项目公告下点击“我要投标”进入投标管理页面，选择“开具投标保函”。</w:t>
            </w:r>
          </w:p>
          <w:p>
            <w:pPr>
              <w:spacing w:line="420" w:lineRule="exact"/>
              <w:rPr>
                <w:rFonts w:ascii="宋体" w:hAnsi="宋体" w:cs="宋体"/>
                <w:sz w:val="24"/>
              </w:rPr>
            </w:pPr>
            <w:r>
              <w:rPr>
                <w:rFonts w:hint="eastAsia" w:ascii="宋体" w:hAnsi="宋体" w:cs="宋体"/>
                <w:sz w:val="24"/>
              </w:rPr>
              <w:t>2.2.银行汇款缴纳时间及方式：</w:t>
            </w:r>
          </w:p>
          <w:p>
            <w:pPr>
              <w:spacing w:line="420" w:lineRule="exact"/>
              <w:ind w:left="240" w:hanging="240" w:hangingChars="100"/>
              <w:rPr>
                <w:rFonts w:ascii="宋体" w:hAnsi="宋体" w:cs="宋体"/>
                <w:sz w:val="24"/>
              </w:rPr>
            </w:pPr>
            <w:r>
              <w:rPr>
                <w:rFonts w:hint="eastAsia" w:ascii="宋体" w:hAnsi="宋体" w:cs="宋体"/>
                <w:sz w:val="24"/>
              </w:rPr>
              <w:t>（1）交纳及到账时间：投标截止时间前一天24时。</w:t>
            </w:r>
          </w:p>
          <w:p>
            <w:pPr>
              <w:spacing w:line="420" w:lineRule="exact"/>
              <w:rPr>
                <w:rFonts w:ascii="宋体" w:hAnsi="宋体" w:cs="宋体"/>
                <w:b/>
                <w:w w:val="99"/>
                <w:sz w:val="24"/>
                <w:u w:val="single"/>
                <w:lang w:bidi="zh-CN"/>
              </w:rPr>
            </w:pPr>
            <w:r>
              <w:rPr>
                <w:rFonts w:hint="eastAsia" w:ascii="宋体" w:hAnsi="宋体" w:cs="宋体"/>
                <w:sz w:val="24"/>
              </w:rPr>
              <w:t>（2）获取方式：在宝丰县公共资源交易中心（http://www.bfggzy.com/）对应项目公告下点击“我要投标”进入投标管理页面，选择“保证金账号”。（保证金账户由银行账号提供，且每个标段每个投标人获取的账号均不会相同，保证金递交须由投标人的基本账户汇出，若出现多个投标人保证金交至同一账号或多个保证金由同已基本账号转出均按无效处理。</w:t>
            </w:r>
          </w:p>
        </w:tc>
      </w:tr>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3.5.2</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近年财务状况的年份要求</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3.5.3</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近年完成的类似项目的年份要求</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sz w:val="24"/>
              </w:rPr>
            </w:pPr>
            <w:r>
              <w:rPr>
                <w:rFonts w:hint="eastAsia" w:ascii="宋体" w:hAnsi="宋体" w:cs="宋体"/>
                <w:sz w:val="24"/>
              </w:rPr>
              <w:t>2019年1月1日以来（时间以合同签订时间为准）</w:t>
            </w:r>
          </w:p>
        </w:tc>
      </w:tr>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3.5.5</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近年发生的诉讼及仲裁情况的年份要求</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3.6</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是否允许递交备选投标方案</w:t>
            </w:r>
          </w:p>
        </w:tc>
        <w:tc>
          <w:tcPr>
            <w:tcW w:w="6340" w:type="dxa"/>
            <w:tcBorders>
              <w:top w:val="single" w:color="auto" w:sz="4" w:space="0"/>
              <w:left w:val="single" w:color="auto" w:sz="4" w:space="0"/>
              <w:bottom w:val="single" w:color="auto" w:sz="4" w:space="0"/>
              <w:right w:val="single" w:color="auto" w:sz="4" w:space="0"/>
            </w:tcBorders>
            <w:vAlign w:val="center"/>
          </w:tcPr>
          <w:p>
            <w:pPr>
              <w:pStyle w:val="52"/>
              <w:topLinePunct/>
              <w:spacing w:line="36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不允许</w:t>
            </w:r>
          </w:p>
        </w:tc>
      </w:tr>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3.7.3</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签字或盖章要求</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投标人在生成电子化投标文件后，应对电子化投标文件进行签章，未进行签章的视为无效投标。</w:t>
            </w:r>
          </w:p>
          <w:p>
            <w:pPr>
              <w:spacing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招标文件中要求加盖单位公章的：投标人在进行电子化投标文件签章时，以签盖投标人电子签章为准。</w:t>
            </w:r>
          </w:p>
          <w:p>
            <w:pPr>
              <w:spacing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招标文件中要求法定代表人或授权委托人签字或盖章的：投标人在进行电子化投标文件签章时，以签盖法定代表人电子签字(签章)为准。</w:t>
            </w:r>
          </w:p>
          <w:p>
            <w:pPr>
              <w:spacing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电子化投标文件具体制作教材请投标人通过 CA 证书登录宝丰县公共资源电子化交易系统在右上角“组件下载”中查看</w:t>
            </w:r>
          </w:p>
        </w:tc>
      </w:tr>
      <w:tr>
        <w:tblPrEx>
          <w:tblCellMar>
            <w:top w:w="0" w:type="dxa"/>
            <w:left w:w="108" w:type="dxa"/>
            <w:bottom w:w="0" w:type="dxa"/>
            <w:right w:w="108" w:type="dxa"/>
          </w:tblCellMar>
        </w:tblPrEx>
        <w:trPr>
          <w:trHeight w:val="435"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4.2.2</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递交投标文件地点</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宝丰县公共资源交易中心电子交易系统</w:t>
            </w:r>
          </w:p>
        </w:tc>
      </w:tr>
      <w:tr>
        <w:tblPrEx>
          <w:tblCellMar>
            <w:top w:w="0" w:type="dxa"/>
            <w:left w:w="108" w:type="dxa"/>
            <w:bottom w:w="0" w:type="dxa"/>
            <w:right w:w="108" w:type="dxa"/>
          </w:tblCellMar>
        </w:tblPrEx>
        <w:trPr>
          <w:trHeight w:val="435"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4.2.3</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是否退还投标文件</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否</w:t>
            </w:r>
          </w:p>
        </w:tc>
      </w:tr>
      <w:tr>
        <w:tblPrEx>
          <w:tblCellMar>
            <w:top w:w="0" w:type="dxa"/>
            <w:left w:w="108" w:type="dxa"/>
            <w:bottom w:w="0" w:type="dxa"/>
            <w:right w:w="108" w:type="dxa"/>
          </w:tblCellMar>
        </w:tblPrEx>
        <w:trPr>
          <w:trHeight w:val="900"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开标时间和地点</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开标时间：同投标截止时间 </w:t>
            </w:r>
          </w:p>
          <w:p>
            <w:pPr>
              <w:spacing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开标地点：宝丰县公共资源交易中心网上开标大厅</w:t>
            </w:r>
          </w:p>
        </w:tc>
      </w:tr>
      <w:tr>
        <w:tblPrEx>
          <w:tblCellMar>
            <w:top w:w="0" w:type="dxa"/>
            <w:left w:w="108" w:type="dxa"/>
            <w:bottom w:w="0" w:type="dxa"/>
            <w:right w:w="108" w:type="dxa"/>
          </w:tblCellMar>
        </w:tblPrEx>
        <w:trPr>
          <w:trHeight w:val="924" w:hRule="atLeast"/>
          <w:jc w:val="center"/>
        </w:trPr>
        <w:tc>
          <w:tcPr>
            <w:tcW w:w="1185" w:type="dxa"/>
            <w:tcBorders>
              <w:top w:val="single" w:color="auto" w:sz="4" w:space="0"/>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开标程序</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sz w:val="24"/>
              </w:rPr>
              <w:t>电子投标文件解密后自动唱标</w:t>
            </w:r>
          </w:p>
        </w:tc>
      </w:tr>
      <w:tr>
        <w:tblPrEx>
          <w:tblCellMar>
            <w:top w:w="0" w:type="dxa"/>
            <w:left w:w="108" w:type="dxa"/>
            <w:bottom w:w="0" w:type="dxa"/>
            <w:right w:w="108" w:type="dxa"/>
          </w:tblCellMar>
        </w:tblPrEx>
        <w:trPr>
          <w:trHeight w:val="941" w:hRule="atLeast"/>
          <w:jc w:val="center"/>
        </w:trPr>
        <w:tc>
          <w:tcPr>
            <w:tcW w:w="1185" w:type="dxa"/>
            <w:tcBorders>
              <w:top w:val="single" w:color="auto" w:sz="4" w:space="0"/>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6.1.1</w:t>
            </w:r>
          </w:p>
        </w:tc>
        <w:tc>
          <w:tcPr>
            <w:tcW w:w="1545" w:type="dxa"/>
            <w:tcBorders>
              <w:top w:val="single" w:color="auto" w:sz="4" w:space="0"/>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评标委员会的组建</w:t>
            </w:r>
          </w:p>
        </w:tc>
        <w:tc>
          <w:tcPr>
            <w:tcW w:w="6340" w:type="dxa"/>
            <w:tcBorders>
              <w:top w:val="single" w:color="auto" w:sz="4" w:space="0"/>
              <w:left w:val="single" w:color="auto" w:sz="4" w:space="0"/>
              <w:right w:val="single" w:color="auto" w:sz="4" w:space="0"/>
            </w:tcBorders>
            <w:vAlign w:val="center"/>
          </w:tcPr>
          <w:p>
            <w:pPr>
              <w:autoSpaceDE w:val="0"/>
              <w:autoSpaceDN w:val="0"/>
              <w:spacing w:before="56" w:line="420" w:lineRule="exact"/>
              <w:ind w:right="19" w:firstLine="240" w:firstLineChars="100"/>
              <w:jc w:val="left"/>
              <w:rPr>
                <w:rFonts w:hint="eastAsia" w:ascii="宋体" w:hAnsi="宋体" w:cs="宋体"/>
                <w:sz w:val="24"/>
                <w:lang w:val="zh-CN" w:bidi="zh-CN"/>
              </w:rPr>
            </w:pPr>
            <w:r>
              <w:rPr>
                <w:rFonts w:hint="eastAsia" w:ascii="宋体" w:hAnsi="宋体" w:cs="宋体"/>
                <w:sz w:val="24"/>
                <w:lang w:val="en-US" w:bidi="zh-CN"/>
              </w:rPr>
              <w:t>1</w:t>
            </w:r>
            <w:r>
              <w:rPr>
                <w:rFonts w:hint="eastAsia" w:ascii="宋体" w:hAnsi="宋体" w:cs="宋体"/>
                <w:sz w:val="24"/>
                <w:lang w:bidi="zh-CN"/>
              </w:rPr>
              <w:t>、</w:t>
            </w:r>
            <w:r>
              <w:rPr>
                <w:rFonts w:hint="eastAsia" w:ascii="宋体" w:hAnsi="宋体" w:cs="宋体"/>
                <w:sz w:val="24"/>
                <w:lang w:val="zh-CN" w:bidi="zh-CN"/>
              </w:rPr>
              <w:t>评标活动由评标委员会负责。评标委员会由招标人依法负责组建。</w:t>
            </w:r>
          </w:p>
          <w:p>
            <w:pPr>
              <w:autoSpaceDE w:val="0"/>
              <w:autoSpaceDN w:val="0"/>
              <w:spacing w:before="56" w:line="420" w:lineRule="exact"/>
              <w:ind w:right="19" w:firstLine="240" w:firstLineChars="100"/>
              <w:jc w:val="left"/>
              <w:rPr>
                <w:rFonts w:hint="eastAsia" w:ascii="宋体" w:hAnsi="宋体" w:cs="宋体"/>
                <w:sz w:val="24"/>
                <w:lang w:val="zh-CN" w:bidi="zh-CN"/>
              </w:rPr>
            </w:pPr>
            <w:r>
              <w:rPr>
                <w:rFonts w:hint="eastAsia" w:ascii="宋体" w:hAnsi="宋体" w:cs="宋体"/>
                <w:sz w:val="24"/>
                <w:lang w:bidi="zh-CN"/>
              </w:rPr>
              <w:t>2、</w:t>
            </w:r>
            <w:r>
              <w:rPr>
                <w:rFonts w:hint="eastAsia" w:ascii="宋体" w:hAnsi="宋体" w:cs="宋体"/>
                <w:sz w:val="24"/>
                <w:lang w:val="zh-CN" w:bidi="zh-CN"/>
              </w:rPr>
              <w:t>评标委员会构成：</w:t>
            </w:r>
            <w:r>
              <w:rPr>
                <w:rFonts w:hint="eastAsia" w:ascii="宋体" w:hAnsi="宋体" w:cs="宋体"/>
                <w:sz w:val="24"/>
                <w:lang w:bidi="zh-CN"/>
              </w:rPr>
              <w:t>由</w:t>
            </w:r>
            <w:r>
              <w:rPr>
                <w:rFonts w:hint="eastAsia" w:ascii="宋体" w:hAnsi="宋体" w:cs="宋体"/>
                <w:sz w:val="24"/>
                <w:lang w:val="zh-CN" w:bidi="zh-CN"/>
              </w:rPr>
              <w:t>招标人代表、技术、经济等方面的专家</w:t>
            </w:r>
            <w:r>
              <w:rPr>
                <w:rFonts w:ascii="宋体" w:hAnsi="宋体" w:cs="宋体"/>
                <w:sz w:val="24"/>
                <w:lang w:bidi="zh-CN"/>
              </w:rPr>
              <w:t>7</w:t>
            </w:r>
            <w:r>
              <w:rPr>
                <w:rFonts w:hint="eastAsia" w:ascii="宋体" w:hAnsi="宋体" w:cs="宋体"/>
                <w:sz w:val="24"/>
                <w:lang w:bidi="zh-CN"/>
              </w:rPr>
              <w:t>人组成</w:t>
            </w:r>
            <w:r>
              <w:rPr>
                <w:rFonts w:hint="eastAsia" w:ascii="宋体" w:hAnsi="宋体" w:cs="宋体"/>
                <w:sz w:val="24"/>
                <w:lang w:val="zh-CN" w:bidi="zh-CN"/>
              </w:rPr>
              <w:t>；其中</w:t>
            </w:r>
            <w:r>
              <w:rPr>
                <w:rFonts w:hint="eastAsia" w:ascii="宋体" w:hAnsi="宋体" w:cs="宋体"/>
                <w:sz w:val="24"/>
                <w:lang w:bidi="zh-CN"/>
              </w:rPr>
              <w:t>业主代表</w:t>
            </w:r>
            <w:r>
              <w:rPr>
                <w:rFonts w:ascii="宋体" w:hAnsi="宋体" w:cs="宋体"/>
                <w:sz w:val="24"/>
                <w:lang w:bidi="zh-CN"/>
              </w:rPr>
              <w:t>2</w:t>
            </w:r>
            <w:r>
              <w:rPr>
                <w:rFonts w:hint="eastAsia" w:ascii="宋体" w:hAnsi="宋体" w:cs="宋体"/>
                <w:sz w:val="24"/>
                <w:lang w:bidi="zh-CN"/>
              </w:rPr>
              <w:t>人、经济、技术专家</w:t>
            </w:r>
            <w:r>
              <w:rPr>
                <w:rFonts w:ascii="宋体" w:hAnsi="宋体" w:cs="宋体"/>
                <w:sz w:val="24"/>
                <w:lang w:bidi="zh-CN"/>
              </w:rPr>
              <w:t>5</w:t>
            </w:r>
            <w:r>
              <w:rPr>
                <w:rFonts w:hint="eastAsia" w:ascii="宋体" w:hAnsi="宋体" w:cs="宋体"/>
                <w:sz w:val="24"/>
                <w:lang w:bidi="zh-CN"/>
              </w:rPr>
              <w:t>人</w:t>
            </w:r>
            <w:r>
              <w:rPr>
                <w:rFonts w:hint="eastAsia" w:ascii="宋体" w:hAnsi="宋体" w:cs="宋体"/>
                <w:sz w:val="24"/>
                <w:lang w:val="zh-CN" w:bidi="zh-CN"/>
              </w:rPr>
              <w:t>。</w:t>
            </w:r>
          </w:p>
          <w:p>
            <w:pPr>
              <w:spacing w:line="360" w:lineRule="exact"/>
              <w:rPr>
                <w:rFonts w:asciiTheme="minorEastAsia" w:hAnsiTheme="minorEastAsia" w:eastAsiaTheme="minorEastAsia" w:cstheme="minorEastAsia"/>
                <w:sz w:val="24"/>
              </w:rPr>
            </w:pPr>
            <w:r>
              <w:rPr>
                <w:rFonts w:hint="eastAsia" w:ascii="宋体" w:hAnsi="宋体" w:cs="宋体"/>
                <w:sz w:val="24"/>
                <w:lang w:bidi="zh-CN"/>
              </w:rPr>
              <w:t>3、</w:t>
            </w:r>
            <w:r>
              <w:rPr>
                <w:rFonts w:hint="eastAsia" w:ascii="宋体" w:hAnsi="宋体" w:cs="宋体"/>
                <w:sz w:val="24"/>
                <w:lang w:val="zh-CN" w:bidi="zh-CN"/>
              </w:rPr>
              <w:t>评标专家确定方式：评标专家从政府有关部门组建的</w:t>
            </w:r>
            <w:r>
              <w:rPr>
                <w:rFonts w:hint="eastAsia" w:ascii="宋体" w:hAnsi="宋体" w:cs="宋体"/>
                <w:sz w:val="24"/>
                <w:lang w:bidi="zh-CN"/>
              </w:rPr>
              <w:t>相应</w:t>
            </w:r>
            <w:r>
              <w:rPr>
                <w:rFonts w:hint="eastAsia" w:ascii="宋体" w:hAnsi="宋体" w:cs="宋体"/>
                <w:sz w:val="24"/>
                <w:lang w:val="zh-CN" w:bidi="zh-CN"/>
              </w:rPr>
              <w:t xml:space="preserve">专家库中随机抽取产生。 </w:t>
            </w:r>
          </w:p>
        </w:tc>
      </w:tr>
      <w:tr>
        <w:tblPrEx>
          <w:tblCellMar>
            <w:top w:w="0" w:type="dxa"/>
            <w:left w:w="108" w:type="dxa"/>
            <w:bottom w:w="0" w:type="dxa"/>
            <w:right w:w="108" w:type="dxa"/>
          </w:tblCellMar>
        </w:tblPrEx>
        <w:trPr>
          <w:trHeight w:val="614" w:hRule="atLeast"/>
          <w:jc w:val="center"/>
        </w:trPr>
        <w:tc>
          <w:tcPr>
            <w:tcW w:w="1185" w:type="dxa"/>
            <w:tcBorders>
              <w:top w:val="single" w:color="auto" w:sz="4" w:space="0"/>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7.1</w:t>
            </w:r>
          </w:p>
        </w:tc>
        <w:tc>
          <w:tcPr>
            <w:tcW w:w="1545" w:type="dxa"/>
            <w:tcBorders>
              <w:top w:val="single" w:color="auto" w:sz="4" w:space="0"/>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是否授权评标委员会确定中标人</w:t>
            </w:r>
          </w:p>
        </w:tc>
        <w:tc>
          <w:tcPr>
            <w:tcW w:w="6340" w:type="dxa"/>
            <w:tcBorders>
              <w:top w:val="single" w:color="auto" w:sz="4" w:space="0"/>
              <w:left w:val="single" w:color="auto" w:sz="4" w:space="0"/>
              <w:right w:val="single" w:color="auto" w:sz="4" w:space="0"/>
            </w:tcBorders>
            <w:vAlign w:val="center"/>
          </w:tcPr>
          <w:p>
            <w:pPr>
              <w:spacing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否，推荐的中标候选人数：3名</w:t>
            </w:r>
          </w:p>
        </w:tc>
      </w:tr>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7.3.1</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履约担保</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5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CellMar>
            <w:top w:w="0" w:type="dxa"/>
            <w:left w:w="108" w:type="dxa"/>
            <w:bottom w:w="0" w:type="dxa"/>
            <w:right w:w="108" w:type="dxa"/>
          </w:tblCellMar>
        </w:tblPrEx>
        <w:trPr>
          <w:trHeight w:val="558" w:hRule="atLeast"/>
          <w:jc w:val="center"/>
        </w:trPr>
        <w:tc>
          <w:tcPr>
            <w:tcW w:w="907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  需要补充的其他内容</w:t>
            </w:r>
          </w:p>
        </w:tc>
      </w:tr>
      <w:tr>
        <w:tblPrEx>
          <w:tblCellMar>
            <w:top w:w="0" w:type="dxa"/>
            <w:left w:w="108" w:type="dxa"/>
            <w:bottom w:w="0" w:type="dxa"/>
            <w:right w:w="108" w:type="dxa"/>
          </w:tblCellMar>
        </w:tblPrEx>
        <w:trPr>
          <w:trHeight w:val="542"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10.1</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50" w:lineRule="exact"/>
              <w:rPr>
                <w:rFonts w:asciiTheme="minorEastAsia" w:hAnsiTheme="minorEastAsia" w:eastAsiaTheme="minorEastAsia" w:cstheme="minorEastAsia"/>
                <w:b/>
                <w:bCs/>
                <w:spacing w:val="-2"/>
                <w:sz w:val="24"/>
              </w:rPr>
            </w:pPr>
            <w:r>
              <w:rPr>
                <w:rFonts w:hint="eastAsia" w:asciiTheme="minorEastAsia" w:hAnsiTheme="minorEastAsia" w:eastAsiaTheme="minorEastAsia" w:cstheme="minorEastAsia"/>
                <w:b/>
                <w:bCs/>
                <w:spacing w:val="-2"/>
                <w:sz w:val="24"/>
              </w:rPr>
              <w:t xml:space="preserve">招标控制价 </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50" w:lineRule="exact"/>
              <w:rPr>
                <w:rFonts w:hint="default" w:asciiTheme="minorEastAsia" w:hAnsiTheme="minorEastAsia" w:eastAsiaTheme="minorEastAsia" w:cstheme="minorEastAsia"/>
                <w:b/>
                <w:bCs/>
                <w:spacing w:val="-2"/>
                <w:sz w:val="24"/>
                <w:highlight w:val="none"/>
                <w:lang w:val="en-US" w:eastAsia="zh-CN"/>
              </w:rPr>
            </w:pPr>
            <w:r>
              <w:rPr>
                <w:rFonts w:hint="eastAsia" w:asciiTheme="minorEastAsia" w:hAnsiTheme="minorEastAsia" w:eastAsiaTheme="minorEastAsia" w:cstheme="minorEastAsia"/>
                <w:b/>
                <w:bCs/>
                <w:spacing w:val="-2"/>
                <w:sz w:val="24"/>
                <w:highlight w:val="none"/>
                <w:lang w:val="en-US" w:eastAsia="zh-CN"/>
              </w:rPr>
              <w:t>第2标段：540000</w:t>
            </w:r>
            <w:r>
              <w:rPr>
                <w:rFonts w:hint="eastAsia" w:asciiTheme="minorEastAsia" w:hAnsiTheme="minorEastAsia" w:eastAsiaTheme="minorEastAsia" w:cstheme="minorEastAsia"/>
                <w:b/>
                <w:bCs/>
                <w:spacing w:val="-2"/>
                <w:sz w:val="24"/>
                <w:highlight w:val="none"/>
              </w:rPr>
              <w:t>元</w:t>
            </w:r>
            <w:r>
              <w:rPr>
                <w:rFonts w:hint="eastAsia" w:asciiTheme="minorEastAsia" w:hAnsiTheme="minorEastAsia" w:eastAsiaTheme="minorEastAsia" w:cstheme="minorEastAsia"/>
                <w:b/>
                <w:bCs/>
                <w:spacing w:val="-2"/>
                <w:sz w:val="24"/>
                <w:highlight w:val="none"/>
                <w:lang w:eastAsia="zh-CN"/>
              </w:rPr>
              <w:t>，第</w:t>
            </w:r>
            <w:r>
              <w:rPr>
                <w:rFonts w:hint="eastAsia" w:asciiTheme="minorEastAsia" w:hAnsiTheme="minorEastAsia" w:eastAsiaTheme="minorEastAsia" w:cstheme="minorEastAsia"/>
                <w:b/>
                <w:bCs/>
                <w:spacing w:val="-2"/>
                <w:sz w:val="24"/>
                <w:highlight w:val="none"/>
                <w:lang w:val="en-US" w:eastAsia="zh-CN"/>
              </w:rPr>
              <w:t>3标段：630000元。</w:t>
            </w:r>
          </w:p>
          <w:p>
            <w:pPr>
              <w:spacing w:line="350" w:lineRule="exact"/>
              <w:rPr>
                <w:rFonts w:asciiTheme="minorEastAsia" w:hAnsiTheme="minorEastAsia" w:eastAsiaTheme="minorEastAsia" w:cstheme="minorEastAsia"/>
                <w:b/>
                <w:bCs/>
                <w:spacing w:val="-2"/>
                <w:sz w:val="24"/>
              </w:rPr>
            </w:pPr>
            <w:r>
              <w:rPr>
                <w:rFonts w:hint="eastAsia" w:asciiTheme="minorEastAsia" w:hAnsiTheme="minorEastAsia" w:eastAsiaTheme="minorEastAsia" w:cstheme="minorEastAsia"/>
                <w:b/>
                <w:bCs/>
                <w:spacing w:val="-2"/>
                <w:sz w:val="24"/>
              </w:rPr>
              <w:t>注：投标单位自主报价，投标人投标总报价高出招标控制价的投标文件为无效文件，将不予评审。</w:t>
            </w:r>
          </w:p>
        </w:tc>
      </w:tr>
      <w:tr>
        <w:tblPrEx>
          <w:tblCellMar>
            <w:top w:w="0" w:type="dxa"/>
            <w:left w:w="108" w:type="dxa"/>
            <w:bottom w:w="0" w:type="dxa"/>
            <w:right w:w="108" w:type="dxa"/>
          </w:tblCellMar>
        </w:tblPrEx>
        <w:trPr>
          <w:trHeight w:val="853"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10.2</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5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中标公示</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5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在中标通知书发出前，招标人将中标候选人的情况在本招标项目招标公告发布的同一媒介予以公示，公示期不少于3日。</w:t>
            </w:r>
          </w:p>
        </w:tc>
      </w:tr>
      <w:tr>
        <w:tblPrEx>
          <w:tblCellMar>
            <w:top w:w="0" w:type="dxa"/>
            <w:left w:w="108" w:type="dxa"/>
            <w:bottom w:w="0" w:type="dxa"/>
            <w:right w:w="108" w:type="dxa"/>
          </w:tblCellMar>
        </w:tblPrEx>
        <w:trPr>
          <w:trHeight w:val="973"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10.3</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5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同义词语</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5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构成招标文件组成部分的“通用条件”、“专用条件”等章节中出现的措辞“委托人”和“监理人”，在招标投标阶段应当分别按“招标人”和“投标人”进行理解。</w:t>
            </w:r>
          </w:p>
        </w:tc>
      </w:tr>
      <w:tr>
        <w:tblPrEx>
          <w:tblCellMar>
            <w:top w:w="0" w:type="dxa"/>
            <w:left w:w="108" w:type="dxa"/>
            <w:bottom w:w="0" w:type="dxa"/>
            <w:right w:w="108" w:type="dxa"/>
          </w:tblCellMar>
        </w:tblPrEx>
        <w:trPr>
          <w:trHeight w:val="504"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10.4</w:t>
            </w:r>
          </w:p>
        </w:tc>
        <w:tc>
          <w:tcPr>
            <w:tcW w:w="1545" w:type="dxa"/>
            <w:tcBorders>
              <w:top w:val="single" w:color="auto" w:sz="4" w:space="0"/>
              <w:left w:val="single" w:color="auto" w:sz="4" w:space="0"/>
              <w:bottom w:val="single" w:color="auto" w:sz="4" w:space="0"/>
              <w:right w:val="single" w:color="auto" w:sz="4" w:space="0"/>
            </w:tcBorders>
            <w:vAlign w:val="center"/>
          </w:tcPr>
          <w:p>
            <w:pPr>
              <w:pStyle w:val="44"/>
              <w:spacing w:line="35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定标方式</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5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将根据评标委员会提出的评标报告，确定排名第一的中标候选人为中标人。当确定中标的中标候选人放弃中标或不按规定向招标人交纳履约保证金因或不可抗力提出不能履行合同的，招标人可以按序确定排名第二的中标候选人为中标人，依此类推。</w:t>
            </w:r>
          </w:p>
        </w:tc>
      </w:tr>
      <w:tr>
        <w:tblPrEx>
          <w:tblCellMar>
            <w:top w:w="0" w:type="dxa"/>
            <w:left w:w="108" w:type="dxa"/>
            <w:bottom w:w="0" w:type="dxa"/>
            <w:right w:w="108" w:type="dxa"/>
          </w:tblCellMar>
        </w:tblPrEx>
        <w:trPr>
          <w:trHeight w:val="454"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10.5</w:t>
            </w:r>
          </w:p>
        </w:tc>
        <w:tc>
          <w:tcPr>
            <w:tcW w:w="1545" w:type="dxa"/>
            <w:tcBorders>
              <w:top w:val="single" w:color="auto" w:sz="4" w:space="0"/>
              <w:left w:val="single" w:color="auto" w:sz="4" w:space="0"/>
              <w:bottom w:val="single" w:color="auto" w:sz="4" w:space="0"/>
              <w:right w:val="single" w:color="auto" w:sz="4" w:space="0"/>
            </w:tcBorders>
            <w:vAlign w:val="center"/>
          </w:tcPr>
          <w:p>
            <w:pPr>
              <w:pStyle w:val="44"/>
              <w:spacing w:line="35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付款办法</w:t>
            </w:r>
          </w:p>
        </w:tc>
        <w:tc>
          <w:tcPr>
            <w:tcW w:w="6340" w:type="dxa"/>
            <w:tcBorders>
              <w:top w:val="single" w:color="auto" w:sz="4" w:space="0"/>
              <w:left w:val="single" w:color="auto" w:sz="4" w:space="0"/>
              <w:bottom w:val="single" w:color="auto" w:sz="4" w:space="0"/>
              <w:right w:val="single" w:color="auto" w:sz="4" w:space="0"/>
            </w:tcBorders>
            <w:vAlign w:val="center"/>
          </w:tcPr>
          <w:p>
            <w:pPr>
              <w:pStyle w:val="44"/>
              <w:spacing w:line="350" w:lineRule="exact"/>
              <w:rPr>
                <w:rFonts w:asciiTheme="minorEastAsia" w:hAnsiTheme="minorEastAsia" w:eastAsiaTheme="minorEastAsia" w:cstheme="minorEastAsia"/>
                <w:b/>
                <w:bCs/>
                <w:sz w:val="24"/>
                <w:u w:val="single"/>
              </w:rPr>
            </w:pPr>
            <w:r>
              <w:rPr>
                <w:rFonts w:hint="eastAsia" w:asciiTheme="minorEastAsia" w:hAnsiTheme="minorEastAsia" w:eastAsiaTheme="minorEastAsia" w:cstheme="minorEastAsia"/>
                <w:b/>
                <w:bCs/>
                <w:sz w:val="24"/>
              </w:rPr>
              <w:t>工程量完成至 50%（或监理工期过半）时出具工程量确认书经招标人审核后，支付合同价款总额的 50%；工程竣工通过验收后，出具竣工验收报告后再支付合同价款总额的 40%；剩余10%在工程缺陷责任期满后一次性支付。</w:t>
            </w:r>
          </w:p>
        </w:tc>
      </w:tr>
      <w:tr>
        <w:tblPrEx>
          <w:tblCellMar>
            <w:top w:w="0" w:type="dxa"/>
            <w:left w:w="108" w:type="dxa"/>
            <w:bottom w:w="0" w:type="dxa"/>
            <w:right w:w="108" w:type="dxa"/>
          </w:tblCellMar>
        </w:tblPrEx>
        <w:trPr>
          <w:trHeight w:val="836"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10.6</w:t>
            </w:r>
          </w:p>
        </w:tc>
        <w:tc>
          <w:tcPr>
            <w:tcW w:w="1545" w:type="dxa"/>
            <w:tcBorders>
              <w:top w:val="single" w:color="auto" w:sz="4" w:space="0"/>
              <w:left w:val="single" w:color="auto" w:sz="4" w:space="0"/>
              <w:bottom w:val="single" w:color="auto" w:sz="4" w:space="0"/>
              <w:right w:val="single" w:color="auto" w:sz="4" w:space="0"/>
            </w:tcBorders>
            <w:vAlign w:val="center"/>
          </w:tcPr>
          <w:p>
            <w:pPr>
              <w:pStyle w:val="44"/>
              <w:spacing w:line="35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招标代理服务费</w:t>
            </w:r>
          </w:p>
        </w:tc>
        <w:tc>
          <w:tcPr>
            <w:tcW w:w="6340" w:type="dxa"/>
            <w:tcBorders>
              <w:top w:val="single" w:color="auto" w:sz="4" w:space="0"/>
              <w:left w:val="single" w:color="auto" w:sz="4" w:space="0"/>
              <w:bottom w:val="single" w:color="auto" w:sz="4" w:space="0"/>
              <w:right w:val="single" w:color="auto" w:sz="4" w:space="0"/>
            </w:tcBorders>
            <w:vAlign w:val="center"/>
          </w:tcPr>
          <w:p>
            <w:pPr>
              <w:pStyle w:val="44"/>
              <w:spacing w:line="35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依据相关标准“发改价格【2015】299号文和《河南省招标代理服务收费指导意见》豫招协【2023】002号文计取”由中标人支付</w:t>
            </w:r>
          </w:p>
        </w:tc>
      </w:tr>
      <w:tr>
        <w:tblPrEx>
          <w:tblCellMar>
            <w:top w:w="0" w:type="dxa"/>
            <w:left w:w="108" w:type="dxa"/>
            <w:bottom w:w="0" w:type="dxa"/>
            <w:right w:w="108" w:type="dxa"/>
          </w:tblCellMar>
        </w:tblPrEx>
        <w:trPr>
          <w:trHeight w:val="836"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10.7</w:t>
            </w:r>
          </w:p>
        </w:tc>
        <w:tc>
          <w:tcPr>
            <w:tcW w:w="15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bCs/>
                <w:sz w:val="24"/>
              </w:rPr>
            </w:pPr>
            <w:r>
              <w:rPr>
                <w:rFonts w:hint="eastAsia" w:ascii="宋体" w:hAnsi="宋体"/>
                <w:bCs/>
                <w:kern w:val="0"/>
                <w:sz w:val="24"/>
              </w:rPr>
              <w:t>河南省政府采购合同融资政策告知函</w:t>
            </w:r>
          </w:p>
        </w:tc>
        <w:tc>
          <w:tcPr>
            <w:tcW w:w="63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bCs/>
                <w:kern w:val="0"/>
                <w:sz w:val="24"/>
              </w:rPr>
            </w:pPr>
            <w:r>
              <w:rPr>
                <w:rFonts w:hint="eastAsia" w:ascii="宋体" w:hAnsi="宋体"/>
                <w:bCs/>
                <w:kern w:val="0"/>
                <w:sz w:val="24"/>
              </w:rPr>
              <w:t>河南省政府采购合同融资政策告知函</w:t>
            </w:r>
          </w:p>
          <w:p>
            <w:pPr>
              <w:autoSpaceDE w:val="0"/>
              <w:autoSpaceDN w:val="0"/>
              <w:adjustRightInd w:val="0"/>
              <w:spacing w:line="360" w:lineRule="auto"/>
              <w:rPr>
                <w:rFonts w:ascii="宋体" w:hAnsi="宋体"/>
                <w:bCs/>
                <w:kern w:val="0"/>
                <w:sz w:val="24"/>
              </w:rPr>
            </w:pPr>
            <w:r>
              <w:rPr>
                <w:rFonts w:hint="eastAsia" w:ascii="宋体" w:hAnsi="宋体"/>
                <w:bCs/>
                <w:kern w:val="0"/>
                <w:sz w:val="24"/>
              </w:rPr>
              <w:t>各供应商：</w:t>
            </w:r>
          </w:p>
          <w:p>
            <w:pPr>
              <w:autoSpaceDE w:val="0"/>
              <w:autoSpaceDN w:val="0"/>
              <w:adjustRightInd w:val="0"/>
              <w:spacing w:line="360" w:lineRule="auto"/>
              <w:rPr>
                <w:rFonts w:ascii="宋体" w:hAnsi="宋体"/>
                <w:bCs/>
                <w:kern w:val="0"/>
                <w:sz w:val="24"/>
              </w:rPr>
            </w:pPr>
            <w:r>
              <w:rPr>
                <w:rFonts w:hint="eastAsia" w:ascii="宋体" w:hAnsi="宋体"/>
                <w:bCs/>
                <w:kern w:val="0"/>
                <w:sz w:val="24"/>
              </w:rPr>
              <w:t>欢迎贵公司参与河南省政府采购活动！</w:t>
            </w:r>
          </w:p>
          <w:p>
            <w:pPr>
              <w:autoSpaceDE w:val="0"/>
              <w:autoSpaceDN w:val="0"/>
              <w:adjustRightInd w:val="0"/>
              <w:spacing w:line="360" w:lineRule="auto"/>
              <w:rPr>
                <w:rFonts w:ascii="宋体" w:hAnsi="宋体"/>
                <w:bCs/>
                <w:kern w:val="0"/>
                <w:sz w:val="24"/>
              </w:rPr>
            </w:pPr>
            <w:r>
              <w:rPr>
                <w:rFonts w:hint="eastAsia" w:ascii="宋体" w:hAnsi="宋体"/>
                <w:bCs/>
                <w:kern w:val="0"/>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autoSpaceDE w:val="0"/>
              <w:autoSpaceDN w:val="0"/>
              <w:adjustRightInd w:val="0"/>
              <w:spacing w:line="360" w:lineRule="auto"/>
              <w:rPr>
                <w:rFonts w:asciiTheme="minorEastAsia" w:hAnsiTheme="minorEastAsia" w:eastAsiaTheme="minorEastAsia" w:cstheme="minorEastAsia"/>
                <w:bCs/>
                <w:sz w:val="24"/>
              </w:rPr>
            </w:pPr>
            <w:r>
              <w:rPr>
                <w:rFonts w:hint="eastAsia" w:ascii="宋体" w:hAnsi="宋体"/>
                <w:bCs/>
                <w:kern w:val="0"/>
                <w:sz w:val="24"/>
              </w:rPr>
              <w:t>贷款渠道和提供贷款的金融机构，可在河南省政府采购网“河南省政府采购合同融资平台”查询联系。</w:t>
            </w:r>
          </w:p>
        </w:tc>
      </w:tr>
      <w:tr>
        <w:tblPrEx>
          <w:tblCellMar>
            <w:top w:w="0" w:type="dxa"/>
            <w:left w:w="108" w:type="dxa"/>
            <w:bottom w:w="0" w:type="dxa"/>
            <w:right w:w="108" w:type="dxa"/>
          </w:tblCellMar>
        </w:tblPrEx>
        <w:trPr>
          <w:trHeight w:val="836"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10.8</w:t>
            </w:r>
          </w:p>
        </w:tc>
        <w:tc>
          <w:tcPr>
            <w:tcW w:w="15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Theme="minorEastAsia" w:hAnsiTheme="minorEastAsia" w:eastAsiaTheme="minorEastAsia" w:cstheme="minorEastAsia"/>
                <w:bCs/>
                <w:sz w:val="24"/>
              </w:rPr>
            </w:pPr>
            <w:r>
              <w:rPr>
                <w:rFonts w:hint="eastAsia" w:ascii="宋体" w:hAnsi="宋体"/>
                <w:bCs/>
                <w:kern w:val="0"/>
                <w:sz w:val="24"/>
              </w:rPr>
              <w:t>宝丰县政府采购合同融资政策告知书</w:t>
            </w:r>
          </w:p>
        </w:tc>
        <w:tc>
          <w:tcPr>
            <w:tcW w:w="63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bCs/>
                <w:kern w:val="0"/>
                <w:sz w:val="24"/>
              </w:rPr>
            </w:pPr>
            <w:r>
              <w:rPr>
                <w:rFonts w:hint="eastAsia" w:ascii="宋体" w:hAnsi="宋体"/>
                <w:bCs/>
                <w:kern w:val="0"/>
                <w:sz w:val="24"/>
              </w:rPr>
              <w:t>尊敬的政府采购供应商：您好！</w:t>
            </w:r>
          </w:p>
          <w:p>
            <w:pPr>
              <w:autoSpaceDE w:val="0"/>
              <w:autoSpaceDN w:val="0"/>
              <w:adjustRightInd w:val="0"/>
              <w:spacing w:line="360" w:lineRule="auto"/>
              <w:rPr>
                <w:rFonts w:ascii="宋体" w:hAnsi="宋体"/>
                <w:bCs/>
                <w:kern w:val="0"/>
                <w:sz w:val="24"/>
              </w:rPr>
            </w:pPr>
            <w:r>
              <w:rPr>
                <w:rFonts w:hint="eastAsia" w:ascii="宋体" w:hAnsi="宋体"/>
                <w:bCs/>
                <w:kern w:val="0"/>
                <w:sz w:val="24"/>
              </w:rPr>
              <w:t>欢迎您参与宝丰县政府采购业务！感谢您对我县经济社会发展做出贡献！</w:t>
            </w:r>
          </w:p>
          <w:p>
            <w:pPr>
              <w:autoSpaceDE w:val="0"/>
              <w:autoSpaceDN w:val="0"/>
              <w:adjustRightInd w:val="0"/>
              <w:spacing w:line="360" w:lineRule="auto"/>
              <w:rPr>
                <w:rFonts w:ascii="宋体" w:hAnsi="宋体"/>
                <w:bCs/>
                <w:kern w:val="0"/>
                <w:sz w:val="24"/>
              </w:rPr>
            </w:pPr>
            <w:r>
              <w:rPr>
                <w:rFonts w:hint="eastAsia" w:ascii="宋体" w:hAnsi="宋体"/>
                <w:bCs/>
                <w:kern w:val="0"/>
                <w:sz w:val="24"/>
              </w:rPr>
              <w:t>为进一步优化我县营商环境，切实缓解中小微企业融资难、融资贵的问题，2018年平顶山市财政局与中原银行签署战略合作协议，帮助在政府采购项目中中标的供应商解决融资问题，中原银行推出了用于借款人履行政府采购合同的“银政易贷”贷款业务，开通了政府采购合同融资绿色通道，配备专业人员定向服务，提高融资服务效率。同时，依靠政府采购合同资金支付的保障，提供免评估、免抵押、免担保、低利率、授信额度在3000元-500万元的贷款业务，在融资审查、审批流程、利率优惠等方面切实给予中小微企业快捷高效融资支持。</w:t>
            </w:r>
          </w:p>
          <w:p>
            <w:pPr>
              <w:autoSpaceDE w:val="0"/>
              <w:autoSpaceDN w:val="0"/>
              <w:adjustRightInd w:val="0"/>
              <w:spacing w:line="360" w:lineRule="auto"/>
              <w:rPr>
                <w:rFonts w:ascii="宋体" w:hAnsi="宋体"/>
                <w:bCs/>
                <w:kern w:val="0"/>
                <w:sz w:val="24"/>
              </w:rPr>
            </w:pPr>
            <w:r>
              <w:rPr>
                <w:rFonts w:hint="eastAsia" w:ascii="宋体" w:hAnsi="宋体"/>
                <w:bCs/>
                <w:kern w:val="0"/>
                <w:sz w:val="24"/>
              </w:rPr>
              <w:t>目前，中原银行在我县政府采购合同融资工作已全面开展，如有意向享受我县政府采购合同融资政策，请拨打银行联系电话18603759553或到平顶山市湛河区姚电大道7号中原银行股份有限公司平顶山分行</w:t>
            </w:r>
          </w:p>
          <w:p>
            <w:pPr>
              <w:autoSpaceDE w:val="0"/>
              <w:autoSpaceDN w:val="0"/>
              <w:adjustRightInd w:val="0"/>
              <w:spacing w:line="360" w:lineRule="auto"/>
              <w:rPr>
                <w:rFonts w:asciiTheme="minorEastAsia" w:hAnsiTheme="minorEastAsia" w:eastAsiaTheme="minorEastAsia" w:cstheme="minorEastAsia"/>
                <w:bCs/>
                <w:sz w:val="24"/>
              </w:rPr>
            </w:pPr>
            <w:r>
              <w:rPr>
                <w:rFonts w:hint="eastAsia" w:ascii="宋体" w:hAnsi="宋体"/>
                <w:bCs/>
                <w:kern w:val="0"/>
                <w:sz w:val="24"/>
              </w:rPr>
              <w:t>期待您一如既往支持我县政府采购工作！</w:t>
            </w:r>
          </w:p>
        </w:tc>
      </w:tr>
      <w:tr>
        <w:tblPrEx>
          <w:tblCellMar>
            <w:top w:w="0" w:type="dxa"/>
            <w:left w:w="108" w:type="dxa"/>
            <w:bottom w:w="0" w:type="dxa"/>
            <w:right w:w="108" w:type="dxa"/>
          </w:tblCellMar>
        </w:tblPrEx>
        <w:trPr>
          <w:trHeight w:val="836"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10.9</w:t>
            </w:r>
          </w:p>
        </w:tc>
        <w:tc>
          <w:tcPr>
            <w:tcW w:w="15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bCs/>
                <w:sz w:val="24"/>
              </w:rPr>
            </w:pPr>
            <w:r>
              <w:rPr>
                <w:rFonts w:hint="eastAsia" w:ascii="宋体" w:hAnsi="宋体"/>
                <w:bCs/>
                <w:kern w:val="0"/>
                <w:sz w:val="24"/>
              </w:rPr>
              <w:t>农行宝丰县支行“政采e贷”信贷产品</w:t>
            </w:r>
          </w:p>
        </w:tc>
        <w:tc>
          <w:tcPr>
            <w:tcW w:w="63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Cs/>
                <w:kern w:val="0"/>
                <w:sz w:val="24"/>
              </w:rPr>
            </w:pPr>
            <w:r>
              <w:rPr>
                <w:rFonts w:hint="eastAsia" w:ascii="宋体" w:hAnsi="宋体"/>
                <w:bCs/>
                <w:kern w:val="0"/>
                <w:sz w:val="24"/>
              </w:rPr>
              <w:t>一、供应商准入标准</w:t>
            </w:r>
          </w:p>
          <w:p>
            <w:pPr>
              <w:autoSpaceDE w:val="0"/>
              <w:autoSpaceDN w:val="0"/>
              <w:adjustRightInd w:val="0"/>
              <w:spacing w:line="360" w:lineRule="auto"/>
              <w:rPr>
                <w:rFonts w:ascii="宋体" w:hAnsi="宋体"/>
                <w:bCs/>
                <w:kern w:val="0"/>
                <w:sz w:val="24"/>
              </w:rPr>
            </w:pPr>
            <w:r>
              <w:rPr>
                <w:rFonts w:hint="eastAsia" w:ascii="宋体" w:hAnsi="宋体"/>
                <w:bCs/>
                <w:kern w:val="0"/>
                <w:sz w:val="24"/>
              </w:rPr>
              <w:t>1.公司成立1年（含）以上；</w:t>
            </w:r>
          </w:p>
          <w:p>
            <w:pPr>
              <w:autoSpaceDE w:val="0"/>
              <w:autoSpaceDN w:val="0"/>
              <w:adjustRightInd w:val="0"/>
              <w:spacing w:line="360" w:lineRule="auto"/>
              <w:rPr>
                <w:rFonts w:ascii="宋体" w:hAnsi="宋体"/>
                <w:bCs/>
                <w:kern w:val="0"/>
                <w:sz w:val="24"/>
              </w:rPr>
            </w:pPr>
            <w:r>
              <w:rPr>
                <w:rFonts w:hint="eastAsia" w:ascii="宋体" w:hAnsi="宋体"/>
                <w:bCs/>
                <w:kern w:val="0"/>
                <w:sz w:val="24"/>
              </w:rPr>
              <w:t>2.近两年有政府采购中标记录且在河南省政府采购网备案。</w:t>
            </w:r>
          </w:p>
          <w:p>
            <w:pPr>
              <w:autoSpaceDE w:val="0"/>
              <w:autoSpaceDN w:val="0"/>
              <w:adjustRightInd w:val="0"/>
              <w:spacing w:line="360" w:lineRule="auto"/>
              <w:rPr>
                <w:rFonts w:ascii="宋体" w:hAnsi="宋体"/>
                <w:bCs/>
                <w:kern w:val="0"/>
                <w:sz w:val="24"/>
              </w:rPr>
            </w:pPr>
            <w:r>
              <w:rPr>
                <w:rFonts w:hint="eastAsia" w:ascii="宋体" w:hAnsi="宋体"/>
                <w:bCs/>
                <w:kern w:val="0"/>
                <w:sz w:val="24"/>
              </w:rPr>
              <w:t>二、采购标的准入标准</w:t>
            </w:r>
          </w:p>
          <w:p>
            <w:pPr>
              <w:autoSpaceDE w:val="0"/>
              <w:autoSpaceDN w:val="0"/>
              <w:adjustRightInd w:val="0"/>
              <w:spacing w:line="360" w:lineRule="auto"/>
              <w:rPr>
                <w:rFonts w:ascii="宋体" w:hAnsi="宋体"/>
                <w:bCs/>
                <w:kern w:val="0"/>
                <w:sz w:val="24"/>
              </w:rPr>
            </w:pPr>
            <w:r>
              <w:rPr>
                <w:rFonts w:hint="eastAsia" w:ascii="宋体" w:hAnsi="宋体"/>
                <w:bCs/>
                <w:kern w:val="0"/>
                <w:sz w:val="24"/>
              </w:rPr>
              <w:t>1.采购标的必须由县级（市、区）（含）以上政府负责采购；</w:t>
            </w:r>
          </w:p>
          <w:p>
            <w:pPr>
              <w:autoSpaceDE w:val="0"/>
              <w:autoSpaceDN w:val="0"/>
              <w:adjustRightInd w:val="0"/>
              <w:spacing w:line="360" w:lineRule="auto"/>
              <w:rPr>
                <w:rFonts w:ascii="宋体" w:hAnsi="宋体"/>
                <w:bCs/>
                <w:kern w:val="0"/>
                <w:sz w:val="24"/>
              </w:rPr>
            </w:pPr>
            <w:r>
              <w:rPr>
                <w:rFonts w:hint="eastAsia" w:ascii="宋体" w:hAnsi="宋体"/>
                <w:bCs/>
                <w:kern w:val="0"/>
                <w:sz w:val="24"/>
              </w:rPr>
              <w:t>2.采购标的仅限于货物类和服务类采购合同，不包括工程类合同。</w:t>
            </w:r>
          </w:p>
          <w:p>
            <w:pPr>
              <w:autoSpaceDE w:val="0"/>
              <w:autoSpaceDN w:val="0"/>
              <w:adjustRightInd w:val="0"/>
              <w:spacing w:line="360" w:lineRule="auto"/>
              <w:rPr>
                <w:rFonts w:ascii="宋体" w:hAnsi="宋体"/>
                <w:bCs/>
                <w:kern w:val="0"/>
                <w:sz w:val="24"/>
              </w:rPr>
            </w:pPr>
            <w:r>
              <w:rPr>
                <w:rFonts w:hint="eastAsia" w:ascii="宋体" w:hAnsi="宋体"/>
                <w:bCs/>
                <w:kern w:val="0"/>
                <w:sz w:val="24"/>
              </w:rPr>
              <w:t>三、融资要素</w:t>
            </w:r>
          </w:p>
          <w:p>
            <w:pPr>
              <w:autoSpaceDE w:val="0"/>
              <w:autoSpaceDN w:val="0"/>
              <w:adjustRightInd w:val="0"/>
              <w:spacing w:line="360" w:lineRule="auto"/>
              <w:rPr>
                <w:rFonts w:ascii="宋体" w:hAnsi="宋体"/>
                <w:bCs/>
                <w:kern w:val="0"/>
                <w:sz w:val="24"/>
              </w:rPr>
            </w:pPr>
            <w:r>
              <w:rPr>
                <w:rFonts w:hint="eastAsia" w:ascii="宋体" w:hAnsi="宋体"/>
                <w:bCs/>
                <w:kern w:val="0"/>
                <w:sz w:val="24"/>
              </w:rPr>
              <w:t>1.授信依据。以近两年在河南省政府采购网备案的合同为授信依据，授信额度为年均合同金额的70%，最高额度不超过500万元。</w:t>
            </w:r>
          </w:p>
          <w:p>
            <w:pPr>
              <w:autoSpaceDE w:val="0"/>
              <w:autoSpaceDN w:val="0"/>
              <w:adjustRightInd w:val="0"/>
              <w:spacing w:line="360" w:lineRule="auto"/>
              <w:rPr>
                <w:rFonts w:ascii="宋体" w:hAnsi="宋体"/>
                <w:bCs/>
                <w:kern w:val="0"/>
                <w:sz w:val="24"/>
              </w:rPr>
            </w:pPr>
            <w:r>
              <w:rPr>
                <w:rFonts w:hint="eastAsia" w:ascii="宋体" w:hAnsi="宋体"/>
                <w:bCs/>
                <w:kern w:val="0"/>
                <w:sz w:val="24"/>
              </w:rPr>
              <w:t>2.融资依据。以在河南省政府采购网备案的合同为融资依据，融资金额不超过备案合同总金额的90%。</w:t>
            </w:r>
          </w:p>
          <w:p>
            <w:pPr>
              <w:autoSpaceDE w:val="0"/>
              <w:autoSpaceDN w:val="0"/>
              <w:adjustRightInd w:val="0"/>
              <w:spacing w:line="360" w:lineRule="auto"/>
              <w:rPr>
                <w:rFonts w:ascii="宋体" w:hAnsi="宋体"/>
                <w:bCs/>
                <w:kern w:val="0"/>
                <w:sz w:val="24"/>
              </w:rPr>
            </w:pPr>
            <w:r>
              <w:rPr>
                <w:rFonts w:hint="eastAsia" w:ascii="宋体" w:hAnsi="宋体"/>
                <w:bCs/>
                <w:kern w:val="0"/>
                <w:sz w:val="24"/>
              </w:rPr>
              <w:t>3.融资期限。最长不超过1年。</w:t>
            </w:r>
          </w:p>
          <w:p>
            <w:pPr>
              <w:autoSpaceDE w:val="0"/>
              <w:autoSpaceDN w:val="0"/>
              <w:adjustRightInd w:val="0"/>
              <w:spacing w:line="360" w:lineRule="auto"/>
              <w:rPr>
                <w:rFonts w:ascii="宋体" w:hAnsi="宋体"/>
                <w:bCs/>
                <w:kern w:val="0"/>
                <w:sz w:val="24"/>
              </w:rPr>
            </w:pPr>
            <w:r>
              <w:rPr>
                <w:rFonts w:hint="eastAsia" w:ascii="宋体" w:hAnsi="宋体"/>
                <w:bCs/>
                <w:kern w:val="0"/>
                <w:sz w:val="24"/>
              </w:rPr>
              <w:t>4.贷款利率。采用固定利率，目前利率为3.85%。</w:t>
            </w:r>
          </w:p>
          <w:p>
            <w:pPr>
              <w:autoSpaceDE w:val="0"/>
              <w:autoSpaceDN w:val="0"/>
              <w:adjustRightInd w:val="0"/>
              <w:spacing w:line="360" w:lineRule="auto"/>
              <w:rPr>
                <w:rFonts w:ascii="宋体" w:hAnsi="宋体"/>
                <w:bCs/>
                <w:kern w:val="0"/>
                <w:sz w:val="24"/>
              </w:rPr>
            </w:pPr>
            <w:r>
              <w:rPr>
                <w:rFonts w:hint="eastAsia" w:ascii="宋体" w:hAnsi="宋体"/>
                <w:bCs/>
                <w:kern w:val="0"/>
                <w:sz w:val="24"/>
              </w:rPr>
              <w:t>5.担保方式。信用放款，追加应收账款质押。以融资的采购合同未来可形成的应收账款，由经营行在人民银行动产融资统一登记公示系统进行应收账款质押登记。</w:t>
            </w:r>
          </w:p>
          <w:p>
            <w:pPr>
              <w:autoSpaceDE w:val="0"/>
              <w:autoSpaceDN w:val="0"/>
              <w:adjustRightInd w:val="0"/>
              <w:spacing w:line="360" w:lineRule="auto"/>
              <w:rPr>
                <w:rFonts w:ascii="宋体" w:hAnsi="宋体"/>
                <w:bCs/>
                <w:kern w:val="0"/>
                <w:sz w:val="24"/>
              </w:rPr>
            </w:pPr>
            <w:r>
              <w:rPr>
                <w:rFonts w:hint="eastAsia" w:ascii="宋体" w:hAnsi="宋体"/>
                <w:bCs/>
                <w:kern w:val="0"/>
                <w:sz w:val="24"/>
              </w:rPr>
              <w:t>6.还款方式。一次性还本付息。</w:t>
            </w:r>
          </w:p>
          <w:p>
            <w:pPr>
              <w:autoSpaceDE w:val="0"/>
              <w:autoSpaceDN w:val="0"/>
              <w:adjustRightInd w:val="0"/>
              <w:spacing w:line="360" w:lineRule="auto"/>
              <w:rPr>
                <w:rFonts w:ascii="宋体" w:hAnsi="宋体"/>
                <w:bCs/>
                <w:kern w:val="0"/>
                <w:sz w:val="24"/>
              </w:rPr>
            </w:pPr>
            <w:r>
              <w:rPr>
                <w:rFonts w:hint="eastAsia" w:ascii="宋体" w:hAnsi="宋体"/>
                <w:bCs/>
                <w:kern w:val="0"/>
                <w:sz w:val="24"/>
              </w:rPr>
              <w:t>联系电话：王行长15836974469 张经理15290758588</w:t>
            </w:r>
          </w:p>
          <w:p>
            <w:pPr>
              <w:autoSpaceDE w:val="0"/>
              <w:autoSpaceDN w:val="0"/>
              <w:adjustRightInd w:val="0"/>
              <w:spacing w:line="360" w:lineRule="auto"/>
              <w:rPr>
                <w:rFonts w:asciiTheme="minorEastAsia" w:hAnsiTheme="minorEastAsia" w:eastAsiaTheme="minorEastAsia" w:cstheme="minorEastAsia"/>
                <w:bCs/>
                <w:sz w:val="24"/>
              </w:rPr>
            </w:pPr>
            <w:r>
              <w:rPr>
                <w:rFonts w:hint="eastAsia" w:ascii="宋体" w:hAnsi="宋体"/>
                <w:bCs/>
                <w:kern w:val="0"/>
                <w:sz w:val="24"/>
              </w:rPr>
              <w:t>曹经理15617360109</w:t>
            </w:r>
          </w:p>
        </w:tc>
      </w:tr>
      <w:tr>
        <w:tblPrEx>
          <w:tblCellMar>
            <w:top w:w="0" w:type="dxa"/>
            <w:left w:w="108" w:type="dxa"/>
            <w:bottom w:w="0" w:type="dxa"/>
            <w:right w:w="108" w:type="dxa"/>
          </w:tblCellMar>
        </w:tblPrEx>
        <w:trPr>
          <w:trHeight w:val="836"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w:t>
            </w:r>
            <w:r>
              <w:rPr>
                <w:rFonts w:asciiTheme="minorEastAsia" w:hAnsiTheme="minorEastAsia" w:eastAsiaTheme="minorEastAsia" w:cstheme="minorEastAsia"/>
                <w:b/>
                <w:bCs/>
                <w:sz w:val="24"/>
              </w:rPr>
              <w:t>0.10</w:t>
            </w:r>
          </w:p>
        </w:tc>
        <w:tc>
          <w:tcPr>
            <w:tcW w:w="15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69" w:line="420" w:lineRule="exact"/>
              <w:ind w:left="108" w:right="96"/>
              <w:jc w:val="center"/>
              <w:rPr>
                <w:rFonts w:ascii="宋体" w:hAnsi="宋体" w:cs="宋体"/>
                <w:b/>
                <w:sz w:val="24"/>
                <w:lang w:bidi="zh-CN"/>
              </w:rPr>
            </w:pPr>
            <w:r>
              <w:rPr>
                <w:rFonts w:hint="eastAsia" w:ascii="宋体" w:hAnsi="宋体" w:cs="宋体"/>
                <w:b/>
                <w:sz w:val="24"/>
                <w:lang w:bidi="zh-CN"/>
              </w:rPr>
              <w:t>标的所属行业</w:t>
            </w:r>
          </w:p>
        </w:tc>
        <w:tc>
          <w:tcPr>
            <w:tcW w:w="6340" w:type="dxa"/>
            <w:tcBorders>
              <w:top w:val="single" w:color="auto" w:sz="4" w:space="0"/>
              <w:left w:val="single" w:color="auto" w:sz="4" w:space="0"/>
              <w:bottom w:val="single" w:color="auto" w:sz="4" w:space="0"/>
              <w:right w:val="single" w:color="auto" w:sz="4" w:space="0"/>
            </w:tcBorders>
          </w:tcPr>
          <w:p>
            <w:pPr>
              <w:autoSpaceDE w:val="0"/>
              <w:autoSpaceDN w:val="0"/>
              <w:spacing w:before="69" w:line="420" w:lineRule="exact"/>
              <w:ind w:left="108" w:right="96"/>
              <w:rPr>
                <w:rFonts w:ascii="宋体" w:hAnsi="宋体" w:cs="宋体"/>
                <w:b/>
                <w:sz w:val="24"/>
                <w:lang w:bidi="zh-CN"/>
              </w:rPr>
            </w:pPr>
            <w:r>
              <w:rPr>
                <w:rFonts w:hint="eastAsia" w:ascii="宋体" w:hAnsi="宋体" w:cs="宋体"/>
                <w:b/>
                <w:sz w:val="24"/>
                <w:lang w:bidi="zh-CN"/>
              </w:rPr>
              <w:t>其他未列明行业</w:t>
            </w:r>
          </w:p>
        </w:tc>
      </w:tr>
      <w:tr>
        <w:tblPrEx>
          <w:tblCellMar>
            <w:top w:w="0" w:type="dxa"/>
            <w:left w:w="108" w:type="dxa"/>
            <w:bottom w:w="0" w:type="dxa"/>
            <w:right w:w="108" w:type="dxa"/>
          </w:tblCellMar>
        </w:tblPrEx>
        <w:trPr>
          <w:trHeight w:val="836"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10</w:t>
            </w:r>
            <w:r>
              <w:rPr>
                <w:rFonts w:asciiTheme="minorEastAsia" w:hAnsiTheme="minorEastAsia" w:eastAsiaTheme="minorEastAsia" w:cstheme="minorEastAsia"/>
                <w:b/>
                <w:bCs/>
                <w:sz w:val="24"/>
              </w:rPr>
              <w:t>.</w:t>
            </w:r>
            <w:r>
              <w:rPr>
                <w:rFonts w:hint="eastAsia" w:asciiTheme="minorEastAsia" w:hAnsiTheme="minorEastAsia" w:eastAsiaTheme="minorEastAsia" w:cstheme="minorEastAsia"/>
                <w:b/>
                <w:bCs/>
                <w:sz w:val="24"/>
              </w:rPr>
              <w:t>11</w:t>
            </w:r>
          </w:p>
        </w:tc>
        <w:tc>
          <w:tcPr>
            <w:tcW w:w="15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26" w:line="420" w:lineRule="exact"/>
              <w:ind w:left="108"/>
              <w:jc w:val="center"/>
              <w:rPr>
                <w:rFonts w:ascii="宋体" w:hAnsi="宋体" w:cs="宋体"/>
                <w:b/>
                <w:sz w:val="24"/>
                <w:lang w:val="zh-CN" w:bidi="zh-CN"/>
              </w:rPr>
            </w:pPr>
            <w:r>
              <w:rPr>
                <w:rFonts w:hint="eastAsia" w:ascii="宋体" w:hAnsi="宋体" w:cs="宋体"/>
                <w:b/>
                <w:sz w:val="24"/>
                <w:lang w:val="zh-CN" w:bidi="zh-CN"/>
              </w:rPr>
              <w:t>全流程电子化交易注意事项</w:t>
            </w:r>
          </w:p>
        </w:tc>
        <w:tc>
          <w:tcPr>
            <w:tcW w:w="6340" w:type="dxa"/>
            <w:tcBorders>
              <w:top w:val="single" w:color="auto" w:sz="4" w:space="0"/>
              <w:left w:val="single" w:color="auto" w:sz="4" w:space="0"/>
              <w:bottom w:val="single" w:color="auto" w:sz="4" w:space="0"/>
              <w:right w:val="single" w:color="auto" w:sz="4" w:space="0"/>
            </w:tcBorders>
          </w:tcPr>
          <w:p>
            <w:pPr>
              <w:autoSpaceDE w:val="0"/>
              <w:autoSpaceDN w:val="0"/>
              <w:spacing w:line="420" w:lineRule="exact"/>
              <w:rPr>
                <w:rFonts w:ascii="宋体" w:hAnsi="宋体" w:cs="宋体"/>
                <w:kern w:val="0"/>
                <w:sz w:val="24"/>
                <w:lang w:val="zh-CN" w:bidi="zh-CN"/>
              </w:rPr>
            </w:pPr>
            <w:r>
              <w:rPr>
                <w:rFonts w:hint="eastAsia" w:ascii="宋体" w:hAnsi="宋体" w:cs="宋体"/>
                <w:kern w:val="0"/>
                <w:sz w:val="24"/>
                <w:lang w:val="zh-CN" w:bidi="zh-CN"/>
              </w:rPr>
              <w:t xml:space="preserve">电子化交易项目投标文件是投标人、供应商（以下简称“投标人”）通过中心投标文件制作系统制作，并经过签章和加密后生成的电子版投标文件。（电子化投标文件具体制作教材请投标人通过 CA 证书登录公共资源电子化交易系统在右上角“组件下载”中查看）制作电子化投标文件，需仔细阅读以下条款。 </w:t>
            </w:r>
          </w:p>
          <w:p>
            <w:pPr>
              <w:autoSpaceDE w:val="0"/>
              <w:autoSpaceDN w:val="0"/>
              <w:spacing w:line="420" w:lineRule="exact"/>
              <w:rPr>
                <w:rFonts w:ascii="宋体" w:hAnsi="宋体" w:cs="宋体"/>
                <w:kern w:val="0"/>
                <w:sz w:val="24"/>
                <w:lang w:val="zh-CN" w:bidi="zh-CN"/>
              </w:rPr>
            </w:pPr>
            <w:r>
              <w:rPr>
                <w:rFonts w:hint="eastAsia" w:ascii="宋体" w:hAnsi="宋体" w:cs="宋体"/>
                <w:kern w:val="0"/>
                <w:sz w:val="24"/>
                <w:lang w:val="zh-CN" w:bidi="zh-CN"/>
              </w:rPr>
              <w:t xml:space="preserve"> （一）电子化投标文件的签章 </w:t>
            </w:r>
          </w:p>
          <w:p>
            <w:pPr>
              <w:autoSpaceDE w:val="0"/>
              <w:autoSpaceDN w:val="0"/>
              <w:spacing w:line="420" w:lineRule="exact"/>
              <w:rPr>
                <w:rFonts w:ascii="宋体" w:hAnsi="宋体" w:cs="宋体"/>
                <w:kern w:val="0"/>
                <w:sz w:val="24"/>
                <w:lang w:val="zh-CN" w:bidi="zh-CN"/>
              </w:rPr>
            </w:pPr>
            <w:r>
              <w:rPr>
                <w:rFonts w:hint="eastAsia" w:ascii="宋体" w:hAnsi="宋体" w:cs="宋体"/>
                <w:kern w:val="0"/>
                <w:sz w:val="24"/>
                <w:lang w:val="zh-CN" w:bidi="zh-CN"/>
              </w:rPr>
              <w:t xml:space="preserve">1、投标人在生成电子化投标文件后，应对电子化投标文件进行签章，未进行签章的视为无效投标。 </w:t>
            </w:r>
          </w:p>
          <w:p>
            <w:pPr>
              <w:autoSpaceDE w:val="0"/>
              <w:autoSpaceDN w:val="0"/>
              <w:spacing w:line="420" w:lineRule="exact"/>
              <w:rPr>
                <w:rFonts w:ascii="宋体" w:hAnsi="宋体" w:cs="宋体"/>
                <w:kern w:val="0"/>
                <w:sz w:val="24"/>
                <w:lang w:val="zh-CN" w:bidi="zh-CN"/>
              </w:rPr>
            </w:pPr>
            <w:r>
              <w:rPr>
                <w:rFonts w:hint="eastAsia" w:ascii="宋体" w:hAnsi="宋体" w:cs="宋体"/>
                <w:kern w:val="0"/>
                <w:sz w:val="24"/>
                <w:lang w:val="zh-CN" w:bidi="zh-CN"/>
              </w:rPr>
              <w:t xml:space="preserve">2、招标文件中要求法定代表人或授权委托人签字或盖章的，投标人在进行电子化投标文件签章时，以签盖法定代表人签章为准。电子化投标文件具体制作教材请投标人通过 CA 证书登录宝丰公共资源电子化交易系统在右上角“组建下载”中查看。 </w:t>
            </w:r>
          </w:p>
          <w:p>
            <w:pPr>
              <w:autoSpaceDE w:val="0"/>
              <w:autoSpaceDN w:val="0"/>
              <w:spacing w:line="420" w:lineRule="exact"/>
              <w:rPr>
                <w:rFonts w:ascii="宋体" w:hAnsi="宋体" w:cs="宋体"/>
                <w:kern w:val="0"/>
                <w:sz w:val="24"/>
                <w:lang w:val="zh-CN" w:bidi="zh-CN"/>
              </w:rPr>
            </w:pPr>
            <w:r>
              <w:rPr>
                <w:rFonts w:hint="eastAsia" w:ascii="宋体" w:hAnsi="宋体" w:cs="宋体"/>
                <w:kern w:val="0"/>
                <w:sz w:val="24"/>
                <w:lang w:val="zh-CN" w:bidi="zh-CN"/>
              </w:rPr>
              <w:t xml:space="preserve">（二）电子化投标文件的格式及上传投标 </w:t>
            </w:r>
          </w:p>
          <w:p>
            <w:pPr>
              <w:autoSpaceDE w:val="0"/>
              <w:autoSpaceDN w:val="0"/>
              <w:spacing w:line="420" w:lineRule="exact"/>
              <w:rPr>
                <w:rFonts w:ascii="宋体" w:hAnsi="宋体" w:cs="宋体"/>
                <w:kern w:val="0"/>
                <w:sz w:val="24"/>
                <w:lang w:val="zh-CN" w:bidi="zh-CN"/>
              </w:rPr>
            </w:pPr>
            <w:r>
              <w:rPr>
                <w:rFonts w:hint="eastAsia" w:ascii="宋体" w:hAnsi="宋体" w:cs="宋体"/>
                <w:kern w:val="0"/>
                <w:sz w:val="24"/>
                <w:lang w:val="zh-CN" w:bidi="zh-CN"/>
              </w:rPr>
              <w:t xml:space="preserve">1、投标人所上传的电子化投标文件，应是通过中心投标文件制作系统制作的，经过签章和加密后生成的电子版投标文件。生成的电子版投标文件包含用于投标文件上传的主文件（项目文件格式为：xxx 公司_ 项目名称.file）和用于应急补救的投标文件备份文件（项目文件格式为： xxx 公司_ 项目名称.bin），备份文件主要用于电子化开标出现技术问题后的补救，请投标人随身携带。 </w:t>
            </w:r>
          </w:p>
          <w:p>
            <w:pPr>
              <w:autoSpaceDE w:val="0"/>
              <w:autoSpaceDN w:val="0"/>
              <w:spacing w:line="420" w:lineRule="exact"/>
              <w:rPr>
                <w:rFonts w:ascii="宋体" w:hAnsi="宋体" w:cs="宋体"/>
                <w:kern w:val="0"/>
                <w:sz w:val="24"/>
                <w:lang w:val="zh-CN" w:bidi="zh-CN"/>
              </w:rPr>
            </w:pPr>
            <w:r>
              <w:rPr>
                <w:rFonts w:hint="eastAsia" w:ascii="宋体" w:hAnsi="宋体" w:cs="宋体"/>
                <w:kern w:val="0"/>
                <w:sz w:val="24"/>
                <w:lang w:val="zh-CN" w:bidi="zh-CN"/>
              </w:rPr>
              <w:t>注：（1）投标人投报多个标段的，根据标段制作各个标段的投标文件后上传 。</w:t>
            </w:r>
          </w:p>
          <w:p>
            <w:pPr>
              <w:autoSpaceDE w:val="0"/>
              <w:autoSpaceDN w:val="0"/>
              <w:spacing w:line="420" w:lineRule="exact"/>
              <w:rPr>
                <w:rFonts w:ascii="宋体" w:hAnsi="宋体" w:cs="宋体"/>
                <w:kern w:val="0"/>
                <w:sz w:val="24"/>
                <w:lang w:val="zh-CN" w:bidi="zh-CN"/>
              </w:rPr>
            </w:pPr>
            <w:r>
              <w:rPr>
                <w:rFonts w:hint="eastAsia" w:ascii="宋体" w:hAnsi="宋体" w:cs="宋体"/>
                <w:kern w:val="0"/>
                <w:sz w:val="24"/>
                <w:lang w:val="zh-CN" w:bidi="zh-CN"/>
              </w:rPr>
              <w:t xml:space="preserve">2、电子化投标文件应在投标截止时间前成功上传至宝丰公共资源电子化交易系统。至投标截止时间止，仍未上传成功的电子化投标文件将不予接收。 </w:t>
            </w:r>
          </w:p>
          <w:p>
            <w:pPr>
              <w:autoSpaceDE w:val="0"/>
              <w:autoSpaceDN w:val="0"/>
              <w:spacing w:line="420" w:lineRule="exact"/>
              <w:rPr>
                <w:rFonts w:ascii="宋体" w:hAnsi="宋体" w:cs="宋体"/>
                <w:kern w:val="0"/>
                <w:sz w:val="24"/>
                <w:lang w:val="zh-CN" w:bidi="zh-CN"/>
              </w:rPr>
            </w:pPr>
            <w:r>
              <w:rPr>
                <w:rFonts w:hint="eastAsia" w:ascii="宋体" w:hAnsi="宋体" w:cs="宋体"/>
                <w:kern w:val="0"/>
                <w:sz w:val="24"/>
                <w:lang w:val="zh-CN" w:bidi="zh-CN"/>
              </w:rPr>
              <w:t xml:space="preserve">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 </w:t>
            </w:r>
          </w:p>
          <w:p>
            <w:pPr>
              <w:autoSpaceDE w:val="0"/>
              <w:autoSpaceDN w:val="0"/>
              <w:spacing w:line="420" w:lineRule="exact"/>
              <w:rPr>
                <w:rFonts w:ascii="宋体" w:hAnsi="宋体" w:cs="宋体"/>
                <w:kern w:val="0"/>
                <w:sz w:val="24"/>
                <w:lang w:val="zh-CN" w:bidi="zh-CN"/>
              </w:rPr>
            </w:pPr>
            <w:r>
              <w:rPr>
                <w:rFonts w:hint="eastAsia" w:ascii="宋体" w:hAnsi="宋体" w:cs="宋体"/>
                <w:kern w:val="0"/>
                <w:sz w:val="24"/>
                <w:lang w:val="zh-CN" w:bidi="zh-CN"/>
              </w:rPr>
              <w:t xml:space="preserve">（三）电子化项目开标、解密、唱标、评标 </w:t>
            </w:r>
          </w:p>
          <w:p>
            <w:pPr>
              <w:autoSpaceDE w:val="0"/>
              <w:autoSpaceDN w:val="0"/>
              <w:spacing w:line="420" w:lineRule="exact"/>
              <w:rPr>
                <w:rFonts w:ascii="宋体" w:hAnsi="宋体" w:cs="宋体"/>
                <w:kern w:val="0"/>
                <w:sz w:val="24"/>
                <w:lang w:val="zh-CN" w:bidi="zh-CN"/>
              </w:rPr>
            </w:pPr>
            <w:r>
              <w:rPr>
                <w:rFonts w:hint="eastAsia" w:ascii="宋体" w:hAnsi="宋体" w:cs="宋体"/>
                <w:kern w:val="0"/>
                <w:sz w:val="24"/>
                <w:lang w:val="zh-CN" w:bidi="zh-CN"/>
              </w:rPr>
              <w:t xml:space="preserve">1、电子化投标文件采用双重加密方式。开标时，首先由投标人使用 CA 证书，在规定时间内对其电子化投标文件进行首次解密，投标人解密完成后，再由招标代理机构使用 CA 证书对投标文件进行再次解密。 </w:t>
            </w:r>
          </w:p>
          <w:p>
            <w:pPr>
              <w:autoSpaceDE w:val="0"/>
              <w:autoSpaceDN w:val="0"/>
              <w:spacing w:line="420" w:lineRule="exact"/>
              <w:rPr>
                <w:rFonts w:ascii="宋体" w:hAnsi="宋体" w:cs="宋体"/>
                <w:kern w:val="0"/>
                <w:sz w:val="24"/>
                <w:lang w:val="zh-CN" w:bidi="zh-CN"/>
              </w:rPr>
            </w:pPr>
            <w:r>
              <w:rPr>
                <w:rFonts w:hint="eastAsia" w:ascii="宋体" w:hAnsi="宋体" w:cs="宋体"/>
                <w:kern w:val="0"/>
                <w:sz w:val="24"/>
                <w:lang w:val="zh-CN" w:bidi="zh-CN"/>
              </w:rPr>
              <w:t xml:space="preserve">2、电子化投标文件解密异常的处理 </w:t>
            </w:r>
          </w:p>
          <w:p>
            <w:pPr>
              <w:autoSpaceDE w:val="0"/>
              <w:autoSpaceDN w:val="0"/>
              <w:spacing w:line="420" w:lineRule="exact"/>
              <w:rPr>
                <w:rFonts w:ascii="宋体" w:hAnsi="宋体" w:cs="宋体"/>
                <w:kern w:val="0"/>
                <w:sz w:val="24"/>
                <w:lang w:val="zh-CN" w:bidi="zh-CN"/>
              </w:rPr>
            </w:pPr>
            <w:r>
              <w:rPr>
                <w:rFonts w:hint="eastAsia" w:ascii="宋体" w:hAnsi="宋体" w:cs="宋体"/>
                <w:kern w:val="0"/>
                <w:sz w:val="24"/>
                <w:lang w:val="zh-CN" w:bidi="zh-CN"/>
              </w:rPr>
              <w:t xml:space="preserve">如出现投标人的电子投标文件无法解密的情况，投标人应及时联系招标代理机构说明。投标文件解密异常，按以下步骤进行处理： </w:t>
            </w:r>
          </w:p>
          <w:p>
            <w:pPr>
              <w:autoSpaceDE w:val="0"/>
              <w:autoSpaceDN w:val="0"/>
              <w:spacing w:line="420" w:lineRule="exact"/>
              <w:rPr>
                <w:rFonts w:ascii="宋体" w:hAnsi="宋体" w:cs="宋体"/>
                <w:kern w:val="0"/>
                <w:sz w:val="24"/>
                <w:lang w:val="zh-CN" w:bidi="zh-CN"/>
              </w:rPr>
            </w:pPr>
            <w:r>
              <w:rPr>
                <w:rFonts w:hint="eastAsia" w:ascii="宋体" w:hAnsi="宋体" w:cs="宋体"/>
                <w:kern w:val="0"/>
                <w:sz w:val="24"/>
                <w:lang w:val="zh-CN" w:bidi="zh-CN"/>
              </w:rPr>
              <w:t xml:space="preserve">首先由技术人员进行问题排查。 </w:t>
            </w:r>
          </w:p>
          <w:p>
            <w:pPr>
              <w:autoSpaceDE w:val="0"/>
              <w:autoSpaceDN w:val="0"/>
              <w:spacing w:line="420" w:lineRule="exact"/>
              <w:rPr>
                <w:rFonts w:ascii="宋体" w:hAnsi="宋体" w:cs="宋体"/>
                <w:kern w:val="0"/>
                <w:sz w:val="24"/>
                <w:lang w:val="zh-CN" w:bidi="zh-CN"/>
              </w:rPr>
            </w:pPr>
            <w:r>
              <w:rPr>
                <w:rFonts w:hint="eastAsia" w:ascii="宋体" w:hAnsi="宋体" w:cs="宋体"/>
                <w:kern w:val="0"/>
                <w:sz w:val="24"/>
                <w:lang w:val="zh-CN" w:bidi="zh-CN"/>
              </w:rPr>
              <w:t xml:space="preserve">经技术人员排查后，是投标人文件自身问题导致投标文件无法解密的，该投标文件将不 予接收、解密和唱标，开标会议继续进行。 </w:t>
            </w:r>
          </w:p>
          <w:p>
            <w:pPr>
              <w:autoSpaceDE w:val="0"/>
              <w:autoSpaceDN w:val="0"/>
              <w:spacing w:line="420" w:lineRule="exact"/>
              <w:rPr>
                <w:rFonts w:ascii="宋体" w:hAnsi="宋体" w:cs="宋体"/>
                <w:kern w:val="0"/>
                <w:sz w:val="24"/>
                <w:lang w:val="zh-CN" w:bidi="zh-CN"/>
              </w:rPr>
            </w:pPr>
            <w:r>
              <w:rPr>
                <w:rFonts w:hint="eastAsia" w:ascii="宋体" w:hAnsi="宋体" w:cs="宋体"/>
                <w:kern w:val="0"/>
                <w:sz w:val="24"/>
                <w:lang w:val="zh-CN" w:bidi="zh-CN"/>
              </w:rPr>
              <w:t xml:space="preserve">经技术人员排查后，如果是电子化交易系统问题造成投标文件无法解密的，将由技术人 员对问题进行处理。如短时间内问题无法解决的，将由招标代理机构向监督部门申请，经监督部门同意后，暂停开标会议，待问题解决后继续开标。 </w:t>
            </w:r>
          </w:p>
          <w:p>
            <w:pPr>
              <w:autoSpaceDE w:val="0"/>
              <w:autoSpaceDN w:val="0"/>
              <w:spacing w:line="420" w:lineRule="exact"/>
              <w:rPr>
                <w:rFonts w:ascii="宋体" w:hAnsi="宋体" w:cs="宋体"/>
                <w:kern w:val="0"/>
                <w:sz w:val="24"/>
                <w:lang w:val="zh-CN" w:bidi="zh-CN"/>
              </w:rPr>
            </w:pPr>
            <w:r>
              <w:rPr>
                <w:rFonts w:hint="eastAsia" w:ascii="宋体" w:hAnsi="宋体" w:cs="宋体"/>
                <w:kern w:val="0"/>
                <w:sz w:val="24"/>
                <w:lang w:val="zh-CN" w:bidi="zh-CN"/>
              </w:rPr>
              <w:t xml:space="preserve">3、待所有投标人投标文件解密完成后，由招标代理机构操作，对所有已解密投标文件进行唱标。 </w:t>
            </w:r>
          </w:p>
          <w:p>
            <w:pPr>
              <w:autoSpaceDE w:val="0"/>
              <w:autoSpaceDN w:val="0"/>
              <w:spacing w:line="420" w:lineRule="exact"/>
              <w:rPr>
                <w:rFonts w:ascii="宋体" w:hAnsi="宋体" w:cs="宋体"/>
                <w:kern w:val="0"/>
                <w:sz w:val="24"/>
                <w:lang w:val="zh-CN" w:bidi="zh-CN"/>
              </w:rPr>
            </w:pPr>
            <w:r>
              <w:rPr>
                <w:rFonts w:hint="eastAsia" w:ascii="宋体" w:hAnsi="宋体" w:cs="宋体"/>
                <w:kern w:val="0"/>
                <w:sz w:val="24"/>
                <w:lang w:val="zh-CN" w:bidi="zh-CN"/>
              </w:rPr>
              <w:t xml:space="preserve">4、评标时，评标委员会对电子化投标文件有质疑的，将通过电子化交易系统对投标人发起质疑。质疑回复内容确认后，投标人的回复文件必须以经过投标人和其法定代表人签章的 PDF 格式文件为准，并通过电子化交易系统提交至评标委员会。 </w:t>
            </w:r>
          </w:p>
          <w:p>
            <w:pPr>
              <w:autoSpaceDE w:val="0"/>
              <w:autoSpaceDN w:val="0"/>
              <w:spacing w:line="420" w:lineRule="exact"/>
              <w:rPr>
                <w:rFonts w:ascii="宋体" w:hAnsi="宋体" w:cs="宋体"/>
                <w:kern w:val="0"/>
                <w:sz w:val="24"/>
                <w:lang w:val="zh-CN" w:bidi="zh-CN"/>
              </w:rPr>
            </w:pPr>
            <w:r>
              <w:rPr>
                <w:rFonts w:hint="eastAsia" w:ascii="宋体" w:hAnsi="宋体" w:cs="宋体"/>
                <w:kern w:val="0"/>
                <w:sz w:val="24"/>
                <w:lang w:val="zh-CN" w:bidi="zh-CN"/>
              </w:rPr>
              <w:t xml:space="preserve">5、如评标委员会对需要回复的投标人回复内容有异议的，经过几次回复仍不清楚的，需在监督下进行免提电话进行质疑。 </w:t>
            </w:r>
          </w:p>
          <w:p>
            <w:pPr>
              <w:autoSpaceDE w:val="0"/>
              <w:autoSpaceDN w:val="0"/>
              <w:spacing w:line="420" w:lineRule="exact"/>
              <w:rPr>
                <w:rFonts w:ascii="宋体" w:hAnsi="宋体" w:cs="宋体"/>
                <w:kern w:val="0"/>
                <w:sz w:val="24"/>
                <w:lang w:val="zh-CN" w:bidi="zh-CN"/>
              </w:rPr>
            </w:pPr>
            <w:r>
              <w:rPr>
                <w:rFonts w:hint="eastAsia" w:ascii="宋体" w:hAnsi="宋体" w:cs="宋体"/>
                <w:kern w:val="0"/>
                <w:sz w:val="24"/>
                <w:lang w:val="zh-CN" w:bidi="zh-CN"/>
              </w:rPr>
              <w:t xml:space="preserve">6、评标时如因系统异常、停电、电脑病毒、网络堵塞等原因无法正常进行的，由技术人员排查解决，短时间无法解决的，经监督部门同意后，暂停评标活动，待问题解决后继续评标。 </w:t>
            </w:r>
          </w:p>
          <w:p>
            <w:pPr>
              <w:autoSpaceDE w:val="0"/>
              <w:autoSpaceDN w:val="0"/>
              <w:spacing w:line="420" w:lineRule="exact"/>
              <w:rPr>
                <w:rFonts w:ascii="宋体" w:hAnsi="宋体" w:cs="宋体"/>
                <w:kern w:val="0"/>
                <w:sz w:val="24"/>
                <w:lang w:val="zh-CN" w:bidi="zh-CN"/>
              </w:rPr>
            </w:pPr>
            <w:r>
              <w:rPr>
                <w:rFonts w:hint="eastAsia" w:ascii="宋体" w:hAnsi="宋体" w:cs="宋体"/>
                <w:b/>
                <w:bCs/>
                <w:kern w:val="0"/>
                <w:sz w:val="24"/>
                <w:lang w:val="zh-CN" w:bidi="zh-CN"/>
              </w:rPr>
              <w:t xml:space="preserve">注：投标人在开标当天造成的开标现场无法解密致使无法投标的，由投标人自行承担。 </w:t>
            </w:r>
          </w:p>
        </w:tc>
      </w:tr>
    </w:tbl>
    <w:p>
      <w:pPr>
        <w:pStyle w:val="55"/>
        <w:sectPr>
          <w:headerReference r:id="rId4" w:type="default"/>
          <w:footerReference r:id="rId5" w:type="default"/>
          <w:pgSz w:w="11906" w:h="16838"/>
          <w:pgMar w:top="1440" w:right="1416" w:bottom="1440" w:left="1803" w:header="851" w:footer="992" w:gutter="0"/>
          <w:cols w:space="720" w:num="1"/>
          <w:titlePg/>
          <w:docGrid w:type="lines" w:linePitch="312" w:charSpace="0"/>
        </w:sectPr>
      </w:pPr>
      <w:bookmarkStart w:id="47" w:name="_Toc152045529"/>
      <w:bookmarkStart w:id="48" w:name="_Toc152042305"/>
      <w:bookmarkStart w:id="49" w:name="_Toc144974497"/>
    </w:p>
    <w:p>
      <w:pPr>
        <w:pStyle w:val="55"/>
        <w:jc w:val="center"/>
        <w:rPr>
          <w:rFonts w:ascii="宋体" w:hAnsi="宋体" w:eastAsia="宋体"/>
          <w:b/>
        </w:rPr>
      </w:pPr>
      <w:bookmarkStart w:id="50" w:name="_Toc116314080"/>
      <w:bookmarkStart w:id="51" w:name="_Toc27504"/>
      <w:bookmarkStart w:id="52" w:name="_Toc489430827"/>
      <w:bookmarkStart w:id="53" w:name="_Toc489430467"/>
      <w:r>
        <w:rPr>
          <w:rFonts w:hint="eastAsia" w:ascii="宋体" w:hAnsi="宋体" w:eastAsia="宋体"/>
          <w:b/>
        </w:rPr>
        <w:t>投标人须知正文</w:t>
      </w:r>
      <w:bookmarkEnd w:id="50"/>
    </w:p>
    <w:p>
      <w:pPr>
        <w:pStyle w:val="55"/>
        <w:rPr>
          <w:rFonts w:ascii="宋体" w:hAnsi="宋体" w:eastAsia="宋体"/>
          <w:b/>
        </w:rPr>
      </w:pPr>
      <w:bookmarkStart w:id="54" w:name="_Toc116314081"/>
      <w:r>
        <w:rPr>
          <w:rFonts w:hint="eastAsia" w:ascii="宋体" w:hAnsi="宋体" w:eastAsia="宋体"/>
          <w:b/>
        </w:rPr>
        <w:t>1. 总则</w:t>
      </w:r>
      <w:bookmarkEnd w:id="47"/>
      <w:bookmarkEnd w:id="48"/>
      <w:bookmarkEnd w:id="49"/>
      <w:bookmarkEnd w:id="51"/>
      <w:bookmarkEnd w:id="52"/>
      <w:bookmarkEnd w:id="53"/>
      <w:bookmarkEnd w:id="54"/>
    </w:p>
    <w:p>
      <w:pPr>
        <w:pStyle w:val="56"/>
        <w:spacing w:line="360" w:lineRule="auto"/>
        <w:rPr>
          <w:rFonts w:ascii="宋体" w:hAnsi="宋体" w:eastAsia="宋体"/>
          <w:b/>
        </w:rPr>
      </w:pPr>
      <w:bookmarkStart w:id="55" w:name="_Toc12270"/>
      <w:bookmarkStart w:id="56" w:name="_Toc144974498"/>
      <w:bookmarkStart w:id="57" w:name="_Toc116314082"/>
      <w:bookmarkStart w:id="58" w:name="_Toc407219588"/>
      <w:bookmarkStart w:id="59" w:name="_Toc152045530"/>
      <w:bookmarkStart w:id="60" w:name="_Toc489430828"/>
      <w:bookmarkStart w:id="61" w:name="_Toc427583658"/>
      <w:bookmarkStart w:id="62" w:name="_Toc427580045"/>
      <w:bookmarkStart w:id="63" w:name="_Toc489430468"/>
      <w:bookmarkStart w:id="64" w:name="_Toc259605228"/>
      <w:bookmarkStart w:id="65" w:name="_Toc152042306"/>
      <w:r>
        <w:rPr>
          <w:rFonts w:hint="eastAsia" w:ascii="宋体" w:hAnsi="宋体" w:eastAsia="宋体"/>
          <w:b/>
        </w:rPr>
        <w:t>1.1 项目概况</w:t>
      </w:r>
      <w:bookmarkEnd w:id="55"/>
      <w:bookmarkEnd w:id="56"/>
      <w:bookmarkEnd w:id="57"/>
      <w:bookmarkEnd w:id="58"/>
      <w:bookmarkEnd w:id="59"/>
      <w:bookmarkEnd w:id="60"/>
      <w:bookmarkEnd w:id="61"/>
      <w:bookmarkEnd w:id="62"/>
      <w:bookmarkEnd w:id="63"/>
      <w:bookmarkEnd w:id="64"/>
      <w:bookmarkEnd w:id="65"/>
    </w:p>
    <w:p>
      <w:pPr>
        <w:spacing w:line="360" w:lineRule="auto"/>
        <w:ind w:firstLine="480" w:firstLineChars="200"/>
        <w:rPr>
          <w:rFonts w:ascii="宋体" w:hAnsi="宋体"/>
          <w:sz w:val="24"/>
        </w:rPr>
      </w:pPr>
      <w:r>
        <w:rPr>
          <w:rFonts w:hint="eastAsia" w:ascii="宋体" w:hAnsi="宋体"/>
          <w:sz w:val="24"/>
        </w:rPr>
        <w:t>1.1.1根据《中华人民共和国招标投标法》等有关法律、法规和规章的规定，本招标项目已具备招标条件，现对本招标项目进行招标。</w:t>
      </w:r>
    </w:p>
    <w:p>
      <w:pPr>
        <w:spacing w:line="360" w:lineRule="auto"/>
        <w:ind w:firstLine="480" w:firstLineChars="200"/>
        <w:rPr>
          <w:rFonts w:ascii="宋体" w:hAnsi="宋体"/>
          <w:sz w:val="24"/>
        </w:rPr>
      </w:pPr>
      <w:r>
        <w:rPr>
          <w:rFonts w:hint="eastAsia" w:ascii="宋体" w:hAnsi="宋体"/>
          <w:sz w:val="24"/>
        </w:rPr>
        <w:t>1.1.2 本招标项目招标人：见投标人须知前附表。</w:t>
      </w:r>
    </w:p>
    <w:p>
      <w:pPr>
        <w:spacing w:line="360" w:lineRule="auto"/>
        <w:ind w:firstLine="480" w:firstLineChars="200"/>
        <w:rPr>
          <w:rFonts w:ascii="宋体" w:hAnsi="宋体"/>
          <w:sz w:val="24"/>
        </w:rPr>
      </w:pPr>
      <w:r>
        <w:rPr>
          <w:rFonts w:hint="eastAsia" w:ascii="宋体" w:hAnsi="宋体"/>
          <w:sz w:val="24"/>
        </w:rPr>
        <w:t>1.1.3 本招标项目招标代理机构：见投标人须知前附表。</w:t>
      </w:r>
    </w:p>
    <w:p>
      <w:pPr>
        <w:spacing w:line="360" w:lineRule="auto"/>
        <w:ind w:firstLine="480" w:firstLineChars="200"/>
        <w:rPr>
          <w:rFonts w:ascii="宋体" w:hAnsi="宋体"/>
          <w:sz w:val="24"/>
        </w:rPr>
      </w:pPr>
      <w:r>
        <w:rPr>
          <w:rFonts w:hint="eastAsia" w:ascii="宋体" w:hAnsi="宋体"/>
          <w:sz w:val="24"/>
        </w:rPr>
        <w:t>1.1.4 本招标项目名称：见投标人须知前附表。</w:t>
      </w:r>
    </w:p>
    <w:p>
      <w:pPr>
        <w:spacing w:line="360" w:lineRule="auto"/>
        <w:ind w:firstLine="480" w:firstLineChars="200"/>
        <w:rPr>
          <w:rFonts w:ascii="宋体" w:hAnsi="宋体"/>
          <w:sz w:val="24"/>
        </w:rPr>
      </w:pPr>
      <w:r>
        <w:rPr>
          <w:rFonts w:hint="eastAsia" w:ascii="宋体" w:hAnsi="宋体"/>
          <w:sz w:val="24"/>
        </w:rPr>
        <w:t>1.1.5 本招标项目建设地点：见投标人须知前附表。</w:t>
      </w:r>
    </w:p>
    <w:p>
      <w:pPr>
        <w:pStyle w:val="56"/>
        <w:spacing w:line="360" w:lineRule="auto"/>
        <w:rPr>
          <w:rFonts w:ascii="宋体" w:hAnsi="宋体" w:eastAsia="宋体"/>
          <w:b/>
          <w:szCs w:val="24"/>
        </w:rPr>
      </w:pPr>
      <w:bookmarkStart w:id="66" w:name="_Toc116314083"/>
      <w:bookmarkStart w:id="67" w:name="_Toc407219589"/>
      <w:bookmarkStart w:id="68" w:name="_Toc144974499"/>
      <w:bookmarkStart w:id="69" w:name="_Toc427580046"/>
      <w:bookmarkStart w:id="70" w:name="_Toc489430469"/>
      <w:bookmarkStart w:id="71" w:name="_Toc152045531"/>
      <w:bookmarkStart w:id="72" w:name="_Toc427583659"/>
      <w:bookmarkStart w:id="73" w:name="_Toc4964"/>
      <w:bookmarkStart w:id="74" w:name="_Toc152042307"/>
      <w:bookmarkStart w:id="75" w:name="_Toc259605229"/>
      <w:bookmarkStart w:id="76" w:name="_Toc489430829"/>
      <w:r>
        <w:rPr>
          <w:rFonts w:hint="eastAsia" w:ascii="宋体" w:hAnsi="宋体" w:eastAsia="宋体"/>
          <w:b/>
          <w:szCs w:val="24"/>
        </w:rPr>
        <w:t>1.2 资金来源和落实情况</w:t>
      </w:r>
      <w:bookmarkEnd w:id="66"/>
      <w:bookmarkEnd w:id="67"/>
      <w:bookmarkEnd w:id="68"/>
      <w:bookmarkEnd w:id="69"/>
      <w:bookmarkEnd w:id="70"/>
      <w:bookmarkEnd w:id="71"/>
      <w:bookmarkEnd w:id="72"/>
      <w:bookmarkEnd w:id="73"/>
      <w:bookmarkEnd w:id="74"/>
      <w:bookmarkEnd w:id="75"/>
      <w:bookmarkEnd w:id="76"/>
    </w:p>
    <w:p>
      <w:pPr>
        <w:spacing w:line="360" w:lineRule="auto"/>
        <w:ind w:firstLine="480" w:firstLineChars="200"/>
        <w:rPr>
          <w:rFonts w:ascii="宋体" w:hAnsi="宋体"/>
          <w:sz w:val="24"/>
        </w:rPr>
      </w:pPr>
      <w:r>
        <w:rPr>
          <w:rFonts w:hint="eastAsia" w:ascii="宋体" w:hAnsi="宋体"/>
          <w:sz w:val="24"/>
        </w:rPr>
        <w:t>1.2.1 本招标项目的资金来源：见投标人须知前附表。</w:t>
      </w:r>
    </w:p>
    <w:p>
      <w:pPr>
        <w:spacing w:line="360" w:lineRule="auto"/>
        <w:ind w:firstLine="480" w:firstLineChars="200"/>
        <w:rPr>
          <w:rFonts w:ascii="宋体" w:hAnsi="宋体"/>
          <w:sz w:val="24"/>
        </w:rPr>
      </w:pPr>
      <w:r>
        <w:rPr>
          <w:rFonts w:hint="eastAsia" w:ascii="宋体" w:hAnsi="宋体"/>
          <w:sz w:val="24"/>
        </w:rPr>
        <w:t>1.2.2 本招标项目的资金落实情况：见投标人须知前附表。</w:t>
      </w:r>
    </w:p>
    <w:p>
      <w:pPr>
        <w:pStyle w:val="56"/>
        <w:spacing w:line="360" w:lineRule="auto"/>
        <w:rPr>
          <w:rFonts w:ascii="宋体" w:hAnsi="宋体" w:eastAsia="宋体"/>
          <w:b/>
          <w:szCs w:val="24"/>
        </w:rPr>
      </w:pPr>
      <w:bookmarkStart w:id="77" w:name="_Toc144974500"/>
      <w:bookmarkStart w:id="78" w:name="_Toc259605230"/>
      <w:bookmarkStart w:id="79" w:name="_Toc152045532"/>
      <w:bookmarkStart w:id="80" w:name="_Toc152042308"/>
      <w:bookmarkStart w:id="81" w:name="_Toc427580047"/>
      <w:bookmarkStart w:id="82" w:name="_Toc407219590"/>
      <w:bookmarkStart w:id="83" w:name="_Toc427583660"/>
      <w:bookmarkStart w:id="84" w:name="_Toc489430830"/>
      <w:bookmarkStart w:id="85" w:name="_Toc489430470"/>
      <w:bookmarkStart w:id="86" w:name="_Toc21729"/>
      <w:bookmarkStart w:id="87" w:name="_Toc116314084"/>
      <w:r>
        <w:rPr>
          <w:rFonts w:hint="eastAsia" w:ascii="宋体" w:hAnsi="宋体" w:eastAsia="宋体"/>
          <w:b/>
          <w:szCs w:val="24"/>
        </w:rPr>
        <w:t>1.3 招标范围</w:t>
      </w:r>
      <w:bookmarkEnd w:id="77"/>
      <w:bookmarkEnd w:id="78"/>
      <w:bookmarkEnd w:id="79"/>
      <w:bookmarkEnd w:id="80"/>
      <w:r>
        <w:rPr>
          <w:rFonts w:hint="eastAsia" w:ascii="宋体" w:hAnsi="宋体" w:eastAsia="宋体"/>
          <w:b/>
          <w:szCs w:val="24"/>
        </w:rPr>
        <w:t>、监理服务期限和</w:t>
      </w:r>
      <w:bookmarkEnd w:id="81"/>
      <w:bookmarkEnd w:id="82"/>
      <w:bookmarkEnd w:id="83"/>
      <w:bookmarkEnd w:id="84"/>
      <w:bookmarkEnd w:id="85"/>
      <w:bookmarkEnd w:id="86"/>
      <w:r>
        <w:rPr>
          <w:rFonts w:hint="eastAsia" w:ascii="宋体" w:hAnsi="宋体" w:eastAsia="宋体"/>
          <w:b/>
          <w:szCs w:val="24"/>
        </w:rPr>
        <w:t>质量</w:t>
      </w:r>
      <w:bookmarkEnd w:id="87"/>
    </w:p>
    <w:p>
      <w:pPr>
        <w:spacing w:line="360" w:lineRule="auto"/>
        <w:ind w:firstLine="480" w:firstLineChars="200"/>
        <w:rPr>
          <w:rFonts w:ascii="宋体" w:hAnsi="宋体"/>
          <w:sz w:val="24"/>
        </w:rPr>
      </w:pPr>
      <w:r>
        <w:rPr>
          <w:rFonts w:hint="eastAsia" w:ascii="宋体" w:hAnsi="宋体"/>
          <w:sz w:val="24"/>
        </w:rPr>
        <w:t>1.3.1 本工程监理招标范围：见投标人须知前附表。</w:t>
      </w:r>
    </w:p>
    <w:p>
      <w:pPr>
        <w:pStyle w:val="68"/>
        <w:numPr>
          <w:ilvl w:val="2"/>
          <w:numId w:val="3"/>
        </w:numPr>
        <w:spacing w:line="360" w:lineRule="auto"/>
        <w:ind w:firstLineChars="0"/>
        <w:rPr>
          <w:rFonts w:ascii="宋体" w:hAnsi="宋体"/>
          <w:sz w:val="24"/>
        </w:rPr>
      </w:pPr>
      <w:r>
        <w:rPr>
          <w:rFonts w:hint="eastAsia" w:ascii="宋体" w:hAnsi="宋体"/>
          <w:sz w:val="24"/>
        </w:rPr>
        <w:t>本项目的监理期限：见投标人须知前附表。</w:t>
      </w:r>
    </w:p>
    <w:p>
      <w:pPr>
        <w:spacing w:line="360" w:lineRule="auto"/>
        <w:ind w:firstLine="480" w:firstLineChars="200"/>
        <w:rPr>
          <w:rFonts w:ascii="宋体" w:hAnsi="宋体" w:cs="宋体"/>
          <w:sz w:val="24"/>
        </w:rPr>
      </w:pPr>
      <w:r>
        <w:rPr>
          <w:rFonts w:hint="eastAsia" w:ascii="宋体" w:hAnsi="宋体" w:cs="宋体"/>
          <w:sz w:val="24"/>
        </w:rPr>
        <w:t>1.3.3 本项目的质量：见投标人须知前附表。</w:t>
      </w:r>
    </w:p>
    <w:p>
      <w:pPr>
        <w:pStyle w:val="56"/>
        <w:spacing w:line="360" w:lineRule="auto"/>
        <w:rPr>
          <w:rFonts w:ascii="宋体" w:hAnsi="宋体" w:eastAsia="宋体"/>
          <w:b/>
          <w:szCs w:val="24"/>
        </w:rPr>
      </w:pPr>
      <w:bookmarkStart w:id="88" w:name="_Toc407219591"/>
      <w:bookmarkStart w:id="89" w:name="_Toc489430471"/>
      <w:bookmarkStart w:id="90" w:name="_Toc152045534"/>
      <w:bookmarkStart w:id="91" w:name="_Toc489430831"/>
      <w:bookmarkStart w:id="92" w:name="_Toc427583661"/>
      <w:bookmarkStart w:id="93" w:name="_Toc259605232"/>
      <w:bookmarkStart w:id="94" w:name="_Toc152042310"/>
      <w:bookmarkStart w:id="95" w:name="_Toc427580048"/>
      <w:bookmarkStart w:id="96" w:name="_Toc116314085"/>
      <w:bookmarkStart w:id="97" w:name="_Toc144974502"/>
      <w:bookmarkStart w:id="98" w:name="_Toc4283"/>
      <w:r>
        <w:rPr>
          <w:rFonts w:hint="eastAsia" w:ascii="宋体" w:hAnsi="宋体" w:eastAsia="宋体"/>
          <w:b/>
          <w:szCs w:val="24"/>
        </w:rPr>
        <w:t>1.4 投标人资格要求</w:t>
      </w:r>
      <w:bookmarkEnd w:id="88"/>
      <w:bookmarkEnd w:id="89"/>
      <w:bookmarkEnd w:id="90"/>
      <w:bookmarkEnd w:id="91"/>
      <w:bookmarkEnd w:id="92"/>
      <w:bookmarkEnd w:id="93"/>
      <w:bookmarkEnd w:id="94"/>
      <w:bookmarkEnd w:id="95"/>
      <w:bookmarkEnd w:id="96"/>
      <w:bookmarkEnd w:id="97"/>
      <w:bookmarkEnd w:id="98"/>
    </w:p>
    <w:p>
      <w:pPr>
        <w:spacing w:line="360" w:lineRule="auto"/>
        <w:ind w:firstLine="480" w:firstLineChars="200"/>
        <w:rPr>
          <w:rFonts w:ascii="宋体" w:hAnsi="宋体"/>
          <w:sz w:val="24"/>
        </w:rPr>
      </w:pPr>
      <w:r>
        <w:rPr>
          <w:rFonts w:hint="eastAsia" w:ascii="宋体" w:hAnsi="宋体"/>
          <w:sz w:val="24"/>
        </w:rPr>
        <w:t>1.4.1</w:t>
      </w:r>
      <w:r>
        <w:rPr>
          <w:rFonts w:hint="eastAsia" w:ascii="宋体" w:hAnsi="宋体"/>
          <w:bCs/>
          <w:sz w:val="24"/>
        </w:rPr>
        <w:t>投标人应具备承担本招标项目的资质条件、能力和信誉：见投标人须知前附表。</w:t>
      </w:r>
    </w:p>
    <w:p>
      <w:pPr>
        <w:spacing w:line="360" w:lineRule="auto"/>
        <w:ind w:firstLine="480" w:firstLineChars="200"/>
        <w:rPr>
          <w:rFonts w:ascii="宋体" w:hAnsi="宋体"/>
          <w:sz w:val="24"/>
        </w:rPr>
      </w:pPr>
      <w:r>
        <w:rPr>
          <w:rFonts w:hint="eastAsia" w:ascii="宋体" w:hAnsi="宋体"/>
          <w:sz w:val="24"/>
        </w:rPr>
        <w:t>1.4.2 投标人须知前附表已明确规定不接受联合体投标。</w:t>
      </w:r>
    </w:p>
    <w:p>
      <w:pPr>
        <w:spacing w:line="360" w:lineRule="auto"/>
        <w:ind w:firstLine="480" w:firstLineChars="200"/>
        <w:rPr>
          <w:rFonts w:ascii="宋体" w:hAnsi="宋体"/>
          <w:sz w:val="24"/>
        </w:rPr>
      </w:pPr>
      <w:r>
        <w:rPr>
          <w:rFonts w:hint="eastAsia" w:ascii="宋体" w:hAnsi="宋体"/>
          <w:sz w:val="24"/>
        </w:rPr>
        <w:t>1.4.3 投标人不得存在下列情形之一：</w:t>
      </w:r>
    </w:p>
    <w:p>
      <w:pPr>
        <w:spacing w:line="360" w:lineRule="auto"/>
        <w:ind w:firstLine="480" w:firstLineChars="200"/>
        <w:rPr>
          <w:rFonts w:ascii="宋体" w:hAnsi="宋体"/>
          <w:sz w:val="24"/>
        </w:rPr>
      </w:pPr>
      <w:r>
        <w:rPr>
          <w:rFonts w:hint="eastAsia" w:ascii="宋体" w:hAnsi="宋体"/>
          <w:sz w:val="24"/>
        </w:rPr>
        <w:t>（1）为招标人不具有独立法人资格的附属机构（单位）；</w:t>
      </w:r>
    </w:p>
    <w:p>
      <w:pPr>
        <w:spacing w:line="360" w:lineRule="auto"/>
        <w:ind w:firstLine="480" w:firstLineChars="200"/>
        <w:rPr>
          <w:rFonts w:ascii="宋体" w:hAnsi="宋体"/>
          <w:sz w:val="24"/>
        </w:rPr>
      </w:pPr>
      <w:r>
        <w:rPr>
          <w:rFonts w:hint="eastAsia" w:ascii="宋体" w:hAnsi="宋体"/>
          <w:sz w:val="24"/>
        </w:rPr>
        <w:t>（2）为本工程前期准备提供设计或咨询服务的；</w:t>
      </w:r>
    </w:p>
    <w:p>
      <w:pPr>
        <w:spacing w:line="360" w:lineRule="auto"/>
        <w:ind w:firstLine="480" w:firstLineChars="200"/>
        <w:rPr>
          <w:rFonts w:ascii="宋体" w:hAnsi="宋体"/>
          <w:sz w:val="24"/>
        </w:rPr>
      </w:pPr>
      <w:r>
        <w:rPr>
          <w:rFonts w:hint="eastAsia" w:ascii="宋体" w:hAnsi="宋体"/>
          <w:sz w:val="24"/>
        </w:rPr>
        <w:t>（3）为本工程的代建人；</w:t>
      </w:r>
    </w:p>
    <w:p>
      <w:pPr>
        <w:spacing w:line="360" w:lineRule="auto"/>
        <w:ind w:firstLine="480" w:firstLineChars="200"/>
        <w:rPr>
          <w:rFonts w:ascii="宋体" w:hAnsi="宋体"/>
          <w:sz w:val="24"/>
        </w:rPr>
      </w:pPr>
      <w:r>
        <w:rPr>
          <w:rFonts w:hint="eastAsia" w:ascii="宋体" w:hAnsi="宋体"/>
          <w:sz w:val="24"/>
        </w:rPr>
        <w:t>（4）为本工程提供招标代理服务的；</w:t>
      </w:r>
    </w:p>
    <w:p>
      <w:pPr>
        <w:spacing w:line="360" w:lineRule="auto"/>
        <w:ind w:firstLine="480" w:firstLineChars="200"/>
        <w:rPr>
          <w:rFonts w:ascii="宋体" w:hAnsi="宋体"/>
          <w:sz w:val="24"/>
        </w:rPr>
      </w:pPr>
      <w:r>
        <w:rPr>
          <w:rFonts w:hint="eastAsia" w:ascii="宋体" w:hAnsi="宋体"/>
          <w:sz w:val="24"/>
        </w:rPr>
        <w:t>（5）与本工程的代建人或招标代理机构同为一个法定代表人的；</w:t>
      </w:r>
    </w:p>
    <w:p>
      <w:pPr>
        <w:spacing w:line="360" w:lineRule="auto"/>
        <w:ind w:firstLine="480" w:firstLineChars="200"/>
        <w:rPr>
          <w:rFonts w:ascii="宋体" w:hAnsi="宋体"/>
          <w:sz w:val="24"/>
        </w:rPr>
      </w:pPr>
      <w:r>
        <w:rPr>
          <w:rFonts w:hint="eastAsia" w:ascii="宋体" w:hAnsi="宋体"/>
          <w:sz w:val="24"/>
        </w:rPr>
        <w:t>（6）与本工程的代建人或招标代理机构相互控股或参股的；</w:t>
      </w:r>
    </w:p>
    <w:p>
      <w:pPr>
        <w:spacing w:line="360" w:lineRule="auto"/>
        <w:ind w:firstLine="480" w:firstLineChars="200"/>
        <w:rPr>
          <w:rFonts w:ascii="宋体" w:hAnsi="宋体"/>
          <w:sz w:val="24"/>
        </w:rPr>
      </w:pPr>
      <w:r>
        <w:rPr>
          <w:rFonts w:hint="eastAsia" w:ascii="宋体" w:hAnsi="宋体"/>
          <w:sz w:val="24"/>
        </w:rPr>
        <w:t>（7）与本工程的施工单位或代建人或招标代理机构相互任职或工作的；</w:t>
      </w:r>
    </w:p>
    <w:p>
      <w:pPr>
        <w:spacing w:line="360" w:lineRule="auto"/>
        <w:ind w:firstLine="480" w:firstLineChars="200"/>
        <w:rPr>
          <w:rFonts w:ascii="宋体" w:hAnsi="宋体"/>
          <w:sz w:val="24"/>
        </w:rPr>
      </w:pPr>
      <w:r>
        <w:rPr>
          <w:rFonts w:hint="eastAsia" w:ascii="宋体" w:hAnsi="宋体"/>
          <w:sz w:val="24"/>
        </w:rPr>
        <w:t>（8）被责令停业的；</w:t>
      </w:r>
    </w:p>
    <w:p>
      <w:pPr>
        <w:spacing w:line="360" w:lineRule="auto"/>
        <w:ind w:firstLine="480" w:firstLineChars="200"/>
        <w:rPr>
          <w:rFonts w:ascii="宋体" w:hAnsi="宋体"/>
          <w:sz w:val="24"/>
        </w:rPr>
      </w:pPr>
      <w:r>
        <w:rPr>
          <w:rFonts w:hint="eastAsia" w:ascii="宋体" w:hAnsi="宋体"/>
          <w:sz w:val="24"/>
        </w:rPr>
        <w:t>（9）被暂停或取消投标资格的；</w:t>
      </w:r>
    </w:p>
    <w:p>
      <w:pPr>
        <w:spacing w:line="360" w:lineRule="auto"/>
        <w:ind w:firstLine="480" w:firstLineChars="200"/>
        <w:rPr>
          <w:rFonts w:ascii="宋体" w:hAnsi="宋体"/>
          <w:sz w:val="24"/>
        </w:rPr>
      </w:pPr>
      <w:r>
        <w:rPr>
          <w:rFonts w:hint="eastAsia" w:ascii="宋体" w:hAnsi="宋体"/>
          <w:sz w:val="24"/>
        </w:rPr>
        <w:t>（10）财产被接管或冻结的；</w:t>
      </w:r>
    </w:p>
    <w:p>
      <w:pPr>
        <w:spacing w:line="360" w:lineRule="auto"/>
        <w:ind w:firstLine="480" w:firstLineChars="200"/>
        <w:rPr>
          <w:rFonts w:ascii="宋体" w:hAnsi="宋体"/>
          <w:sz w:val="24"/>
        </w:rPr>
      </w:pPr>
      <w:r>
        <w:rPr>
          <w:rFonts w:hint="eastAsia" w:ascii="宋体" w:hAnsi="宋体"/>
          <w:sz w:val="24"/>
        </w:rPr>
        <w:t>（11）在最近三年内有骗取中标或严重违约或重大工程质量问题的。</w:t>
      </w:r>
    </w:p>
    <w:p>
      <w:pPr>
        <w:spacing w:line="360" w:lineRule="auto"/>
        <w:ind w:firstLine="480" w:firstLineChars="200"/>
        <w:rPr>
          <w:rFonts w:ascii="宋体" w:hAnsi="宋体"/>
          <w:sz w:val="24"/>
        </w:rPr>
      </w:pPr>
      <w:r>
        <w:rPr>
          <w:rFonts w:hint="eastAsia" w:ascii="宋体" w:hAnsi="宋体"/>
          <w:sz w:val="24"/>
        </w:rPr>
        <w:t>1.4.4单位负责人（或法定代表人）为同一人或者存在控股、管理关系的不同单位，不得同时参加同一标段投标或者未划分标段的同一招标项目投标。若出现上述情况，以先报名登记者为有效投标人。</w:t>
      </w:r>
    </w:p>
    <w:p>
      <w:pPr>
        <w:pStyle w:val="56"/>
        <w:spacing w:line="360" w:lineRule="auto"/>
        <w:rPr>
          <w:rFonts w:ascii="宋体" w:hAnsi="宋体" w:eastAsia="宋体"/>
          <w:b/>
          <w:szCs w:val="24"/>
        </w:rPr>
      </w:pPr>
      <w:bookmarkStart w:id="99" w:name="_Toc20590"/>
      <w:bookmarkStart w:id="100" w:name="_Toc489430472"/>
      <w:bookmarkStart w:id="101" w:name="_Toc407219592"/>
      <w:bookmarkStart w:id="102" w:name="_Toc259605233"/>
      <w:bookmarkStart w:id="103" w:name="_Toc152042311"/>
      <w:bookmarkStart w:id="104" w:name="_Toc116314086"/>
      <w:bookmarkStart w:id="105" w:name="_Toc152045535"/>
      <w:bookmarkStart w:id="106" w:name="_Toc427583662"/>
      <w:bookmarkStart w:id="107" w:name="_Toc144974503"/>
      <w:bookmarkStart w:id="108" w:name="_Toc427580049"/>
      <w:bookmarkStart w:id="109" w:name="_Toc489430832"/>
      <w:r>
        <w:rPr>
          <w:rFonts w:hint="eastAsia" w:ascii="宋体" w:hAnsi="宋体" w:eastAsia="宋体"/>
          <w:b/>
          <w:szCs w:val="24"/>
        </w:rPr>
        <w:t>1.5 费用承担</w:t>
      </w:r>
      <w:bookmarkEnd w:id="99"/>
      <w:bookmarkEnd w:id="100"/>
      <w:bookmarkEnd w:id="101"/>
      <w:bookmarkEnd w:id="102"/>
      <w:bookmarkEnd w:id="103"/>
      <w:bookmarkEnd w:id="104"/>
      <w:bookmarkEnd w:id="105"/>
      <w:bookmarkEnd w:id="106"/>
      <w:bookmarkEnd w:id="107"/>
      <w:bookmarkEnd w:id="108"/>
      <w:bookmarkEnd w:id="109"/>
    </w:p>
    <w:p>
      <w:pPr>
        <w:spacing w:line="360" w:lineRule="auto"/>
        <w:ind w:firstLine="480" w:firstLineChars="200"/>
        <w:rPr>
          <w:rFonts w:ascii="宋体" w:hAnsi="宋体"/>
          <w:sz w:val="24"/>
        </w:rPr>
      </w:pPr>
      <w:r>
        <w:rPr>
          <w:rFonts w:hint="eastAsia" w:ascii="宋体" w:hAnsi="宋体"/>
          <w:sz w:val="24"/>
        </w:rPr>
        <w:t>1.5.1 投标人准备和参加投标活动发生的费用自理。</w:t>
      </w:r>
    </w:p>
    <w:p>
      <w:pPr>
        <w:spacing w:line="360" w:lineRule="auto"/>
        <w:ind w:firstLine="480" w:firstLineChars="200"/>
        <w:rPr>
          <w:rFonts w:ascii="宋体" w:hAnsi="宋体"/>
          <w:sz w:val="24"/>
        </w:rPr>
      </w:pPr>
      <w:r>
        <w:rPr>
          <w:rFonts w:hint="eastAsia" w:ascii="宋体" w:hAnsi="宋体"/>
          <w:sz w:val="24"/>
        </w:rPr>
        <w:t>1.5.2</w:t>
      </w:r>
      <w:bookmarkStart w:id="110" w:name="_Toc144974504"/>
      <w:bookmarkStart w:id="111" w:name="_Toc152042312"/>
      <w:bookmarkStart w:id="112" w:name="_Toc152045536"/>
      <w:bookmarkStart w:id="113" w:name="_Toc259605234"/>
      <w:r>
        <w:rPr>
          <w:rFonts w:hint="eastAsia" w:ascii="宋体" w:hAnsi="宋体"/>
          <w:sz w:val="24"/>
        </w:rPr>
        <w:t>本次招标由中标人承担招标代理服务费用。</w:t>
      </w:r>
      <w:bookmarkStart w:id="114" w:name="_Toc407219593"/>
    </w:p>
    <w:p>
      <w:pPr>
        <w:spacing w:line="360" w:lineRule="auto"/>
        <w:rPr>
          <w:rFonts w:ascii="宋体" w:hAnsi="宋体"/>
          <w:b/>
          <w:sz w:val="24"/>
        </w:rPr>
      </w:pPr>
      <w:r>
        <w:rPr>
          <w:rFonts w:hint="eastAsia" w:ascii="宋体" w:hAnsi="宋体"/>
          <w:b/>
          <w:sz w:val="24"/>
        </w:rPr>
        <w:t>1.6 保密</w:t>
      </w:r>
      <w:bookmarkEnd w:id="110"/>
      <w:bookmarkEnd w:id="111"/>
      <w:bookmarkEnd w:id="112"/>
      <w:bookmarkEnd w:id="113"/>
      <w:bookmarkEnd w:id="114"/>
    </w:p>
    <w:p>
      <w:pPr>
        <w:spacing w:line="360" w:lineRule="auto"/>
        <w:ind w:firstLine="480" w:firstLineChars="200"/>
        <w:rPr>
          <w:rFonts w:ascii="宋体" w:hAnsi="宋体"/>
          <w:sz w:val="24"/>
        </w:rPr>
      </w:pPr>
      <w:r>
        <w:rPr>
          <w:rFonts w:hint="eastAsia" w:ascii="宋体" w:hAnsi="宋体"/>
          <w:sz w:val="24"/>
        </w:rPr>
        <w:t>参与招标投标活动的各方应对招标文件和投标文件中的商业和技术等秘密保密，违者应对由此造成的后果承担法律责任。</w:t>
      </w:r>
    </w:p>
    <w:p>
      <w:pPr>
        <w:pStyle w:val="56"/>
        <w:spacing w:line="360" w:lineRule="auto"/>
        <w:rPr>
          <w:rFonts w:ascii="宋体" w:hAnsi="宋体" w:eastAsia="宋体"/>
          <w:b/>
          <w:szCs w:val="24"/>
        </w:rPr>
      </w:pPr>
      <w:bookmarkStart w:id="115" w:name="_Toc144974505"/>
      <w:bookmarkStart w:id="116" w:name="_Toc152042313"/>
      <w:bookmarkStart w:id="117" w:name="_Toc427583663"/>
      <w:bookmarkStart w:id="118" w:name="_Toc489430473"/>
      <w:bookmarkStart w:id="119" w:name="_Toc407219594"/>
      <w:bookmarkStart w:id="120" w:name="_Toc427580050"/>
      <w:bookmarkStart w:id="121" w:name="_Toc259605235"/>
      <w:bookmarkStart w:id="122" w:name="_Toc152045537"/>
      <w:bookmarkStart w:id="123" w:name="_Toc6910"/>
      <w:bookmarkStart w:id="124" w:name="_Toc116314087"/>
      <w:bookmarkStart w:id="125" w:name="_Toc489430833"/>
      <w:r>
        <w:rPr>
          <w:rFonts w:hint="eastAsia" w:ascii="宋体" w:hAnsi="宋体" w:eastAsia="宋体"/>
          <w:b/>
          <w:szCs w:val="24"/>
        </w:rPr>
        <w:t>1.7 语言</w:t>
      </w:r>
      <w:bookmarkEnd w:id="115"/>
      <w:r>
        <w:rPr>
          <w:rFonts w:hint="eastAsia" w:ascii="宋体" w:hAnsi="宋体" w:eastAsia="宋体"/>
          <w:b/>
          <w:szCs w:val="24"/>
        </w:rPr>
        <w:t>文字</w:t>
      </w:r>
      <w:bookmarkEnd w:id="116"/>
      <w:bookmarkEnd w:id="117"/>
      <w:bookmarkEnd w:id="118"/>
      <w:bookmarkEnd w:id="119"/>
      <w:bookmarkEnd w:id="120"/>
      <w:bookmarkEnd w:id="121"/>
      <w:bookmarkEnd w:id="122"/>
      <w:bookmarkEnd w:id="123"/>
      <w:bookmarkEnd w:id="124"/>
      <w:bookmarkEnd w:id="125"/>
    </w:p>
    <w:p>
      <w:pPr>
        <w:spacing w:line="360" w:lineRule="auto"/>
        <w:ind w:firstLine="480" w:firstLineChars="200"/>
        <w:rPr>
          <w:rFonts w:ascii="宋体" w:hAnsi="宋体"/>
          <w:sz w:val="24"/>
        </w:rPr>
      </w:pPr>
      <w:r>
        <w:rPr>
          <w:rFonts w:hint="eastAsia" w:ascii="宋体" w:hAnsi="宋体"/>
          <w:sz w:val="24"/>
        </w:rPr>
        <w:t>除专用术语外，与招标投标有关的语言均使用中文。必要时专用术语应附有中文注释。</w:t>
      </w:r>
    </w:p>
    <w:p>
      <w:pPr>
        <w:pStyle w:val="56"/>
        <w:spacing w:line="360" w:lineRule="auto"/>
        <w:rPr>
          <w:rFonts w:ascii="宋体" w:hAnsi="宋体" w:eastAsia="宋体"/>
          <w:b/>
          <w:szCs w:val="24"/>
        </w:rPr>
      </w:pPr>
      <w:bookmarkStart w:id="126" w:name="_Toc427580051"/>
      <w:bookmarkStart w:id="127" w:name="_Toc13313"/>
      <w:bookmarkStart w:id="128" w:name="_Toc489430834"/>
      <w:bookmarkStart w:id="129" w:name="_Toc152042314"/>
      <w:bookmarkStart w:id="130" w:name="_Toc144974506"/>
      <w:bookmarkStart w:id="131" w:name="_Toc427583664"/>
      <w:bookmarkStart w:id="132" w:name="_Toc259605236"/>
      <w:bookmarkStart w:id="133" w:name="_Toc116314088"/>
      <w:bookmarkStart w:id="134" w:name="_Toc152045538"/>
      <w:bookmarkStart w:id="135" w:name="_Toc407219595"/>
      <w:bookmarkStart w:id="136" w:name="_Toc489430474"/>
      <w:r>
        <w:rPr>
          <w:rFonts w:hint="eastAsia" w:ascii="宋体" w:hAnsi="宋体" w:eastAsia="宋体"/>
          <w:b/>
          <w:szCs w:val="24"/>
        </w:rPr>
        <w:t>1.8 计量单位</w:t>
      </w:r>
      <w:bookmarkEnd w:id="126"/>
      <w:bookmarkEnd w:id="127"/>
      <w:bookmarkEnd w:id="128"/>
      <w:bookmarkEnd w:id="129"/>
      <w:bookmarkEnd w:id="130"/>
      <w:bookmarkEnd w:id="131"/>
      <w:bookmarkEnd w:id="132"/>
      <w:bookmarkEnd w:id="133"/>
      <w:bookmarkEnd w:id="134"/>
      <w:bookmarkEnd w:id="135"/>
      <w:bookmarkEnd w:id="136"/>
    </w:p>
    <w:p>
      <w:pPr>
        <w:spacing w:line="360" w:lineRule="auto"/>
        <w:ind w:firstLine="480" w:firstLineChars="200"/>
        <w:rPr>
          <w:rFonts w:ascii="宋体" w:hAnsi="宋体"/>
          <w:sz w:val="24"/>
        </w:rPr>
      </w:pPr>
      <w:r>
        <w:rPr>
          <w:rFonts w:hint="eastAsia" w:ascii="宋体" w:hAnsi="宋体"/>
          <w:sz w:val="24"/>
        </w:rPr>
        <w:t>所有计量均采用中华人民共和国法定计量单位。</w:t>
      </w:r>
    </w:p>
    <w:p>
      <w:pPr>
        <w:pStyle w:val="56"/>
        <w:spacing w:line="360" w:lineRule="auto"/>
        <w:rPr>
          <w:rFonts w:ascii="宋体" w:hAnsi="宋体" w:eastAsia="宋体"/>
          <w:szCs w:val="24"/>
        </w:rPr>
      </w:pPr>
      <w:bookmarkStart w:id="137" w:name="_Toc427583665"/>
      <w:bookmarkStart w:id="138" w:name="_Toc152042315"/>
      <w:bookmarkStart w:id="139" w:name="_Toc489430835"/>
      <w:bookmarkStart w:id="140" w:name="_Toc407219596"/>
      <w:bookmarkStart w:id="141" w:name="_Toc259605237"/>
      <w:bookmarkStart w:id="142" w:name="_Toc152045539"/>
      <w:bookmarkStart w:id="143" w:name="_Toc32209"/>
      <w:bookmarkStart w:id="144" w:name="_Toc427580052"/>
      <w:bookmarkStart w:id="145" w:name="_Toc144974507"/>
      <w:bookmarkStart w:id="146" w:name="_Toc489430475"/>
      <w:bookmarkStart w:id="147" w:name="_Toc116314089"/>
      <w:r>
        <w:rPr>
          <w:rFonts w:hint="eastAsia" w:ascii="宋体" w:hAnsi="宋体" w:eastAsia="宋体"/>
          <w:b/>
          <w:szCs w:val="24"/>
        </w:rPr>
        <w:t>1.9 踏勘现场</w:t>
      </w:r>
      <w:bookmarkEnd w:id="137"/>
      <w:bookmarkEnd w:id="138"/>
      <w:bookmarkEnd w:id="139"/>
      <w:bookmarkEnd w:id="140"/>
      <w:bookmarkEnd w:id="141"/>
      <w:bookmarkEnd w:id="142"/>
      <w:bookmarkEnd w:id="143"/>
      <w:bookmarkEnd w:id="144"/>
      <w:bookmarkEnd w:id="145"/>
      <w:bookmarkEnd w:id="146"/>
      <w:bookmarkEnd w:id="147"/>
    </w:p>
    <w:p>
      <w:pPr>
        <w:pStyle w:val="56"/>
        <w:spacing w:line="360" w:lineRule="auto"/>
        <w:ind w:firstLine="480" w:firstLineChars="200"/>
        <w:rPr>
          <w:rFonts w:ascii="宋体" w:hAnsi="宋体" w:eastAsia="宋体"/>
          <w:bCs/>
          <w:szCs w:val="24"/>
        </w:rPr>
      </w:pPr>
      <w:bookmarkStart w:id="148" w:name="_Toc116314090"/>
      <w:bookmarkStart w:id="149" w:name="_Toc427583666"/>
      <w:bookmarkStart w:id="150" w:name="_Toc427580053"/>
      <w:bookmarkStart w:id="151" w:name="_Toc152042316"/>
      <w:bookmarkStart w:id="152" w:name="_Toc9483"/>
      <w:bookmarkStart w:id="153" w:name="_Toc489430476"/>
      <w:bookmarkStart w:id="154" w:name="_Toc407219597"/>
      <w:bookmarkStart w:id="155" w:name="_Toc489430836"/>
      <w:bookmarkStart w:id="156" w:name="_Toc259605238"/>
      <w:bookmarkStart w:id="157" w:name="_Toc144974508"/>
      <w:bookmarkStart w:id="158" w:name="_Toc152045540"/>
      <w:r>
        <w:rPr>
          <w:rFonts w:hint="eastAsia" w:ascii="宋体" w:hAnsi="宋体" w:eastAsia="宋体"/>
          <w:bCs/>
          <w:szCs w:val="24"/>
        </w:rPr>
        <w:t>不组织踏勘现场；</w:t>
      </w:r>
      <w:bookmarkEnd w:id="148"/>
    </w:p>
    <w:p>
      <w:pPr>
        <w:pStyle w:val="56"/>
        <w:spacing w:line="360" w:lineRule="auto"/>
        <w:rPr>
          <w:rFonts w:ascii="宋体" w:hAnsi="宋体" w:eastAsia="宋体"/>
          <w:b/>
          <w:szCs w:val="24"/>
        </w:rPr>
      </w:pPr>
      <w:bookmarkStart w:id="159" w:name="_Toc116314091"/>
      <w:r>
        <w:rPr>
          <w:rFonts w:hint="eastAsia" w:ascii="宋体" w:hAnsi="宋体" w:eastAsia="宋体"/>
          <w:b/>
          <w:szCs w:val="24"/>
        </w:rPr>
        <w:t>1.10 投标预备会</w:t>
      </w:r>
      <w:bookmarkEnd w:id="149"/>
      <w:bookmarkEnd w:id="150"/>
      <w:bookmarkEnd w:id="151"/>
      <w:bookmarkEnd w:id="152"/>
      <w:bookmarkEnd w:id="153"/>
      <w:bookmarkEnd w:id="154"/>
      <w:bookmarkEnd w:id="155"/>
      <w:bookmarkEnd w:id="156"/>
      <w:bookmarkEnd w:id="157"/>
      <w:bookmarkEnd w:id="158"/>
      <w:bookmarkEnd w:id="159"/>
    </w:p>
    <w:p>
      <w:pPr>
        <w:spacing w:line="360" w:lineRule="auto"/>
        <w:ind w:firstLine="480" w:firstLineChars="200"/>
        <w:rPr>
          <w:rFonts w:ascii="宋体" w:hAnsi="宋体"/>
          <w:sz w:val="24"/>
        </w:rPr>
      </w:pPr>
      <w:r>
        <w:rPr>
          <w:rFonts w:hint="eastAsia" w:ascii="宋体" w:hAnsi="宋体"/>
          <w:sz w:val="24"/>
        </w:rPr>
        <w:t>1.10.1 投标人须知前附表已明确规定不召开投标预备会。</w:t>
      </w:r>
    </w:p>
    <w:p>
      <w:pPr>
        <w:spacing w:line="360" w:lineRule="auto"/>
        <w:ind w:firstLine="480" w:firstLineChars="200"/>
        <w:rPr>
          <w:rFonts w:ascii="宋体" w:hAnsi="宋体"/>
          <w:sz w:val="24"/>
        </w:rPr>
      </w:pPr>
      <w:r>
        <w:rPr>
          <w:rFonts w:hint="eastAsia" w:ascii="宋体" w:hAnsi="宋体"/>
          <w:sz w:val="24"/>
        </w:rPr>
        <w:t>1.10.2 投标人应在投标人须知前附表规定的时间前，以书面形式将提出的问题送达招标人，以便招标人澄清。</w:t>
      </w:r>
    </w:p>
    <w:p>
      <w:pPr>
        <w:spacing w:line="360" w:lineRule="auto"/>
        <w:ind w:firstLine="480" w:firstLineChars="200"/>
        <w:rPr>
          <w:rFonts w:ascii="宋体" w:hAnsi="宋体"/>
          <w:sz w:val="24"/>
        </w:rPr>
      </w:pPr>
      <w:r>
        <w:rPr>
          <w:rFonts w:hint="eastAsia" w:ascii="宋体" w:hAnsi="宋体"/>
          <w:sz w:val="24"/>
        </w:rPr>
        <w:t>1.10.3招标人在投标人须知前附表规定的时间内，将对投标人所提问题的澄清，以书面方式通知所有购买招标文件的投标人。该澄清内容为招标文件的组成部分。</w:t>
      </w:r>
    </w:p>
    <w:p>
      <w:pPr>
        <w:pStyle w:val="56"/>
        <w:spacing w:line="360" w:lineRule="auto"/>
        <w:rPr>
          <w:rFonts w:ascii="宋体" w:hAnsi="宋体" w:eastAsia="宋体"/>
          <w:b/>
          <w:szCs w:val="24"/>
        </w:rPr>
      </w:pPr>
      <w:bookmarkStart w:id="160" w:name="_Toc427580054"/>
      <w:bookmarkStart w:id="161" w:name="_Toc152042317"/>
      <w:bookmarkStart w:id="162" w:name="_Toc407219598"/>
      <w:bookmarkStart w:id="163" w:name="_Toc489430837"/>
      <w:bookmarkStart w:id="164" w:name="_Toc259605239"/>
      <w:bookmarkStart w:id="165" w:name="_Toc116314092"/>
      <w:bookmarkStart w:id="166" w:name="_Toc6091"/>
      <w:bookmarkStart w:id="167" w:name="_Toc489430477"/>
      <w:bookmarkStart w:id="168" w:name="_Toc427583667"/>
      <w:bookmarkStart w:id="169" w:name="_Toc144974509"/>
      <w:bookmarkStart w:id="170" w:name="_Toc152045541"/>
      <w:r>
        <w:rPr>
          <w:rFonts w:hint="eastAsia" w:ascii="宋体" w:hAnsi="宋体" w:eastAsia="宋体"/>
          <w:b/>
          <w:szCs w:val="24"/>
        </w:rPr>
        <w:t>1.11 分包</w:t>
      </w:r>
      <w:bookmarkEnd w:id="160"/>
      <w:bookmarkEnd w:id="161"/>
      <w:bookmarkEnd w:id="162"/>
      <w:bookmarkEnd w:id="163"/>
      <w:bookmarkEnd w:id="164"/>
      <w:bookmarkEnd w:id="165"/>
      <w:bookmarkEnd w:id="166"/>
      <w:bookmarkEnd w:id="167"/>
      <w:bookmarkEnd w:id="168"/>
      <w:bookmarkEnd w:id="169"/>
      <w:bookmarkEnd w:id="170"/>
    </w:p>
    <w:p>
      <w:pPr>
        <w:spacing w:line="360" w:lineRule="auto"/>
        <w:ind w:firstLine="480" w:firstLineChars="200"/>
        <w:rPr>
          <w:rFonts w:ascii="宋体" w:hAnsi="宋体"/>
          <w:sz w:val="24"/>
        </w:rPr>
      </w:pPr>
      <w:r>
        <w:rPr>
          <w:rFonts w:hint="eastAsia" w:ascii="宋体" w:hAnsi="宋体"/>
          <w:sz w:val="24"/>
        </w:rPr>
        <w:t>不允许分包。</w:t>
      </w:r>
    </w:p>
    <w:p>
      <w:pPr>
        <w:pStyle w:val="56"/>
        <w:rPr>
          <w:rFonts w:ascii="宋体" w:hAnsi="宋体" w:eastAsia="宋体"/>
          <w:b/>
          <w:szCs w:val="24"/>
        </w:rPr>
      </w:pPr>
      <w:bookmarkStart w:id="171" w:name="_Toc427583668"/>
      <w:bookmarkStart w:id="172" w:name="_Toc259605240"/>
      <w:bookmarkStart w:id="173" w:name="_Toc427580055"/>
      <w:bookmarkStart w:id="174" w:name="_Toc489430838"/>
      <w:bookmarkStart w:id="175" w:name="_Toc489430478"/>
      <w:bookmarkStart w:id="176" w:name="_Toc407219599"/>
      <w:bookmarkStart w:id="177" w:name="_Toc25326"/>
      <w:bookmarkStart w:id="178" w:name="_Toc116314093"/>
      <w:r>
        <w:rPr>
          <w:rFonts w:hint="eastAsia" w:ascii="宋体" w:hAnsi="宋体" w:eastAsia="宋体"/>
          <w:b/>
          <w:szCs w:val="24"/>
        </w:rPr>
        <w:t>1.12 偏离</w:t>
      </w:r>
      <w:bookmarkEnd w:id="171"/>
      <w:bookmarkEnd w:id="172"/>
      <w:bookmarkEnd w:id="173"/>
      <w:bookmarkEnd w:id="174"/>
      <w:bookmarkEnd w:id="175"/>
      <w:bookmarkEnd w:id="176"/>
      <w:bookmarkEnd w:id="177"/>
      <w:bookmarkEnd w:id="178"/>
    </w:p>
    <w:p>
      <w:pPr>
        <w:spacing w:line="360" w:lineRule="auto"/>
        <w:ind w:firstLine="480" w:firstLineChars="200"/>
        <w:rPr>
          <w:rFonts w:ascii="宋体" w:hAnsi="宋体"/>
          <w:sz w:val="24"/>
        </w:rPr>
      </w:pPr>
      <w:r>
        <w:rPr>
          <w:rFonts w:hint="eastAsia" w:ascii="宋体" w:hAnsi="宋体"/>
          <w:sz w:val="24"/>
        </w:rPr>
        <w:t>不允许偏离。</w:t>
      </w:r>
    </w:p>
    <w:p>
      <w:pPr>
        <w:pStyle w:val="55"/>
        <w:rPr>
          <w:rFonts w:ascii="宋体" w:hAnsi="宋体" w:eastAsia="宋体"/>
          <w:b/>
        </w:rPr>
      </w:pPr>
      <w:bookmarkStart w:id="179" w:name="_Toc16720"/>
      <w:bookmarkStart w:id="180" w:name="_Toc475691309"/>
      <w:bookmarkStart w:id="181" w:name="_Toc152045542"/>
      <w:bookmarkStart w:id="182" w:name="_Toc489430479"/>
      <w:bookmarkStart w:id="183" w:name="_Toc144974510"/>
      <w:bookmarkStart w:id="184" w:name="_Toc116314094"/>
      <w:bookmarkStart w:id="185" w:name="_Toc489430839"/>
      <w:bookmarkStart w:id="186" w:name="_Toc152042318"/>
      <w:r>
        <w:rPr>
          <w:rFonts w:hint="eastAsia" w:ascii="宋体" w:hAnsi="宋体" w:eastAsia="宋体"/>
          <w:b/>
        </w:rPr>
        <w:t>2. 招标文件</w:t>
      </w:r>
      <w:bookmarkEnd w:id="179"/>
      <w:bookmarkEnd w:id="180"/>
      <w:bookmarkEnd w:id="181"/>
      <w:bookmarkEnd w:id="182"/>
      <w:bookmarkEnd w:id="183"/>
      <w:bookmarkEnd w:id="184"/>
      <w:bookmarkEnd w:id="185"/>
      <w:bookmarkEnd w:id="186"/>
    </w:p>
    <w:p>
      <w:pPr>
        <w:pStyle w:val="56"/>
        <w:rPr>
          <w:rFonts w:ascii="宋体" w:hAnsi="宋体" w:eastAsia="宋体"/>
          <w:b/>
          <w:szCs w:val="24"/>
        </w:rPr>
      </w:pPr>
      <w:bookmarkStart w:id="187" w:name="_Toc144974511"/>
      <w:bookmarkStart w:id="188" w:name="_Toc427580057"/>
      <w:bookmarkStart w:id="189" w:name="_Toc489430840"/>
      <w:bookmarkStart w:id="190" w:name="_Toc152042319"/>
      <w:bookmarkStart w:id="191" w:name="_Toc116314095"/>
      <w:bookmarkStart w:id="192" w:name="_Toc259605242"/>
      <w:bookmarkStart w:id="193" w:name="_Toc475691310"/>
      <w:bookmarkStart w:id="194" w:name="_Toc489430480"/>
      <w:bookmarkStart w:id="195" w:name="_Toc10490"/>
      <w:bookmarkStart w:id="196" w:name="_Toc427583670"/>
      <w:bookmarkStart w:id="197" w:name="_Toc407219601"/>
      <w:bookmarkStart w:id="198" w:name="_Toc152045543"/>
      <w:r>
        <w:rPr>
          <w:rFonts w:hint="eastAsia" w:ascii="宋体" w:hAnsi="宋体" w:eastAsia="宋体"/>
          <w:b/>
          <w:szCs w:val="24"/>
        </w:rPr>
        <w:t>2.1 招标文件的组成</w:t>
      </w:r>
      <w:bookmarkEnd w:id="187"/>
      <w:bookmarkEnd w:id="188"/>
      <w:bookmarkEnd w:id="189"/>
      <w:bookmarkEnd w:id="190"/>
      <w:bookmarkEnd w:id="191"/>
      <w:bookmarkEnd w:id="192"/>
      <w:bookmarkEnd w:id="193"/>
      <w:bookmarkEnd w:id="194"/>
      <w:bookmarkEnd w:id="195"/>
      <w:bookmarkEnd w:id="196"/>
      <w:bookmarkEnd w:id="197"/>
      <w:bookmarkEnd w:id="198"/>
    </w:p>
    <w:p>
      <w:pPr>
        <w:spacing w:line="440" w:lineRule="exact"/>
        <w:ind w:firstLine="480" w:firstLineChars="200"/>
        <w:rPr>
          <w:rFonts w:ascii="宋体" w:hAnsi="宋体"/>
          <w:sz w:val="24"/>
        </w:rPr>
      </w:pPr>
      <w:r>
        <w:rPr>
          <w:rFonts w:hint="eastAsia" w:ascii="宋体" w:hAnsi="宋体"/>
          <w:sz w:val="24"/>
        </w:rPr>
        <w:t>本招标文件包括：</w:t>
      </w:r>
    </w:p>
    <w:p>
      <w:pPr>
        <w:spacing w:line="440" w:lineRule="exact"/>
        <w:ind w:firstLine="480" w:firstLineChars="200"/>
        <w:rPr>
          <w:rFonts w:ascii="宋体" w:hAnsi="宋体"/>
          <w:sz w:val="24"/>
        </w:rPr>
      </w:pPr>
      <w:r>
        <w:rPr>
          <w:rFonts w:hint="eastAsia" w:ascii="宋体" w:hAnsi="宋体"/>
          <w:sz w:val="24"/>
        </w:rPr>
        <w:t>（1）招标公告；</w:t>
      </w:r>
    </w:p>
    <w:p>
      <w:pPr>
        <w:spacing w:line="440" w:lineRule="exact"/>
        <w:ind w:firstLine="480" w:firstLineChars="200"/>
        <w:rPr>
          <w:rFonts w:ascii="宋体" w:hAnsi="宋体"/>
          <w:sz w:val="24"/>
        </w:rPr>
      </w:pPr>
      <w:r>
        <w:rPr>
          <w:rFonts w:hint="eastAsia" w:ascii="宋体" w:hAnsi="宋体"/>
          <w:sz w:val="24"/>
        </w:rPr>
        <w:t>（2）投标人须知；</w:t>
      </w:r>
    </w:p>
    <w:p>
      <w:pPr>
        <w:spacing w:line="360" w:lineRule="auto"/>
        <w:ind w:firstLine="480" w:firstLineChars="200"/>
        <w:rPr>
          <w:rFonts w:ascii="宋体" w:hAnsi="宋体"/>
          <w:sz w:val="24"/>
        </w:rPr>
      </w:pPr>
      <w:r>
        <w:rPr>
          <w:rFonts w:hint="eastAsia" w:ascii="宋体" w:hAnsi="宋体"/>
          <w:sz w:val="24"/>
        </w:rPr>
        <w:t>（3）评标办法；</w:t>
      </w:r>
    </w:p>
    <w:p>
      <w:pPr>
        <w:spacing w:line="360" w:lineRule="auto"/>
        <w:ind w:firstLine="480" w:firstLineChars="200"/>
        <w:rPr>
          <w:rFonts w:ascii="宋体" w:hAnsi="宋体"/>
          <w:sz w:val="24"/>
        </w:rPr>
      </w:pPr>
      <w:r>
        <w:rPr>
          <w:rFonts w:hint="eastAsia" w:ascii="宋体" w:hAnsi="宋体"/>
          <w:sz w:val="24"/>
        </w:rPr>
        <w:t>（4）合同条款及格式；</w:t>
      </w:r>
    </w:p>
    <w:p>
      <w:pPr>
        <w:spacing w:line="360" w:lineRule="auto"/>
        <w:ind w:firstLine="480" w:firstLineChars="200"/>
        <w:rPr>
          <w:rFonts w:ascii="宋体" w:hAnsi="宋体"/>
          <w:sz w:val="24"/>
        </w:rPr>
      </w:pPr>
      <w:r>
        <w:rPr>
          <w:rFonts w:hint="eastAsia" w:ascii="宋体" w:hAnsi="宋体"/>
          <w:sz w:val="24"/>
        </w:rPr>
        <w:t>（5）技术标准及规范；</w:t>
      </w:r>
    </w:p>
    <w:p>
      <w:pPr>
        <w:spacing w:line="360" w:lineRule="auto"/>
        <w:ind w:firstLine="480" w:firstLineChars="200"/>
        <w:rPr>
          <w:rFonts w:ascii="宋体" w:hAnsi="宋体"/>
          <w:sz w:val="24"/>
        </w:rPr>
      </w:pPr>
      <w:r>
        <w:rPr>
          <w:rFonts w:hint="eastAsia" w:ascii="宋体" w:hAnsi="宋体"/>
          <w:sz w:val="24"/>
        </w:rPr>
        <w:t>（6）监理任务范围及监理工作大纲；</w:t>
      </w:r>
    </w:p>
    <w:p>
      <w:pPr>
        <w:spacing w:line="360" w:lineRule="auto"/>
        <w:ind w:firstLine="480" w:firstLineChars="200"/>
        <w:rPr>
          <w:rFonts w:ascii="宋体" w:hAnsi="宋体"/>
          <w:sz w:val="24"/>
        </w:rPr>
      </w:pPr>
      <w:r>
        <w:rPr>
          <w:rFonts w:hint="eastAsia" w:ascii="宋体" w:hAnsi="宋体"/>
          <w:sz w:val="24"/>
        </w:rPr>
        <w:t>（7）投标文件格式；</w:t>
      </w:r>
    </w:p>
    <w:p>
      <w:pPr>
        <w:spacing w:line="360" w:lineRule="auto"/>
        <w:ind w:firstLine="480" w:firstLineChars="200"/>
        <w:rPr>
          <w:rFonts w:ascii="宋体" w:hAnsi="宋体"/>
          <w:sz w:val="24"/>
        </w:rPr>
      </w:pPr>
      <w:r>
        <w:rPr>
          <w:rFonts w:hint="eastAsia" w:ascii="宋体" w:hAnsi="宋体"/>
          <w:sz w:val="24"/>
        </w:rPr>
        <w:t>根据本章第1.10款、第2.2款和第2.3款对招标文件所作的澄清、修改，构成招标文件的组成部分。</w:t>
      </w:r>
    </w:p>
    <w:p>
      <w:pPr>
        <w:pStyle w:val="56"/>
        <w:rPr>
          <w:rFonts w:ascii="宋体" w:hAnsi="宋体" w:eastAsia="宋体"/>
          <w:szCs w:val="24"/>
        </w:rPr>
      </w:pPr>
      <w:bookmarkStart w:id="199" w:name="_Toc259605243"/>
      <w:bookmarkStart w:id="200" w:name="_Toc427583671"/>
      <w:bookmarkStart w:id="201" w:name="_Toc407219602"/>
      <w:bookmarkStart w:id="202" w:name="_Toc152045544"/>
      <w:bookmarkStart w:id="203" w:name="_Toc427580058"/>
      <w:bookmarkStart w:id="204" w:name="_Toc489430481"/>
      <w:bookmarkStart w:id="205" w:name="_Toc489430841"/>
      <w:bookmarkStart w:id="206" w:name="_Toc152042320"/>
      <w:bookmarkStart w:id="207" w:name="_Toc116314096"/>
      <w:bookmarkStart w:id="208" w:name="_Toc475691311"/>
      <w:bookmarkStart w:id="209" w:name="_Toc144974512"/>
      <w:bookmarkStart w:id="210" w:name="_Toc25341"/>
      <w:r>
        <w:rPr>
          <w:rFonts w:hint="eastAsia" w:ascii="宋体" w:hAnsi="宋体" w:eastAsia="宋体"/>
          <w:b/>
          <w:szCs w:val="24"/>
        </w:rPr>
        <w:t>2.2 招标文件的澄清</w:t>
      </w:r>
      <w:bookmarkEnd w:id="199"/>
      <w:bookmarkEnd w:id="200"/>
      <w:bookmarkEnd w:id="201"/>
      <w:bookmarkEnd w:id="202"/>
      <w:bookmarkEnd w:id="203"/>
      <w:bookmarkEnd w:id="204"/>
      <w:bookmarkEnd w:id="205"/>
      <w:bookmarkEnd w:id="206"/>
      <w:bookmarkEnd w:id="207"/>
      <w:bookmarkEnd w:id="208"/>
      <w:bookmarkEnd w:id="209"/>
      <w:bookmarkEnd w:id="210"/>
    </w:p>
    <w:p>
      <w:pPr>
        <w:spacing w:line="360" w:lineRule="auto"/>
        <w:ind w:firstLine="480" w:firstLineChars="200"/>
        <w:rPr>
          <w:rFonts w:ascii="宋体" w:hAnsi="宋体"/>
          <w:sz w:val="24"/>
        </w:rPr>
      </w:pPr>
      <w:bookmarkStart w:id="211" w:name="_Toc13729"/>
      <w:bookmarkStart w:id="212" w:name="_Toc152042321"/>
      <w:bookmarkStart w:id="213" w:name="_Toc407219603"/>
      <w:bookmarkStart w:id="214" w:name="_Toc259605244"/>
      <w:bookmarkStart w:id="215" w:name="_Toc144974513"/>
      <w:bookmarkStart w:id="216" w:name="_Toc427580059"/>
      <w:bookmarkStart w:id="217" w:name="_Toc427583672"/>
      <w:bookmarkStart w:id="218" w:name="_Toc489430842"/>
      <w:bookmarkStart w:id="219" w:name="_Toc152045545"/>
      <w:bookmarkStart w:id="220" w:name="_Toc489430482"/>
      <w:bookmarkStart w:id="221" w:name="_Toc475691312"/>
      <w:r>
        <w:rPr>
          <w:rFonts w:hint="eastAsia" w:ascii="宋体" w:hAnsi="宋体"/>
          <w:sz w:val="24"/>
        </w:rPr>
        <w:t>2.2.1投标人应仔细阅读和检查招标文件的全部内容。如发现缺页或附件不全，应及时在电子交易系统中提出，以便补齐。如有疑问，应在投标人须知前附表规定的时间前在电子交易系统中提出。</w:t>
      </w:r>
    </w:p>
    <w:p>
      <w:pPr>
        <w:spacing w:line="360" w:lineRule="auto"/>
        <w:ind w:firstLine="480" w:firstLineChars="200"/>
        <w:rPr>
          <w:rFonts w:ascii="宋体" w:hAnsi="宋体"/>
          <w:sz w:val="24"/>
        </w:rPr>
      </w:pPr>
      <w:r>
        <w:rPr>
          <w:rFonts w:hint="eastAsia" w:ascii="宋体" w:hAnsi="宋体"/>
          <w:sz w:val="24"/>
        </w:rPr>
        <w:t>2.2.2  招标文件的澄清在投标人须知前附表规定的投标截止时间15天前在电子交易系统中澄清。</w:t>
      </w:r>
    </w:p>
    <w:p>
      <w:pPr>
        <w:spacing w:line="360" w:lineRule="auto"/>
        <w:ind w:firstLine="480" w:firstLineChars="200"/>
        <w:rPr>
          <w:rFonts w:ascii="宋体" w:hAnsi="宋体"/>
          <w:sz w:val="24"/>
        </w:rPr>
      </w:pPr>
      <w:r>
        <w:rPr>
          <w:rFonts w:hint="eastAsia" w:ascii="宋体" w:hAnsi="宋体"/>
          <w:sz w:val="24"/>
        </w:rPr>
        <w:t>2.2.3 投标人应及时在发布的媒体查看澄清内容。</w:t>
      </w:r>
    </w:p>
    <w:p>
      <w:pPr>
        <w:pStyle w:val="56"/>
        <w:rPr>
          <w:rFonts w:ascii="宋体" w:hAnsi="宋体" w:eastAsia="宋体"/>
          <w:b/>
          <w:szCs w:val="24"/>
        </w:rPr>
      </w:pPr>
      <w:bookmarkStart w:id="222" w:name="_Toc116314097"/>
      <w:r>
        <w:rPr>
          <w:rFonts w:hint="eastAsia" w:ascii="宋体" w:hAnsi="宋体" w:eastAsia="宋体"/>
          <w:b/>
          <w:szCs w:val="24"/>
        </w:rPr>
        <w:t>2.3 招标文件的修改</w:t>
      </w:r>
      <w:bookmarkEnd w:id="211"/>
      <w:bookmarkEnd w:id="212"/>
      <w:bookmarkEnd w:id="213"/>
      <w:bookmarkEnd w:id="214"/>
      <w:bookmarkEnd w:id="215"/>
      <w:bookmarkEnd w:id="216"/>
      <w:bookmarkEnd w:id="217"/>
      <w:bookmarkEnd w:id="218"/>
      <w:bookmarkEnd w:id="219"/>
      <w:bookmarkEnd w:id="220"/>
      <w:bookmarkEnd w:id="221"/>
      <w:bookmarkEnd w:id="222"/>
    </w:p>
    <w:p>
      <w:pPr>
        <w:spacing w:line="360" w:lineRule="auto"/>
        <w:ind w:firstLine="480" w:firstLineChars="200"/>
        <w:rPr>
          <w:rFonts w:ascii="宋体" w:hAnsi="宋体"/>
          <w:sz w:val="24"/>
        </w:rPr>
      </w:pPr>
      <w:r>
        <w:rPr>
          <w:rFonts w:hint="eastAsia" w:ascii="宋体" w:hAnsi="宋体"/>
          <w:sz w:val="24"/>
        </w:rPr>
        <w:t>2.3.1在投标截止时间15天前，招标人可以在电子交易系统中修改招标文件。如果修改招标文件的时间距投标截止时间不足15天，相应延长投标截止时间。</w:t>
      </w:r>
    </w:p>
    <w:p>
      <w:pPr>
        <w:spacing w:line="360" w:lineRule="auto"/>
        <w:ind w:firstLine="480" w:firstLineChars="200"/>
        <w:rPr>
          <w:rFonts w:ascii="宋体" w:hAnsi="宋体"/>
          <w:sz w:val="24"/>
        </w:rPr>
      </w:pPr>
      <w:r>
        <w:rPr>
          <w:rFonts w:hint="eastAsia" w:ascii="宋体" w:hAnsi="宋体"/>
          <w:sz w:val="24"/>
        </w:rPr>
        <w:t>2.3.2 投标人应及时在发布的媒体查看修改内容。</w:t>
      </w:r>
    </w:p>
    <w:p>
      <w:pPr>
        <w:spacing w:line="360" w:lineRule="auto"/>
        <w:rPr>
          <w:rFonts w:ascii="宋体" w:hAnsi="宋体"/>
          <w:b/>
          <w:bCs/>
          <w:sz w:val="24"/>
        </w:rPr>
      </w:pPr>
      <w:r>
        <w:rPr>
          <w:rFonts w:hint="eastAsia" w:ascii="宋体" w:hAnsi="宋体"/>
          <w:b/>
          <w:bCs/>
          <w:sz w:val="24"/>
        </w:rPr>
        <w:t>2.4</w:t>
      </w:r>
      <w:r>
        <w:rPr>
          <w:rFonts w:hint="eastAsia" w:ascii="宋体" w:hAnsi="宋体" w:cs="宋体"/>
          <w:b/>
          <w:sz w:val="24"/>
        </w:rPr>
        <w:t>招标文件的解释</w:t>
      </w:r>
    </w:p>
    <w:p>
      <w:pPr>
        <w:spacing w:line="360" w:lineRule="auto"/>
        <w:ind w:firstLine="480" w:firstLineChars="200"/>
        <w:rPr>
          <w:rFonts w:ascii="宋体" w:hAnsi="宋体"/>
          <w:sz w:val="24"/>
        </w:rPr>
      </w:pPr>
      <w:r>
        <w:rPr>
          <w:rFonts w:hint="eastAsia" w:ascii="宋体" w:hAnsi="宋体"/>
          <w:sz w:val="24"/>
        </w:rPr>
        <w:t>招标文件最终解释权归招标人，所有解释均依据本招标文件及有关的法律、法规；在评标时，若出现招标文件无明确说明和处理的情况时，由评标委员会讨论确定处理方案；评标委员会成员之间对处理方案有争议时，采取少数服从多数的投票方式确定。</w:t>
      </w:r>
    </w:p>
    <w:p>
      <w:pPr>
        <w:pStyle w:val="55"/>
        <w:spacing w:before="0" w:line="360" w:lineRule="auto"/>
        <w:rPr>
          <w:rFonts w:ascii="宋体" w:hAnsi="宋体" w:eastAsia="宋体"/>
          <w:b/>
        </w:rPr>
      </w:pPr>
      <w:bookmarkStart w:id="223" w:name="_Toc116314098"/>
      <w:bookmarkStart w:id="224" w:name="_Toc144974514"/>
      <w:bookmarkStart w:id="225" w:name="_Toc489430483"/>
      <w:bookmarkStart w:id="226" w:name="_Toc160"/>
      <w:bookmarkStart w:id="227" w:name="_Toc489430843"/>
      <w:bookmarkStart w:id="228" w:name="_Toc475691313"/>
      <w:bookmarkStart w:id="229" w:name="_Toc152045546"/>
      <w:bookmarkStart w:id="230" w:name="_Toc152042322"/>
      <w:r>
        <w:rPr>
          <w:rFonts w:hint="eastAsia" w:ascii="宋体" w:hAnsi="宋体" w:eastAsia="宋体"/>
          <w:b/>
        </w:rPr>
        <w:t>3. 投标文件</w:t>
      </w:r>
      <w:bookmarkEnd w:id="223"/>
      <w:bookmarkEnd w:id="224"/>
      <w:bookmarkEnd w:id="225"/>
      <w:bookmarkEnd w:id="226"/>
      <w:bookmarkEnd w:id="227"/>
      <w:bookmarkEnd w:id="228"/>
      <w:bookmarkEnd w:id="229"/>
      <w:bookmarkEnd w:id="230"/>
    </w:p>
    <w:p>
      <w:pPr>
        <w:pStyle w:val="56"/>
        <w:spacing w:line="360" w:lineRule="auto"/>
        <w:rPr>
          <w:rFonts w:ascii="宋体" w:hAnsi="宋体" w:eastAsia="宋体"/>
        </w:rPr>
      </w:pPr>
      <w:bookmarkStart w:id="231" w:name="_Toc427580061"/>
      <w:bookmarkStart w:id="232" w:name="_Toc144974515"/>
      <w:bookmarkStart w:id="233" w:name="_Toc152045547"/>
      <w:bookmarkStart w:id="234" w:name="_Toc475691314"/>
      <w:bookmarkStart w:id="235" w:name="_Toc489430844"/>
      <w:bookmarkStart w:id="236" w:name="_Toc489430484"/>
      <w:bookmarkStart w:id="237" w:name="_Toc18450"/>
      <w:bookmarkStart w:id="238" w:name="_Toc407219606"/>
      <w:bookmarkStart w:id="239" w:name="_Toc152042323"/>
      <w:bookmarkStart w:id="240" w:name="_Toc259605246"/>
      <w:bookmarkStart w:id="241" w:name="_Toc427583674"/>
      <w:bookmarkStart w:id="242" w:name="_Toc116314099"/>
      <w:r>
        <w:rPr>
          <w:rFonts w:hint="eastAsia" w:ascii="宋体" w:hAnsi="宋体" w:eastAsia="宋体"/>
          <w:b/>
          <w:szCs w:val="24"/>
        </w:rPr>
        <w:t>3.1 投标文件的组成</w:t>
      </w:r>
      <w:bookmarkEnd w:id="231"/>
      <w:bookmarkEnd w:id="232"/>
      <w:bookmarkEnd w:id="233"/>
      <w:bookmarkEnd w:id="234"/>
      <w:bookmarkEnd w:id="235"/>
      <w:bookmarkEnd w:id="236"/>
      <w:bookmarkEnd w:id="237"/>
      <w:bookmarkEnd w:id="238"/>
      <w:bookmarkEnd w:id="239"/>
      <w:bookmarkEnd w:id="240"/>
      <w:bookmarkEnd w:id="241"/>
      <w:r>
        <w:rPr>
          <w:rFonts w:hint="eastAsia" w:ascii="宋体" w:hAnsi="宋体" w:eastAsia="宋体"/>
          <w:b/>
          <w:szCs w:val="24"/>
        </w:rPr>
        <w:t>:详见第七章投标文件格式</w:t>
      </w:r>
      <w:bookmarkEnd w:id="242"/>
      <w:r>
        <w:rPr>
          <w:rFonts w:hint="eastAsia" w:ascii="宋体" w:hAnsi="宋体" w:eastAsia="宋体"/>
          <w:b/>
          <w:szCs w:val="24"/>
        </w:rPr>
        <w:t>，投标文件格式以《全国公共资源交易平台(河南省▪宝丰县)》公共资源交易系统最终生成的为准。</w:t>
      </w:r>
    </w:p>
    <w:p>
      <w:pPr>
        <w:pStyle w:val="56"/>
        <w:spacing w:line="360" w:lineRule="auto"/>
        <w:rPr>
          <w:rFonts w:ascii="宋体" w:hAnsi="宋体" w:eastAsia="宋体"/>
          <w:b/>
          <w:szCs w:val="24"/>
        </w:rPr>
      </w:pPr>
      <w:bookmarkStart w:id="243" w:name="_Toc427580062"/>
      <w:bookmarkStart w:id="244" w:name="_Toc152045548"/>
      <w:bookmarkStart w:id="245" w:name="_Toc489430845"/>
      <w:bookmarkStart w:id="246" w:name="_Toc259605247"/>
      <w:bookmarkStart w:id="247" w:name="_Toc475691315"/>
      <w:bookmarkStart w:id="248" w:name="_Toc407219607"/>
      <w:bookmarkStart w:id="249" w:name="_Toc116314100"/>
      <w:bookmarkStart w:id="250" w:name="_Toc25818"/>
      <w:bookmarkStart w:id="251" w:name="_Toc152042324"/>
      <w:bookmarkStart w:id="252" w:name="_Toc427583675"/>
      <w:bookmarkStart w:id="253" w:name="_Toc489430485"/>
      <w:bookmarkStart w:id="254" w:name="_Toc144974516"/>
      <w:r>
        <w:rPr>
          <w:rFonts w:hint="eastAsia" w:ascii="宋体" w:hAnsi="宋体" w:eastAsia="宋体"/>
          <w:b/>
          <w:szCs w:val="24"/>
        </w:rPr>
        <w:t>3.2 投标报价</w:t>
      </w:r>
      <w:bookmarkEnd w:id="243"/>
      <w:bookmarkEnd w:id="244"/>
      <w:bookmarkEnd w:id="245"/>
      <w:bookmarkEnd w:id="246"/>
      <w:bookmarkEnd w:id="247"/>
      <w:bookmarkEnd w:id="248"/>
      <w:bookmarkEnd w:id="249"/>
      <w:bookmarkEnd w:id="250"/>
      <w:bookmarkEnd w:id="251"/>
      <w:bookmarkEnd w:id="252"/>
      <w:bookmarkEnd w:id="253"/>
      <w:bookmarkEnd w:id="254"/>
    </w:p>
    <w:p>
      <w:pPr>
        <w:spacing w:line="360" w:lineRule="auto"/>
        <w:ind w:firstLine="480" w:firstLineChars="200"/>
        <w:rPr>
          <w:rFonts w:ascii="宋体" w:hAnsi="宋体"/>
          <w:sz w:val="24"/>
        </w:rPr>
      </w:pPr>
      <w:bookmarkStart w:id="255" w:name="_Toc407219608"/>
      <w:bookmarkStart w:id="256" w:name="_Toc144974517"/>
      <w:bookmarkStart w:id="257" w:name="_Toc152045549"/>
      <w:bookmarkStart w:id="258" w:name="_Toc259605248"/>
      <w:bookmarkStart w:id="259" w:name="_Toc152042325"/>
      <w:r>
        <w:rPr>
          <w:rFonts w:hint="eastAsia" w:ascii="宋体" w:hAnsi="宋体"/>
          <w:sz w:val="24"/>
        </w:rPr>
        <w:t>3.2.1投标人应参考招标人所提供的监理工作内容及招标控制价，根据工程建设监理收费标准，结合本工程实际情况和企业成本、市场行情自主投报。</w:t>
      </w:r>
    </w:p>
    <w:p>
      <w:pPr>
        <w:spacing w:line="360" w:lineRule="auto"/>
        <w:ind w:firstLine="480" w:firstLineChars="200"/>
        <w:rPr>
          <w:rFonts w:ascii="宋体" w:hAnsi="宋体"/>
          <w:sz w:val="24"/>
        </w:rPr>
      </w:pPr>
      <w:r>
        <w:rPr>
          <w:rFonts w:hint="eastAsia" w:ascii="宋体" w:hAnsi="宋体"/>
          <w:sz w:val="24"/>
        </w:rPr>
        <w:t>3.2.2投标人的监理酬金是在监理服务期内，投标人按合同规定的范围所提供全部服务所需的费用。</w:t>
      </w:r>
    </w:p>
    <w:p>
      <w:pPr>
        <w:spacing w:line="360" w:lineRule="auto"/>
        <w:ind w:firstLine="480" w:firstLineChars="200"/>
        <w:rPr>
          <w:rFonts w:ascii="宋体" w:hAnsi="宋体"/>
          <w:sz w:val="24"/>
        </w:rPr>
      </w:pPr>
      <w:r>
        <w:rPr>
          <w:rFonts w:hint="eastAsia" w:ascii="宋体" w:hAnsi="宋体"/>
          <w:sz w:val="24"/>
        </w:rPr>
        <w:t>3.2.3投标人在报价时应考虑监理期间的物价上涨、政策性调整等诸多因素以及由此引起的费用变动，并计入报价。</w:t>
      </w:r>
    </w:p>
    <w:p>
      <w:pPr>
        <w:spacing w:line="360" w:lineRule="auto"/>
        <w:ind w:firstLine="480" w:firstLineChars="200"/>
        <w:rPr>
          <w:rFonts w:ascii="宋体" w:hAnsi="宋体"/>
          <w:sz w:val="24"/>
        </w:rPr>
      </w:pPr>
      <w:r>
        <w:rPr>
          <w:rFonts w:hint="eastAsia" w:ascii="宋体" w:hAnsi="宋体"/>
          <w:sz w:val="24"/>
        </w:rPr>
        <w:t>3.2.4投标人只能提交一个报价，招标人不接受任何有选择性的报价。</w:t>
      </w:r>
    </w:p>
    <w:p>
      <w:pPr>
        <w:spacing w:line="360" w:lineRule="auto"/>
        <w:ind w:firstLine="480" w:firstLineChars="200"/>
        <w:rPr>
          <w:rFonts w:ascii="宋体" w:hAnsi="宋体"/>
          <w:sz w:val="24"/>
        </w:rPr>
      </w:pPr>
      <w:r>
        <w:rPr>
          <w:rFonts w:hint="eastAsia" w:ascii="宋体" w:hAnsi="宋体"/>
          <w:sz w:val="24"/>
        </w:rPr>
        <w:t>3.2.5本项目以人民币结算。</w:t>
      </w:r>
    </w:p>
    <w:p>
      <w:pPr>
        <w:pStyle w:val="56"/>
        <w:spacing w:line="360" w:lineRule="auto"/>
        <w:rPr>
          <w:rFonts w:ascii="宋体" w:hAnsi="宋体" w:eastAsia="宋体"/>
          <w:b/>
          <w:szCs w:val="24"/>
        </w:rPr>
      </w:pPr>
      <w:bookmarkStart w:id="260" w:name="_Toc427583676"/>
      <w:bookmarkStart w:id="261" w:name="_Toc116314101"/>
      <w:bookmarkStart w:id="262" w:name="_Toc489430486"/>
      <w:bookmarkStart w:id="263" w:name="_Toc489430846"/>
      <w:bookmarkStart w:id="264" w:name="_Toc12247"/>
      <w:bookmarkStart w:id="265" w:name="_Toc475691316"/>
      <w:bookmarkStart w:id="266" w:name="_Toc427580063"/>
      <w:r>
        <w:rPr>
          <w:rFonts w:hint="eastAsia" w:ascii="宋体" w:hAnsi="宋体" w:eastAsia="宋体"/>
          <w:b/>
          <w:szCs w:val="24"/>
        </w:rPr>
        <w:t>3.3 投标有效期</w:t>
      </w:r>
      <w:bookmarkEnd w:id="255"/>
      <w:bookmarkEnd w:id="256"/>
      <w:bookmarkEnd w:id="257"/>
      <w:bookmarkEnd w:id="258"/>
      <w:bookmarkEnd w:id="259"/>
      <w:bookmarkEnd w:id="260"/>
      <w:bookmarkEnd w:id="261"/>
      <w:bookmarkEnd w:id="262"/>
      <w:bookmarkEnd w:id="263"/>
      <w:bookmarkEnd w:id="264"/>
      <w:bookmarkEnd w:id="265"/>
      <w:bookmarkEnd w:id="266"/>
    </w:p>
    <w:p>
      <w:pPr>
        <w:spacing w:line="360" w:lineRule="auto"/>
        <w:ind w:firstLine="480" w:firstLineChars="200"/>
        <w:rPr>
          <w:rFonts w:ascii="宋体" w:hAnsi="宋体"/>
          <w:sz w:val="24"/>
        </w:rPr>
      </w:pPr>
      <w:r>
        <w:rPr>
          <w:rFonts w:hint="eastAsia" w:ascii="宋体" w:hAnsi="宋体"/>
          <w:sz w:val="24"/>
        </w:rPr>
        <w:t>3.3.1在投标人须知前附表规定的投标有效期内，投标人不得要求撤销或修改其投标文件。</w:t>
      </w:r>
    </w:p>
    <w:p>
      <w:pPr>
        <w:spacing w:line="360" w:lineRule="auto"/>
        <w:ind w:firstLine="480" w:firstLineChars="200"/>
        <w:rPr>
          <w:rFonts w:ascii="宋体" w:hAnsi="宋体"/>
          <w:sz w:val="24"/>
        </w:rPr>
      </w:pPr>
      <w:r>
        <w:rPr>
          <w:rFonts w:hint="eastAsia" w:ascii="宋体" w:hAnsi="宋体"/>
          <w:sz w:val="24"/>
        </w:rPr>
        <w:t>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56"/>
        <w:spacing w:line="360" w:lineRule="auto"/>
        <w:rPr>
          <w:rFonts w:ascii="宋体" w:hAnsi="宋体" w:eastAsia="宋体"/>
          <w:b/>
          <w:szCs w:val="24"/>
        </w:rPr>
      </w:pPr>
      <w:bookmarkStart w:id="267" w:name="_Toc489430847"/>
      <w:bookmarkStart w:id="268" w:name="_Toc259605249"/>
      <w:bookmarkStart w:id="269" w:name="_Toc15062"/>
      <w:bookmarkStart w:id="270" w:name="_Toc427583677"/>
      <w:bookmarkStart w:id="271" w:name="_Toc475691317"/>
      <w:bookmarkStart w:id="272" w:name="_Toc116314102"/>
      <w:bookmarkStart w:id="273" w:name="_Toc144974518"/>
      <w:bookmarkStart w:id="274" w:name="_Toc152045550"/>
      <w:bookmarkStart w:id="275" w:name="_Toc152042326"/>
      <w:bookmarkStart w:id="276" w:name="_Toc427580064"/>
      <w:bookmarkStart w:id="277" w:name="_Toc489430487"/>
      <w:bookmarkStart w:id="278" w:name="_Toc407219609"/>
      <w:r>
        <w:rPr>
          <w:rFonts w:hint="eastAsia" w:ascii="宋体" w:hAnsi="宋体" w:eastAsia="宋体"/>
          <w:b/>
          <w:szCs w:val="24"/>
        </w:rPr>
        <w:t>3.4 投标保证金</w:t>
      </w:r>
      <w:bookmarkEnd w:id="267"/>
      <w:bookmarkEnd w:id="268"/>
      <w:bookmarkEnd w:id="269"/>
      <w:bookmarkEnd w:id="270"/>
      <w:bookmarkEnd w:id="271"/>
      <w:bookmarkEnd w:id="272"/>
      <w:bookmarkEnd w:id="273"/>
      <w:bookmarkEnd w:id="274"/>
      <w:bookmarkEnd w:id="275"/>
      <w:bookmarkEnd w:id="276"/>
      <w:bookmarkEnd w:id="277"/>
      <w:bookmarkEnd w:id="278"/>
    </w:p>
    <w:p>
      <w:pPr>
        <w:spacing w:line="360" w:lineRule="auto"/>
        <w:ind w:firstLine="480" w:firstLineChars="200"/>
        <w:rPr>
          <w:rFonts w:ascii="宋体" w:hAnsi="宋体"/>
          <w:sz w:val="24"/>
        </w:rPr>
      </w:pPr>
      <w:r>
        <w:rPr>
          <w:rFonts w:hint="eastAsia" w:ascii="宋体" w:hAnsi="宋体"/>
          <w:sz w:val="24"/>
        </w:rPr>
        <w:t>3.4.1 投标人在递交投标文件的同时，应按投标人须知前附表的规定</w:t>
      </w:r>
      <w:r>
        <w:rPr>
          <w:rFonts w:hint="eastAsia" w:ascii="宋体" w:hAnsi="宋体" w:cs="Times New Roman"/>
          <w:sz w:val="24"/>
        </w:rPr>
        <w:t>递交投标保证金</w:t>
      </w:r>
      <w:r>
        <w:rPr>
          <w:rFonts w:hint="eastAsia" w:ascii="宋体" w:hAnsi="宋体"/>
          <w:sz w:val="24"/>
        </w:rPr>
        <w:t>，并作为其投标文件的组成部分。</w:t>
      </w:r>
    </w:p>
    <w:p>
      <w:pPr>
        <w:spacing w:line="360" w:lineRule="auto"/>
        <w:ind w:firstLine="480" w:firstLineChars="200"/>
        <w:rPr>
          <w:rFonts w:ascii="宋体" w:hAnsi="宋体"/>
          <w:sz w:val="24"/>
        </w:rPr>
      </w:pPr>
      <w:r>
        <w:rPr>
          <w:rFonts w:hint="eastAsia" w:ascii="宋体" w:hAnsi="宋体"/>
          <w:sz w:val="24"/>
        </w:rPr>
        <w:t>3.4.2 投标人不按本章第3.4.1项要求提交投标保证金的，其投标文件将被否决。</w:t>
      </w:r>
    </w:p>
    <w:p>
      <w:pPr>
        <w:spacing w:line="360" w:lineRule="auto"/>
        <w:ind w:firstLine="480" w:firstLineChars="200"/>
        <w:rPr>
          <w:rFonts w:ascii="宋体" w:hAnsi="宋体"/>
          <w:sz w:val="24"/>
        </w:rPr>
      </w:pPr>
      <w:r>
        <w:rPr>
          <w:rFonts w:hint="eastAsia" w:ascii="宋体" w:hAnsi="宋体"/>
          <w:sz w:val="24"/>
        </w:rPr>
        <w:t>3.4.3招标人或者招标代理机构应当自中标通知书发出之日起5个工作日内退还未中标投标人的投标保证金，自合同签订之日起5日内退还中标投标人的投标保证金。</w:t>
      </w:r>
    </w:p>
    <w:p>
      <w:pPr>
        <w:spacing w:line="360" w:lineRule="auto"/>
        <w:ind w:firstLine="480" w:firstLineChars="200"/>
        <w:rPr>
          <w:rFonts w:ascii="宋体" w:hAnsi="宋体"/>
          <w:sz w:val="24"/>
        </w:rPr>
      </w:pPr>
      <w:r>
        <w:rPr>
          <w:rFonts w:hint="eastAsia" w:ascii="宋体" w:hAnsi="宋体"/>
          <w:sz w:val="24"/>
        </w:rPr>
        <w:t>3.4.4 有下列情形之一的，投标保证金将不予退还：</w:t>
      </w:r>
    </w:p>
    <w:p>
      <w:pPr>
        <w:spacing w:line="360" w:lineRule="auto"/>
        <w:ind w:firstLine="480" w:firstLineChars="200"/>
        <w:rPr>
          <w:rFonts w:ascii="宋体" w:hAnsi="宋体"/>
          <w:sz w:val="24"/>
        </w:rPr>
      </w:pPr>
      <w:r>
        <w:rPr>
          <w:rFonts w:hint="eastAsia" w:ascii="宋体" w:hAnsi="宋体"/>
          <w:sz w:val="24"/>
        </w:rPr>
        <w:t>（1）投标人在规定的投标有效期内撤销或修改其投标文件；</w:t>
      </w:r>
    </w:p>
    <w:p>
      <w:pPr>
        <w:spacing w:line="360" w:lineRule="auto"/>
        <w:ind w:firstLine="480" w:firstLineChars="200"/>
        <w:rPr>
          <w:rFonts w:ascii="宋体" w:hAnsi="宋体"/>
          <w:sz w:val="24"/>
        </w:rPr>
      </w:pPr>
      <w:r>
        <w:rPr>
          <w:rFonts w:hint="eastAsia" w:ascii="宋体" w:hAnsi="宋体"/>
          <w:sz w:val="24"/>
        </w:rPr>
        <w:t>（2）中标人在收到中标通知书后，无正当理由拒签合同协议书。</w:t>
      </w:r>
    </w:p>
    <w:p>
      <w:pPr>
        <w:spacing w:line="360" w:lineRule="auto"/>
        <w:ind w:firstLine="480" w:firstLineChars="200"/>
        <w:rPr>
          <w:rFonts w:ascii="宋体" w:hAnsi="宋体"/>
          <w:sz w:val="24"/>
        </w:rPr>
      </w:pPr>
      <w:r>
        <w:rPr>
          <w:rFonts w:hint="eastAsia" w:ascii="宋体" w:hAnsi="宋体"/>
          <w:sz w:val="24"/>
        </w:rPr>
        <w:t>（3）投标文件中提供虚假文件的；</w:t>
      </w:r>
    </w:p>
    <w:p>
      <w:pPr>
        <w:spacing w:line="360" w:lineRule="auto"/>
        <w:ind w:firstLine="480" w:firstLineChars="200"/>
        <w:rPr>
          <w:rFonts w:ascii="宋体" w:hAnsi="宋体"/>
          <w:sz w:val="24"/>
        </w:rPr>
      </w:pPr>
      <w:r>
        <w:rPr>
          <w:rFonts w:hint="eastAsia" w:ascii="宋体" w:hAnsi="宋体"/>
          <w:sz w:val="24"/>
        </w:rPr>
        <w:t>（4）投标人在评标期间用不正当手段试图影响、改变评标结果的；</w:t>
      </w:r>
    </w:p>
    <w:p>
      <w:pPr>
        <w:spacing w:line="360" w:lineRule="auto"/>
        <w:ind w:firstLine="480" w:firstLineChars="200"/>
        <w:rPr>
          <w:rFonts w:ascii="宋体" w:hAnsi="宋体"/>
          <w:sz w:val="24"/>
          <w:highlight w:val="yellow"/>
        </w:rPr>
      </w:pPr>
      <w:r>
        <w:rPr>
          <w:rFonts w:hint="eastAsia" w:ascii="宋体" w:hAnsi="宋体"/>
          <w:sz w:val="24"/>
        </w:rPr>
        <w:t>（5）与采购人、其他供应商或招标人工作人员恶意串通的；</w:t>
      </w:r>
    </w:p>
    <w:p>
      <w:pPr>
        <w:pStyle w:val="56"/>
        <w:spacing w:line="360" w:lineRule="auto"/>
        <w:rPr>
          <w:rFonts w:ascii="宋体" w:hAnsi="宋体" w:eastAsia="宋体"/>
          <w:b/>
          <w:szCs w:val="24"/>
        </w:rPr>
      </w:pPr>
      <w:bookmarkStart w:id="279" w:name="_Toc152045552"/>
      <w:bookmarkStart w:id="280" w:name="_Toc152042328"/>
      <w:bookmarkStart w:id="281" w:name="_Toc489430848"/>
      <w:bookmarkStart w:id="282" w:name="_Toc489430488"/>
      <w:bookmarkStart w:id="283" w:name="_Toc427580065"/>
      <w:bookmarkStart w:id="284" w:name="_Toc427583678"/>
      <w:bookmarkStart w:id="285" w:name="_Toc116314103"/>
      <w:bookmarkStart w:id="286" w:name="_Toc259605250"/>
      <w:bookmarkStart w:id="287" w:name="_Toc407219610"/>
      <w:bookmarkStart w:id="288" w:name="_Toc144974520"/>
      <w:bookmarkStart w:id="289" w:name="_Toc9766"/>
      <w:bookmarkStart w:id="290" w:name="_Toc475691318"/>
      <w:r>
        <w:rPr>
          <w:rFonts w:hint="eastAsia" w:ascii="宋体" w:hAnsi="宋体" w:eastAsia="宋体"/>
          <w:b/>
          <w:szCs w:val="24"/>
        </w:rPr>
        <w:t>3.5 资格审查资料</w:t>
      </w:r>
      <w:bookmarkEnd w:id="279"/>
      <w:bookmarkEnd w:id="280"/>
      <w:bookmarkEnd w:id="281"/>
      <w:bookmarkEnd w:id="282"/>
      <w:bookmarkEnd w:id="283"/>
      <w:bookmarkEnd w:id="284"/>
      <w:bookmarkEnd w:id="285"/>
      <w:bookmarkEnd w:id="286"/>
      <w:bookmarkEnd w:id="287"/>
      <w:bookmarkEnd w:id="288"/>
      <w:bookmarkEnd w:id="289"/>
      <w:bookmarkEnd w:id="290"/>
    </w:p>
    <w:p>
      <w:pPr>
        <w:spacing w:line="360" w:lineRule="auto"/>
        <w:ind w:firstLine="480" w:firstLineChars="200"/>
        <w:rPr>
          <w:rFonts w:ascii="宋体" w:hAnsi="宋体"/>
          <w:sz w:val="24"/>
        </w:rPr>
      </w:pPr>
      <w:r>
        <w:rPr>
          <w:rFonts w:hint="eastAsia" w:ascii="宋体" w:hAnsi="宋体"/>
          <w:sz w:val="24"/>
        </w:rPr>
        <w:t>3.5.1 本项目采用资格后审方式，审查内容见“第三章 评标办法前附表”。</w:t>
      </w:r>
    </w:p>
    <w:p>
      <w:pPr>
        <w:pStyle w:val="56"/>
        <w:spacing w:line="360" w:lineRule="auto"/>
        <w:rPr>
          <w:rFonts w:ascii="宋体" w:hAnsi="宋体" w:eastAsia="宋体"/>
          <w:b/>
          <w:szCs w:val="24"/>
        </w:rPr>
      </w:pPr>
      <w:bookmarkStart w:id="291" w:name="_Toc427580066"/>
      <w:bookmarkStart w:id="292" w:name="_Toc427583679"/>
      <w:bookmarkStart w:id="293" w:name="_Toc116314104"/>
      <w:bookmarkStart w:id="294" w:name="_Toc144974521"/>
      <w:bookmarkStart w:id="295" w:name="_Toc489430489"/>
      <w:bookmarkStart w:id="296" w:name="_Toc489430849"/>
      <w:bookmarkStart w:id="297" w:name="_Toc259605251"/>
      <w:bookmarkStart w:id="298" w:name="_Toc152042329"/>
      <w:bookmarkStart w:id="299" w:name="_Toc3775"/>
      <w:bookmarkStart w:id="300" w:name="_Toc152045553"/>
      <w:bookmarkStart w:id="301" w:name="_Toc407219611"/>
      <w:bookmarkStart w:id="302" w:name="_Toc475691319"/>
      <w:r>
        <w:rPr>
          <w:rFonts w:hint="eastAsia" w:ascii="宋体" w:hAnsi="宋体" w:eastAsia="宋体"/>
          <w:b/>
          <w:szCs w:val="24"/>
        </w:rPr>
        <w:t>3.6 备选投标方案</w:t>
      </w:r>
      <w:bookmarkEnd w:id="291"/>
      <w:bookmarkEnd w:id="292"/>
      <w:bookmarkEnd w:id="293"/>
      <w:bookmarkEnd w:id="294"/>
      <w:bookmarkEnd w:id="295"/>
      <w:bookmarkEnd w:id="296"/>
      <w:bookmarkEnd w:id="297"/>
      <w:bookmarkEnd w:id="298"/>
      <w:bookmarkEnd w:id="299"/>
      <w:bookmarkEnd w:id="300"/>
      <w:bookmarkEnd w:id="301"/>
      <w:bookmarkEnd w:id="302"/>
    </w:p>
    <w:p>
      <w:pPr>
        <w:spacing w:line="360" w:lineRule="auto"/>
        <w:ind w:firstLine="480" w:firstLineChars="200"/>
        <w:rPr>
          <w:rFonts w:ascii="宋体" w:hAnsi="宋体"/>
          <w:sz w:val="24"/>
        </w:rPr>
      </w:pPr>
      <w:r>
        <w:rPr>
          <w:rFonts w:hint="eastAsia" w:ascii="宋体" w:hAnsi="宋体"/>
          <w:sz w:val="24"/>
        </w:rPr>
        <w:t>本项目拒绝投标人递交备选投标方案。</w:t>
      </w:r>
    </w:p>
    <w:p>
      <w:pPr>
        <w:pStyle w:val="56"/>
        <w:spacing w:line="360" w:lineRule="auto"/>
        <w:rPr>
          <w:rFonts w:ascii="宋体" w:hAnsi="宋体" w:eastAsia="宋体"/>
          <w:b/>
          <w:szCs w:val="24"/>
        </w:rPr>
      </w:pPr>
      <w:bookmarkStart w:id="303" w:name="_Toc9993"/>
      <w:bookmarkStart w:id="304" w:name="_Toc427580067"/>
      <w:bookmarkStart w:id="305" w:name="_Toc152045554"/>
      <w:bookmarkStart w:id="306" w:name="_Toc144974522"/>
      <w:bookmarkStart w:id="307" w:name="_Toc427583680"/>
      <w:bookmarkStart w:id="308" w:name="_Toc259605252"/>
      <w:bookmarkStart w:id="309" w:name="_Toc489430490"/>
      <w:bookmarkStart w:id="310" w:name="_Toc152042330"/>
      <w:bookmarkStart w:id="311" w:name="_Toc407219612"/>
      <w:bookmarkStart w:id="312" w:name="_Toc489430850"/>
      <w:bookmarkStart w:id="313" w:name="_Toc116314105"/>
      <w:bookmarkStart w:id="314" w:name="_Toc475691320"/>
      <w:r>
        <w:rPr>
          <w:rFonts w:hint="eastAsia" w:ascii="宋体" w:hAnsi="宋体" w:eastAsia="宋体"/>
          <w:b/>
          <w:szCs w:val="24"/>
        </w:rPr>
        <w:t>3.7 投标文件的编制</w:t>
      </w:r>
      <w:bookmarkEnd w:id="303"/>
      <w:bookmarkEnd w:id="304"/>
      <w:bookmarkEnd w:id="305"/>
      <w:bookmarkEnd w:id="306"/>
      <w:bookmarkEnd w:id="307"/>
      <w:bookmarkEnd w:id="308"/>
      <w:bookmarkEnd w:id="309"/>
      <w:bookmarkEnd w:id="310"/>
      <w:bookmarkEnd w:id="311"/>
      <w:bookmarkEnd w:id="312"/>
      <w:bookmarkEnd w:id="313"/>
      <w:bookmarkEnd w:id="314"/>
    </w:p>
    <w:p>
      <w:pPr>
        <w:spacing w:line="360" w:lineRule="auto"/>
        <w:ind w:firstLine="480" w:firstLineChars="200"/>
        <w:rPr>
          <w:rFonts w:ascii="宋体" w:hAnsi="宋体"/>
          <w:sz w:val="24"/>
        </w:rPr>
      </w:pPr>
      <w:r>
        <w:rPr>
          <w:rFonts w:hint="eastAsia" w:ascii="宋体" w:hAnsi="宋体"/>
          <w:sz w:val="24"/>
        </w:rPr>
        <w:t>3.7.1投标文件应按第七章 “投标文件格式”进行编写，如有必要，可以增加附页，作为投标文件的组成部分。其中，投标函附录在满足招标文件实质性要求的基础上，可以提出比招标文件要求更有利于招标人的承诺。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80" w:firstLineChars="200"/>
        <w:rPr>
          <w:rFonts w:ascii="宋体" w:hAnsi="宋体"/>
          <w:sz w:val="24"/>
        </w:rPr>
      </w:pPr>
      <w:r>
        <w:rPr>
          <w:rFonts w:hint="eastAsia" w:ascii="宋体" w:hAnsi="宋体"/>
          <w:sz w:val="24"/>
        </w:rPr>
        <w:t>3.7.2 投标文件应当对招标文件有关、投标有效期、质量、监理工作范围等实质性内容作出响应。</w:t>
      </w:r>
    </w:p>
    <w:p>
      <w:pPr>
        <w:spacing w:line="360" w:lineRule="auto"/>
        <w:ind w:firstLine="480" w:firstLineChars="200"/>
        <w:rPr>
          <w:rFonts w:ascii="宋体" w:hAnsi="宋体"/>
          <w:sz w:val="24"/>
        </w:rPr>
      </w:pPr>
      <w:r>
        <w:rPr>
          <w:rFonts w:hint="eastAsia" w:ascii="宋体" w:hAnsi="宋体"/>
          <w:sz w:val="24"/>
        </w:rPr>
        <w:t>3.7.3投标文件全部采用电子文档，除投标人须知前附表另有规定外，投标文件所附证书证件均为原件扫描件，并采用单位和个人数字证书，按招标文件要求在相应位置加盖电子印章。签字或盖章的具体要求见投标人须知前附表。</w:t>
      </w:r>
    </w:p>
    <w:p>
      <w:pPr>
        <w:spacing w:line="360" w:lineRule="auto"/>
        <w:ind w:firstLine="480" w:firstLineChars="200"/>
        <w:rPr>
          <w:rFonts w:ascii="宋体" w:hAnsi="宋体"/>
          <w:sz w:val="24"/>
        </w:rPr>
      </w:pPr>
      <w:r>
        <w:rPr>
          <w:rFonts w:hint="eastAsia" w:ascii="宋体" w:hAnsi="宋体"/>
          <w:sz w:val="24"/>
        </w:rPr>
        <w:t>特别注意事项</w:t>
      </w:r>
    </w:p>
    <w:p>
      <w:pPr>
        <w:spacing w:line="360" w:lineRule="auto"/>
        <w:ind w:firstLine="480" w:firstLineChars="200"/>
        <w:rPr>
          <w:rFonts w:ascii="宋体" w:hAnsi="宋体"/>
          <w:sz w:val="24"/>
        </w:rPr>
      </w:pPr>
      <w:r>
        <w:rPr>
          <w:rFonts w:hint="eastAsia" w:ascii="宋体" w:hAnsi="宋体"/>
          <w:sz w:val="24"/>
        </w:rPr>
        <w:t>本项目为电子化交易项目，投标文件是投标人、投标人（以下简称“投标人”） 通过中心投标文件制作系统制作，并经过电子签章和加密后生成的电子版投标文件。投标人投标时，需要上传电子版投标文件。</w:t>
      </w:r>
    </w:p>
    <w:p>
      <w:pPr>
        <w:spacing w:line="360" w:lineRule="auto"/>
        <w:ind w:firstLine="480" w:firstLineChars="200"/>
        <w:rPr>
          <w:rFonts w:ascii="宋体" w:hAnsi="宋体"/>
          <w:sz w:val="24"/>
        </w:rPr>
      </w:pPr>
      <w:r>
        <w:rPr>
          <w:rFonts w:hint="eastAsia" w:ascii="宋体" w:hAnsi="宋体"/>
          <w:sz w:val="24"/>
        </w:rPr>
        <w:t>电子化投标文件具体制作教材请投标人通过 CA 证书登录宝丰县公共资源电子化交易网在 “组件下载”中查看。</w:t>
      </w:r>
    </w:p>
    <w:p>
      <w:pPr>
        <w:pStyle w:val="55"/>
        <w:spacing w:before="0" w:line="360" w:lineRule="auto"/>
        <w:rPr>
          <w:rFonts w:ascii="宋体" w:hAnsi="宋体" w:eastAsia="宋体"/>
          <w:b/>
        </w:rPr>
      </w:pPr>
      <w:bookmarkStart w:id="315" w:name="_Toc152045555"/>
      <w:bookmarkStart w:id="316" w:name="_Toc489430491"/>
      <w:bookmarkStart w:id="317" w:name="_Toc144974523"/>
      <w:bookmarkStart w:id="318" w:name="_Toc489430851"/>
      <w:bookmarkStart w:id="319" w:name="_Toc13016"/>
      <w:bookmarkStart w:id="320" w:name="_Toc152042331"/>
      <w:bookmarkStart w:id="321" w:name="_Toc475691321"/>
      <w:bookmarkStart w:id="322" w:name="_Toc116314106"/>
      <w:r>
        <w:rPr>
          <w:rFonts w:hint="eastAsia" w:ascii="宋体" w:hAnsi="宋体" w:eastAsia="宋体"/>
          <w:b/>
        </w:rPr>
        <w:t>4. 投标</w:t>
      </w:r>
      <w:bookmarkEnd w:id="315"/>
      <w:bookmarkEnd w:id="316"/>
      <w:bookmarkEnd w:id="317"/>
      <w:bookmarkEnd w:id="318"/>
      <w:bookmarkEnd w:id="319"/>
      <w:bookmarkEnd w:id="320"/>
      <w:bookmarkEnd w:id="321"/>
      <w:bookmarkEnd w:id="322"/>
    </w:p>
    <w:p>
      <w:pPr>
        <w:spacing w:line="360" w:lineRule="auto"/>
        <w:rPr>
          <w:rFonts w:ascii="宋体" w:hAnsi="宋体"/>
          <w:b/>
          <w:bCs/>
          <w:sz w:val="24"/>
        </w:rPr>
      </w:pPr>
      <w:bookmarkStart w:id="323" w:name="_Toc427583683"/>
      <w:bookmarkStart w:id="324" w:name="_Toc152045557"/>
      <w:bookmarkStart w:id="325" w:name="_Toc259605255"/>
      <w:bookmarkStart w:id="326" w:name="_Toc152042333"/>
      <w:bookmarkStart w:id="327" w:name="_Toc475691323"/>
      <w:bookmarkStart w:id="328" w:name="_Toc13925"/>
      <w:bookmarkStart w:id="329" w:name="_Toc427580070"/>
      <w:bookmarkStart w:id="330" w:name="_Toc407219615"/>
      <w:bookmarkStart w:id="331" w:name="_Toc489430493"/>
      <w:bookmarkStart w:id="332" w:name="_Toc489430853"/>
      <w:bookmarkStart w:id="333" w:name="_Toc144974525"/>
      <w:r>
        <w:rPr>
          <w:rFonts w:hint="eastAsia" w:ascii="宋体" w:hAnsi="宋体"/>
          <w:b/>
          <w:bCs/>
          <w:sz w:val="24"/>
        </w:rPr>
        <w:t>4.1 投标文件的加密</w:t>
      </w:r>
    </w:p>
    <w:p>
      <w:pPr>
        <w:spacing w:line="360" w:lineRule="auto"/>
        <w:ind w:firstLine="480" w:firstLineChars="200"/>
        <w:rPr>
          <w:rFonts w:ascii="宋体" w:hAnsi="宋体"/>
          <w:sz w:val="24"/>
        </w:rPr>
      </w:pPr>
      <w:r>
        <w:rPr>
          <w:rFonts w:hint="eastAsia" w:ascii="宋体" w:hAnsi="宋体"/>
          <w:sz w:val="24"/>
        </w:rPr>
        <w:t>4.1.1实行电子招标投标时，</w:t>
      </w:r>
      <w:r>
        <w:rPr>
          <w:rFonts w:ascii="宋体" w:hAnsi="宋体"/>
          <w:sz w:val="24"/>
        </w:rPr>
        <w:t>供应商应当按照招标文件和电子招标投标交易平台的要求加密投标文件。</w:t>
      </w:r>
    </w:p>
    <w:p>
      <w:pPr>
        <w:spacing w:line="360" w:lineRule="auto"/>
        <w:rPr>
          <w:rFonts w:ascii="宋体" w:hAnsi="宋体"/>
          <w:b/>
          <w:bCs/>
          <w:sz w:val="24"/>
        </w:rPr>
      </w:pPr>
      <w:r>
        <w:rPr>
          <w:rFonts w:hint="eastAsia" w:ascii="宋体" w:hAnsi="宋体"/>
          <w:b/>
          <w:bCs/>
          <w:sz w:val="24"/>
        </w:rPr>
        <w:t>4.2 投标文件的递交</w:t>
      </w:r>
      <w:bookmarkEnd w:id="323"/>
      <w:bookmarkEnd w:id="324"/>
      <w:bookmarkEnd w:id="325"/>
      <w:bookmarkEnd w:id="326"/>
      <w:bookmarkEnd w:id="327"/>
      <w:bookmarkEnd w:id="328"/>
      <w:bookmarkEnd w:id="329"/>
      <w:bookmarkEnd w:id="330"/>
      <w:bookmarkEnd w:id="331"/>
      <w:bookmarkEnd w:id="332"/>
      <w:bookmarkEnd w:id="333"/>
    </w:p>
    <w:p>
      <w:pPr>
        <w:spacing w:line="360" w:lineRule="auto"/>
        <w:ind w:firstLine="480" w:firstLineChars="200"/>
        <w:rPr>
          <w:rFonts w:ascii="宋体" w:hAnsi="宋体"/>
          <w:sz w:val="24"/>
        </w:rPr>
      </w:pPr>
      <w:bookmarkStart w:id="334" w:name="_Toc407219616"/>
      <w:bookmarkStart w:id="335" w:name="_Toc489430854"/>
      <w:bookmarkStart w:id="336" w:name="_Toc259605256"/>
      <w:bookmarkStart w:id="337" w:name="_Toc152042334"/>
      <w:bookmarkStart w:id="338" w:name="_Toc475691324"/>
      <w:bookmarkStart w:id="339" w:name="_Toc489430494"/>
      <w:bookmarkStart w:id="340" w:name="_Toc427583684"/>
      <w:bookmarkStart w:id="341" w:name="_Toc144974526"/>
      <w:bookmarkStart w:id="342" w:name="_Toc427580071"/>
      <w:bookmarkStart w:id="343" w:name="_Toc16543"/>
      <w:bookmarkStart w:id="344" w:name="_Toc152045558"/>
      <w:r>
        <w:rPr>
          <w:rFonts w:hint="eastAsia" w:ascii="宋体" w:hAnsi="宋体"/>
          <w:sz w:val="24"/>
        </w:rPr>
        <w:t>4.2.1 加密电子投标文件应在招标文件规定的投标截止时间（开标时间）之前成功提交至 《 全 国 公 共 资 源 交 易 平 台 ( 河 南 省 ▪ 平 顶 山 市 ) 》 公 共 资 源 交 易 系 统（http://221.176.192.166:8080/ggzy/）。投标人应充分考虑并预留技术处理和上传数据所需时间。上传时必须得到电脑“上传成功”的确认。请投标人在上传时认真检查上传投标文件是否完整、正确。</w:t>
      </w:r>
    </w:p>
    <w:p>
      <w:pPr>
        <w:spacing w:line="360" w:lineRule="auto"/>
        <w:ind w:firstLine="480" w:firstLineChars="200"/>
        <w:rPr>
          <w:rFonts w:ascii="宋体" w:hAnsi="宋体"/>
          <w:sz w:val="24"/>
        </w:rPr>
      </w:pPr>
      <w:r>
        <w:rPr>
          <w:rFonts w:hint="eastAsia" w:ascii="宋体" w:hAnsi="宋体"/>
          <w:sz w:val="24"/>
        </w:rPr>
        <w:t>投标人对同一项目多个标段进行投标的，加密电子投标文件应按标段分别提交。</w:t>
      </w:r>
    </w:p>
    <w:p>
      <w:pPr>
        <w:spacing w:line="360" w:lineRule="auto"/>
        <w:ind w:firstLine="480" w:firstLineChars="200"/>
        <w:rPr>
          <w:rFonts w:ascii="宋体" w:hAnsi="宋体"/>
          <w:sz w:val="24"/>
        </w:rPr>
      </w:pPr>
      <w:r>
        <w:rPr>
          <w:rFonts w:hint="eastAsia" w:ascii="宋体" w:hAnsi="宋体"/>
          <w:sz w:val="24"/>
        </w:rPr>
        <w:t>逾期未完成上传或未按要求递交投标文件电子文档的，招标人不予受理。</w:t>
      </w:r>
    </w:p>
    <w:p>
      <w:pPr>
        <w:pStyle w:val="56"/>
        <w:spacing w:line="360" w:lineRule="auto"/>
        <w:rPr>
          <w:rFonts w:ascii="宋体" w:hAnsi="宋体" w:eastAsia="宋体"/>
          <w:b/>
          <w:szCs w:val="24"/>
        </w:rPr>
      </w:pPr>
      <w:bookmarkStart w:id="345" w:name="_Toc116314107"/>
      <w:r>
        <w:rPr>
          <w:rFonts w:hint="eastAsia" w:ascii="宋体" w:hAnsi="宋体" w:eastAsia="宋体"/>
          <w:b/>
          <w:szCs w:val="24"/>
        </w:rPr>
        <w:t>4.3 投标文件的修改与撤回</w:t>
      </w:r>
      <w:bookmarkEnd w:id="334"/>
      <w:bookmarkEnd w:id="335"/>
      <w:bookmarkEnd w:id="336"/>
      <w:bookmarkEnd w:id="337"/>
      <w:bookmarkEnd w:id="338"/>
      <w:bookmarkEnd w:id="339"/>
      <w:bookmarkEnd w:id="340"/>
      <w:bookmarkEnd w:id="341"/>
      <w:bookmarkEnd w:id="342"/>
      <w:bookmarkEnd w:id="343"/>
      <w:bookmarkEnd w:id="344"/>
      <w:bookmarkEnd w:id="345"/>
    </w:p>
    <w:p>
      <w:pPr>
        <w:spacing w:line="360" w:lineRule="auto"/>
        <w:ind w:firstLine="480" w:firstLineChars="200"/>
        <w:rPr>
          <w:rFonts w:ascii="宋体" w:hAnsi="宋体"/>
          <w:sz w:val="24"/>
        </w:rPr>
      </w:pPr>
      <w:bookmarkStart w:id="346" w:name="_Toc152042335"/>
      <w:bookmarkStart w:id="347" w:name="_Toc17602"/>
      <w:bookmarkStart w:id="348" w:name="_Toc144974527"/>
      <w:bookmarkStart w:id="349" w:name="_Toc152045559"/>
      <w:bookmarkStart w:id="350" w:name="_Toc475691325"/>
      <w:bookmarkStart w:id="351" w:name="_Toc489430855"/>
      <w:bookmarkStart w:id="352" w:name="_Toc489430495"/>
      <w:r>
        <w:rPr>
          <w:rFonts w:hint="eastAsia" w:ascii="宋体" w:hAnsi="宋体"/>
          <w:sz w:val="24"/>
        </w:rPr>
        <w:t>4.3.1 在本章规定的投标截止时间前，投标人可以修改或撤回已递交的投标文件，应在电子交易系统中通知招标人。</w:t>
      </w:r>
    </w:p>
    <w:p>
      <w:pPr>
        <w:spacing w:line="360" w:lineRule="auto"/>
        <w:ind w:firstLine="480" w:firstLineChars="200"/>
        <w:rPr>
          <w:rFonts w:ascii="宋体" w:hAnsi="宋体"/>
          <w:sz w:val="24"/>
        </w:rPr>
      </w:pPr>
      <w:r>
        <w:rPr>
          <w:rFonts w:hint="eastAsia" w:ascii="宋体" w:hAnsi="宋体"/>
          <w:sz w:val="24"/>
        </w:rPr>
        <w:t>4.3.2 投标人撤回投标文件的，招标人自收到投标人书面撤回通知之日起5日内退还已收取的投标保证金。</w:t>
      </w:r>
    </w:p>
    <w:p>
      <w:pPr>
        <w:spacing w:line="360" w:lineRule="auto"/>
        <w:ind w:firstLine="480" w:firstLineChars="200"/>
        <w:rPr>
          <w:rFonts w:ascii="宋体" w:hAnsi="宋体"/>
          <w:sz w:val="24"/>
        </w:rPr>
      </w:pPr>
      <w:r>
        <w:rPr>
          <w:rFonts w:hint="eastAsia" w:ascii="宋体" w:hAnsi="宋体"/>
          <w:sz w:val="24"/>
        </w:rPr>
        <w:t>4.3.4 修改的内容为投标文件的组成部分。</w:t>
      </w:r>
    </w:p>
    <w:p>
      <w:pPr>
        <w:pStyle w:val="55"/>
        <w:spacing w:before="0" w:line="360" w:lineRule="auto"/>
        <w:rPr>
          <w:rFonts w:ascii="宋体" w:hAnsi="宋体" w:eastAsia="宋体"/>
          <w:b/>
        </w:rPr>
      </w:pPr>
      <w:bookmarkStart w:id="353" w:name="_Toc116314108"/>
      <w:r>
        <w:rPr>
          <w:rFonts w:hint="eastAsia" w:ascii="宋体" w:hAnsi="宋体" w:eastAsia="宋体"/>
          <w:b/>
        </w:rPr>
        <w:t>5. 开标</w:t>
      </w:r>
      <w:bookmarkEnd w:id="346"/>
      <w:bookmarkEnd w:id="347"/>
      <w:bookmarkEnd w:id="348"/>
      <w:bookmarkEnd w:id="349"/>
      <w:bookmarkEnd w:id="350"/>
      <w:bookmarkEnd w:id="351"/>
      <w:bookmarkEnd w:id="352"/>
      <w:bookmarkEnd w:id="353"/>
    </w:p>
    <w:p>
      <w:pPr>
        <w:pStyle w:val="56"/>
        <w:spacing w:line="360" w:lineRule="auto"/>
        <w:rPr>
          <w:rFonts w:ascii="宋体" w:hAnsi="宋体" w:eastAsia="宋体"/>
          <w:b/>
          <w:szCs w:val="24"/>
        </w:rPr>
      </w:pPr>
      <w:bookmarkStart w:id="354" w:name="_Toc407219618"/>
      <w:bookmarkStart w:id="355" w:name="_Toc427583686"/>
      <w:bookmarkStart w:id="356" w:name="_Toc475691326"/>
      <w:bookmarkStart w:id="357" w:name="_Toc489430496"/>
      <w:bookmarkStart w:id="358" w:name="_Toc144974528"/>
      <w:bookmarkStart w:id="359" w:name="_Toc489430856"/>
      <w:bookmarkStart w:id="360" w:name="_Toc427580073"/>
      <w:bookmarkStart w:id="361" w:name="_Toc152042336"/>
      <w:bookmarkStart w:id="362" w:name="_Toc28178"/>
      <w:bookmarkStart w:id="363" w:name="_Toc116314109"/>
      <w:bookmarkStart w:id="364" w:name="_Toc152045560"/>
      <w:r>
        <w:rPr>
          <w:rFonts w:hint="eastAsia" w:ascii="宋体" w:hAnsi="宋体" w:eastAsia="宋体"/>
          <w:b/>
          <w:szCs w:val="24"/>
        </w:rPr>
        <w:t>5.1 开标时间和地点</w:t>
      </w:r>
      <w:bookmarkEnd w:id="354"/>
      <w:bookmarkEnd w:id="355"/>
      <w:bookmarkEnd w:id="356"/>
      <w:bookmarkEnd w:id="357"/>
      <w:bookmarkEnd w:id="358"/>
      <w:bookmarkEnd w:id="359"/>
      <w:bookmarkEnd w:id="360"/>
      <w:bookmarkEnd w:id="361"/>
      <w:bookmarkEnd w:id="362"/>
      <w:bookmarkEnd w:id="363"/>
      <w:bookmarkEnd w:id="364"/>
    </w:p>
    <w:p>
      <w:pPr>
        <w:spacing w:line="360" w:lineRule="auto"/>
        <w:ind w:firstLine="480" w:firstLineChars="200"/>
        <w:rPr>
          <w:rFonts w:ascii="宋体" w:hAnsi="宋体"/>
          <w:sz w:val="24"/>
        </w:rPr>
      </w:pPr>
      <w:r>
        <w:rPr>
          <w:rFonts w:hint="eastAsia" w:ascii="宋体" w:hAnsi="宋体"/>
          <w:sz w:val="24"/>
        </w:rPr>
        <w:t>招标人在本章规定的投标截止时间（开标时间）和投标人须知前附表规定的地点公开开标。</w:t>
      </w:r>
    </w:p>
    <w:p>
      <w:pPr>
        <w:pStyle w:val="56"/>
        <w:spacing w:line="360" w:lineRule="auto"/>
        <w:rPr>
          <w:rFonts w:ascii="宋体" w:hAnsi="宋体" w:eastAsia="宋体"/>
          <w:b/>
          <w:szCs w:val="24"/>
        </w:rPr>
      </w:pPr>
      <w:bookmarkStart w:id="365" w:name="_Toc427580074"/>
      <w:bookmarkStart w:id="366" w:name="_Toc427583687"/>
      <w:bookmarkStart w:id="367" w:name="_Toc116314110"/>
      <w:bookmarkStart w:id="368" w:name="_Toc144974529"/>
      <w:bookmarkStart w:id="369" w:name="_Toc152045561"/>
      <w:bookmarkStart w:id="370" w:name="_Toc407219619"/>
      <w:bookmarkStart w:id="371" w:name="_Toc152042337"/>
      <w:bookmarkStart w:id="372" w:name="_Toc13923"/>
      <w:bookmarkStart w:id="373" w:name="_Toc489430497"/>
      <w:bookmarkStart w:id="374" w:name="_Toc489430857"/>
      <w:bookmarkStart w:id="375" w:name="_Toc475691327"/>
      <w:r>
        <w:rPr>
          <w:rFonts w:hint="eastAsia" w:ascii="宋体" w:hAnsi="宋体" w:eastAsia="宋体"/>
          <w:b/>
          <w:szCs w:val="24"/>
        </w:rPr>
        <w:t>5.2 开标程序</w:t>
      </w:r>
      <w:bookmarkEnd w:id="365"/>
      <w:bookmarkEnd w:id="366"/>
      <w:bookmarkEnd w:id="367"/>
      <w:bookmarkEnd w:id="368"/>
      <w:bookmarkEnd w:id="369"/>
      <w:bookmarkEnd w:id="370"/>
      <w:bookmarkEnd w:id="371"/>
      <w:bookmarkEnd w:id="372"/>
      <w:bookmarkEnd w:id="373"/>
      <w:bookmarkEnd w:id="374"/>
      <w:bookmarkEnd w:id="375"/>
    </w:p>
    <w:p>
      <w:pPr>
        <w:spacing w:line="360" w:lineRule="auto"/>
        <w:ind w:firstLine="480" w:firstLineChars="200"/>
        <w:rPr>
          <w:rFonts w:ascii="宋体" w:hAnsi="宋体"/>
          <w:sz w:val="24"/>
        </w:rPr>
      </w:pPr>
      <w:bookmarkStart w:id="376" w:name="_Toc427580075"/>
      <w:bookmarkStart w:id="377" w:name="_Toc8289"/>
      <w:bookmarkStart w:id="378" w:name="_Toc475691328"/>
      <w:bookmarkStart w:id="379" w:name="_Toc489430858"/>
      <w:bookmarkStart w:id="380" w:name="_Toc427583688"/>
      <w:bookmarkStart w:id="381" w:name="_Toc489430498"/>
      <w:r>
        <w:rPr>
          <w:rFonts w:hint="eastAsia" w:ascii="宋体" w:hAnsi="宋体"/>
          <w:sz w:val="24"/>
        </w:rPr>
        <w:t>（1）电子化投标文件采用双重加密方式。开标时，投标人采用网上远程异地解密时，请用CA证书登录宝丰县公共资源交易中心业务系统，进入本项目开标大厅点击解密来完成投标文件的解密工作（每位投标人的解密时间为开标时间起30分钟内完成，超过规定时间解密的投标文件不予接收）。投标人解密完成后，再由中介服务机构使用CA证书对投标文件进行再次解密。</w:t>
      </w:r>
      <w:r>
        <w:rPr>
          <w:rFonts w:hint="eastAsia" w:ascii="宋体" w:hAnsi="宋体"/>
          <w:sz w:val="24"/>
        </w:rPr>
        <w:tab/>
      </w:r>
    </w:p>
    <w:p>
      <w:pPr>
        <w:spacing w:line="360" w:lineRule="auto"/>
        <w:ind w:firstLine="480" w:firstLineChars="200"/>
        <w:rPr>
          <w:rFonts w:ascii="宋体" w:hAnsi="宋体"/>
          <w:sz w:val="24"/>
        </w:rPr>
      </w:pPr>
      <w:r>
        <w:rPr>
          <w:rFonts w:hint="eastAsia" w:ascii="宋体" w:hAnsi="宋体"/>
          <w:sz w:val="24"/>
        </w:rPr>
        <w:t>（2）电子化投标文件解密异常的处理</w:t>
      </w:r>
    </w:p>
    <w:p>
      <w:pPr>
        <w:spacing w:line="360" w:lineRule="auto"/>
        <w:ind w:firstLine="480" w:firstLineChars="200"/>
        <w:rPr>
          <w:rFonts w:ascii="宋体" w:hAnsi="宋体"/>
          <w:sz w:val="24"/>
        </w:rPr>
      </w:pPr>
      <w:r>
        <w:rPr>
          <w:rFonts w:hint="eastAsia" w:ascii="宋体" w:hAnsi="宋体"/>
          <w:sz w:val="24"/>
        </w:rPr>
        <w:t>如出现投标人的电子投标文件无法解密的情况，投标人应及时致电中介服务机构说明。投标文件解密异常，按以下步骤进行处理：</w:t>
      </w:r>
    </w:p>
    <w:p>
      <w:pPr>
        <w:spacing w:line="360" w:lineRule="auto"/>
        <w:ind w:firstLine="480" w:firstLineChars="200"/>
        <w:rPr>
          <w:rFonts w:ascii="宋体" w:hAnsi="宋体"/>
          <w:sz w:val="24"/>
        </w:rPr>
      </w:pPr>
      <w:r>
        <w:rPr>
          <w:rFonts w:hint="eastAsia" w:ascii="宋体" w:hAnsi="宋体"/>
          <w:sz w:val="24"/>
        </w:rPr>
        <w:t>①首先由技术人员进行问题排查。</w:t>
      </w:r>
    </w:p>
    <w:p>
      <w:pPr>
        <w:spacing w:line="360" w:lineRule="auto"/>
        <w:ind w:firstLine="480" w:firstLineChars="200"/>
        <w:rPr>
          <w:rFonts w:ascii="宋体" w:hAnsi="宋体"/>
          <w:sz w:val="24"/>
        </w:rPr>
      </w:pPr>
      <w:r>
        <w:rPr>
          <w:rFonts w:hint="eastAsia" w:ascii="宋体" w:hAnsi="宋体"/>
          <w:sz w:val="24"/>
        </w:rPr>
        <w:t>②经技术人员排查后，是投标文件自身问题导致投标文件无法解密的，该投标文件将不予接收、解密和唱标。开标会议继续进行。</w:t>
      </w:r>
    </w:p>
    <w:p>
      <w:pPr>
        <w:spacing w:line="360" w:lineRule="auto"/>
        <w:ind w:firstLine="480" w:firstLineChars="200"/>
        <w:rPr>
          <w:rFonts w:ascii="宋体" w:hAnsi="宋体"/>
          <w:sz w:val="24"/>
        </w:rPr>
      </w:pPr>
      <w:r>
        <w:rPr>
          <w:rFonts w:hint="eastAsia" w:ascii="宋体" w:hAnsi="宋体"/>
          <w:sz w:val="24"/>
        </w:rPr>
        <w:t>③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pPr>
        <w:spacing w:line="360" w:lineRule="auto"/>
        <w:ind w:firstLine="480" w:firstLineChars="200"/>
        <w:rPr>
          <w:rFonts w:ascii="宋体" w:hAnsi="宋体"/>
          <w:sz w:val="24"/>
        </w:rPr>
      </w:pPr>
      <w:r>
        <w:rPr>
          <w:rFonts w:hint="eastAsia" w:ascii="宋体" w:hAnsi="宋体"/>
          <w:sz w:val="24"/>
        </w:rPr>
        <w:t>（3）待所有投标人投标文件解密完成后，由中介服务机构操作，对所有已解密投标文件进行唱标。</w:t>
      </w:r>
    </w:p>
    <w:p>
      <w:pPr>
        <w:spacing w:line="360" w:lineRule="auto"/>
        <w:ind w:firstLine="480" w:firstLineChars="200"/>
        <w:rPr>
          <w:rFonts w:ascii="宋体" w:hAnsi="宋体"/>
          <w:sz w:val="24"/>
        </w:rPr>
      </w:pPr>
      <w:r>
        <w:rPr>
          <w:rFonts w:hint="eastAsia" w:ascii="宋体" w:hAnsi="宋体"/>
          <w:sz w:val="24"/>
        </w:rPr>
        <w:t>（4）投标人应保证在开标期间电话、电脑、网络能够正常工作，投标人因停电、电脑病毒、网络堵塞等原因，未在规定的解密时间内对投标文件进行解密的，其投标文件不予接收、唱标。</w:t>
      </w:r>
    </w:p>
    <w:p>
      <w:pPr>
        <w:spacing w:line="360" w:lineRule="auto"/>
        <w:ind w:firstLine="480" w:firstLineChars="200"/>
        <w:rPr>
          <w:rFonts w:ascii="宋体" w:hAnsi="宋体"/>
          <w:sz w:val="24"/>
        </w:rPr>
      </w:pPr>
      <w:r>
        <w:rPr>
          <w:rFonts w:hint="eastAsia" w:ascii="宋体" w:hAnsi="宋体"/>
          <w:sz w:val="24"/>
        </w:rPr>
        <w:t>（5）开标时投标人可登录到交易系统在开标大厅中点击开标一览表查看自己的投标报价。如对自己的唱标内容有异议的，应在唱标内容显示后20分钟内通过系统操作导航下方“标中质询”向中介服务机构在线网上提出质疑。投标人未在规定时间内提出质疑的，视为认可唱标内容。</w:t>
      </w:r>
    </w:p>
    <w:p>
      <w:pPr>
        <w:spacing w:line="360" w:lineRule="auto"/>
        <w:ind w:firstLine="480" w:firstLineChars="200"/>
        <w:rPr>
          <w:rFonts w:ascii="宋体" w:hAnsi="宋体"/>
          <w:sz w:val="24"/>
        </w:rPr>
      </w:pPr>
      <w:r>
        <w:rPr>
          <w:rFonts w:hint="eastAsia" w:ascii="宋体" w:hAnsi="宋体"/>
          <w:sz w:val="24"/>
        </w:rPr>
        <w:t>（6）评标时，评标委员会对电子化投标文件有质疑的，将通过电子化交易系统对投标人发起质疑。质疑回复内容确认后，投标人的回复文件必须以经过投标人和其法定代表人签章的PDF格式文件为准，并通过电子化交易系统提交至评标委员会。</w:t>
      </w:r>
    </w:p>
    <w:p>
      <w:pPr>
        <w:spacing w:line="360" w:lineRule="auto"/>
        <w:ind w:firstLine="480" w:firstLineChars="200"/>
        <w:rPr>
          <w:rFonts w:ascii="宋体" w:hAnsi="宋体"/>
          <w:sz w:val="24"/>
        </w:rPr>
      </w:pPr>
      <w:r>
        <w:rPr>
          <w:rFonts w:hint="eastAsia" w:ascii="宋体" w:hAnsi="宋体"/>
          <w:sz w:val="24"/>
        </w:rPr>
        <w:t>（7）如评标委员会对需要回复的投标人回复内容有异议的，经过几次回复仍不清楚的，需在监督下进行免提电话进行质疑。</w:t>
      </w:r>
    </w:p>
    <w:p>
      <w:pPr>
        <w:spacing w:line="360" w:lineRule="auto"/>
        <w:ind w:firstLine="480" w:firstLineChars="200"/>
        <w:rPr>
          <w:rFonts w:ascii="宋体" w:hAnsi="宋体" w:cs="宋体"/>
          <w:bCs/>
        </w:rPr>
      </w:pPr>
      <w:r>
        <w:rPr>
          <w:rFonts w:hint="eastAsia" w:ascii="宋体" w:hAnsi="宋体"/>
          <w:sz w:val="24"/>
        </w:rPr>
        <w:t>（8）评标时如因系统异常、停电、电脑病毒、网络堵塞等原因无法正常进行的，由技术人员排查解决，短时间无法解决的，经监督部门同意后，暂停评标活动，待问题解决后继续评标。</w:t>
      </w:r>
    </w:p>
    <w:p>
      <w:pPr>
        <w:pStyle w:val="56"/>
        <w:spacing w:line="360" w:lineRule="auto"/>
        <w:rPr>
          <w:rFonts w:ascii="宋体" w:hAnsi="宋体" w:eastAsia="宋体"/>
          <w:b/>
          <w:szCs w:val="24"/>
        </w:rPr>
      </w:pPr>
      <w:bookmarkStart w:id="382" w:name="_Toc116314111"/>
      <w:r>
        <w:rPr>
          <w:rFonts w:hint="eastAsia" w:ascii="宋体" w:hAnsi="宋体" w:eastAsia="宋体"/>
          <w:b/>
          <w:szCs w:val="24"/>
        </w:rPr>
        <w:t>5.3开标异议</w:t>
      </w:r>
      <w:bookmarkEnd w:id="376"/>
      <w:bookmarkEnd w:id="377"/>
      <w:bookmarkEnd w:id="378"/>
      <w:bookmarkEnd w:id="379"/>
      <w:bookmarkEnd w:id="380"/>
      <w:bookmarkEnd w:id="381"/>
      <w:bookmarkEnd w:id="382"/>
    </w:p>
    <w:p>
      <w:pPr>
        <w:spacing w:line="360" w:lineRule="auto"/>
        <w:ind w:firstLine="480" w:firstLineChars="200"/>
        <w:rPr>
          <w:rFonts w:ascii="宋体" w:hAnsi="宋体"/>
          <w:sz w:val="24"/>
        </w:rPr>
      </w:pPr>
      <w:bookmarkStart w:id="383" w:name="_Toc10889"/>
      <w:bookmarkStart w:id="384" w:name="_Toc489430859"/>
      <w:bookmarkStart w:id="385" w:name="_Toc475691329"/>
      <w:bookmarkStart w:id="386" w:name="_Toc152045562"/>
      <w:bookmarkStart w:id="387" w:name="_Toc489430499"/>
      <w:bookmarkStart w:id="388" w:name="_Toc144974530"/>
      <w:bookmarkStart w:id="389" w:name="_Toc152042338"/>
      <w:r>
        <w:rPr>
          <w:rFonts w:hint="eastAsia" w:ascii="宋体" w:hAnsi="宋体"/>
          <w:sz w:val="24"/>
        </w:rPr>
        <w:t>投标人对开标有异议的，应当在开标现场提出，招标人当场作出答复，并制作记录。</w:t>
      </w:r>
    </w:p>
    <w:p>
      <w:pPr>
        <w:pStyle w:val="55"/>
        <w:spacing w:line="360" w:lineRule="auto"/>
        <w:rPr>
          <w:rFonts w:ascii="宋体" w:hAnsi="宋体" w:eastAsia="宋体"/>
          <w:b/>
        </w:rPr>
      </w:pPr>
      <w:bookmarkStart w:id="390" w:name="_Toc116314112"/>
      <w:r>
        <w:rPr>
          <w:rFonts w:hint="eastAsia" w:ascii="宋体" w:hAnsi="宋体" w:eastAsia="宋体"/>
          <w:b/>
        </w:rPr>
        <w:t>6. 评标</w:t>
      </w:r>
      <w:bookmarkEnd w:id="383"/>
      <w:bookmarkEnd w:id="384"/>
      <w:bookmarkEnd w:id="385"/>
      <w:bookmarkEnd w:id="386"/>
      <w:bookmarkEnd w:id="387"/>
      <w:bookmarkEnd w:id="388"/>
      <w:bookmarkEnd w:id="389"/>
      <w:bookmarkEnd w:id="390"/>
    </w:p>
    <w:p>
      <w:pPr>
        <w:pStyle w:val="56"/>
        <w:spacing w:line="360" w:lineRule="auto"/>
        <w:rPr>
          <w:rFonts w:ascii="宋体" w:hAnsi="宋体" w:eastAsia="宋体"/>
          <w:b/>
          <w:szCs w:val="24"/>
        </w:rPr>
      </w:pPr>
      <w:bookmarkStart w:id="391" w:name="_Toc489430860"/>
      <w:bookmarkStart w:id="392" w:name="_Toc427583690"/>
      <w:bookmarkStart w:id="393" w:name="_Toc116314113"/>
      <w:bookmarkStart w:id="394" w:name="_Toc475691330"/>
      <w:bookmarkStart w:id="395" w:name="_Toc407219621"/>
      <w:bookmarkStart w:id="396" w:name="_Toc489430500"/>
      <w:bookmarkStart w:id="397" w:name="_Toc144974531"/>
      <w:bookmarkStart w:id="398" w:name="_Toc152042339"/>
      <w:bookmarkStart w:id="399" w:name="_Toc16603"/>
      <w:bookmarkStart w:id="400" w:name="_Toc427580077"/>
      <w:bookmarkStart w:id="401" w:name="_Toc152045563"/>
      <w:r>
        <w:rPr>
          <w:rFonts w:hint="eastAsia" w:ascii="宋体" w:hAnsi="宋体" w:eastAsia="宋体"/>
          <w:b/>
          <w:szCs w:val="24"/>
        </w:rPr>
        <w:t>6.1 评标委员会</w:t>
      </w:r>
      <w:bookmarkEnd w:id="391"/>
      <w:bookmarkEnd w:id="392"/>
      <w:bookmarkEnd w:id="393"/>
      <w:bookmarkEnd w:id="394"/>
      <w:bookmarkEnd w:id="395"/>
      <w:bookmarkEnd w:id="396"/>
      <w:bookmarkEnd w:id="397"/>
      <w:bookmarkEnd w:id="398"/>
      <w:bookmarkEnd w:id="399"/>
      <w:bookmarkEnd w:id="400"/>
      <w:bookmarkEnd w:id="401"/>
    </w:p>
    <w:p>
      <w:pPr>
        <w:spacing w:line="360" w:lineRule="auto"/>
        <w:ind w:firstLine="480" w:firstLineChars="200"/>
        <w:rPr>
          <w:rFonts w:ascii="宋体" w:hAnsi="宋体"/>
          <w:sz w:val="24"/>
        </w:rPr>
      </w:pPr>
      <w:r>
        <w:rPr>
          <w:rFonts w:hint="eastAsia" w:ascii="宋体" w:hAnsi="宋体"/>
          <w:sz w:val="24"/>
        </w:rPr>
        <w:t>6.1.1 评标由招标人依法组建的评标委员会负责。评标委员会由招标人代表及具备相关技术、经济能力等方面的专家组成。评标委员会成员人数以及技术、经济等方面专家的确定方式见投标人须知前附表。</w:t>
      </w:r>
    </w:p>
    <w:p>
      <w:pPr>
        <w:spacing w:line="360" w:lineRule="auto"/>
        <w:ind w:firstLine="480" w:firstLineChars="200"/>
        <w:rPr>
          <w:rFonts w:ascii="宋体" w:hAnsi="宋体"/>
          <w:sz w:val="24"/>
        </w:rPr>
      </w:pPr>
      <w:r>
        <w:rPr>
          <w:rFonts w:hint="eastAsia" w:ascii="宋体" w:hAnsi="宋体"/>
          <w:sz w:val="24"/>
        </w:rPr>
        <w:t>6.1.2 评标委员会成员有下列情形之一的，应当回避：</w:t>
      </w:r>
    </w:p>
    <w:p>
      <w:pPr>
        <w:spacing w:line="360" w:lineRule="auto"/>
        <w:ind w:firstLine="480" w:firstLineChars="200"/>
        <w:rPr>
          <w:rFonts w:ascii="宋体" w:hAnsi="宋体"/>
          <w:sz w:val="24"/>
        </w:rPr>
      </w:pPr>
      <w:r>
        <w:rPr>
          <w:rFonts w:hint="eastAsia" w:ascii="宋体" w:hAnsi="宋体"/>
          <w:sz w:val="24"/>
        </w:rPr>
        <w:t>（1）投标人或投标人的主要负责人的近亲属；</w:t>
      </w:r>
    </w:p>
    <w:p>
      <w:pPr>
        <w:spacing w:line="360" w:lineRule="auto"/>
        <w:ind w:firstLine="480" w:firstLineChars="200"/>
        <w:rPr>
          <w:rFonts w:ascii="宋体" w:hAnsi="宋体"/>
          <w:sz w:val="24"/>
        </w:rPr>
      </w:pPr>
      <w:r>
        <w:rPr>
          <w:rFonts w:hint="eastAsia" w:ascii="宋体" w:hAnsi="宋体"/>
          <w:sz w:val="24"/>
        </w:rPr>
        <w:t>（2）项目主管部门或者行政监督部门的人员；</w:t>
      </w:r>
    </w:p>
    <w:p>
      <w:pPr>
        <w:spacing w:line="360" w:lineRule="auto"/>
        <w:ind w:firstLine="480" w:firstLineChars="200"/>
        <w:rPr>
          <w:rFonts w:ascii="宋体" w:hAnsi="宋体"/>
          <w:sz w:val="24"/>
        </w:rPr>
      </w:pPr>
      <w:r>
        <w:rPr>
          <w:rFonts w:hint="eastAsia" w:ascii="宋体" w:hAnsi="宋体"/>
          <w:sz w:val="24"/>
        </w:rPr>
        <w:t>（3）与投标人有经济利益关系，可能影响对投标公正评审的；</w:t>
      </w:r>
    </w:p>
    <w:p>
      <w:pPr>
        <w:spacing w:line="360" w:lineRule="auto"/>
        <w:ind w:firstLine="410" w:firstLineChars="171"/>
        <w:rPr>
          <w:rFonts w:ascii="宋体" w:hAnsi="宋体"/>
          <w:sz w:val="24"/>
        </w:rPr>
      </w:pPr>
      <w:r>
        <w:rPr>
          <w:rFonts w:hint="eastAsia" w:ascii="宋体" w:hAnsi="宋体"/>
          <w:sz w:val="24"/>
        </w:rPr>
        <w:t>（4）曾因在招标、评标以及其他与招标投标有关活动中从事违法行为而受过行政处罚或刑事处罚的。</w:t>
      </w:r>
    </w:p>
    <w:p>
      <w:pPr>
        <w:spacing w:line="360" w:lineRule="auto"/>
        <w:ind w:firstLine="410" w:firstLineChars="171"/>
        <w:rPr>
          <w:rFonts w:ascii="宋体" w:hAnsi="宋体"/>
          <w:sz w:val="24"/>
        </w:rPr>
      </w:pPr>
      <w:r>
        <w:rPr>
          <w:rFonts w:hint="eastAsia" w:ascii="宋体" w:hAnsi="宋体"/>
          <w:sz w:val="24"/>
        </w:rPr>
        <w:t>（5）与投标人有其他利害关系。</w:t>
      </w:r>
    </w:p>
    <w:p>
      <w:pPr>
        <w:pStyle w:val="56"/>
        <w:spacing w:line="360" w:lineRule="auto"/>
        <w:rPr>
          <w:rFonts w:ascii="宋体" w:hAnsi="宋体" w:eastAsia="宋体"/>
          <w:b/>
          <w:szCs w:val="24"/>
        </w:rPr>
      </w:pPr>
      <w:bookmarkStart w:id="402" w:name="_Toc116314114"/>
      <w:bookmarkStart w:id="403" w:name="_Toc407219622"/>
      <w:bookmarkStart w:id="404" w:name="_Toc475691331"/>
      <w:bookmarkStart w:id="405" w:name="_Toc427580078"/>
      <w:bookmarkStart w:id="406" w:name="_Toc30708"/>
      <w:bookmarkStart w:id="407" w:name="_Toc489430501"/>
      <w:bookmarkStart w:id="408" w:name="_Toc152042340"/>
      <w:bookmarkStart w:id="409" w:name="_Toc152045564"/>
      <w:bookmarkStart w:id="410" w:name="_Toc144974532"/>
      <w:bookmarkStart w:id="411" w:name="_Toc489430861"/>
      <w:bookmarkStart w:id="412" w:name="_Toc427583691"/>
      <w:r>
        <w:rPr>
          <w:rFonts w:hint="eastAsia" w:ascii="宋体" w:hAnsi="宋体" w:eastAsia="宋体"/>
          <w:b/>
          <w:szCs w:val="24"/>
        </w:rPr>
        <w:t>6.2 评标原则</w:t>
      </w:r>
      <w:bookmarkEnd w:id="402"/>
      <w:bookmarkEnd w:id="403"/>
      <w:bookmarkEnd w:id="404"/>
      <w:bookmarkEnd w:id="405"/>
      <w:bookmarkEnd w:id="406"/>
      <w:bookmarkEnd w:id="407"/>
      <w:bookmarkEnd w:id="408"/>
      <w:bookmarkEnd w:id="409"/>
      <w:bookmarkEnd w:id="410"/>
      <w:bookmarkEnd w:id="411"/>
      <w:bookmarkEnd w:id="412"/>
    </w:p>
    <w:p>
      <w:pPr>
        <w:spacing w:line="360" w:lineRule="auto"/>
        <w:ind w:firstLine="480" w:firstLineChars="200"/>
        <w:rPr>
          <w:rFonts w:ascii="宋体" w:hAnsi="宋体"/>
          <w:sz w:val="24"/>
        </w:rPr>
      </w:pPr>
      <w:r>
        <w:rPr>
          <w:rFonts w:hint="eastAsia" w:ascii="宋体" w:hAnsi="宋体"/>
          <w:sz w:val="24"/>
        </w:rPr>
        <w:t>评标活动遵循公平、公正、科学和择优的原则。招标人不承诺最低价中标，而且招标人没有义务向未中标人解释未中标原因。</w:t>
      </w:r>
    </w:p>
    <w:p>
      <w:pPr>
        <w:pStyle w:val="56"/>
        <w:spacing w:line="360" w:lineRule="auto"/>
        <w:rPr>
          <w:rFonts w:ascii="宋体" w:hAnsi="宋体" w:eastAsia="宋体"/>
          <w:b/>
          <w:szCs w:val="24"/>
        </w:rPr>
      </w:pPr>
      <w:bookmarkStart w:id="413" w:name="_Toc23342"/>
      <w:bookmarkStart w:id="414" w:name="_Toc407219623"/>
      <w:bookmarkStart w:id="415" w:name="_Toc152045565"/>
      <w:bookmarkStart w:id="416" w:name="_Toc144974533"/>
      <w:bookmarkStart w:id="417" w:name="_Toc489430862"/>
      <w:bookmarkStart w:id="418" w:name="_Toc475691332"/>
      <w:bookmarkStart w:id="419" w:name="_Toc427580079"/>
      <w:bookmarkStart w:id="420" w:name="_Toc116314115"/>
      <w:bookmarkStart w:id="421" w:name="_Toc152042341"/>
      <w:bookmarkStart w:id="422" w:name="_Toc489430502"/>
      <w:bookmarkStart w:id="423" w:name="_Toc427583692"/>
      <w:r>
        <w:rPr>
          <w:rFonts w:hint="eastAsia" w:ascii="宋体" w:hAnsi="宋体" w:eastAsia="宋体"/>
          <w:b/>
          <w:szCs w:val="24"/>
        </w:rPr>
        <w:t>6.3 评标</w:t>
      </w:r>
      <w:bookmarkEnd w:id="413"/>
      <w:bookmarkEnd w:id="414"/>
      <w:bookmarkEnd w:id="415"/>
      <w:bookmarkEnd w:id="416"/>
      <w:bookmarkEnd w:id="417"/>
      <w:bookmarkEnd w:id="418"/>
      <w:bookmarkEnd w:id="419"/>
      <w:bookmarkEnd w:id="420"/>
      <w:bookmarkEnd w:id="421"/>
      <w:bookmarkEnd w:id="422"/>
      <w:bookmarkEnd w:id="423"/>
    </w:p>
    <w:p>
      <w:pPr>
        <w:spacing w:line="400" w:lineRule="exact"/>
        <w:ind w:firstLine="480" w:firstLineChars="200"/>
        <w:rPr>
          <w:rFonts w:ascii="宋体" w:hAnsi="宋体"/>
          <w:sz w:val="24"/>
        </w:rPr>
      </w:pPr>
      <w:r>
        <w:rPr>
          <w:rFonts w:hint="eastAsia" w:ascii="宋体" w:hAnsi="宋体"/>
          <w:sz w:val="24"/>
        </w:rPr>
        <w:t>评标委员会按照第三章“评标办法”规定的方法、评审因素、标准和程序对投标文件进行评审。第三章“评标办法”没有规定的方法、评审因素和标准，不作为评标依据。        投标人在开标结束后，应实时保持交易系统处于登录状态，确保能及时收到评标评审专家的澄清、说明或者补正的要求。因网络安全的需要，登录系统后长时间不操作将自动退出登录状态，建议投标人5分钟刷新一次。</w:t>
      </w:r>
    </w:p>
    <w:p>
      <w:pPr>
        <w:spacing w:line="400" w:lineRule="exact"/>
        <w:ind w:firstLine="480" w:firstLineChars="200"/>
        <w:rPr>
          <w:rFonts w:ascii="宋体" w:hAnsi="宋体"/>
          <w:sz w:val="24"/>
        </w:rPr>
      </w:pPr>
      <w:r>
        <w:rPr>
          <w:rFonts w:hint="eastAsia" w:ascii="宋体" w:hAnsi="宋体"/>
          <w:sz w:val="24"/>
        </w:rPr>
        <w:t>澄清、说明时需要上传交易系统的文件，必须是 PDF 格式并且加盖有投标人电子签章。如果文件是用 word 编辑的，投标人可点击文件左上角文件选择“输出为 PDF”，将 word 文件转变为 PDF 格式后加盖电子签章上传。</w:t>
      </w:r>
    </w:p>
    <w:p>
      <w:pPr>
        <w:spacing w:line="400" w:lineRule="exact"/>
        <w:ind w:firstLine="480" w:firstLineChars="200"/>
        <w:rPr>
          <w:rFonts w:ascii="宋体" w:hAnsi="宋体"/>
          <w:sz w:val="24"/>
        </w:rPr>
      </w:pPr>
      <w:r>
        <w:rPr>
          <w:rFonts w:hint="eastAsia" w:ascii="宋体" w:hAnsi="宋体"/>
          <w:sz w:val="24"/>
        </w:rPr>
        <w:t>评审专家对投标人进行澄清的要求均有时间限制，并且在投标人澄清页面有倒计时提示，投标人应在评标专家规定时间内完成所有操作。</w:t>
      </w:r>
    </w:p>
    <w:p>
      <w:pPr>
        <w:pStyle w:val="55"/>
        <w:spacing w:before="0" w:line="360" w:lineRule="auto"/>
        <w:rPr>
          <w:rFonts w:ascii="宋体" w:hAnsi="宋体" w:eastAsia="宋体"/>
          <w:b/>
        </w:rPr>
      </w:pPr>
      <w:bookmarkStart w:id="424" w:name="_Toc489430863"/>
      <w:bookmarkStart w:id="425" w:name="_Toc116314116"/>
      <w:bookmarkStart w:id="426" w:name="_Toc152042342"/>
      <w:bookmarkStart w:id="427" w:name="_Toc29663"/>
      <w:bookmarkStart w:id="428" w:name="_Toc152045566"/>
      <w:bookmarkStart w:id="429" w:name="_Toc475691333"/>
      <w:bookmarkStart w:id="430" w:name="_Toc489430503"/>
      <w:bookmarkStart w:id="431" w:name="_Toc144974534"/>
      <w:r>
        <w:rPr>
          <w:rFonts w:hint="eastAsia" w:ascii="宋体" w:hAnsi="宋体" w:eastAsia="宋体"/>
          <w:b/>
        </w:rPr>
        <w:t>7. 合同授予</w:t>
      </w:r>
      <w:bookmarkEnd w:id="424"/>
      <w:bookmarkEnd w:id="425"/>
      <w:bookmarkEnd w:id="426"/>
      <w:bookmarkEnd w:id="427"/>
      <w:bookmarkEnd w:id="428"/>
      <w:bookmarkEnd w:id="429"/>
      <w:bookmarkEnd w:id="430"/>
      <w:bookmarkEnd w:id="431"/>
    </w:p>
    <w:p>
      <w:pPr>
        <w:pStyle w:val="56"/>
        <w:spacing w:line="360" w:lineRule="auto"/>
        <w:rPr>
          <w:rFonts w:ascii="宋体" w:hAnsi="宋体" w:eastAsia="宋体"/>
          <w:b/>
          <w:szCs w:val="24"/>
        </w:rPr>
      </w:pPr>
      <w:bookmarkStart w:id="432" w:name="_Toc152042343"/>
      <w:bookmarkStart w:id="433" w:name="_Toc427583694"/>
      <w:bookmarkStart w:id="434" w:name="_Toc489430504"/>
      <w:bookmarkStart w:id="435" w:name="_Toc427580081"/>
      <w:bookmarkStart w:id="436" w:name="_Toc407219625"/>
      <w:bookmarkStart w:id="437" w:name="_Toc489430864"/>
      <w:bookmarkStart w:id="438" w:name="_Toc475691334"/>
      <w:bookmarkStart w:id="439" w:name="_Toc144974535"/>
      <w:bookmarkStart w:id="440" w:name="_Toc152045567"/>
      <w:bookmarkStart w:id="441" w:name="_Toc3812"/>
      <w:bookmarkStart w:id="442" w:name="_Toc116314117"/>
      <w:r>
        <w:rPr>
          <w:rFonts w:hint="eastAsia" w:ascii="宋体" w:hAnsi="宋体" w:eastAsia="宋体"/>
          <w:b/>
          <w:szCs w:val="24"/>
        </w:rPr>
        <w:t>7.1 定标方式</w:t>
      </w:r>
      <w:bookmarkEnd w:id="432"/>
      <w:bookmarkEnd w:id="433"/>
      <w:bookmarkEnd w:id="434"/>
      <w:bookmarkEnd w:id="435"/>
      <w:bookmarkEnd w:id="436"/>
      <w:bookmarkEnd w:id="437"/>
      <w:bookmarkEnd w:id="438"/>
      <w:bookmarkEnd w:id="439"/>
      <w:bookmarkEnd w:id="440"/>
      <w:bookmarkEnd w:id="441"/>
      <w:bookmarkEnd w:id="442"/>
    </w:p>
    <w:p>
      <w:pPr>
        <w:spacing w:line="360" w:lineRule="auto"/>
        <w:ind w:firstLine="480" w:firstLineChars="200"/>
        <w:rPr>
          <w:rFonts w:ascii="宋体" w:hAnsi="宋体"/>
          <w:sz w:val="24"/>
        </w:rPr>
      </w:pPr>
      <w:r>
        <w:rPr>
          <w:rFonts w:hint="eastAsia" w:ascii="宋体" w:hAnsi="宋体"/>
          <w:sz w:val="24"/>
        </w:rPr>
        <w:t>招标人依据评标委员会推荐的中标候选人确定中标人，评标委员会推荐中标候选人的人数见投标人须知前附表。</w:t>
      </w:r>
    </w:p>
    <w:p>
      <w:pPr>
        <w:pStyle w:val="56"/>
        <w:spacing w:line="360" w:lineRule="auto"/>
        <w:rPr>
          <w:rFonts w:ascii="宋体" w:hAnsi="宋体" w:eastAsia="宋体"/>
          <w:b/>
          <w:szCs w:val="24"/>
        </w:rPr>
      </w:pPr>
      <w:bookmarkStart w:id="443" w:name="_Toc427583695"/>
      <w:bookmarkStart w:id="444" w:name="_Toc152045568"/>
      <w:bookmarkStart w:id="445" w:name="_Toc475691335"/>
      <w:bookmarkStart w:id="446" w:name="_Toc489430865"/>
      <w:bookmarkStart w:id="447" w:name="_Toc407219626"/>
      <w:bookmarkStart w:id="448" w:name="_Toc489430505"/>
      <w:bookmarkStart w:id="449" w:name="_Toc116314118"/>
      <w:bookmarkStart w:id="450" w:name="_Toc18939"/>
      <w:bookmarkStart w:id="451" w:name="_Toc144974536"/>
      <w:bookmarkStart w:id="452" w:name="_Toc152042344"/>
      <w:bookmarkStart w:id="453" w:name="_Toc427580082"/>
      <w:r>
        <w:rPr>
          <w:rFonts w:hint="eastAsia" w:ascii="宋体" w:hAnsi="宋体" w:eastAsia="宋体"/>
          <w:b/>
          <w:szCs w:val="24"/>
        </w:rPr>
        <w:t>7.2 中标通知</w:t>
      </w:r>
      <w:bookmarkEnd w:id="443"/>
      <w:bookmarkEnd w:id="444"/>
      <w:bookmarkEnd w:id="445"/>
      <w:bookmarkEnd w:id="446"/>
      <w:bookmarkEnd w:id="447"/>
      <w:bookmarkEnd w:id="448"/>
      <w:bookmarkEnd w:id="449"/>
      <w:bookmarkEnd w:id="450"/>
      <w:bookmarkEnd w:id="451"/>
      <w:bookmarkEnd w:id="452"/>
      <w:bookmarkEnd w:id="453"/>
    </w:p>
    <w:p>
      <w:pPr>
        <w:spacing w:line="360" w:lineRule="auto"/>
        <w:ind w:firstLine="480" w:firstLineChars="200"/>
        <w:rPr>
          <w:rFonts w:ascii="宋体" w:hAnsi="宋体"/>
          <w:sz w:val="24"/>
        </w:rPr>
      </w:pPr>
      <w:bookmarkStart w:id="454" w:name="_Toc489430506"/>
      <w:bookmarkStart w:id="455" w:name="_Toc427583696"/>
      <w:bookmarkStart w:id="456" w:name="_Toc427580083"/>
      <w:bookmarkStart w:id="457" w:name="_Toc496"/>
      <w:bookmarkStart w:id="458" w:name="_Toc144974537"/>
      <w:bookmarkStart w:id="459" w:name="_Toc116314119"/>
      <w:bookmarkStart w:id="460" w:name="_Toc475691336"/>
      <w:bookmarkStart w:id="461" w:name="_Toc152045569"/>
      <w:bookmarkStart w:id="462" w:name="_Toc489430866"/>
      <w:bookmarkStart w:id="463" w:name="_Toc407219627"/>
      <w:bookmarkStart w:id="464" w:name="_Toc152042345"/>
      <w:r>
        <w:rPr>
          <w:rFonts w:hint="eastAsia" w:ascii="宋体" w:hAnsi="宋体"/>
          <w:sz w:val="24"/>
        </w:rPr>
        <w:t>采购人或其委托的采购代理机构在发布中标（成交）公告的同时，上传评标（审）报告。评标（审）报告包括开标记录、资格性审查情况、符合性审查情况、评审结果排序，以及全体评标（审）专家对各供应商的详细打分情况，切实保障供应商知情权。除法定的中标（成交）供应商及主要中标（成交）标的信息公开外，采购人或其委托的采购代理机构在发布中标（成交）公告的同时，一并对未中标（成交）供应商名单和地址进行公开，广泛接受社会监督。对未中标（成交）供应商原因采用公开告知制度，采购人或其委托的采购代理机构在发布中标（成交）公告的同时，对未中标（成交）供应商告知未通过原因，包括资格性审查、符合性审查情况、认定为无效投标（响应）的原因、评审得分及排序。</w:t>
      </w:r>
    </w:p>
    <w:p>
      <w:pPr>
        <w:spacing w:line="360" w:lineRule="auto"/>
        <w:ind w:firstLine="480" w:firstLineChars="200"/>
        <w:rPr>
          <w:rFonts w:ascii="宋体" w:hAnsi="宋体"/>
          <w:sz w:val="24"/>
        </w:rPr>
      </w:pPr>
      <w:r>
        <w:rPr>
          <w:rFonts w:hint="eastAsia" w:ascii="宋体" w:hAnsi="宋体"/>
          <w:sz w:val="24"/>
        </w:rPr>
        <w:t>在本章第3.3 款规定的投标有效期内，招标人在公示期过后1个工作日内以书面形式向中标人发出中标通知书，同时将中标结果通知未中标的投标人。</w:t>
      </w:r>
    </w:p>
    <w:p>
      <w:pPr>
        <w:pStyle w:val="56"/>
        <w:spacing w:line="360" w:lineRule="auto"/>
        <w:rPr>
          <w:rFonts w:ascii="宋体" w:hAnsi="宋体" w:eastAsia="宋体"/>
          <w:b/>
          <w:szCs w:val="24"/>
        </w:rPr>
      </w:pPr>
      <w:r>
        <w:rPr>
          <w:rFonts w:hint="eastAsia" w:ascii="宋体" w:hAnsi="宋体" w:eastAsia="宋体"/>
          <w:b/>
          <w:szCs w:val="24"/>
        </w:rPr>
        <w:t>7.3 履约担保</w:t>
      </w:r>
      <w:bookmarkEnd w:id="454"/>
      <w:bookmarkEnd w:id="455"/>
      <w:bookmarkEnd w:id="456"/>
      <w:bookmarkEnd w:id="457"/>
      <w:bookmarkEnd w:id="458"/>
      <w:bookmarkEnd w:id="459"/>
      <w:bookmarkEnd w:id="460"/>
      <w:bookmarkEnd w:id="461"/>
      <w:bookmarkEnd w:id="462"/>
      <w:bookmarkEnd w:id="463"/>
      <w:bookmarkEnd w:id="464"/>
    </w:p>
    <w:p>
      <w:pPr>
        <w:pStyle w:val="56"/>
        <w:spacing w:line="360" w:lineRule="auto"/>
        <w:rPr>
          <w:rFonts w:ascii="宋体" w:hAnsi="宋体" w:eastAsia="宋体"/>
          <w:b/>
          <w:szCs w:val="24"/>
        </w:rPr>
      </w:pPr>
      <w:bookmarkStart w:id="465" w:name="_Toc427583697"/>
      <w:bookmarkStart w:id="466" w:name="_Toc427580084"/>
      <w:bookmarkStart w:id="467" w:name="_Toc152042346"/>
      <w:bookmarkStart w:id="468" w:name="_Toc116314120"/>
      <w:bookmarkStart w:id="469" w:name="_Toc489430507"/>
      <w:bookmarkStart w:id="470" w:name="_Toc489430867"/>
      <w:bookmarkStart w:id="471" w:name="_Toc144974538"/>
      <w:bookmarkStart w:id="472" w:name="_Toc407219628"/>
      <w:bookmarkStart w:id="473" w:name="_Toc152045570"/>
      <w:bookmarkStart w:id="474" w:name="_Toc13654"/>
      <w:bookmarkStart w:id="475" w:name="_Toc475691337"/>
      <w:r>
        <w:rPr>
          <w:rFonts w:hint="eastAsia" w:ascii="宋体" w:hAnsi="宋体" w:eastAsia="宋体"/>
          <w:b/>
          <w:szCs w:val="24"/>
        </w:rPr>
        <w:t>7.4 签订合同</w:t>
      </w:r>
      <w:bookmarkEnd w:id="465"/>
      <w:bookmarkEnd w:id="466"/>
      <w:bookmarkEnd w:id="467"/>
      <w:bookmarkEnd w:id="468"/>
      <w:bookmarkEnd w:id="469"/>
      <w:bookmarkEnd w:id="470"/>
      <w:bookmarkEnd w:id="471"/>
      <w:bookmarkEnd w:id="472"/>
      <w:bookmarkEnd w:id="473"/>
      <w:bookmarkEnd w:id="474"/>
      <w:bookmarkEnd w:id="475"/>
    </w:p>
    <w:p>
      <w:pPr>
        <w:spacing w:line="360" w:lineRule="auto"/>
        <w:ind w:firstLine="480" w:firstLineChars="200"/>
        <w:rPr>
          <w:rFonts w:ascii="宋体" w:hAnsi="宋体"/>
          <w:sz w:val="24"/>
        </w:rPr>
      </w:pPr>
      <w:bookmarkStart w:id="476" w:name="_Toc152042347"/>
      <w:bookmarkStart w:id="477" w:name="_Toc489430868"/>
      <w:bookmarkStart w:id="478" w:name="_Toc144974539"/>
      <w:bookmarkStart w:id="479" w:name="_Toc475691338"/>
      <w:bookmarkStart w:id="480" w:name="_Toc116314121"/>
      <w:bookmarkStart w:id="481" w:name="_Toc1157"/>
      <w:bookmarkStart w:id="482" w:name="_Toc489430508"/>
      <w:bookmarkStart w:id="483" w:name="_Toc152045571"/>
      <w:r>
        <w:rPr>
          <w:rFonts w:hint="eastAsia" w:ascii="宋体" w:hAnsi="宋体"/>
          <w:sz w:val="24"/>
        </w:rPr>
        <w:t>7.4.1 招标人和中标人应当自中标通知书发出之日起1个工作日内，根据招标文件和中标人的投标文件订立书面合同并备案。中标人无正当理由拒签合同的，招标人取消其中标资格，其投标保证金不予退还；给招标人造成的损失超过投标保证金数额的，中标人还应当对超过部分予以赔偿。</w:t>
      </w:r>
    </w:p>
    <w:p>
      <w:pPr>
        <w:spacing w:line="360" w:lineRule="auto"/>
        <w:ind w:firstLine="480" w:firstLineChars="200"/>
        <w:rPr>
          <w:rFonts w:ascii="宋体" w:hAnsi="宋体"/>
          <w:sz w:val="24"/>
        </w:rPr>
      </w:pPr>
      <w:r>
        <w:rPr>
          <w:rFonts w:hint="eastAsia" w:ascii="宋体" w:hAnsi="宋体"/>
          <w:sz w:val="24"/>
        </w:rPr>
        <w:t>7.4.2 发出中标通知书后，招标人无正当理由拒签合同的，招标人向中标人退还投标保证金；给中标人造成损失的，还应当赔偿损失。</w:t>
      </w:r>
    </w:p>
    <w:p>
      <w:pPr>
        <w:pStyle w:val="55"/>
        <w:spacing w:before="0" w:line="360" w:lineRule="auto"/>
        <w:rPr>
          <w:rFonts w:ascii="宋体" w:hAnsi="宋体" w:eastAsia="宋体"/>
        </w:rPr>
      </w:pPr>
      <w:r>
        <w:rPr>
          <w:rFonts w:hint="eastAsia" w:ascii="宋体" w:hAnsi="宋体" w:eastAsia="宋体"/>
          <w:b/>
        </w:rPr>
        <w:t>8. 重新招标和不再招标</w:t>
      </w:r>
      <w:bookmarkEnd w:id="476"/>
      <w:bookmarkEnd w:id="477"/>
      <w:bookmarkEnd w:id="478"/>
      <w:bookmarkEnd w:id="479"/>
      <w:bookmarkEnd w:id="480"/>
      <w:bookmarkEnd w:id="481"/>
      <w:bookmarkEnd w:id="482"/>
      <w:bookmarkEnd w:id="483"/>
    </w:p>
    <w:p>
      <w:pPr>
        <w:pStyle w:val="56"/>
        <w:spacing w:line="360" w:lineRule="auto"/>
        <w:rPr>
          <w:rFonts w:ascii="宋体" w:hAnsi="宋体" w:eastAsia="宋体"/>
          <w:b/>
          <w:szCs w:val="24"/>
        </w:rPr>
      </w:pPr>
      <w:bookmarkStart w:id="484" w:name="_Toc427580086"/>
      <w:bookmarkStart w:id="485" w:name="_Toc152042348"/>
      <w:bookmarkStart w:id="486" w:name="_Toc144974540"/>
      <w:bookmarkStart w:id="487" w:name="_Toc427583699"/>
      <w:bookmarkStart w:id="488" w:name="_Toc116314122"/>
      <w:bookmarkStart w:id="489" w:name="_Toc475691339"/>
      <w:bookmarkStart w:id="490" w:name="_Toc489430509"/>
      <w:bookmarkStart w:id="491" w:name="_Toc489430869"/>
      <w:bookmarkStart w:id="492" w:name="_Toc152045572"/>
      <w:bookmarkStart w:id="493" w:name="_Toc10564"/>
      <w:bookmarkStart w:id="494" w:name="_Toc407219630"/>
      <w:r>
        <w:rPr>
          <w:rFonts w:hint="eastAsia" w:ascii="宋体" w:hAnsi="宋体" w:eastAsia="宋体"/>
          <w:b/>
          <w:szCs w:val="24"/>
        </w:rPr>
        <w:t>8.1 重新招标</w:t>
      </w:r>
      <w:bookmarkEnd w:id="484"/>
      <w:bookmarkEnd w:id="485"/>
      <w:bookmarkEnd w:id="486"/>
      <w:bookmarkEnd w:id="487"/>
      <w:bookmarkEnd w:id="488"/>
      <w:bookmarkEnd w:id="489"/>
      <w:bookmarkEnd w:id="490"/>
      <w:bookmarkEnd w:id="491"/>
      <w:bookmarkEnd w:id="492"/>
      <w:bookmarkEnd w:id="493"/>
      <w:bookmarkEnd w:id="494"/>
    </w:p>
    <w:p>
      <w:pPr>
        <w:spacing w:line="360" w:lineRule="auto"/>
        <w:ind w:firstLine="480" w:firstLineChars="200"/>
        <w:rPr>
          <w:rFonts w:ascii="宋体" w:hAnsi="宋体"/>
          <w:sz w:val="24"/>
        </w:rPr>
      </w:pPr>
      <w:r>
        <w:rPr>
          <w:rFonts w:hint="eastAsia" w:ascii="宋体" w:hAnsi="宋体"/>
          <w:sz w:val="24"/>
        </w:rPr>
        <w:t>有下列情形之一的，招标人将重新招标：</w:t>
      </w:r>
    </w:p>
    <w:p>
      <w:pPr>
        <w:spacing w:line="360" w:lineRule="auto"/>
        <w:ind w:firstLine="480" w:firstLineChars="200"/>
        <w:rPr>
          <w:rFonts w:ascii="宋体" w:hAnsi="宋体"/>
          <w:sz w:val="24"/>
        </w:rPr>
      </w:pPr>
      <w:r>
        <w:rPr>
          <w:rFonts w:hint="eastAsia" w:ascii="宋体" w:hAnsi="宋体"/>
          <w:sz w:val="24"/>
        </w:rPr>
        <w:t>（1）投标截止时间止，投标人少于3个的；</w:t>
      </w:r>
    </w:p>
    <w:p>
      <w:pPr>
        <w:spacing w:line="360" w:lineRule="auto"/>
        <w:ind w:firstLine="480" w:firstLineChars="200"/>
        <w:rPr>
          <w:rFonts w:ascii="宋体" w:hAnsi="宋体"/>
          <w:sz w:val="24"/>
        </w:rPr>
      </w:pPr>
      <w:r>
        <w:rPr>
          <w:rFonts w:hint="eastAsia" w:ascii="宋体" w:hAnsi="宋体"/>
          <w:sz w:val="24"/>
        </w:rPr>
        <w:t>（2）经评标委员会评审后否决所有投标的。</w:t>
      </w:r>
    </w:p>
    <w:p>
      <w:pPr>
        <w:pStyle w:val="56"/>
        <w:spacing w:line="360" w:lineRule="auto"/>
        <w:rPr>
          <w:rFonts w:ascii="宋体" w:hAnsi="宋体" w:eastAsia="宋体"/>
          <w:b/>
          <w:szCs w:val="24"/>
        </w:rPr>
      </w:pPr>
      <w:bookmarkStart w:id="495" w:name="_Toc489430510"/>
      <w:bookmarkStart w:id="496" w:name="_Toc427583700"/>
      <w:bookmarkStart w:id="497" w:name="_Toc475691340"/>
      <w:bookmarkStart w:id="498" w:name="_Toc152042349"/>
      <w:bookmarkStart w:id="499" w:name="_Toc144974541"/>
      <w:bookmarkStart w:id="500" w:name="_Toc489430870"/>
      <w:bookmarkStart w:id="501" w:name="_Toc152045573"/>
      <w:bookmarkStart w:id="502" w:name="_Toc116314123"/>
      <w:bookmarkStart w:id="503" w:name="_Toc22735"/>
      <w:bookmarkStart w:id="504" w:name="_Toc427580087"/>
      <w:bookmarkStart w:id="505" w:name="_Toc407219631"/>
      <w:r>
        <w:rPr>
          <w:rFonts w:hint="eastAsia" w:ascii="宋体" w:hAnsi="宋体" w:eastAsia="宋体"/>
          <w:b/>
          <w:szCs w:val="24"/>
        </w:rPr>
        <w:t>8.2 不再招标</w:t>
      </w:r>
      <w:bookmarkEnd w:id="495"/>
      <w:bookmarkEnd w:id="496"/>
      <w:bookmarkEnd w:id="497"/>
      <w:bookmarkEnd w:id="498"/>
      <w:bookmarkEnd w:id="499"/>
      <w:bookmarkEnd w:id="500"/>
      <w:bookmarkEnd w:id="501"/>
      <w:bookmarkEnd w:id="502"/>
      <w:bookmarkEnd w:id="503"/>
      <w:bookmarkEnd w:id="504"/>
      <w:bookmarkEnd w:id="505"/>
    </w:p>
    <w:p>
      <w:pPr>
        <w:spacing w:line="360" w:lineRule="auto"/>
        <w:ind w:firstLine="480" w:firstLineChars="200"/>
        <w:rPr>
          <w:rFonts w:ascii="宋体" w:hAnsi="宋体"/>
          <w:sz w:val="24"/>
        </w:rPr>
      </w:pPr>
      <w:r>
        <w:rPr>
          <w:rFonts w:hint="eastAsia" w:ascii="宋体" w:hAnsi="宋体"/>
          <w:sz w:val="24"/>
        </w:rPr>
        <w:t>重新招标后投标人仍少于3个或者所有投标被否决的，属于必须审批或核准的工程建设项目，经原审批或核准部门批准后不再进行招标。</w:t>
      </w:r>
    </w:p>
    <w:p>
      <w:pPr>
        <w:pStyle w:val="55"/>
        <w:spacing w:before="0" w:line="360" w:lineRule="auto"/>
        <w:rPr>
          <w:rFonts w:ascii="宋体" w:hAnsi="宋体" w:eastAsia="宋体"/>
          <w:b/>
        </w:rPr>
      </w:pPr>
      <w:bookmarkStart w:id="506" w:name="_Toc489430511"/>
      <w:bookmarkStart w:id="507" w:name="_Toc489430871"/>
      <w:bookmarkStart w:id="508" w:name="_Toc475691341"/>
      <w:bookmarkStart w:id="509" w:name="_Toc144974542"/>
      <w:bookmarkStart w:id="510" w:name="_Toc152045574"/>
      <w:bookmarkStart w:id="511" w:name="_Toc152042350"/>
      <w:bookmarkStart w:id="512" w:name="_Toc407219632"/>
      <w:bookmarkStart w:id="513" w:name="_Toc116314124"/>
      <w:bookmarkStart w:id="514" w:name="_Toc12999"/>
      <w:r>
        <w:rPr>
          <w:rFonts w:hint="eastAsia" w:ascii="宋体" w:hAnsi="宋体" w:eastAsia="宋体"/>
          <w:b/>
        </w:rPr>
        <w:t>9. 纪律和监督</w:t>
      </w:r>
      <w:bookmarkEnd w:id="506"/>
      <w:bookmarkEnd w:id="507"/>
      <w:bookmarkEnd w:id="508"/>
      <w:bookmarkEnd w:id="509"/>
      <w:bookmarkEnd w:id="510"/>
      <w:bookmarkEnd w:id="511"/>
      <w:bookmarkEnd w:id="512"/>
      <w:bookmarkEnd w:id="513"/>
      <w:bookmarkEnd w:id="514"/>
    </w:p>
    <w:p>
      <w:pPr>
        <w:pStyle w:val="56"/>
        <w:spacing w:line="360" w:lineRule="auto"/>
        <w:rPr>
          <w:rFonts w:ascii="宋体" w:hAnsi="宋体" w:eastAsia="宋体"/>
          <w:b/>
          <w:szCs w:val="24"/>
        </w:rPr>
      </w:pPr>
      <w:bookmarkStart w:id="515" w:name="_Toc475691342"/>
      <w:bookmarkStart w:id="516" w:name="_Toc489430512"/>
      <w:bookmarkStart w:id="517" w:name="_Toc427580089"/>
      <w:bookmarkStart w:id="518" w:name="_Toc152042351"/>
      <w:bookmarkStart w:id="519" w:name="_Toc25924"/>
      <w:bookmarkStart w:id="520" w:name="_Toc152045575"/>
      <w:bookmarkStart w:id="521" w:name="_Toc489430872"/>
      <w:bookmarkStart w:id="522" w:name="_Toc427583702"/>
      <w:bookmarkStart w:id="523" w:name="_Toc407219633"/>
      <w:bookmarkStart w:id="524" w:name="_Toc116314125"/>
      <w:bookmarkStart w:id="525" w:name="_Toc144974543"/>
      <w:r>
        <w:rPr>
          <w:rFonts w:hint="eastAsia" w:ascii="宋体" w:hAnsi="宋体" w:eastAsia="宋体"/>
          <w:b/>
          <w:szCs w:val="24"/>
        </w:rPr>
        <w:t>9.1 对招标人的纪律要求</w:t>
      </w:r>
      <w:bookmarkEnd w:id="515"/>
      <w:bookmarkEnd w:id="516"/>
      <w:bookmarkEnd w:id="517"/>
      <w:bookmarkEnd w:id="518"/>
      <w:bookmarkEnd w:id="519"/>
      <w:bookmarkEnd w:id="520"/>
      <w:bookmarkEnd w:id="521"/>
      <w:bookmarkEnd w:id="522"/>
      <w:bookmarkEnd w:id="523"/>
      <w:bookmarkEnd w:id="524"/>
      <w:bookmarkEnd w:id="525"/>
    </w:p>
    <w:p>
      <w:pPr>
        <w:spacing w:line="360" w:lineRule="auto"/>
        <w:ind w:firstLine="480" w:firstLineChars="200"/>
        <w:rPr>
          <w:rFonts w:ascii="宋体" w:hAnsi="宋体"/>
          <w:sz w:val="24"/>
        </w:rPr>
      </w:pPr>
      <w:r>
        <w:rPr>
          <w:rFonts w:hint="eastAsia" w:ascii="宋体" w:hAnsi="宋体"/>
          <w:sz w:val="24"/>
        </w:rPr>
        <w:t>招标人不得泄漏招标投标活动中应当保密的情况和资料，不得与投标人串通损害国家利益、社会公共利益或者他人合法权益。</w:t>
      </w:r>
    </w:p>
    <w:p>
      <w:pPr>
        <w:pStyle w:val="56"/>
        <w:spacing w:line="360" w:lineRule="auto"/>
        <w:rPr>
          <w:rFonts w:ascii="宋体" w:hAnsi="宋体" w:eastAsia="宋体"/>
          <w:b/>
          <w:szCs w:val="24"/>
        </w:rPr>
      </w:pPr>
      <w:bookmarkStart w:id="526" w:name="_Toc427580090"/>
      <w:bookmarkStart w:id="527" w:name="_Toc152042352"/>
      <w:bookmarkStart w:id="528" w:name="_Toc152045576"/>
      <w:bookmarkStart w:id="529" w:name="_Toc489430873"/>
      <w:bookmarkStart w:id="530" w:name="_Toc24077"/>
      <w:bookmarkStart w:id="531" w:name="_Toc116314126"/>
      <w:bookmarkStart w:id="532" w:name="_Toc144974544"/>
      <w:bookmarkStart w:id="533" w:name="_Toc489430513"/>
      <w:bookmarkStart w:id="534" w:name="_Toc407219634"/>
      <w:bookmarkStart w:id="535" w:name="_Toc427583703"/>
      <w:bookmarkStart w:id="536" w:name="_Toc475691343"/>
      <w:r>
        <w:rPr>
          <w:rFonts w:hint="eastAsia" w:ascii="宋体" w:hAnsi="宋体" w:eastAsia="宋体"/>
          <w:b/>
          <w:szCs w:val="24"/>
        </w:rPr>
        <w:t>9.2 对投标人的纪律要求</w:t>
      </w:r>
      <w:bookmarkEnd w:id="526"/>
      <w:bookmarkEnd w:id="527"/>
      <w:bookmarkEnd w:id="528"/>
      <w:bookmarkEnd w:id="529"/>
      <w:bookmarkEnd w:id="530"/>
      <w:bookmarkEnd w:id="531"/>
      <w:bookmarkEnd w:id="532"/>
      <w:bookmarkEnd w:id="533"/>
      <w:bookmarkEnd w:id="534"/>
      <w:bookmarkEnd w:id="535"/>
      <w:bookmarkEnd w:id="536"/>
    </w:p>
    <w:p>
      <w:pPr>
        <w:spacing w:line="360" w:lineRule="auto"/>
        <w:ind w:firstLine="480" w:firstLineChars="200"/>
        <w:rPr>
          <w:rFonts w:ascii="宋体" w:hAnsi="宋体"/>
          <w:sz w:val="24"/>
        </w:rPr>
      </w:pPr>
      <w:r>
        <w:rPr>
          <w:rFonts w:hint="eastAsia" w:ascii="宋体" w:hAnsi="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6"/>
        <w:spacing w:line="360" w:lineRule="auto"/>
        <w:rPr>
          <w:rFonts w:ascii="宋体" w:hAnsi="宋体" w:eastAsia="宋体"/>
          <w:b/>
          <w:szCs w:val="24"/>
        </w:rPr>
      </w:pPr>
      <w:bookmarkStart w:id="537" w:name="_Toc116314127"/>
      <w:bookmarkStart w:id="538" w:name="_Toc144974545"/>
      <w:bookmarkStart w:id="539" w:name="_Toc475691344"/>
      <w:bookmarkStart w:id="540" w:name="_Toc489430874"/>
      <w:bookmarkStart w:id="541" w:name="_Toc152045577"/>
      <w:bookmarkStart w:id="542" w:name="_Toc427580091"/>
      <w:bookmarkStart w:id="543" w:name="_Toc489430514"/>
      <w:bookmarkStart w:id="544" w:name="_Toc407219635"/>
      <w:bookmarkStart w:id="545" w:name="_Toc427583704"/>
      <w:bookmarkStart w:id="546" w:name="_Toc3749"/>
      <w:bookmarkStart w:id="547" w:name="_Toc152042353"/>
      <w:r>
        <w:rPr>
          <w:rFonts w:hint="eastAsia" w:ascii="宋体" w:hAnsi="宋体" w:eastAsia="宋体"/>
          <w:b/>
          <w:szCs w:val="24"/>
        </w:rPr>
        <w:t>9.3 对评标委员会成员的纪律要求</w:t>
      </w:r>
      <w:bookmarkEnd w:id="537"/>
      <w:bookmarkEnd w:id="538"/>
      <w:bookmarkEnd w:id="539"/>
      <w:bookmarkEnd w:id="540"/>
      <w:bookmarkEnd w:id="541"/>
      <w:bookmarkEnd w:id="542"/>
      <w:bookmarkEnd w:id="543"/>
      <w:bookmarkEnd w:id="544"/>
      <w:bookmarkEnd w:id="545"/>
      <w:bookmarkEnd w:id="546"/>
      <w:bookmarkEnd w:id="547"/>
    </w:p>
    <w:p>
      <w:pPr>
        <w:spacing w:line="360" w:lineRule="auto"/>
        <w:ind w:firstLine="480" w:firstLineChars="200"/>
        <w:rPr>
          <w:rFonts w:ascii="宋体" w:hAnsi="宋体"/>
          <w:sz w:val="24"/>
        </w:rPr>
      </w:pPr>
      <w:r>
        <w:rPr>
          <w:rFonts w:hint="eastAsia" w:ascii="宋体" w:hAnsi="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56"/>
        <w:spacing w:line="360" w:lineRule="auto"/>
        <w:rPr>
          <w:rFonts w:ascii="宋体" w:hAnsi="宋体" w:eastAsia="宋体"/>
          <w:b/>
          <w:szCs w:val="24"/>
        </w:rPr>
      </w:pPr>
      <w:bookmarkStart w:id="548" w:name="_Toc2293"/>
      <w:bookmarkStart w:id="549" w:name="_Toc116314128"/>
      <w:bookmarkStart w:id="550" w:name="_Toc152042354"/>
      <w:bookmarkStart w:id="551" w:name="_Toc152045578"/>
      <w:bookmarkStart w:id="552" w:name="_Toc427583705"/>
      <w:bookmarkStart w:id="553" w:name="_Toc489430515"/>
      <w:bookmarkStart w:id="554" w:name="_Toc489430875"/>
      <w:bookmarkStart w:id="555" w:name="_Toc475691345"/>
      <w:bookmarkStart w:id="556" w:name="_Toc427580092"/>
      <w:bookmarkStart w:id="557" w:name="_Toc407219636"/>
      <w:bookmarkStart w:id="558" w:name="_Toc144974546"/>
      <w:r>
        <w:rPr>
          <w:rFonts w:hint="eastAsia" w:ascii="宋体" w:hAnsi="宋体" w:eastAsia="宋体"/>
          <w:b/>
          <w:szCs w:val="24"/>
        </w:rPr>
        <w:t>9.4 对与评标活动有关的工作人员的纪律要求</w:t>
      </w:r>
      <w:bookmarkEnd w:id="548"/>
      <w:bookmarkEnd w:id="549"/>
      <w:bookmarkEnd w:id="550"/>
      <w:bookmarkEnd w:id="551"/>
      <w:bookmarkEnd w:id="552"/>
      <w:bookmarkEnd w:id="553"/>
      <w:bookmarkEnd w:id="554"/>
      <w:bookmarkEnd w:id="555"/>
      <w:bookmarkEnd w:id="556"/>
      <w:bookmarkEnd w:id="557"/>
    </w:p>
    <w:p>
      <w:pPr>
        <w:spacing w:line="360" w:lineRule="auto"/>
        <w:ind w:firstLine="480" w:firstLineChars="200"/>
        <w:rPr>
          <w:rFonts w:ascii="宋体" w:hAnsi="宋体"/>
          <w:sz w:val="24"/>
        </w:rPr>
      </w:pPr>
      <w:bookmarkStart w:id="559" w:name="_Toc152042355"/>
      <w:r>
        <w:rPr>
          <w:rFonts w:hint="eastAsia" w:ascii="宋体" w:hAnsi="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559"/>
    </w:p>
    <w:p>
      <w:pPr>
        <w:pStyle w:val="56"/>
        <w:spacing w:line="360" w:lineRule="auto"/>
        <w:rPr>
          <w:rFonts w:ascii="宋体" w:hAnsi="宋体" w:eastAsia="宋体"/>
          <w:b/>
          <w:szCs w:val="24"/>
        </w:rPr>
      </w:pPr>
      <w:bookmarkStart w:id="560" w:name="_Toc489430516"/>
      <w:bookmarkStart w:id="561" w:name="_Toc152042356"/>
      <w:bookmarkStart w:id="562" w:name="_Toc116314129"/>
      <w:bookmarkStart w:id="563" w:name="_Toc407219637"/>
      <w:bookmarkStart w:id="564" w:name="_Toc7916"/>
      <w:bookmarkStart w:id="565" w:name="_Toc427583706"/>
      <w:bookmarkStart w:id="566" w:name="_Toc475691346"/>
      <w:bookmarkStart w:id="567" w:name="_Toc152045579"/>
      <w:bookmarkStart w:id="568" w:name="_Toc489430876"/>
      <w:bookmarkStart w:id="569" w:name="_Toc427580093"/>
      <w:r>
        <w:rPr>
          <w:rFonts w:hint="eastAsia" w:ascii="宋体" w:hAnsi="宋体" w:eastAsia="宋体"/>
          <w:b/>
          <w:szCs w:val="24"/>
        </w:rPr>
        <w:t>9.5 投诉</w:t>
      </w:r>
      <w:bookmarkEnd w:id="558"/>
      <w:bookmarkEnd w:id="560"/>
      <w:bookmarkEnd w:id="561"/>
      <w:bookmarkEnd w:id="562"/>
      <w:bookmarkEnd w:id="563"/>
      <w:bookmarkEnd w:id="564"/>
      <w:bookmarkEnd w:id="565"/>
      <w:bookmarkEnd w:id="566"/>
      <w:bookmarkEnd w:id="567"/>
      <w:bookmarkEnd w:id="568"/>
      <w:bookmarkEnd w:id="569"/>
    </w:p>
    <w:p>
      <w:pPr>
        <w:spacing w:line="360" w:lineRule="auto"/>
        <w:ind w:firstLine="480" w:firstLineChars="200"/>
        <w:rPr>
          <w:rFonts w:ascii="宋体" w:hAnsi="宋体"/>
          <w:sz w:val="24"/>
        </w:rPr>
      </w:pPr>
      <w:r>
        <w:rPr>
          <w:rFonts w:hint="eastAsia" w:ascii="宋体" w:hAnsi="宋体"/>
          <w:sz w:val="24"/>
        </w:rPr>
        <w:t>投标人和其他利害关系人认为本次招标活动违反法律、法规和规章规定的，有权向有关行政监督部门投诉。</w:t>
      </w:r>
    </w:p>
    <w:p>
      <w:pPr>
        <w:pStyle w:val="55"/>
        <w:spacing w:before="0" w:line="360" w:lineRule="auto"/>
        <w:rPr>
          <w:rFonts w:ascii="宋体" w:hAnsi="宋体" w:eastAsia="宋体"/>
          <w:b/>
        </w:rPr>
      </w:pPr>
      <w:bookmarkStart w:id="570" w:name="_Toc489430517"/>
      <w:bookmarkStart w:id="571" w:name="_Toc4805"/>
      <w:bookmarkStart w:id="572" w:name="_Toc475691347"/>
      <w:bookmarkStart w:id="573" w:name="_Toc152045580"/>
      <w:bookmarkStart w:id="574" w:name="_Toc489430877"/>
      <w:bookmarkStart w:id="575" w:name="_Toc152042357"/>
      <w:bookmarkStart w:id="576" w:name="_Toc144974547"/>
      <w:bookmarkStart w:id="577" w:name="_Toc116314130"/>
      <w:r>
        <w:rPr>
          <w:rFonts w:hint="eastAsia" w:ascii="宋体" w:hAnsi="宋体" w:eastAsia="宋体"/>
          <w:b/>
        </w:rPr>
        <w:t>10. 需要补充的其他内容</w:t>
      </w:r>
      <w:bookmarkEnd w:id="570"/>
      <w:bookmarkEnd w:id="571"/>
      <w:bookmarkEnd w:id="572"/>
      <w:bookmarkEnd w:id="573"/>
      <w:bookmarkEnd w:id="574"/>
      <w:bookmarkEnd w:id="575"/>
      <w:bookmarkEnd w:id="576"/>
      <w:bookmarkEnd w:id="577"/>
    </w:p>
    <w:p>
      <w:pPr>
        <w:spacing w:line="360" w:lineRule="auto"/>
        <w:ind w:firstLine="480" w:firstLineChars="200"/>
        <w:rPr>
          <w:rFonts w:ascii="宋体" w:hAnsi="宋体"/>
          <w:sz w:val="24"/>
        </w:rPr>
      </w:pPr>
      <w:r>
        <w:rPr>
          <w:rFonts w:hint="eastAsia" w:ascii="宋体" w:hAnsi="宋体"/>
          <w:sz w:val="24"/>
        </w:rPr>
        <w:t>需要补充的其他内容：见投标人须知前附表。</w:t>
      </w:r>
    </w:p>
    <w:p>
      <w:pPr>
        <w:pStyle w:val="2"/>
        <w:pageBreakBefore/>
        <w:spacing w:before="120" w:after="120" w:line="400" w:lineRule="exact"/>
        <w:jc w:val="center"/>
        <w:rPr>
          <w:rFonts w:ascii="宋体" w:hAnsi="宋体"/>
          <w:bCs w:val="0"/>
          <w:sz w:val="32"/>
        </w:rPr>
      </w:pPr>
      <w:bookmarkStart w:id="578" w:name="_Toc144974565"/>
      <w:bookmarkStart w:id="579" w:name="_Toc489430878"/>
      <w:bookmarkStart w:id="580" w:name="_Toc250721523"/>
      <w:bookmarkStart w:id="581" w:name="_Toc152042375"/>
      <w:bookmarkStart w:id="582" w:name="_Toc2226"/>
      <w:bookmarkStart w:id="583" w:name="_Toc152045598"/>
      <w:bookmarkStart w:id="584" w:name="_Toc253729347"/>
      <w:bookmarkStart w:id="585" w:name="_Toc116314131"/>
      <w:bookmarkStart w:id="586" w:name="_Toc489430518"/>
      <w:r>
        <w:rPr>
          <w:rFonts w:hint="eastAsia" w:ascii="宋体" w:hAnsi="宋体"/>
          <w:bCs w:val="0"/>
          <w:sz w:val="32"/>
        </w:rPr>
        <w:t>第三章评标办法（综合评估法）</w:t>
      </w:r>
      <w:bookmarkEnd w:id="578"/>
      <w:bookmarkEnd w:id="579"/>
      <w:bookmarkEnd w:id="580"/>
      <w:bookmarkEnd w:id="581"/>
      <w:bookmarkEnd w:id="582"/>
      <w:bookmarkEnd w:id="583"/>
      <w:bookmarkEnd w:id="584"/>
      <w:bookmarkEnd w:id="585"/>
      <w:bookmarkEnd w:id="586"/>
    </w:p>
    <w:p>
      <w:pPr>
        <w:pStyle w:val="55"/>
        <w:jc w:val="center"/>
        <w:rPr>
          <w:rFonts w:ascii="宋体" w:hAnsi="宋体" w:eastAsia="宋体"/>
          <w:b/>
        </w:rPr>
      </w:pPr>
      <w:bookmarkStart w:id="587" w:name="_Toc116314132"/>
      <w:bookmarkStart w:id="588" w:name="_Toc253729348"/>
      <w:bookmarkStart w:id="589" w:name="_Toc152042376"/>
      <w:bookmarkStart w:id="590" w:name="_Toc489430519"/>
      <w:bookmarkStart w:id="591" w:name="_Toc287530871"/>
      <w:bookmarkStart w:id="592" w:name="_Toc6766"/>
      <w:bookmarkStart w:id="593" w:name="_Toc249716021"/>
      <w:bookmarkStart w:id="594" w:name="_Toc489430879"/>
      <w:bookmarkStart w:id="595" w:name="_Toc144974566"/>
      <w:bookmarkStart w:id="596" w:name="_Toc152045599"/>
      <w:r>
        <w:rPr>
          <w:rFonts w:hint="eastAsia" w:ascii="宋体" w:hAnsi="宋体" w:eastAsia="宋体"/>
          <w:b/>
        </w:rPr>
        <w:t>评标办法前附表</w:t>
      </w:r>
      <w:bookmarkEnd w:id="587"/>
      <w:bookmarkEnd w:id="588"/>
      <w:bookmarkEnd w:id="589"/>
      <w:bookmarkEnd w:id="590"/>
      <w:bookmarkEnd w:id="591"/>
      <w:bookmarkEnd w:id="592"/>
      <w:bookmarkEnd w:id="593"/>
      <w:bookmarkEnd w:id="594"/>
      <w:bookmarkEnd w:id="595"/>
      <w:bookmarkEnd w:id="596"/>
    </w:p>
    <w:tbl>
      <w:tblPr>
        <w:tblStyle w:val="33"/>
        <w:tblW w:w="951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6"/>
        <w:gridCol w:w="192"/>
        <w:gridCol w:w="1248"/>
        <w:gridCol w:w="2437"/>
        <w:gridCol w:w="47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2276" w:type="dxa"/>
            <w:gridSpan w:val="3"/>
            <w:tcBorders>
              <w:top w:val="single" w:color="auto" w:sz="12" w:space="0"/>
            </w:tcBorders>
            <w:vAlign w:val="center"/>
          </w:tcPr>
          <w:p>
            <w:pPr>
              <w:spacing w:line="400" w:lineRule="exact"/>
              <w:jc w:val="center"/>
              <w:rPr>
                <w:rFonts w:ascii="宋体" w:cs="宋体"/>
                <w:b/>
                <w:sz w:val="24"/>
                <w:highlight w:val="none"/>
              </w:rPr>
            </w:pPr>
            <w:r>
              <w:rPr>
                <w:rFonts w:hint="eastAsia" w:ascii="宋体" w:hAnsi="宋体" w:cs="宋体"/>
                <w:b/>
                <w:sz w:val="24"/>
                <w:highlight w:val="none"/>
              </w:rPr>
              <w:t>条款号</w:t>
            </w:r>
          </w:p>
        </w:tc>
        <w:tc>
          <w:tcPr>
            <w:tcW w:w="2437" w:type="dxa"/>
            <w:tcBorders>
              <w:top w:val="single" w:color="auto" w:sz="12" w:space="0"/>
            </w:tcBorders>
            <w:vAlign w:val="center"/>
          </w:tcPr>
          <w:p>
            <w:pPr>
              <w:spacing w:line="400" w:lineRule="exact"/>
              <w:jc w:val="center"/>
              <w:rPr>
                <w:rFonts w:ascii="宋体" w:cs="宋体"/>
                <w:b/>
                <w:sz w:val="24"/>
                <w:highlight w:val="none"/>
              </w:rPr>
            </w:pPr>
            <w:r>
              <w:rPr>
                <w:rFonts w:hint="eastAsia" w:ascii="宋体" w:hAnsi="宋体" w:cs="宋体"/>
                <w:b/>
                <w:sz w:val="24"/>
                <w:highlight w:val="none"/>
              </w:rPr>
              <w:t>条款内容</w:t>
            </w:r>
          </w:p>
        </w:tc>
        <w:tc>
          <w:tcPr>
            <w:tcW w:w="4797" w:type="dxa"/>
            <w:tcBorders>
              <w:top w:val="single" w:color="auto" w:sz="12" w:space="0"/>
            </w:tcBorders>
            <w:vAlign w:val="center"/>
          </w:tcPr>
          <w:p>
            <w:pPr>
              <w:spacing w:line="400" w:lineRule="exact"/>
              <w:jc w:val="center"/>
              <w:rPr>
                <w:rFonts w:ascii="宋体" w:cs="宋体"/>
                <w:b/>
                <w:sz w:val="24"/>
                <w:highlight w:val="none"/>
              </w:rPr>
            </w:pPr>
            <w:r>
              <w:rPr>
                <w:rFonts w:hint="eastAsia" w:ascii="宋体" w:hAnsi="宋体" w:cs="宋体"/>
                <w:b/>
                <w:sz w:val="24"/>
                <w:highlight w:val="none"/>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1028" w:type="dxa"/>
            <w:gridSpan w:val="2"/>
            <w:vMerge w:val="restart"/>
            <w:vAlign w:val="center"/>
          </w:tcPr>
          <w:p>
            <w:pPr>
              <w:spacing w:line="400" w:lineRule="exact"/>
              <w:jc w:val="center"/>
              <w:rPr>
                <w:rFonts w:ascii="宋体" w:cs="宋体"/>
                <w:bCs/>
                <w:sz w:val="24"/>
                <w:highlight w:val="none"/>
              </w:rPr>
            </w:pPr>
            <w:r>
              <w:rPr>
                <w:rFonts w:ascii="宋体" w:hAnsi="宋体" w:cs="宋体"/>
                <w:bCs/>
                <w:sz w:val="24"/>
                <w:highlight w:val="none"/>
              </w:rPr>
              <w:t>2.1.1</w:t>
            </w:r>
          </w:p>
        </w:tc>
        <w:tc>
          <w:tcPr>
            <w:tcW w:w="1248" w:type="dxa"/>
            <w:vMerge w:val="restart"/>
            <w:vAlign w:val="center"/>
          </w:tcPr>
          <w:p>
            <w:pPr>
              <w:spacing w:line="400" w:lineRule="exact"/>
              <w:jc w:val="center"/>
              <w:rPr>
                <w:rFonts w:ascii="宋体" w:cs="宋体"/>
                <w:bCs/>
                <w:sz w:val="24"/>
                <w:highlight w:val="none"/>
              </w:rPr>
            </w:pPr>
            <w:r>
              <w:rPr>
                <w:rFonts w:hint="eastAsia" w:ascii="宋体" w:hAnsi="宋体" w:cs="宋体"/>
                <w:bCs/>
                <w:sz w:val="24"/>
                <w:highlight w:val="none"/>
              </w:rPr>
              <w:t>形式评审</w:t>
            </w:r>
          </w:p>
          <w:p>
            <w:pPr>
              <w:spacing w:line="400" w:lineRule="exact"/>
              <w:jc w:val="center"/>
              <w:rPr>
                <w:rFonts w:ascii="宋体" w:cs="宋体"/>
                <w:bCs/>
                <w:sz w:val="24"/>
                <w:highlight w:val="none"/>
              </w:rPr>
            </w:pPr>
            <w:r>
              <w:rPr>
                <w:rFonts w:hint="eastAsia" w:ascii="宋体" w:hAnsi="宋体" w:cs="宋体"/>
                <w:bCs/>
                <w:sz w:val="24"/>
                <w:highlight w:val="none"/>
              </w:rPr>
              <w:t>标准</w:t>
            </w:r>
          </w:p>
        </w:tc>
        <w:tc>
          <w:tcPr>
            <w:tcW w:w="2437" w:type="dxa"/>
            <w:vAlign w:val="center"/>
          </w:tcPr>
          <w:p>
            <w:pPr>
              <w:spacing w:line="400" w:lineRule="exact"/>
              <w:jc w:val="center"/>
              <w:rPr>
                <w:rFonts w:ascii="宋体" w:cs="宋体"/>
                <w:bCs/>
                <w:sz w:val="24"/>
                <w:highlight w:val="none"/>
              </w:rPr>
            </w:pPr>
            <w:r>
              <w:rPr>
                <w:rFonts w:hint="eastAsia" w:ascii="宋体" w:hAnsi="宋体" w:cs="宋体"/>
                <w:bCs/>
                <w:sz w:val="24"/>
                <w:highlight w:val="none"/>
              </w:rPr>
              <w:t>投标人名称</w:t>
            </w:r>
          </w:p>
        </w:tc>
        <w:tc>
          <w:tcPr>
            <w:tcW w:w="4797" w:type="dxa"/>
            <w:vAlign w:val="center"/>
          </w:tcPr>
          <w:p>
            <w:pPr>
              <w:spacing w:line="400" w:lineRule="exact"/>
              <w:jc w:val="center"/>
              <w:rPr>
                <w:rFonts w:ascii="宋体" w:cs="宋体"/>
                <w:bCs/>
                <w:sz w:val="24"/>
                <w:highlight w:val="none"/>
              </w:rPr>
            </w:pPr>
            <w:r>
              <w:rPr>
                <w:rFonts w:hint="eastAsia" w:ascii="宋体" w:hAnsi="宋体" w:cs="宋体"/>
                <w:bCs/>
                <w:sz w:val="24"/>
                <w:highlight w:val="none"/>
              </w:rPr>
              <w:t>与营业执照、资质证书一致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1028" w:type="dxa"/>
            <w:gridSpan w:val="2"/>
            <w:vMerge w:val="continue"/>
            <w:vAlign w:val="center"/>
          </w:tcPr>
          <w:p>
            <w:pPr>
              <w:widowControl/>
              <w:spacing w:line="400" w:lineRule="exact"/>
              <w:jc w:val="left"/>
              <w:rPr>
                <w:rFonts w:ascii="宋体" w:cs="宋体"/>
                <w:bCs/>
                <w:sz w:val="24"/>
                <w:highlight w:val="none"/>
              </w:rPr>
            </w:pPr>
          </w:p>
        </w:tc>
        <w:tc>
          <w:tcPr>
            <w:tcW w:w="1248" w:type="dxa"/>
            <w:vMerge w:val="continue"/>
            <w:vAlign w:val="center"/>
          </w:tcPr>
          <w:p>
            <w:pPr>
              <w:widowControl/>
              <w:spacing w:line="400" w:lineRule="exact"/>
              <w:jc w:val="left"/>
              <w:rPr>
                <w:rFonts w:ascii="宋体" w:cs="宋体"/>
                <w:bCs/>
                <w:sz w:val="24"/>
                <w:highlight w:val="none"/>
              </w:rPr>
            </w:pPr>
          </w:p>
        </w:tc>
        <w:tc>
          <w:tcPr>
            <w:tcW w:w="2437" w:type="dxa"/>
            <w:vAlign w:val="center"/>
          </w:tcPr>
          <w:p>
            <w:pPr>
              <w:spacing w:line="400" w:lineRule="exact"/>
              <w:jc w:val="center"/>
              <w:rPr>
                <w:rFonts w:ascii="宋体" w:cs="宋体"/>
                <w:bCs/>
                <w:sz w:val="24"/>
                <w:highlight w:val="none"/>
              </w:rPr>
            </w:pPr>
            <w:r>
              <w:rPr>
                <w:rFonts w:hint="eastAsia" w:ascii="宋体" w:hAnsi="宋体" w:cs="宋体"/>
                <w:bCs/>
                <w:sz w:val="24"/>
                <w:highlight w:val="none"/>
              </w:rPr>
              <w:t>投标函签字盖章</w:t>
            </w:r>
          </w:p>
        </w:tc>
        <w:tc>
          <w:tcPr>
            <w:tcW w:w="4797" w:type="dxa"/>
            <w:vAlign w:val="center"/>
          </w:tcPr>
          <w:p>
            <w:pPr>
              <w:spacing w:line="400" w:lineRule="exact"/>
              <w:jc w:val="center"/>
              <w:rPr>
                <w:rFonts w:ascii="宋体" w:cs="宋体"/>
                <w:bCs/>
                <w:sz w:val="24"/>
                <w:highlight w:val="none"/>
              </w:rPr>
            </w:pPr>
            <w:r>
              <w:rPr>
                <w:rFonts w:hint="eastAsia" w:ascii="宋体" w:hAnsi="宋体" w:cs="宋体"/>
                <w:bCs/>
                <w:sz w:val="24"/>
                <w:highlight w:val="none"/>
              </w:rPr>
              <w:t>符合第七章“投标文件格式”的要求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1028" w:type="dxa"/>
            <w:gridSpan w:val="2"/>
            <w:vMerge w:val="continue"/>
            <w:vAlign w:val="center"/>
          </w:tcPr>
          <w:p>
            <w:pPr>
              <w:widowControl/>
              <w:spacing w:line="400" w:lineRule="exact"/>
              <w:jc w:val="left"/>
              <w:rPr>
                <w:rFonts w:ascii="宋体" w:cs="宋体"/>
                <w:bCs/>
                <w:sz w:val="24"/>
                <w:highlight w:val="none"/>
              </w:rPr>
            </w:pPr>
          </w:p>
        </w:tc>
        <w:tc>
          <w:tcPr>
            <w:tcW w:w="1248" w:type="dxa"/>
            <w:vMerge w:val="continue"/>
            <w:vAlign w:val="center"/>
          </w:tcPr>
          <w:p>
            <w:pPr>
              <w:widowControl/>
              <w:spacing w:line="400" w:lineRule="exact"/>
              <w:jc w:val="left"/>
              <w:rPr>
                <w:rFonts w:ascii="宋体" w:cs="宋体"/>
                <w:bCs/>
                <w:sz w:val="24"/>
                <w:highlight w:val="none"/>
              </w:rPr>
            </w:pPr>
          </w:p>
        </w:tc>
        <w:tc>
          <w:tcPr>
            <w:tcW w:w="2437" w:type="dxa"/>
            <w:vAlign w:val="center"/>
          </w:tcPr>
          <w:p>
            <w:pPr>
              <w:spacing w:line="400" w:lineRule="exact"/>
              <w:jc w:val="center"/>
              <w:rPr>
                <w:rFonts w:ascii="宋体" w:cs="宋体"/>
                <w:bCs/>
                <w:sz w:val="24"/>
                <w:highlight w:val="none"/>
              </w:rPr>
            </w:pPr>
            <w:r>
              <w:rPr>
                <w:rFonts w:hint="eastAsia" w:ascii="宋体" w:hAnsi="宋体" w:cs="宋体"/>
                <w:bCs/>
                <w:sz w:val="24"/>
                <w:highlight w:val="none"/>
              </w:rPr>
              <w:t>投标文件格式</w:t>
            </w:r>
          </w:p>
        </w:tc>
        <w:tc>
          <w:tcPr>
            <w:tcW w:w="4797" w:type="dxa"/>
            <w:vAlign w:val="center"/>
          </w:tcPr>
          <w:p>
            <w:pPr>
              <w:spacing w:line="400" w:lineRule="exact"/>
              <w:jc w:val="center"/>
              <w:rPr>
                <w:rFonts w:ascii="宋体" w:cs="宋体"/>
                <w:bCs/>
                <w:sz w:val="24"/>
                <w:highlight w:val="none"/>
              </w:rPr>
            </w:pPr>
            <w:r>
              <w:rPr>
                <w:rFonts w:hint="eastAsia" w:ascii="宋体" w:hAnsi="宋体" w:cs="宋体"/>
                <w:bCs/>
                <w:sz w:val="24"/>
                <w:highlight w:val="none"/>
              </w:rPr>
              <w:t>符合第七章“投标文件格式”的要求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1028" w:type="dxa"/>
            <w:gridSpan w:val="2"/>
            <w:vMerge w:val="continue"/>
            <w:vAlign w:val="center"/>
          </w:tcPr>
          <w:p>
            <w:pPr>
              <w:widowControl/>
              <w:spacing w:line="400" w:lineRule="exact"/>
              <w:jc w:val="left"/>
              <w:rPr>
                <w:rFonts w:ascii="宋体" w:cs="宋体"/>
                <w:bCs/>
                <w:sz w:val="24"/>
                <w:highlight w:val="none"/>
              </w:rPr>
            </w:pPr>
          </w:p>
        </w:tc>
        <w:tc>
          <w:tcPr>
            <w:tcW w:w="1248" w:type="dxa"/>
            <w:vMerge w:val="continue"/>
            <w:vAlign w:val="center"/>
          </w:tcPr>
          <w:p>
            <w:pPr>
              <w:widowControl/>
              <w:spacing w:line="400" w:lineRule="exact"/>
              <w:jc w:val="left"/>
              <w:rPr>
                <w:rFonts w:ascii="宋体" w:cs="宋体"/>
                <w:bCs/>
                <w:sz w:val="24"/>
                <w:highlight w:val="none"/>
              </w:rPr>
            </w:pPr>
          </w:p>
        </w:tc>
        <w:tc>
          <w:tcPr>
            <w:tcW w:w="2437" w:type="dxa"/>
            <w:vAlign w:val="center"/>
          </w:tcPr>
          <w:p>
            <w:pPr>
              <w:spacing w:line="400" w:lineRule="exact"/>
              <w:jc w:val="center"/>
              <w:rPr>
                <w:rFonts w:ascii="宋体" w:cs="宋体"/>
                <w:bCs/>
                <w:sz w:val="24"/>
                <w:highlight w:val="none"/>
              </w:rPr>
            </w:pPr>
            <w:r>
              <w:rPr>
                <w:rFonts w:hint="eastAsia" w:ascii="宋体" w:hAnsi="宋体" w:cs="宋体"/>
                <w:bCs/>
                <w:sz w:val="24"/>
                <w:highlight w:val="none"/>
              </w:rPr>
              <w:t>报价唯一</w:t>
            </w:r>
          </w:p>
        </w:tc>
        <w:tc>
          <w:tcPr>
            <w:tcW w:w="4797" w:type="dxa"/>
            <w:vAlign w:val="center"/>
          </w:tcPr>
          <w:p>
            <w:pPr>
              <w:spacing w:line="400" w:lineRule="exact"/>
              <w:jc w:val="center"/>
              <w:rPr>
                <w:rFonts w:ascii="宋体" w:cs="宋体"/>
                <w:bCs/>
                <w:sz w:val="24"/>
                <w:highlight w:val="none"/>
              </w:rPr>
            </w:pPr>
            <w:r>
              <w:rPr>
                <w:rFonts w:hint="eastAsia" w:ascii="宋体" w:hAnsi="宋体" w:cs="宋体"/>
                <w:bCs/>
                <w:sz w:val="24"/>
                <w:highlight w:val="none"/>
              </w:rPr>
              <w:t>只能有一个有效报价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1028" w:type="dxa"/>
            <w:gridSpan w:val="2"/>
            <w:vMerge w:val="restart"/>
            <w:vAlign w:val="center"/>
          </w:tcPr>
          <w:p>
            <w:pPr>
              <w:spacing w:line="400" w:lineRule="exact"/>
              <w:jc w:val="center"/>
              <w:rPr>
                <w:rFonts w:ascii="宋体" w:cs="宋体"/>
                <w:bCs/>
                <w:sz w:val="24"/>
                <w:highlight w:val="none"/>
              </w:rPr>
            </w:pPr>
            <w:r>
              <w:rPr>
                <w:rFonts w:ascii="宋体" w:hAnsi="宋体" w:cs="宋体"/>
                <w:bCs/>
                <w:sz w:val="24"/>
                <w:highlight w:val="none"/>
              </w:rPr>
              <w:t>2.1.2</w:t>
            </w:r>
          </w:p>
        </w:tc>
        <w:tc>
          <w:tcPr>
            <w:tcW w:w="1248" w:type="dxa"/>
            <w:vMerge w:val="restart"/>
            <w:vAlign w:val="center"/>
          </w:tcPr>
          <w:p>
            <w:pPr>
              <w:spacing w:line="400" w:lineRule="exact"/>
              <w:jc w:val="center"/>
              <w:rPr>
                <w:rFonts w:ascii="宋体" w:cs="宋体"/>
                <w:bCs/>
                <w:sz w:val="24"/>
                <w:highlight w:val="none"/>
              </w:rPr>
            </w:pPr>
            <w:r>
              <w:rPr>
                <w:rFonts w:hint="eastAsia" w:ascii="宋体" w:hAnsi="宋体" w:cs="宋体"/>
                <w:bCs/>
                <w:sz w:val="24"/>
                <w:highlight w:val="none"/>
              </w:rPr>
              <w:t>资格评审</w:t>
            </w:r>
          </w:p>
          <w:p>
            <w:pPr>
              <w:spacing w:line="400" w:lineRule="exact"/>
              <w:jc w:val="center"/>
              <w:rPr>
                <w:rFonts w:ascii="宋体" w:cs="宋体"/>
                <w:bCs/>
                <w:sz w:val="24"/>
                <w:highlight w:val="none"/>
              </w:rPr>
            </w:pPr>
            <w:r>
              <w:rPr>
                <w:rFonts w:hint="eastAsia" w:ascii="宋体" w:hAnsi="宋体" w:cs="宋体"/>
                <w:bCs/>
                <w:sz w:val="24"/>
                <w:highlight w:val="none"/>
              </w:rPr>
              <w:t>标准</w:t>
            </w:r>
          </w:p>
        </w:tc>
        <w:tc>
          <w:tcPr>
            <w:tcW w:w="2437" w:type="dxa"/>
            <w:vAlign w:val="center"/>
          </w:tcPr>
          <w:p>
            <w:pPr>
              <w:spacing w:line="400" w:lineRule="exact"/>
              <w:jc w:val="center"/>
              <w:rPr>
                <w:rFonts w:ascii="宋体"/>
                <w:bCs/>
                <w:sz w:val="24"/>
                <w:highlight w:val="none"/>
              </w:rPr>
            </w:pPr>
            <w:r>
              <w:rPr>
                <w:rFonts w:hint="eastAsia"/>
                <w:sz w:val="24"/>
                <w:highlight w:val="none"/>
              </w:rPr>
              <w:t>营业执照</w:t>
            </w:r>
          </w:p>
        </w:tc>
        <w:tc>
          <w:tcPr>
            <w:tcW w:w="4797" w:type="dxa"/>
            <w:vAlign w:val="center"/>
          </w:tcPr>
          <w:p>
            <w:pPr>
              <w:spacing w:line="400" w:lineRule="exact"/>
              <w:rPr>
                <w:sz w:val="24"/>
                <w:highlight w:val="none"/>
              </w:rPr>
            </w:pPr>
            <w:r>
              <w:rPr>
                <w:rFonts w:hint="eastAsia"/>
                <w:sz w:val="24"/>
                <w:highlight w:val="none"/>
              </w:rPr>
              <w:t>符合第二章“投标人须知”第1.4.1项规定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1028" w:type="dxa"/>
            <w:gridSpan w:val="2"/>
            <w:vMerge w:val="continue"/>
            <w:vAlign w:val="center"/>
          </w:tcPr>
          <w:p>
            <w:pPr>
              <w:widowControl/>
              <w:spacing w:line="400" w:lineRule="exact"/>
              <w:jc w:val="left"/>
              <w:rPr>
                <w:rFonts w:ascii="宋体" w:cs="宋体"/>
                <w:bCs/>
                <w:sz w:val="24"/>
                <w:highlight w:val="none"/>
              </w:rPr>
            </w:pPr>
          </w:p>
        </w:tc>
        <w:tc>
          <w:tcPr>
            <w:tcW w:w="1248" w:type="dxa"/>
            <w:vMerge w:val="continue"/>
            <w:vAlign w:val="center"/>
          </w:tcPr>
          <w:p>
            <w:pPr>
              <w:widowControl/>
              <w:spacing w:line="400" w:lineRule="exact"/>
              <w:jc w:val="left"/>
              <w:rPr>
                <w:rFonts w:ascii="宋体" w:cs="宋体"/>
                <w:bCs/>
                <w:sz w:val="24"/>
                <w:highlight w:val="none"/>
              </w:rPr>
            </w:pPr>
          </w:p>
        </w:tc>
        <w:tc>
          <w:tcPr>
            <w:tcW w:w="2437" w:type="dxa"/>
            <w:vAlign w:val="center"/>
          </w:tcPr>
          <w:p>
            <w:pPr>
              <w:spacing w:line="400" w:lineRule="exact"/>
              <w:jc w:val="center"/>
              <w:rPr>
                <w:rFonts w:ascii="宋体"/>
                <w:bCs/>
                <w:sz w:val="24"/>
                <w:highlight w:val="none"/>
              </w:rPr>
            </w:pPr>
            <w:r>
              <w:rPr>
                <w:rFonts w:hint="eastAsia"/>
                <w:sz w:val="24"/>
                <w:highlight w:val="none"/>
              </w:rPr>
              <w:t>资质等级</w:t>
            </w:r>
          </w:p>
        </w:tc>
        <w:tc>
          <w:tcPr>
            <w:tcW w:w="4797" w:type="dxa"/>
            <w:vAlign w:val="center"/>
          </w:tcPr>
          <w:p>
            <w:pPr>
              <w:spacing w:line="400" w:lineRule="exact"/>
              <w:rPr>
                <w:sz w:val="24"/>
                <w:highlight w:val="none"/>
              </w:rPr>
            </w:pPr>
            <w:r>
              <w:rPr>
                <w:rFonts w:hint="eastAsia"/>
                <w:sz w:val="24"/>
                <w:highlight w:val="none"/>
              </w:rPr>
              <w:t>符合第二章“投标人须知”第1.4.1项规定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1028" w:type="dxa"/>
            <w:gridSpan w:val="2"/>
            <w:vMerge w:val="continue"/>
            <w:vAlign w:val="center"/>
          </w:tcPr>
          <w:p>
            <w:pPr>
              <w:widowControl/>
              <w:spacing w:line="400" w:lineRule="exact"/>
              <w:jc w:val="left"/>
              <w:rPr>
                <w:rFonts w:ascii="宋体" w:cs="宋体"/>
                <w:bCs/>
                <w:sz w:val="24"/>
                <w:highlight w:val="none"/>
              </w:rPr>
            </w:pPr>
          </w:p>
        </w:tc>
        <w:tc>
          <w:tcPr>
            <w:tcW w:w="1248" w:type="dxa"/>
            <w:vMerge w:val="continue"/>
            <w:vAlign w:val="center"/>
          </w:tcPr>
          <w:p>
            <w:pPr>
              <w:widowControl/>
              <w:spacing w:line="400" w:lineRule="exact"/>
              <w:jc w:val="left"/>
              <w:rPr>
                <w:rFonts w:ascii="宋体" w:cs="宋体"/>
                <w:bCs/>
                <w:sz w:val="24"/>
                <w:highlight w:val="none"/>
              </w:rPr>
            </w:pPr>
          </w:p>
        </w:tc>
        <w:tc>
          <w:tcPr>
            <w:tcW w:w="2437" w:type="dxa"/>
            <w:vAlign w:val="center"/>
          </w:tcPr>
          <w:p>
            <w:pPr>
              <w:spacing w:line="400" w:lineRule="exact"/>
              <w:jc w:val="center"/>
              <w:rPr>
                <w:sz w:val="24"/>
                <w:highlight w:val="none"/>
              </w:rPr>
            </w:pPr>
            <w:r>
              <w:rPr>
                <w:rFonts w:hint="eastAsia"/>
                <w:sz w:val="24"/>
                <w:highlight w:val="none"/>
              </w:rPr>
              <w:t>项目总监</w:t>
            </w:r>
          </w:p>
        </w:tc>
        <w:tc>
          <w:tcPr>
            <w:tcW w:w="4797" w:type="dxa"/>
            <w:vAlign w:val="center"/>
          </w:tcPr>
          <w:p>
            <w:pPr>
              <w:spacing w:line="400" w:lineRule="exact"/>
              <w:rPr>
                <w:sz w:val="24"/>
                <w:highlight w:val="none"/>
              </w:rPr>
            </w:pPr>
            <w:r>
              <w:rPr>
                <w:rFonts w:hint="eastAsia"/>
                <w:sz w:val="24"/>
                <w:highlight w:val="none"/>
              </w:rPr>
              <w:t>符合第二章“投标人须知”第1.4.1项规定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1028" w:type="dxa"/>
            <w:gridSpan w:val="2"/>
            <w:vMerge w:val="continue"/>
            <w:vAlign w:val="center"/>
          </w:tcPr>
          <w:p>
            <w:pPr>
              <w:widowControl/>
              <w:spacing w:line="400" w:lineRule="exact"/>
              <w:jc w:val="left"/>
              <w:rPr>
                <w:rFonts w:ascii="宋体" w:cs="宋体"/>
                <w:bCs/>
                <w:sz w:val="24"/>
                <w:highlight w:val="none"/>
              </w:rPr>
            </w:pPr>
          </w:p>
        </w:tc>
        <w:tc>
          <w:tcPr>
            <w:tcW w:w="1248" w:type="dxa"/>
            <w:vMerge w:val="continue"/>
            <w:vAlign w:val="center"/>
          </w:tcPr>
          <w:p>
            <w:pPr>
              <w:widowControl/>
              <w:spacing w:line="400" w:lineRule="exact"/>
              <w:jc w:val="left"/>
              <w:rPr>
                <w:rFonts w:ascii="宋体" w:cs="宋体"/>
                <w:bCs/>
                <w:sz w:val="24"/>
                <w:highlight w:val="none"/>
              </w:rPr>
            </w:pPr>
          </w:p>
        </w:tc>
        <w:tc>
          <w:tcPr>
            <w:tcW w:w="2437" w:type="dxa"/>
            <w:vAlign w:val="center"/>
          </w:tcPr>
          <w:p>
            <w:pPr>
              <w:spacing w:line="400" w:lineRule="exact"/>
              <w:jc w:val="center"/>
              <w:rPr>
                <w:rFonts w:ascii="宋体"/>
                <w:bCs/>
                <w:sz w:val="24"/>
                <w:highlight w:val="none"/>
              </w:rPr>
            </w:pPr>
            <w:r>
              <w:rPr>
                <w:rFonts w:hint="eastAsia"/>
                <w:sz w:val="24"/>
                <w:highlight w:val="none"/>
              </w:rPr>
              <w:t>其他要求</w:t>
            </w:r>
          </w:p>
        </w:tc>
        <w:tc>
          <w:tcPr>
            <w:tcW w:w="4797" w:type="dxa"/>
            <w:vAlign w:val="center"/>
          </w:tcPr>
          <w:p>
            <w:pPr>
              <w:spacing w:line="400" w:lineRule="exact"/>
              <w:rPr>
                <w:rFonts w:ascii="宋体" w:hAnsi="宋体"/>
                <w:bCs/>
                <w:sz w:val="24"/>
                <w:highlight w:val="none"/>
              </w:rPr>
            </w:pPr>
            <w:r>
              <w:rPr>
                <w:rFonts w:hint="eastAsia"/>
                <w:sz w:val="24"/>
                <w:highlight w:val="none"/>
              </w:rPr>
              <w:t>符合第二章“投标人须知”第1.4.1项规定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1028" w:type="dxa"/>
            <w:gridSpan w:val="2"/>
            <w:vMerge w:val="restart"/>
            <w:vAlign w:val="center"/>
          </w:tcPr>
          <w:p>
            <w:pPr>
              <w:spacing w:line="400" w:lineRule="exact"/>
              <w:jc w:val="center"/>
              <w:rPr>
                <w:rFonts w:ascii="宋体"/>
                <w:bCs/>
                <w:sz w:val="24"/>
                <w:highlight w:val="none"/>
              </w:rPr>
            </w:pPr>
            <w:r>
              <w:rPr>
                <w:rFonts w:ascii="宋体" w:hAnsi="宋体"/>
                <w:bCs/>
                <w:sz w:val="24"/>
                <w:highlight w:val="none"/>
              </w:rPr>
              <w:t>2.1.3</w:t>
            </w:r>
          </w:p>
        </w:tc>
        <w:tc>
          <w:tcPr>
            <w:tcW w:w="1248" w:type="dxa"/>
            <w:vMerge w:val="restart"/>
            <w:vAlign w:val="center"/>
          </w:tcPr>
          <w:p>
            <w:pPr>
              <w:spacing w:line="400" w:lineRule="exact"/>
              <w:jc w:val="center"/>
              <w:rPr>
                <w:rFonts w:ascii="宋体"/>
                <w:bCs/>
                <w:sz w:val="24"/>
                <w:highlight w:val="none"/>
              </w:rPr>
            </w:pPr>
            <w:r>
              <w:rPr>
                <w:rFonts w:hint="eastAsia" w:ascii="宋体" w:hAnsi="宋体"/>
                <w:bCs/>
                <w:sz w:val="24"/>
                <w:highlight w:val="none"/>
              </w:rPr>
              <w:t>响应性评审标准</w:t>
            </w:r>
          </w:p>
        </w:tc>
        <w:tc>
          <w:tcPr>
            <w:tcW w:w="2437" w:type="dxa"/>
            <w:vAlign w:val="center"/>
          </w:tcPr>
          <w:p>
            <w:pPr>
              <w:spacing w:line="400" w:lineRule="exact"/>
              <w:jc w:val="center"/>
              <w:rPr>
                <w:sz w:val="24"/>
                <w:highlight w:val="none"/>
              </w:rPr>
            </w:pPr>
            <w:r>
              <w:rPr>
                <w:rFonts w:hint="eastAsia"/>
                <w:sz w:val="24"/>
                <w:highlight w:val="none"/>
              </w:rPr>
              <w:t>监理范围</w:t>
            </w:r>
          </w:p>
        </w:tc>
        <w:tc>
          <w:tcPr>
            <w:tcW w:w="4797" w:type="dxa"/>
            <w:vAlign w:val="center"/>
          </w:tcPr>
          <w:p>
            <w:pPr>
              <w:spacing w:line="400" w:lineRule="exact"/>
              <w:rPr>
                <w:sz w:val="24"/>
                <w:highlight w:val="none"/>
              </w:rPr>
            </w:pPr>
            <w:r>
              <w:rPr>
                <w:rFonts w:hint="eastAsia"/>
                <w:sz w:val="24"/>
                <w:highlight w:val="none"/>
              </w:rPr>
              <w:t>符合第二章“投标人须知”第1.3.1项规定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1028" w:type="dxa"/>
            <w:gridSpan w:val="2"/>
            <w:vMerge w:val="continue"/>
            <w:vAlign w:val="center"/>
          </w:tcPr>
          <w:p>
            <w:pPr>
              <w:widowControl/>
              <w:spacing w:line="400" w:lineRule="exact"/>
              <w:jc w:val="left"/>
              <w:rPr>
                <w:rFonts w:ascii="宋体"/>
                <w:bCs/>
                <w:sz w:val="24"/>
                <w:highlight w:val="none"/>
              </w:rPr>
            </w:pPr>
          </w:p>
        </w:tc>
        <w:tc>
          <w:tcPr>
            <w:tcW w:w="1248" w:type="dxa"/>
            <w:vMerge w:val="continue"/>
            <w:vAlign w:val="center"/>
          </w:tcPr>
          <w:p>
            <w:pPr>
              <w:widowControl/>
              <w:spacing w:line="400" w:lineRule="exact"/>
              <w:jc w:val="left"/>
              <w:rPr>
                <w:rFonts w:ascii="宋体"/>
                <w:bCs/>
                <w:sz w:val="24"/>
                <w:highlight w:val="none"/>
              </w:rPr>
            </w:pPr>
          </w:p>
        </w:tc>
        <w:tc>
          <w:tcPr>
            <w:tcW w:w="2437" w:type="dxa"/>
            <w:vAlign w:val="center"/>
          </w:tcPr>
          <w:p>
            <w:pPr>
              <w:spacing w:line="400" w:lineRule="exact"/>
              <w:jc w:val="center"/>
              <w:rPr>
                <w:rFonts w:ascii="宋体"/>
                <w:bCs/>
                <w:sz w:val="24"/>
                <w:highlight w:val="none"/>
              </w:rPr>
            </w:pPr>
            <w:r>
              <w:rPr>
                <w:rFonts w:hint="eastAsia"/>
                <w:sz w:val="24"/>
                <w:highlight w:val="none"/>
              </w:rPr>
              <w:t>监理服务期限</w:t>
            </w:r>
          </w:p>
        </w:tc>
        <w:tc>
          <w:tcPr>
            <w:tcW w:w="4797" w:type="dxa"/>
            <w:vAlign w:val="center"/>
          </w:tcPr>
          <w:p>
            <w:pPr>
              <w:spacing w:line="400" w:lineRule="exact"/>
              <w:rPr>
                <w:rFonts w:ascii="宋体"/>
                <w:bCs/>
                <w:sz w:val="24"/>
                <w:highlight w:val="none"/>
              </w:rPr>
            </w:pPr>
            <w:r>
              <w:rPr>
                <w:rFonts w:hint="eastAsia"/>
                <w:sz w:val="24"/>
                <w:highlight w:val="none"/>
              </w:rPr>
              <w:t>符合第二章“投标人须知”第1.3.2项规定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1028" w:type="dxa"/>
            <w:gridSpan w:val="2"/>
            <w:vMerge w:val="continue"/>
            <w:vAlign w:val="center"/>
          </w:tcPr>
          <w:p>
            <w:pPr>
              <w:widowControl/>
              <w:spacing w:line="400" w:lineRule="exact"/>
              <w:jc w:val="left"/>
              <w:rPr>
                <w:rFonts w:ascii="宋体"/>
                <w:bCs/>
                <w:sz w:val="24"/>
                <w:highlight w:val="none"/>
              </w:rPr>
            </w:pPr>
          </w:p>
        </w:tc>
        <w:tc>
          <w:tcPr>
            <w:tcW w:w="1248" w:type="dxa"/>
            <w:vMerge w:val="continue"/>
            <w:vAlign w:val="center"/>
          </w:tcPr>
          <w:p>
            <w:pPr>
              <w:widowControl/>
              <w:spacing w:line="400" w:lineRule="exact"/>
              <w:jc w:val="left"/>
              <w:rPr>
                <w:rFonts w:ascii="宋体"/>
                <w:bCs/>
                <w:sz w:val="24"/>
                <w:highlight w:val="none"/>
              </w:rPr>
            </w:pPr>
          </w:p>
        </w:tc>
        <w:tc>
          <w:tcPr>
            <w:tcW w:w="2437" w:type="dxa"/>
            <w:vAlign w:val="center"/>
          </w:tcPr>
          <w:p>
            <w:pPr>
              <w:spacing w:line="400" w:lineRule="exact"/>
              <w:jc w:val="center"/>
              <w:rPr>
                <w:rFonts w:ascii="宋体"/>
                <w:bCs/>
                <w:sz w:val="24"/>
                <w:highlight w:val="none"/>
              </w:rPr>
            </w:pPr>
            <w:r>
              <w:rPr>
                <w:rFonts w:hint="eastAsia" w:ascii="宋体" w:hAnsi="宋体" w:cs="宋体"/>
                <w:sz w:val="24"/>
                <w:highlight w:val="none"/>
              </w:rPr>
              <w:t>质量</w:t>
            </w:r>
          </w:p>
        </w:tc>
        <w:tc>
          <w:tcPr>
            <w:tcW w:w="4797" w:type="dxa"/>
            <w:vAlign w:val="center"/>
          </w:tcPr>
          <w:p>
            <w:pPr>
              <w:spacing w:line="400" w:lineRule="exact"/>
              <w:rPr>
                <w:rFonts w:ascii="宋体"/>
                <w:bCs/>
                <w:sz w:val="24"/>
                <w:highlight w:val="none"/>
              </w:rPr>
            </w:pPr>
            <w:r>
              <w:rPr>
                <w:rFonts w:hint="eastAsia"/>
                <w:sz w:val="24"/>
                <w:highlight w:val="none"/>
              </w:rPr>
              <w:t>符合第二章“投标人须知”第1.3.3项规定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1028" w:type="dxa"/>
            <w:gridSpan w:val="2"/>
            <w:vMerge w:val="continue"/>
            <w:vAlign w:val="center"/>
          </w:tcPr>
          <w:p>
            <w:pPr>
              <w:widowControl/>
              <w:spacing w:line="400" w:lineRule="exact"/>
              <w:jc w:val="left"/>
              <w:rPr>
                <w:rFonts w:ascii="宋体"/>
                <w:bCs/>
                <w:sz w:val="24"/>
                <w:highlight w:val="none"/>
              </w:rPr>
            </w:pPr>
          </w:p>
        </w:tc>
        <w:tc>
          <w:tcPr>
            <w:tcW w:w="1248" w:type="dxa"/>
            <w:vMerge w:val="continue"/>
            <w:vAlign w:val="center"/>
          </w:tcPr>
          <w:p>
            <w:pPr>
              <w:widowControl/>
              <w:spacing w:line="400" w:lineRule="exact"/>
              <w:jc w:val="left"/>
              <w:rPr>
                <w:rFonts w:ascii="宋体"/>
                <w:bCs/>
                <w:sz w:val="24"/>
                <w:highlight w:val="none"/>
              </w:rPr>
            </w:pPr>
          </w:p>
        </w:tc>
        <w:tc>
          <w:tcPr>
            <w:tcW w:w="2437" w:type="dxa"/>
            <w:vAlign w:val="center"/>
          </w:tcPr>
          <w:p>
            <w:pPr>
              <w:spacing w:line="400" w:lineRule="exact"/>
              <w:jc w:val="center"/>
              <w:rPr>
                <w:rFonts w:ascii="宋体"/>
                <w:bCs/>
                <w:sz w:val="24"/>
                <w:highlight w:val="none"/>
              </w:rPr>
            </w:pPr>
            <w:r>
              <w:rPr>
                <w:rFonts w:hint="eastAsia"/>
                <w:sz w:val="24"/>
                <w:highlight w:val="none"/>
              </w:rPr>
              <w:t>投标有效期</w:t>
            </w:r>
          </w:p>
        </w:tc>
        <w:tc>
          <w:tcPr>
            <w:tcW w:w="4797" w:type="dxa"/>
            <w:vAlign w:val="center"/>
          </w:tcPr>
          <w:p>
            <w:pPr>
              <w:spacing w:line="400" w:lineRule="exact"/>
              <w:rPr>
                <w:bCs/>
                <w:sz w:val="24"/>
                <w:highlight w:val="none"/>
              </w:rPr>
            </w:pPr>
            <w:r>
              <w:rPr>
                <w:rFonts w:hint="eastAsia"/>
                <w:sz w:val="24"/>
                <w:highlight w:val="none"/>
              </w:rPr>
              <w:t>符合第二章“投标人须知”第3.3.1项规定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1028" w:type="dxa"/>
            <w:gridSpan w:val="2"/>
            <w:vMerge w:val="continue"/>
            <w:vAlign w:val="center"/>
          </w:tcPr>
          <w:p>
            <w:pPr>
              <w:widowControl/>
              <w:spacing w:line="400" w:lineRule="exact"/>
              <w:jc w:val="left"/>
              <w:rPr>
                <w:rFonts w:ascii="宋体"/>
                <w:bCs/>
                <w:sz w:val="24"/>
                <w:highlight w:val="none"/>
              </w:rPr>
            </w:pPr>
          </w:p>
        </w:tc>
        <w:tc>
          <w:tcPr>
            <w:tcW w:w="1248" w:type="dxa"/>
            <w:vMerge w:val="continue"/>
            <w:vAlign w:val="center"/>
          </w:tcPr>
          <w:p>
            <w:pPr>
              <w:widowControl/>
              <w:spacing w:line="400" w:lineRule="exact"/>
              <w:jc w:val="left"/>
              <w:rPr>
                <w:rFonts w:ascii="宋体"/>
                <w:bCs/>
                <w:sz w:val="24"/>
                <w:highlight w:val="none"/>
              </w:rPr>
            </w:pPr>
          </w:p>
        </w:tc>
        <w:tc>
          <w:tcPr>
            <w:tcW w:w="2437" w:type="dxa"/>
            <w:vAlign w:val="center"/>
          </w:tcPr>
          <w:p>
            <w:pPr>
              <w:spacing w:line="400" w:lineRule="exact"/>
              <w:jc w:val="center"/>
              <w:rPr>
                <w:rFonts w:ascii="宋体" w:hAnsi="宋体"/>
                <w:bCs/>
                <w:sz w:val="24"/>
                <w:highlight w:val="none"/>
              </w:rPr>
            </w:pPr>
            <w:r>
              <w:rPr>
                <w:rFonts w:hint="eastAsia"/>
                <w:sz w:val="24"/>
                <w:highlight w:val="none"/>
              </w:rPr>
              <w:t>投标保证金</w:t>
            </w:r>
          </w:p>
        </w:tc>
        <w:tc>
          <w:tcPr>
            <w:tcW w:w="4797" w:type="dxa"/>
            <w:vAlign w:val="center"/>
          </w:tcPr>
          <w:p>
            <w:pPr>
              <w:spacing w:line="400" w:lineRule="exact"/>
              <w:rPr>
                <w:rFonts w:ascii="宋体" w:hAnsi="宋体"/>
                <w:bCs/>
                <w:sz w:val="24"/>
                <w:highlight w:val="none"/>
              </w:rPr>
            </w:pPr>
            <w:r>
              <w:rPr>
                <w:rFonts w:hint="eastAsia"/>
                <w:sz w:val="24"/>
                <w:highlight w:val="none"/>
              </w:rPr>
              <w:t>符合第二章“投标人须知”第3.4.1项规定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1028" w:type="dxa"/>
            <w:gridSpan w:val="2"/>
            <w:vMerge w:val="continue"/>
            <w:vAlign w:val="center"/>
          </w:tcPr>
          <w:p>
            <w:pPr>
              <w:widowControl/>
              <w:spacing w:line="400" w:lineRule="exact"/>
              <w:jc w:val="left"/>
              <w:rPr>
                <w:rFonts w:ascii="宋体"/>
                <w:bCs/>
                <w:sz w:val="24"/>
                <w:highlight w:val="none"/>
              </w:rPr>
            </w:pPr>
          </w:p>
        </w:tc>
        <w:tc>
          <w:tcPr>
            <w:tcW w:w="1248" w:type="dxa"/>
            <w:vMerge w:val="continue"/>
            <w:vAlign w:val="center"/>
          </w:tcPr>
          <w:p>
            <w:pPr>
              <w:widowControl/>
              <w:spacing w:line="400" w:lineRule="exact"/>
              <w:jc w:val="left"/>
              <w:rPr>
                <w:rFonts w:ascii="宋体"/>
                <w:bCs/>
                <w:sz w:val="24"/>
                <w:highlight w:val="none"/>
              </w:rPr>
            </w:pPr>
          </w:p>
        </w:tc>
        <w:tc>
          <w:tcPr>
            <w:tcW w:w="2437" w:type="dxa"/>
            <w:vAlign w:val="center"/>
          </w:tcPr>
          <w:p>
            <w:pPr>
              <w:spacing w:line="400" w:lineRule="exact"/>
              <w:jc w:val="center"/>
              <w:rPr>
                <w:rFonts w:ascii="宋体" w:hAnsi="宋体"/>
                <w:bCs/>
                <w:sz w:val="24"/>
                <w:highlight w:val="none"/>
              </w:rPr>
            </w:pPr>
            <w:r>
              <w:rPr>
                <w:rFonts w:hint="eastAsia"/>
                <w:sz w:val="24"/>
                <w:highlight w:val="none"/>
              </w:rPr>
              <w:t>投标报价</w:t>
            </w:r>
          </w:p>
        </w:tc>
        <w:tc>
          <w:tcPr>
            <w:tcW w:w="4797" w:type="dxa"/>
            <w:vAlign w:val="center"/>
          </w:tcPr>
          <w:p>
            <w:pPr>
              <w:spacing w:line="400" w:lineRule="exact"/>
              <w:jc w:val="center"/>
              <w:rPr>
                <w:rFonts w:ascii="宋体" w:hAnsi="宋体"/>
                <w:bCs/>
                <w:sz w:val="24"/>
                <w:highlight w:val="none"/>
              </w:rPr>
            </w:pPr>
            <w:r>
              <w:rPr>
                <w:rFonts w:hint="eastAsia"/>
                <w:sz w:val="24"/>
                <w:highlight w:val="none"/>
              </w:rPr>
              <w:t>符合第二章“投标人须知前附表”第10.1项规定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7" w:hRule="atLeast"/>
          <w:jc w:val="center"/>
        </w:trPr>
        <w:tc>
          <w:tcPr>
            <w:tcW w:w="2276" w:type="dxa"/>
            <w:gridSpan w:val="3"/>
            <w:vAlign w:val="center"/>
          </w:tcPr>
          <w:p>
            <w:pPr>
              <w:spacing w:line="400" w:lineRule="exact"/>
              <w:jc w:val="center"/>
              <w:rPr>
                <w:rFonts w:ascii="宋体" w:cs="宋体"/>
                <w:bCs/>
                <w:sz w:val="24"/>
                <w:highlight w:val="none"/>
              </w:rPr>
            </w:pPr>
            <w:r>
              <w:rPr>
                <w:rFonts w:ascii="宋体" w:hAnsi="宋体" w:cs="宋体"/>
                <w:bCs/>
                <w:sz w:val="24"/>
                <w:highlight w:val="none"/>
              </w:rPr>
              <w:t>2.2.1</w:t>
            </w:r>
          </w:p>
        </w:tc>
        <w:tc>
          <w:tcPr>
            <w:tcW w:w="2437" w:type="dxa"/>
            <w:vAlign w:val="center"/>
          </w:tcPr>
          <w:p>
            <w:pPr>
              <w:spacing w:line="400" w:lineRule="exact"/>
              <w:jc w:val="center"/>
              <w:rPr>
                <w:rFonts w:ascii="宋体" w:cs="宋体"/>
                <w:bCs/>
                <w:sz w:val="24"/>
                <w:highlight w:val="none"/>
              </w:rPr>
            </w:pPr>
            <w:r>
              <w:rPr>
                <w:rFonts w:hint="eastAsia" w:ascii="宋体" w:hAnsi="宋体" w:cs="宋体"/>
                <w:bCs/>
                <w:sz w:val="24"/>
                <w:highlight w:val="none"/>
              </w:rPr>
              <w:t>分值构成</w:t>
            </w:r>
          </w:p>
          <w:p>
            <w:pPr>
              <w:spacing w:line="400" w:lineRule="exact"/>
              <w:jc w:val="center"/>
              <w:rPr>
                <w:rFonts w:ascii="宋体" w:cs="宋体"/>
                <w:bCs/>
                <w:sz w:val="24"/>
                <w:highlight w:val="none"/>
              </w:rPr>
            </w:pPr>
            <w:r>
              <w:rPr>
                <w:rFonts w:ascii="宋体" w:hAnsi="宋体" w:cs="宋体"/>
                <w:bCs/>
                <w:sz w:val="24"/>
                <w:highlight w:val="none"/>
              </w:rPr>
              <w:t>(</w:t>
            </w:r>
            <w:r>
              <w:rPr>
                <w:rFonts w:hint="eastAsia" w:ascii="宋体" w:hAnsi="宋体" w:cs="宋体"/>
                <w:bCs/>
                <w:sz w:val="24"/>
                <w:highlight w:val="none"/>
              </w:rPr>
              <w:t>总分</w:t>
            </w:r>
            <w:r>
              <w:rPr>
                <w:rFonts w:ascii="宋体" w:hAnsi="宋体" w:cs="宋体"/>
                <w:bCs/>
                <w:sz w:val="24"/>
                <w:highlight w:val="none"/>
              </w:rPr>
              <w:t>100</w:t>
            </w:r>
            <w:r>
              <w:rPr>
                <w:rFonts w:hint="eastAsia" w:ascii="宋体" w:hAnsi="宋体" w:cs="宋体"/>
                <w:bCs/>
                <w:sz w:val="24"/>
                <w:highlight w:val="none"/>
              </w:rPr>
              <w:t>分</w:t>
            </w:r>
            <w:r>
              <w:rPr>
                <w:rFonts w:ascii="宋体" w:hAnsi="宋体" w:cs="宋体"/>
                <w:bCs/>
                <w:sz w:val="24"/>
                <w:highlight w:val="none"/>
              </w:rPr>
              <w:t>)</w:t>
            </w:r>
          </w:p>
        </w:tc>
        <w:tc>
          <w:tcPr>
            <w:tcW w:w="4797" w:type="dxa"/>
            <w:vAlign w:val="center"/>
          </w:tcPr>
          <w:p>
            <w:pPr>
              <w:spacing w:line="400" w:lineRule="exact"/>
              <w:jc w:val="center"/>
              <w:rPr>
                <w:rFonts w:ascii="宋体" w:cs="宋体"/>
                <w:bCs/>
                <w:sz w:val="24"/>
                <w:highlight w:val="none"/>
              </w:rPr>
            </w:pPr>
            <w:r>
              <w:rPr>
                <w:rFonts w:hint="eastAsia" w:ascii="宋体" w:hAnsi="宋体" w:cs="宋体"/>
                <w:sz w:val="24"/>
                <w:highlight w:val="none"/>
              </w:rPr>
              <w:t>监理大纲</w:t>
            </w:r>
            <w:r>
              <w:rPr>
                <w:rFonts w:hint="eastAsia" w:ascii="宋体" w:hAnsi="宋体" w:cs="宋体"/>
                <w:bCs/>
                <w:sz w:val="24"/>
                <w:highlight w:val="none"/>
              </w:rPr>
              <w:t>：</w:t>
            </w:r>
            <w:r>
              <w:rPr>
                <w:rFonts w:hint="eastAsia" w:ascii="宋体" w:hAnsi="宋体" w:cs="宋体"/>
                <w:bCs/>
                <w:sz w:val="24"/>
                <w:highlight w:val="none"/>
                <w:u w:val="single"/>
              </w:rPr>
              <w:t>55</w:t>
            </w:r>
            <w:r>
              <w:rPr>
                <w:rFonts w:hint="eastAsia" w:ascii="宋体" w:hAnsi="宋体" w:cs="宋体"/>
                <w:bCs/>
                <w:sz w:val="24"/>
                <w:highlight w:val="none"/>
              </w:rPr>
              <w:t>分</w:t>
            </w:r>
          </w:p>
          <w:p>
            <w:pPr>
              <w:spacing w:line="400" w:lineRule="exact"/>
              <w:jc w:val="center"/>
              <w:rPr>
                <w:rFonts w:ascii="宋体" w:cs="宋体"/>
                <w:bCs/>
                <w:sz w:val="24"/>
                <w:highlight w:val="none"/>
              </w:rPr>
            </w:pPr>
            <w:r>
              <w:rPr>
                <w:rFonts w:hint="eastAsia" w:ascii="宋体" w:hAnsi="宋体" w:cs="宋体"/>
                <w:bCs/>
                <w:sz w:val="24"/>
                <w:highlight w:val="none"/>
              </w:rPr>
              <w:t>综合标：</w:t>
            </w:r>
            <w:r>
              <w:rPr>
                <w:rFonts w:hint="eastAsia" w:ascii="宋体" w:hAnsi="宋体" w:cs="宋体"/>
                <w:bCs/>
                <w:sz w:val="24"/>
                <w:highlight w:val="none"/>
                <w:u w:val="single"/>
              </w:rPr>
              <w:t>20</w:t>
            </w:r>
            <w:r>
              <w:rPr>
                <w:rFonts w:hint="eastAsia" w:ascii="宋体" w:hAnsi="宋体" w:cs="宋体"/>
                <w:bCs/>
                <w:sz w:val="24"/>
                <w:highlight w:val="none"/>
              </w:rPr>
              <w:t>分</w:t>
            </w:r>
          </w:p>
          <w:p>
            <w:pPr>
              <w:spacing w:line="400" w:lineRule="exact"/>
              <w:ind w:firstLine="1560" w:firstLineChars="650"/>
              <w:rPr>
                <w:rFonts w:ascii="宋体" w:cs="宋体"/>
                <w:bCs/>
                <w:sz w:val="24"/>
                <w:highlight w:val="none"/>
              </w:rPr>
            </w:pPr>
            <w:r>
              <w:rPr>
                <w:rFonts w:hint="eastAsia" w:ascii="宋体" w:hAnsi="宋体" w:cs="宋体"/>
                <w:bCs/>
                <w:sz w:val="24"/>
                <w:highlight w:val="none"/>
              </w:rPr>
              <w:t>商务标：</w:t>
            </w:r>
            <w:r>
              <w:rPr>
                <w:rFonts w:hint="eastAsia" w:ascii="宋体" w:hAnsi="宋体" w:cs="宋体"/>
                <w:bCs/>
                <w:sz w:val="24"/>
                <w:highlight w:val="none"/>
                <w:u w:val="single"/>
              </w:rPr>
              <w:t>25</w:t>
            </w:r>
            <w:r>
              <w:rPr>
                <w:rFonts w:hint="eastAsia" w:ascii="宋体" w:hAnsi="宋体" w:cs="宋体"/>
                <w:bCs/>
                <w:sz w:val="24"/>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2276" w:type="dxa"/>
            <w:gridSpan w:val="3"/>
            <w:vAlign w:val="center"/>
          </w:tcPr>
          <w:p>
            <w:pPr>
              <w:spacing w:line="400" w:lineRule="exact"/>
              <w:jc w:val="center"/>
              <w:rPr>
                <w:rFonts w:ascii="宋体" w:cs="宋体"/>
                <w:bCs/>
                <w:sz w:val="24"/>
                <w:highlight w:val="none"/>
              </w:rPr>
            </w:pPr>
            <w:r>
              <w:rPr>
                <w:rFonts w:ascii="宋体" w:hAnsi="宋体" w:cs="宋体"/>
                <w:bCs/>
                <w:sz w:val="24"/>
                <w:highlight w:val="none"/>
              </w:rPr>
              <w:t>2.2.2</w:t>
            </w:r>
          </w:p>
        </w:tc>
        <w:tc>
          <w:tcPr>
            <w:tcW w:w="2437" w:type="dxa"/>
            <w:vAlign w:val="center"/>
          </w:tcPr>
          <w:p>
            <w:pPr>
              <w:snapToGrid w:val="0"/>
              <w:spacing w:line="400" w:lineRule="exact"/>
              <w:jc w:val="center"/>
              <w:rPr>
                <w:rFonts w:ascii="宋体" w:cs="宋体"/>
                <w:bCs/>
                <w:sz w:val="24"/>
                <w:highlight w:val="none"/>
              </w:rPr>
            </w:pPr>
            <w:r>
              <w:rPr>
                <w:rFonts w:hint="eastAsia" w:ascii="宋体" w:hAnsi="宋体" w:cs="宋体"/>
                <w:bCs/>
                <w:sz w:val="24"/>
                <w:highlight w:val="none"/>
              </w:rPr>
              <w:t>评标基准价</w:t>
            </w:r>
          </w:p>
        </w:tc>
        <w:tc>
          <w:tcPr>
            <w:tcW w:w="4797" w:type="dxa"/>
            <w:vAlign w:val="center"/>
          </w:tcPr>
          <w:p>
            <w:pPr>
              <w:spacing w:line="400" w:lineRule="exact"/>
              <w:jc w:val="left"/>
              <w:rPr>
                <w:rFonts w:ascii="宋体" w:hAnsi="宋体"/>
                <w:sz w:val="24"/>
                <w:highlight w:val="none"/>
              </w:rPr>
            </w:pPr>
            <w:r>
              <w:rPr>
                <w:rFonts w:hint="eastAsia" w:ascii="宋体" w:hAnsi="宋体"/>
                <w:sz w:val="24"/>
                <w:highlight w:val="none"/>
              </w:rPr>
              <w:t>评标基准价的确定：当有效投标报价大于等于五家时（含五家），评标基准价为各有效投标报价去掉一个最高和一个最低报价后的算术平均值。当有效  投标报价少于五家时（不含五家），则以所有有效投标报价的算术平均值作为评标基准价。</w:t>
            </w:r>
          </w:p>
          <w:p>
            <w:pPr>
              <w:spacing w:line="400" w:lineRule="exact"/>
              <w:jc w:val="left"/>
              <w:rPr>
                <w:rFonts w:ascii="宋体" w:hAnsi="宋体"/>
                <w:szCs w:val="21"/>
                <w:highlight w:val="none"/>
              </w:rPr>
            </w:pPr>
            <w:r>
              <w:rPr>
                <w:rFonts w:hint="eastAsia" w:ascii="宋体" w:hAnsi="宋体"/>
                <w:sz w:val="24"/>
                <w:highlight w:val="none"/>
              </w:rPr>
              <w:t>注：1、有效投标人指通过资格评审、形式评审及响应性评审的投标人，有效投标人的投标报价即为有效投标报价。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2" w:hRule="atLeast"/>
          <w:jc w:val="center"/>
        </w:trPr>
        <w:tc>
          <w:tcPr>
            <w:tcW w:w="2276" w:type="dxa"/>
            <w:gridSpan w:val="3"/>
            <w:vAlign w:val="center"/>
          </w:tcPr>
          <w:p>
            <w:pPr>
              <w:spacing w:line="400" w:lineRule="exact"/>
              <w:jc w:val="center"/>
              <w:rPr>
                <w:rFonts w:ascii="宋体" w:cs="宋体"/>
                <w:bCs/>
                <w:sz w:val="24"/>
                <w:highlight w:val="none"/>
              </w:rPr>
            </w:pPr>
            <w:r>
              <w:rPr>
                <w:rFonts w:ascii="宋体" w:hAnsi="宋体" w:cs="宋体"/>
                <w:bCs/>
                <w:sz w:val="24"/>
                <w:highlight w:val="none"/>
              </w:rPr>
              <w:t>2.2.3</w:t>
            </w:r>
          </w:p>
        </w:tc>
        <w:tc>
          <w:tcPr>
            <w:tcW w:w="2437" w:type="dxa"/>
            <w:vAlign w:val="center"/>
          </w:tcPr>
          <w:p>
            <w:pPr>
              <w:spacing w:line="400" w:lineRule="exact"/>
              <w:jc w:val="center"/>
              <w:rPr>
                <w:rFonts w:ascii="宋体"/>
                <w:bCs/>
                <w:sz w:val="24"/>
                <w:highlight w:val="none"/>
              </w:rPr>
            </w:pPr>
            <w:r>
              <w:rPr>
                <w:rFonts w:hint="eastAsia" w:ascii="宋体" w:hAnsi="宋体"/>
                <w:bCs/>
                <w:sz w:val="24"/>
                <w:highlight w:val="none"/>
              </w:rPr>
              <w:t>商务标评分</w:t>
            </w:r>
          </w:p>
          <w:p>
            <w:pPr>
              <w:spacing w:line="400" w:lineRule="exact"/>
              <w:jc w:val="center"/>
              <w:rPr>
                <w:rFonts w:ascii="宋体"/>
                <w:b/>
                <w:sz w:val="24"/>
                <w:highlight w:val="none"/>
              </w:rPr>
            </w:pPr>
            <w:r>
              <w:rPr>
                <w:rFonts w:hint="eastAsia" w:ascii="宋体" w:hAnsi="宋体" w:cs="宋体"/>
                <w:bCs/>
                <w:sz w:val="24"/>
                <w:highlight w:val="none"/>
              </w:rPr>
              <w:t>（25分）</w:t>
            </w:r>
          </w:p>
        </w:tc>
        <w:tc>
          <w:tcPr>
            <w:tcW w:w="4797" w:type="dxa"/>
          </w:tcPr>
          <w:p>
            <w:pPr>
              <w:spacing w:line="400" w:lineRule="exact"/>
              <w:jc w:val="left"/>
              <w:rPr>
                <w:rFonts w:ascii="宋体" w:hAnsi="宋体"/>
                <w:sz w:val="24"/>
                <w:highlight w:val="none"/>
              </w:rPr>
            </w:pPr>
            <w:r>
              <w:rPr>
                <w:rFonts w:hint="eastAsia" w:ascii="宋体" w:hAnsi="宋体"/>
                <w:sz w:val="24"/>
                <w:highlight w:val="none"/>
              </w:rPr>
              <w:t>偏差率=100% ×（投标报价 - 评标基准价）/评标基准价</w:t>
            </w:r>
          </w:p>
          <w:p>
            <w:pPr>
              <w:spacing w:line="400" w:lineRule="exact"/>
              <w:jc w:val="left"/>
              <w:rPr>
                <w:rFonts w:ascii="宋体" w:hAnsi="宋体"/>
                <w:sz w:val="24"/>
                <w:highlight w:val="none"/>
              </w:rPr>
            </w:pPr>
            <w:r>
              <w:rPr>
                <w:rFonts w:hint="eastAsia" w:ascii="宋体" w:hAnsi="宋体"/>
                <w:sz w:val="24"/>
                <w:highlight w:val="none"/>
              </w:rPr>
              <w:t>投标报价与评标基准价相比较，当投标报价等于评标基准价的得20分，与评标基准价相比，每高于评标基准价1％在20分基础上扣1分，扣完为止；每低于评标基准价1％在20分基础上加1分，最多加 5 分；当投标报价低于评标基准价 5%以上（不含 5%）时，每再低 1%范围内在满分 25 分的基础上扣 2 分，扣完为止；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2276" w:type="dxa"/>
            <w:gridSpan w:val="3"/>
            <w:vAlign w:val="center"/>
          </w:tcPr>
          <w:p>
            <w:pPr>
              <w:spacing w:line="400" w:lineRule="exact"/>
              <w:jc w:val="center"/>
              <w:rPr>
                <w:rFonts w:ascii="宋体" w:cs="宋体"/>
                <w:bCs/>
                <w:sz w:val="24"/>
                <w:highlight w:val="none"/>
              </w:rPr>
            </w:pPr>
            <w:r>
              <w:rPr>
                <w:rFonts w:hint="eastAsia" w:ascii="宋体" w:hAnsi="宋体" w:cs="宋体"/>
                <w:bCs/>
                <w:sz w:val="24"/>
                <w:highlight w:val="none"/>
              </w:rPr>
              <w:t>条款号</w:t>
            </w:r>
          </w:p>
        </w:tc>
        <w:tc>
          <w:tcPr>
            <w:tcW w:w="2437" w:type="dxa"/>
            <w:vAlign w:val="center"/>
          </w:tcPr>
          <w:p>
            <w:pPr>
              <w:spacing w:line="400" w:lineRule="exact"/>
              <w:jc w:val="center"/>
              <w:rPr>
                <w:rFonts w:ascii="宋体" w:cs="宋体"/>
                <w:bCs/>
                <w:sz w:val="24"/>
                <w:highlight w:val="none"/>
              </w:rPr>
            </w:pPr>
            <w:r>
              <w:rPr>
                <w:rFonts w:hint="eastAsia" w:ascii="宋体" w:hAnsi="宋体" w:cs="宋体"/>
                <w:bCs/>
                <w:sz w:val="24"/>
                <w:highlight w:val="none"/>
              </w:rPr>
              <w:t>评分因素</w:t>
            </w:r>
          </w:p>
        </w:tc>
        <w:tc>
          <w:tcPr>
            <w:tcW w:w="4797" w:type="dxa"/>
            <w:vAlign w:val="center"/>
          </w:tcPr>
          <w:p>
            <w:pPr>
              <w:spacing w:line="400" w:lineRule="exact"/>
              <w:jc w:val="center"/>
              <w:rPr>
                <w:rFonts w:ascii="宋体" w:cs="宋体"/>
                <w:bCs/>
                <w:sz w:val="24"/>
                <w:highlight w:val="none"/>
              </w:rPr>
            </w:pPr>
            <w:r>
              <w:rPr>
                <w:rFonts w:hint="eastAsia" w:ascii="宋体" w:hAnsi="宋体" w:cs="宋体"/>
                <w:bCs/>
                <w:sz w:val="24"/>
                <w:highlight w:val="none"/>
              </w:rPr>
              <w:t>评分标准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36" w:type="dxa"/>
            <w:vMerge w:val="restart"/>
            <w:vAlign w:val="center"/>
          </w:tcPr>
          <w:p>
            <w:pPr>
              <w:spacing w:line="400" w:lineRule="exact"/>
              <w:jc w:val="center"/>
              <w:rPr>
                <w:rFonts w:ascii="宋体" w:cs="宋体"/>
                <w:bCs/>
                <w:sz w:val="24"/>
                <w:highlight w:val="none"/>
              </w:rPr>
            </w:pPr>
            <w:r>
              <w:rPr>
                <w:rFonts w:ascii="宋体" w:hAnsi="宋体" w:cs="宋体"/>
                <w:bCs/>
                <w:sz w:val="24"/>
                <w:highlight w:val="none"/>
              </w:rPr>
              <w:t>2.2.4</w:t>
            </w:r>
          </w:p>
          <w:p>
            <w:pPr>
              <w:spacing w:line="400" w:lineRule="exact"/>
              <w:jc w:val="center"/>
              <w:rPr>
                <w:rFonts w:ascii="宋体" w:cs="宋体"/>
                <w:bCs/>
                <w:sz w:val="24"/>
                <w:highlight w:val="none"/>
              </w:rPr>
            </w:pPr>
            <w:r>
              <w:rPr>
                <w:rFonts w:ascii="宋体" w:hAnsi="宋体" w:cs="宋体"/>
                <w:bCs/>
                <w:sz w:val="24"/>
                <w:highlight w:val="none"/>
              </w:rPr>
              <w:t>(1)</w:t>
            </w:r>
          </w:p>
        </w:tc>
        <w:tc>
          <w:tcPr>
            <w:tcW w:w="1440" w:type="dxa"/>
            <w:gridSpan w:val="2"/>
            <w:vMerge w:val="restart"/>
            <w:vAlign w:val="center"/>
          </w:tcPr>
          <w:p>
            <w:pPr>
              <w:spacing w:line="400" w:lineRule="exact"/>
              <w:jc w:val="center"/>
              <w:rPr>
                <w:rFonts w:ascii="宋体" w:cs="宋体"/>
                <w:bCs/>
                <w:sz w:val="24"/>
                <w:highlight w:val="none"/>
              </w:rPr>
            </w:pPr>
            <w:r>
              <w:rPr>
                <w:rFonts w:hint="eastAsia" w:ascii="宋体" w:hAnsi="宋体" w:cs="宋体"/>
                <w:sz w:val="24"/>
                <w:highlight w:val="none"/>
              </w:rPr>
              <w:t>监理大纲</w:t>
            </w:r>
            <w:r>
              <w:rPr>
                <w:rFonts w:hint="eastAsia" w:ascii="宋体" w:hAnsi="宋体"/>
                <w:sz w:val="24"/>
                <w:highlight w:val="none"/>
              </w:rPr>
              <w:t>55分</w:t>
            </w:r>
          </w:p>
        </w:tc>
        <w:tc>
          <w:tcPr>
            <w:tcW w:w="2437" w:type="dxa"/>
          </w:tcPr>
          <w:p>
            <w:pPr>
              <w:spacing w:line="400" w:lineRule="exact"/>
              <w:jc w:val="center"/>
              <w:rPr>
                <w:rFonts w:ascii="宋体" w:hAnsi="宋体"/>
                <w:sz w:val="24"/>
                <w:highlight w:val="none"/>
              </w:rPr>
            </w:pPr>
          </w:p>
          <w:p>
            <w:pPr>
              <w:spacing w:line="400" w:lineRule="exact"/>
              <w:jc w:val="center"/>
              <w:rPr>
                <w:rFonts w:ascii="宋体" w:hAnsi="宋体"/>
                <w:sz w:val="24"/>
                <w:highlight w:val="none"/>
              </w:rPr>
            </w:pPr>
          </w:p>
          <w:p>
            <w:pPr>
              <w:spacing w:line="400" w:lineRule="exact"/>
              <w:jc w:val="center"/>
              <w:rPr>
                <w:rFonts w:ascii="宋体" w:hAnsi="宋体"/>
                <w:sz w:val="24"/>
                <w:highlight w:val="none"/>
              </w:rPr>
            </w:pPr>
            <w:r>
              <w:rPr>
                <w:rFonts w:hint="eastAsia" w:ascii="宋体" w:hAnsi="宋体"/>
                <w:sz w:val="24"/>
                <w:highlight w:val="none"/>
              </w:rPr>
              <w:t>质量控制的措施</w:t>
            </w:r>
          </w:p>
          <w:p>
            <w:pPr>
              <w:spacing w:line="400" w:lineRule="exact"/>
              <w:jc w:val="center"/>
              <w:rPr>
                <w:rFonts w:ascii="宋体" w:hAnsi="宋体"/>
                <w:sz w:val="24"/>
                <w:highlight w:val="none"/>
              </w:rPr>
            </w:pPr>
            <w:r>
              <w:rPr>
                <w:rFonts w:hint="eastAsia" w:ascii="宋体" w:hAnsi="宋体"/>
                <w:sz w:val="24"/>
                <w:highlight w:val="none"/>
              </w:rPr>
              <w:t>和方法(7分)</w:t>
            </w:r>
          </w:p>
        </w:tc>
        <w:tc>
          <w:tcPr>
            <w:tcW w:w="4797" w:type="dxa"/>
          </w:tcPr>
          <w:p>
            <w:pPr>
              <w:spacing w:line="400" w:lineRule="exact"/>
              <w:jc w:val="left"/>
              <w:rPr>
                <w:rFonts w:ascii="宋体" w:hAnsi="宋体"/>
                <w:sz w:val="24"/>
                <w:highlight w:val="none"/>
              </w:rPr>
            </w:pPr>
            <w:r>
              <w:rPr>
                <w:rFonts w:hint="eastAsia" w:ascii="宋体" w:hAnsi="宋体"/>
                <w:sz w:val="24"/>
                <w:highlight w:val="none"/>
              </w:rPr>
              <w:t>原材料、事前、事中、事后质量控制措施和方法科学合理性全面的：得7分。</w:t>
            </w:r>
          </w:p>
          <w:p>
            <w:pPr>
              <w:spacing w:line="400" w:lineRule="exact"/>
              <w:jc w:val="left"/>
              <w:rPr>
                <w:rFonts w:ascii="宋体" w:hAnsi="宋体"/>
                <w:sz w:val="24"/>
                <w:highlight w:val="none"/>
              </w:rPr>
            </w:pPr>
            <w:r>
              <w:rPr>
                <w:rFonts w:hint="eastAsia" w:ascii="宋体" w:hAnsi="宋体"/>
                <w:sz w:val="24"/>
                <w:highlight w:val="none"/>
              </w:rPr>
              <w:t>原材料、事前、事中、事后质量控制措施和方法科学合理性基本全面的：得5分。</w:t>
            </w:r>
          </w:p>
          <w:p>
            <w:pPr>
              <w:spacing w:line="400" w:lineRule="exact"/>
              <w:jc w:val="left"/>
              <w:rPr>
                <w:rFonts w:ascii="宋体" w:hAnsi="宋体"/>
                <w:sz w:val="24"/>
                <w:highlight w:val="none"/>
              </w:rPr>
            </w:pPr>
            <w:r>
              <w:rPr>
                <w:rFonts w:hint="eastAsia" w:ascii="宋体" w:hAnsi="宋体"/>
                <w:sz w:val="24"/>
                <w:highlight w:val="none"/>
              </w:rPr>
              <w:t>原材料、事前、事中、事后质量控制措施和方法科学合理性较一般的：得2分。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36" w:type="dxa"/>
            <w:vMerge w:val="continue"/>
            <w:vAlign w:val="center"/>
          </w:tcPr>
          <w:p>
            <w:pPr>
              <w:spacing w:line="400" w:lineRule="exact"/>
              <w:jc w:val="center"/>
              <w:rPr>
                <w:rFonts w:ascii="宋体" w:cs="宋体"/>
                <w:bCs/>
                <w:sz w:val="24"/>
                <w:highlight w:val="none"/>
              </w:rPr>
            </w:pPr>
          </w:p>
        </w:tc>
        <w:tc>
          <w:tcPr>
            <w:tcW w:w="1440" w:type="dxa"/>
            <w:gridSpan w:val="2"/>
            <w:vMerge w:val="continue"/>
            <w:vAlign w:val="center"/>
          </w:tcPr>
          <w:p>
            <w:pPr>
              <w:adjustRightInd w:val="0"/>
              <w:snapToGrid w:val="0"/>
              <w:spacing w:line="420" w:lineRule="exact"/>
              <w:jc w:val="center"/>
              <w:rPr>
                <w:rFonts w:ascii="宋体" w:cs="宋体"/>
                <w:sz w:val="24"/>
                <w:highlight w:val="none"/>
              </w:rPr>
            </w:pPr>
          </w:p>
        </w:tc>
        <w:tc>
          <w:tcPr>
            <w:tcW w:w="2437" w:type="dxa"/>
          </w:tcPr>
          <w:p>
            <w:pPr>
              <w:spacing w:line="400" w:lineRule="exact"/>
              <w:jc w:val="center"/>
              <w:rPr>
                <w:rFonts w:ascii="宋体" w:hAnsi="宋体"/>
                <w:sz w:val="24"/>
                <w:highlight w:val="none"/>
              </w:rPr>
            </w:pPr>
          </w:p>
          <w:p>
            <w:pPr>
              <w:spacing w:line="400" w:lineRule="exact"/>
              <w:jc w:val="center"/>
              <w:rPr>
                <w:rFonts w:ascii="宋体" w:hAnsi="宋体"/>
                <w:sz w:val="24"/>
                <w:highlight w:val="none"/>
              </w:rPr>
            </w:pPr>
            <w:r>
              <w:rPr>
                <w:rFonts w:hint="eastAsia" w:ascii="宋体" w:hAnsi="宋体"/>
                <w:sz w:val="24"/>
                <w:highlight w:val="none"/>
              </w:rPr>
              <w:t>进度控制的措施和方法(7分)</w:t>
            </w:r>
          </w:p>
        </w:tc>
        <w:tc>
          <w:tcPr>
            <w:tcW w:w="4797" w:type="dxa"/>
          </w:tcPr>
          <w:p>
            <w:pPr>
              <w:spacing w:line="400" w:lineRule="exact"/>
              <w:jc w:val="left"/>
              <w:rPr>
                <w:rFonts w:ascii="宋体" w:hAnsi="宋体"/>
                <w:sz w:val="24"/>
                <w:highlight w:val="none"/>
              </w:rPr>
            </w:pPr>
            <w:r>
              <w:rPr>
                <w:rFonts w:hint="eastAsia" w:ascii="宋体" w:hAnsi="宋体"/>
                <w:sz w:val="24"/>
                <w:highlight w:val="none"/>
              </w:rPr>
              <w:t>进度控制的监理工作措施详细，经济措施、技术措施、合同措施齐全可行的得 7分；</w:t>
            </w:r>
          </w:p>
          <w:p>
            <w:pPr>
              <w:spacing w:line="400" w:lineRule="exact"/>
              <w:jc w:val="left"/>
              <w:rPr>
                <w:rFonts w:ascii="宋体" w:hAnsi="宋体"/>
                <w:sz w:val="24"/>
                <w:highlight w:val="none"/>
              </w:rPr>
            </w:pPr>
            <w:r>
              <w:rPr>
                <w:rFonts w:hint="eastAsia" w:ascii="宋体" w:hAnsi="宋体"/>
                <w:sz w:val="24"/>
                <w:highlight w:val="none"/>
              </w:rPr>
              <w:t>基本齐全可行的得：5分；</w:t>
            </w:r>
          </w:p>
          <w:p>
            <w:pPr>
              <w:spacing w:line="400" w:lineRule="exact"/>
              <w:jc w:val="left"/>
              <w:rPr>
                <w:rFonts w:ascii="宋体" w:hAnsi="宋体"/>
                <w:sz w:val="24"/>
                <w:highlight w:val="none"/>
              </w:rPr>
            </w:pPr>
            <w:r>
              <w:rPr>
                <w:rFonts w:hint="eastAsia" w:ascii="宋体" w:hAnsi="宋体"/>
                <w:sz w:val="24"/>
                <w:highlight w:val="none"/>
              </w:rPr>
              <w:t>不全面不可行的得：2分；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36" w:type="dxa"/>
            <w:vMerge w:val="continue"/>
            <w:vAlign w:val="center"/>
          </w:tcPr>
          <w:p>
            <w:pPr>
              <w:spacing w:line="400" w:lineRule="exact"/>
              <w:jc w:val="center"/>
              <w:rPr>
                <w:rFonts w:ascii="宋体" w:cs="宋体"/>
                <w:bCs/>
                <w:sz w:val="24"/>
                <w:highlight w:val="none"/>
              </w:rPr>
            </w:pPr>
          </w:p>
        </w:tc>
        <w:tc>
          <w:tcPr>
            <w:tcW w:w="1440" w:type="dxa"/>
            <w:gridSpan w:val="2"/>
            <w:vMerge w:val="continue"/>
            <w:vAlign w:val="center"/>
          </w:tcPr>
          <w:p>
            <w:pPr>
              <w:adjustRightInd w:val="0"/>
              <w:snapToGrid w:val="0"/>
              <w:spacing w:line="420" w:lineRule="exact"/>
              <w:jc w:val="center"/>
              <w:rPr>
                <w:rFonts w:ascii="宋体" w:cs="宋体"/>
                <w:sz w:val="24"/>
                <w:highlight w:val="none"/>
              </w:rPr>
            </w:pPr>
          </w:p>
        </w:tc>
        <w:tc>
          <w:tcPr>
            <w:tcW w:w="2437" w:type="dxa"/>
          </w:tcPr>
          <w:p>
            <w:pPr>
              <w:spacing w:line="400" w:lineRule="exact"/>
              <w:jc w:val="center"/>
              <w:rPr>
                <w:rFonts w:ascii="宋体" w:hAnsi="宋体"/>
                <w:sz w:val="24"/>
                <w:highlight w:val="none"/>
              </w:rPr>
            </w:pPr>
          </w:p>
          <w:p>
            <w:pPr>
              <w:spacing w:line="400" w:lineRule="exact"/>
              <w:jc w:val="center"/>
              <w:rPr>
                <w:rFonts w:ascii="宋体" w:hAnsi="宋体"/>
                <w:sz w:val="24"/>
                <w:highlight w:val="none"/>
              </w:rPr>
            </w:pPr>
            <w:r>
              <w:rPr>
                <w:rFonts w:hint="eastAsia" w:ascii="宋体" w:hAnsi="宋体"/>
                <w:sz w:val="24"/>
                <w:highlight w:val="none"/>
              </w:rPr>
              <w:t>投资控制的措施和方法(7分)</w:t>
            </w:r>
          </w:p>
        </w:tc>
        <w:tc>
          <w:tcPr>
            <w:tcW w:w="4797" w:type="dxa"/>
          </w:tcPr>
          <w:p>
            <w:pPr>
              <w:spacing w:line="400" w:lineRule="exact"/>
              <w:jc w:val="left"/>
              <w:rPr>
                <w:rFonts w:ascii="宋体" w:hAnsi="宋体"/>
                <w:sz w:val="24"/>
                <w:highlight w:val="none"/>
              </w:rPr>
            </w:pPr>
            <w:r>
              <w:rPr>
                <w:rFonts w:hint="eastAsia" w:ascii="宋体" w:hAnsi="宋体"/>
                <w:sz w:val="24"/>
                <w:highlight w:val="none"/>
              </w:rPr>
              <w:t>投资控制的措施详细，技术措施、组织措施、经济措施、合同措施齐全可行的得：7分，基本齐全可行的得：5分；</w:t>
            </w:r>
          </w:p>
          <w:p>
            <w:pPr>
              <w:spacing w:line="400" w:lineRule="exact"/>
              <w:jc w:val="left"/>
              <w:rPr>
                <w:rFonts w:ascii="宋体" w:hAnsi="宋体"/>
                <w:sz w:val="24"/>
                <w:highlight w:val="none"/>
              </w:rPr>
            </w:pPr>
            <w:r>
              <w:rPr>
                <w:rFonts w:hint="eastAsia" w:ascii="宋体" w:hAnsi="宋体"/>
                <w:sz w:val="24"/>
                <w:highlight w:val="none"/>
              </w:rPr>
              <w:t>不全面不可行的得：2分；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836" w:type="dxa"/>
            <w:vMerge w:val="continue"/>
            <w:vAlign w:val="center"/>
          </w:tcPr>
          <w:p>
            <w:pPr>
              <w:spacing w:line="400" w:lineRule="exact"/>
              <w:jc w:val="center"/>
              <w:rPr>
                <w:rFonts w:ascii="宋体" w:cs="宋体"/>
                <w:bCs/>
                <w:sz w:val="24"/>
                <w:highlight w:val="none"/>
              </w:rPr>
            </w:pPr>
          </w:p>
        </w:tc>
        <w:tc>
          <w:tcPr>
            <w:tcW w:w="1440" w:type="dxa"/>
            <w:gridSpan w:val="2"/>
            <w:vMerge w:val="continue"/>
            <w:vAlign w:val="center"/>
          </w:tcPr>
          <w:p>
            <w:pPr>
              <w:adjustRightInd w:val="0"/>
              <w:snapToGrid w:val="0"/>
              <w:spacing w:line="420" w:lineRule="exact"/>
              <w:jc w:val="center"/>
              <w:rPr>
                <w:rFonts w:ascii="宋体" w:cs="宋体"/>
                <w:sz w:val="24"/>
                <w:highlight w:val="none"/>
              </w:rPr>
            </w:pPr>
          </w:p>
        </w:tc>
        <w:tc>
          <w:tcPr>
            <w:tcW w:w="2437" w:type="dxa"/>
          </w:tcPr>
          <w:p>
            <w:pPr>
              <w:spacing w:line="400" w:lineRule="exact"/>
              <w:jc w:val="center"/>
              <w:rPr>
                <w:rFonts w:ascii="宋体" w:hAnsi="宋体"/>
                <w:sz w:val="24"/>
                <w:highlight w:val="none"/>
              </w:rPr>
            </w:pPr>
            <w:r>
              <w:rPr>
                <w:rFonts w:hint="eastAsia" w:ascii="宋体" w:hAnsi="宋体"/>
                <w:sz w:val="24"/>
                <w:highlight w:val="none"/>
              </w:rPr>
              <w:t>文明、安全管理的措施和方法</w:t>
            </w:r>
          </w:p>
          <w:p>
            <w:pPr>
              <w:spacing w:line="400" w:lineRule="exact"/>
              <w:jc w:val="center"/>
              <w:rPr>
                <w:rFonts w:ascii="宋体" w:hAnsi="宋体"/>
                <w:sz w:val="24"/>
                <w:highlight w:val="none"/>
              </w:rPr>
            </w:pPr>
            <w:r>
              <w:rPr>
                <w:rFonts w:hint="eastAsia" w:ascii="宋体" w:hAnsi="宋体"/>
                <w:sz w:val="24"/>
                <w:highlight w:val="none"/>
              </w:rPr>
              <w:t>（7分）</w:t>
            </w:r>
          </w:p>
        </w:tc>
        <w:tc>
          <w:tcPr>
            <w:tcW w:w="4797" w:type="dxa"/>
          </w:tcPr>
          <w:p>
            <w:pPr>
              <w:spacing w:line="400" w:lineRule="exact"/>
              <w:jc w:val="left"/>
              <w:rPr>
                <w:rFonts w:ascii="宋体" w:hAnsi="宋体"/>
                <w:sz w:val="24"/>
                <w:highlight w:val="none"/>
              </w:rPr>
            </w:pPr>
            <w:r>
              <w:rPr>
                <w:rFonts w:hint="eastAsia" w:ascii="宋体" w:hAnsi="宋体"/>
                <w:sz w:val="24"/>
                <w:highlight w:val="none"/>
              </w:rPr>
              <w:t>文明、安全管理监理措施详细，技术措施、组织措施、 经济措施、合同措施齐全可行的得：7分；</w:t>
            </w:r>
          </w:p>
          <w:p>
            <w:pPr>
              <w:spacing w:line="400" w:lineRule="exact"/>
              <w:jc w:val="left"/>
              <w:rPr>
                <w:rFonts w:ascii="宋体" w:hAnsi="宋体"/>
                <w:sz w:val="24"/>
                <w:highlight w:val="none"/>
              </w:rPr>
            </w:pPr>
            <w:r>
              <w:rPr>
                <w:rFonts w:hint="eastAsia" w:ascii="宋体" w:hAnsi="宋体"/>
                <w:sz w:val="24"/>
                <w:highlight w:val="none"/>
              </w:rPr>
              <w:t>基本齐全可行的得：5分；</w:t>
            </w:r>
          </w:p>
          <w:p>
            <w:pPr>
              <w:spacing w:line="400" w:lineRule="exact"/>
              <w:jc w:val="left"/>
              <w:rPr>
                <w:rFonts w:ascii="宋体" w:hAnsi="宋体"/>
                <w:sz w:val="24"/>
                <w:highlight w:val="none"/>
              </w:rPr>
            </w:pPr>
            <w:r>
              <w:rPr>
                <w:rFonts w:hint="eastAsia" w:ascii="宋体" w:hAnsi="宋体"/>
                <w:sz w:val="24"/>
                <w:highlight w:val="none"/>
              </w:rPr>
              <w:t>不全面不可行的得：2分；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36" w:type="dxa"/>
            <w:vMerge w:val="continue"/>
            <w:vAlign w:val="center"/>
          </w:tcPr>
          <w:p>
            <w:pPr>
              <w:spacing w:line="400" w:lineRule="exact"/>
              <w:jc w:val="center"/>
              <w:rPr>
                <w:rFonts w:ascii="宋体" w:cs="宋体"/>
                <w:bCs/>
                <w:sz w:val="24"/>
                <w:highlight w:val="none"/>
              </w:rPr>
            </w:pPr>
          </w:p>
        </w:tc>
        <w:tc>
          <w:tcPr>
            <w:tcW w:w="1440" w:type="dxa"/>
            <w:gridSpan w:val="2"/>
            <w:vMerge w:val="continue"/>
            <w:vAlign w:val="center"/>
          </w:tcPr>
          <w:p>
            <w:pPr>
              <w:adjustRightInd w:val="0"/>
              <w:snapToGrid w:val="0"/>
              <w:spacing w:line="420" w:lineRule="exact"/>
              <w:jc w:val="center"/>
              <w:rPr>
                <w:rFonts w:ascii="宋体" w:cs="宋体"/>
                <w:sz w:val="24"/>
                <w:highlight w:val="none"/>
              </w:rPr>
            </w:pPr>
          </w:p>
        </w:tc>
        <w:tc>
          <w:tcPr>
            <w:tcW w:w="2437" w:type="dxa"/>
          </w:tcPr>
          <w:p>
            <w:pPr>
              <w:spacing w:line="400" w:lineRule="exact"/>
              <w:jc w:val="center"/>
              <w:rPr>
                <w:rFonts w:ascii="宋体" w:hAnsi="宋体"/>
                <w:sz w:val="24"/>
                <w:highlight w:val="none"/>
              </w:rPr>
            </w:pPr>
            <w:r>
              <w:rPr>
                <w:rFonts w:hint="eastAsia" w:ascii="宋体" w:hAnsi="宋体"/>
                <w:sz w:val="24"/>
                <w:highlight w:val="none"/>
              </w:rPr>
              <w:t>合同管理、信息管理的措施和方法</w:t>
            </w:r>
          </w:p>
          <w:p>
            <w:pPr>
              <w:spacing w:line="400" w:lineRule="exact"/>
              <w:jc w:val="center"/>
              <w:rPr>
                <w:rFonts w:ascii="宋体" w:hAnsi="宋体"/>
                <w:sz w:val="24"/>
                <w:highlight w:val="none"/>
              </w:rPr>
            </w:pPr>
            <w:r>
              <w:rPr>
                <w:rFonts w:hint="eastAsia" w:ascii="宋体" w:hAnsi="宋体"/>
                <w:sz w:val="24"/>
                <w:highlight w:val="none"/>
              </w:rPr>
              <w:t>（7分）</w:t>
            </w:r>
          </w:p>
        </w:tc>
        <w:tc>
          <w:tcPr>
            <w:tcW w:w="4797" w:type="dxa"/>
          </w:tcPr>
          <w:p>
            <w:pPr>
              <w:spacing w:line="400" w:lineRule="exact"/>
              <w:jc w:val="left"/>
              <w:rPr>
                <w:rFonts w:ascii="宋体" w:hAnsi="宋体"/>
                <w:sz w:val="24"/>
                <w:highlight w:val="none"/>
              </w:rPr>
            </w:pPr>
            <w:r>
              <w:rPr>
                <w:rFonts w:hint="eastAsia" w:ascii="宋体" w:hAnsi="宋体"/>
                <w:sz w:val="24"/>
                <w:highlight w:val="none"/>
              </w:rPr>
              <w:t>合同、信息管理的措施和方法合理齐全、针对性强的得：7分；</w:t>
            </w:r>
          </w:p>
          <w:p>
            <w:pPr>
              <w:spacing w:line="400" w:lineRule="exact"/>
              <w:jc w:val="left"/>
              <w:rPr>
                <w:rFonts w:ascii="宋体" w:hAnsi="宋体"/>
                <w:sz w:val="24"/>
                <w:highlight w:val="none"/>
              </w:rPr>
            </w:pPr>
            <w:r>
              <w:rPr>
                <w:rFonts w:hint="eastAsia" w:ascii="宋体" w:hAnsi="宋体"/>
                <w:sz w:val="24"/>
                <w:highlight w:val="none"/>
              </w:rPr>
              <w:t>合同、信息管理的措施和方法基本合理齐全、针对性一般的得：5分；</w:t>
            </w:r>
          </w:p>
          <w:p>
            <w:pPr>
              <w:spacing w:line="400" w:lineRule="exact"/>
              <w:jc w:val="left"/>
              <w:rPr>
                <w:rFonts w:ascii="宋体" w:hAnsi="宋体"/>
                <w:sz w:val="24"/>
                <w:highlight w:val="none"/>
              </w:rPr>
            </w:pPr>
            <w:r>
              <w:rPr>
                <w:rFonts w:hint="eastAsia" w:ascii="宋体" w:hAnsi="宋体"/>
                <w:sz w:val="24"/>
                <w:highlight w:val="none"/>
              </w:rPr>
              <w:t>合同、信息管理的措施和方法齐全、针对性较差的得：2分；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36" w:type="dxa"/>
            <w:vMerge w:val="continue"/>
            <w:vAlign w:val="center"/>
          </w:tcPr>
          <w:p>
            <w:pPr>
              <w:spacing w:line="400" w:lineRule="exact"/>
              <w:jc w:val="center"/>
              <w:rPr>
                <w:rFonts w:ascii="宋体" w:cs="宋体"/>
                <w:bCs/>
                <w:sz w:val="24"/>
                <w:highlight w:val="none"/>
              </w:rPr>
            </w:pPr>
          </w:p>
        </w:tc>
        <w:tc>
          <w:tcPr>
            <w:tcW w:w="1440" w:type="dxa"/>
            <w:gridSpan w:val="2"/>
            <w:vMerge w:val="continue"/>
            <w:vAlign w:val="center"/>
          </w:tcPr>
          <w:p>
            <w:pPr>
              <w:adjustRightInd w:val="0"/>
              <w:snapToGrid w:val="0"/>
              <w:spacing w:line="420" w:lineRule="exact"/>
              <w:jc w:val="center"/>
              <w:rPr>
                <w:rFonts w:ascii="宋体" w:cs="宋体"/>
                <w:sz w:val="24"/>
                <w:highlight w:val="none"/>
              </w:rPr>
            </w:pPr>
          </w:p>
        </w:tc>
        <w:tc>
          <w:tcPr>
            <w:tcW w:w="2437" w:type="dxa"/>
          </w:tcPr>
          <w:p>
            <w:pPr>
              <w:spacing w:line="400" w:lineRule="exact"/>
              <w:jc w:val="center"/>
              <w:rPr>
                <w:rFonts w:ascii="宋体" w:hAnsi="宋体"/>
                <w:sz w:val="24"/>
                <w:highlight w:val="none"/>
              </w:rPr>
            </w:pPr>
            <w:r>
              <w:rPr>
                <w:rFonts w:hint="eastAsia" w:ascii="宋体" w:hAnsi="宋体"/>
                <w:sz w:val="24"/>
                <w:highlight w:val="none"/>
              </w:rPr>
              <w:t>工作协调的措施</w:t>
            </w:r>
          </w:p>
          <w:p>
            <w:pPr>
              <w:spacing w:line="400" w:lineRule="exact"/>
              <w:jc w:val="center"/>
              <w:rPr>
                <w:rFonts w:ascii="宋体" w:hAnsi="宋体"/>
                <w:sz w:val="24"/>
                <w:highlight w:val="none"/>
              </w:rPr>
            </w:pPr>
            <w:r>
              <w:rPr>
                <w:rFonts w:hint="eastAsia" w:ascii="宋体" w:hAnsi="宋体"/>
                <w:sz w:val="24"/>
                <w:highlight w:val="none"/>
              </w:rPr>
              <w:t>和方法（7分）</w:t>
            </w:r>
          </w:p>
        </w:tc>
        <w:tc>
          <w:tcPr>
            <w:tcW w:w="4797" w:type="dxa"/>
          </w:tcPr>
          <w:p>
            <w:pPr>
              <w:spacing w:line="400" w:lineRule="exact"/>
              <w:jc w:val="left"/>
              <w:rPr>
                <w:rFonts w:ascii="宋体" w:hAnsi="宋体"/>
                <w:sz w:val="24"/>
                <w:highlight w:val="none"/>
              </w:rPr>
            </w:pPr>
            <w:r>
              <w:rPr>
                <w:rFonts w:hint="eastAsia" w:ascii="宋体" w:hAnsi="宋体"/>
                <w:sz w:val="24"/>
                <w:highlight w:val="none"/>
              </w:rPr>
              <w:t>工作协调的工作内容、原则、程序、方法科学合理的得：7分；</w:t>
            </w:r>
          </w:p>
          <w:p>
            <w:pPr>
              <w:spacing w:line="400" w:lineRule="exact"/>
              <w:jc w:val="left"/>
              <w:rPr>
                <w:rFonts w:ascii="宋体" w:hAnsi="宋体"/>
                <w:sz w:val="24"/>
                <w:highlight w:val="none"/>
              </w:rPr>
            </w:pPr>
            <w:r>
              <w:rPr>
                <w:rFonts w:hint="eastAsia" w:ascii="宋体" w:hAnsi="宋体"/>
                <w:sz w:val="24"/>
                <w:highlight w:val="none"/>
              </w:rPr>
              <w:t>工作协调的工作内容、原则、程序、方法科学合理性一般的得：5分；</w:t>
            </w:r>
          </w:p>
          <w:p>
            <w:pPr>
              <w:spacing w:line="400" w:lineRule="exact"/>
              <w:jc w:val="left"/>
              <w:rPr>
                <w:rFonts w:ascii="宋体" w:hAnsi="宋体"/>
                <w:sz w:val="24"/>
                <w:highlight w:val="none"/>
              </w:rPr>
            </w:pPr>
            <w:r>
              <w:rPr>
                <w:rFonts w:hint="eastAsia" w:ascii="宋体" w:hAnsi="宋体"/>
                <w:sz w:val="24"/>
                <w:highlight w:val="none"/>
              </w:rPr>
              <w:t>工作协调的工作内容、原则、程序、方法科学合理性较差的得：2分；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36" w:type="dxa"/>
            <w:vMerge w:val="continue"/>
            <w:vAlign w:val="center"/>
          </w:tcPr>
          <w:p>
            <w:pPr>
              <w:spacing w:line="400" w:lineRule="exact"/>
              <w:jc w:val="center"/>
              <w:rPr>
                <w:rFonts w:ascii="宋体" w:cs="宋体"/>
                <w:bCs/>
                <w:sz w:val="24"/>
                <w:highlight w:val="none"/>
              </w:rPr>
            </w:pPr>
          </w:p>
        </w:tc>
        <w:tc>
          <w:tcPr>
            <w:tcW w:w="1440" w:type="dxa"/>
            <w:gridSpan w:val="2"/>
            <w:vMerge w:val="continue"/>
            <w:vAlign w:val="center"/>
          </w:tcPr>
          <w:p>
            <w:pPr>
              <w:adjustRightInd w:val="0"/>
              <w:snapToGrid w:val="0"/>
              <w:spacing w:line="420" w:lineRule="exact"/>
              <w:jc w:val="center"/>
              <w:rPr>
                <w:rFonts w:ascii="宋体" w:cs="宋体"/>
                <w:sz w:val="24"/>
                <w:highlight w:val="none"/>
              </w:rPr>
            </w:pPr>
          </w:p>
        </w:tc>
        <w:tc>
          <w:tcPr>
            <w:tcW w:w="2437" w:type="dxa"/>
          </w:tcPr>
          <w:p>
            <w:pPr>
              <w:spacing w:line="400" w:lineRule="exact"/>
              <w:jc w:val="center"/>
              <w:rPr>
                <w:rFonts w:ascii="宋体" w:hAnsi="宋体"/>
                <w:sz w:val="24"/>
                <w:highlight w:val="none"/>
              </w:rPr>
            </w:pPr>
            <w:r>
              <w:rPr>
                <w:rFonts w:hint="eastAsia" w:ascii="宋体" w:hAnsi="宋体"/>
                <w:sz w:val="24"/>
                <w:highlight w:val="none"/>
              </w:rPr>
              <w:t>监理部投入的检测设备、仪器、软件等（7分）</w:t>
            </w:r>
          </w:p>
        </w:tc>
        <w:tc>
          <w:tcPr>
            <w:tcW w:w="4797" w:type="dxa"/>
          </w:tcPr>
          <w:p>
            <w:pPr>
              <w:spacing w:line="400" w:lineRule="exact"/>
              <w:jc w:val="left"/>
              <w:rPr>
                <w:rFonts w:ascii="宋体" w:hAnsi="宋体"/>
                <w:sz w:val="24"/>
                <w:highlight w:val="none"/>
              </w:rPr>
            </w:pPr>
            <w:r>
              <w:rPr>
                <w:rFonts w:hint="eastAsia" w:ascii="宋体" w:hAnsi="宋体"/>
                <w:sz w:val="24"/>
                <w:highlight w:val="none"/>
              </w:rPr>
              <w:t>监理部投入的检测设备、仪器、软件等配备齐全，合理、可行得：7分；</w:t>
            </w:r>
          </w:p>
          <w:p>
            <w:pPr>
              <w:spacing w:line="400" w:lineRule="exact"/>
              <w:jc w:val="left"/>
              <w:rPr>
                <w:rFonts w:ascii="宋体" w:hAnsi="宋体"/>
                <w:sz w:val="24"/>
                <w:highlight w:val="none"/>
              </w:rPr>
            </w:pPr>
            <w:r>
              <w:rPr>
                <w:rFonts w:hint="eastAsia" w:ascii="宋体" w:hAnsi="宋体"/>
                <w:sz w:val="24"/>
                <w:highlight w:val="none"/>
              </w:rPr>
              <w:t>配备基本齐全，合理、可行得：5分；</w:t>
            </w:r>
          </w:p>
          <w:p>
            <w:pPr>
              <w:spacing w:line="400" w:lineRule="exact"/>
              <w:jc w:val="left"/>
              <w:rPr>
                <w:rFonts w:ascii="宋体" w:hAnsi="宋体"/>
                <w:sz w:val="24"/>
                <w:highlight w:val="none"/>
              </w:rPr>
            </w:pPr>
            <w:r>
              <w:rPr>
                <w:rFonts w:hint="eastAsia" w:ascii="宋体" w:hAnsi="宋体"/>
                <w:sz w:val="24"/>
                <w:highlight w:val="none"/>
              </w:rPr>
              <w:t>配备不齐全，不合理、可行得：2分；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36" w:type="dxa"/>
            <w:vMerge w:val="continue"/>
            <w:vAlign w:val="center"/>
          </w:tcPr>
          <w:p>
            <w:pPr>
              <w:spacing w:line="400" w:lineRule="exact"/>
              <w:jc w:val="center"/>
              <w:rPr>
                <w:rFonts w:ascii="宋体" w:cs="宋体"/>
                <w:bCs/>
                <w:sz w:val="24"/>
                <w:highlight w:val="none"/>
              </w:rPr>
            </w:pPr>
          </w:p>
        </w:tc>
        <w:tc>
          <w:tcPr>
            <w:tcW w:w="1440" w:type="dxa"/>
            <w:gridSpan w:val="2"/>
            <w:vMerge w:val="continue"/>
            <w:vAlign w:val="center"/>
          </w:tcPr>
          <w:p>
            <w:pPr>
              <w:adjustRightInd w:val="0"/>
              <w:snapToGrid w:val="0"/>
              <w:spacing w:line="420" w:lineRule="exact"/>
              <w:jc w:val="center"/>
              <w:rPr>
                <w:rFonts w:ascii="宋体" w:cs="宋体"/>
                <w:sz w:val="24"/>
                <w:highlight w:val="none"/>
              </w:rPr>
            </w:pPr>
          </w:p>
        </w:tc>
        <w:tc>
          <w:tcPr>
            <w:tcW w:w="2437" w:type="dxa"/>
          </w:tcPr>
          <w:p>
            <w:pPr>
              <w:spacing w:line="400" w:lineRule="exact"/>
              <w:jc w:val="center"/>
              <w:rPr>
                <w:rFonts w:ascii="宋体" w:hAnsi="宋体"/>
                <w:sz w:val="24"/>
                <w:highlight w:val="none"/>
              </w:rPr>
            </w:pPr>
            <w:r>
              <w:rPr>
                <w:rFonts w:hint="eastAsia" w:ascii="宋体" w:hAnsi="宋体"/>
                <w:sz w:val="24"/>
                <w:highlight w:val="none"/>
              </w:rPr>
              <w:t>合理化建议</w:t>
            </w:r>
          </w:p>
          <w:p>
            <w:pPr>
              <w:spacing w:line="400" w:lineRule="exact"/>
              <w:jc w:val="center"/>
              <w:rPr>
                <w:rFonts w:ascii="宋体" w:hAnsi="宋体"/>
                <w:sz w:val="24"/>
                <w:highlight w:val="none"/>
              </w:rPr>
            </w:pPr>
            <w:r>
              <w:rPr>
                <w:rFonts w:hint="eastAsia" w:ascii="宋体" w:hAnsi="宋体"/>
                <w:sz w:val="24"/>
                <w:highlight w:val="none"/>
              </w:rPr>
              <w:t>（6分）</w:t>
            </w:r>
          </w:p>
        </w:tc>
        <w:tc>
          <w:tcPr>
            <w:tcW w:w="4797" w:type="dxa"/>
          </w:tcPr>
          <w:p>
            <w:pPr>
              <w:spacing w:line="400" w:lineRule="exact"/>
              <w:jc w:val="left"/>
              <w:rPr>
                <w:rFonts w:ascii="宋体" w:hAnsi="宋体"/>
                <w:sz w:val="24"/>
                <w:highlight w:val="none"/>
              </w:rPr>
            </w:pPr>
            <w:r>
              <w:rPr>
                <w:rFonts w:hint="eastAsia" w:ascii="宋体" w:hAnsi="宋体"/>
                <w:sz w:val="24"/>
                <w:highlight w:val="none"/>
              </w:rPr>
              <w:t>提出各项合理化建议：建议合理、有效，能更好的满足采购需求及实施要求：得6分；建议基本合理、有效：得4分；</w:t>
            </w:r>
          </w:p>
          <w:p>
            <w:pPr>
              <w:spacing w:line="400" w:lineRule="exact"/>
              <w:jc w:val="left"/>
              <w:rPr>
                <w:rFonts w:ascii="宋体" w:hAnsi="宋体"/>
                <w:sz w:val="24"/>
                <w:highlight w:val="none"/>
              </w:rPr>
            </w:pPr>
            <w:r>
              <w:rPr>
                <w:rFonts w:hint="eastAsia" w:ascii="宋体" w:hAnsi="宋体"/>
                <w:sz w:val="24"/>
                <w:highlight w:val="none"/>
              </w:rPr>
              <w:t>建议不合理、有效：得1分；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5" w:hRule="atLeast"/>
          <w:jc w:val="center"/>
        </w:trPr>
        <w:tc>
          <w:tcPr>
            <w:tcW w:w="836" w:type="dxa"/>
            <w:vMerge w:val="restart"/>
            <w:vAlign w:val="center"/>
          </w:tcPr>
          <w:p>
            <w:pPr>
              <w:spacing w:line="400" w:lineRule="exact"/>
              <w:jc w:val="center"/>
              <w:rPr>
                <w:rFonts w:ascii="宋体" w:cs="宋体"/>
                <w:bCs/>
                <w:sz w:val="24"/>
                <w:highlight w:val="none"/>
              </w:rPr>
            </w:pPr>
            <w:r>
              <w:rPr>
                <w:rFonts w:ascii="宋体" w:hAnsi="宋体" w:cs="宋体"/>
                <w:bCs/>
                <w:sz w:val="24"/>
                <w:highlight w:val="none"/>
              </w:rPr>
              <w:t>2.2.4</w:t>
            </w:r>
            <w:r>
              <w:rPr>
                <w:rFonts w:hint="eastAsia" w:ascii="宋体" w:hAnsi="宋体" w:cs="宋体"/>
                <w:bCs/>
                <w:sz w:val="24"/>
                <w:highlight w:val="none"/>
              </w:rPr>
              <w:t>（</w:t>
            </w:r>
            <w:r>
              <w:rPr>
                <w:rFonts w:ascii="宋体" w:hAnsi="宋体" w:cs="宋体"/>
                <w:bCs/>
                <w:sz w:val="24"/>
                <w:highlight w:val="none"/>
              </w:rPr>
              <w:t>2</w:t>
            </w:r>
            <w:r>
              <w:rPr>
                <w:rFonts w:hint="eastAsia" w:ascii="宋体" w:hAnsi="宋体" w:cs="宋体"/>
                <w:bCs/>
                <w:sz w:val="24"/>
                <w:highlight w:val="none"/>
              </w:rPr>
              <w:t>）</w:t>
            </w:r>
          </w:p>
        </w:tc>
        <w:tc>
          <w:tcPr>
            <w:tcW w:w="1440" w:type="dxa"/>
            <w:gridSpan w:val="2"/>
            <w:vMerge w:val="restart"/>
            <w:vAlign w:val="center"/>
          </w:tcPr>
          <w:p>
            <w:pPr>
              <w:adjustRightInd w:val="0"/>
              <w:snapToGrid w:val="0"/>
              <w:spacing w:line="420" w:lineRule="exact"/>
              <w:jc w:val="center"/>
              <w:rPr>
                <w:rFonts w:ascii="宋体" w:cs="宋体"/>
                <w:bCs/>
                <w:sz w:val="24"/>
                <w:highlight w:val="none"/>
              </w:rPr>
            </w:pPr>
            <w:r>
              <w:rPr>
                <w:rFonts w:hint="eastAsia" w:ascii="宋体" w:hAnsi="宋体" w:cs="宋体"/>
                <w:bCs/>
                <w:sz w:val="24"/>
                <w:highlight w:val="none"/>
              </w:rPr>
              <w:t>综合标评分</w:t>
            </w:r>
          </w:p>
          <w:p>
            <w:pPr>
              <w:spacing w:line="400" w:lineRule="exact"/>
              <w:jc w:val="center"/>
              <w:rPr>
                <w:rFonts w:ascii="宋体" w:cs="宋体"/>
                <w:bCs/>
                <w:sz w:val="24"/>
                <w:highlight w:val="none"/>
              </w:rPr>
            </w:pPr>
            <w:r>
              <w:rPr>
                <w:rFonts w:hint="eastAsia" w:ascii="宋体" w:hAnsi="宋体" w:cs="宋体"/>
                <w:bCs/>
                <w:sz w:val="24"/>
                <w:highlight w:val="none"/>
              </w:rPr>
              <w:t>20分</w:t>
            </w:r>
          </w:p>
        </w:tc>
        <w:tc>
          <w:tcPr>
            <w:tcW w:w="2437" w:type="dxa"/>
            <w:vAlign w:val="center"/>
          </w:tcPr>
          <w:p>
            <w:pPr>
              <w:autoSpaceDE w:val="0"/>
              <w:autoSpaceDN w:val="0"/>
              <w:adjustRightInd w:val="0"/>
              <w:spacing w:line="400" w:lineRule="exact"/>
              <w:jc w:val="left"/>
              <w:rPr>
                <w:rFonts w:ascii="宋体" w:cs="宋体"/>
                <w:bCs/>
                <w:sz w:val="24"/>
                <w:highlight w:val="none"/>
              </w:rPr>
            </w:pPr>
            <w:r>
              <w:rPr>
                <w:rFonts w:hint="eastAsia" w:ascii="宋体" w:hAnsi="宋体"/>
                <w:sz w:val="24"/>
                <w:highlight w:val="none"/>
              </w:rPr>
              <w:t>企业实力（12分）</w:t>
            </w:r>
          </w:p>
        </w:tc>
        <w:tc>
          <w:tcPr>
            <w:tcW w:w="4797" w:type="dxa"/>
            <w:vAlign w:val="center"/>
          </w:tcPr>
          <w:p>
            <w:pPr>
              <w:autoSpaceDE w:val="0"/>
              <w:autoSpaceDN w:val="0"/>
              <w:adjustRightInd w:val="0"/>
              <w:spacing w:line="400" w:lineRule="exact"/>
              <w:jc w:val="left"/>
              <w:rPr>
                <w:rFonts w:ascii="宋体" w:hAnsi="宋体"/>
                <w:sz w:val="24"/>
                <w:highlight w:val="none"/>
              </w:rPr>
            </w:pPr>
            <w:r>
              <w:rPr>
                <w:rFonts w:hint="eastAsia" w:ascii="宋体" w:hAnsi="宋体"/>
                <w:sz w:val="24"/>
                <w:highlight w:val="none"/>
              </w:rPr>
              <w:t>1、投标人通过质量、环境、职业健康安全体系认证的得6分；</w:t>
            </w:r>
          </w:p>
          <w:p>
            <w:pPr>
              <w:autoSpaceDE w:val="0"/>
              <w:autoSpaceDN w:val="0"/>
              <w:adjustRightInd w:val="0"/>
              <w:spacing w:line="400" w:lineRule="exact"/>
              <w:jc w:val="left"/>
              <w:rPr>
                <w:rFonts w:ascii="宋体" w:cs="宋体"/>
                <w:bCs/>
                <w:sz w:val="24"/>
                <w:highlight w:val="none"/>
              </w:rPr>
            </w:pPr>
            <w:r>
              <w:rPr>
                <w:rFonts w:hint="eastAsia" w:ascii="宋体" w:hAnsi="宋体"/>
                <w:sz w:val="24"/>
                <w:highlight w:val="none"/>
              </w:rPr>
              <w:t>2、2019年1月1日以来企业承担的类似项目监理经历，每项得3分，最多6分；（注：以合同签订时间为准，提供合同、中标通知书）；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1" w:hRule="atLeast"/>
          <w:jc w:val="center"/>
        </w:trPr>
        <w:tc>
          <w:tcPr>
            <w:tcW w:w="836" w:type="dxa"/>
            <w:vMerge w:val="continue"/>
            <w:vAlign w:val="center"/>
          </w:tcPr>
          <w:p>
            <w:pPr>
              <w:widowControl/>
              <w:spacing w:line="400" w:lineRule="exact"/>
              <w:jc w:val="left"/>
              <w:rPr>
                <w:rFonts w:ascii="宋体" w:cs="宋体"/>
                <w:bCs/>
                <w:sz w:val="24"/>
                <w:highlight w:val="none"/>
              </w:rPr>
            </w:pPr>
          </w:p>
        </w:tc>
        <w:tc>
          <w:tcPr>
            <w:tcW w:w="1440" w:type="dxa"/>
            <w:gridSpan w:val="2"/>
            <w:vMerge w:val="continue"/>
            <w:vAlign w:val="center"/>
          </w:tcPr>
          <w:p>
            <w:pPr>
              <w:widowControl/>
              <w:spacing w:line="400" w:lineRule="exact"/>
              <w:jc w:val="left"/>
              <w:rPr>
                <w:rFonts w:ascii="宋体" w:cs="宋体"/>
                <w:bCs/>
                <w:sz w:val="24"/>
                <w:highlight w:val="none"/>
              </w:rPr>
            </w:pPr>
          </w:p>
        </w:tc>
        <w:tc>
          <w:tcPr>
            <w:tcW w:w="2437" w:type="dxa"/>
            <w:vAlign w:val="center"/>
          </w:tcPr>
          <w:p>
            <w:pPr>
              <w:autoSpaceDE w:val="0"/>
              <w:autoSpaceDN w:val="0"/>
              <w:adjustRightInd w:val="0"/>
              <w:spacing w:line="400" w:lineRule="exact"/>
              <w:jc w:val="center"/>
              <w:rPr>
                <w:rFonts w:ascii="宋体" w:hAnsi="宋体"/>
                <w:sz w:val="24"/>
                <w:highlight w:val="none"/>
              </w:rPr>
            </w:pPr>
            <w:r>
              <w:rPr>
                <w:rFonts w:ascii="宋体" w:hAnsi="宋体"/>
                <w:sz w:val="24"/>
                <w:highlight w:val="none"/>
              </w:rPr>
              <w:t>服务承诺</w:t>
            </w:r>
            <w:r>
              <w:rPr>
                <w:rFonts w:hint="eastAsia" w:ascii="宋体" w:hAnsi="宋体"/>
                <w:sz w:val="24"/>
                <w:highlight w:val="none"/>
              </w:rPr>
              <w:t>（8分）</w:t>
            </w:r>
          </w:p>
        </w:tc>
        <w:tc>
          <w:tcPr>
            <w:tcW w:w="4797" w:type="dxa"/>
            <w:vAlign w:val="center"/>
          </w:tcPr>
          <w:p>
            <w:pPr>
              <w:autoSpaceDE w:val="0"/>
              <w:autoSpaceDN w:val="0"/>
              <w:adjustRightInd w:val="0"/>
              <w:spacing w:line="400" w:lineRule="exact"/>
              <w:jc w:val="left"/>
              <w:rPr>
                <w:rFonts w:ascii="宋体" w:hAnsi="宋体"/>
                <w:sz w:val="24"/>
                <w:highlight w:val="none"/>
              </w:rPr>
            </w:pPr>
            <w:r>
              <w:rPr>
                <w:rFonts w:hint="eastAsia" w:ascii="宋体" w:hAnsi="宋体"/>
                <w:sz w:val="24"/>
                <w:highlight w:val="none"/>
              </w:rPr>
              <w:t>服务承诺内容较好的，得 8 分；</w:t>
            </w:r>
          </w:p>
          <w:p>
            <w:pPr>
              <w:autoSpaceDE w:val="0"/>
              <w:autoSpaceDN w:val="0"/>
              <w:adjustRightInd w:val="0"/>
              <w:spacing w:line="400" w:lineRule="exact"/>
              <w:jc w:val="left"/>
              <w:rPr>
                <w:rFonts w:ascii="宋体" w:hAnsi="宋体"/>
                <w:sz w:val="24"/>
                <w:highlight w:val="none"/>
              </w:rPr>
            </w:pPr>
            <w:r>
              <w:rPr>
                <w:rFonts w:hint="eastAsia" w:ascii="宋体" w:hAnsi="宋体"/>
                <w:sz w:val="24"/>
                <w:highlight w:val="none"/>
              </w:rPr>
              <w:t>服务承诺内容一般的，得 4 分；</w:t>
            </w:r>
          </w:p>
          <w:p>
            <w:pPr>
              <w:autoSpaceDE w:val="0"/>
              <w:autoSpaceDN w:val="0"/>
              <w:adjustRightInd w:val="0"/>
              <w:spacing w:line="400" w:lineRule="exact"/>
              <w:jc w:val="left"/>
              <w:rPr>
                <w:rFonts w:ascii="宋体" w:hAnsi="宋体"/>
                <w:sz w:val="24"/>
                <w:highlight w:val="none"/>
              </w:rPr>
            </w:pPr>
            <w:r>
              <w:rPr>
                <w:rFonts w:hint="eastAsia" w:ascii="宋体" w:hAnsi="宋体"/>
                <w:sz w:val="24"/>
                <w:highlight w:val="none"/>
              </w:rPr>
              <w:t>服务承诺内容较差的，得 2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1" w:hRule="atLeast"/>
          <w:jc w:val="center"/>
        </w:trPr>
        <w:tc>
          <w:tcPr>
            <w:tcW w:w="9510" w:type="dxa"/>
            <w:gridSpan w:val="5"/>
            <w:tcBorders>
              <w:bottom w:val="single" w:color="auto" w:sz="12" w:space="0"/>
            </w:tcBorders>
            <w:vAlign w:val="center"/>
          </w:tcPr>
          <w:p>
            <w:pPr>
              <w:adjustRightInd w:val="0"/>
              <w:snapToGrid w:val="0"/>
              <w:spacing w:before="120" w:beforeLines="50" w:after="120" w:afterLines="50" w:line="360" w:lineRule="auto"/>
              <w:rPr>
                <w:rFonts w:ascii="宋体" w:hAnsi="宋体" w:cs="宋体"/>
                <w:sz w:val="24"/>
              </w:rPr>
            </w:pPr>
            <w:r>
              <w:rPr>
                <w:rFonts w:hint="eastAsia" w:ascii="宋体" w:hAnsi="宋体" w:cs="宋体"/>
                <w:sz w:val="24"/>
              </w:rPr>
              <w:t>政府采购政策：</w:t>
            </w:r>
          </w:p>
          <w:p>
            <w:pPr>
              <w:adjustRightInd w:val="0"/>
              <w:snapToGrid w:val="0"/>
              <w:spacing w:before="120" w:beforeLines="50" w:after="120" w:afterLines="50" w:line="360" w:lineRule="auto"/>
              <w:rPr>
                <w:rFonts w:ascii="宋体" w:hAnsi="宋体" w:cs="宋体"/>
                <w:sz w:val="24"/>
              </w:rPr>
            </w:pPr>
            <w:r>
              <w:rPr>
                <w:rFonts w:hint="eastAsia" w:ascii="宋体" w:hAnsi="宋体" w:cs="宋体"/>
                <w:sz w:val="24"/>
              </w:rPr>
              <w:t>按照财政部印发《政府采购促进中小企业发展管理办法》的通知(财库(2020)46号)文件规定。</w:t>
            </w:r>
          </w:p>
          <w:p>
            <w:pPr>
              <w:adjustRightInd w:val="0"/>
              <w:snapToGrid w:val="0"/>
              <w:spacing w:before="120" w:beforeLines="50" w:after="120" w:afterLines="50" w:line="360" w:lineRule="auto"/>
              <w:rPr>
                <w:sz w:val="24"/>
              </w:rPr>
            </w:pPr>
            <w:r>
              <w:rPr>
                <w:rFonts w:hint="eastAsia" w:ascii="宋体" w:hAnsi="宋体" w:cs="宋体"/>
                <w:sz w:val="24"/>
                <w:highlight w:val="none"/>
              </w:rPr>
              <w:t>1、本项目专门面向</w:t>
            </w:r>
            <w:r>
              <w:rPr>
                <w:rFonts w:hint="eastAsia" w:ascii="宋体" w:hAnsi="宋体" w:cs="宋体"/>
                <w:sz w:val="24"/>
                <w:highlight w:val="none"/>
                <w:lang w:eastAsia="zh-CN"/>
              </w:rPr>
              <w:t>中</w:t>
            </w:r>
            <w:r>
              <w:rPr>
                <w:rFonts w:hint="eastAsia" w:ascii="宋体" w:hAnsi="宋体" w:cs="宋体"/>
                <w:sz w:val="24"/>
                <w:highlight w:val="none"/>
              </w:rPr>
              <w:t>小企业采购，不再进行价</w:t>
            </w:r>
            <w:r>
              <w:rPr>
                <w:rFonts w:hint="eastAsia" w:ascii="宋体" w:hAnsi="宋体" w:cs="宋体"/>
                <w:sz w:val="24"/>
              </w:rPr>
              <w:t>格评审优惠。</w:t>
            </w:r>
          </w:p>
          <w:p>
            <w:pPr>
              <w:adjustRightInd w:val="0"/>
              <w:snapToGrid w:val="0"/>
              <w:spacing w:before="120" w:beforeLines="50" w:after="120" w:afterLines="50" w:line="360" w:lineRule="auto"/>
              <w:rPr>
                <w:rFonts w:ascii="宋体" w:hAnsi="宋体" w:cs="宋体"/>
                <w:sz w:val="24"/>
              </w:rPr>
            </w:pPr>
            <w:r>
              <w:rPr>
                <w:rFonts w:hint="eastAsia" w:ascii="宋体" w:hAnsi="宋体" w:cs="宋体"/>
                <w:sz w:val="24"/>
              </w:rPr>
              <w:t>2、中小微企业应当提供《中小企业声明函》并对声明的真实性负责，否则不予认可。</w:t>
            </w:r>
          </w:p>
          <w:p>
            <w:pPr>
              <w:adjustRightInd w:val="0"/>
              <w:snapToGrid w:val="0"/>
              <w:spacing w:before="120" w:beforeLines="50" w:after="120" w:afterLines="50" w:line="360" w:lineRule="auto"/>
              <w:rPr>
                <w:rFonts w:ascii="宋体" w:hAnsi="宋体" w:cs="宋体"/>
                <w:sz w:val="24"/>
              </w:rPr>
            </w:pPr>
            <w:r>
              <w:rPr>
                <w:rFonts w:hint="eastAsia" w:ascii="宋体" w:hAnsi="宋体" w:cs="宋体"/>
                <w:sz w:val="24"/>
              </w:rPr>
              <w:t>3、残疾人福利性单位视同小微企业在参加采购活动时，应当提供《残疾人福利性单位声明函》，并对声明的真实性负责，否则不予认可；</w:t>
            </w:r>
          </w:p>
          <w:p>
            <w:pPr>
              <w:adjustRightInd w:val="0"/>
              <w:snapToGrid w:val="0"/>
              <w:spacing w:before="120" w:beforeLines="50" w:after="120" w:afterLines="50" w:line="360" w:lineRule="auto"/>
              <w:rPr>
                <w:rFonts w:ascii="宋体" w:hAnsi="宋体" w:cs="宋体"/>
                <w:sz w:val="24"/>
              </w:rPr>
            </w:pPr>
            <w:r>
              <w:rPr>
                <w:rFonts w:hint="eastAsia" w:ascii="宋体" w:hAnsi="宋体" w:cs="宋体"/>
                <w:sz w:val="24"/>
              </w:rPr>
              <w:t>4、监狱企业视同小微企业参加政府采购活动时，应当提供由省级以上监狱管理局、戒毒管理局（含新疆生产建设兵团）出具的属于监狱企业的证明文件，并对所提供证明文件的真实性负责，否则不予认可；</w:t>
            </w:r>
          </w:p>
          <w:p>
            <w:pPr>
              <w:spacing w:line="400" w:lineRule="exact"/>
              <w:rPr>
                <w:rFonts w:ascii="宋体" w:hAnsi="宋体"/>
                <w:b/>
                <w:szCs w:val="21"/>
              </w:rPr>
            </w:pPr>
            <w:r>
              <w:rPr>
                <w:rFonts w:hint="eastAsia" w:ascii="宋体" w:hAnsi="宋体" w:cs="宋体"/>
                <w:sz w:val="24"/>
              </w:rPr>
              <w:t>5、供应商为中小微企业的应符合中小企业划分标准，是指国务院有关部门根据企业从业人员、营业收入、资产总额制定的中小企业划型标准。</w:t>
            </w:r>
          </w:p>
        </w:tc>
      </w:tr>
    </w:tbl>
    <w:p>
      <w:pPr>
        <w:pStyle w:val="55"/>
        <w:jc w:val="center"/>
        <w:rPr>
          <w:rFonts w:ascii="宋体" w:hAnsi="宋体" w:eastAsia="宋体"/>
          <w:b/>
        </w:rPr>
      </w:pPr>
    </w:p>
    <w:p>
      <w:pPr>
        <w:pStyle w:val="55"/>
        <w:spacing w:before="0" w:line="360" w:lineRule="auto"/>
        <w:rPr>
          <w:rFonts w:ascii="宋体" w:hAnsi="宋体" w:eastAsia="宋体"/>
          <w:b/>
          <w:sz w:val="24"/>
        </w:rPr>
      </w:pPr>
      <w:bookmarkStart w:id="597" w:name="_Toc489430522"/>
      <w:bookmarkStart w:id="598" w:name="_Toc489430883"/>
      <w:bookmarkStart w:id="599" w:name="_Toc489430523"/>
      <w:bookmarkStart w:id="600" w:name="_Toc152042377"/>
      <w:bookmarkStart w:id="601" w:name="_Toc144974567"/>
      <w:bookmarkStart w:id="602" w:name="_Toc116314133"/>
      <w:bookmarkStart w:id="603" w:name="_Toc152045600"/>
      <w:bookmarkStart w:id="604" w:name="_Toc4831"/>
      <w:bookmarkStart w:id="605" w:name="_Toc489430882"/>
      <w:r>
        <w:rPr>
          <w:rFonts w:hint="eastAsia" w:ascii="宋体" w:hAnsi="宋体" w:eastAsia="宋体"/>
          <w:b/>
        </w:rPr>
        <w:t>1. 评标方法</w:t>
      </w:r>
      <w:bookmarkEnd w:id="597"/>
      <w:bookmarkEnd w:id="598"/>
      <w:bookmarkEnd w:id="599"/>
      <w:bookmarkEnd w:id="600"/>
      <w:bookmarkEnd w:id="601"/>
      <w:bookmarkEnd w:id="602"/>
      <w:bookmarkEnd w:id="603"/>
      <w:bookmarkEnd w:id="604"/>
      <w:bookmarkEnd w:id="605"/>
    </w:p>
    <w:p>
      <w:pPr>
        <w:spacing w:line="360" w:lineRule="auto"/>
        <w:ind w:firstLine="480" w:firstLineChars="200"/>
        <w:rPr>
          <w:rFonts w:ascii="宋体" w:hAnsi="宋体"/>
          <w:sz w:val="24"/>
        </w:rPr>
      </w:pPr>
      <w:r>
        <w:rPr>
          <w:rFonts w:hint="eastAsia" w:ascii="宋体" w:hAnsi="宋体"/>
          <w:sz w:val="24"/>
        </w:rPr>
        <w:t>本次评标采用综合评估法。评标委员会对满足招标文件实质性要求的投标文件，按照本章第2.2款规定的评分标准进行打分，并按得分由高到低顺序推荐3</w:t>
      </w:r>
      <w:r>
        <w:rPr>
          <w:rFonts w:ascii="宋体" w:hAnsi="宋体"/>
          <w:sz w:val="24"/>
        </w:rPr>
        <w:t>名</w:t>
      </w:r>
      <w:r>
        <w:rPr>
          <w:rFonts w:hint="eastAsia" w:ascii="宋体" w:hAnsi="宋体"/>
          <w:sz w:val="24"/>
        </w:rPr>
        <w:t>中标候选人，投标报价低于其成本的除外。综合评分相等时，以投标报价低的优先；投标报价也相等的，由招标人自行确定。</w:t>
      </w:r>
    </w:p>
    <w:p>
      <w:pPr>
        <w:pStyle w:val="55"/>
        <w:spacing w:line="360" w:lineRule="auto"/>
        <w:rPr>
          <w:rFonts w:ascii="宋体" w:hAnsi="宋体" w:eastAsia="宋体"/>
          <w:b/>
        </w:rPr>
      </w:pPr>
      <w:bookmarkStart w:id="606" w:name="_Toc152045601"/>
      <w:bookmarkStart w:id="607" w:name="_Toc116314134"/>
      <w:bookmarkStart w:id="608" w:name="_Toc18451"/>
      <w:bookmarkStart w:id="609" w:name="_Toc489430524"/>
      <w:bookmarkStart w:id="610" w:name="_Toc144974568"/>
      <w:bookmarkStart w:id="611" w:name="_Toc489430884"/>
      <w:bookmarkStart w:id="612" w:name="_Toc152042378"/>
      <w:r>
        <w:rPr>
          <w:rFonts w:hint="eastAsia" w:ascii="宋体" w:hAnsi="宋体" w:eastAsia="宋体"/>
          <w:b/>
        </w:rPr>
        <w:t>2. 评审标准</w:t>
      </w:r>
      <w:bookmarkEnd w:id="606"/>
      <w:bookmarkEnd w:id="607"/>
      <w:bookmarkEnd w:id="608"/>
      <w:bookmarkEnd w:id="609"/>
      <w:bookmarkEnd w:id="610"/>
      <w:bookmarkEnd w:id="611"/>
      <w:bookmarkEnd w:id="612"/>
    </w:p>
    <w:p>
      <w:pPr>
        <w:pStyle w:val="56"/>
        <w:spacing w:line="360" w:lineRule="auto"/>
        <w:rPr>
          <w:rFonts w:ascii="宋体" w:hAnsi="宋体" w:eastAsia="宋体"/>
          <w:b/>
          <w:szCs w:val="24"/>
        </w:rPr>
      </w:pPr>
      <w:bookmarkStart w:id="613" w:name="_Toc407219643"/>
      <w:bookmarkStart w:id="614" w:name="_Toc259605289"/>
      <w:bookmarkStart w:id="615" w:name="_Toc427580099"/>
      <w:bookmarkStart w:id="616" w:name="_Toc5778"/>
      <w:bookmarkStart w:id="617" w:name="_Toc152045602"/>
      <w:bookmarkStart w:id="618" w:name="_Toc427583712"/>
      <w:bookmarkStart w:id="619" w:name="_Toc475691352"/>
      <w:bookmarkStart w:id="620" w:name="_Toc144974569"/>
      <w:bookmarkStart w:id="621" w:name="_Toc489430525"/>
      <w:bookmarkStart w:id="622" w:name="_Toc489430885"/>
      <w:bookmarkStart w:id="623" w:name="_Toc152042379"/>
      <w:bookmarkStart w:id="624" w:name="_Toc116314135"/>
      <w:r>
        <w:rPr>
          <w:rFonts w:hint="eastAsia" w:ascii="宋体" w:hAnsi="宋体" w:eastAsia="宋体"/>
          <w:b/>
          <w:szCs w:val="24"/>
        </w:rPr>
        <w:t>2.1 初步评审标准</w:t>
      </w:r>
      <w:bookmarkEnd w:id="613"/>
      <w:bookmarkEnd w:id="614"/>
      <w:bookmarkEnd w:id="615"/>
      <w:bookmarkEnd w:id="616"/>
      <w:bookmarkEnd w:id="617"/>
      <w:bookmarkEnd w:id="618"/>
      <w:bookmarkEnd w:id="619"/>
      <w:bookmarkEnd w:id="620"/>
      <w:bookmarkEnd w:id="621"/>
      <w:bookmarkEnd w:id="622"/>
      <w:bookmarkEnd w:id="623"/>
      <w:bookmarkEnd w:id="624"/>
    </w:p>
    <w:p>
      <w:pPr>
        <w:spacing w:line="360" w:lineRule="auto"/>
        <w:ind w:firstLine="480" w:firstLineChars="200"/>
        <w:rPr>
          <w:rFonts w:ascii="宋体" w:hAnsi="宋体"/>
          <w:sz w:val="24"/>
        </w:rPr>
      </w:pPr>
      <w:r>
        <w:rPr>
          <w:rFonts w:hint="eastAsia" w:ascii="宋体" w:hAnsi="宋体"/>
          <w:sz w:val="24"/>
        </w:rPr>
        <w:t>2.1.1 形式评审标准：见评标办法前附表。</w:t>
      </w:r>
    </w:p>
    <w:p>
      <w:pPr>
        <w:spacing w:line="360" w:lineRule="auto"/>
        <w:ind w:firstLine="480" w:firstLineChars="200"/>
        <w:rPr>
          <w:rFonts w:ascii="宋体" w:hAnsi="宋体"/>
          <w:sz w:val="24"/>
        </w:rPr>
      </w:pPr>
      <w:r>
        <w:rPr>
          <w:rFonts w:hint="eastAsia" w:ascii="宋体" w:hAnsi="宋体"/>
          <w:sz w:val="24"/>
        </w:rPr>
        <w:t>2.1.2 资格评审标准：见评标办法前附表。</w:t>
      </w:r>
    </w:p>
    <w:p>
      <w:pPr>
        <w:spacing w:line="360" w:lineRule="auto"/>
        <w:ind w:firstLine="480" w:firstLineChars="200"/>
        <w:rPr>
          <w:rFonts w:ascii="宋体" w:hAnsi="宋体"/>
          <w:sz w:val="24"/>
        </w:rPr>
      </w:pPr>
      <w:r>
        <w:rPr>
          <w:rFonts w:hint="eastAsia" w:ascii="宋体" w:hAnsi="宋体"/>
          <w:sz w:val="24"/>
        </w:rPr>
        <w:t>2.1.3 响应性评审标准：见评标办法前附表。</w:t>
      </w:r>
    </w:p>
    <w:p>
      <w:pPr>
        <w:pStyle w:val="56"/>
        <w:spacing w:line="360" w:lineRule="auto"/>
        <w:rPr>
          <w:rFonts w:ascii="宋体" w:hAnsi="宋体" w:eastAsia="宋体"/>
          <w:b/>
          <w:szCs w:val="24"/>
        </w:rPr>
      </w:pPr>
      <w:bookmarkStart w:id="625" w:name="_Toc427583713"/>
      <w:bookmarkStart w:id="626" w:name="_Toc17330"/>
      <w:bookmarkStart w:id="627" w:name="_Toc489430526"/>
      <w:bookmarkStart w:id="628" w:name="_Toc116314136"/>
      <w:bookmarkStart w:id="629" w:name="_Toc475691353"/>
      <w:bookmarkStart w:id="630" w:name="_Toc489430886"/>
      <w:bookmarkStart w:id="631" w:name="_Toc427580100"/>
      <w:bookmarkStart w:id="632" w:name="_Toc152042380"/>
      <w:bookmarkStart w:id="633" w:name="_Toc259605290"/>
      <w:bookmarkStart w:id="634" w:name="_Toc407219644"/>
      <w:bookmarkStart w:id="635" w:name="_Toc152045603"/>
      <w:bookmarkStart w:id="636" w:name="_Toc144974570"/>
      <w:r>
        <w:rPr>
          <w:rFonts w:hint="eastAsia" w:ascii="宋体" w:hAnsi="宋体" w:eastAsia="宋体"/>
          <w:b/>
          <w:szCs w:val="24"/>
        </w:rPr>
        <w:t>2.2 分值构成与评分标准</w:t>
      </w:r>
      <w:bookmarkEnd w:id="625"/>
      <w:bookmarkEnd w:id="626"/>
      <w:bookmarkEnd w:id="627"/>
      <w:bookmarkEnd w:id="628"/>
      <w:bookmarkEnd w:id="629"/>
      <w:bookmarkEnd w:id="630"/>
      <w:bookmarkEnd w:id="631"/>
      <w:bookmarkEnd w:id="632"/>
      <w:bookmarkEnd w:id="633"/>
      <w:bookmarkEnd w:id="634"/>
      <w:bookmarkEnd w:id="635"/>
      <w:bookmarkEnd w:id="636"/>
    </w:p>
    <w:p>
      <w:pPr>
        <w:spacing w:line="440" w:lineRule="exact"/>
        <w:ind w:firstLine="480" w:firstLineChars="200"/>
        <w:rPr>
          <w:rFonts w:ascii="宋体" w:hAnsi="宋体"/>
          <w:sz w:val="24"/>
        </w:rPr>
      </w:pPr>
      <w:r>
        <w:rPr>
          <w:rFonts w:hint="eastAsia" w:ascii="宋体" w:hAnsi="宋体"/>
          <w:sz w:val="24"/>
        </w:rPr>
        <w:t>2.2.1 分值构成</w:t>
      </w:r>
    </w:p>
    <w:p>
      <w:pPr>
        <w:spacing w:line="440" w:lineRule="exact"/>
        <w:ind w:firstLine="820" w:firstLineChars="342"/>
        <w:rPr>
          <w:rFonts w:ascii="宋体" w:hAnsi="宋体"/>
          <w:sz w:val="24"/>
        </w:rPr>
      </w:pPr>
      <w:r>
        <w:rPr>
          <w:rFonts w:hint="eastAsia" w:ascii="宋体" w:hAnsi="宋体"/>
          <w:sz w:val="24"/>
        </w:rPr>
        <w:t>（1）监理大纲：见评标办法前附表；</w:t>
      </w:r>
    </w:p>
    <w:p>
      <w:pPr>
        <w:spacing w:line="440" w:lineRule="exact"/>
        <w:ind w:firstLine="820" w:firstLineChars="342"/>
        <w:rPr>
          <w:rFonts w:ascii="宋体" w:hAnsi="宋体"/>
          <w:sz w:val="24"/>
        </w:rPr>
      </w:pPr>
      <w:r>
        <w:rPr>
          <w:rFonts w:hint="eastAsia" w:ascii="宋体" w:hAnsi="宋体"/>
          <w:sz w:val="24"/>
        </w:rPr>
        <w:t>（2）综合标：见评标办法前附表；</w:t>
      </w:r>
    </w:p>
    <w:p>
      <w:pPr>
        <w:spacing w:line="440" w:lineRule="exact"/>
        <w:ind w:firstLine="820" w:firstLineChars="342"/>
        <w:rPr>
          <w:rFonts w:ascii="宋体" w:hAnsi="宋体"/>
          <w:sz w:val="24"/>
        </w:rPr>
      </w:pPr>
      <w:r>
        <w:rPr>
          <w:rFonts w:hint="eastAsia" w:ascii="宋体" w:hAnsi="宋体"/>
          <w:sz w:val="24"/>
        </w:rPr>
        <w:t>（3）商务标：见评标办法前附表；</w:t>
      </w:r>
    </w:p>
    <w:p>
      <w:pPr>
        <w:spacing w:line="440" w:lineRule="exact"/>
        <w:ind w:firstLine="480" w:firstLineChars="200"/>
        <w:rPr>
          <w:rFonts w:ascii="宋体" w:hAnsi="宋体"/>
          <w:sz w:val="24"/>
        </w:rPr>
      </w:pPr>
      <w:r>
        <w:rPr>
          <w:rFonts w:hint="eastAsia" w:ascii="宋体" w:hAnsi="宋体"/>
          <w:sz w:val="24"/>
        </w:rPr>
        <w:t>2.2.2 评标基准值计算</w:t>
      </w:r>
    </w:p>
    <w:p>
      <w:pPr>
        <w:spacing w:line="440" w:lineRule="exact"/>
        <w:ind w:firstLine="960" w:firstLineChars="400"/>
        <w:rPr>
          <w:rFonts w:ascii="宋体" w:hAnsi="宋体"/>
          <w:sz w:val="24"/>
        </w:rPr>
      </w:pPr>
      <w:r>
        <w:rPr>
          <w:rFonts w:hint="eastAsia" w:ascii="宋体" w:hAnsi="宋体"/>
          <w:sz w:val="24"/>
        </w:rPr>
        <w:t>评标基准值计算方法：见评标办法前附表。</w:t>
      </w:r>
    </w:p>
    <w:p>
      <w:pPr>
        <w:spacing w:line="440" w:lineRule="exact"/>
        <w:ind w:firstLine="480" w:firstLineChars="200"/>
        <w:rPr>
          <w:rFonts w:ascii="宋体" w:hAnsi="宋体"/>
          <w:sz w:val="24"/>
        </w:rPr>
      </w:pPr>
      <w:r>
        <w:rPr>
          <w:rFonts w:hint="eastAsia" w:ascii="宋体" w:hAnsi="宋体"/>
          <w:sz w:val="24"/>
        </w:rPr>
        <w:t>2.2.3评分标准</w:t>
      </w:r>
    </w:p>
    <w:p>
      <w:pPr>
        <w:spacing w:line="440" w:lineRule="exact"/>
        <w:ind w:firstLine="820" w:firstLineChars="342"/>
        <w:rPr>
          <w:rFonts w:ascii="宋体" w:hAnsi="宋体"/>
          <w:sz w:val="24"/>
        </w:rPr>
      </w:pPr>
      <w:bookmarkStart w:id="637" w:name="_Toc152045604"/>
      <w:bookmarkStart w:id="638" w:name="_Toc489430887"/>
      <w:bookmarkStart w:id="639" w:name="_Toc152042381"/>
      <w:bookmarkStart w:id="640" w:name="_Toc489430527"/>
      <w:bookmarkStart w:id="641" w:name="_Toc2476"/>
      <w:bookmarkStart w:id="642" w:name="_Toc144974571"/>
      <w:r>
        <w:rPr>
          <w:rFonts w:hint="eastAsia" w:ascii="宋体" w:hAnsi="宋体"/>
          <w:sz w:val="24"/>
        </w:rPr>
        <w:t>（1）监理大纲：见评标办法前附表；</w:t>
      </w:r>
    </w:p>
    <w:p>
      <w:pPr>
        <w:spacing w:line="440" w:lineRule="exact"/>
        <w:ind w:firstLine="820" w:firstLineChars="342"/>
        <w:rPr>
          <w:rFonts w:ascii="宋体" w:hAnsi="宋体"/>
          <w:sz w:val="24"/>
        </w:rPr>
      </w:pPr>
      <w:r>
        <w:rPr>
          <w:rFonts w:hint="eastAsia" w:ascii="宋体" w:hAnsi="宋体"/>
          <w:sz w:val="24"/>
        </w:rPr>
        <w:t>（2）综合标：见评标办法前附表；</w:t>
      </w:r>
    </w:p>
    <w:p>
      <w:pPr>
        <w:spacing w:line="440" w:lineRule="exact"/>
        <w:ind w:firstLine="820" w:firstLineChars="342"/>
        <w:rPr>
          <w:rFonts w:ascii="宋体" w:hAnsi="宋体"/>
          <w:sz w:val="24"/>
        </w:rPr>
      </w:pPr>
      <w:r>
        <w:rPr>
          <w:rFonts w:hint="eastAsia" w:ascii="宋体" w:hAnsi="宋体"/>
          <w:sz w:val="24"/>
        </w:rPr>
        <w:t>（3）商务标：见评标办法前附表；</w:t>
      </w:r>
    </w:p>
    <w:p>
      <w:pPr>
        <w:pStyle w:val="55"/>
        <w:spacing w:line="360" w:lineRule="auto"/>
        <w:rPr>
          <w:rFonts w:ascii="宋体" w:hAnsi="宋体" w:eastAsia="宋体"/>
          <w:b/>
        </w:rPr>
      </w:pPr>
      <w:bookmarkStart w:id="643" w:name="_Toc116314137"/>
      <w:r>
        <w:rPr>
          <w:rFonts w:hint="eastAsia" w:ascii="宋体" w:hAnsi="宋体" w:eastAsia="宋体"/>
          <w:b/>
        </w:rPr>
        <w:t>3. 评标程序</w:t>
      </w:r>
      <w:bookmarkEnd w:id="637"/>
      <w:bookmarkEnd w:id="638"/>
      <w:bookmarkEnd w:id="639"/>
      <w:bookmarkEnd w:id="640"/>
      <w:bookmarkEnd w:id="641"/>
      <w:bookmarkEnd w:id="642"/>
      <w:bookmarkEnd w:id="643"/>
    </w:p>
    <w:p>
      <w:pPr>
        <w:pStyle w:val="56"/>
        <w:spacing w:line="360" w:lineRule="auto"/>
        <w:rPr>
          <w:rFonts w:ascii="宋体" w:hAnsi="宋体" w:eastAsia="宋体"/>
          <w:b/>
          <w:szCs w:val="24"/>
        </w:rPr>
      </w:pPr>
      <w:bookmarkStart w:id="644" w:name="_Toc475691355"/>
      <w:bookmarkStart w:id="645" w:name="_Toc144974572"/>
      <w:bookmarkStart w:id="646" w:name="_Toc489430888"/>
      <w:bookmarkStart w:id="647" w:name="_Toc152042382"/>
      <w:bookmarkStart w:id="648" w:name="_Toc116314138"/>
      <w:bookmarkStart w:id="649" w:name="_Toc427580102"/>
      <w:bookmarkStart w:id="650" w:name="_Toc407219646"/>
      <w:bookmarkStart w:id="651" w:name="_Toc259605292"/>
      <w:bookmarkStart w:id="652" w:name="_Toc427583715"/>
      <w:bookmarkStart w:id="653" w:name="_Toc18970"/>
      <w:bookmarkStart w:id="654" w:name="_Toc489430528"/>
      <w:bookmarkStart w:id="655" w:name="_Toc152045605"/>
      <w:r>
        <w:rPr>
          <w:rFonts w:hint="eastAsia" w:ascii="宋体" w:hAnsi="宋体" w:eastAsia="宋体"/>
          <w:b/>
          <w:szCs w:val="24"/>
        </w:rPr>
        <w:t>3.1 初步评审</w:t>
      </w:r>
      <w:bookmarkEnd w:id="644"/>
      <w:bookmarkEnd w:id="645"/>
      <w:bookmarkEnd w:id="646"/>
      <w:bookmarkEnd w:id="647"/>
      <w:bookmarkEnd w:id="648"/>
      <w:bookmarkEnd w:id="649"/>
      <w:bookmarkEnd w:id="650"/>
      <w:bookmarkEnd w:id="651"/>
      <w:bookmarkEnd w:id="652"/>
      <w:bookmarkEnd w:id="653"/>
      <w:bookmarkEnd w:id="654"/>
      <w:bookmarkEnd w:id="655"/>
    </w:p>
    <w:p>
      <w:pPr>
        <w:spacing w:line="360" w:lineRule="auto"/>
        <w:ind w:firstLine="480" w:firstLineChars="200"/>
        <w:rPr>
          <w:rFonts w:ascii="宋体" w:hAnsi="宋体"/>
          <w:sz w:val="24"/>
        </w:rPr>
      </w:pPr>
      <w:r>
        <w:rPr>
          <w:rFonts w:hint="eastAsia" w:ascii="宋体" w:hAnsi="宋体"/>
          <w:sz w:val="24"/>
        </w:rPr>
        <w:t>3.1.1评标委员会依据本章第2.1款规定的标准对投标文件进行初步评审，有一项不符合评审标准的，其投标将被否决。</w:t>
      </w:r>
    </w:p>
    <w:p>
      <w:pPr>
        <w:spacing w:line="360" w:lineRule="auto"/>
        <w:ind w:firstLine="480" w:firstLineChars="200"/>
        <w:rPr>
          <w:rFonts w:ascii="宋体" w:hAnsi="宋体"/>
          <w:sz w:val="24"/>
        </w:rPr>
      </w:pPr>
      <w:r>
        <w:rPr>
          <w:rFonts w:hint="eastAsia" w:ascii="宋体" w:hAnsi="宋体"/>
          <w:sz w:val="24"/>
        </w:rPr>
        <w:t>3.1.2 投标人有以下情形之一的，其投标将被否决：</w:t>
      </w:r>
    </w:p>
    <w:p>
      <w:pPr>
        <w:spacing w:line="360" w:lineRule="auto"/>
        <w:ind w:firstLine="820" w:firstLineChars="342"/>
        <w:rPr>
          <w:rFonts w:ascii="宋体" w:hAnsi="宋体"/>
          <w:sz w:val="24"/>
        </w:rPr>
      </w:pPr>
      <w:r>
        <w:rPr>
          <w:rFonts w:hint="eastAsia" w:ascii="宋体" w:hAnsi="宋体"/>
          <w:sz w:val="24"/>
        </w:rPr>
        <w:t>（1）第二章“投标人须知”第1.4.3、1.4.4项规定的任何一种情形的；</w:t>
      </w:r>
    </w:p>
    <w:p>
      <w:pPr>
        <w:spacing w:line="360" w:lineRule="auto"/>
        <w:ind w:firstLine="820" w:firstLineChars="342"/>
        <w:rPr>
          <w:rFonts w:ascii="宋体" w:hAnsi="宋体"/>
          <w:sz w:val="24"/>
        </w:rPr>
      </w:pPr>
      <w:r>
        <w:rPr>
          <w:rFonts w:hint="eastAsia" w:ascii="宋体" w:hAnsi="宋体"/>
          <w:sz w:val="24"/>
        </w:rPr>
        <w:t>（2）串通投标或弄虚作假或有其他违法行为的；</w:t>
      </w:r>
    </w:p>
    <w:p>
      <w:pPr>
        <w:spacing w:line="360" w:lineRule="auto"/>
        <w:ind w:firstLine="820" w:firstLineChars="342"/>
        <w:rPr>
          <w:rFonts w:ascii="宋体" w:hAnsi="宋体"/>
          <w:sz w:val="24"/>
        </w:rPr>
      </w:pPr>
      <w:r>
        <w:rPr>
          <w:rFonts w:hint="eastAsia" w:ascii="宋体" w:hAnsi="宋体"/>
          <w:sz w:val="24"/>
        </w:rPr>
        <w:t>（3）不按评标委员会要求澄清、说明或补正的。</w:t>
      </w:r>
    </w:p>
    <w:p>
      <w:pPr>
        <w:spacing w:line="360" w:lineRule="auto"/>
        <w:ind w:firstLine="480" w:firstLineChars="200"/>
        <w:rPr>
          <w:rFonts w:ascii="宋体" w:hAnsi="宋体"/>
          <w:sz w:val="24"/>
        </w:rPr>
      </w:pPr>
      <w:r>
        <w:rPr>
          <w:rFonts w:hint="eastAsia" w:ascii="宋体" w:hAnsi="宋体"/>
          <w:sz w:val="24"/>
        </w:rPr>
        <w:t>3.1.3投标报价有算术错误的，评标委员会按以下原则对投标报价进行修正，修正的价格经投标人书面确认后具有约束力。投标人不接受修正价格的，其投标将被否决。</w:t>
      </w:r>
    </w:p>
    <w:p>
      <w:pPr>
        <w:spacing w:line="360" w:lineRule="auto"/>
        <w:ind w:firstLine="820" w:firstLineChars="342"/>
        <w:rPr>
          <w:rFonts w:ascii="宋体" w:hAnsi="宋体"/>
          <w:sz w:val="24"/>
        </w:rPr>
      </w:pPr>
      <w:bookmarkStart w:id="656" w:name="_Toc152042383"/>
      <w:r>
        <w:rPr>
          <w:rFonts w:hint="eastAsia" w:ascii="宋体" w:hAnsi="宋体"/>
          <w:sz w:val="24"/>
        </w:rPr>
        <w:t>（1）投标文件中的大写金额与小写金额不一致的，以大写金额为准；</w:t>
      </w:r>
      <w:bookmarkEnd w:id="656"/>
    </w:p>
    <w:p>
      <w:pPr>
        <w:spacing w:line="360" w:lineRule="auto"/>
        <w:ind w:firstLine="820" w:firstLineChars="342"/>
        <w:rPr>
          <w:rFonts w:ascii="宋体" w:hAnsi="宋体"/>
          <w:sz w:val="24"/>
        </w:rPr>
      </w:pPr>
      <w:r>
        <w:rPr>
          <w:rFonts w:hint="eastAsia" w:ascii="宋体" w:hAnsi="宋体"/>
          <w:sz w:val="24"/>
        </w:rPr>
        <w:t>（2）总价金额与依据单价计算出的结果不一致的，以单价金额为准修正总价，但单价金额小数点有明显错误的除外。</w:t>
      </w:r>
    </w:p>
    <w:p>
      <w:pPr>
        <w:pStyle w:val="56"/>
        <w:spacing w:line="360" w:lineRule="auto"/>
        <w:rPr>
          <w:rFonts w:ascii="宋体" w:hAnsi="宋体" w:eastAsia="宋体"/>
          <w:b/>
          <w:szCs w:val="24"/>
        </w:rPr>
      </w:pPr>
      <w:bookmarkStart w:id="657" w:name="_Toc407219647"/>
      <w:bookmarkStart w:id="658" w:name="_Toc489430889"/>
      <w:bookmarkStart w:id="659" w:name="_Toc489430529"/>
      <w:bookmarkStart w:id="660" w:name="_Toc427583716"/>
      <w:bookmarkStart w:id="661" w:name="_Toc8811"/>
      <w:bookmarkStart w:id="662" w:name="_Toc144974573"/>
      <w:bookmarkStart w:id="663" w:name="_Toc116314139"/>
      <w:bookmarkStart w:id="664" w:name="_Toc427580103"/>
      <w:bookmarkStart w:id="665" w:name="_Toc152042384"/>
      <w:bookmarkStart w:id="666" w:name="_Toc475691356"/>
      <w:bookmarkStart w:id="667" w:name="_Toc152045606"/>
      <w:bookmarkStart w:id="668" w:name="_Toc259605293"/>
      <w:r>
        <w:rPr>
          <w:rFonts w:hint="eastAsia" w:ascii="宋体" w:hAnsi="宋体" w:eastAsia="宋体"/>
          <w:b/>
          <w:szCs w:val="24"/>
        </w:rPr>
        <w:t>3.2 详细评审</w:t>
      </w:r>
      <w:bookmarkEnd w:id="657"/>
      <w:bookmarkEnd w:id="658"/>
      <w:bookmarkEnd w:id="659"/>
      <w:bookmarkEnd w:id="660"/>
      <w:bookmarkEnd w:id="661"/>
      <w:bookmarkEnd w:id="662"/>
      <w:bookmarkEnd w:id="663"/>
      <w:bookmarkEnd w:id="664"/>
      <w:bookmarkEnd w:id="665"/>
      <w:bookmarkEnd w:id="666"/>
      <w:bookmarkEnd w:id="667"/>
      <w:bookmarkEnd w:id="668"/>
    </w:p>
    <w:p>
      <w:pPr>
        <w:spacing w:line="360" w:lineRule="auto"/>
        <w:ind w:firstLine="480" w:firstLineChars="200"/>
        <w:rPr>
          <w:rFonts w:ascii="宋体" w:hAnsi="宋体"/>
          <w:sz w:val="24"/>
        </w:rPr>
      </w:pPr>
      <w:r>
        <w:rPr>
          <w:rFonts w:hint="eastAsia" w:ascii="宋体" w:hAnsi="宋体"/>
          <w:sz w:val="24"/>
        </w:rPr>
        <w:t>3.2.1 评标委员会按本章第2.2款规定的量化因素和分值进行打分，并计算出综合评估得分。</w:t>
      </w:r>
    </w:p>
    <w:p>
      <w:pPr>
        <w:spacing w:line="360" w:lineRule="auto"/>
        <w:ind w:firstLine="820" w:firstLineChars="342"/>
        <w:rPr>
          <w:rFonts w:ascii="宋体" w:hAnsi="宋体"/>
          <w:sz w:val="24"/>
        </w:rPr>
      </w:pPr>
      <w:r>
        <w:rPr>
          <w:rFonts w:hint="eastAsia" w:ascii="宋体" w:hAnsi="宋体"/>
          <w:sz w:val="24"/>
        </w:rPr>
        <w:t>（1）按本章第2.2.3目规定的评审因素和分值计算出得分A；</w:t>
      </w:r>
    </w:p>
    <w:p>
      <w:pPr>
        <w:spacing w:line="360" w:lineRule="auto"/>
        <w:ind w:firstLine="820" w:firstLineChars="342"/>
        <w:rPr>
          <w:rFonts w:ascii="宋体" w:hAnsi="宋体"/>
          <w:sz w:val="24"/>
        </w:rPr>
      </w:pPr>
      <w:r>
        <w:rPr>
          <w:rFonts w:hint="eastAsia" w:ascii="宋体" w:hAnsi="宋体"/>
          <w:sz w:val="24"/>
        </w:rPr>
        <w:t>（2）按本章第2.2.4（1）目规定的评审因素和分值计算出得分B；</w:t>
      </w:r>
    </w:p>
    <w:p>
      <w:pPr>
        <w:spacing w:line="360" w:lineRule="auto"/>
        <w:ind w:firstLine="820" w:firstLineChars="342"/>
        <w:rPr>
          <w:rFonts w:ascii="宋体" w:hAnsi="宋体"/>
          <w:sz w:val="24"/>
        </w:rPr>
      </w:pPr>
      <w:r>
        <w:rPr>
          <w:rFonts w:hint="eastAsia" w:ascii="宋体" w:hAnsi="宋体"/>
          <w:sz w:val="24"/>
        </w:rPr>
        <w:t>（3）按本章第2.2.4（2）目规定的评审因素和分值计算出得分C；</w:t>
      </w:r>
    </w:p>
    <w:p>
      <w:pPr>
        <w:spacing w:line="360" w:lineRule="auto"/>
        <w:ind w:firstLine="480" w:firstLineChars="200"/>
        <w:rPr>
          <w:rFonts w:ascii="宋体" w:hAnsi="宋体"/>
          <w:sz w:val="24"/>
        </w:rPr>
      </w:pPr>
      <w:r>
        <w:rPr>
          <w:rFonts w:hint="eastAsia" w:ascii="宋体" w:hAnsi="宋体"/>
          <w:sz w:val="24"/>
        </w:rPr>
        <w:t>3.2.2 评分分值计算保留小数点后两位，小数点后第三位“四舍五入”。</w:t>
      </w:r>
    </w:p>
    <w:p>
      <w:pPr>
        <w:spacing w:line="360" w:lineRule="auto"/>
        <w:ind w:firstLine="482" w:firstLineChars="200"/>
        <w:rPr>
          <w:rFonts w:ascii="宋体" w:hAnsi="宋体"/>
          <w:b/>
          <w:bCs/>
          <w:sz w:val="24"/>
        </w:rPr>
      </w:pPr>
      <w:r>
        <w:rPr>
          <w:rFonts w:hint="eastAsia" w:ascii="宋体" w:hAnsi="宋体"/>
          <w:b/>
          <w:bCs/>
          <w:sz w:val="24"/>
        </w:rPr>
        <w:t>3.2.3 投标人得分=A+B+C。</w:t>
      </w:r>
    </w:p>
    <w:p>
      <w:pPr>
        <w:spacing w:line="360" w:lineRule="auto"/>
        <w:ind w:firstLine="480" w:firstLineChars="200"/>
        <w:rPr>
          <w:rFonts w:ascii="宋体" w:hAnsi="宋体"/>
          <w:sz w:val="24"/>
        </w:rPr>
      </w:pPr>
      <w:r>
        <w:rPr>
          <w:rFonts w:hint="eastAsia" w:ascii="宋体" w:hAnsi="宋体"/>
          <w:sz w:val="24"/>
        </w:rPr>
        <w:t>3.2.4投标人最终得分=所有评委汇总之后的算术平均值。</w:t>
      </w:r>
    </w:p>
    <w:p>
      <w:pPr>
        <w:spacing w:line="360" w:lineRule="auto"/>
        <w:ind w:firstLine="480" w:firstLineChars="200"/>
        <w:rPr>
          <w:rFonts w:ascii="宋体" w:hAnsi="宋体"/>
          <w:sz w:val="24"/>
        </w:rPr>
      </w:pPr>
      <w:r>
        <w:rPr>
          <w:rFonts w:hint="eastAsia" w:ascii="宋体" w:hAnsi="宋体"/>
          <w:sz w:val="24"/>
        </w:rPr>
        <w:t>3.2.5 评标委员会发现投标人的投标报价明显低于其他投标报价，应当要求该投标人作出书面说明并提供相应的证明材料。投标人不能合理说明或者不能提供相应证明材料的，由评标委员会认定该投标人以低于成本报价竞标，其投标将被否决。</w:t>
      </w:r>
    </w:p>
    <w:p>
      <w:pPr>
        <w:pStyle w:val="56"/>
        <w:spacing w:line="360" w:lineRule="auto"/>
        <w:rPr>
          <w:rFonts w:ascii="宋体" w:hAnsi="宋体" w:eastAsia="宋体"/>
          <w:szCs w:val="24"/>
        </w:rPr>
      </w:pPr>
      <w:bookmarkStart w:id="669" w:name="_Toc427583717"/>
      <w:bookmarkStart w:id="670" w:name="_Toc116314140"/>
      <w:bookmarkStart w:id="671" w:name="_Toc427580104"/>
      <w:bookmarkStart w:id="672" w:name="_Toc489430530"/>
      <w:bookmarkStart w:id="673" w:name="_Toc489430890"/>
      <w:bookmarkStart w:id="674" w:name="_Toc6807"/>
      <w:bookmarkStart w:id="675" w:name="_Toc475691357"/>
      <w:r>
        <w:rPr>
          <w:rFonts w:hint="eastAsia" w:ascii="宋体" w:hAnsi="宋体" w:eastAsia="宋体"/>
          <w:szCs w:val="24"/>
        </w:rPr>
        <w:t>3.3 记名投票</w:t>
      </w:r>
      <w:bookmarkEnd w:id="669"/>
      <w:bookmarkEnd w:id="670"/>
      <w:bookmarkEnd w:id="671"/>
      <w:bookmarkEnd w:id="672"/>
      <w:bookmarkEnd w:id="673"/>
      <w:bookmarkEnd w:id="674"/>
      <w:bookmarkEnd w:id="675"/>
    </w:p>
    <w:p>
      <w:pPr>
        <w:spacing w:line="360" w:lineRule="auto"/>
        <w:ind w:firstLine="480" w:firstLineChars="200"/>
        <w:rPr>
          <w:rFonts w:ascii="宋体" w:hAnsi="宋体"/>
          <w:sz w:val="24"/>
        </w:rPr>
      </w:pPr>
      <w:r>
        <w:rPr>
          <w:rFonts w:hint="eastAsia" w:ascii="宋体" w:hAnsi="宋体"/>
          <w:sz w:val="24"/>
        </w:rPr>
        <w:t>在任何评标环节中，需评标委员会就某项定性的评审结论做出表决的，由评标委员会全体成员按照少数服从多数的原则，以记名投票方式表决。</w:t>
      </w:r>
    </w:p>
    <w:p>
      <w:pPr>
        <w:pStyle w:val="56"/>
        <w:spacing w:line="360" w:lineRule="auto"/>
        <w:rPr>
          <w:rFonts w:ascii="宋体" w:hAnsi="宋体" w:eastAsia="宋体"/>
          <w:b/>
          <w:szCs w:val="24"/>
        </w:rPr>
      </w:pPr>
      <w:bookmarkStart w:id="676" w:name="_Toc144974575"/>
      <w:bookmarkStart w:id="677" w:name="_Toc489430531"/>
      <w:bookmarkStart w:id="678" w:name="_Toc475691358"/>
      <w:bookmarkStart w:id="679" w:name="_Toc116314141"/>
      <w:bookmarkStart w:id="680" w:name="_Toc427580105"/>
      <w:bookmarkStart w:id="681" w:name="_Toc1252"/>
      <w:bookmarkStart w:id="682" w:name="_Toc152045607"/>
      <w:bookmarkStart w:id="683" w:name="_Toc427583718"/>
      <w:bookmarkStart w:id="684" w:name="_Toc152042385"/>
      <w:bookmarkStart w:id="685" w:name="_Toc407219648"/>
      <w:bookmarkStart w:id="686" w:name="_Toc489430891"/>
      <w:bookmarkStart w:id="687" w:name="_Toc259605294"/>
      <w:r>
        <w:rPr>
          <w:rFonts w:hint="eastAsia" w:ascii="宋体" w:hAnsi="宋体" w:eastAsia="宋体"/>
          <w:b/>
          <w:szCs w:val="24"/>
        </w:rPr>
        <w:t>3.4 投标文件的澄清</w:t>
      </w:r>
      <w:bookmarkEnd w:id="676"/>
      <w:r>
        <w:rPr>
          <w:rFonts w:hint="eastAsia" w:ascii="宋体" w:hAnsi="宋体" w:eastAsia="宋体"/>
          <w:b/>
          <w:szCs w:val="24"/>
        </w:rPr>
        <w:t>和补正</w:t>
      </w:r>
      <w:bookmarkEnd w:id="677"/>
      <w:bookmarkEnd w:id="678"/>
      <w:bookmarkEnd w:id="679"/>
      <w:bookmarkEnd w:id="680"/>
      <w:bookmarkEnd w:id="681"/>
      <w:bookmarkEnd w:id="682"/>
      <w:bookmarkEnd w:id="683"/>
      <w:bookmarkEnd w:id="684"/>
      <w:bookmarkEnd w:id="685"/>
      <w:bookmarkEnd w:id="686"/>
      <w:bookmarkEnd w:id="687"/>
    </w:p>
    <w:p>
      <w:pPr>
        <w:spacing w:line="360" w:lineRule="auto"/>
        <w:ind w:firstLine="480" w:firstLineChars="200"/>
        <w:rPr>
          <w:rFonts w:ascii="宋体" w:hAnsi="宋体"/>
          <w:sz w:val="24"/>
        </w:rPr>
      </w:pPr>
      <w:r>
        <w:rPr>
          <w:rFonts w:hint="eastAsia" w:ascii="宋体" w:hAnsi="宋体"/>
          <w:sz w:val="24"/>
        </w:rPr>
        <w:t>3.4.1在评标过程中，评标委员会可以在电子投标系统中要求投标人对所提交投标文件中不明确的内容进行澄清或说明，或者对细微偏差进行补正。评标委员会不接受投标人主动提出的澄清、说明或补正。</w:t>
      </w:r>
    </w:p>
    <w:p>
      <w:pPr>
        <w:spacing w:line="360" w:lineRule="auto"/>
        <w:ind w:firstLine="480" w:firstLineChars="200"/>
        <w:rPr>
          <w:rFonts w:ascii="宋体" w:hAnsi="宋体"/>
          <w:sz w:val="24"/>
        </w:rPr>
      </w:pPr>
      <w:r>
        <w:rPr>
          <w:rFonts w:hint="eastAsia" w:ascii="宋体" w:hAnsi="宋体"/>
          <w:sz w:val="24"/>
        </w:rPr>
        <w:t>3.4.2 澄清、说明和补正不得改变投标文件的实质性内容（算术性错误修正的除外）。投标人的书面澄清、说明和补正属于投标文件的组成部分。</w:t>
      </w:r>
    </w:p>
    <w:p>
      <w:pPr>
        <w:spacing w:line="360" w:lineRule="auto"/>
        <w:ind w:firstLine="480" w:firstLineChars="200"/>
        <w:rPr>
          <w:rFonts w:ascii="宋体" w:hAnsi="宋体"/>
          <w:sz w:val="24"/>
        </w:rPr>
      </w:pPr>
      <w:r>
        <w:rPr>
          <w:rFonts w:hint="eastAsia" w:ascii="宋体" w:hAnsi="宋体"/>
          <w:sz w:val="24"/>
        </w:rPr>
        <w:t>3.4.3 评标委员会对投标人提交的澄清、说明或补正有疑问的，可以要求投标人进一步澄清、说明或补正，直至满足评标委员会的要求。</w:t>
      </w:r>
    </w:p>
    <w:p>
      <w:pPr>
        <w:pStyle w:val="56"/>
        <w:spacing w:line="360" w:lineRule="auto"/>
        <w:rPr>
          <w:rFonts w:ascii="宋体" w:hAnsi="宋体" w:eastAsia="宋体"/>
          <w:b/>
          <w:szCs w:val="24"/>
        </w:rPr>
      </w:pPr>
      <w:bookmarkStart w:id="688" w:name="_Toc144974576"/>
      <w:bookmarkStart w:id="689" w:name="_Toc407219649"/>
      <w:bookmarkStart w:id="690" w:name="_Toc475691359"/>
      <w:bookmarkStart w:id="691" w:name="_Toc152042386"/>
      <w:bookmarkStart w:id="692" w:name="_Toc152045608"/>
      <w:bookmarkStart w:id="693" w:name="_Toc489430532"/>
      <w:bookmarkStart w:id="694" w:name="_Toc489430892"/>
      <w:bookmarkStart w:id="695" w:name="_Toc427580106"/>
      <w:bookmarkStart w:id="696" w:name="_Toc259605295"/>
      <w:bookmarkStart w:id="697" w:name="_Toc116314142"/>
      <w:bookmarkStart w:id="698" w:name="_Toc2812"/>
      <w:bookmarkStart w:id="699" w:name="_Toc427583719"/>
      <w:r>
        <w:rPr>
          <w:rFonts w:hint="eastAsia" w:ascii="宋体" w:hAnsi="宋体" w:eastAsia="宋体"/>
          <w:b/>
          <w:szCs w:val="24"/>
        </w:rPr>
        <w:t>3.5 评标结果</w:t>
      </w:r>
      <w:bookmarkEnd w:id="688"/>
      <w:bookmarkEnd w:id="689"/>
      <w:bookmarkEnd w:id="690"/>
      <w:bookmarkEnd w:id="691"/>
      <w:bookmarkEnd w:id="692"/>
      <w:bookmarkEnd w:id="693"/>
      <w:bookmarkEnd w:id="694"/>
      <w:bookmarkEnd w:id="695"/>
      <w:bookmarkEnd w:id="696"/>
      <w:bookmarkEnd w:id="697"/>
      <w:bookmarkEnd w:id="698"/>
      <w:bookmarkEnd w:id="699"/>
    </w:p>
    <w:p>
      <w:pPr>
        <w:spacing w:line="360" w:lineRule="auto"/>
        <w:ind w:firstLine="480" w:firstLineChars="200"/>
        <w:rPr>
          <w:rFonts w:ascii="宋体" w:hAnsi="宋体"/>
          <w:sz w:val="24"/>
        </w:rPr>
      </w:pPr>
      <w:r>
        <w:rPr>
          <w:rFonts w:hint="eastAsia" w:ascii="宋体" w:hAnsi="宋体"/>
          <w:sz w:val="24"/>
        </w:rPr>
        <w:t>3.5.1除第二章“投标人须知”前附表授权直接确定中标人外，评标委员会按照得分由高到低的顺序推荐3名中标候选人。</w:t>
      </w:r>
    </w:p>
    <w:p>
      <w:pPr>
        <w:spacing w:line="360" w:lineRule="auto"/>
        <w:ind w:firstLine="480" w:firstLineChars="200"/>
        <w:rPr>
          <w:rFonts w:ascii="宋体" w:hAnsi="宋体"/>
          <w:sz w:val="24"/>
        </w:rPr>
      </w:pPr>
      <w:r>
        <w:rPr>
          <w:rFonts w:hint="eastAsia" w:ascii="宋体" w:hAnsi="宋体"/>
          <w:sz w:val="24"/>
        </w:rPr>
        <w:t>3.5.2 评标委员会完成评标后，应当向招标人提交评标报告。</w:t>
      </w:r>
    </w:p>
    <w:p>
      <w:pPr>
        <w:pStyle w:val="2"/>
        <w:pageBreakBefore/>
        <w:spacing w:before="120" w:after="120" w:line="400" w:lineRule="exact"/>
        <w:jc w:val="center"/>
        <w:rPr>
          <w:rFonts w:ascii="宋体" w:hAnsi="宋体"/>
          <w:bCs w:val="0"/>
          <w:sz w:val="32"/>
        </w:rPr>
      </w:pPr>
      <w:bookmarkStart w:id="700" w:name="_Toc489430533"/>
      <w:bookmarkStart w:id="701" w:name="_Toc116314143"/>
      <w:bookmarkStart w:id="702" w:name="_Toc12651"/>
      <w:bookmarkStart w:id="703" w:name="_Toc339895779"/>
      <w:bookmarkStart w:id="704" w:name="_Toc489430893"/>
      <w:r>
        <w:rPr>
          <w:rFonts w:hint="eastAsia" w:ascii="宋体" w:hAnsi="宋体"/>
          <w:bCs w:val="0"/>
          <w:sz w:val="32"/>
        </w:rPr>
        <w:t>第四章合同条款及格式</w:t>
      </w:r>
      <w:bookmarkEnd w:id="700"/>
      <w:bookmarkEnd w:id="701"/>
      <w:bookmarkEnd w:id="702"/>
      <w:bookmarkEnd w:id="703"/>
      <w:bookmarkEnd w:id="704"/>
      <w:bookmarkStart w:id="705" w:name="_Toc385317102"/>
    </w:p>
    <w:p>
      <w:pPr>
        <w:pStyle w:val="2"/>
        <w:spacing w:before="120" w:after="120" w:line="400" w:lineRule="exact"/>
        <w:jc w:val="center"/>
        <w:rPr>
          <w:rFonts w:ascii="宋体"/>
          <w:b w:val="0"/>
          <w:bCs w:val="0"/>
          <w:sz w:val="24"/>
          <w:szCs w:val="24"/>
        </w:rPr>
      </w:pPr>
      <w:bookmarkStart w:id="706" w:name="_Toc116314144"/>
      <w:r>
        <w:rPr>
          <w:rFonts w:hint="eastAsia" w:ascii="宋体" w:hAnsi="宋体"/>
          <w:b w:val="0"/>
          <w:bCs w:val="0"/>
          <w:sz w:val="24"/>
          <w:szCs w:val="24"/>
        </w:rPr>
        <w:t>（参考建设工程监理合同示范文本</w:t>
      </w:r>
      <w:r>
        <w:rPr>
          <w:rFonts w:ascii="宋体" w:hAnsi="宋体"/>
          <w:b w:val="0"/>
          <w:bCs w:val="0"/>
          <w:sz w:val="24"/>
          <w:szCs w:val="24"/>
        </w:rPr>
        <w:t>GF</w:t>
      </w:r>
      <w:r>
        <w:rPr>
          <w:rFonts w:hint="eastAsia" w:ascii="宋体" w:hAnsi="宋体"/>
          <w:b w:val="0"/>
          <w:bCs w:val="0"/>
          <w:sz w:val="24"/>
          <w:szCs w:val="24"/>
        </w:rPr>
        <w:t>－</w:t>
      </w:r>
      <w:r>
        <w:rPr>
          <w:rFonts w:ascii="宋体" w:hAnsi="宋体"/>
          <w:b w:val="0"/>
          <w:bCs w:val="0"/>
          <w:sz w:val="24"/>
          <w:szCs w:val="24"/>
        </w:rPr>
        <w:t>2012</w:t>
      </w:r>
      <w:r>
        <w:rPr>
          <w:rFonts w:hint="eastAsia" w:ascii="宋体" w:hAnsi="宋体"/>
          <w:b w:val="0"/>
          <w:bCs w:val="0"/>
          <w:sz w:val="24"/>
          <w:szCs w:val="24"/>
        </w:rPr>
        <w:t>－</w:t>
      </w:r>
      <w:r>
        <w:rPr>
          <w:rFonts w:ascii="宋体" w:hAnsi="宋体"/>
          <w:b w:val="0"/>
          <w:bCs w:val="0"/>
          <w:sz w:val="24"/>
          <w:szCs w:val="24"/>
        </w:rPr>
        <w:t>0202</w:t>
      </w:r>
      <w:r>
        <w:rPr>
          <w:rFonts w:hint="eastAsia" w:ascii="宋体" w:hAnsi="宋体"/>
          <w:b w:val="0"/>
          <w:bCs w:val="0"/>
          <w:sz w:val="24"/>
          <w:szCs w:val="24"/>
        </w:rPr>
        <w:t>及其他有关规定，以实际签订合同为准）</w:t>
      </w:r>
      <w:bookmarkEnd w:id="706"/>
    </w:p>
    <w:p>
      <w:pPr>
        <w:widowControl/>
        <w:jc w:val="center"/>
        <w:rPr>
          <w:rFonts w:ascii="仿宋" w:hAnsi="仿宋" w:eastAsia="仿宋" w:cs="仿宋"/>
          <w:b/>
          <w:kern w:val="0"/>
          <w:sz w:val="43"/>
          <w:szCs w:val="43"/>
        </w:rPr>
      </w:pPr>
      <w:r>
        <w:rPr>
          <w:rFonts w:ascii="仿宋" w:hAnsi="仿宋" w:eastAsia="仿宋" w:cs="仿宋"/>
          <w:b/>
          <w:kern w:val="0"/>
          <w:sz w:val="43"/>
          <w:szCs w:val="43"/>
        </w:rPr>
        <w:t>ＧＦ－2012－0202</w:t>
      </w:r>
    </w:p>
    <w:p>
      <w:pPr>
        <w:widowControl/>
        <w:jc w:val="center"/>
        <w:rPr>
          <w:rFonts w:ascii="宋体" w:hAnsi="宋体" w:cs="宋体"/>
          <w:kern w:val="0"/>
          <w:sz w:val="43"/>
          <w:szCs w:val="43"/>
        </w:rPr>
      </w:pPr>
    </w:p>
    <w:p>
      <w:pPr>
        <w:pStyle w:val="31"/>
        <w:ind w:firstLine="0" w:firstLineChars="0"/>
      </w:pPr>
    </w:p>
    <w:p>
      <w:pPr>
        <w:widowControl/>
        <w:jc w:val="center"/>
        <w:rPr>
          <w:rFonts w:ascii="宋体" w:hAnsi="宋体" w:cs="宋体"/>
          <w:kern w:val="0"/>
          <w:sz w:val="43"/>
          <w:szCs w:val="43"/>
        </w:rPr>
      </w:pPr>
    </w:p>
    <w:p>
      <w:pPr>
        <w:widowControl/>
        <w:jc w:val="center"/>
        <w:rPr>
          <w:rFonts w:ascii="宋体" w:hAnsi="宋体" w:cs="宋体"/>
          <w:b/>
          <w:bCs/>
          <w:kern w:val="0"/>
          <w:sz w:val="43"/>
          <w:szCs w:val="43"/>
        </w:rPr>
      </w:pPr>
    </w:p>
    <w:p>
      <w:pPr>
        <w:widowControl/>
        <w:jc w:val="center"/>
        <w:rPr>
          <w:b/>
          <w:bCs/>
        </w:rPr>
      </w:pPr>
      <w:r>
        <w:rPr>
          <w:rFonts w:hint="eastAsia" w:ascii="宋体" w:hAnsi="宋体" w:cs="宋体"/>
          <w:b/>
          <w:bCs/>
          <w:kern w:val="0"/>
          <w:sz w:val="43"/>
          <w:szCs w:val="43"/>
        </w:rPr>
        <w:t>建设工程监理合同</w:t>
      </w:r>
    </w:p>
    <w:p>
      <w:pPr>
        <w:widowControl/>
        <w:jc w:val="center"/>
        <w:rPr>
          <w:rFonts w:ascii="宋体" w:hAnsi="宋体" w:cs="宋体"/>
          <w:b/>
          <w:bCs/>
          <w:kern w:val="0"/>
          <w:sz w:val="36"/>
          <w:szCs w:val="36"/>
        </w:rPr>
      </w:pPr>
    </w:p>
    <w:p>
      <w:pPr>
        <w:widowControl/>
        <w:jc w:val="center"/>
        <w:rPr>
          <w:rFonts w:ascii="宋体" w:hAnsi="宋体" w:cs="宋体"/>
          <w:b/>
          <w:bCs/>
          <w:kern w:val="0"/>
          <w:sz w:val="36"/>
          <w:szCs w:val="36"/>
        </w:rPr>
      </w:pPr>
    </w:p>
    <w:p>
      <w:pPr>
        <w:widowControl/>
        <w:jc w:val="center"/>
        <w:rPr>
          <w:rFonts w:ascii="宋体" w:hAnsi="宋体" w:cs="宋体"/>
          <w:b/>
          <w:bCs/>
          <w:kern w:val="0"/>
          <w:sz w:val="36"/>
          <w:szCs w:val="36"/>
        </w:rPr>
      </w:pPr>
    </w:p>
    <w:p>
      <w:pPr>
        <w:pStyle w:val="31"/>
        <w:ind w:firstLine="211"/>
        <w:rPr>
          <w:b/>
          <w:bCs/>
        </w:rPr>
      </w:pPr>
    </w:p>
    <w:p>
      <w:pPr>
        <w:widowControl/>
        <w:jc w:val="center"/>
        <w:rPr>
          <w:rFonts w:ascii="宋体" w:hAnsi="宋体" w:cs="宋体"/>
          <w:b/>
          <w:bCs/>
          <w:kern w:val="0"/>
          <w:sz w:val="36"/>
          <w:szCs w:val="36"/>
        </w:rPr>
      </w:pPr>
    </w:p>
    <w:p>
      <w:pPr>
        <w:widowControl/>
        <w:jc w:val="center"/>
        <w:rPr>
          <w:rFonts w:ascii="宋体" w:hAnsi="宋体" w:cs="宋体"/>
          <w:b/>
          <w:bCs/>
          <w:kern w:val="0"/>
          <w:sz w:val="36"/>
          <w:szCs w:val="36"/>
        </w:rPr>
      </w:pPr>
    </w:p>
    <w:p>
      <w:pPr>
        <w:widowControl/>
        <w:jc w:val="center"/>
        <w:rPr>
          <w:rFonts w:ascii="宋体" w:hAnsi="宋体" w:cs="宋体"/>
          <w:b/>
          <w:bCs/>
          <w:kern w:val="0"/>
          <w:sz w:val="36"/>
          <w:szCs w:val="36"/>
        </w:rPr>
      </w:pPr>
    </w:p>
    <w:p>
      <w:pPr>
        <w:pStyle w:val="31"/>
        <w:ind w:firstLine="211"/>
        <w:rPr>
          <w:b/>
          <w:bCs/>
        </w:rPr>
      </w:pPr>
    </w:p>
    <w:p>
      <w:pPr>
        <w:widowControl/>
        <w:jc w:val="center"/>
        <w:rPr>
          <w:rFonts w:ascii="宋体" w:hAnsi="宋体" w:cs="宋体"/>
          <w:b/>
          <w:bCs/>
          <w:kern w:val="0"/>
          <w:sz w:val="36"/>
          <w:szCs w:val="36"/>
        </w:rPr>
      </w:pPr>
    </w:p>
    <w:p>
      <w:pPr>
        <w:widowControl/>
        <w:jc w:val="center"/>
        <w:rPr>
          <w:rFonts w:ascii="宋体" w:hAnsi="宋体" w:cs="宋体"/>
          <w:b/>
          <w:bCs/>
          <w:kern w:val="0"/>
          <w:sz w:val="36"/>
          <w:szCs w:val="36"/>
        </w:rPr>
      </w:pPr>
    </w:p>
    <w:p>
      <w:pPr>
        <w:widowControl/>
        <w:jc w:val="center"/>
        <w:rPr>
          <w:rFonts w:ascii="宋体" w:hAnsi="宋体" w:cs="宋体"/>
          <w:b/>
          <w:bCs/>
          <w:kern w:val="0"/>
          <w:sz w:val="36"/>
          <w:szCs w:val="36"/>
        </w:rPr>
      </w:pPr>
    </w:p>
    <w:p>
      <w:pPr>
        <w:widowControl/>
        <w:jc w:val="center"/>
        <w:rPr>
          <w:rFonts w:ascii="宋体" w:hAnsi="宋体" w:cs="宋体"/>
          <w:b/>
          <w:bCs/>
          <w:kern w:val="0"/>
          <w:sz w:val="36"/>
          <w:szCs w:val="36"/>
        </w:rPr>
      </w:pPr>
    </w:p>
    <w:p>
      <w:pPr>
        <w:widowControl/>
        <w:ind w:firstLine="2530" w:firstLineChars="700"/>
        <w:rPr>
          <w:rFonts w:ascii="宋体" w:hAnsi="宋体" w:cs="宋体"/>
          <w:b/>
          <w:bCs/>
          <w:kern w:val="0"/>
          <w:sz w:val="36"/>
          <w:szCs w:val="36"/>
        </w:rPr>
      </w:pPr>
      <w:r>
        <w:rPr>
          <w:rFonts w:hint="eastAsia" w:ascii="宋体" w:hAnsi="宋体" w:cs="宋体"/>
          <w:b/>
          <w:bCs/>
          <w:kern w:val="0"/>
          <w:sz w:val="36"/>
          <w:szCs w:val="36"/>
        </w:rPr>
        <w:t>住房和城乡建设部</w:t>
      </w:r>
    </w:p>
    <w:p>
      <w:pPr>
        <w:widowControl/>
        <w:jc w:val="center"/>
        <w:rPr>
          <w:b/>
          <w:bCs/>
        </w:rPr>
      </w:pPr>
      <w:r>
        <w:rPr>
          <w:rFonts w:hint="eastAsia" w:ascii="宋体" w:hAnsi="宋体" w:cs="宋体"/>
          <w:b/>
          <w:bCs/>
          <w:kern w:val="0"/>
          <w:sz w:val="36"/>
          <w:szCs w:val="36"/>
        </w:rPr>
        <w:t xml:space="preserve">                             制定 </w:t>
      </w:r>
    </w:p>
    <w:p>
      <w:pPr>
        <w:widowControl/>
        <w:ind w:firstLine="2530" w:firstLineChars="700"/>
        <w:jc w:val="left"/>
        <w:rPr>
          <w:b/>
          <w:bCs/>
        </w:rPr>
      </w:pPr>
      <w:r>
        <w:rPr>
          <w:rFonts w:hint="eastAsia" w:ascii="宋体" w:hAnsi="宋体" w:cs="宋体"/>
          <w:b/>
          <w:bCs/>
          <w:kern w:val="0"/>
          <w:sz w:val="36"/>
          <w:szCs w:val="36"/>
        </w:rPr>
        <w:t xml:space="preserve">国家工商行政管理总局 </w:t>
      </w:r>
    </w:p>
    <w:p>
      <w:pPr>
        <w:widowControl/>
        <w:jc w:val="left"/>
        <w:rPr>
          <w:rFonts w:ascii="仿宋" w:hAnsi="仿宋" w:eastAsia="仿宋" w:cs="仿宋"/>
          <w:b/>
          <w:kern w:val="0"/>
          <w:sz w:val="24"/>
        </w:rPr>
      </w:pPr>
    </w:p>
    <w:p>
      <w:pPr>
        <w:widowControl/>
        <w:jc w:val="left"/>
        <w:rPr>
          <w:rFonts w:ascii="仿宋" w:hAnsi="仿宋" w:eastAsia="仿宋" w:cs="仿宋"/>
          <w:b/>
          <w:kern w:val="0"/>
          <w:sz w:val="24"/>
        </w:rPr>
      </w:pPr>
    </w:p>
    <w:p>
      <w:pPr>
        <w:widowControl/>
        <w:jc w:val="left"/>
        <w:rPr>
          <w:rFonts w:ascii="仿宋" w:hAnsi="仿宋" w:eastAsia="仿宋" w:cs="仿宋"/>
          <w:b/>
          <w:kern w:val="0"/>
          <w:sz w:val="24"/>
        </w:rPr>
      </w:pPr>
    </w:p>
    <w:p>
      <w:pPr>
        <w:widowControl/>
        <w:jc w:val="left"/>
        <w:rPr>
          <w:rFonts w:ascii="仿宋" w:hAnsi="仿宋" w:eastAsia="仿宋" w:cs="仿宋"/>
          <w:b/>
          <w:kern w:val="0"/>
          <w:sz w:val="24"/>
        </w:rPr>
      </w:pPr>
    </w:p>
    <w:p>
      <w:pPr>
        <w:widowControl/>
        <w:jc w:val="left"/>
        <w:rPr>
          <w:rFonts w:ascii="仿宋" w:hAnsi="仿宋" w:eastAsia="仿宋" w:cs="仿宋"/>
          <w:b/>
          <w:kern w:val="0"/>
          <w:sz w:val="24"/>
        </w:rPr>
      </w:pPr>
    </w:p>
    <w:p>
      <w:pPr>
        <w:widowControl/>
        <w:jc w:val="left"/>
        <w:rPr>
          <w:rFonts w:ascii="仿宋" w:hAnsi="仿宋" w:eastAsia="仿宋" w:cs="仿宋"/>
          <w:b/>
          <w:kern w:val="0"/>
          <w:sz w:val="24"/>
        </w:rPr>
      </w:pPr>
    </w:p>
    <w:p>
      <w:pPr>
        <w:pStyle w:val="31"/>
        <w:ind w:firstLine="210"/>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r>
        <w:rPr>
          <w:rFonts w:ascii="宋体" w:hAnsi="宋体"/>
          <w:sz w:val="24"/>
        </w:rPr>
        <w:t>第一部分    协议书</w:t>
      </w:r>
    </w:p>
    <w:p>
      <w:pPr>
        <w:spacing w:line="360" w:lineRule="auto"/>
        <w:ind w:firstLine="480" w:firstLineChars="200"/>
        <w:rPr>
          <w:rFonts w:ascii="宋体" w:hAnsi="宋体"/>
          <w:sz w:val="24"/>
        </w:rPr>
      </w:pPr>
      <w:r>
        <w:rPr>
          <w:rFonts w:ascii="宋体" w:hAnsi="宋体"/>
          <w:sz w:val="24"/>
        </w:rPr>
        <w:t>委托人（全称）：</w:t>
      </w:r>
      <w:r>
        <w:rPr>
          <w:rFonts w:hint="eastAsia" w:ascii="宋体" w:hAnsi="宋体"/>
          <w:sz w:val="24"/>
          <w:u w:val="single"/>
        </w:rPr>
        <w:t xml:space="preserve">          </w:t>
      </w:r>
    </w:p>
    <w:p>
      <w:pPr>
        <w:spacing w:line="360" w:lineRule="auto"/>
        <w:ind w:firstLine="480" w:firstLineChars="200"/>
        <w:rPr>
          <w:rFonts w:ascii="宋体" w:hAnsi="宋体"/>
          <w:sz w:val="24"/>
        </w:rPr>
      </w:pPr>
      <w:r>
        <w:rPr>
          <w:rFonts w:ascii="宋体" w:hAnsi="宋体"/>
          <w:sz w:val="24"/>
        </w:rPr>
        <w:t>监理人（全称）：</w:t>
      </w:r>
      <w:r>
        <w:rPr>
          <w:rFonts w:hint="eastAsia" w:ascii="宋体" w:hAnsi="宋体"/>
          <w:sz w:val="24"/>
          <w:u w:val="single"/>
        </w:rPr>
        <w:t xml:space="preserve">                </w:t>
      </w:r>
    </w:p>
    <w:p>
      <w:pPr>
        <w:spacing w:line="360" w:lineRule="auto"/>
        <w:ind w:firstLine="480" w:firstLineChars="200"/>
        <w:rPr>
          <w:rFonts w:ascii="宋体" w:hAnsi="宋体"/>
          <w:sz w:val="24"/>
        </w:rPr>
      </w:pPr>
      <w:r>
        <w:rPr>
          <w:rFonts w:ascii="宋体" w:hAnsi="宋体"/>
          <w:sz w:val="24"/>
        </w:rPr>
        <w:t xml:space="preserve">根据《中华人民共和国合同法》、《中华人民共和国建筑法》及其他有关法律、法规，遵循平等、自愿、公平和诚信的原则，双方就下述工程委托监理与相关 服务事项协商一致，订立本合同。 </w:t>
      </w:r>
    </w:p>
    <w:p>
      <w:pPr>
        <w:spacing w:line="360" w:lineRule="auto"/>
        <w:ind w:firstLine="480" w:firstLineChars="200"/>
        <w:rPr>
          <w:rFonts w:ascii="宋体" w:hAnsi="宋体"/>
          <w:sz w:val="24"/>
        </w:rPr>
      </w:pPr>
      <w:bookmarkStart w:id="707" w:name="一、工程概况"/>
      <w:bookmarkEnd w:id="707"/>
      <w:r>
        <w:rPr>
          <w:rFonts w:ascii="宋体" w:hAnsi="宋体"/>
          <w:sz w:val="24"/>
        </w:rPr>
        <w:t xml:space="preserve">一、工程概况 </w:t>
      </w:r>
    </w:p>
    <w:p>
      <w:pPr>
        <w:spacing w:line="360" w:lineRule="auto"/>
        <w:ind w:firstLine="480" w:firstLineChars="200"/>
        <w:rPr>
          <w:rFonts w:ascii="宋体" w:hAnsi="宋体"/>
          <w:sz w:val="24"/>
          <w:u w:val="single"/>
        </w:rPr>
      </w:pPr>
      <w:r>
        <w:rPr>
          <w:rFonts w:ascii="宋体" w:hAnsi="宋体"/>
          <w:sz w:val="24"/>
        </w:rPr>
        <w:t>1. 工程名称：</w:t>
      </w:r>
      <w:r>
        <w:rPr>
          <w:rFonts w:ascii="宋体" w:hAnsi="宋体"/>
          <w:sz w:val="24"/>
          <w:u w:val="single"/>
        </w:rPr>
        <w:t xml:space="preserve">                                        ； </w:t>
      </w:r>
    </w:p>
    <w:p>
      <w:pPr>
        <w:spacing w:line="360" w:lineRule="auto"/>
        <w:ind w:firstLine="480" w:firstLineChars="200"/>
        <w:rPr>
          <w:rFonts w:ascii="宋体" w:hAnsi="宋体"/>
          <w:sz w:val="24"/>
          <w:u w:val="single"/>
        </w:rPr>
      </w:pPr>
      <w:r>
        <w:rPr>
          <w:rFonts w:ascii="宋体" w:hAnsi="宋体"/>
          <w:sz w:val="24"/>
        </w:rPr>
        <w:t>2. 工程地点：</w:t>
      </w:r>
      <w:r>
        <w:rPr>
          <w:rFonts w:ascii="宋体" w:hAnsi="宋体"/>
          <w:sz w:val="24"/>
          <w:u w:val="single"/>
        </w:rPr>
        <w:t xml:space="preserve">                                        ； </w:t>
      </w:r>
    </w:p>
    <w:p>
      <w:pPr>
        <w:spacing w:line="360" w:lineRule="auto"/>
        <w:ind w:firstLine="480" w:firstLineChars="200"/>
        <w:rPr>
          <w:rFonts w:ascii="宋体" w:hAnsi="宋体"/>
          <w:sz w:val="24"/>
          <w:u w:val="single"/>
        </w:rPr>
      </w:pPr>
      <w:r>
        <w:rPr>
          <w:rFonts w:ascii="宋体" w:hAnsi="宋体"/>
          <w:sz w:val="24"/>
        </w:rPr>
        <w:t>3. 工程规模：</w:t>
      </w:r>
      <w:r>
        <w:rPr>
          <w:rFonts w:ascii="宋体" w:hAnsi="宋体"/>
          <w:sz w:val="24"/>
          <w:u w:val="single"/>
        </w:rPr>
        <w:t xml:space="preserve">                                        ； </w:t>
      </w:r>
    </w:p>
    <w:p>
      <w:pPr>
        <w:spacing w:line="360" w:lineRule="auto"/>
        <w:ind w:firstLine="480" w:firstLineChars="200"/>
        <w:rPr>
          <w:rFonts w:ascii="宋体" w:hAnsi="宋体"/>
          <w:sz w:val="24"/>
        </w:rPr>
      </w:pPr>
      <w:r>
        <w:rPr>
          <w:rFonts w:ascii="宋体" w:hAnsi="宋体"/>
          <w:sz w:val="24"/>
        </w:rPr>
        <w:t>4. 工程概算投资额或建筑安装工程费：</w:t>
      </w:r>
      <w:r>
        <w:rPr>
          <w:rFonts w:ascii="宋体" w:hAnsi="宋体"/>
          <w:sz w:val="24"/>
          <w:u w:val="single"/>
        </w:rPr>
        <w:t xml:space="preserve">           </w:t>
      </w:r>
      <w:r>
        <w:rPr>
          <w:rFonts w:ascii="宋体" w:hAnsi="宋体"/>
          <w:sz w:val="24"/>
        </w:rPr>
        <w:t xml:space="preserve">。 </w:t>
      </w:r>
    </w:p>
    <w:p>
      <w:pPr>
        <w:spacing w:line="360" w:lineRule="auto"/>
        <w:ind w:firstLine="480" w:firstLineChars="200"/>
        <w:rPr>
          <w:rFonts w:ascii="宋体" w:hAnsi="宋体"/>
          <w:sz w:val="24"/>
        </w:rPr>
      </w:pPr>
      <w:bookmarkStart w:id="708" w:name="二、词语限定"/>
      <w:bookmarkEnd w:id="708"/>
      <w:r>
        <w:rPr>
          <w:rFonts w:ascii="宋体" w:hAnsi="宋体"/>
          <w:sz w:val="24"/>
        </w:rPr>
        <w:t xml:space="preserve">二、词语限定 </w:t>
      </w:r>
    </w:p>
    <w:p>
      <w:pPr>
        <w:spacing w:line="360" w:lineRule="auto"/>
        <w:ind w:firstLine="480" w:firstLineChars="200"/>
        <w:rPr>
          <w:rFonts w:ascii="宋体" w:hAnsi="宋体"/>
          <w:sz w:val="24"/>
        </w:rPr>
      </w:pPr>
      <w:r>
        <w:rPr>
          <w:rFonts w:ascii="宋体" w:hAnsi="宋体"/>
          <w:sz w:val="24"/>
        </w:rPr>
        <w:t xml:space="preserve">协议书中相关词语的含义与通用条件中的定义与解释相同。 </w:t>
      </w:r>
    </w:p>
    <w:p>
      <w:pPr>
        <w:spacing w:line="360" w:lineRule="auto"/>
        <w:ind w:firstLine="480" w:firstLineChars="200"/>
        <w:rPr>
          <w:rFonts w:ascii="宋体" w:hAnsi="宋体"/>
          <w:sz w:val="24"/>
        </w:rPr>
      </w:pPr>
      <w:bookmarkStart w:id="709" w:name="三、组成本合同的文件"/>
      <w:bookmarkEnd w:id="709"/>
      <w:r>
        <w:rPr>
          <w:rFonts w:ascii="宋体" w:hAnsi="宋体"/>
          <w:sz w:val="24"/>
        </w:rPr>
        <w:t xml:space="preserve">三、组成本合同的文件 1. </w:t>
      </w:r>
      <w:r>
        <w:rPr>
          <w:rFonts w:hint="eastAsia" w:ascii="宋体" w:hAnsi="宋体"/>
          <w:sz w:val="24"/>
        </w:rPr>
        <w:t xml:space="preserve">1.  </w:t>
      </w:r>
      <w:r>
        <w:rPr>
          <w:rFonts w:ascii="宋体" w:hAnsi="宋体"/>
          <w:sz w:val="24"/>
        </w:rPr>
        <w:t xml:space="preserve">协议书； </w:t>
      </w:r>
    </w:p>
    <w:p>
      <w:pPr>
        <w:spacing w:line="360" w:lineRule="auto"/>
        <w:ind w:firstLine="480" w:firstLineChars="200"/>
        <w:rPr>
          <w:rFonts w:ascii="宋体" w:hAnsi="宋体"/>
          <w:sz w:val="24"/>
        </w:rPr>
      </w:pPr>
      <w:r>
        <w:rPr>
          <w:rFonts w:ascii="宋体" w:hAnsi="宋体"/>
          <w:sz w:val="24"/>
        </w:rPr>
        <w:t xml:space="preserve">2. 中标通知书（适用于招标工程）或委托书（适用于非招标工程）； </w:t>
      </w:r>
    </w:p>
    <w:p>
      <w:pPr>
        <w:spacing w:line="360" w:lineRule="auto"/>
        <w:ind w:firstLine="480" w:firstLineChars="200"/>
        <w:rPr>
          <w:rFonts w:ascii="宋体" w:hAnsi="宋体"/>
          <w:sz w:val="24"/>
        </w:rPr>
      </w:pPr>
      <w:r>
        <w:rPr>
          <w:rFonts w:ascii="宋体" w:hAnsi="宋体"/>
          <w:sz w:val="24"/>
        </w:rPr>
        <w:t xml:space="preserve">3. 投标文件（适用于招标工程）或监理与相关服务建议书（适用于非招标工 程）； </w:t>
      </w:r>
    </w:p>
    <w:p>
      <w:pPr>
        <w:spacing w:line="360" w:lineRule="auto"/>
        <w:ind w:firstLine="480" w:firstLineChars="200"/>
        <w:rPr>
          <w:rFonts w:ascii="宋体" w:hAnsi="宋体"/>
          <w:sz w:val="24"/>
        </w:rPr>
      </w:pPr>
      <w:r>
        <w:rPr>
          <w:rFonts w:ascii="宋体" w:hAnsi="宋体"/>
          <w:sz w:val="24"/>
        </w:rPr>
        <w:t xml:space="preserve">4. 专用条件； </w:t>
      </w:r>
    </w:p>
    <w:p>
      <w:pPr>
        <w:spacing w:line="360" w:lineRule="auto"/>
        <w:ind w:firstLine="480" w:firstLineChars="200"/>
        <w:rPr>
          <w:rFonts w:ascii="宋体" w:hAnsi="宋体"/>
          <w:sz w:val="24"/>
        </w:rPr>
      </w:pPr>
      <w:r>
        <w:rPr>
          <w:rFonts w:ascii="宋体" w:hAnsi="宋体"/>
          <w:sz w:val="24"/>
        </w:rPr>
        <w:t xml:space="preserve">5. 通用条件； </w:t>
      </w:r>
    </w:p>
    <w:p>
      <w:pPr>
        <w:spacing w:line="360" w:lineRule="auto"/>
        <w:ind w:firstLine="480" w:firstLineChars="200"/>
        <w:rPr>
          <w:rFonts w:ascii="宋体" w:hAnsi="宋体"/>
          <w:sz w:val="24"/>
        </w:rPr>
      </w:pPr>
      <w:r>
        <w:rPr>
          <w:rFonts w:ascii="宋体" w:hAnsi="宋体"/>
          <w:sz w:val="24"/>
        </w:rPr>
        <w:t xml:space="preserve">6. 附录，即： </w:t>
      </w:r>
    </w:p>
    <w:p>
      <w:pPr>
        <w:spacing w:line="360" w:lineRule="auto"/>
        <w:ind w:firstLine="480" w:firstLineChars="200"/>
        <w:rPr>
          <w:rFonts w:ascii="宋体" w:hAnsi="宋体"/>
          <w:sz w:val="24"/>
        </w:rPr>
      </w:pPr>
      <w:r>
        <w:rPr>
          <w:rFonts w:ascii="宋体" w:hAnsi="宋体"/>
          <w:sz w:val="24"/>
        </w:rPr>
        <w:t xml:space="preserve">附录 A 相关服务的范围和内容 </w:t>
      </w:r>
    </w:p>
    <w:p>
      <w:pPr>
        <w:spacing w:line="360" w:lineRule="auto"/>
        <w:ind w:firstLine="480" w:firstLineChars="200"/>
        <w:rPr>
          <w:rFonts w:ascii="宋体" w:hAnsi="宋体"/>
          <w:sz w:val="24"/>
        </w:rPr>
      </w:pPr>
      <w:r>
        <w:rPr>
          <w:rFonts w:ascii="宋体" w:hAnsi="宋体"/>
          <w:sz w:val="24"/>
        </w:rPr>
        <w:t xml:space="preserve">附录 B 委托人派遣的人员和提供的房屋、资料、设备 本合同签订后，双方依法签订的补充协议也是本合同文件的组成部分。 </w:t>
      </w:r>
    </w:p>
    <w:p>
      <w:pPr>
        <w:spacing w:line="360" w:lineRule="auto"/>
        <w:ind w:firstLine="480" w:firstLineChars="200"/>
        <w:rPr>
          <w:rFonts w:ascii="宋体" w:hAnsi="宋体"/>
          <w:sz w:val="24"/>
        </w:rPr>
      </w:pPr>
      <w:bookmarkStart w:id="710" w:name="四、总监理工程师"/>
      <w:bookmarkEnd w:id="710"/>
      <w:r>
        <w:rPr>
          <w:rFonts w:ascii="宋体" w:hAnsi="宋体"/>
          <w:sz w:val="24"/>
        </w:rPr>
        <w:t xml:space="preserve">四、总监理工程师 </w:t>
      </w:r>
    </w:p>
    <w:p>
      <w:pPr>
        <w:spacing w:line="360" w:lineRule="auto"/>
        <w:ind w:firstLine="480" w:firstLineChars="200"/>
        <w:rPr>
          <w:rFonts w:ascii="宋体" w:hAnsi="宋体"/>
          <w:sz w:val="24"/>
        </w:rPr>
      </w:pPr>
      <w:r>
        <w:rPr>
          <w:rFonts w:ascii="宋体" w:hAnsi="宋体"/>
          <w:sz w:val="24"/>
        </w:rPr>
        <w:t>总监理工程师姓名：</w:t>
      </w:r>
      <w:r>
        <w:rPr>
          <w:rFonts w:ascii="宋体" w:hAnsi="宋体"/>
          <w:sz w:val="24"/>
          <w:u w:val="single"/>
        </w:rPr>
        <w:t xml:space="preserve">       </w:t>
      </w:r>
      <w:r>
        <w:rPr>
          <w:rFonts w:ascii="宋体" w:hAnsi="宋体"/>
          <w:sz w:val="24"/>
        </w:rPr>
        <w:t>， 身份证号码：</w:t>
      </w:r>
      <w:r>
        <w:rPr>
          <w:rFonts w:ascii="宋体" w:hAnsi="宋体"/>
          <w:sz w:val="24"/>
          <w:u w:val="single"/>
        </w:rPr>
        <w:t xml:space="preserve">        </w:t>
      </w:r>
      <w:r>
        <w:rPr>
          <w:rFonts w:ascii="宋体" w:hAnsi="宋体"/>
          <w:sz w:val="24"/>
        </w:rPr>
        <w:t>，</w:t>
      </w:r>
      <w:r>
        <w:rPr>
          <w:rFonts w:hint="eastAsia" w:ascii="宋体" w:hAnsi="宋体"/>
          <w:sz w:val="24"/>
        </w:rPr>
        <w:t>注册号：</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sz w:val="24"/>
        </w:rPr>
      </w:pPr>
      <w:bookmarkStart w:id="711" w:name="五、签约酬金"/>
      <w:bookmarkEnd w:id="711"/>
      <w:r>
        <w:rPr>
          <w:rFonts w:ascii="宋体" w:hAnsi="宋体"/>
          <w:sz w:val="24"/>
        </w:rPr>
        <w:t xml:space="preserve">五、签约酬金 </w:t>
      </w:r>
    </w:p>
    <w:p>
      <w:pPr>
        <w:spacing w:line="360" w:lineRule="auto"/>
        <w:ind w:firstLine="480" w:firstLineChars="200"/>
        <w:rPr>
          <w:rFonts w:ascii="宋体" w:hAnsi="宋体"/>
          <w:sz w:val="24"/>
        </w:rPr>
      </w:pPr>
      <w:r>
        <w:rPr>
          <w:rFonts w:ascii="宋体" w:hAnsi="宋体"/>
          <w:sz w:val="24"/>
        </w:rPr>
        <w:t>签约酬金（大写）：</w:t>
      </w:r>
      <w:r>
        <w:rPr>
          <w:rFonts w:ascii="宋体" w:hAnsi="宋体"/>
          <w:sz w:val="24"/>
          <w:u w:val="single"/>
        </w:rPr>
        <w:t xml:space="preserve">                            </w:t>
      </w:r>
      <w:r>
        <w:rPr>
          <w:rFonts w:ascii="宋体" w:hAnsi="宋体"/>
          <w:sz w:val="24"/>
        </w:rPr>
        <w:t>（¥        ）。</w:t>
      </w:r>
    </w:p>
    <w:p>
      <w:pPr>
        <w:spacing w:line="360" w:lineRule="auto"/>
        <w:ind w:firstLine="480" w:firstLineChars="200"/>
        <w:rPr>
          <w:rFonts w:ascii="宋体" w:hAnsi="宋体"/>
          <w:sz w:val="24"/>
        </w:rPr>
      </w:pPr>
      <w:r>
        <w:rPr>
          <w:rFonts w:ascii="宋体" w:hAnsi="宋体"/>
          <w:sz w:val="24"/>
        </w:rPr>
        <w:t xml:space="preserve">包括： </w:t>
      </w:r>
    </w:p>
    <w:p>
      <w:pPr>
        <w:spacing w:line="360" w:lineRule="auto"/>
        <w:ind w:firstLine="480" w:firstLineChars="200"/>
        <w:rPr>
          <w:rFonts w:ascii="宋体" w:hAnsi="宋体"/>
          <w:sz w:val="24"/>
        </w:rPr>
      </w:pPr>
      <w:r>
        <w:rPr>
          <w:rFonts w:ascii="宋体" w:hAnsi="宋体"/>
          <w:sz w:val="24"/>
        </w:rPr>
        <w:t>1. 监理酬金：</w:t>
      </w:r>
      <w:r>
        <w:rPr>
          <w:rFonts w:ascii="宋体" w:hAnsi="宋体"/>
          <w:sz w:val="24"/>
          <w:u w:val="single"/>
        </w:rPr>
        <w:t xml:space="preserve">                                </w:t>
      </w:r>
      <w:r>
        <w:rPr>
          <w:rFonts w:ascii="宋体" w:hAnsi="宋体"/>
          <w:sz w:val="24"/>
        </w:rPr>
        <w:t xml:space="preserve"> 。 </w:t>
      </w:r>
    </w:p>
    <w:p>
      <w:pPr>
        <w:spacing w:line="360" w:lineRule="auto"/>
        <w:ind w:firstLine="480" w:firstLineChars="200"/>
        <w:rPr>
          <w:rFonts w:ascii="宋体" w:hAnsi="宋体"/>
          <w:sz w:val="24"/>
        </w:rPr>
      </w:pPr>
      <w:r>
        <w:rPr>
          <w:rFonts w:ascii="宋体" w:hAnsi="宋体"/>
          <w:sz w:val="24"/>
        </w:rPr>
        <w:t>2. 相关服务酬金：</w:t>
      </w:r>
      <w:r>
        <w:rPr>
          <w:rFonts w:ascii="宋体" w:hAnsi="宋体"/>
          <w:sz w:val="24"/>
          <w:u w:val="single"/>
        </w:rPr>
        <w:t xml:space="preserve">                       </w:t>
      </w:r>
      <w:r>
        <w:rPr>
          <w:rFonts w:ascii="宋体" w:hAnsi="宋体"/>
          <w:sz w:val="24"/>
        </w:rPr>
        <w:t xml:space="preserve"> 。 </w:t>
      </w:r>
    </w:p>
    <w:p>
      <w:pPr>
        <w:spacing w:line="360" w:lineRule="auto"/>
        <w:ind w:firstLine="480" w:firstLineChars="200"/>
        <w:rPr>
          <w:rFonts w:ascii="宋体" w:hAnsi="宋体"/>
          <w:sz w:val="24"/>
        </w:rPr>
      </w:pPr>
      <w:r>
        <w:rPr>
          <w:rFonts w:ascii="宋体" w:hAnsi="宋体"/>
          <w:sz w:val="24"/>
        </w:rPr>
        <w:t xml:space="preserve">其中： </w:t>
      </w:r>
    </w:p>
    <w:p>
      <w:pPr>
        <w:spacing w:line="360" w:lineRule="auto"/>
        <w:ind w:firstLine="480" w:firstLineChars="200"/>
        <w:rPr>
          <w:rFonts w:ascii="宋体" w:hAnsi="宋体"/>
          <w:sz w:val="24"/>
        </w:rPr>
      </w:pPr>
      <w:r>
        <w:rPr>
          <w:rFonts w:ascii="宋体" w:hAnsi="宋体"/>
          <w:sz w:val="24"/>
        </w:rPr>
        <w:t>（1）勘察阶段服务酬金：</w:t>
      </w:r>
      <w:r>
        <w:rPr>
          <w:rFonts w:ascii="宋体" w:hAnsi="宋体"/>
          <w:sz w:val="24"/>
          <w:u w:val="single"/>
        </w:rPr>
        <w:t xml:space="preserve">                           </w:t>
      </w:r>
      <w:r>
        <w:rPr>
          <w:rFonts w:ascii="宋体" w:hAnsi="宋体"/>
          <w:sz w:val="24"/>
        </w:rPr>
        <w:t xml:space="preserve">。 </w:t>
      </w:r>
    </w:p>
    <w:p>
      <w:pPr>
        <w:spacing w:line="360" w:lineRule="auto"/>
        <w:ind w:firstLine="480" w:firstLineChars="200"/>
        <w:rPr>
          <w:rFonts w:ascii="宋体" w:hAnsi="宋体"/>
          <w:sz w:val="24"/>
        </w:rPr>
      </w:pPr>
      <w:r>
        <w:rPr>
          <w:rFonts w:ascii="宋体" w:hAnsi="宋体"/>
          <w:sz w:val="24"/>
        </w:rPr>
        <w:t>（2）设计阶段服务酬金：</w:t>
      </w:r>
      <w:r>
        <w:rPr>
          <w:rFonts w:ascii="宋体" w:hAnsi="宋体"/>
          <w:sz w:val="24"/>
          <w:u w:val="single"/>
        </w:rPr>
        <w:t xml:space="preserve">                           </w:t>
      </w:r>
      <w:r>
        <w:rPr>
          <w:rFonts w:ascii="宋体" w:hAnsi="宋体"/>
          <w:sz w:val="24"/>
        </w:rPr>
        <w:t xml:space="preserve">。 </w:t>
      </w:r>
    </w:p>
    <w:p>
      <w:pPr>
        <w:spacing w:line="360" w:lineRule="auto"/>
        <w:ind w:firstLine="480" w:firstLineChars="200"/>
        <w:rPr>
          <w:rFonts w:ascii="宋体" w:hAnsi="宋体"/>
          <w:sz w:val="24"/>
        </w:rPr>
      </w:pPr>
      <w:r>
        <w:rPr>
          <w:rFonts w:ascii="宋体" w:hAnsi="宋体"/>
          <w:sz w:val="24"/>
        </w:rPr>
        <w:t>（3）保修阶段服务酬金：</w:t>
      </w:r>
      <w:r>
        <w:rPr>
          <w:rFonts w:ascii="宋体" w:hAnsi="宋体"/>
          <w:sz w:val="24"/>
          <w:u w:val="single"/>
        </w:rPr>
        <w:t xml:space="preserve">                           </w:t>
      </w:r>
      <w:r>
        <w:rPr>
          <w:rFonts w:ascii="宋体" w:hAnsi="宋体"/>
          <w:sz w:val="24"/>
        </w:rPr>
        <w:t xml:space="preserve">。 </w:t>
      </w:r>
    </w:p>
    <w:p>
      <w:pPr>
        <w:spacing w:line="360" w:lineRule="auto"/>
        <w:ind w:firstLine="480" w:firstLineChars="200"/>
        <w:rPr>
          <w:rFonts w:ascii="宋体" w:hAnsi="宋体"/>
          <w:sz w:val="24"/>
        </w:rPr>
      </w:pPr>
      <w:r>
        <w:rPr>
          <w:rFonts w:ascii="宋体" w:hAnsi="宋体"/>
          <w:sz w:val="24"/>
        </w:rPr>
        <w:t>（4）其他相关服务酬金：</w:t>
      </w:r>
      <w:r>
        <w:rPr>
          <w:rFonts w:ascii="宋体" w:hAnsi="宋体"/>
          <w:sz w:val="24"/>
          <w:u w:val="single"/>
        </w:rPr>
        <w:t xml:space="preserve">                          </w:t>
      </w:r>
      <w:r>
        <w:rPr>
          <w:rFonts w:ascii="宋体" w:hAnsi="宋体"/>
          <w:sz w:val="24"/>
        </w:rPr>
        <w:t xml:space="preserve"> 。 </w:t>
      </w:r>
      <w:bookmarkStart w:id="712" w:name="六、期限"/>
      <w:bookmarkEnd w:id="712"/>
    </w:p>
    <w:p>
      <w:pPr>
        <w:spacing w:line="360" w:lineRule="auto"/>
        <w:ind w:firstLine="480" w:firstLineChars="200"/>
        <w:rPr>
          <w:rFonts w:ascii="宋体" w:hAnsi="宋体"/>
          <w:sz w:val="24"/>
        </w:rPr>
      </w:pPr>
      <w:r>
        <w:rPr>
          <w:rFonts w:ascii="宋体" w:hAnsi="宋体"/>
          <w:sz w:val="24"/>
        </w:rPr>
        <w:t xml:space="preserve">六、期限 </w:t>
      </w:r>
    </w:p>
    <w:p>
      <w:pPr>
        <w:spacing w:line="360" w:lineRule="auto"/>
        <w:ind w:firstLine="480" w:firstLineChars="200"/>
        <w:rPr>
          <w:rFonts w:ascii="宋体" w:hAnsi="宋体"/>
          <w:sz w:val="24"/>
        </w:rPr>
      </w:pPr>
      <w:r>
        <w:rPr>
          <w:rFonts w:ascii="宋体" w:hAnsi="宋体"/>
          <w:sz w:val="24"/>
        </w:rPr>
        <w:t>1. 监理期限：</w:t>
      </w:r>
      <w:r>
        <w:rPr>
          <w:rFonts w:hint="eastAsia" w:ascii="宋体" w:hAnsi="宋体"/>
          <w:sz w:val="24"/>
        </w:rPr>
        <w:t xml:space="preserve">  </w:t>
      </w:r>
      <w:r>
        <w:rPr>
          <w:rFonts w:ascii="宋体" w:hAnsi="宋体"/>
          <w:sz w:val="24"/>
        </w:rPr>
        <w:t xml:space="preserve"> </w:t>
      </w:r>
    </w:p>
    <w:p>
      <w:pPr>
        <w:spacing w:line="360" w:lineRule="auto"/>
        <w:ind w:firstLine="480" w:firstLineChars="200"/>
        <w:rPr>
          <w:rFonts w:ascii="宋体" w:hAnsi="宋体"/>
          <w:sz w:val="24"/>
        </w:rPr>
      </w:pPr>
      <w:r>
        <w:rPr>
          <w:rFonts w:ascii="宋体" w:hAnsi="宋体"/>
          <w:sz w:val="24"/>
        </w:rPr>
        <w:t xml:space="preserve">2. 相关服务期限： </w:t>
      </w:r>
    </w:p>
    <w:p>
      <w:pPr>
        <w:spacing w:line="360" w:lineRule="auto"/>
        <w:ind w:firstLine="480" w:firstLineChars="200"/>
        <w:rPr>
          <w:rFonts w:ascii="宋体" w:hAnsi="宋体"/>
          <w:sz w:val="24"/>
        </w:rPr>
      </w:pPr>
      <w:r>
        <w:rPr>
          <w:rFonts w:ascii="宋体" w:hAnsi="宋体"/>
          <w:sz w:val="24"/>
        </w:rPr>
        <w:t xml:space="preserve">（1）勘察阶段服务期限自    年   月   日始，至    年    月    日止。 </w:t>
      </w:r>
    </w:p>
    <w:p>
      <w:pPr>
        <w:spacing w:line="360" w:lineRule="auto"/>
        <w:ind w:firstLine="480" w:firstLineChars="200"/>
        <w:rPr>
          <w:rFonts w:ascii="宋体" w:hAnsi="宋体"/>
          <w:sz w:val="24"/>
        </w:rPr>
      </w:pPr>
      <w:r>
        <w:rPr>
          <w:rFonts w:ascii="宋体" w:hAnsi="宋体"/>
          <w:sz w:val="24"/>
        </w:rPr>
        <w:t xml:space="preserve">（2）设计阶段服务期限自    年   月   日始，至    年    月    日止。 </w:t>
      </w:r>
    </w:p>
    <w:p>
      <w:pPr>
        <w:spacing w:line="360" w:lineRule="auto"/>
        <w:ind w:firstLine="480" w:firstLineChars="200"/>
        <w:rPr>
          <w:rFonts w:ascii="宋体" w:hAnsi="宋体"/>
          <w:sz w:val="24"/>
        </w:rPr>
      </w:pPr>
      <w:r>
        <w:rPr>
          <w:rFonts w:ascii="宋体" w:hAnsi="宋体"/>
          <w:sz w:val="24"/>
        </w:rPr>
        <w:t xml:space="preserve">（3）保修阶段服务期限自    年   月   日始，至    年  </w:t>
      </w:r>
      <w:r>
        <w:rPr>
          <w:rFonts w:hint="eastAsia" w:ascii="宋体" w:hAnsi="宋体"/>
          <w:sz w:val="24"/>
        </w:rPr>
        <w:t xml:space="preserve"> </w:t>
      </w:r>
      <w:r>
        <w:rPr>
          <w:rFonts w:ascii="宋体" w:hAnsi="宋体"/>
          <w:sz w:val="24"/>
        </w:rPr>
        <w:t xml:space="preserve"> 月    日止。 </w:t>
      </w:r>
    </w:p>
    <w:p>
      <w:pPr>
        <w:spacing w:line="360" w:lineRule="auto"/>
        <w:ind w:firstLine="480" w:firstLineChars="200"/>
        <w:rPr>
          <w:rFonts w:ascii="宋体" w:hAnsi="宋体"/>
          <w:sz w:val="24"/>
        </w:rPr>
      </w:pPr>
      <w:r>
        <w:rPr>
          <w:rFonts w:ascii="宋体" w:hAnsi="宋体"/>
          <w:sz w:val="24"/>
        </w:rPr>
        <w:t xml:space="preserve">（4）其他相关服务期限自    年   月   日始，至   </w:t>
      </w:r>
      <w:r>
        <w:rPr>
          <w:rFonts w:hint="eastAsia" w:ascii="宋体" w:hAnsi="宋体"/>
          <w:sz w:val="24"/>
        </w:rPr>
        <w:t xml:space="preserve"> </w:t>
      </w:r>
      <w:r>
        <w:rPr>
          <w:rFonts w:ascii="宋体" w:hAnsi="宋体"/>
          <w:sz w:val="24"/>
        </w:rPr>
        <w:t xml:space="preserve">年  </w:t>
      </w:r>
      <w:r>
        <w:rPr>
          <w:rFonts w:hint="eastAsia" w:ascii="宋体" w:hAnsi="宋体"/>
          <w:sz w:val="24"/>
        </w:rPr>
        <w:t xml:space="preserve"> </w:t>
      </w:r>
      <w:r>
        <w:rPr>
          <w:rFonts w:ascii="宋体" w:hAnsi="宋体"/>
          <w:sz w:val="24"/>
        </w:rPr>
        <w:t xml:space="preserve"> 月    日止。 </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bookmarkStart w:id="713" w:name="七、双方承诺"/>
      <w:bookmarkEnd w:id="713"/>
      <w:r>
        <w:rPr>
          <w:rFonts w:ascii="宋体" w:hAnsi="宋体"/>
          <w:sz w:val="24"/>
        </w:rPr>
        <w:t xml:space="preserve">七、双方承诺 </w:t>
      </w:r>
    </w:p>
    <w:p>
      <w:pPr>
        <w:spacing w:line="360" w:lineRule="auto"/>
        <w:ind w:firstLine="480" w:firstLineChars="200"/>
        <w:rPr>
          <w:rFonts w:ascii="宋体" w:hAnsi="宋体"/>
          <w:sz w:val="24"/>
        </w:rPr>
      </w:pPr>
      <w:bookmarkStart w:id="714" w:name="1._监理人向委托人承诺，按照本合同约定提供监理与相关服务。"/>
      <w:bookmarkEnd w:id="714"/>
      <w:r>
        <w:rPr>
          <w:rFonts w:ascii="宋体" w:hAnsi="宋体"/>
          <w:sz w:val="24"/>
        </w:rPr>
        <w:t xml:space="preserve">1. 监理人向委托人承诺，按照本合同约定提供监理与相关服务。 </w:t>
      </w:r>
    </w:p>
    <w:p>
      <w:pPr>
        <w:spacing w:line="360" w:lineRule="auto"/>
        <w:ind w:firstLine="480" w:firstLineChars="200"/>
        <w:rPr>
          <w:rFonts w:ascii="宋体" w:hAnsi="宋体"/>
          <w:sz w:val="24"/>
        </w:rPr>
      </w:pPr>
      <w:bookmarkStart w:id="715" w:name="2._委托人向监理人承诺，按照本合同约定派遣相应的人员，提供房屋、资料、设备，并"/>
      <w:bookmarkEnd w:id="715"/>
      <w:r>
        <w:rPr>
          <w:rFonts w:ascii="宋体" w:hAnsi="宋体"/>
          <w:sz w:val="24"/>
        </w:rPr>
        <w:t xml:space="preserve">2. 委托人向监理人承诺，按照本合同约定派遣相应的人员，提供房屋、资料、设备，并按本合同约定支付酬金。 </w:t>
      </w:r>
    </w:p>
    <w:p>
      <w:pPr>
        <w:spacing w:line="360" w:lineRule="auto"/>
        <w:ind w:firstLine="480" w:firstLineChars="200"/>
        <w:rPr>
          <w:rFonts w:ascii="宋体" w:hAnsi="宋体"/>
          <w:sz w:val="24"/>
        </w:rPr>
      </w:pPr>
      <w:bookmarkStart w:id="716" w:name="八、合同订立"/>
      <w:bookmarkEnd w:id="716"/>
      <w:r>
        <w:rPr>
          <w:rFonts w:ascii="宋体" w:hAnsi="宋体"/>
          <w:sz w:val="24"/>
        </w:rPr>
        <w:t xml:space="preserve">八、合同订立 </w:t>
      </w:r>
    </w:p>
    <w:p>
      <w:pPr>
        <w:spacing w:line="360" w:lineRule="auto"/>
        <w:ind w:firstLine="480" w:firstLineChars="200"/>
        <w:rPr>
          <w:rFonts w:ascii="宋体" w:hAnsi="宋体"/>
          <w:sz w:val="24"/>
        </w:rPr>
      </w:pPr>
      <w:r>
        <w:rPr>
          <w:rFonts w:ascii="宋体" w:hAnsi="宋体"/>
          <w:sz w:val="24"/>
        </w:rPr>
        <w:t xml:space="preserve">1. 订立时间：          年       月      日。 </w:t>
      </w:r>
    </w:p>
    <w:p>
      <w:pPr>
        <w:spacing w:line="360" w:lineRule="auto"/>
        <w:ind w:firstLine="480" w:firstLineChars="200"/>
        <w:rPr>
          <w:rFonts w:ascii="宋体" w:hAnsi="宋体"/>
          <w:sz w:val="24"/>
        </w:rPr>
      </w:pPr>
      <w:r>
        <w:rPr>
          <w:rFonts w:ascii="宋体" w:hAnsi="宋体"/>
          <w:sz w:val="24"/>
        </w:rPr>
        <w:t xml:space="preserve">2. 订立地点：                             。 </w:t>
      </w:r>
    </w:p>
    <w:p>
      <w:pPr>
        <w:spacing w:line="360" w:lineRule="auto"/>
        <w:ind w:firstLine="480" w:firstLineChars="200"/>
        <w:rPr>
          <w:rFonts w:ascii="宋体" w:hAnsi="宋体"/>
          <w:sz w:val="24"/>
        </w:rPr>
      </w:pPr>
      <w:r>
        <w:rPr>
          <w:rFonts w:ascii="宋体" w:hAnsi="宋体"/>
          <w:sz w:val="24"/>
        </w:rPr>
        <w:t xml:space="preserve">3.  本合同一式     份，具有同等法律效力，双方各执     份。   </w:t>
      </w:r>
    </w:p>
    <w:p>
      <w:pPr>
        <w:spacing w:line="360" w:lineRule="auto"/>
        <w:ind w:left="479" w:leftChars="228"/>
        <w:rPr>
          <w:rFonts w:ascii="宋体" w:hAnsi="宋体"/>
          <w:sz w:val="24"/>
        </w:rPr>
      </w:pPr>
      <w:r>
        <w:rPr>
          <w:rFonts w:ascii="宋体" w:hAnsi="宋体"/>
          <w:sz w:val="24"/>
        </w:rPr>
        <w:t xml:space="preserve">委托人：     （盖章）               </w:t>
      </w:r>
      <w:r>
        <w:rPr>
          <w:rFonts w:hint="eastAsia" w:ascii="宋体" w:hAnsi="宋体"/>
          <w:sz w:val="24"/>
        </w:rPr>
        <w:t xml:space="preserve">     </w:t>
      </w:r>
      <w:r>
        <w:rPr>
          <w:rFonts w:ascii="宋体" w:hAnsi="宋体"/>
          <w:sz w:val="24"/>
        </w:rPr>
        <w:t xml:space="preserve">监理人：    （盖章）          </w:t>
      </w:r>
      <w:r>
        <w:rPr>
          <w:rFonts w:hint="eastAsia" w:ascii="宋体" w:hAnsi="宋体"/>
          <w:sz w:val="24"/>
        </w:rPr>
        <w:t xml:space="preserve">      </w:t>
      </w:r>
      <w:r>
        <w:rPr>
          <w:rFonts w:ascii="宋体" w:hAnsi="宋体"/>
          <w:sz w:val="24"/>
        </w:rPr>
        <w:t xml:space="preserve">住所：                          </w:t>
      </w:r>
      <w:r>
        <w:rPr>
          <w:rFonts w:hint="eastAsia" w:ascii="宋体" w:hAnsi="宋体"/>
          <w:sz w:val="24"/>
        </w:rPr>
        <w:t xml:space="preserve">                 </w:t>
      </w:r>
      <w:r>
        <w:rPr>
          <w:rFonts w:ascii="宋体" w:hAnsi="宋体"/>
          <w:sz w:val="24"/>
        </w:rPr>
        <w:t xml:space="preserve">住所：                        </w:t>
      </w:r>
    </w:p>
    <w:p>
      <w:pPr>
        <w:spacing w:line="360" w:lineRule="auto"/>
        <w:ind w:left="479" w:leftChars="228"/>
        <w:rPr>
          <w:rFonts w:ascii="宋体" w:hAnsi="宋体"/>
          <w:sz w:val="24"/>
        </w:rPr>
      </w:pPr>
      <w:r>
        <w:rPr>
          <w:rFonts w:ascii="宋体" w:hAnsi="宋体"/>
          <w:sz w:val="24"/>
        </w:rPr>
        <w:t>邮政编码：</w:t>
      </w:r>
      <w:r>
        <w:rPr>
          <w:rFonts w:hint="eastAsia" w:ascii="宋体" w:hAnsi="宋体"/>
          <w:sz w:val="24"/>
        </w:rPr>
        <w:t xml:space="preserve">      </w:t>
      </w:r>
      <w:r>
        <w:rPr>
          <w:rFonts w:ascii="宋体" w:hAnsi="宋体"/>
          <w:sz w:val="24"/>
        </w:rPr>
        <w:t xml:space="preserve">邮政编码：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法定代表人或其授权的代理人：（签字）   法定代表人或其授权 的代理人：（签字）            </w:t>
      </w:r>
    </w:p>
    <w:p>
      <w:pPr>
        <w:spacing w:line="360" w:lineRule="auto"/>
        <w:ind w:left="479" w:leftChars="228"/>
        <w:rPr>
          <w:rFonts w:ascii="宋体" w:hAnsi="宋体"/>
          <w:sz w:val="24"/>
        </w:rPr>
      </w:pPr>
      <w:r>
        <w:rPr>
          <w:rFonts w:ascii="宋体" w:hAnsi="宋体"/>
          <w:sz w:val="24"/>
        </w:rPr>
        <w:t xml:space="preserve">开户银行：                                  开户银行：                   </w:t>
      </w:r>
    </w:p>
    <w:p>
      <w:pPr>
        <w:spacing w:line="360" w:lineRule="auto"/>
        <w:ind w:firstLine="480" w:firstLineChars="200"/>
        <w:rPr>
          <w:rFonts w:ascii="宋体" w:hAnsi="宋体"/>
          <w:sz w:val="24"/>
        </w:rPr>
      </w:pPr>
      <w:r>
        <w:rPr>
          <w:rFonts w:ascii="宋体" w:hAnsi="宋体"/>
          <w:sz w:val="24"/>
        </w:rPr>
        <w:t xml:space="preserve">账号：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账号：   </w:t>
      </w:r>
    </w:p>
    <w:p>
      <w:pPr>
        <w:spacing w:line="360" w:lineRule="auto"/>
        <w:ind w:firstLine="480" w:firstLineChars="200"/>
        <w:rPr>
          <w:rFonts w:ascii="宋体" w:hAnsi="宋体"/>
          <w:sz w:val="24"/>
        </w:rPr>
      </w:pPr>
      <w:r>
        <w:rPr>
          <w:rFonts w:ascii="宋体" w:hAnsi="宋体"/>
          <w:sz w:val="24"/>
        </w:rPr>
        <w:t xml:space="preserve">电话：                                      电话：                       </w:t>
      </w:r>
    </w:p>
    <w:p>
      <w:pPr>
        <w:spacing w:line="360" w:lineRule="auto"/>
        <w:ind w:firstLine="480" w:firstLineChars="200"/>
        <w:rPr>
          <w:rFonts w:ascii="宋体" w:hAnsi="宋体"/>
          <w:sz w:val="24"/>
        </w:rPr>
      </w:pPr>
      <w:r>
        <w:rPr>
          <w:rFonts w:ascii="宋体" w:hAnsi="宋体"/>
          <w:sz w:val="24"/>
        </w:rPr>
        <w:t xml:space="preserve">传真：                                      传真：                       </w:t>
      </w:r>
    </w:p>
    <w:p>
      <w:pPr>
        <w:spacing w:line="360" w:lineRule="auto"/>
        <w:ind w:firstLine="480" w:firstLineChars="200"/>
        <w:rPr>
          <w:rFonts w:ascii="宋体" w:hAnsi="宋体"/>
          <w:sz w:val="24"/>
        </w:rPr>
      </w:pPr>
      <w:r>
        <w:rPr>
          <w:rFonts w:ascii="宋体" w:hAnsi="宋体"/>
          <w:sz w:val="24"/>
        </w:rPr>
        <w:t xml:space="preserve">电子邮箱：                      </w:t>
      </w:r>
      <w:r>
        <w:rPr>
          <w:rFonts w:hint="eastAsia" w:ascii="宋体" w:hAnsi="宋体"/>
          <w:sz w:val="24"/>
        </w:rPr>
        <w:t xml:space="preserve">            </w:t>
      </w:r>
      <w:r>
        <w:rPr>
          <w:rFonts w:ascii="宋体" w:hAnsi="宋体"/>
          <w:sz w:val="24"/>
        </w:rPr>
        <w:t xml:space="preserve">电子邮箱：     </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2" w:firstLineChars="200"/>
        <w:rPr>
          <w:rFonts w:ascii="宋体" w:hAnsi="宋体"/>
          <w:b/>
          <w:bCs/>
          <w:sz w:val="24"/>
        </w:rPr>
      </w:pPr>
      <w:r>
        <w:rPr>
          <w:rFonts w:hint="eastAsia" w:ascii="宋体" w:hAnsi="宋体"/>
          <w:b/>
          <w:bCs/>
          <w:sz w:val="24"/>
        </w:rPr>
        <w:t>合同主要内容：</w:t>
      </w:r>
      <w:r>
        <w:rPr>
          <w:rFonts w:ascii="宋体" w:hAnsi="宋体"/>
          <w:b/>
          <w:bCs/>
          <w:sz w:val="24"/>
        </w:rPr>
        <w:t xml:space="preserve"> </w:t>
      </w:r>
    </w:p>
    <w:p>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color w:val="auto"/>
          <w:sz w:val="24"/>
          <w:u w:val="single"/>
        </w:rPr>
      </w:pPr>
      <w:r>
        <w:rPr>
          <w:rFonts w:hint="eastAsia" w:ascii="宋体" w:hAnsi="宋体" w:cs="宋体"/>
          <w:bCs/>
          <w:color w:val="auto"/>
          <w:sz w:val="24"/>
          <w:u w:val="single"/>
        </w:rPr>
        <w:t>工程名称：宝丰县交通运输局宝丰县乡村振兴农村路网升级改造工程（一期）项目</w:t>
      </w:r>
      <w:r>
        <w:rPr>
          <w:rFonts w:hint="eastAsia" w:ascii="宋体" w:hAnsi="宋体" w:cs="宋体"/>
          <w:color w:val="auto"/>
          <w:sz w:val="24"/>
          <w:u w:val="single"/>
        </w:rPr>
        <w:t>（1）工程概述：</w:t>
      </w:r>
    </w:p>
    <w:p>
      <w:pPr>
        <w:adjustRightInd w:val="0"/>
        <w:snapToGrid w:val="0"/>
        <w:spacing w:line="360" w:lineRule="auto"/>
        <w:ind w:firstLine="480" w:firstLineChars="200"/>
        <w:jc w:val="left"/>
        <w:rPr>
          <w:rFonts w:hint="eastAsia" w:ascii="宋体" w:hAnsi="宋体" w:cs="宋体"/>
          <w:sz w:val="24"/>
          <w:u w:val="single"/>
        </w:rPr>
      </w:pPr>
      <w:r>
        <w:rPr>
          <w:rFonts w:hint="eastAsia" w:ascii="宋体" w:hAnsi="宋体" w:cs="宋体"/>
          <w:sz w:val="24"/>
          <w:u w:val="single"/>
        </w:rPr>
        <w:t>本项目位于平顶山市宝丰县，为宝丰县农村公路升级改造项目，共涉及赵庄镇、商酒务镇、张八桥镇、观音堂林业生态旅游示范区、大营镇、杨庄镇、周庄镇、闹店镇、李庄乡、石桥镇、肖旗乡、前营乡 12 个乡镇共 191 条路。总里程116.980Km，其中 94 条沥青路，里程 90.192 公里；97 条水泥混凝土路，里程 26.788 公里。拟建道路双车道道路等级为四级公路（I 类），设计速度 20Km/h；单车道道路等级为四级公路（II类），设计车速 15Km/h。</w:t>
      </w:r>
    </w:p>
    <w:p>
      <w:pPr>
        <w:keepNext w:val="0"/>
        <w:keepLines w:val="0"/>
        <w:pageBreakBefore w:val="0"/>
        <w:kinsoku/>
        <w:wordWrap/>
        <w:overflowPunct/>
        <w:topLinePunct w:val="0"/>
        <w:bidi w:val="0"/>
        <w:adjustRightInd w:val="0"/>
        <w:snapToGrid w:val="0"/>
        <w:spacing w:line="360" w:lineRule="auto"/>
        <w:ind w:firstLine="482" w:firstLineChars="200"/>
        <w:textAlignment w:val="auto"/>
        <w:rPr>
          <w:rFonts w:ascii="宋体" w:hAnsi="宋体"/>
          <w:b/>
          <w:color w:val="auto"/>
          <w:sz w:val="24"/>
          <w:u w:val="single"/>
        </w:rPr>
      </w:pPr>
      <w:r>
        <w:rPr>
          <w:rFonts w:hint="eastAsia" w:ascii="宋体" w:hAnsi="宋体"/>
          <w:b/>
          <w:color w:val="auto"/>
          <w:sz w:val="24"/>
          <w:u w:val="single"/>
        </w:rPr>
        <w:t>监理服务期限：</w:t>
      </w:r>
      <w:r>
        <w:rPr>
          <w:rFonts w:hint="eastAsia" w:ascii="宋体" w:hAnsi="宋体"/>
          <w:color w:val="auto"/>
          <w:sz w:val="24"/>
          <w:u w:val="single"/>
        </w:rPr>
        <w:t>同施工及缺陷责任期</w:t>
      </w:r>
    </w:p>
    <w:p>
      <w:pPr>
        <w:keepNext w:val="0"/>
        <w:keepLines w:val="0"/>
        <w:pageBreakBefore w:val="0"/>
        <w:kinsoku/>
        <w:wordWrap/>
        <w:overflowPunct/>
        <w:topLinePunct w:val="0"/>
        <w:bidi w:val="0"/>
        <w:adjustRightInd w:val="0"/>
        <w:snapToGrid w:val="0"/>
        <w:spacing w:line="360" w:lineRule="auto"/>
        <w:ind w:firstLine="482" w:firstLineChars="200"/>
        <w:textAlignment w:val="auto"/>
        <w:rPr>
          <w:rFonts w:ascii="宋体" w:hAnsi="宋体"/>
          <w:bCs/>
          <w:color w:val="auto"/>
          <w:sz w:val="24"/>
          <w:u w:val="single"/>
        </w:rPr>
      </w:pPr>
      <w:r>
        <w:rPr>
          <w:rFonts w:hint="eastAsia" w:ascii="宋体" w:hAnsi="宋体"/>
          <w:b/>
          <w:color w:val="auto"/>
          <w:sz w:val="24"/>
          <w:u w:val="single"/>
        </w:rPr>
        <w:t>质    量：</w:t>
      </w:r>
      <w:r>
        <w:rPr>
          <w:rFonts w:hint="eastAsia" w:ascii="宋体" w:hAnsi="宋体"/>
          <w:bCs/>
          <w:color w:val="auto"/>
          <w:sz w:val="24"/>
          <w:u w:val="single"/>
        </w:rPr>
        <w:t>合格             </w:t>
      </w:r>
    </w:p>
    <w:p>
      <w:pPr>
        <w:keepNext w:val="0"/>
        <w:keepLines w:val="0"/>
        <w:pageBreakBefore w:val="0"/>
        <w:kinsoku/>
        <w:wordWrap/>
        <w:overflowPunct/>
        <w:topLinePunct w:val="0"/>
        <w:bidi w:val="0"/>
        <w:adjustRightInd w:val="0"/>
        <w:snapToGrid w:val="0"/>
        <w:spacing w:line="360" w:lineRule="auto"/>
        <w:ind w:firstLine="482" w:firstLineChars="200"/>
        <w:textAlignment w:val="auto"/>
        <w:rPr>
          <w:rFonts w:ascii="宋体" w:hAnsi="宋体"/>
          <w:bCs/>
          <w:color w:val="auto"/>
          <w:sz w:val="24"/>
          <w:u w:val="single"/>
        </w:rPr>
      </w:pPr>
      <w:r>
        <w:rPr>
          <w:rFonts w:hint="eastAsia" w:ascii="宋体" w:hAnsi="宋体"/>
          <w:b/>
          <w:color w:val="auto"/>
          <w:sz w:val="24"/>
          <w:u w:val="single"/>
        </w:rPr>
        <w:t>价款或者报酬：</w:t>
      </w:r>
      <w:r>
        <w:rPr>
          <w:rFonts w:hint="eastAsia" w:ascii="宋体" w:hAnsi="宋体"/>
          <w:bCs/>
          <w:color w:val="auto"/>
          <w:sz w:val="24"/>
          <w:u w:val="single"/>
        </w:rPr>
        <w:t>按照中标金额在合同签订时执行</w:t>
      </w:r>
    </w:p>
    <w:p>
      <w:pPr>
        <w:keepNext w:val="0"/>
        <w:keepLines w:val="0"/>
        <w:pageBreakBefore w:val="0"/>
        <w:kinsoku/>
        <w:wordWrap/>
        <w:overflowPunct/>
        <w:topLinePunct w:val="0"/>
        <w:bidi w:val="0"/>
        <w:adjustRightInd w:val="0"/>
        <w:snapToGrid w:val="0"/>
        <w:spacing w:line="360" w:lineRule="auto"/>
        <w:ind w:firstLine="482" w:firstLineChars="200"/>
        <w:textAlignment w:val="auto"/>
        <w:rPr>
          <w:rFonts w:ascii="宋体" w:hAnsi="宋体"/>
          <w:color w:val="auto"/>
          <w:sz w:val="24"/>
        </w:rPr>
      </w:pPr>
      <w:r>
        <w:rPr>
          <w:rFonts w:hint="eastAsia" w:ascii="宋体" w:hAnsi="宋体"/>
          <w:b/>
          <w:color w:val="auto"/>
          <w:sz w:val="24"/>
          <w:u w:val="single"/>
        </w:rPr>
        <w:t>付款方式：</w:t>
      </w:r>
      <w:r>
        <w:rPr>
          <w:rFonts w:hint="eastAsia" w:ascii="宋体" w:hAnsi="宋体"/>
          <w:color w:val="auto"/>
          <w:sz w:val="24"/>
          <w:u w:val="single"/>
        </w:rPr>
        <w:t>工程量完成至 50%（或监理工期过半）时出具工程量确认书经招标人审核后，支付合同价款总额的 50%；工程竣工通过验收后，出具竣工验收报告后再支付合同价款总额的 40%；剩余10%在工程缺陷责任期满后一次性支付。</w:t>
      </w:r>
    </w:p>
    <w:p>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cs="宋体"/>
          <w:b/>
          <w:color w:val="auto"/>
          <w:sz w:val="24"/>
          <w:u w:val="single"/>
        </w:rPr>
      </w:pPr>
      <w:r>
        <w:rPr>
          <w:rFonts w:hint="eastAsia" w:ascii="宋体" w:hAnsi="宋体" w:cs="宋体"/>
          <w:b/>
          <w:color w:val="auto"/>
          <w:sz w:val="24"/>
          <w:u w:val="single"/>
        </w:rPr>
        <w:t>验收、交付标准和方法:</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bCs/>
          <w:color w:val="auto"/>
          <w:sz w:val="24"/>
          <w:u w:val="single"/>
        </w:rPr>
      </w:pPr>
      <w:r>
        <w:rPr>
          <w:rFonts w:hint="eastAsia" w:ascii="宋体" w:hAnsi="宋体" w:cs="宋体"/>
          <w:bCs/>
          <w:color w:val="auto"/>
          <w:sz w:val="24"/>
          <w:u w:val="single"/>
        </w:rPr>
        <w:t>（1）</w:t>
      </w:r>
      <w:r>
        <w:rPr>
          <w:rFonts w:hint="eastAsia" w:ascii="宋体" w:hAnsi="宋体" w:cs="宋体"/>
          <w:color w:val="auto"/>
          <w:sz w:val="24"/>
          <w:u w:val="single"/>
        </w:rPr>
        <w:t>验收时间：工程符合竣工验收条件后，供应商应向招标人申请验收。招标人自收到申请后，对于符合验收条件的，应自收到申请文件之日起3个工作日内组织竣工验收。</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bCs/>
          <w:color w:val="auto"/>
          <w:sz w:val="24"/>
          <w:u w:val="single"/>
        </w:rPr>
      </w:pPr>
      <w:r>
        <w:rPr>
          <w:rFonts w:hint="eastAsia" w:ascii="宋体" w:hAnsi="宋体" w:cs="宋体"/>
          <w:bCs/>
          <w:color w:val="auto"/>
          <w:sz w:val="24"/>
          <w:u w:val="single"/>
        </w:rPr>
        <w:t>（2）验收、交付标准：合格工程；施工应当遵守的或指导施工的国家、行业或地方的技术标准和要求，以及合同约定的技术标准和要求。</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bCs/>
          <w:color w:val="auto"/>
          <w:sz w:val="24"/>
          <w:u w:val="single"/>
        </w:rPr>
      </w:pPr>
      <w:r>
        <w:rPr>
          <w:rFonts w:hint="eastAsia" w:ascii="宋体" w:hAnsi="宋体" w:cs="宋体"/>
          <w:bCs/>
          <w:color w:val="auto"/>
          <w:sz w:val="24"/>
          <w:u w:val="single"/>
        </w:rPr>
        <w:t>（3）验收、交付方法：采购人、供应商及第三方验收机构成立验收小组，听取采购人、供应商对项目实施的情况汇报；现场查看和听取使用人使用情况汇报；察看工程情况；审阅项目相关资料；验收小组成员发表评价意见、形成验收报告等过程进行详细描述和提出要求；</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bCs/>
          <w:color w:val="auto"/>
          <w:sz w:val="24"/>
          <w:u w:val="single"/>
        </w:rPr>
      </w:pPr>
      <w:r>
        <w:rPr>
          <w:rFonts w:hint="eastAsia" w:ascii="宋体" w:hAnsi="宋体" w:cs="宋体"/>
          <w:bCs/>
          <w:color w:val="auto"/>
          <w:sz w:val="24"/>
          <w:u w:val="single"/>
        </w:rPr>
        <w:t>（4）验收、交付程序：1）、工程完工后，施工单位向建设单位提交工程竣工报告和验收申请，申请工程竣工验收 ；2）、建设单位收到工程竣工验收申请三个工作日内，对符合竣工验收要求的工程，组织勘察、设计、施工、监理等单位和其他有关方面的专家组成验收组，制定验收方案；3）、建设单位应当在工程竣工验收1个工作日前将验收的时间、地点及验收组名单通知负责监督该工程的工程监督机构；4）、建设单位组织工程竣工验收。5）、验收结果出具后1日内在宝丰县政府采购网进行公告。</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bCs/>
          <w:color w:val="auto"/>
          <w:sz w:val="24"/>
          <w:u w:val="single"/>
        </w:rPr>
      </w:pPr>
      <w:r>
        <w:rPr>
          <w:rFonts w:hint="eastAsia" w:ascii="宋体" w:hAnsi="宋体" w:cs="宋体"/>
          <w:bCs/>
          <w:color w:val="auto"/>
          <w:sz w:val="24"/>
          <w:u w:val="single"/>
        </w:rPr>
        <w:t>（5）、履约验收其他事项</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bCs/>
          <w:color w:val="auto"/>
          <w:sz w:val="24"/>
          <w:u w:val="single"/>
        </w:rPr>
      </w:pPr>
      <w:r>
        <w:rPr>
          <w:rFonts w:hint="eastAsia" w:ascii="宋体" w:hAnsi="宋体" w:cs="宋体"/>
          <w:bCs/>
          <w:color w:val="auto"/>
          <w:sz w:val="24"/>
          <w:u w:val="single"/>
        </w:rPr>
        <w:t xml:space="preserve">  双方验收完成1日内，将验收结果或验收报告在“宝丰县政府采购网”相关页面予以公示  </w:t>
      </w:r>
    </w:p>
    <w:p>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cs="宋体"/>
          <w:bCs/>
          <w:color w:val="auto"/>
          <w:sz w:val="24"/>
          <w:u w:val="single"/>
        </w:rPr>
      </w:pPr>
      <w:r>
        <w:rPr>
          <w:rFonts w:hint="eastAsia" w:ascii="宋体" w:hAnsi="宋体" w:cs="宋体"/>
          <w:b/>
          <w:color w:val="auto"/>
          <w:sz w:val="24"/>
          <w:u w:val="single"/>
        </w:rPr>
        <w:t>质量保修范围：</w:t>
      </w:r>
      <w:r>
        <w:rPr>
          <w:rFonts w:hint="eastAsia" w:ascii="宋体" w:hAnsi="宋体" w:cs="宋体"/>
          <w:bCs/>
          <w:color w:val="auto"/>
          <w:sz w:val="24"/>
          <w:u w:val="single"/>
        </w:rPr>
        <w:t>工程量清单范围内招标人发包的全部内容。</w:t>
      </w:r>
    </w:p>
    <w:p>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cs="宋体"/>
          <w:bCs/>
          <w:color w:val="auto"/>
          <w:sz w:val="24"/>
          <w:u w:val="single"/>
        </w:rPr>
      </w:pPr>
      <w:r>
        <w:rPr>
          <w:rFonts w:hint="eastAsia" w:ascii="宋体" w:hAnsi="宋体" w:cs="宋体"/>
          <w:b/>
          <w:color w:val="auto"/>
          <w:sz w:val="24"/>
          <w:u w:val="single"/>
        </w:rPr>
        <w:t>质量保修期：</w:t>
      </w:r>
      <w:r>
        <w:rPr>
          <w:rFonts w:hint="eastAsia" w:ascii="宋体" w:hAnsi="宋体" w:cs="宋体"/>
          <w:bCs/>
          <w:color w:val="auto"/>
          <w:sz w:val="24"/>
          <w:u w:val="single"/>
        </w:rPr>
        <w:t>工程竣工验收合格之日起2年</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bCs/>
          <w:color w:val="auto"/>
          <w:sz w:val="24"/>
          <w:u w:val="single"/>
        </w:rPr>
      </w:pPr>
      <w:r>
        <w:rPr>
          <w:rFonts w:hint="eastAsia" w:ascii="宋体" w:hAnsi="宋体" w:cs="宋体"/>
          <w:bCs/>
          <w:color w:val="auto"/>
          <w:sz w:val="24"/>
          <w:u w:val="single"/>
        </w:rPr>
        <w:t>1)、质量保修期内，工程本身质量原因造成的缺陷或质量问题，承包人应免费提供监理服务。发包人有权要求承包人适当延长质量保修期，并应在原质量保修期届满前发出延长通知。</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bCs/>
          <w:color w:val="auto"/>
          <w:sz w:val="24"/>
          <w:u w:val="single"/>
        </w:rPr>
      </w:pPr>
      <w:r>
        <w:rPr>
          <w:rFonts w:hint="eastAsia" w:ascii="宋体" w:hAnsi="宋体" w:cs="宋体"/>
          <w:bCs/>
          <w:color w:val="auto"/>
          <w:sz w:val="24"/>
          <w:u w:val="single"/>
        </w:rPr>
        <w:t>2)、因工程的缺陷、损坏造成的人身伤害和财产损失，将依法追究责任方法律责任，所产生的赔偿费用并由责任方承担。</w:t>
      </w:r>
    </w:p>
    <w:p>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cs="宋体"/>
          <w:b/>
          <w:bCs/>
          <w:color w:val="auto"/>
          <w:sz w:val="24"/>
          <w:u w:val="single"/>
        </w:rPr>
      </w:pPr>
      <w:r>
        <w:rPr>
          <w:rFonts w:hint="eastAsia" w:ascii="宋体" w:hAnsi="宋体" w:cs="宋体"/>
          <w:b/>
          <w:bCs/>
          <w:color w:val="auto"/>
          <w:sz w:val="24"/>
          <w:u w:val="single"/>
        </w:rPr>
        <w:t>违约责任及解决争议办法：</w:t>
      </w:r>
    </w:p>
    <w:p>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cs="宋体"/>
          <w:b/>
          <w:bCs/>
          <w:color w:val="auto"/>
          <w:sz w:val="24"/>
          <w:u w:val="single"/>
        </w:rPr>
      </w:pPr>
      <w:bookmarkStart w:id="717" w:name="_bookmark253"/>
      <w:bookmarkEnd w:id="717"/>
      <w:r>
        <w:rPr>
          <w:rFonts w:hint="eastAsia" w:ascii="宋体" w:hAnsi="宋体" w:cs="宋体"/>
          <w:b/>
          <w:bCs/>
          <w:color w:val="auto"/>
          <w:sz w:val="24"/>
          <w:u w:val="single"/>
        </w:rPr>
        <w:t>1、违约责任</w:t>
      </w:r>
    </w:p>
    <w:p>
      <w:pPr>
        <w:pStyle w:val="10"/>
        <w:keepNext w:val="0"/>
        <w:keepLines w:val="0"/>
        <w:pageBreakBefore w:val="0"/>
        <w:kinsoku/>
        <w:wordWrap/>
        <w:overflowPunct/>
        <w:topLinePunct w:val="0"/>
        <w:bidi w:val="0"/>
        <w:adjustRightInd w:val="0"/>
        <w:snapToGrid w:val="0"/>
        <w:spacing w:before="0" w:beforeAutospacing="0" w:line="360" w:lineRule="auto"/>
        <w:ind w:firstLine="480" w:firstLineChars="200"/>
        <w:textAlignment w:val="auto"/>
        <w:rPr>
          <w:rFonts w:hint="eastAsia" w:ascii="宋体" w:hAnsi="宋体" w:cs="宋体"/>
          <w:color w:val="auto"/>
          <w:sz w:val="24"/>
          <w:u w:val="single"/>
        </w:rPr>
      </w:pPr>
      <w:r>
        <w:rPr>
          <w:rFonts w:hint="eastAsia" w:ascii="宋体" w:hAnsi="宋体" w:cs="宋体"/>
          <w:color w:val="auto"/>
          <w:sz w:val="24"/>
          <w:u w:val="single"/>
        </w:rPr>
        <w:t>1.1、承包人违约</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bCs/>
          <w:color w:val="auto"/>
          <w:sz w:val="24"/>
          <w:u w:val="single"/>
        </w:rPr>
      </w:pPr>
      <w:r>
        <w:rPr>
          <w:rFonts w:hint="eastAsia" w:ascii="宋体" w:hAnsi="宋体" w:cs="宋体"/>
          <w:bCs/>
          <w:color w:val="auto"/>
          <w:sz w:val="24"/>
          <w:u w:val="single"/>
        </w:rPr>
        <w:t>在合同履行过程中发生的承包人违约下列情形，属于承包人违约:</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bCs/>
          <w:color w:val="auto"/>
          <w:sz w:val="24"/>
          <w:u w:val="single"/>
        </w:rPr>
      </w:pPr>
      <w:r>
        <w:rPr>
          <w:rFonts w:hint="eastAsia" w:ascii="宋体" w:hAnsi="宋体" w:cs="宋体"/>
          <w:bCs/>
          <w:color w:val="auto"/>
          <w:sz w:val="24"/>
          <w:u w:val="single"/>
        </w:rPr>
        <w:t>1）承包人违反合同约定进行转包或违法分包的;</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bCs/>
          <w:color w:val="auto"/>
          <w:sz w:val="24"/>
          <w:u w:val="single"/>
        </w:rPr>
      </w:pPr>
      <w:r>
        <w:rPr>
          <w:rFonts w:hint="eastAsia" w:ascii="宋体" w:hAnsi="宋体" w:cs="宋体"/>
          <w:bCs/>
          <w:color w:val="auto"/>
          <w:sz w:val="24"/>
          <w:u w:val="single"/>
        </w:rPr>
        <w:t>2）承包人违反合同约定的;</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bCs/>
          <w:color w:val="auto"/>
          <w:sz w:val="24"/>
          <w:u w:val="single"/>
        </w:rPr>
      </w:pPr>
      <w:r>
        <w:rPr>
          <w:rFonts w:hint="eastAsia" w:ascii="宋体" w:hAnsi="宋体" w:cs="宋体"/>
          <w:bCs/>
          <w:color w:val="auto"/>
          <w:sz w:val="24"/>
          <w:u w:val="single"/>
        </w:rPr>
        <w:t>3）因承包人原因导致工程质量不符合合同要求的;</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bCs/>
          <w:color w:val="auto"/>
          <w:sz w:val="24"/>
          <w:u w:val="single"/>
        </w:rPr>
      </w:pPr>
      <w:r>
        <w:rPr>
          <w:rFonts w:hint="eastAsia" w:ascii="宋体" w:hAnsi="宋体" w:cs="宋体"/>
          <w:bCs/>
          <w:color w:val="auto"/>
          <w:sz w:val="24"/>
          <w:u w:val="single"/>
        </w:rPr>
        <w:t>4）承包人明确表示或者以其行为表明不履行合同主要义务的;</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bCs/>
          <w:color w:val="auto"/>
          <w:sz w:val="24"/>
          <w:u w:val="single"/>
        </w:rPr>
      </w:pPr>
      <w:r>
        <w:rPr>
          <w:rFonts w:hint="eastAsia" w:ascii="宋体" w:hAnsi="宋体" w:cs="宋体"/>
          <w:bCs/>
          <w:color w:val="auto"/>
          <w:sz w:val="24"/>
          <w:u w:val="single"/>
        </w:rPr>
        <w:t>5）承包人未能按照合同约定履行其他义务的。</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bCs/>
          <w:color w:val="auto"/>
          <w:sz w:val="24"/>
          <w:u w:val="single"/>
        </w:rPr>
      </w:pPr>
      <w:r>
        <w:rPr>
          <w:rFonts w:hint="eastAsia" w:ascii="宋体" w:hAnsi="宋体" w:cs="宋体"/>
          <w:bCs/>
          <w:color w:val="auto"/>
          <w:sz w:val="24"/>
          <w:u w:val="single"/>
        </w:rPr>
        <w:t>承包人发生除上述承包人违约的情形以外的其他违约情况时，无论合同是否解除，发包人均有权要求承包人承担因其违约行为而增加的费用和(或)延误的工期，可按照专用合同条款中约定承包人违约责任的承担方式和计算方法。</w:t>
      </w:r>
    </w:p>
    <w:p>
      <w:pPr>
        <w:pStyle w:val="10"/>
        <w:keepNext w:val="0"/>
        <w:keepLines w:val="0"/>
        <w:pageBreakBefore w:val="0"/>
        <w:kinsoku/>
        <w:wordWrap/>
        <w:overflowPunct/>
        <w:topLinePunct w:val="0"/>
        <w:bidi w:val="0"/>
        <w:adjustRightInd w:val="0"/>
        <w:snapToGrid w:val="0"/>
        <w:spacing w:before="0" w:beforeAutospacing="0" w:line="360" w:lineRule="auto"/>
        <w:ind w:firstLine="560"/>
        <w:textAlignment w:val="auto"/>
        <w:rPr>
          <w:rFonts w:hint="eastAsia" w:ascii="宋体" w:hAnsi="宋体" w:cs="宋体"/>
          <w:color w:val="auto"/>
          <w:sz w:val="24"/>
          <w:u w:val="single"/>
        </w:rPr>
      </w:pPr>
      <w:r>
        <w:rPr>
          <w:rFonts w:hint="eastAsia" w:ascii="宋体" w:hAnsi="宋体" w:cs="宋体"/>
          <w:color w:val="auto"/>
          <w:sz w:val="24"/>
          <w:u w:val="single"/>
        </w:rPr>
        <w:t>1.2 发包人违约</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bCs/>
          <w:color w:val="auto"/>
          <w:sz w:val="24"/>
          <w:u w:val="single"/>
        </w:rPr>
      </w:pPr>
      <w:r>
        <w:rPr>
          <w:rFonts w:hint="eastAsia" w:ascii="宋体" w:hAnsi="宋体" w:cs="宋体"/>
          <w:bCs/>
          <w:color w:val="auto"/>
          <w:sz w:val="24"/>
          <w:u w:val="single"/>
        </w:rPr>
        <w:t>在合同履行过程中发生的发包人违约下列情形，属于发包人违约:</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bCs/>
          <w:color w:val="auto"/>
          <w:sz w:val="24"/>
          <w:u w:val="single"/>
        </w:rPr>
      </w:pPr>
      <w:r>
        <w:rPr>
          <w:rFonts w:hint="eastAsia" w:ascii="宋体" w:hAnsi="宋体" w:cs="宋体"/>
          <w:bCs/>
          <w:color w:val="auto"/>
          <w:sz w:val="24"/>
          <w:u w:val="single"/>
        </w:rPr>
        <w:t>1）因发包人原因未能按合同约定支付合同价款的;</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bCs/>
          <w:color w:val="auto"/>
          <w:sz w:val="24"/>
          <w:u w:val="single"/>
        </w:rPr>
      </w:pPr>
      <w:r>
        <w:rPr>
          <w:rFonts w:hint="eastAsia" w:ascii="宋体" w:hAnsi="宋体" w:cs="宋体"/>
          <w:bCs/>
          <w:color w:val="auto"/>
          <w:sz w:val="24"/>
          <w:u w:val="single"/>
        </w:rPr>
        <w:t>2）发包人擅自取消合同中任何工作，但转由他人实施的;</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bCs/>
          <w:color w:val="auto"/>
          <w:sz w:val="24"/>
          <w:u w:val="single"/>
        </w:rPr>
      </w:pPr>
      <w:r>
        <w:rPr>
          <w:rFonts w:hint="eastAsia" w:ascii="宋体" w:hAnsi="宋体" w:cs="宋体"/>
          <w:bCs/>
          <w:color w:val="auto"/>
          <w:sz w:val="24"/>
          <w:u w:val="single"/>
        </w:rPr>
        <w:t>3）发包人无正当理由没有在约定期限内发出复工指示，导致承包人无法复工的;</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bCs/>
          <w:color w:val="auto"/>
          <w:sz w:val="24"/>
          <w:u w:val="single"/>
        </w:rPr>
      </w:pPr>
      <w:r>
        <w:rPr>
          <w:rFonts w:hint="eastAsia" w:ascii="宋体" w:hAnsi="宋体" w:cs="宋体"/>
          <w:bCs/>
          <w:color w:val="auto"/>
          <w:sz w:val="24"/>
          <w:u w:val="single"/>
        </w:rPr>
        <w:t>4）发包人明确表示或者以其行为表明不履行合同主要义务的;</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bCs/>
          <w:color w:val="auto"/>
          <w:sz w:val="24"/>
          <w:u w:val="single"/>
        </w:rPr>
      </w:pPr>
      <w:r>
        <w:rPr>
          <w:rFonts w:hint="eastAsia" w:ascii="宋体" w:hAnsi="宋体" w:cs="宋体"/>
          <w:bCs/>
          <w:color w:val="auto"/>
          <w:sz w:val="24"/>
          <w:u w:val="single"/>
        </w:rPr>
        <w:t>5）发包人未能按照合同约定履行其他义务的。</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bCs/>
          <w:color w:val="auto"/>
          <w:sz w:val="24"/>
          <w:u w:val="single"/>
        </w:rPr>
      </w:pPr>
      <w:r>
        <w:rPr>
          <w:rFonts w:hint="eastAsia" w:ascii="宋体" w:hAnsi="宋体" w:cs="宋体"/>
          <w:bCs/>
          <w:color w:val="auto"/>
          <w:sz w:val="24"/>
          <w:u w:val="single"/>
        </w:rPr>
        <w:t>发包人发生除“1、发包人无法继续履行或明确表示不履行或实质上已停止履行合同的；2、发包人不履行合同约定其他义务以外的”违约情况时，承包人可向发出通知，要求发包人采取有效措施纠正违约行为。发包人收到承包人通知后28天内仍不纠正违约行为的。发包人应承担因其违约给承包人增加的费用和(或)延误的工期，并支付承包人合理的利润。此外，合同当事人可在专用合同条款中另行约定发包人违约责任的承担方式和计算方法。</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cs="宋体"/>
          <w:bCs/>
          <w:color w:val="auto"/>
          <w:sz w:val="24"/>
          <w:u w:val="single"/>
        </w:rPr>
      </w:pPr>
      <w:r>
        <w:rPr>
          <w:rFonts w:hint="eastAsia" w:ascii="宋体" w:hAnsi="宋体" w:cs="宋体"/>
          <w:color w:val="auto"/>
          <w:sz w:val="24"/>
          <w:u w:val="single"/>
        </w:rPr>
        <w:t>1.3</w:t>
      </w:r>
      <w:r>
        <w:rPr>
          <w:rFonts w:hint="eastAsia" w:ascii="宋体" w:hAnsi="宋体" w:cs="宋体"/>
          <w:bCs/>
          <w:color w:val="auto"/>
          <w:sz w:val="24"/>
          <w:u w:val="single"/>
        </w:rPr>
        <w:t>第三人造成的违约：</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bCs/>
          <w:color w:val="auto"/>
          <w:sz w:val="24"/>
          <w:u w:val="single"/>
        </w:rPr>
      </w:pPr>
      <w:r>
        <w:rPr>
          <w:rFonts w:hint="eastAsia" w:ascii="宋体" w:hAnsi="宋体" w:cs="宋体"/>
          <w:bCs/>
          <w:color w:val="auto"/>
          <w:sz w:val="24"/>
          <w:u w:val="single"/>
        </w:rPr>
        <w:t>在履行合同过程中，一方当事人因第三人的原因造成违约的，应当向对方当事人承担违约责任。一方当事人和第三人之间的纠纷，依照法律规定或者按照约定解决。</w:t>
      </w:r>
    </w:p>
    <w:p>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cs="宋体"/>
          <w:b/>
          <w:bCs/>
          <w:color w:val="auto"/>
          <w:sz w:val="24"/>
          <w:u w:val="single"/>
        </w:rPr>
      </w:pPr>
      <w:r>
        <w:rPr>
          <w:rFonts w:hint="eastAsia" w:ascii="宋体" w:hAnsi="宋体" w:cs="宋体"/>
          <w:b/>
          <w:bCs/>
          <w:color w:val="auto"/>
          <w:sz w:val="24"/>
          <w:u w:val="single"/>
        </w:rPr>
        <w:t>2、 解决争议的办法</w:t>
      </w:r>
    </w:p>
    <w:p>
      <w:pPr>
        <w:pStyle w:val="10"/>
        <w:keepNext w:val="0"/>
        <w:keepLines w:val="0"/>
        <w:pageBreakBefore w:val="0"/>
        <w:kinsoku/>
        <w:wordWrap/>
        <w:overflowPunct/>
        <w:topLinePunct w:val="0"/>
        <w:bidi w:val="0"/>
        <w:adjustRightInd w:val="0"/>
        <w:snapToGrid w:val="0"/>
        <w:spacing w:before="0" w:beforeAutospacing="0" w:line="360" w:lineRule="auto"/>
        <w:ind w:right="104" w:firstLine="560"/>
        <w:textAlignment w:val="auto"/>
        <w:rPr>
          <w:rFonts w:hint="eastAsia" w:ascii="宋体" w:hAnsi="宋体" w:cs="宋体"/>
          <w:color w:val="auto"/>
          <w:sz w:val="24"/>
          <w:u w:val="single"/>
        </w:rPr>
      </w:pPr>
      <w:r>
        <w:rPr>
          <w:rFonts w:hint="eastAsia" w:ascii="宋体" w:hAnsi="宋体" w:cs="宋体"/>
          <w:color w:val="auto"/>
          <w:sz w:val="24"/>
          <w:u w:val="single"/>
        </w:rPr>
        <w:t>在履行合同中发生争议的，可以友好协商解决；协商解决不成的，可在专用合同条款中约定按下列一种方式解决：1）向约定的仲裁委员会申请仲裁；2）向有管辖权的人民法院提起诉讼。</w:t>
      </w: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rPr>
        <w:sectPr>
          <w:pgSz w:w="11910" w:h="16840"/>
          <w:pgMar w:top="1200" w:right="1260" w:bottom="1260" w:left="1540" w:header="891" w:footer="1078" w:gutter="0"/>
          <w:cols w:space="720" w:num="1"/>
        </w:sectPr>
      </w:pPr>
      <w:r>
        <w:rPr>
          <w:rFonts w:ascii="宋体" w:hAnsi="宋体"/>
          <w:sz w:val="24"/>
        </w:rPr>
        <w:t xml:space="preserve">            </w:t>
      </w:r>
    </w:p>
    <w:p>
      <w:pPr>
        <w:pStyle w:val="2"/>
        <w:spacing w:before="120" w:after="120" w:line="400" w:lineRule="exact"/>
        <w:jc w:val="center"/>
        <w:rPr>
          <w:rFonts w:ascii="宋体" w:hAnsi="宋体"/>
          <w:bCs w:val="0"/>
          <w:sz w:val="32"/>
        </w:rPr>
      </w:pPr>
      <w:bookmarkStart w:id="718" w:name="_Toc116314145"/>
      <w:bookmarkStart w:id="719" w:name="_Toc489430901"/>
      <w:bookmarkStart w:id="720" w:name="_Toc489430541"/>
      <w:bookmarkStart w:id="721" w:name="_Toc2315"/>
      <w:r>
        <w:rPr>
          <w:rFonts w:hint="eastAsia" w:ascii="宋体" w:hAnsi="宋体"/>
          <w:bCs w:val="0"/>
          <w:sz w:val="32"/>
        </w:rPr>
        <w:t>第五章技术标准及规范</w:t>
      </w:r>
      <w:bookmarkEnd w:id="705"/>
      <w:bookmarkEnd w:id="718"/>
      <w:bookmarkEnd w:id="719"/>
      <w:bookmarkEnd w:id="720"/>
      <w:bookmarkEnd w:id="721"/>
    </w:p>
    <w:p>
      <w:pPr>
        <w:rPr>
          <w:rFonts w:ascii="宋体" w:hAnsi="宋体"/>
          <w:sz w:val="36"/>
          <w:szCs w:val="36"/>
        </w:rPr>
      </w:pPr>
    </w:p>
    <w:p>
      <w:pPr>
        <w:numPr>
          <w:ilvl w:val="0"/>
          <w:numId w:val="4"/>
        </w:numPr>
        <w:autoSpaceDE w:val="0"/>
        <w:autoSpaceDN w:val="0"/>
        <w:adjustRightInd w:val="0"/>
        <w:spacing w:line="360" w:lineRule="auto"/>
        <w:ind w:firstLine="482" w:firstLineChars="200"/>
        <w:jc w:val="left"/>
        <w:rPr>
          <w:b/>
          <w:bCs/>
          <w:sz w:val="24"/>
          <w:u w:color="000000"/>
        </w:rPr>
      </w:pPr>
      <w:r>
        <w:rPr>
          <w:rFonts w:hint="eastAsia"/>
          <w:b/>
          <w:bCs/>
          <w:sz w:val="24"/>
          <w:u w:color="000000"/>
        </w:rPr>
        <w:t>适用的规范、标准和规程</w:t>
      </w:r>
    </w:p>
    <w:p>
      <w:pPr>
        <w:autoSpaceDE w:val="0"/>
        <w:autoSpaceDN w:val="0"/>
        <w:adjustRightInd w:val="0"/>
        <w:spacing w:line="360" w:lineRule="auto"/>
        <w:ind w:firstLine="480" w:firstLineChars="200"/>
        <w:jc w:val="left"/>
        <w:rPr>
          <w:sz w:val="24"/>
          <w:u w:color="000000"/>
        </w:rPr>
      </w:pPr>
      <w:r>
        <w:rPr>
          <w:sz w:val="24"/>
          <w:u w:color="000000"/>
        </w:rPr>
        <w:t>1.1</w:t>
      </w:r>
      <w:r>
        <w:rPr>
          <w:rFonts w:hint="eastAsia"/>
          <w:sz w:val="24"/>
          <w:u w:color="000000"/>
        </w:rPr>
        <w:t>本工程适用现行国家、行业和地方规范、标准和规程。构成合同文件的任何内容与适用的规范、标准和规程之间出现矛盾，监理人应书面要求发包人予以澄清，除发包人有特别指示外，监理人应按照最严格的标准执行。</w:t>
      </w:r>
    </w:p>
    <w:p>
      <w:pPr>
        <w:autoSpaceDE w:val="0"/>
        <w:autoSpaceDN w:val="0"/>
        <w:adjustRightInd w:val="0"/>
        <w:spacing w:line="360" w:lineRule="auto"/>
        <w:ind w:firstLine="480" w:firstLineChars="200"/>
        <w:jc w:val="left"/>
        <w:rPr>
          <w:b/>
          <w:bCs/>
          <w:sz w:val="24"/>
          <w:u w:color="000000"/>
        </w:rPr>
      </w:pPr>
      <w:r>
        <w:rPr>
          <w:sz w:val="24"/>
          <w:u w:color="000000"/>
        </w:rPr>
        <w:t>1.2</w:t>
      </w:r>
      <w:r>
        <w:rPr>
          <w:rFonts w:hint="eastAsia"/>
          <w:sz w:val="24"/>
          <w:u w:color="000000"/>
        </w:rPr>
        <w:t>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w:t>
      </w:r>
    </w:p>
    <w:p>
      <w:pPr>
        <w:autoSpaceDE w:val="0"/>
        <w:autoSpaceDN w:val="0"/>
        <w:adjustRightInd w:val="0"/>
        <w:spacing w:line="360" w:lineRule="auto"/>
        <w:ind w:firstLine="482" w:firstLineChars="200"/>
        <w:jc w:val="left"/>
        <w:rPr>
          <w:b/>
          <w:bCs/>
          <w:sz w:val="24"/>
          <w:u w:color="000000"/>
        </w:rPr>
      </w:pPr>
      <w:r>
        <w:rPr>
          <w:b/>
          <w:bCs/>
          <w:sz w:val="24"/>
          <w:u w:color="000000"/>
        </w:rPr>
        <w:t>2.</w:t>
      </w:r>
      <w:r>
        <w:rPr>
          <w:rFonts w:hint="eastAsia"/>
          <w:b/>
          <w:bCs/>
          <w:sz w:val="24"/>
          <w:u w:color="000000"/>
        </w:rPr>
        <w:t>施工、监理及验收规范</w:t>
      </w:r>
    </w:p>
    <w:p>
      <w:pPr>
        <w:autoSpaceDE w:val="0"/>
        <w:autoSpaceDN w:val="0"/>
        <w:adjustRightInd w:val="0"/>
        <w:spacing w:line="360" w:lineRule="auto"/>
        <w:ind w:firstLine="480" w:firstLineChars="200"/>
        <w:jc w:val="left"/>
        <w:rPr>
          <w:sz w:val="24"/>
          <w:u w:color="000000"/>
        </w:rPr>
      </w:pPr>
      <w:r>
        <w:rPr>
          <w:rFonts w:hint="eastAsia"/>
          <w:sz w:val="24"/>
          <w:u w:color="000000"/>
        </w:rPr>
        <w:t>本工程执行国家现行的与本工程有关的施工、监理及验收规范、标准图集、图纸设计等。</w:t>
      </w:r>
    </w:p>
    <w:p>
      <w:pPr>
        <w:numPr>
          <w:ilvl w:val="0"/>
          <w:numId w:val="5"/>
        </w:numPr>
        <w:autoSpaceDE w:val="0"/>
        <w:autoSpaceDN w:val="0"/>
        <w:adjustRightInd w:val="0"/>
        <w:spacing w:line="360" w:lineRule="auto"/>
        <w:ind w:firstLine="482" w:firstLineChars="200"/>
        <w:jc w:val="left"/>
        <w:rPr>
          <w:b/>
          <w:bCs/>
          <w:sz w:val="24"/>
          <w:u w:color="000000"/>
        </w:rPr>
      </w:pPr>
      <w:r>
        <w:rPr>
          <w:rFonts w:hint="eastAsia"/>
          <w:b/>
          <w:bCs/>
          <w:sz w:val="24"/>
          <w:u w:color="000000"/>
        </w:rPr>
        <w:t>主要质量检验评定标准</w:t>
      </w:r>
    </w:p>
    <w:p>
      <w:pPr>
        <w:autoSpaceDE w:val="0"/>
        <w:autoSpaceDN w:val="0"/>
        <w:adjustRightInd w:val="0"/>
        <w:spacing w:line="360" w:lineRule="auto"/>
        <w:ind w:firstLine="480" w:firstLineChars="200"/>
        <w:jc w:val="left"/>
        <w:rPr>
          <w:sz w:val="24"/>
          <w:u w:color="000000"/>
        </w:rPr>
      </w:pPr>
      <w:r>
        <w:rPr>
          <w:rFonts w:hint="eastAsia"/>
          <w:sz w:val="24"/>
          <w:u w:color="000000"/>
        </w:rPr>
        <w:t>本工程执行国家现行的与本工程有关的质量检验评定标准。</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pStyle w:val="2"/>
        <w:spacing w:before="120" w:after="120" w:line="400" w:lineRule="exact"/>
        <w:jc w:val="center"/>
        <w:rPr>
          <w:rFonts w:ascii="宋体" w:hAnsi="宋体"/>
          <w:bCs w:val="0"/>
          <w:sz w:val="32"/>
        </w:rPr>
      </w:pPr>
      <w:bookmarkStart w:id="722" w:name="_Toc116314146"/>
      <w:bookmarkStart w:id="723" w:name="_Toc9622"/>
      <w:bookmarkStart w:id="724" w:name="_Toc489430902"/>
      <w:bookmarkStart w:id="725" w:name="_Toc489430542"/>
      <w:bookmarkStart w:id="726" w:name="_Toc385317103"/>
      <w:r>
        <w:rPr>
          <w:rFonts w:hint="eastAsia" w:ascii="宋体" w:hAnsi="宋体"/>
          <w:bCs w:val="0"/>
          <w:sz w:val="32"/>
        </w:rPr>
        <w:t>第六章监理任务范围及监理工作大纲</w:t>
      </w:r>
      <w:bookmarkEnd w:id="722"/>
      <w:bookmarkEnd w:id="723"/>
      <w:bookmarkEnd w:id="724"/>
      <w:bookmarkEnd w:id="725"/>
      <w:bookmarkEnd w:id="726"/>
      <w:bookmarkStart w:id="727" w:name="_Toc148782775"/>
      <w:bookmarkStart w:id="728" w:name="_Toc489430903"/>
      <w:bookmarkStart w:id="729" w:name="_Toc489430543"/>
      <w:bookmarkStart w:id="730" w:name="_Toc3340"/>
      <w:bookmarkStart w:id="731" w:name="_Toc76438889"/>
      <w:bookmarkStart w:id="732" w:name="_Toc385317104"/>
      <w:bookmarkStart w:id="733" w:name="_Toc475691370"/>
    </w:p>
    <w:p>
      <w:pPr>
        <w:spacing w:line="360" w:lineRule="auto"/>
        <w:rPr>
          <w:rFonts w:ascii="宋体" w:hAnsi="宋体"/>
          <w:b/>
          <w:bCs/>
          <w:sz w:val="24"/>
        </w:rPr>
      </w:pPr>
    </w:p>
    <w:p>
      <w:pPr>
        <w:spacing w:line="360" w:lineRule="auto"/>
        <w:rPr>
          <w:rFonts w:ascii="宋体" w:hAnsi="宋体"/>
          <w:b/>
          <w:bCs/>
          <w:sz w:val="24"/>
        </w:rPr>
      </w:pPr>
      <w:r>
        <w:rPr>
          <w:rFonts w:hint="eastAsia" w:ascii="宋体" w:hAnsi="宋体"/>
          <w:b/>
          <w:bCs/>
          <w:sz w:val="24"/>
        </w:rPr>
        <w:t>监理任务范围</w:t>
      </w:r>
      <w:bookmarkEnd w:id="727"/>
      <w:bookmarkEnd w:id="728"/>
      <w:bookmarkEnd w:id="729"/>
      <w:bookmarkEnd w:id="730"/>
      <w:bookmarkEnd w:id="731"/>
      <w:bookmarkEnd w:id="732"/>
      <w:bookmarkEnd w:id="733"/>
      <w:r>
        <w:rPr>
          <w:rFonts w:hint="eastAsia" w:ascii="宋体" w:hAnsi="宋体"/>
          <w:b/>
          <w:bCs/>
          <w:sz w:val="24"/>
        </w:rPr>
        <w:t>：</w:t>
      </w:r>
    </w:p>
    <w:p>
      <w:pPr>
        <w:spacing w:line="360" w:lineRule="auto"/>
        <w:ind w:firstLine="592" w:firstLineChars="247"/>
        <w:rPr>
          <w:rFonts w:ascii="宋体" w:hAnsi="宋体"/>
          <w:bCs/>
          <w:sz w:val="24"/>
        </w:rPr>
      </w:pPr>
      <w:r>
        <w:rPr>
          <w:rFonts w:hint="eastAsia" w:ascii="宋体" w:hAnsi="宋体"/>
          <w:bCs/>
          <w:sz w:val="24"/>
        </w:rPr>
        <w:t>本工程建设监理的主要内容是控制工程建设的投资、工程质量、安全和建设工期。进行工程建设合同管理和信息管理，协调有关单位间的工作关系等。</w:t>
      </w:r>
    </w:p>
    <w:p>
      <w:pPr>
        <w:spacing w:line="360" w:lineRule="auto"/>
        <w:rPr>
          <w:rFonts w:ascii="宋体" w:hAnsi="宋体"/>
          <w:b/>
          <w:bCs/>
          <w:sz w:val="24"/>
        </w:rPr>
      </w:pPr>
      <w:bookmarkStart w:id="734" w:name="_Toc17880"/>
      <w:bookmarkStart w:id="735" w:name="_Toc385317105"/>
      <w:bookmarkStart w:id="736" w:name="_Toc489430904"/>
      <w:bookmarkStart w:id="737" w:name="_Toc475691371"/>
      <w:bookmarkStart w:id="738" w:name="_Toc148782776"/>
      <w:bookmarkStart w:id="739" w:name="_Toc76438890"/>
      <w:bookmarkStart w:id="740" w:name="_Toc489430544"/>
      <w:r>
        <w:rPr>
          <w:rFonts w:hint="eastAsia" w:ascii="宋体" w:hAnsi="宋体"/>
          <w:b/>
          <w:bCs/>
          <w:sz w:val="24"/>
        </w:rPr>
        <w:t>监理工作大纲</w:t>
      </w:r>
      <w:bookmarkEnd w:id="734"/>
      <w:bookmarkEnd w:id="735"/>
      <w:bookmarkEnd w:id="736"/>
      <w:bookmarkEnd w:id="737"/>
      <w:bookmarkEnd w:id="738"/>
      <w:bookmarkEnd w:id="739"/>
      <w:bookmarkEnd w:id="740"/>
      <w:r>
        <w:rPr>
          <w:rFonts w:hint="eastAsia" w:ascii="宋体" w:hAnsi="宋体"/>
          <w:b/>
          <w:bCs/>
          <w:sz w:val="24"/>
        </w:rPr>
        <w:t>：</w:t>
      </w:r>
    </w:p>
    <w:p>
      <w:pPr>
        <w:spacing w:line="360" w:lineRule="auto"/>
        <w:ind w:firstLine="592" w:firstLineChars="247"/>
        <w:rPr>
          <w:rFonts w:ascii="宋体" w:hAnsi="宋体"/>
          <w:bCs/>
          <w:sz w:val="24"/>
        </w:rPr>
      </w:pPr>
      <w:r>
        <w:rPr>
          <w:rFonts w:hint="eastAsia" w:ascii="宋体" w:hAnsi="宋体"/>
          <w:bCs/>
          <w:sz w:val="24"/>
        </w:rPr>
        <w:t>1、监理现场机构设置</w:t>
      </w:r>
    </w:p>
    <w:p>
      <w:pPr>
        <w:spacing w:line="360" w:lineRule="auto"/>
        <w:ind w:firstLine="592" w:firstLineChars="247"/>
        <w:rPr>
          <w:rFonts w:ascii="宋体" w:hAnsi="宋体"/>
          <w:bCs/>
          <w:sz w:val="24"/>
        </w:rPr>
      </w:pPr>
      <w:r>
        <w:rPr>
          <w:rFonts w:hint="eastAsia" w:ascii="宋体" w:hAnsi="宋体"/>
          <w:bCs/>
          <w:sz w:val="24"/>
        </w:rPr>
        <w:t>监理单位现场机构应合理、可行、符合项目需要。</w:t>
      </w:r>
    </w:p>
    <w:p>
      <w:pPr>
        <w:spacing w:line="360" w:lineRule="auto"/>
        <w:ind w:firstLine="592" w:firstLineChars="247"/>
        <w:rPr>
          <w:rFonts w:ascii="宋体" w:hAnsi="宋体"/>
          <w:bCs/>
          <w:sz w:val="24"/>
        </w:rPr>
      </w:pPr>
      <w:r>
        <w:rPr>
          <w:rFonts w:hint="eastAsia" w:ascii="宋体" w:hAnsi="宋体"/>
          <w:bCs/>
          <w:sz w:val="24"/>
        </w:rPr>
        <w:t>2、工程质量控制：</w:t>
      </w:r>
    </w:p>
    <w:p>
      <w:pPr>
        <w:spacing w:line="360" w:lineRule="auto"/>
        <w:ind w:firstLine="592" w:firstLineChars="247"/>
        <w:rPr>
          <w:rFonts w:ascii="宋体" w:hAnsi="宋体"/>
          <w:bCs/>
          <w:sz w:val="24"/>
        </w:rPr>
      </w:pPr>
      <w:r>
        <w:rPr>
          <w:rFonts w:hint="eastAsia" w:ascii="宋体" w:hAnsi="宋体"/>
          <w:bCs/>
          <w:sz w:val="24"/>
        </w:rPr>
        <w:t>监理人必须对工程质量进行严格控制。要求从原材料进场到成品完成全过程的进程质量控制。对材料、设备、施工工艺、施工技术等方面进行全面检查，杜绝不合格产品出现。</w:t>
      </w:r>
    </w:p>
    <w:p>
      <w:pPr>
        <w:spacing w:line="360" w:lineRule="auto"/>
        <w:ind w:firstLine="592" w:firstLineChars="247"/>
        <w:rPr>
          <w:rFonts w:ascii="宋体" w:hAnsi="宋体"/>
          <w:bCs/>
          <w:sz w:val="24"/>
        </w:rPr>
      </w:pPr>
      <w:r>
        <w:rPr>
          <w:rFonts w:hint="eastAsia" w:ascii="宋体" w:hAnsi="宋体"/>
          <w:bCs/>
          <w:sz w:val="24"/>
        </w:rPr>
        <w:t>3、工程工期控制：</w:t>
      </w:r>
    </w:p>
    <w:p>
      <w:pPr>
        <w:spacing w:line="360" w:lineRule="auto"/>
        <w:ind w:firstLine="592" w:firstLineChars="247"/>
        <w:rPr>
          <w:rFonts w:ascii="宋体" w:hAnsi="宋体"/>
          <w:bCs/>
          <w:sz w:val="24"/>
        </w:rPr>
      </w:pPr>
      <w:r>
        <w:rPr>
          <w:rFonts w:hint="eastAsia" w:ascii="宋体" w:hAnsi="宋体"/>
          <w:bCs/>
          <w:sz w:val="24"/>
        </w:rPr>
        <w:t>严格按合同工期控制工程施工工期，负责审查施工单位制定的网络计划，定期检查网络计划执行情况。根据实际情况督促审查施工单位调整网络计划，使其能够按期完工。</w:t>
      </w:r>
    </w:p>
    <w:p>
      <w:pPr>
        <w:spacing w:line="360" w:lineRule="auto"/>
        <w:ind w:firstLine="592" w:firstLineChars="247"/>
        <w:rPr>
          <w:rFonts w:ascii="宋体" w:hAnsi="宋体"/>
          <w:bCs/>
          <w:sz w:val="24"/>
        </w:rPr>
      </w:pPr>
      <w:r>
        <w:rPr>
          <w:rFonts w:hint="eastAsia" w:ascii="宋体" w:hAnsi="宋体"/>
          <w:bCs/>
          <w:sz w:val="24"/>
        </w:rPr>
        <w:t>4、工程投资控制：</w:t>
      </w:r>
    </w:p>
    <w:p>
      <w:pPr>
        <w:spacing w:line="360" w:lineRule="auto"/>
        <w:ind w:firstLine="592" w:firstLineChars="247"/>
        <w:rPr>
          <w:rFonts w:ascii="宋体" w:hAnsi="宋体"/>
          <w:bCs/>
          <w:sz w:val="24"/>
        </w:rPr>
      </w:pPr>
      <w:r>
        <w:rPr>
          <w:rFonts w:hint="eastAsia" w:ascii="宋体" w:hAnsi="宋体"/>
          <w:bCs/>
          <w:sz w:val="24"/>
        </w:rPr>
        <w:t>要求监理人严格控制各项工程变更，审查工程变更的合理性。一般不得突破工程预算，负责合格项目的验收签证，以此作为业主审查承包商工程量支付其工程款的基本依据。</w:t>
      </w:r>
    </w:p>
    <w:p>
      <w:pPr>
        <w:spacing w:line="360" w:lineRule="auto"/>
        <w:ind w:firstLine="592" w:firstLineChars="247"/>
        <w:rPr>
          <w:rFonts w:ascii="宋体" w:hAnsi="宋体"/>
          <w:bCs/>
          <w:sz w:val="24"/>
        </w:rPr>
      </w:pPr>
      <w:r>
        <w:rPr>
          <w:rFonts w:hint="eastAsia" w:ascii="宋体" w:hAnsi="宋体"/>
          <w:bCs/>
          <w:sz w:val="24"/>
        </w:rPr>
        <w:t>5、工程文明、安全控制：</w:t>
      </w:r>
    </w:p>
    <w:p>
      <w:pPr>
        <w:spacing w:line="360" w:lineRule="auto"/>
        <w:ind w:firstLine="592" w:firstLineChars="247"/>
        <w:rPr>
          <w:rFonts w:ascii="宋体" w:hAnsi="宋体"/>
          <w:bCs/>
          <w:sz w:val="24"/>
        </w:rPr>
      </w:pPr>
      <w:r>
        <w:rPr>
          <w:rFonts w:hint="eastAsia" w:ascii="宋体" w:hAnsi="宋体"/>
          <w:bCs/>
          <w:sz w:val="24"/>
        </w:rPr>
        <w:t>工程安全文明控制措施得力，不留隐患。</w:t>
      </w:r>
    </w:p>
    <w:p>
      <w:pPr>
        <w:spacing w:line="360" w:lineRule="auto"/>
        <w:ind w:firstLine="592" w:firstLineChars="247"/>
        <w:rPr>
          <w:rFonts w:ascii="宋体" w:hAnsi="宋体"/>
          <w:bCs/>
          <w:sz w:val="24"/>
        </w:rPr>
      </w:pPr>
      <w:r>
        <w:rPr>
          <w:rFonts w:hint="eastAsia" w:ascii="宋体" w:hAnsi="宋体"/>
          <w:bCs/>
          <w:sz w:val="24"/>
        </w:rPr>
        <w:t>6、工程合同管理、信息管理：</w:t>
      </w:r>
    </w:p>
    <w:p>
      <w:pPr>
        <w:spacing w:line="360" w:lineRule="auto"/>
        <w:ind w:firstLine="592" w:firstLineChars="247"/>
        <w:rPr>
          <w:rFonts w:ascii="宋体" w:hAnsi="宋体"/>
          <w:bCs/>
          <w:sz w:val="24"/>
        </w:rPr>
      </w:pPr>
      <w:r>
        <w:rPr>
          <w:rFonts w:hint="eastAsia" w:ascii="宋体" w:hAnsi="宋体"/>
          <w:bCs/>
          <w:sz w:val="24"/>
        </w:rPr>
        <w:t>监理单位合同管理、信息管理规范、合理</w:t>
      </w:r>
    </w:p>
    <w:p>
      <w:pPr>
        <w:spacing w:line="360" w:lineRule="auto"/>
        <w:ind w:firstLine="592" w:firstLineChars="247"/>
        <w:rPr>
          <w:rFonts w:ascii="宋体" w:hAnsi="宋体"/>
          <w:bCs/>
          <w:sz w:val="24"/>
        </w:rPr>
      </w:pPr>
      <w:r>
        <w:rPr>
          <w:rFonts w:hint="eastAsia" w:ascii="宋体" w:hAnsi="宋体"/>
          <w:bCs/>
          <w:sz w:val="24"/>
        </w:rPr>
        <w:t>7、工作关系协调：</w:t>
      </w:r>
    </w:p>
    <w:p>
      <w:pPr>
        <w:spacing w:line="360" w:lineRule="auto"/>
        <w:ind w:firstLine="592" w:firstLineChars="247"/>
        <w:rPr>
          <w:rFonts w:ascii="宋体" w:hAnsi="宋体"/>
          <w:bCs/>
          <w:sz w:val="24"/>
        </w:rPr>
      </w:pPr>
      <w:r>
        <w:rPr>
          <w:rFonts w:hint="eastAsia" w:ascii="宋体" w:hAnsi="宋体"/>
          <w:bCs/>
          <w:sz w:val="24"/>
        </w:rPr>
        <w:t>工程现场的施工单位必须接受监理人的监督管理。要求监理人协调好现场各有关单位的关系，处理解决各单位之间因工程施工而出现的矛盾和问题，协助业主办理与工程相关的所有手续。</w:t>
      </w:r>
    </w:p>
    <w:p>
      <w:pPr>
        <w:spacing w:line="360" w:lineRule="auto"/>
        <w:ind w:firstLine="592" w:firstLineChars="247"/>
        <w:rPr>
          <w:rFonts w:ascii="宋体" w:hAnsi="宋体"/>
          <w:bCs/>
          <w:sz w:val="24"/>
        </w:rPr>
      </w:pPr>
      <w:r>
        <w:rPr>
          <w:rFonts w:hint="eastAsia" w:ascii="宋体" w:hAnsi="宋体"/>
          <w:bCs/>
          <w:sz w:val="24"/>
        </w:rPr>
        <w:t>8、监理部设备投入：</w:t>
      </w:r>
    </w:p>
    <w:p>
      <w:pPr>
        <w:spacing w:line="360" w:lineRule="auto"/>
        <w:ind w:firstLine="592" w:firstLineChars="247"/>
        <w:rPr>
          <w:rFonts w:ascii="宋体" w:hAnsi="宋体"/>
          <w:bCs/>
          <w:sz w:val="24"/>
        </w:rPr>
      </w:pPr>
      <w:r>
        <w:rPr>
          <w:rFonts w:hint="eastAsia" w:ascii="宋体" w:hAnsi="宋体"/>
          <w:bCs/>
          <w:sz w:val="24"/>
        </w:rPr>
        <w:t>监理部拟投入设备应符合项目监理需求及监理工作需要。</w:t>
      </w:r>
    </w:p>
    <w:p>
      <w:pPr>
        <w:spacing w:line="360" w:lineRule="auto"/>
        <w:ind w:firstLine="592" w:firstLineChars="247"/>
        <w:rPr>
          <w:rFonts w:ascii="宋体" w:hAnsi="宋体"/>
          <w:bCs/>
          <w:sz w:val="24"/>
        </w:rPr>
      </w:pPr>
      <w:r>
        <w:rPr>
          <w:rFonts w:hint="eastAsia" w:ascii="宋体" w:hAnsi="宋体"/>
          <w:bCs/>
          <w:sz w:val="24"/>
        </w:rPr>
        <w:t>9、人员进驻计划：</w:t>
      </w:r>
    </w:p>
    <w:p>
      <w:pPr>
        <w:spacing w:line="360" w:lineRule="auto"/>
        <w:ind w:firstLine="592" w:firstLineChars="247"/>
        <w:rPr>
          <w:rFonts w:ascii="宋体" w:hAnsi="宋体"/>
          <w:sz w:val="36"/>
          <w:szCs w:val="36"/>
        </w:rPr>
      </w:pPr>
      <w:r>
        <w:rPr>
          <w:rFonts w:hint="eastAsia" w:ascii="宋体" w:hAnsi="宋体"/>
          <w:bCs/>
          <w:sz w:val="24"/>
        </w:rPr>
        <w:t>要求监理单位提出详细的人员进驻计划，非招标人要求，中标单位在监理服务期内应严格按照所投报的人员进驻计划安排人员进驻，人员进驻计划至少应包含各时期、各专业人员数量，进驻时间等，并保证所投报人员不得更换</w:t>
      </w:r>
      <w:bookmarkStart w:id="741" w:name="_Toc489430545"/>
      <w:bookmarkStart w:id="742" w:name="_Toc6817"/>
      <w:bookmarkStart w:id="743" w:name="_Toc489430905"/>
      <w:r>
        <w:rPr>
          <w:rFonts w:hint="eastAsia" w:ascii="宋体" w:hAnsi="宋体"/>
          <w:bCs/>
          <w:sz w:val="24"/>
        </w:rPr>
        <w:t>。</w:t>
      </w:r>
    </w:p>
    <w:p>
      <w:pPr>
        <w:pStyle w:val="2"/>
        <w:pageBreakBefore/>
        <w:spacing w:before="0" w:after="0" w:line="240" w:lineRule="auto"/>
        <w:jc w:val="center"/>
        <w:rPr>
          <w:rFonts w:ascii="宋体" w:hAnsi="宋体"/>
          <w:sz w:val="36"/>
          <w:szCs w:val="36"/>
        </w:rPr>
      </w:pPr>
      <w:bookmarkStart w:id="744" w:name="_Toc116314147"/>
      <w:r>
        <w:rPr>
          <w:rFonts w:hint="eastAsia" w:ascii="宋体" w:hAnsi="宋体"/>
          <w:sz w:val="36"/>
          <w:szCs w:val="36"/>
        </w:rPr>
        <w:t>第七章投标文件格式</w:t>
      </w:r>
      <w:bookmarkEnd w:id="741"/>
      <w:bookmarkEnd w:id="742"/>
      <w:bookmarkEnd w:id="743"/>
      <w:bookmarkEnd w:id="744"/>
    </w:p>
    <w:p>
      <w:pPr>
        <w:spacing w:line="440" w:lineRule="exact"/>
        <w:rPr>
          <w:rFonts w:ascii="宋体" w:hAnsi="宋体"/>
          <w:sz w:val="20"/>
          <w:szCs w:val="20"/>
        </w:rPr>
      </w:pPr>
    </w:p>
    <w:p>
      <w:pPr>
        <w:jc w:val="center"/>
        <w:rPr>
          <w:rFonts w:ascii="宋体" w:hAnsi="宋体"/>
          <w:sz w:val="20"/>
          <w:szCs w:val="20"/>
        </w:rPr>
      </w:pPr>
    </w:p>
    <w:p>
      <w:pPr>
        <w:spacing w:line="360" w:lineRule="auto"/>
        <w:jc w:val="center"/>
        <w:rPr>
          <w:rFonts w:ascii="宋体" w:hAnsi="宋体"/>
          <w:b/>
          <w:sz w:val="32"/>
          <w:szCs w:val="32"/>
        </w:rPr>
      </w:pPr>
      <w:r>
        <w:rPr>
          <w:rFonts w:hint="eastAsia" w:ascii="宋体" w:hAnsi="宋体"/>
          <w:b/>
          <w:sz w:val="32"/>
          <w:szCs w:val="32"/>
          <w:u w:val="single"/>
        </w:rPr>
        <w:t xml:space="preserve">                   </w:t>
      </w:r>
      <w:r>
        <w:rPr>
          <w:rFonts w:hint="eastAsia" w:ascii="宋体" w:hAnsi="宋体"/>
          <w:b/>
          <w:sz w:val="32"/>
          <w:szCs w:val="32"/>
        </w:rPr>
        <w:t>（项目名称及标段）</w:t>
      </w: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sz w:val="72"/>
          <w:szCs w:val="72"/>
        </w:rPr>
      </w:pPr>
      <w:r>
        <w:rPr>
          <w:rFonts w:hint="eastAsia" w:ascii="宋体" w:hAnsi="宋体"/>
          <w:sz w:val="72"/>
          <w:szCs w:val="72"/>
        </w:rPr>
        <w:t>投标文件</w:t>
      </w:r>
    </w:p>
    <w:p>
      <w:pPr>
        <w:spacing w:line="360" w:lineRule="auto"/>
        <w:jc w:val="center"/>
        <w:rPr>
          <w:rFonts w:ascii="宋体" w:hAnsi="宋体"/>
          <w:b/>
          <w:bCs/>
          <w:sz w:val="30"/>
          <w:szCs w:val="30"/>
        </w:rPr>
      </w:pPr>
      <w:r>
        <w:rPr>
          <w:rFonts w:hint="eastAsia" w:ascii="宋体" w:hAnsi="宋体"/>
          <w:b/>
          <w:bCs/>
          <w:sz w:val="30"/>
          <w:szCs w:val="30"/>
        </w:rPr>
        <w:t>采购编号：</w:t>
      </w:r>
    </w:p>
    <w:p>
      <w:pPr>
        <w:jc w:val="center"/>
        <w:rPr>
          <w:rFonts w:ascii="宋体" w:hAnsi="宋体"/>
          <w:sz w:val="72"/>
          <w:szCs w:val="72"/>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jc w:val="center"/>
        <w:rPr>
          <w:rFonts w:ascii="宋体" w:hAnsi="宋体"/>
          <w:sz w:val="28"/>
          <w:szCs w:val="28"/>
          <w:u w:val="single"/>
        </w:rPr>
      </w:pPr>
      <w:bookmarkStart w:id="745" w:name="_Toc475691373"/>
      <w:bookmarkStart w:id="746" w:name="_Toc489430546"/>
      <w:bookmarkStart w:id="747" w:name="_Toc152042576"/>
      <w:bookmarkStart w:id="748" w:name="_Toc152045787"/>
      <w:bookmarkStart w:id="749" w:name="_Toc489430906"/>
      <w:bookmarkStart w:id="750" w:name="_Toc407219655"/>
      <w:bookmarkStart w:id="751" w:name="_Toc144974856"/>
      <w:bookmarkStart w:id="752" w:name="_Toc30892"/>
      <w:r>
        <w:rPr>
          <w:rFonts w:hint="eastAsia" w:ascii="宋体" w:hAnsi="宋体"/>
          <w:sz w:val="28"/>
          <w:szCs w:val="28"/>
        </w:rPr>
        <w:t>投标人：</w:t>
      </w:r>
      <w:r>
        <w:rPr>
          <w:rFonts w:hint="eastAsia" w:ascii="宋体" w:hAnsi="宋体" w:cs="宋体"/>
          <w:sz w:val="24"/>
          <w:u w:val="single"/>
        </w:rPr>
        <w:t xml:space="preserve">                </w:t>
      </w:r>
      <w:r>
        <w:rPr>
          <w:rFonts w:hint="eastAsia" w:ascii="宋体" w:hAnsi="宋体"/>
          <w:sz w:val="28"/>
          <w:szCs w:val="28"/>
        </w:rPr>
        <w:t>（电子印章）</w:t>
      </w:r>
    </w:p>
    <w:p>
      <w:pPr>
        <w:jc w:val="center"/>
        <w:rPr>
          <w:rFonts w:ascii="宋体" w:hAnsi="宋体"/>
          <w:sz w:val="28"/>
          <w:szCs w:val="28"/>
        </w:rPr>
      </w:pPr>
      <w:r>
        <w:rPr>
          <w:rFonts w:hint="eastAsia" w:ascii="宋体" w:hAnsi="宋体"/>
          <w:sz w:val="28"/>
          <w:szCs w:val="28"/>
        </w:rPr>
        <w:t>法定代表人或其委托代理人：</w:t>
      </w:r>
      <w:r>
        <w:rPr>
          <w:rFonts w:hint="eastAsia" w:ascii="宋体" w:hAnsi="宋体" w:cs="宋体"/>
          <w:sz w:val="24"/>
          <w:u w:val="single"/>
        </w:rPr>
        <w:t xml:space="preserve">                  </w:t>
      </w:r>
      <w:r>
        <w:rPr>
          <w:rFonts w:hint="eastAsia" w:ascii="宋体" w:hAnsi="宋体"/>
          <w:sz w:val="28"/>
          <w:szCs w:val="28"/>
        </w:rPr>
        <w:t>（电子签章）</w:t>
      </w:r>
    </w:p>
    <w:p>
      <w:pPr>
        <w:jc w:val="center"/>
        <w:rPr>
          <w:rFonts w:ascii="宋体" w:hAnsi="宋体"/>
          <w:sz w:val="28"/>
          <w:szCs w:val="28"/>
        </w:rPr>
      </w:pPr>
      <w:r>
        <w:rPr>
          <w:rFonts w:hint="eastAsia" w:ascii="宋体" w:hAnsi="宋体"/>
          <w:sz w:val="28"/>
          <w:szCs w:val="28"/>
        </w:rPr>
        <w:t>年   月     日</w:t>
      </w:r>
    </w:p>
    <w:bookmarkEnd w:id="745"/>
    <w:bookmarkEnd w:id="746"/>
    <w:bookmarkEnd w:id="747"/>
    <w:bookmarkEnd w:id="748"/>
    <w:bookmarkEnd w:id="749"/>
    <w:bookmarkEnd w:id="750"/>
    <w:bookmarkEnd w:id="751"/>
    <w:bookmarkEnd w:id="752"/>
    <w:p>
      <w:pPr>
        <w:spacing w:line="540" w:lineRule="exact"/>
        <w:jc w:val="left"/>
        <w:rPr>
          <w:rFonts w:ascii="宋体" w:hAnsi="宋体"/>
        </w:rPr>
      </w:pPr>
      <w:r>
        <w:rPr>
          <w:rFonts w:hint="eastAsia" w:ascii="宋体" w:hAnsi="宋体"/>
        </w:rPr>
        <w:br w:type="page"/>
      </w:r>
      <w:bookmarkStart w:id="753" w:name="_Toc152042577"/>
      <w:bookmarkStart w:id="754" w:name="_Toc144974857"/>
      <w:bookmarkStart w:id="755" w:name="_Toc152045788"/>
    </w:p>
    <w:p>
      <w:pPr>
        <w:pStyle w:val="56"/>
        <w:jc w:val="center"/>
        <w:rPr>
          <w:rFonts w:ascii="宋体" w:hAnsi="宋体" w:eastAsia="宋体"/>
          <w:szCs w:val="23"/>
        </w:rPr>
      </w:pPr>
      <w:bookmarkStart w:id="756" w:name="_Toc152042578"/>
      <w:bookmarkStart w:id="757" w:name="_Toc116314148"/>
      <w:bookmarkStart w:id="758" w:name="_Toc489430547"/>
      <w:bookmarkStart w:id="759" w:name="_Toc152045789"/>
      <w:bookmarkStart w:id="760" w:name="_Toc31624"/>
      <w:bookmarkStart w:id="761" w:name="_Toc489430907"/>
      <w:bookmarkStart w:id="762" w:name="_Toc144974858"/>
      <w:r>
        <w:rPr>
          <w:rFonts w:hint="eastAsia" w:ascii="宋体" w:hAnsi="宋体" w:eastAsia="宋体"/>
          <w:b/>
          <w:sz w:val="30"/>
          <w:szCs w:val="30"/>
        </w:rPr>
        <w:t>一、投标函及投标函附录</w:t>
      </w:r>
      <w:bookmarkEnd w:id="756"/>
      <w:bookmarkEnd w:id="757"/>
      <w:bookmarkEnd w:id="758"/>
      <w:bookmarkEnd w:id="759"/>
      <w:bookmarkEnd w:id="760"/>
      <w:bookmarkEnd w:id="761"/>
      <w:bookmarkEnd w:id="762"/>
    </w:p>
    <w:p>
      <w:pPr>
        <w:pStyle w:val="56"/>
        <w:jc w:val="center"/>
        <w:rPr>
          <w:rFonts w:ascii="宋体" w:hAnsi="宋体" w:eastAsia="宋体"/>
          <w:szCs w:val="24"/>
        </w:rPr>
      </w:pPr>
      <w:bookmarkStart w:id="763" w:name="_Toc475691375"/>
      <w:bookmarkStart w:id="764" w:name="_Toc116314149"/>
      <w:bookmarkStart w:id="765" w:name="_Toc17776"/>
      <w:bookmarkStart w:id="766" w:name="_Toc489430908"/>
      <w:bookmarkStart w:id="767" w:name="_Toc407219657"/>
      <w:bookmarkStart w:id="768" w:name="_Toc489430548"/>
      <w:r>
        <w:rPr>
          <w:rFonts w:hint="eastAsia" w:ascii="宋体" w:hAnsi="宋体" w:eastAsia="宋体"/>
          <w:szCs w:val="24"/>
        </w:rPr>
        <w:t>（一）投标函</w:t>
      </w:r>
      <w:bookmarkEnd w:id="763"/>
      <w:bookmarkEnd w:id="764"/>
      <w:bookmarkEnd w:id="765"/>
      <w:bookmarkEnd w:id="766"/>
      <w:bookmarkEnd w:id="767"/>
      <w:bookmarkEnd w:id="768"/>
    </w:p>
    <w:p>
      <w:pPr>
        <w:spacing w:line="440" w:lineRule="exact"/>
        <w:rPr>
          <w:rFonts w:ascii="宋体" w:hAnsi="宋体"/>
          <w:sz w:val="24"/>
        </w:rPr>
      </w:pPr>
      <w:r>
        <w:rPr>
          <w:rFonts w:hint="eastAsia" w:ascii="宋体" w:hAnsi="宋体" w:cs="宋体"/>
          <w:sz w:val="24"/>
          <w:u w:val="single"/>
        </w:rPr>
        <w:t xml:space="preserve">                        </w:t>
      </w:r>
      <w:r>
        <w:rPr>
          <w:rFonts w:hint="eastAsia" w:ascii="宋体" w:hAnsi="宋体"/>
          <w:sz w:val="24"/>
        </w:rPr>
        <w:t>（招标人名称）：</w:t>
      </w:r>
    </w:p>
    <w:p>
      <w:pPr>
        <w:spacing w:line="360" w:lineRule="auto"/>
        <w:ind w:firstLine="480" w:firstLineChars="200"/>
        <w:rPr>
          <w:rFonts w:ascii="宋体" w:hAnsi="宋体"/>
          <w:sz w:val="24"/>
        </w:rPr>
      </w:pPr>
      <w:r>
        <w:rPr>
          <w:rFonts w:hint="eastAsia" w:ascii="宋体" w:hAnsi="宋体"/>
          <w:sz w:val="24"/>
        </w:rPr>
        <w:t>1．我方已仔细研究了</w:t>
      </w:r>
      <w:r>
        <w:rPr>
          <w:rFonts w:hint="eastAsia" w:ascii="宋体" w:hAnsi="宋体" w:cs="宋体"/>
          <w:sz w:val="24"/>
          <w:u w:val="single"/>
        </w:rPr>
        <w:t xml:space="preserve">               </w:t>
      </w:r>
      <w:r>
        <w:rPr>
          <w:rFonts w:hint="eastAsia" w:ascii="宋体" w:hAnsi="宋体" w:cs="宋体"/>
          <w:sz w:val="24"/>
        </w:rPr>
        <w:t>（项目名称及标段）招标文件</w:t>
      </w:r>
      <w:r>
        <w:rPr>
          <w:rFonts w:hint="eastAsia" w:ascii="宋体" w:hAnsi="宋体"/>
          <w:sz w:val="24"/>
        </w:rPr>
        <w:t>的全部内容，</w:t>
      </w:r>
      <w:r>
        <w:rPr>
          <w:rFonts w:ascii="宋体" w:hAnsi="宋体"/>
          <w:sz w:val="24"/>
        </w:rPr>
        <w:t>愿意以人民币（大写</w:t>
      </w:r>
      <w:r>
        <w:rPr>
          <w:rFonts w:ascii="宋体" w:hAnsi="宋体"/>
          <w:sz w:val="24"/>
          <w:u w:val="single"/>
        </w:rPr>
        <w:t xml:space="preserve">）         </w:t>
      </w:r>
      <w:r>
        <w:rPr>
          <w:rFonts w:hint="eastAsia" w:ascii="宋体" w:hAnsi="宋体"/>
          <w:sz w:val="24"/>
        </w:rPr>
        <w:t>（小写）</w:t>
      </w:r>
      <w:r>
        <w:rPr>
          <w:rFonts w:ascii="宋体" w:hAnsi="宋体"/>
          <w:sz w:val="24"/>
          <w:u w:val="single"/>
        </w:rPr>
        <w:t xml:space="preserve">           </w:t>
      </w:r>
      <w:r>
        <w:rPr>
          <w:rFonts w:ascii="宋体" w:hAnsi="宋体"/>
          <w:sz w:val="24"/>
        </w:rPr>
        <w:t>元</w:t>
      </w:r>
      <w:r>
        <w:rPr>
          <w:rFonts w:hint="eastAsia" w:ascii="宋体" w:hAnsi="宋体"/>
          <w:sz w:val="24"/>
        </w:rPr>
        <w:t>投标报价，按合同约定实施和完成监理服务。</w:t>
      </w:r>
    </w:p>
    <w:p>
      <w:pPr>
        <w:spacing w:line="360" w:lineRule="auto"/>
        <w:ind w:firstLine="480" w:firstLineChars="200"/>
        <w:rPr>
          <w:rFonts w:ascii="宋体" w:hAnsi="宋体"/>
          <w:sz w:val="24"/>
        </w:rPr>
      </w:pPr>
      <w:r>
        <w:rPr>
          <w:rFonts w:hint="eastAsia" w:ascii="宋体" w:hAnsi="宋体"/>
          <w:sz w:val="24"/>
        </w:rPr>
        <w:t>2．我方承诺投标有效期：</w:t>
      </w:r>
      <w:r>
        <w:rPr>
          <w:rFonts w:ascii="宋体" w:hAnsi="宋体"/>
          <w:sz w:val="24"/>
        </w:rPr>
        <w:t>90</w:t>
      </w:r>
      <w:r>
        <w:rPr>
          <w:rFonts w:hint="eastAsia" w:ascii="宋体" w:hAnsi="宋体"/>
          <w:sz w:val="24"/>
        </w:rPr>
        <w:t>日历天（投标截止之日起），有效期内不修改、撤销投标文件。</w:t>
      </w:r>
    </w:p>
    <w:p>
      <w:pPr>
        <w:spacing w:line="360" w:lineRule="auto"/>
        <w:ind w:firstLine="480" w:firstLineChars="200"/>
        <w:rPr>
          <w:rFonts w:ascii="宋体" w:hAnsi="宋体"/>
          <w:sz w:val="24"/>
        </w:rPr>
      </w:pPr>
      <w:r>
        <w:rPr>
          <w:rFonts w:hint="eastAsia" w:ascii="宋体" w:hAnsi="宋体"/>
          <w:sz w:val="24"/>
        </w:rPr>
        <w:t>3．随同本投标函提交投标保证金一份，金额为人民币</w:t>
      </w:r>
      <w:r>
        <w:rPr>
          <w:rFonts w:hint="eastAsia" w:ascii="宋体" w:hAnsi="宋体" w:cs="宋体"/>
          <w:sz w:val="24"/>
        </w:rPr>
        <w:t>（大写）</w:t>
      </w:r>
      <w:r>
        <w:rPr>
          <w:rFonts w:hint="eastAsia" w:ascii="宋体" w:hAnsi="宋体" w:cs="宋体"/>
          <w:sz w:val="24"/>
          <w:u w:val="single"/>
        </w:rPr>
        <w:t xml:space="preserve">       </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元 ）。</w:t>
      </w:r>
    </w:p>
    <w:p>
      <w:pPr>
        <w:spacing w:line="360" w:lineRule="auto"/>
        <w:ind w:firstLine="480" w:firstLineChars="200"/>
        <w:rPr>
          <w:rFonts w:ascii="宋体" w:hAnsi="宋体"/>
          <w:sz w:val="24"/>
        </w:rPr>
      </w:pPr>
      <w:r>
        <w:rPr>
          <w:rFonts w:hint="eastAsia" w:ascii="宋体" w:hAnsi="宋体"/>
          <w:sz w:val="24"/>
        </w:rPr>
        <w:t>4．如我方中标：</w:t>
      </w:r>
    </w:p>
    <w:p>
      <w:pPr>
        <w:spacing w:line="360" w:lineRule="auto"/>
        <w:ind w:firstLine="820" w:firstLineChars="342"/>
        <w:rPr>
          <w:rFonts w:ascii="宋体" w:hAnsi="宋体"/>
          <w:sz w:val="24"/>
        </w:rPr>
      </w:pPr>
      <w:r>
        <w:rPr>
          <w:rFonts w:hint="eastAsia" w:ascii="宋体" w:hAnsi="宋体"/>
          <w:sz w:val="24"/>
        </w:rPr>
        <w:t>（1）我方承诺在收到中标通知书后，在中标通知书规定的期限内与你方签订合同。</w:t>
      </w:r>
    </w:p>
    <w:p>
      <w:pPr>
        <w:spacing w:line="360" w:lineRule="auto"/>
        <w:ind w:firstLine="820" w:firstLineChars="342"/>
        <w:rPr>
          <w:rFonts w:ascii="宋体" w:hAnsi="宋体"/>
          <w:sz w:val="24"/>
        </w:rPr>
      </w:pPr>
      <w:r>
        <w:rPr>
          <w:rFonts w:hint="eastAsia" w:ascii="宋体" w:hAnsi="宋体"/>
          <w:sz w:val="24"/>
        </w:rPr>
        <w:t>（2）随同本投标函递交的投标函附录属于合同文件的组成部分。</w:t>
      </w:r>
    </w:p>
    <w:p>
      <w:pPr>
        <w:spacing w:line="360" w:lineRule="auto"/>
        <w:ind w:firstLine="820" w:firstLineChars="342"/>
        <w:rPr>
          <w:rFonts w:ascii="宋体" w:hAnsi="宋体"/>
          <w:sz w:val="24"/>
        </w:rPr>
      </w:pPr>
      <w:r>
        <w:rPr>
          <w:rFonts w:hint="eastAsia" w:ascii="宋体" w:hAnsi="宋体"/>
          <w:sz w:val="24"/>
        </w:rPr>
        <w:t>（3）我方承诺本工程监理确保在要求的工期内完工，并保证合格工程。</w:t>
      </w:r>
    </w:p>
    <w:p>
      <w:pPr>
        <w:spacing w:line="360" w:lineRule="auto"/>
        <w:ind w:firstLine="480" w:firstLineChars="200"/>
        <w:rPr>
          <w:rFonts w:ascii="宋体" w:hAnsi="宋体"/>
          <w:sz w:val="24"/>
        </w:rPr>
      </w:pPr>
      <w:r>
        <w:rPr>
          <w:rFonts w:hint="eastAsia" w:ascii="宋体" w:hAnsi="宋体"/>
          <w:sz w:val="24"/>
        </w:rPr>
        <w:t>5．我方在此声明，所递交的投标文件及有关资料内容完整、真实和准确。</w:t>
      </w:r>
    </w:p>
    <w:p>
      <w:pPr>
        <w:spacing w:line="360" w:lineRule="auto"/>
        <w:ind w:firstLine="480" w:firstLineChars="200"/>
        <w:rPr>
          <w:rFonts w:ascii="宋体" w:hAnsi="宋体"/>
          <w:sz w:val="24"/>
        </w:rPr>
      </w:pPr>
      <w:r>
        <w:rPr>
          <w:rFonts w:hint="eastAsia" w:ascii="宋体" w:hAnsi="宋体"/>
          <w:sz w:val="24"/>
        </w:rPr>
        <w:t>6.我方完全响应招标文件所有内容。</w:t>
      </w:r>
    </w:p>
    <w:p>
      <w:pPr>
        <w:spacing w:line="360" w:lineRule="auto"/>
        <w:ind w:firstLine="480" w:firstLineChars="200"/>
        <w:rPr>
          <w:rFonts w:ascii="宋体" w:hAnsi="宋体"/>
          <w:sz w:val="24"/>
        </w:rPr>
      </w:pPr>
    </w:p>
    <w:p>
      <w:pPr>
        <w:spacing w:line="440" w:lineRule="exact"/>
        <w:ind w:firstLine="4200" w:firstLineChars="1750"/>
        <w:rPr>
          <w:rFonts w:ascii="宋体" w:hAnsi="宋体"/>
          <w:sz w:val="24"/>
        </w:rPr>
      </w:pPr>
      <w:r>
        <w:rPr>
          <w:rFonts w:hint="eastAsia" w:ascii="宋体" w:hAnsi="宋体"/>
          <w:sz w:val="24"/>
        </w:rPr>
        <w:t>投标人：</w:t>
      </w:r>
      <w:r>
        <w:rPr>
          <w:rFonts w:hint="eastAsia" w:ascii="宋体" w:hAnsi="宋体" w:cs="宋体"/>
          <w:kern w:val="0"/>
          <w:sz w:val="24"/>
          <w:u w:val="single"/>
        </w:rPr>
        <w:t xml:space="preserve">                  </w:t>
      </w:r>
      <w:r>
        <w:rPr>
          <w:rFonts w:hint="eastAsia" w:ascii="宋体" w:hAnsi="宋体"/>
          <w:sz w:val="24"/>
        </w:rPr>
        <w:t>（电子印章）</w:t>
      </w:r>
    </w:p>
    <w:p>
      <w:pPr>
        <w:spacing w:line="440" w:lineRule="exact"/>
        <w:ind w:firstLine="2640" w:firstLineChars="1100"/>
        <w:rPr>
          <w:rFonts w:ascii="宋体" w:hAnsi="宋体"/>
          <w:sz w:val="24"/>
        </w:rPr>
      </w:pPr>
      <w:r>
        <w:rPr>
          <w:rFonts w:hint="eastAsia" w:ascii="宋体" w:hAnsi="宋体"/>
          <w:sz w:val="24"/>
        </w:rPr>
        <w:t>法定代表人或其委托代理人：</w:t>
      </w:r>
      <w:r>
        <w:rPr>
          <w:rFonts w:hint="eastAsia" w:ascii="宋体" w:hAnsi="宋体" w:cs="宋体"/>
          <w:kern w:val="0"/>
          <w:sz w:val="24"/>
          <w:u w:val="single"/>
        </w:rPr>
        <w:t xml:space="preserve">              </w:t>
      </w:r>
      <w:r>
        <w:rPr>
          <w:rFonts w:hint="eastAsia" w:ascii="宋体" w:hAnsi="宋体"/>
          <w:sz w:val="24"/>
        </w:rPr>
        <w:t>（电子签章）</w:t>
      </w:r>
    </w:p>
    <w:p>
      <w:pPr>
        <w:spacing w:line="440" w:lineRule="exact"/>
        <w:jc w:val="center"/>
        <w:rPr>
          <w:rFonts w:ascii="宋体" w:hAnsi="宋体"/>
          <w:kern w:val="0"/>
          <w:sz w:val="24"/>
        </w:rPr>
      </w:pPr>
    </w:p>
    <w:p>
      <w:pPr>
        <w:spacing w:line="440" w:lineRule="exact"/>
        <w:jc w:val="center"/>
        <w:rPr>
          <w:rFonts w:ascii="宋体" w:hAnsi="宋体"/>
          <w:kern w:val="0"/>
          <w:sz w:val="24"/>
        </w:rPr>
      </w:pPr>
    </w:p>
    <w:p>
      <w:pPr>
        <w:spacing w:line="440" w:lineRule="exact"/>
        <w:jc w:val="center"/>
        <w:rPr>
          <w:rFonts w:ascii="宋体" w:hAnsi="宋体"/>
          <w:kern w:val="0"/>
          <w:sz w:val="24"/>
        </w:rPr>
      </w:pPr>
    </w:p>
    <w:p>
      <w:pPr>
        <w:spacing w:line="440" w:lineRule="exact"/>
        <w:ind w:firstLine="5400" w:firstLineChars="2250"/>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440" w:lineRule="exact"/>
        <w:jc w:val="center"/>
        <w:rPr>
          <w:rFonts w:ascii="宋体" w:hAnsi="宋体"/>
          <w:kern w:val="0"/>
          <w:szCs w:val="21"/>
        </w:rPr>
      </w:pPr>
    </w:p>
    <w:p>
      <w:pPr>
        <w:spacing w:line="440" w:lineRule="exact"/>
        <w:jc w:val="center"/>
        <w:rPr>
          <w:rFonts w:ascii="宋体" w:hAnsi="宋体"/>
          <w:kern w:val="0"/>
          <w:szCs w:val="21"/>
        </w:rPr>
      </w:pPr>
    </w:p>
    <w:p>
      <w:pPr>
        <w:spacing w:line="440" w:lineRule="exact"/>
        <w:jc w:val="center"/>
        <w:rPr>
          <w:rFonts w:ascii="宋体" w:hAnsi="宋体"/>
          <w:kern w:val="0"/>
          <w:szCs w:val="21"/>
        </w:rPr>
      </w:pPr>
    </w:p>
    <w:p>
      <w:pPr>
        <w:spacing w:line="440" w:lineRule="exact"/>
        <w:jc w:val="center"/>
        <w:rPr>
          <w:rFonts w:ascii="宋体" w:hAnsi="宋体"/>
          <w:kern w:val="0"/>
          <w:szCs w:val="21"/>
        </w:rPr>
      </w:pPr>
    </w:p>
    <w:p>
      <w:pPr>
        <w:spacing w:line="440" w:lineRule="exact"/>
        <w:jc w:val="center"/>
        <w:rPr>
          <w:rFonts w:ascii="宋体" w:hAnsi="宋体"/>
          <w:kern w:val="0"/>
          <w:szCs w:val="21"/>
        </w:rPr>
      </w:pPr>
    </w:p>
    <w:p>
      <w:pPr>
        <w:spacing w:line="440" w:lineRule="exact"/>
        <w:jc w:val="center"/>
        <w:rPr>
          <w:rFonts w:ascii="宋体" w:hAnsi="宋体"/>
          <w:kern w:val="0"/>
          <w:szCs w:val="21"/>
        </w:rPr>
      </w:pPr>
    </w:p>
    <w:bookmarkEnd w:id="753"/>
    <w:bookmarkEnd w:id="754"/>
    <w:bookmarkEnd w:id="755"/>
    <w:p>
      <w:pPr>
        <w:spacing w:line="440" w:lineRule="exact"/>
        <w:rPr>
          <w:rFonts w:ascii="宋体" w:hAnsi="宋体"/>
          <w:kern w:val="0"/>
          <w:szCs w:val="21"/>
        </w:rPr>
      </w:pPr>
    </w:p>
    <w:p>
      <w:pPr>
        <w:spacing w:line="440" w:lineRule="exact"/>
        <w:rPr>
          <w:rFonts w:ascii="宋体" w:hAnsi="宋体"/>
          <w:kern w:val="0"/>
          <w:szCs w:val="21"/>
        </w:rPr>
      </w:pPr>
    </w:p>
    <w:p>
      <w:pPr>
        <w:pStyle w:val="56"/>
        <w:numPr>
          <w:ilvl w:val="0"/>
          <w:numId w:val="6"/>
        </w:numPr>
        <w:jc w:val="center"/>
        <w:rPr>
          <w:rFonts w:ascii="宋体" w:hAnsi="宋体" w:eastAsia="宋体"/>
          <w:szCs w:val="23"/>
        </w:rPr>
      </w:pPr>
      <w:bookmarkStart w:id="769" w:name="_Toc152042579"/>
      <w:bookmarkStart w:id="770" w:name="_Toc152045790"/>
      <w:bookmarkStart w:id="771" w:name="_Toc489430549"/>
      <w:bookmarkStart w:id="772" w:name="_Toc407219658"/>
      <w:bookmarkStart w:id="773" w:name="_Toc489430909"/>
      <w:bookmarkStart w:id="774" w:name="_Toc239650415"/>
      <w:bookmarkStart w:id="775" w:name="_Toc144974859"/>
      <w:bookmarkStart w:id="776" w:name="_Toc475691376"/>
      <w:bookmarkStart w:id="777" w:name="_Toc13296"/>
      <w:bookmarkStart w:id="778" w:name="_Toc116314150"/>
      <w:r>
        <w:rPr>
          <w:rFonts w:hint="eastAsia" w:ascii="宋体" w:hAnsi="宋体" w:eastAsia="宋体"/>
          <w:szCs w:val="23"/>
        </w:rPr>
        <w:t>投标函附录</w:t>
      </w:r>
      <w:bookmarkEnd w:id="769"/>
      <w:bookmarkEnd w:id="770"/>
      <w:bookmarkEnd w:id="771"/>
      <w:bookmarkEnd w:id="772"/>
      <w:bookmarkEnd w:id="773"/>
      <w:bookmarkEnd w:id="774"/>
      <w:bookmarkEnd w:id="775"/>
      <w:bookmarkEnd w:id="776"/>
      <w:bookmarkEnd w:id="777"/>
      <w:bookmarkEnd w:id="778"/>
    </w:p>
    <w:tbl>
      <w:tblPr>
        <w:tblStyle w:val="33"/>
        <w:tblpPr w:leftFromText="180" w:rightFromText="180" w:vertAnchor="text" w:horzAnchor="page" w:tblpX="1417" w:tblpY="706"/>
        <w:tblOverlap w:val="never"/>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1"/>
        <w:gridCol w:w="2145"/>
        <w:gridCol w:w="1425"/>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exact"/>
        </w:trPr>
        <w:tc>
          <w:tcPr>
            <w:tcW w:w="3111" w:type="dxa"/>
            <w:vAlign w:val="center"/>
          </w:tcPr>
          <w:p>
            <w:pPr>
              <w:spacing w:line="460" w:lineRule="exact"/>
              <w:jc w:val="center"/>
              <w:rPr>
                <w:rFonts w:ascii="宋体" w:hAnsi="宋体"/>
                <w:sz w:val="24"/>
              </w:rPr>
            </w:pPr>
            <w:r>
              <w:rPr>
                <w:rFonts w:hint="eastAsia" w:ascii="宋体" w:hAnsi="宋体"/>
                <w:sz w:val="24"/>
              </w:rPr>
              <w:t>项目名称及标段</w:t>
            </w:r>
          </w:p>
        </w:tc>
        <w:tc>
          <w:tcPr>
            <w:tcW w:w="5836" w:type="dxa"/>
            <w:gridSpan w:val="3"/>
            <w:vAlign w:val="center"/>
          </w:tcPr>
          <w:p>
            <w:pPr>
              <w:spacing w:line="460" w:lineRule="exact"/>
              <w:jc w:val="center"/>
              <w:rPr>
                <w:rFonts w:ascii="宋体" w:hAnsi="宋体"/>
                <w:sz w:val="24"/>
              </w:rPr>
            </w:pPr>
          </w:p>
          <w:p>
            <w:pPr>
              <w:spacing w:line="460" w:lineRule="exact"/>
              <w:jc w:val="center"/>
              <w:rPr>
                <w:rFonts w:ascii="宋体" w:hAnsi="宋体"/>
                <w:sz w:val="24"/>
              </w:rPr>
            </w:pPr>
          </w:p>
          <w:p>
            <w:pPr>
              <w:spacing w:line="4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exact"/>
        </w:trPr>
        <w:tc>
          <w:tcPr>
            <w:tcW w:w="3111" w:type="dxa"/>
            <w:vAlign w:val="center"/>
          </w:tcPr>
          <w:p>
            <w:pPr>
              <w:spacing w:line="460" w:lineRule="exact"/>
              <w:jc w:val="center"/>
              <w:rPr>
                <w:rFonts w:ascii="宋体" w:hAnsi="宋体"/>
                <w:sz w:val="24"/>
              </w:rPr>
            </w:pPr>
            <w:r>
              <w:rPr>
                <w:rFonts w:hint="eastAsia" w:ascii="宋体" w:hAnsi="宋体"/>
                <w:sz w:val="24"/>
              </w:rPr>
              <w:t>投标人</w:t>
            </w:r>
          </w:p>
        </w:tc>
        <w:tc>
          <w:tcPr>
            <w:tcW w:w="5836" w:type="dxa"/>
            <w:gridSpan w:val="3"/>
            <w:vAlign w:val="center"/>
          </w:tcPr>
          <w:p>
            <w:pPr>
              <w:spacing w:line="4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exact"/>
        </w:trPr>
        <w:tc>
          <w:tcPr>
            <w:tcW w:w="3111" w:type="dxa"/>
            <w:vAlign w:val="center"/>
          </w:tcPr>
          <w:p>
            <w:pPr>
              <w:spacing w:line="460" w:lineRule="exact"/>
              <w:jc w:val="center"/>
              <w:rPr>
                <w:rFonts w:ascii="宋体" w:hAnsi="宋体"/>
                <w:sz w:val="24"/>
              </w:rPr>
            </w:pPr>
            <w:r>
              <w:rPr>
                <w:rFonts w:hint="eastAsia" w:ascii="宋体" w:hAnsi="宋体"/>
                <w:sz w:val="24"/>
              </w:rPr>
              <w:t>监理范围</w:t>
            </w:r>
          </w:p>
        </w:tc>
        <w:tc>
          <w:tcPr>
            <w:tcW w:w="5836" w:type="dxa"/>
            <w:gridSpan w:val="3"/>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3" w:hRule="exact"/>
        </w:trPr>
        <w:tc>
          <w:tcPr>
            <w:tcW w:w="3111" w:type="dxa"/>
            <w:vAlign w:val="center"/>
          </w:tcPr>
          <w:p>
            <w:pPr>
              <w:spacing w:line="460" w:lineRule="exact"/>
              <w:jc w:val="center"/>
              <w:rPr>
                <w:rFonts w:ascii="宋体" w:hAnsi="宋体"/>
                <w:sz w:val="24"/>
              </w:rPr>
            </w:pPr>
            <w:r>
              <w:rPr>
                <w:rFonts w:hint="eastAsia" w:ascii="宋体" w:hAnsi="宋体"/>
                <w:sz w:val="24"/>
              </w:rPr>
              <w:t>投标报价</w:t>
            </w:r>
          </w:p>
        </w:tc>
        <w:tc>
          <w:tcPr>
            <w:tcW w:w="5836" w:type="dxa"/>
            <w:gridSpan w:val="3"/>
            <w:vAlign w:val="center"/>
          </w:tcPr>
          <w:p>
            <w:pPr>
              <w:spacing w:line="440" w:lineRule="exact"/>
              <w:jc w:val="left"/>
              <w:rPr>
                <w:rFonts w:ascii="宋体" w:hAnsi="宋体"/>
                <w:szCs w:val="21"/>
              </w:rPr>
            </w:pPr>
            <w:r>
              <w:rPr>
                <w:rFonts w:hint="eastAsia" w:ascii="宋体" w:hAnsi="宋体"/>
                <w:szCs w:val="21"/>
              </w:rPr>
              <w:t>小写：</w:t>
            </w:r>
          </w:p>
          <w:p>
            <w:pPr>
              <w:spacing w:line="460" w:lineRule="exact"/>
              <w:jc w:val="left"/>
              <w:rPr>
                <w:rFonts w:ascii="宋体" w:hAnsi="宋体"/>
                <w:sz w:val="24"/>
                <w:u w:val="single"/>
              </w:rPr>
            </w:pPr>
            <w:r>
              <w:rPr>
                <w:rFonts w:hint="eastAsia" w:ascii="宋体" w:hAnsi="宋体"/>
                <w:szCs w:val="21"/>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exact"/>
        </w:trPr>
        <w:tc>
          <w:tcPr>
            <w:tcW w:w="3111" w:type="dxa"/>
            <w:vAlign w:val="center"/>
          </w:tcPr>
          <w:p>
            <w:pPr>
              <w:spacing w:line="460" w:lineRule="exact"/>
              <w:jc w:val="center"/>
              <w:rPr>
                <w:rFonts w:ascii="宋体" w:hAnsi="宋体"/>
                <w:sz w:val="24"/>
              </w:rPr>
            </w:pPr>
            <w:r>
              <w:rPr>
                <w:rFonts w:hint="eastAsia" w:ascii="宋体" w:hAnsi="宋体"/>
                <w:sz w:val="24"/>
              </w:rPr>
              <w:t>质量</w:t>
            </w:r>
          </w:p>
        </w:tc>
        <w:tc>
          <w:tcPr>
            <w:tcW w:w="5836" w:type="dxa"/>
            <w:gridSpan w:val="3"/>
            <w:vAlign w:val="center"/>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exact"/>
        </w:trPr>
        <w:tc>
          <w:tcPr>
            <w:tcW w:w="3111" w:type="dxa"/>
            <w:vAlign w:val="center"/>
          </w:tcPr>
          <w:p>
            <w:pPr>
              <w:spacing w:line="460" w:lineRule="exact"/>
              <w:jc w:val="center"/>
              <w:rPr>
                <w:rFonts w:ascii="宋体" w:hAnsi="宋体"/>
                <w:sz w:val="24"/>
              </w:rPr>
            </w:pPr>
            <w:r>
              <w:rPr>
                <w:rFonts w:hint="eastAsia"/>
                <w:sz w:val="24"/>
              </w:rPr>
              <w:t>监理服务期限</w:t>
            </w:r>
          </w:p>
        </w:tc>
        <w:tc>
          <w:tcPr>
            <w:tcW w:w="5836" w:type="dxa"/>
            <w:gridSpan w:val="3"/>
            <w:vAlign w:val="center"/>
          </w:tcPr>
          <w:p>
            <w:pPr>
              <w:spacing w:line="40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exact"/>
        </w:trPr>
        <w:tc>
          <w:tcPr>
            <w:tcW w:w="3111" w:type="dxa"/>
            <w:vAlign w:val="center"/>
          </w:tcPr>
          <w:p>
            <w:pPr>
              <w:spacing w:line="460" w:lineRule="exact"/>
              <w:jc w:val="center"/>
              <w:rPr>
                <w:rFonts w:ascii="宋体" w:hAnsi="宋体"/>
                <w:kern w:val="0"/>
                <w:sz w:val="24"/>
              </w:rPr>
            </w:pPr>
            <w:r>
              <w:rPr>
                <w:rFonts w:hint="eastAsia" w:ascii="宋体" w:hAnsi="宋体"/>
                <w:kern w:val="0"/>
                <w:sz w:val="24"/>
              </w:rPr>
              <w:t>项目总监理工程师</w:t>
            </w:r>
          </w:p>
        </w:tc>
        <w:tc>
          <w:tcPr>
            <w:tcW w:w="2145" w:type="dxa"/>
            <w:vAlign w:val="center"/>
          </w:tcPr>
          <w:p>
            <w:pPr>
              <w:spacing w:line="460" w:lineRule="exact"/>
              <w:jc w:val="center"/>
              <w:rPr>
                <w:rFonts w:ascii="宋体" w:hAnsi="宋体"/>
                <w:sz w:val="24"/>
              </w:rPr>
            </w:pPr>
          </w:p>
        </w:tc>
        <w:tc>
          <w:tcPr>
            <w:tcW w:w="1425" w:type="dxa"/>
            <w:vAlign w:val="center"/>
          </w:tcPr>
          <w:p>
            <w:pPr>
              <w:spacing w:line="460" w:lineRule="exact"/>
              <w:jc w:val="center"/>
              <w:rPr>
                <w:rFonts w:ascii="宋体" w:hAnsi="宋体"/>
                <w:sz w:val="24"/>
              </w:rPr>
            </w:pPr>
            <w:r>
              <w:rPr>
                <w:rFonts w:hint="eastAsia" w:ascii="宋体" w:hAnsi="宋体"/>
                <w:sz w:val="24"/>
              </w:rPr>
              <w:t>注册证号</w:t>
            </w:r>
          </w:p>
        </w:tc>
        <w:tc>
          <w:tcPr>
            <w:tcW w:w="2266" w:type="dxa"/>
            <w:vAlign w:val="center"/>
          </w:tcPr>
          <w:p>
            <w:pPr>
              <w:spacing w:line="4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1" w:hRule="exact"/>
        </w:trPr>
        <w:tc>
          <w:tcPr>
            <w:tcW w:w="3111" w:type="dxa"/>
            <w:vAlign w:val="center"/>
          </w:tcPr>
          <w:p>
            <w:pPr>
              <w:spacing w:line="460" w:lineRule="exact"/>
              <w:jc w:val="center"/>
              <w:rPr>
                <w:sz w:val="24"/>
              </w:rPr>
            </w:pPr>
            <w:r>
              <w:rPr>
                <w:rFonts w:hint="eastAsia"/>
                <w:sz w:val="24"/>
              </w:rPr>
              <w:t>企业规模</w:t>
            </w:r>
          </w:p>
          <w:p>
            <w:pPr>
              <w:spacing w:line="460" w:lineRule="exact"/>
              <w:jc w:val="center"/>
              <w:rPr>
                <w:sz w:val="24"/>
              </w:rPr>
            </w:pPr>
            <w:r>
              <w:rPr>
                <w:rFonts w:hint="eastAsia"/>
                <w:sz w:val="24"/>
              </w:rPr>
              <w:t>（大型、中型、小型、微型）</w:t>
            </w:r>
          </w:p>
        </w:tc>
        <w:tc>
          <w:tcPr>
            <w:tcW w:w="5836" w:type="dxa"/>
            <w:gridSpan w:val="3"/>
            <w:vAlign w:val="center"/>
          </w:tcPr>
          <w:p>
            <w:pPr>
              <w:spacing w:line="4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exact"/>
        </w:trPr>
        <w:tc>
          <w:tcPr>
            <w:tcW w:w="3111" w:type="dxa"/>
            <w:tcBorders>
              <w:bottom w:val="single" w:color="auto" w:sz="4" w:space="0"/>
            </w:tcBorders>
            <w:vAlign w:val="center"/>
          </w:tcPr>
          <w:p>
            <w:pPr>
              <w:spacing w:line="460" w:lineRule="exact"/>
              <w:jc w:val="center"/>
              <w:rPr>
                <w:rFonts w:ascii="宋体" w:hAnsi="宋体"/>
                <w:kern w:val="0"/>
                <w:sz w:val="24"/>
              </w:rPr>
            </w:pPr>
            <w:r>
              <w:rPr>
                <w:rFonts w:hint="eastAsia" w:ascii="宋体" w:hAnsi="宋体"/>
                <w:kern w:val="0"/>
                <w:sz w:val="24"/>
              </w:rPr>
              <w:t>备注</w:t>
            </w:r>
          </w:p>
        </w:tc>
        <w:tc>
          <w:tcPr>
            <w:tcW w:w="5836" w:type="dxa"/>
            <w:gridSpan w:val="3"/>
            <w:tcBorders>
              <w:bottom w:val="single" w:color="auto" w:sz="4" w:space="0"/>
            </w:tcBorders>
            <w:vAlign w:val="center"/>
          </w:tcPr>
          <w:p>
            <w:pPr>
              <w:spacing w:line="460" w:lineRule="exact"/>
              <w:rPr>
                <w:rFonts w:ascii="宋体" w:hAnsi="宋体"/>
                <w:sz w:val="24"/>
              </w:rPr>
            </w:pPr>
          </w:p>
        </w:tc>
      </w:tr>
    </w:tbl>
    <w:p>
      <w:pPr>
        <w:autoSpaceDE w:val="0"/>
        <w:autoSpaceDN w:val="0"/>
        <w:adjustRightInd w:val="0"/>
        <w:spacing w:line="420" w:lineRule="exact"/>
        <w:rPr>
          <w:rFonts w:ascii="宋体" w:hAnsi="宋体"/>
          <w:kern w:val="0"/>
          <w:sz w:val="24"/>
        </w:rPr>
      </w:pPr>
    </w:p>
    <w:p>
      <w:pPr>
        <w:autoSpaceDE w:val="0"/>
        <w:autoSpaceDN w:val="0"/>
        <w:adjustRightInd w:val="0"/>
        <w:spacing w:line="420" w:lineRule="exact"/>
        <w:rPr>
          <w:rFonts w:ascii="宋体" w:hAnsi="宋体"/>
          <w:kern w:val="0"/>
          <w:sz w:val="24"/>
        </w:rPr>
      </w:pPr>
    </w:p>
    <w:p>
      <w:pPr>
        <w:autoSpaceDE w:val="0"/>
        <w:autoSpaceDN w:val="0"/>
        <w:adjustRightInd w:val="0"/>
        <w:spacing w:line="420" w:lineRule="exact"/>
        <w:rPr>
          <w:rFonts w:ascii="宋体" w:hAnsi="宋体"/>
          <w:kern w:val="0"/>
          <w:sz w:val="24"/>
        </w:rPr>
      </w:pPr>
    </w:p>
    <w:p>
      <w:pPr>
        <w:wordWrap w:val="0"/>
        <w:autoSpaceDE w:val="0"/>
        <w:autoSpaceDN w:val="0"/>
        <w:adjustRightInd w:val="0"/>
        <w:spacing w:line="420" w:lineRule="exact"/>
        <w:jc w:val="center"/>
        <w:rPr>
          <w:rFonts w:ascii="宋体" w:hAnsi="宋体"/>
          <w:kern w:val="0"/>
          <w:sz w:val="24"/>
        </w:rPr>
      </w:pPr>
      <w:r>
        <w:rPr>
          <w:rFonts w:hint="eastAsia" w:ascii="宋体" w:hAnsi="宋体"/>
          <w:kern w:val="0"/>
          <w:sz w:val="24"/>
        </w:rPr>
        <w:t xml:space="preserve">                              投标人：</w:t>
      </w:r>
      <w:r>
        <w:rPr>
          <w:rFonts w:hint="eastAsia" w:ascii="宋体" w:hAnsi="宋体" w:cs="TimesNewRomanPSMT"/>
          <w:kern w:val="0"/>
          <w:sz w:val="24"/>
          <w:u w:val="single"/>
        </w:rPr>
        <w:t xml:space="preserve">                    </w:t>
      </w:r>
      <w:r>
        <w:rPr>
          <w:rFonts w:hint="eastAsia" w:ascii="宋体" w:hAnsi="宋体"/>
          <w:kern w:val="0"/>
          <w:sz w:val="24"/>
        </w:rPr>
        <w:t>（</w:t>
      </w:r>
      <w:r>
        <w:rPr>
          <w:rFonts w:hint="eastAsia" w:ascii="宋体" w:hAnsi="宋体"/>
          <w:sz w:val="24"/>
        </w:rPr>
        <w:t>电子印章</w:t>
      </w:r>
      <w:r>
        <w:rPr>
          <w:rFonts w:hint="eastAsia" w:ascii="宋体" w:hAnsi="宋体"/>
          <w:kern w:val="0"/>
          <w:sz w:val="24"/>
        </w:rPr>
        <w:t>）</w:t>
      </w:r>
    </w:p>
    <w:p>
      <w:pPr>
        <w:autoSpaceDE w:val="0"/>
        <w:autoSpaceDN w:val="0"/>
        <w:adjustRightInd w:val="0"/>
        <w:spacing w:line="420" w:lineRule="exact"/>
        <w:jc w:val="center"/>
        <w:rPr>
          <w:rFonts w:ascii="宋体" w:hAnsi="宋体"/>
          <w:kern w:val="0"/>
          <w:sz w:val="24"/>
        </w:rPr>
      </w:pPr>
      <w:r>
        <w:rPr>
          <w:rFonts w:hint="eastAsia" w:ascii="宋体" w:hAnsi="宋体"/>
          <w:kern w:val="0"/>
          <w:sz w:val="24"/>
        </w:rPr>
        <w:t xml:space="preserve">                    法定代表人或其委托代理人：</w:t>
      </w:r>
      <w:r>
        <w:rPr>
          <w:rFonts w:hint="eastAsia" w:ascii="宋体" w:hAnsi="宋体" w:cs="TimesNewRomanPSMT"/>
          <w:kern w:val="0"/>
          <w:sz w:val="24"/>
          <w:u w:val="single"/>
        </w:rPr>
        <w:t xml:space="preserve">             </w:t>
      </w:r>
      <w:r>
        <w:rPr>
          <w:rFonts w:hint="eastAsia" w:ascii="宋体" w:hAnsi="宋体"/>
          <w:kern w:val="0"/>
          <w:sz w:val="24"/>
        </w:rPr>
        <w:t>（</w:t>
      </w:r>
      <w:r>
        <w:rPr>
          <w:rFonts w:hint="eastAsia" w:ascii="宋体" w:hAnsi="宋体"/>
          <w:sz w:val="24"/>
        </w:rPr>
        <w:t>电子签章</w:t>
      </w:r>
      <w:r>
        <w:rPr>
          <w:rFonts w:hint="eastAsia" w:ascii="宋体" w:hAnsi="宋体"/>
          <w:kern w:val="0"/>
          <w:sz w:val="24"/>
        </w:rPr>
        <w:t>）</w:t>
      </w:r>
    </w:p>
    <w:p>
      <w:pPr>
        <w:spacing w:line="360" w:lineRule="auto"/>
        <w:ind w:left="-142" w:right="480"/>
        <w:jc w:val="right"/>
        <w:rPr>
          <w:sz w:val="24"/>
        </w:rPr>
      </w:pPr>
      <w:r>
        <w:rPr>
          <w:rFonts w:hint="eastAsia" w:ascii="宋体" w:hAnsi="宋体"/>
          <w:kern w:val="0"/>
          <w:sz w:val="24"/>
        </w:rPr>
        <w:t xml:space="preserve">                           </w:t>
      </w:r>
      <w:r>
        <w:rPr>
          <w:rFonts w:hint="eastAsia" w:ascii="宋体" w:hAnsi="宋体" w:cs="TimesNewRomanPSMT"/>
          <w:kern w:val="0"/>
          <w:sz w:val="24"/>
          <w:u w:val="single"/>
        </w:rPr>
        <w:t xml:space="preserve">       </w:t>
      </w:r>
      <w:r>
        <w:rPr>
          <w:rFonts w:hint="eastAsia" w:ascii="宋体" w:hAnsi="宋体" w:cs="仿宋_GB2312"/>
          <w:kern w:val="0"/>
          <w:sz w:val="24"/>
        </w:rPr>
        <w:t>年</w:t>
      </w:r>
      <w:r>
        <w:rPr>
          <w:rFonts w:hint="eastAsia" w:ascii="宋体" w:hAnsi="宋体" w:cs="TimesNewRomanPSMT"/>
          <w:kern w:val="0"/>
          <w:sz w:val="24"/>
          <w:u w:val="single"/>
        </w:rPr>
        <w:t xml:space="preserve">      </w:t>
      </w:r>
      <w:r>
        <w:rPr>
          <w:rFonts w:hint="eastAsia" w:ascii="宋体" w:hAnsi="宋体" w:cs="仿宋_GB2312"/>
          <w:kern w:val="0"/>
          <w:sz w:val="24"/>
        </w:rPr>
        <w:t>月</w:t>
      </w:r>
      <w:r>
        <w:rPr>
          <w:rFonts w:hint="eastAsia" w:ascii="宋体" w:hAnsi="宋体" w:cs="TimesNewRomanPSMT"/>
          <w:kern w:val="0"/>
          <w:sz w:val="24"/>
          <w:u w:val="single"/>
        </w:rPr>
        <w:t xml:space="preserve">      </w:t>
      </w:r>
      <w:r>
        <w:rPr>
          <w:rFonts w:hint="eastAsia" w:ascii="宋体" w:hAnsi="宋体" w:cs="TimesNewRomanPSMT"/>
          <w:kern w:val="0"/>
          <w:sz w:val="24"/>
        </w:rPr>
        <w:t>日</w:t>
      </w:r>
    </w:p>
    <w:p>
      <w:pPr>
        <w:wordWrap w:val="0"/>
        <w:autoSpaceDE w:val="0"/>
        <w:autoSpaceDN w:val="0"/>
        <w:adjustRightInd w:val="0"/>
        <w:spacing w:line="420" w:lineRule="exact"/>
        <w:jc w:val="center"/>
        <w:rPr>
          <w:rFonts w:ascii="宋体" w:hAnsi="宋体"/>
          <w:kern w:val="0"/>
          <w:sz w:val="24"/>
        </w:rPr>
      </w:pPr>
    </w:p>
    <w:p>
      <w:pPr>
        <w:pStyle w:val="56"/>
        <w:jc w:val="center"/>
        <w:rPr>
          <w:rFonts w:ascii="宋体" w:hAnsi="宋体" w:eastAsia="宋体"/>
          <w:b/>
          <w:sz w:val="30"/>
          <w:szCs w:val="30"/>
        </w:rPr>
      </w:pPr>
      <w:bookmarkStart w:id="779" w:name="_Toc144974860"/>
      <w:bookmarkStart w:id="780" w:name="_Toc489430550"/>
      <w:bookmarkStart w:id="781" w:name="_Toc30904"/>
      <w:bookmarkStart w:id="782" w:name="_Toc489430910"/>
      <w:bookmarkStart w:id="783" w:name="_Toc152045791"/>
      <w:bookmarkStart w:id="784" w:name="_Toc152042580"/>
    </w:p>
    <w:p>
      <w:pPr>
        <w:pStyle w:val="56"/>
        <w:jc w:val="center"/>
        <w:rPr>
          <w:rFonts w:ascii="宋体" w:hAnsi="宋体" w:eastAsia="宋体"/>
          <w:b/>
          <w:sz w:val="30"/>
          <w:szCs w:val="30"/>
        </w:rPr>
      </w:pPr>
      <w:bookmarkStart w:id="785" w:name="_Toc116314151"/>
      <w:r>
        <w:rPr>
          <w:rFonts w:hint="eastAsia" w:ascii="宋体" w:hAnsi="宋体" w:eastAsia="宋体"/>
          <w:b/>
          <w:sz w:val="30"/>
          <w:szCs w:val="30"/>
        </w:rPr>
        <w:t>二、法定代表人身份证明</w:t>
      </w:r>
      <w:bookmarkEnd w:id="779"/>
      <w:bookmarkEnd w:id="780"/>
      <w:bookmarkEnd w:id="781"/>
      <w:bookmarkEnd w:id="782"/>
      <w:bookmarkEnd w:id="783"/>
      <w:bookmarkEnd w:id="784"/>
      <w:bookmarkEnd w:id="785"/>
    </w:p>
    <w:p>
      <w:pPr>
        <w:spacing w:line="440" w:lineRule="exact"/>
        <w:rPr>
          <w:rFonts w:ascii="宋体" w:hAnsi="宋体"/>
          <w:sz w:val="20"/>
          <w:szCs w:val="20"/>
        </w:rPr>
      </w:pPr>
    </w:p>
    <w:p>
      <w:pPr>
        <w:spacing w:line="440" w:lineRule="exact"/>
        <w:rPr>
          <w:rFonts w:ascii="宋体" w:hAnsi="宋体"/>
          <w:sz w:val="24"/>
        </w:rPr>
      </w:pPr>
    </w:p>
    <w:p>
      <w:pPr>
        <w:spacing w:line="440" w:lineRule="exact"/>
        <w:rPr>
          <w:rFonts w:ascii="宋体" w:hAnsi="宋体"/>
          <w:sz w:val="24"/>
        </w:rPr>
      </w:pPr>
      <w:r>
        <w:rPr>
          <w:rFonts w:hint="eastAsia" w:ascii="宋体" w:hAnsi="宋体"/>
          <w:sz w:val="24"/>
        </w:rPr>
        <w:t>投标人名称：</w:t>
      </w:r>
      <w:r>
        <w:rPr>
          <w:rFonts w:hint="eastAsia" w:ascii="宋体" w:hAnsi="宋体"/>
          <w:sz w:val="24"/>
          <w:u w:val="single"/>
        </w:rPr>
        <w:t xml:space="preserve">                                                        </w:t>
      </w:r>
    </w:p>
    <w:p>
      <w:pPr>
        <w:spacing w:line="440" w:lineRule="exact"/>
        <w:rPr>
          <w:rFonts w:ascii="宋体" w:hAnsi="宋体"/>
          <w:sz w:val="24"/>
          <w:u w:val="single"/>
        </w:rPr>
      </w:pPr>
      <w:r>
        <w:rPr>
          <w:rFonts w:hint="eastAsia" w:ascii="宋体" w:hAnsi="宋体"/>
          <w:sz w:val="24"/>
        </w:rPr>
        <w:t>单位性质：</w:t>
      </w:r>
      <w:r>
        <w:rPr>
          <w:rFonts w:hint="eastAsia" w:ascii="宋体" w:hAnsi="宋体"/>
          <w:sz w:val="24"/>
          <w:u w:val="single"/>
        </w:rPr>
        <w:t xml:space="preserve">                                                          </w:t>
      </w:r>
    </w:p>
    <w:p>
      <w:pPr>
        <w:spacing w:line="440" w:lineRule="exact"/>
        <w:rPr>
          <w:rFonts w:ascii="宋体" w:hAnsi="宋体"/>
          <w:sz w:val="24"/>
          <w:u w:val="single"/>
        </w:rPr>
      </w:pPr>
      <w:r>
        <w:rPr>
          <w:rFonts w:hint="eastAsia" w:ascii="宋体" w:hAnsi="宋体"/>
          <w:sz w:val="24"/>
        </w:rPr>
        <w:t>地址（营业执照注册地址）：</w:t>
      </w:r>
      <w:r>
        <w:rPr>
          <w:rFonts w:hint="eastAsia" w:ascii="宋体" w:hAnsi="宋体"/>
          <w:sz w:val="24"/>
          <w:u w:val="single"/>
        </w:rPr>
        <w:t xml:space="preserve">                                                        </w:t>
      </w:r>
    </w:p>
    <w:p>
      <w:pPr>
        <w:spacing w:line="440" w:lineRule="exact"/>
        <w:rPr>
          <w:rFonts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440" w:lineRule="exact"/>
        <w:rPr>
          <w:rFonts w:ascii="宋体" w:hAnsi="宋体"/>
          <w:sz w:val="24"/>
        </w:rPr>
      </w:pPr>
      <w:r>
        <w:rPr>
          <w:rFonts w:hint="eastAsia" w:ascii="宋体" w:hAnsi="宋体"/>
          <w:sz w:val="24"/>
        </w:rPr>
        <w:t>经营期限：</w:t>
      </w:r>
      <w:r>
        <w:rPr>
          <w:rFonts w:hint="eastAsia" w:ascii="宋体" w:hAnsi="宋体"/>
          <w:sz w:val="24"/>
          <w:u w:val="single"/>
        </w:rPr>
        <w:t xml:space="preserve">                                                        </w:t>
      </w:r>
    </w:p>
    <w:p>
      <w:pPr>
        <w:spacing w:line="440" w:lineRule="exact"/>
        <w:rPr>
          <w:rFonts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440" w:lineRule="exact"/>
        <w:rPr>
          <w:rFonts w:ascii="宋体" w:hAnsi="宋体"/>
          <w:sz w:val="24"/>
        </w:rPr>
      </w:pPr>
      <w:r>
        <w:rPr>
          <w:rFonts w:hint="eastAsia" w:ascii="宋体" w:hAnsi="宋体"/>
          <w:sz w:val="24"/>
        </w:rPr>
        <w:t>年    龄：</w:t>
      </w:r>
      <w:r>
        <w:rPr>
          <w:rFonts w:hint="eastAsia" w:ascii="宋体" w:hAnsi="宋体"/>
          <w:sz w:val="24"/>
          <w:u w:val="single"/>
        </w:rPr>
        <w:t xml:space="preserve">                          </w:t>
      </w:r>
      <w:r>
        <w:rPr>
          <w:rFonts w:hint="eastAsia" w:ascii="宋体" w:hAnsi="宋体"/>
          <w:sz w:val="24"/>
        </w:rPr>
        <w:t>职        务：</w:t>
      </w:r>
      <w:r>
        <w:rPr>
          <w:rFonts w:hint="eastAsia" w:ascii="宋体" w:hAnsi="宋体"/>
          <w:sz w:val="24"/>
          <w:u w:val="single"/>
        </w:rPr>
        <w:t xml:space="preserve">                </w:t>
      </w:r>
    </w:p>
    <w:p>
      <w:pPr>
        <w:spacing w:line="440" w:lineRule="exact"/>
        <w:rPr>
          <w:rFonts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（投标人名称）的法定代表人。</w:t>
      </w:r>
    </w:p>
    <w:p>
      <w:pPr>
        <w:spacing w:line="440" w:lineRule="exact"/>
        <w:rPr>
          <w:rFonts w:ascii="宋体" w:hAnsi="宋体"/>
          <w:sz w:val="24"/>
        </w:rPr>
      </w:pPr>
      <w:r>
        <w:rPr>
          <w:rFonts w:hint="eastAsia" w:ascii="宋体" w:hAnsi="宋体"/>
          <w:sz w:val="24"/>
        </w:rPr>
        <w:t>特此证明。</w:t>
      </w:r>
    </w:p>
    <w:p>
      <w:pPr>
        <w:spacing w:line="440" w:lineRule="exact"/>
        <w:rPr>
          <w:rFonts w:ascii="宋体" w:hAnsi="宋体"/>
          <w:sz w:val="24"/>
        </w:rPr>
      </w:pPr>
      <w:r>
        <w:rPr>
          <w:rFonts w:hint="eastAsia" w:ascii="宋体" w:hAnsi="宋体"/>
          <w:sz w:val="24"/>
        </w:rPr>
        <w:t>（附：法定代表人身份证原件扫描件（或图片））</w:t>
      </w:r>
    </w:p>
    <w:p>
      <w:pPr>
        <w:spacing w:line="440" w:lineRule="exact"/>
        <w:rPr>
          <w:rFonts w:ascii="宋体" w:hAnsi="宋体"/>
          <w:sz w:val="24"/>
        </w:rPr>
      </w:pPr>
    </w:p>
    <w:p>
      <w:pPr>
        <w:spacing w:line="440" w:lineRule="exact"/>
        <w:rPr>
          <w:rFonts w:ascii="宋体" w:hAnsi="宋体"/>
          <w:sz w:val="24"/>
        </w:rPr>
      </w:pPr>
    </w:p>
    <w:p>
      <w:pPr>
        <w:spacing w:line="440" w:lineRule="exact"/>
        <w:jc w:val="right"/>
        <w:rPr>
          <w:rFonts w:ascii="宋体" w:hAnsi="宋体"/>
          <w:sz w:val="24"/>
        </w:rPr>
      </w:pPr>
    </w:p>
    <w:p>
      <w:pPr>
        <w:spacing w:line="440" w:lineRule="exact"/>
        <w:jc w:val="right"/>
        <w:rPr>
          <w:rFonts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（电子印章）</w:t>
      </w:r>
    </w:p>
    <w:p>
      <w:pPr>
        <w:spacing w:line="440" w:lineRule="exact"/>
        <w:jc w:val="right"/>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440" w:lineRule="exact"/>
        <w:jc w:val="right"/>
        <w:rPr>
          <w:rFonts w:ascii="宋体" w:hAnsi="宋体"/>
          <w:sz w:val="24"/>
        </w:rPr>
      </w:pPr>
    </w:p>
    <w:p>
      <w:pPr>
        <w:spacing w:line="440" w:lineRule="exact"/>
        <w:jc w:val="right"/>
        <w:rPr>
          <w:rFonts w:ascii="宋体" w:hAnsi="宋体"/>
          <w:sz w:val="24"/>
        </w:rPr>
      </w:pPr>
    </w:p>
    <w:p>
      <w:pPr>
        <w:spacing w:line="440" w:lineRule="exact"/>
        <w:jc w:val="right"/>
        <w:rPr>
          <w:rFonts w:ascii="宋体" w:hAnsi="宋体"/>
          <w:sz w:val="24"/>
        </w:rPr>
      </w:pPr>
      <w:r>
        <w:rPr>
          <w:rFonts w:hint="eastAsia" w:ascii="宋体" w:hAnsi="宋体"/>
          <w:sz w:val="24"/>
        </w:rPr>
        <w:br w:type="page"/>
      </w:r>
    </w:p>
    <w:p>
      <w:pPr>
        <w:pStyle w:val="56"/>
        <w:jc w:val="center"/>
        <w:rPr>
          <w:rFonts w:ascii="宋体" w:hAnsi="宋体" w:eastAsia="宋体"/>
          <w:b/>
          <w:sz w:val="30"/>
          <w:szCs w:val="30"/>
        </w:rPr>
      </w:pPr>
      <w:bookmarkStart w:id="786" w:name="_Toc116314152"/>
      <w:bookmarkStart w:id="787" w:name="_Toc152042581"/>
      <w:bookmarkStart w:id="788" w:name="_Toc144974861"/>
      <w:bookmarkStart w:id="789" w:name="_Toc23227"/>
      <w:bookmarkStart w:id="790" w:name="_Toc489430551"/>
      <w:bookmarkStart w:id="791" w:name="_Toc489430911"/>
      <w:bookmarkStart w:id="792" w:name="_Toc152045792"/>
      <w:r>
        <w:rPr>
          <w:rFonts w:hint="eastAsia" w:ascii="宋体" w:hAnsi="宋体" w:eastAsia="宋体"/>
          <w:b/>
          <w:sz w:val="30"/>
          <w:szCs w:val="30"/>
        </w:rPr>
        <w:t>三、授权委托书</w:t>
      </w:r>
      <w:bookmarkEnd w:id="786"/>
      <w:bookmarkEnd w:id="787"/>
      <w:bookmarkEnd w:id="788"/>
      <w:bookmarkEnd w:id="789"/>
      <w:bookmarkEnd w:id="790"/>
      <w:bookmarkEnd w:id="791"/>
      <w:bookmarkEnd w:id="792"/>
    </w:p>
    <w:p>
      <w:pPr>
        <w:spacing w:line="440" w:lineRule="exact"/>
        <w:rPr>
          <w:rFonts w:ascii="宋体" w:hAnsi="宋体"/>
          <w:szCs w:val="21"/>
        </w:rPr>
      </w:pPr>
    </w:p>
    <w:p>
      <w:pPr>
        <w:topLinePunct/>
        <w:spacing w:line="440" w:lineRule="exact"/>
        <w:ind w:firstLine="480" w:firstLineChars="200"/>
        <w:rPr>
          <w:rFonts w:ascii="宋体" w:hAnsi="宋体"/>
          <w:sz w:val="24"/>
          <w:u w:val="single"/>
        </w:rPr>
      </w:pPr>
      <w:bookmarkStart w:id="793" w:name="_Toc152042582"/>
      <w:bookmarkStart w:id="794" w:name="_Toc152045793"/>
      <w:bookmarkStart w:id="795" w:name="_Toc247527833"/>
      <w:bookmarkStart w:id="796" w:name="_Toc247514285"/>
      <w:bookmarkStart w:id="797" w:name="_Toc508911288"/>
      <w:bookmarkStart w:id="798" w:name="_Toc152042583"/>
      <w:bookmarkStart w:id="799" w:name="_Toc152045794"/>
      <w:r>
        <w:rPr>
          <w:rFonts w:hint="eastAsia" w:ascii="宋体" w:hAnsi="宋体"/>
          <w:sz w:val="24"/>
        </w:rPr>
        <w:t xml:space="preserve">本人 </w:t>
      </w:r>
      <w:r>
        <w:rPr>
          <w:rFonts w:hint="eastAsia" w:ascii="宋体" w:hAnsi="宋体" w:cs="宋体"/>
          <w:sz w:val="24"/>
          <w:u w:val="single"/>
        </w:rPr>
        <w:t xml:space="preserve">         </w:t>
      </w:r>
      <w:r>
        <w:rPr>
          <w:rFonts w:hint="eastAsia" w:ascii="宋体" w:hAnsi="宋体"/>
          <w:sz w:val="24"/>
        </w:rPr>
        <w:t xml:space="preserve">（姓名）系 </w:t>
      </w:r>
      <w:r>
        <w:rPr>
          <w:rFonts w:hint="eastAsia" w:ascii="宋体" w:hAnsi="宋体" w:cs="宋体"/>
          <w:sz w:val="24"/>
          <w:u w:val="single"/>
        </w:rPr>
        <w:t xml:space="preserve">               </w:t>
      </w:r>
      <w:r>
        <w:rPr>
          <w:rFonts w:hint="eastAsia" w:ascii="宋体" w:hAnsi="宋体"/>
          <w:sz w:val="24"/>
        </w:rPr>
        <w:t xml:space="preserve">（投标人名称）的法定代表人，现委托 </w:t>
      </w:r>
      <w:r>
        <w:rPr>
          <w:rFonts w:hint="eastAsia" w:ascii="宋体" w:hAnsi="宋体" w:cs="宋体"/>
          <w:sz w:val="24"/>
          <w:u w:val="single"/>
        </w:rPr>
        <w:t xml:space="preserve">         </w:t>
      </w:r>
      <w:r>
        <w:rPr>
          <w:rFonts w:hint="eastAsia" w:ascii="宋体" w:hAnsi="宋体"/>
          <w:sz w:val="24"/>
        </w:rPr>
        <w:t>（姓名）为我方代理人。代理人根据授权，以我方名义签署、澄清、说明、补正、递交、撤回、修改</w:t>
      </w:r>
      <w:r>
        <w:rPr>
          <w:rFonts w:hint="eastAsia" w:ascii="宋体" w:hAnsi="宋体" w:cs="宋体"/>
          <w:sz w:val="24"/>
          <w:u w:val="single"/>
        </w:rPr>
        <w:t xml:space="preserve">             </w:t>
      </w:r>
      <w:r>
        <w:rPr>
          <w:rFonts w:hint="eastAsia" w:ascii="宋体" w:hAnsi="宋体"/>
          <w:sz w:val="24"/>
        </w:rPr>
        <w:t>（项目名称及标段）投标文件、签订合同和处理有关事宜，其法律责任由我方承担。</w:t>
      </w:r>
    </w:p>
    <w:p>
      <w:pPr>
        <w:spacing w:line="440" w:lineRule="exact"/>
        <w:rPr>
          <w:rFonts w:ascii="宋体" w:hAnsi="宋体"/>
          <w:sz w:val="24"/>
        </w:rPr>
      </w:pPr>
      <w:r>
        <w:rPr>
          <w:rFonts w:hint="eastAsia" w:ascii="宋体" w:hAnsi="宋体"/>
          <w:sz w:val="24"/>
        </w:rPr>
        <w:t>委托期限:</w:t>
      </w:r>
      <w:r>
        <w:rPr>
          <w:rFonts w:hint="eastAsia" w:ascii="宋体" w:hAnsi="宋体" w:cs="宋体"/>
          <w:sz w:val="24"/>
          <w:u w:val="single"/>
        </w:rPr>
        <w:t xml:space="preserve">                           </w:t>
      </w:r>
      <w:r>
        <w:rPr>
          <w:rFonts w:hint="eastAsia" w:ascii="宋体" w:hAnsi="宋体"/>
          <w:sz w:val="24"/>
        </w:rPr>
        <w:t>。</w:t>
      </w:r>
    </w:p>
    <w:p>
      <w:pPr>
        <w:spacing w:line="440" w:lineRule="exact"/>
        <w:ind w:firstLine="480" w:firstLineChars="200"/>
        <w:rPr>
          <w:rFonts w:ascii="宋体" w:hAnsi="宋体"/>
          <w:sz w:val="24"/>
        </w:rPr>
      </w:pPr>
      <w:r>
        <w:rPr>
          <w:rFonts w:hint="eastAsia" w:ascii="宋体" w:hAnsi="宋体"/>
          <w:sz w:val="24"/>
        </w:rPr>
        <w:t>代理人无转委托权。</w:t>
      </w:r>
    </w:p>
    <w:p>
      <w:pPr>
        <w:spacing w:line="440" w:lineRule="exact"/>
        <w:ind w:firstLine="482" w:firstLineChars="200"/>
        <w:rPr>
          <w:rFonts w:ascii="宋体" w:hAnsi="宋体"/>
          <w:b/>
          <w:bCs/>
          <w:sz w:val="24"/>
        </w:rPr>
      </w:pPr>
      <w:r>
        <w:rPr>
          <w:rFonts w:hint="eastAsia" w:ascii="宋体" w:hAnsi="宋体"/>
          <w:b/>
          <w:bCs/>
          <w:sz w:val="24"/>
        </w:rPr>
        <w:t>附：法定代表人身份证、授权委托人身份证原件扫描件（或图片）。</w:t>
      </w:r>
    </w:p>
    <w:p>
      <w:pPr>
        <w:spacing w:line="440" w:lineRule="exact"/>
        <w:rPr>
          <w:rFonts w:ascii="宋体" w:hAnsi="宋体"/>
          <w:sz w:val="24"/>
        </w:rPr>
      </w:pPr>
    </w:p>
    <w:p>
      <w:pPr>
        <w:spacing w:line="440" w:lineRule="exact"/>
        <w:rPr>
          <w:rFonts w:ascii="宋体" w:hAnsi="宋体"/>
          <w:sz w:val="24"/>
        </w:rPr>
      </w:pPr>
    </w:p>
    <w:p>
      <w:pPr>
        <w:spacing w:line="440" w:lineRule="exact"/>
        <w:jc w:val="center"/>
        <w:rPr>
          <w:rFonts w:ascii="宋体" w:hAnsi="宋体"/>
          <w:sz w:val="24"/>
          <w:u w:val="single"/>
        </w:rPr>
      </w:pPr>
      <w:r>
        <w:rPr>
          <w:rFonts w:hint="eastAsia" w:ascii="宋体" w:hAnsi="宋体"/>
          <w:sz w:val="24"/>
        </w:rPr>
        <w:t xml:space="preserve">                              投标人： </w:t>
      </w:r>
      <w:r>
        <w:rPr>
          <w:rFonts w:hint="eastAsia" w:ascii="宋体" w:hAnsi="宋体" w:cs="宋体"/>
          <w:sz w:val="24"/>
          <w:u w:val="single"/>
        </w:rPr>
        <w:t xml:space="preserve">                     </w:t>
      </w:r>
      <w:r>
        <w:rPr>
          <w:rFonts w:hint="eastAsia" w:ascii="宋体" w:hAnsi="宋体"/>
          <w:sz w:val="24"/>
        </w:rPr>
        <w:t xml:space="preserve">（电子印章） </w:t>
      </w:r>
    </w:p>
    <w:p>
      <w:pPr>
        <w:spacing w:line="440" w:lineRule="exact"/>
        <w:jc w:val="right"/>
        <w:rPr>
          <w:rFonts w:ascii="宋体" w:hAnsi="宋体"/>
          <w:sz w:val="24"/>
        </w:rPr>
      </w:pPr>
    </w:p>
    <w:p>
      <w:pPr>
        <w:spacing w:line="440" w:lineRule="exact"/>
        <w:jc w:val="center"/>
        <w:rPr>
          <w:rFonts w:ascii="宋体" w:hAnsi="宋体"/>
          <w:sz w:val="24"/>
          <w:u w:val="single"/>
        </w:rPr>
      </w:pPr>
      <w:r>
        <w:rPr>
          <w:rFonts w:hint="eastAsia" w:ascii="宋体" w:hAnsi="宋体"/>
          <w:sz w:val="24"/>
        </w:rPr>
        <w:t xml:space="preserve">                            法定代表人： </w:t>
      </w:r>
      <w:r>
        <w:rPr>
          <w:rFonts w:hint="eastAsia" w:ascii="宋体" w:hAnsi="宋体" w:cs="宋体"/>
          <w:sz w:val="24"/>
          <w:u w:val="single"/>
        </w:rPr>
        <w:t xml:space="preserve">                  </w:t>
      </w:r>
      <w:r>
        <w:rPr>
          <w:rFonts w:hint="eastAsia" w:ascii="宋体" w:hAnsi="宋体"/>
          <w:sz w:val="24"/>
        </w:rPr>
        <w:t>（电子签章）</w:t>
      </w:r>
    </w:p>
    <w:p>
      <w:pPr>
        <w:spacing w:line="440" w:lineRule="exact"/>
        <w:rPr>
          <w:rFonts w:ascii="宋体" w:hAnsi="宋体"/>
          <w:sz w:val="24"/>
          <w:u w:val="single"/>
        </w:rPr>
      </w:pPr>
    </w:p>
    <w:p>
      <w:pPr>
        <w:spacing w:line="440" w:lineRule="exact"/>
        <w:ind w:right="420" w:firstLine="6840" w:firstLineChars="2850"/>
        <w:rPr>
          <w:rFonts w:ascii="宋体" w:hAnsi="宋体"/>
          <w:sz w:val="24"/>
          <w:u w:val="single"/>
        </w:rPr>
      </w:pPr>
    </w:p>
    <w:p>
      <w:pPr>
        <w:spacing w:line="360" w:lineRule="auto"/>
        <w:ind w:firstLine="6000" w:firstLineChars="25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3"/>
        <w:rPr>
          <w:sz w:val="24"/>
          <w:szCs w:val="24"/>
        </w:rPr>
      </w:pPr>
    </w:p>
    <w:p/>
    <w:p/>
    <w:p/>
    <w:p/>
    <w:p>
      <w:pPr>
        <w:pStyle w:val="3"/>
      </w:pPr>
    </w:p>
    <w:p/>
    <w:p>
      <w:pPr>
        <w:pStyle w:val="51"/>
      </w:pPr>
    </w:p>
    <w:p>
      <w:pPr>
        <w:pStyle w:val="51"/>
      </w:pPr>
    </w:p>
    <w:bookmarkEnd w:id="793"/>
    <w:bookmarkEnd w:id="794"/>
    <w:bookmarkEnd w:id="795"/>
    <w:bookmarkEnd w:id="796"/>
    <w:bookmarkEnd w:id="797"/>
    <w:p>
      <w:pPr>
        <w:pStyle w:val="56"/>
        <w:rPr>
          <w:rFonts w:ascii="宋体" w:hAnsi="宋体" w:eastAsia="宋体"/>
          <w:b/>
          <w:szCs w:val="24"/>
        </w:rPr>
      </w:pPr>
    </w:p>
    <w:p>
      <w:pPr>
        <w:pStyle w:val="56"/>
        <w:jc w:val="center"/>
        <w:rPr>
          <w:rFonts w:ascii="宋体" w:hAnsi="宋体" w:eastAsia="宋体"/>
          <w:b/>
          <w:sz w:val="30"/>
          <w:szCs w:val="30"/>
        </w:rPr>
      </w:pPr>
      <w:bookmarkStart w:id="800" w:name="_Toc489430912"/>
      <w:bookmarkStart w:id="801" w:name="_Toc116314153"/>
      <w:bookmarkStart w:id="802" w:name="_Toc489430552"/>
      <w:bookmarkStart w:id="803" w:name="_Toc16396"/>
      <w:r>
        <w:rPr>
          <w:rFonts w:hint="eastAsia" w:ascii="宋体" w:hAnsi="宋体" w:eastAsia="宋体"/>
          <w:b/>
          <w:sz w:val="30"/>
          <w:szCs w:val="30"/>
        </w:rPr>
        <w:t>四、</w:t>
      </w:r>
      <w:bookmarkEnd w:id="798"/>
      <w:bookmarkEnd w:id="799"/>
      <w:r>
        <w:rPr>
          <w:rFonts w:hint="eastAsia" w:ascii="宋体" w:hAnsi="宋体" w:eastAsia="宋体"/>
          <w:b/>
          <w:sz w:val="30"/>
          <w:szCs w:val="30"/>
        </w:rPr>
        <w:t>投标保证金</w:t>
      </w:r>
      <w:bookmarkEnd w:id="800"/>
      <w:bookmarkEnd w:id="801"/>
      <w:bookmarkEnd w:id="802"/>
      <w:bookmarkEnd w:id="803"/>
    </w:p>
    <w:p>
      <w:pPr>
        <w:spacing w:line="440" w:lineRule="exact"/>
        <w:ind w:firstLine="2310" w:firstLineChars="1100"/>
        <w:rPr>
          <w:rFonts w:ascii="宋体" w:hAnsi="宋体"/>
          <w:szCs w:val="21"/>
        </w:rPr>
      </w:pPr>
    </w:p>
    <w:p>
      <w:pPr>
        <w:spacing w:line="400" w:lineRule="exact"/>
        <w:jc w:val="center"/>
        <w:rPr>
          <w:rFonts w:ascii="宋体" w:hAnsi="宋体"/>
        </w:rPr>
      </w:pPr>
      <w:r>
        <w:rPr>
          <w:rFonts w:hint="eastAsia" w:ascii="宋体" w:hAnsi="宋体"/>
          <w:sz w:val="20"/>
          <w:szCs w:val="20"/>
        </w:rPr>
        <w:t>附凭证</w:t>
      </w:r>
      <w:r>
        <w:rPr>
          <w:rFonts w:hint="eastAsia" w:ascii="宋体" w:hAnsi="宋体"/>
          <w:sz w:val="20"/>
          <w:szCs w:val="20"/>
        </w:rPr>
        <w:br w:type="page"/>
      </w:r>
      <w:bookmarkStart w:id="804" w:name="_Toc144974862"/>
      <w:bookmarkEnd w:id="804"/>
    </w:p>
    <w:p>
      <w:pPr>
        <w:pStyle w:val="56"/>
        <w:jc w:val="center"/>
        <w:rPr>
          <w:rFonts w:ascii="宋体" w:hAnsi="宋体" w:eastAsia="宋体"/>
          <w:b/>
          <w:sz w:val="30"/>
          <w:szCs w:val="30"/>
        </w:rPr>
      </w:pPr>
      <w:bookmarkStart w:id="805" w:name="_Toc152042584"/>
      <w:bookmarkStart w:id="806" w:name="_Toc152045795"/>
      <w:bookmarkStart w:id="807" w:name="_Toc144974863"/>
      <w:bookmarkStart w:id="808" w:name="_Toc489430913"/>
      <w:bookmarkStart w:id="809" w:name="_Toc489430553"/>
      <w:bookmarkStart w:id="810" w:name="_Toc475610230"/>
      <w:bookmarkStart w:id="811" w:name="_Toc475609608"/>
      <w:bookmarkStart w:id="812" w:name="_Toc116314154"/>
      <w:bookmarkStart w:id="813" w:name="_Toc22713"/>
      <w:r>
        <w:rPr>
          <w:rFonts w:hint="eastAsia" w:ascii="宋体" w:hAnsi="宋体" w:eastAsia="宋体"/>
          <w:b/>
          <w:sz w:val="30"/>
          <w:szCs w:val="30"/>
        </w:rPr>
        <w:t>五、</w:t>
      </w:r>
      <w:bookmarkEnd w:id="805"/>
      <w:bookmarkEnd w:id="806"/>
      <w:bookmarkEnd w:id="807"/>
      <w:r>
        <w:rPr>
          <w:rFonts w:hint="eastAsia" w:ascii="宋体" w:hAnsi="宋体" w:eastAsia="宋体"/>
          <w:b/>
          <w:sz w:val="30"/>
          <w:szCs w:val="30"/>
        </w:rPr>
        <w:t>监理大纲</w:t>
      </w:r>
      <w:bookmarkEnd w:id="808"/>
      <w:bookmarkEnd w:id="809"/>
      <w:bookmarkEnd w:id="810"/>
      <w:bookmarkEnd w:id="811"/>
      <w:bookmarkEnd w:id="812"/>
      <w:bookmarkEnd w:id="813"/>
    </w:p>
    <w:p>
      <w:pPr>
        <w:spacing w:line="360" w:lineRule="auto"/>
        <w:rPr>
          <w:rFonts w:ascii="宋体" w:hAnsi="宋体"/>
          <w:sz w:val="24"/>
        </w:rPr>
      </w:pPr>
    </w:p>
    <w:p>
      <w:pPr>
        <w:spacing w:line="360" w:lineRule="auto"/>
        <w:rPr>
          <w:rFonts w:ascii="宋体" w:hAnsi="宋体"/>
          <w:bCs/>
          <w:sz w:val="24"/>
          <w:highlight w:val="red"/>
        </w:rPr>
      </w:pPr>
    </w:p>
    <w:p>
      <w:pPr>
        <w:spacing w:line="360" w:lineRule="auto"/>
        <w:rPr>
          <w:rFonts w:ascii="宋体" w:hAnsi="宋体"/>
          <w:bCs/>
          <w:sz w:val="24"/>
        </w:rPr>
      </w:pPr>
    </w:p>
    <w:p>
      <w:pPr>
        <w:spacing w:line="360" w:lineRule="auto"/>
        <w:rPr>
          <w:rFonts w:ascii="宋体" w:hAnsi="宋体"/>
          <w:bCs/>
          <w:sz w:val="24"/>
        </w:rPr>
      </w:pPr>
    </w:p>
    <w:p>
      <w:pPr>
        <w:spacing w:line="360" w:lineRule="auto"/>
        <w:rPr>
          <w:rFonts w:ascii="宋体" w:hAnsi="宋体"/>
          <w:sz w:val="24"/>
        </w:rPr>
      </w:pPr>
    </w:p>
    <w:p>
      <w:pPr>
        <w:sectPr>
          <w:pgSz w:w="11906" w:h="16838"/>
          <w:pgMar w:top="1440" w:right="1274" w:bottom="1440" w:left="1418" w:header="851" w:footer="992" w:gutter="0"/>
          <w:cols w:space="720" w:num="1"/>
          <w:docGrid w:type="lines" w:linePitch="312" w:charSpace="0"/>
        </w:sectPr>
      </w:pPr>
    </w:p>
    <w:p>
      <w:pPr>
        <w:pStyle w:val="56"/>
        <w:jc w:val="center"/>
        <w:rPr>
          <w:rFonts w:ascii="宋体" w:hAnsi="宋体" w:eastAsia="宋体"/>
          <w:b/>
          <w:sz w:val="30"/>
          <w:szCs w:val="30"/>
        </w:rPr>
      </w:pPr>
      <w:bookmarkStart w:id="814" w:name="_Toc20456"/>
      <w:bookmarkStart w:id="815" w:name="_Toc116314155"/>
      <w:bookmarkStart w:id="816" w:name="_Toc489430918"/>
      <w:bookmarkStart w:id="817" w:name="_Toc489430558"/>
      <w:r>
        <w:rPr>
          <w:rFonts w:hint="eastAsia" w:ascii="宋体" w:hAnsi="宋体" w:eastAsia="宋体"/>
          <w:b/>
          <w:sz w:val="30"/>
          <w:szCs w:val="30"/>
        </w:rPr>
        <w:t>六、资格审查资料</w:t>
      </w:r>
      <w:bookmarkEnd w:id="814"/>
      <w:bookmarkEnd w:id="815"/>
      <w:bookmarkEnd w:id="816"/>
      <w:bookmarkEnd w:id="817"/>
    </w:p>
    <w:p>
      <w:pPr>
        <w:topLinePunct/>
        <w:spacing w:line="440" w:lineRule="exact"/>
        <w:jc w:val="center"/>
        <w:rPr>
          <w:rFonts w:ascii="宋体" w:hAnsi="宋体"/>
          <w:sz w:val="23"/>
          <w:szCs w:val="23"/>
        </w:rPr>
      </w:pPr>
    </w:p>
    <w:p>
      <w:pPr>
        <w:pStyle w:val="56"/>
        <w:jc w:val="center"/>
        <w:rPr>
          <w:rFonts w:ascii="宋体" w:hAnsi="宋体" w:eastAsia="宋体"/>
          <w:b/>
          <w:szCs w:val="23"/>
        </w:rPr>
      </w:pPr>
      <w:bookmarkStart w:id="818" w:name="_Toc489430919"/>
      <w:bookmarkStart w:id="819" w:name="_Toc11438"/>
      <w:bookmarkStart w:id="820" w:name="_Toc489430559"/>
      <w:bookmarkStart w:id="821" w:name="_Toc407219668"/>
      <w:bookmarkStart w:id="822" w:name="_Toc116314156"/>
      <w:r>
        <w:rPr>
          <w:rFonts w:hint="eastAsia" w:ascii="宋体" w:hAnsi="宋体" w:eastAsia="宋体"/>
          <w:b/>
          <w:szCs w:val="23"/>
        </w:rPr>
        <w:t>投标人基本情况表</w:t>
      </w:r>
      <w:bookmarkEnd w:id="818"/>
      <w:bookmarkEnd w:id="819"/>
      <w:bookmarkEnd w:id="820"/>
      <w:bookmarkEnd w:id="821"/>
      <w:bookmarkEnd w:id="822"/>
    </w:p>
    <w:p>
      <w:pPr>
        <w:topLinePunct/>
        <w:spacing w:line="440" w:lineRule="exact"/>
        <w:jc w:val="center"/>
        <w:rPr>
          <w:rFonts w:ascii="宋体" w:hAnsi="宋体"/>
          <w:sz w:val="23"/>
          <w:szCs w:val="23"/>
        </w:rPr>
      </w:pPr>
    </w:p>
    <w:tbl>
      <w:tblPr>
        <w:tblStyle w:val="33"/>
        <w:tblpPr w:leftFromText="180" w:rightFromText="180" w:vertAnchor="text" w:horzAnchor="page" w:tblpX="1703" w:tblpY="477"/>
        <w:tblOverlap w:val="never"/>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653"/>
        <w:gridCol w:w="78"/>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r>
              <w:rPr>
                <w:rFonts w:hint="eastAsia" w:ascii="宋体" w:hAnsi="宋体"/>
                <w:sz w:val="24"/>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r>
              <w:rPr>
                <w:rFonts w:hint="eastAsia" w:ascii="宋体" w:hAnsi="宋体"/>
                <w:sz w:val="24"/>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r>
              <w:rPr>
                <w:rFonts w:hint="eastAsia" w:ascii="宋体" w:hAnsi="宋体"/>
                <w:sz w:val="24"/>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r>
              <w:rPr>
                <w:rFonts w:hint="eastAsia" w:ascii="宋体" w:hAnsi="宋体"/>
                <w:sz w:val="24"/>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r>
              <w:rPr>
                <w:rFonts w:hint="eastAsia" w:ascii="宋体" w:hAnsi="宋体"/>
                <w:sz w:val="24"/>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r>
              <w:rPr>
                <w:rFonts w:hint="eastAsia" w:ascii="宋体" w:hAnsi="宋体"/>
                <w:sz w:val="24"/>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r>
              <w:rPr>
                <w:rFonts w:hint="eastAsia" w:ascii="宋体" w:hAnsi="宋体"/>
                <w:sz w:val="24"/>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r>
              <w:rPr>
                <w:rFonts w:hint="eastAsia" w:ascii="宋体" w:hAnsi="宋体"/>
                <w:sz w:val="24"/>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r>
              <w:rPr>
                <w:rFonts w:hint="eastAsia" w:ascii="宋体" w:hAnsi="宋体"/>
                <w:sz w:val="24"/>
              </w:rPr>
              <w:t>单位性质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r>
              <w:rPr>
                <w:rFonts w:hint="eastAsia" w:ascii="宋体" w:hAnsi="宋体"/>
                <w:sz w:val="24"/>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r>
              <w:rPr>
                <w:rFonts w:hint="eastAsia" w:ascii="宋体" w:hAnsi="宋体"/>
                <w:sz w:val="24"/>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p>
        </w:tc>
        <w:tc>
          <w:tcPr>
            <w:tcW w:w="14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r>
              <w:rPr>
                <w:rFonts w:hint="eastAsia" w:ascii="宋体" w:hAnsi="宋体"/>
                <w:sz w:val="24"/>
              </w:rPr>
              <w:t>技术职称及职业资格</w:t>
            </w:r>
          </w:p>
        </w:tc>
        <w:tc>
          <w:tcPr>
            <w:tcW w:w="1646"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r>
              <w:rPr>
                <w:rFonts w:hint="eastAsia" w:ascii="宋体" w:hAnsi="宋体"/>
                <w:sz w:val="24"/>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r>
              <w:rPr>
                <w:rFonts w:hint="eastAsia" w:ascii="宋体" w:hAnsi="宋体"/>
                <w:sz w:val="24"/>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r>
              <w:rPr>
                <w:rFonts w:hint="eastAsia" w:ascii="宋体" w:hAnsi="宋体"/>
                <w:sz w:val="24"/>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p>
        </w:tc>
        <w:tc>
          <w:tcPr>
            <w:tcW w:w="14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r>
              <w:rPr>
                <w:rFonts w:hint="eastAsia" w:ascii="宋体" w:hAnsi="宋体"/>
                <w:sz w:val="24"/>
              </w:rPr>
              <w:t>技术职称及职业资格</w:t>
            </w:r>
          </w:p>
        </w:tc>
        <w:tc>
          <w:tcPr>
            <w:tcW w:w="1646"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r>
              <w:rPr>
                <w:rFonts w:hint="eastAsia" w:ascii="宋体" w:hAnsi="宋体"/>
                <w:sz w:val="24"/>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r>
              <w:rPr>
                <w:rFonts w:hint="eastAsia" w:ascii="宋体" w:hAnsi="宋体"/>
                <w:sz w:val="24"/>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20" w:firstLineChars="50"/>
              <w:jc w:val="center"/>
              <w:rPr>
                <w:rFonts w:ascii="宋体" w:hAnsi="宋体"/>
                <w:sz w:val="24"/>
              </w:rPr>
            </w:pPr>
            <w:r>
              <w:rPr>
                <w:rFonts w:hint="eastAsia" w:ascii="宋体" w:hAnsi="宋体"/>
                <w:sz w:val="24"/>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r>
              <w:rPr>
                <w:rFonts w:hint="eastAsia" w:ascii="宋体" w:hAnsi="宋体"/>
                <w:sz w:val="24"/>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r>
              <w:rPr>
                <w:rFonts w:hint="eastAsia" w:ascii="宋体" w:hAnsi="宋体"/>
                <w:sz w:val="24"/>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r>
              <w:rPr>
                <w:rFonts w:hint="eastAsia" w:ascii="宋体" w:hAnsi="宋体"/>
                <w:sz w:val="24"/>
              </w:rPr>
              <w:t>项目总监</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r>
              <w:rPr>
                <w:rFonts w:hint="eastAsia" w:ascii="宋体" w:hAnsi="宋体"/>
                <w:sz w:val="24"/>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r>
              <w:rPr>
                <w:rFonts w:hint="eastAsia" w:ascii="宋体" w:hAnsi="宋体"/>
                <w:sz w:val="24"/>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r>
              <w:rPr>
                <w:rFonts w:hint="eastAsia" w:ascii="宋体" w:hAnsi="宋体"/>
                <w:sz w:val="24"/>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r>
              <w:rPr>
                <w:rFonts w:hint="eastAsia" w:ascii="宋体" w:hAnsi="宋体"/>
                <w:sz w:val="24"/>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r>
              <w:rPr>
                <w:rFonts w:hint="eastAsia" w:ascii="宋体" w:hAnsi="宋体"/>
                <w:sz w:val="24"/>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r>
              <w:rPr>
                <w:rFonts w:hint="eastAsia" w:ascii="宋体" w:hAnsi="宋体"/>
                <w:sz w:val="24"/>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r>
              <w:rPr>
                <w:rFonts w:hint="eastAsia" w:ascii="宋体" w:hAnsi="宋体"/>
                <w:sz w:val="24"/>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pStyle w:val="22"/>
              <w:rPr>
                <w:rFonts w:ascii="宋体" w:hAnsi="宋体"/>
                <w:sz w:val="24"/>
              </w:rPr>
            </w:pPr>
            <w:r>
              <w:rPr>
                <w:rFonts w:hint="eastAsia" w:ascii="宋体" w:hAnsi="宋体"/>
                <w:sz w:val="24"/>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1728" w:type="dxa"/>
            <w:tcBorders>
              <w:top w:val="single" w:color="auto" w:sz="4" w:space="0"/>
              <w:left w:val="single" w:color="auto" w:sz="4" w:space="0"/>
              <w:right w:val="single" w:color="auto" w:sz="4" w:space="0"/>
            </w:tcBorders>
            <w:vAlign w:val="center"/>
          </w:tcPr>
          <w:p>
            <w:pPr>
              <w:topLinePunct/>
              <w:spacing w:line="440" w:lineRule="exact"/>
              <w:ind w:firstLine="240" w:firstLineChars="100"/>
              <w:jc w:val="center"/>
              <w:rPr>
                <w:rFonts w:ascii="宋体" w:hAnsi="宋体"/>
                <w:sz w:val="24"/>
              </w:rPr>
            </w:pPr>
            <w:r>
              <w:rPr>
                <w:rFonts w:hint="eastAsia" w:ascii="宋体" w:hAnsi="宋体"/>
                <w:sz w:val="24"/>
              </w:rPr>
              <w:t>经营范围</w:t>
            </w:r>
          </w:p>
        </w:tc>
        <w:tc>
          <w:tcPr>
            <w:tcW w:w="6840" w:type="dxa"/>
            <w:gridSpan w:val="9"/>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sz w:val="24"/>
              </w:rPr>
            </w:pPr>
          </w:p>
          <w:p>
            <w:pPr>
              <w:topLinePunct/>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r>
              <w:rPr>
                <w:rFonts w:hint="eastAsia" w:ascii="宋体" w:hAnsi="宋体"/>
                <w:sz w:val="24"/>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 w:val="24"/>
              </w:rPr>
            </w:pPr>
          </w:p>
        </w:tc>
      </w:tr>
    </w:tbl>
    <w:p>
      <w:pPr>
        <w:pStyle w:val="51"/>
        <w:ind w:left="0" w:leftChars="0"/>
      </w:pPr>
      <w:r>
        <w:rPr>
          <w:rFonts w:hint="eastAsia" w:ascii="宋体" w:hAnsi="宋体"/>
          <w:sz w:val="24"/>
        </w:rPr>
        <w:t>备注：本表后应附企业法人营业执照、企业资质证书的原件扫描件（或图片）。</w:t>
      </w:r>
    </w:p>
    <w:p>
      <w:pPr>
        <w:adjustRightInd w:val="0"/>
        <w:snapToGrid w:val="0"/>
        <w:jc w:val="center"/>
        <w:rPr>
          <w:rFonts w:ascii="宋体" w:hAnsi="宋体" w:cs="宋体"/>
          <w:bCs/>
          <w:sz w:val="30"/>
          <w:szCs w:val="30"/>
        </w:rPr>
      </w:pPr>
    </w:p>
    <w:p>
      <w:pPr>
        <w:adjustRightInd w:val="0"/>
        <w:snapToGrid w:val="0"/>
        <w:jc w:val="center"/>
        <w:rPr>
          <w:rFonts w:ascii="宋体" w:hAnsi="宋体" w:cs="宋体"/>
          <w:bCs/>
          <w:sz w:val="30"/>
          <w:szCs w:val="30"/>
        </w:rPr>
      </w:pPr>
      <w:r>
        <w:rPr>
          <w:rFonts w:hint="eastAsia" w:ascii="宋体" w:hAnsi="宋体" w:cs="宋体"/>
          <w:bCs/>
          <w:sz w:val="30"/>
          <w:szCs w:val="30"/>
        </w:rPr>
        <w:t>宝丰县政府采购供应商信用承诺函</w:t>
      </w:r>
    </w:p>
    <w:p>
      <w:pPr>
        <w:adjustRightInd w:val="0"/>
        <w:snapToGrid w:val="0"/>
        <w:spacing w:before="156" w:beforeLines="50"/>
        <w:ind w:firstLine="600" w:firstLineChars="200"/>
        <w:rPr>
          <w:rFonts w:ascii="宋体" w:hAnsi="宋体" w:cs="宋体"/>
          <w:sz w:val="30"/>
          <w:szCs w:val="30"/>
        </w:rPr>
      </w:pPr>
    </w:p>
    <w:p>
      <w:pPr>
        <w:adjustRightInd w:val="0"/>
        <w:snapToGrid w:val="0"/>
        <w:spacing w:before="156" w:beforeLines="50"/>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（采购人或采购代理机构）  </w:t>
      </w:r>
      <w:r>
        <w:rPr>
          <w:rFonts w:hint="eastAsia" w:ascii="宋体" w:hAnsi="宋体" w:cs="宋体"/>
          <w:szCs w:val="21"/>
        </w:rPr>
        <w:t>：</w:t>
      </w:r>
    </w:p>
    <w:p>
      <w:pPr>
        <w:adjustRightInd w:val="0"/>
        <w:snapToGrid w:val="0"/>
        <w:spacing w:before="156" w:beforeLines="50"/>
        <w:ind w:firstLine="420" w:firstLineChars="200"/>
        <w:rPr>
          <w:rFonts w:ascii="宋体" w:hAnsi="宋体" w:cs="宋体"/>
          <w:szCs w:val="21"/>
          <w:u w:val="single"/>
        </w:rPr>
      </w:pPr>
      <w:r>
        <w:rPr>
          <w:rFonts w:hint="eastAsia" w:ascii="宋体" w:hAnsi="宋体" w:cs="宋体"/>
          <w:szCs w:val="21"/>
        </w:rPr>
        <w:t>单位名称：</w:t>
      </w:r>
      <w:r>
        <w:rPr>
          <w:rFonts w:hint="eastAsia" w:ascii="宋体" w:hAnsi="宋体" w:cs="宋体"/>
          <w:szCs w:val="21"/>
          <w:u w:val="single"/>
        </w:rPr>
        <w:t xml:space="preserve">                                  </w:t>
      </w:r>
    </w:p>
    <w:p>
      <w:pPr>
        <w:adjustRightInd w:val="0"/>
        <w:snapToGrid w:val="0"/>
        <w:spacing w:before="156" w:beforeLines="50"/>
        <w:ind w:firstLine="420" w:firstLineChars="200"/>
        <w:rPr>
          <w:rFonts w:ascii="宋体" w:hAnsi="宋体" w:cs="宋体"/>
          <w:szCs w:val="21"/>
        </w:rPr>
      </w:pPr>
      <w:r>
        <w:rPr>
          <w:rFonts w:hint="eastAsia" w:ascii="宋体" w:hAnsi="宋体" w:cs="宋体"/>
          <w:szCs w:val="21"/>
        </w:rPr>
        <w:t>统一社会信用代码：</w:t>
      </w:r>
      <w:r>
        <w:rPr>
          <w:rFonts w:hint="eastAsia" w:ascii="宋体" w:hAnsi="宋体" w:cs="宋体"/>
          <w:szCs w:val="21"/>
          <w:u w:val="single"/>
        </w:rPr>
        <w:t xml:space="preserve">                          </w:t>
      </w:r>
    </w:p>
    <w:p>
      <w:pPr>
        <w:adjustRightInd w:val="0"/>
        <w:snapToGrid w:val="0"/>
        <w:spacing w:before="156" w:beforeLines="50"/>
        <w:ind w:firstLine="420" w:firstLineChars="200"/>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p>
    <w:p>
      <w:pPr>
        <w:adjustRightInd w:val="0"/>
        <w:snapToGrid w:val="0"/>
        <w:spacing w:before="156" w:beforeLines="50"/>
        <w:ind w:firstLine="420" w:firstLineChars="200"/>
        <w:rPr>
          <w:rFonts w:ascii="宋体" w:hAnsi="宋体" w:cs="宋体"/>
          <w:szCs w:val="21"/>
        </w:rPr>
      </w:pPr>
      <w:r>
        <w:rPr>
          <w:rFonts w:hint="eastAsia" w:ascii="宋体" w:hAnsi="宋体" w:cs="宋体"/>
          <w:szCs w:val="21"/>
        </w:rPr>
        <w:t>联系地址和电话：</w:t>
      </w:r>
      <w:r>
        <w:rPr>
          <w:rFonts w:hint="eastAsia" w:ascii="宋体" w:hAnsi="宋体" w:cs="宋体"/>
          <w:szCs w:val="21"/>
          <w:u w:val="single"/>
        </w:rPr>
        <w:t xml:space="preserve">                            </w:t>
      </w:r>
    </w:p>
    <w:p>
      <w:pPr>
        <w:adjustRightInd w:val="0"/>
        <w:snapToGrid w:val="0"/>
        <w:spacing w:before="156" w:beforeLines="50"/>
        <w:ind w:firstLine="420" w:firstLineChars="200"/>
        <w:rPr>
          <w:rFonts w:ascii="宋体" w:hAnsi="宋体" w:cs="宋体"/>
          <w:szCs w:val="21"/>
        </w:rPr>
      </w:pPr>
      <w:r>
        <w:rPr>
          <w:rFonts w:hint="eastAsia" w:ascii="宋体" w:hAnsi="宋体" w:cs="宋体"/>
          <w:szCs w:val="21"/>
        </w:rPr>
        <w:t>我单位自愿参加本次政府采购活动，严格遵守《中华人民共和国政府采购法》及相关法律法规，依法诚信经营，无条件遵守本次政府采购活动的各项规定。我单位郑重承诺，本公司符合《中华人民共和国政府采购法》第二十二条规定的条件：</w:t>
      </w:r>
    </w:p>
    <w:p>
      <w:pPr>
        <w:adjustRightInd w:val="0"/>
        <w:snapToGrid w:val="0"/>
        <w:spacing w:before="156" w:beforeLines="50"/>
        <w:ind w:firstLine="420" w:firstLineChars="200"/>
        <w:rPr>
          <w:rFonts w:ascii="宋体" w:hAnsi="宋体" w:cs="宋体"/>
          <w:szCs w:val="21"/>
        </w:rPr>
      </w:pPr>
      <w:r>
        <w:rPr>
          <w:rFonts w:hint="eastAsia" w:ascii="宋体" w:hAnsi="宋体" w:cs="宋体"/>
          <w:szCs w:val="21"/>
        </w:rPr>
        <w:t>(一)具有独立承担民事责任的能力；</w:t>
      </w:r>
    </w:p>
    <w:p>
      <w:pPr>
        <w:adjustRightInd w:val="0"/>
        <w:snapToGrid w:val="0"/>
        <w:spacing w:before="156" w:beforeLines="50"/>
        <w:ind w:firstLine="420" w:firstLineChars="200"/>
        <w:rPr>
          <w:rFonts w:ascii="宋体" w:hAnsi="宋体" w:cs="宋体"/>
          <w:szCs w:val="21"/>
        </w:rPr>
      </w:pPr>
      <w:r>
        <w:rPr>
          <w:rFonts w:hint="eastAsia" w:ascii="宋体" w:hAnsi="宋体" w:cs="宋体"/>
          <w:szCs w:val="21"/>
        </w:rPr>
        <w:t>(二)具有良好的商业信誉和健全的财务会计制度；</w:t>
      </w:r>
    </w:p>
    <w:p>
      <w:pPr>
        <w:adjustRightInd w:val="0"/>
        <w:snapToGrid w:val="0"/>
        <w:spacing w:before="156" w:beforeLines="50"/>
        <w:ind w:firstLine="420" w:firstLineChars="200"/>
        <w:rPr>
          <w:rFonts w:ascii="宋体" w:hAnsi="宋体" w:cs="宋体"/>
          <w:szCs w:val="21"/>
        </w:rPr>
      </w:pPr>
      <w:r>
        <w:rPr>
          <w:rFonts w:hint="eastAsia" w:ascii="宋体" w:hAnsi="宋体" w:cs="宋体"/>
          <w:szCs w:val="21"/>
        </w:rPr>
        <w:t>(三)具有履行合同所必需的设备和专业技术能力；</w:t>
      </w:r>
    </w:p>
    <w:p>
      <w:pPr>
        <w:adjustRightInd w:val="0"/>
        <w:snapToGrid w:val="0"/>
        <w:spacing w:before="156" w:beforeLines="50"/>
        <w:ind w:firstLine="420" w:firstLineChars="200"/>
        <w:rPr>
          <w:rFonts w:ascii="宋体" w:hAnsi="宋体" w:cs="宋体"/>
          <w:szCs w:val="21"/>
        </w:rPr>
      </w:pPr>
      <w:r>
        <w:rPr>
          <w:rFonts w:hint="eastAsia" w:ascii="宋体" w:hAnsi="宋体" w:cs="宋体"/>
          <w:szCs w:val="21"/>
        </w:rPr>
        <w:t>(四)有依法缴纳税收和社会保障资金的良好记录；</w:t>
      </w:r>
    </w:p>
    <w:p>
      <w:pPr>
        <w:adjustRightInd w:val="0"/>
        <w:snapToGrid w:val="0"/>
        <w:spacing w:before="156" w:beforeLines="50"/>
        <w:ind w:firstLine="420" w:firstLineChars="200"/>
        <w:rPr>
          <w:rFonts w:ascii="宋体" w:hAnsi="宋体" w:cs="宋体"/>
          <w:szCs w:val="21"/>
        </w:rPr>
      </w:pPr>
      <w:r>
        <w:rPr>
          <w:rFonts w:hint="eastAsia" w:ascii="宋体" w:hAnsi="宋体" w:cs="宋体"/>
          <w:szCs w:val="21"/>
        </w:rPr>
        <w:t>(五)参加政府采购活动前三年内，在经营活动中没有重大违法记录；</w:t>
      </w:r>
    </w:p>
    <w:p>
      <w:pPr>
        <w:adjustRightInd w:val="0"/>
        <w:snapToGrid w:val="0"/>
        <w:spacing w:before="156" w:beforeLines="50"/>
        <w:ind w:firstLine="420" w:firstLineChars="200"/>
        <w:rPr>
          <w:rFonts w:ascii="宋体" w:hAnsi="宋体" w:cs="宋体"/>
          <w:szCs w:val="21"/>
        </w:rPr>
      </w:pPr>
      <w:r>
        <w:rPr>
          <w:rFonts w:hint="eastAsia" w:ascii="宋体" w:hAnsi="宋体" w:cs="宋体"/>
          <w:szCs w:val="21"/>
        </w:rPr>
        <w:t>(六)法律、行政法规规定的其他条件。</w:t>
      </w:r>
    </w:p>
    <w:p>
      <w:pPr>
        <w:adjustRightInd w:val="0"/>
        <w:snapToGrid w:val="0"/>
        <w:spacing w:before="156" w:beforeLines="50"/>
        <w:ind w:firstLine="420" w:firstLineChars="200"/>
        <w:rPr>
          <w:rFonts w:ascii="宋体" w:hAnsi="宋体" w:cs="宋体"/>
          <w:szCs w:val="21"/>
        </w:rPr>
      </w:pPr>
      <w:r>
        <w:rPr>
          <w:rFonts w:hint="eastAsia" w:ascii="宋体" w:hAnsi="宋体" w:cs="宋体"/>
          <w:szCs w:val="21"/>
        </w:rPr>
        <w:t>我单位保证上述承诺事项的真实性，如有弄虚作假或其他违法违规行为，愿意承担一切法律责任，并承担因此所造成的一切损失。</w:t>
      </w:r>
    </w:p>
    <w:p>
      <w:pPr>
        <w:adjustRightInd w:val="0"/>
        <w:snapToGrid w:val="0"/>
        <w:spacing w:before="156" w:beforeLines="50"/>
        <w:ind w:firstLine="3307" w:firstLineChars="1575"/>
        <w:rPr>
          <w:rFonts w:ascii="宋体" w:hAnsi="宋体" w:cs="宋体"/>
          <w:szCs w:val="21"/>
        </w:rPr>
      </w:pPr>
      <w:r>
        <w:rPr>
          <w:rFonts w:hint="eastAsia" w:ascii="宋体" w:hAnsi="宋体" w:cs="宋体"/>
          <w:szCs w:val="21"/>
        </w:rPr>
        <w:t xml:space="preserve">投标人（企业电子章）： </w:t>
      </w:r>
    </w:p>
    <w:p>
      <w:pPr>
        <w:adjustRightInd w:val="0"/>
        <w:snapToGrid w:val="0"/>
        <w:spacing w:before="156" w:beforeLines="50"/>
        <w:ind w:firstLine="1627" w:firstLineChars="775"/>
        <w:rPr>
          <w:rFonts w:ascii="宋体" w:hAnsi="宋体" w:cs="宋体"/>
          <w:szCs w:val="21"/>
        </w:rPr>
      </w:pPr>
      <w:r>
        <w:rPr>
          <w:rFonts w:hint="eastAsia" w:ascii="宋体" w:hAnsi="宋体" w:cs="宋体"/>
          <w:szCs w:val="21"/>
        </w:rPr>
        <w:t xml:space="preserve">法定代表人或授权代表(签字或电子印章)： </w:t>
      </w:r>
    </w:p>
    <w:p>
      <w:pPr>
        <w:adjustRightInd w:val="0"/>
        <w:snapToGrid w:val="0"/>
        <w:spacing w:before="156" w:beforeLines="50"/>
        <w:ind w:firstLine="1837" w:firstLineChars="875"/>
        <w:rPr>
          <w:rFonts w:ascii="宋体" w:hAnsi="宋体" w:cs="宋体"/>
          <w:szCs w:val="21"/>
        </w:rPr>
      </w:pPr>
      <w:r>
        <w:rPr>
          <w:rFonts w:hint="eastAsia" w:ascii="宋体" w:hAnsi="宋体" w:cs="宋体"/>
          <w:szCs w:val="21"/>
        </w:rPr>
        <w:t xml:space="preserve">日期：       年    月    日 </w:t>
      </w:r>
    </w:p>
    <w:p>
      <w:pPr>
        <w:adjustRightInd w:val="0"/>
        <w:snapToGrid w:val="0"/>
        <w:spacing w:before="156" w:beforeLines="50"/>
        <w:ind w:firstLine="420" w:firstLineChars="200"/>
        <w:rPr>
          <w:rFonts w:ascii="宋体" w:hAnsi="宋体" w:cs="宋体"/>
          <w:bCs/>
          <w:szCs w:val="21"/>
        </w:rPr>
      </w:pPr>
      <w:r>
        <w:rPr>
          <w:rFonts w:hint="eastAsia" w:ascii="宋体" w:hAnsi="宋体" w:cs="宋体"/>
          <w:bCs/>
          <w:szCs w:val="21"/>
        </w:rPr>
        <w:t>注：1.投标人须在投标文件中按此模板提供承诺函，未提供视为未实质性响应招标文件要求，按无效投标处理。</w:t>
      </w:r>
    </w:p>
    <w:p>
      <w:pPr>
        <w:rPr>
          <w:rFonts w:ascii="宋体" w:hAnsi="宋体" w:cs="宋体"/>
          <w:szCs w:val="21"/>
        </w:rPr>
      </w:pPr>
      <w:r>
        <w:rPr>
          <w:rFonts w:hint="eastAsia" w:ascii="宋体" w:hAnsi="宋体" w:cs="宋体"/>
          <w:bCs/>
          <w:szCs w:val="21"/>
        </w:rPr>
        <w:t>2.投标人的法定代表人或者授权代表的签字或盖章应真实、有效，如由授权代表签字或盖章的，应提供“法定代表人授权书”。</w:t>
      </w:r>
    </w:p>
    <w:p>
      <w:pPr>
        <w:pStyle w:val="51"/>
        <w:rPr>
          <w:sz w:val="24"/>
        </w:rPr>
      </w:pPr>
    </w:p>
    <w:p>
      <w:pPr>
        <w:pStyle w:val="56"/>
        <w:pageBreakBefore/>
        <w:ind w:firstLine="3313" w:firstLineChars="1100"/>
        <w:rPr>
          <w:rFonts w:ascii="宋体" w:hAnsi="宋体" w:eastAsia="宋体"/>
          <w:b/>
          <w:sz w:val="30"/>
          <w:szCs w:val="30"/>
        </w:rPr>
      </w:pPr>
      <w:bookmarkStart w:id="823" w:name="_Toc2992"/>
      <w:bookmarkStart w:id="824" w:name="_Toc489430924"/>
      <w:bookmarkStart w:id="825" w:name="_Toc116314157"/>
      <w:bookmarkStart w:id="826" w:name="_Toc489430564"/>
      <w:r>
        <w:rPr>
          <w:rFonts w:hint="eastAsia" w:ascii="宋体" w:hAnsi="宋体" w:eastAsia="宋体"/>
          <w:b/>
          <w:sz w:val="30"/>
          <w:szCs w:val="30"/>
        </w:rPr>
        <w:t>七、其他材料</w:t>
      </w:r>
      <w:bookmarkEnd w:id="823"/>
      <w:bookmarkEnd w:id="824"/>
      <w:bookmarkEnd w:id="825"/>
      <w:bookmarkEnd w:id="826"/>
    </w:p>
    <w:p>
      <w:pPr>
        <w:widowControl/>
        <w:jc w:val="left"/>
      </w:pPr>
    </w:p>
    <w:p>
      <w:pPr>
        <w:adjustRightInd w:val="0"/>
        <w:snapToGrid w:val="0"/>
        <w:spacing w:line="360" w:lineRule="auto"/>
        <w:outlineLvl w:val="1"/>
        <w:rPr>
          <w:rFonts w:ascii="宋体" w:hAnsi="宋体" w:cs="宋体"/>
          <w:b/>
          <w:sz w:val="32"/>
          <w:szCs w:val="32"/>
        </w:rPr>
      </w:pPr>
      <w:bookmarkStart w:id="827" w:name="_Toc8723"/>
    </w:p>
    <w:p>
      <w:pPr>
        <w:adjustRightInd w:val="0"/>
        <w:snapToGrid w:val="0"/>
        <w:spacing w:line="360" w:lineRule="auto"/>
        <w:outlineLvl w:val="1"/>
        <w:rPr>
          <w:rFonts w:ascii="宋体" w:hAnsi="宋体" w:cs="宋体"/>
          <w:b/>
          <w:sz w:val="32"/>
          <w:szCs w:val="32"/>
        </w:rPr>
      </w:pPr>
    </w:p>
    <w:p>
      <w:pPr>
        <w:adjustRightInd w:val="0"/>
        <w:snapToGrid w:val="0"/>
        <w:spacing w:line="360" w:lineRule="auto"/>
        <w:outlineLvl w:val="1"/>
        <w:rPr>
          <w:rFonts w:ascii="宋体" w:hAnsi="宋体" w:cs="宋体"/>
          <w:b/>
          <w:sz w:val="32"/>
          <w:szCs w:val="32"/>
        </w:rPr>
      </w:pPr>
    </w:p>
    <w:p>
      <w:pPr>
        <w:adjustRightInd w:val="0"/>
        <w:snapToGrid w:val="0"/>
        <w:spacing w:line="360" w:lineRule="auto"/>
        <w:outlineLvl w:val="1"/>
        <w:rPr>
          <w:rFonts w:ascii="宋体" w:hAnsi="宋体" w:cs="宋体"/>
          <w:b/>
          <w:sz w:val="32"/>
          <w:szCs w:val="32"/>
        </w:rPr>
      </w:pPr>
    </w:p>
    <w:p>
      <w:pPr>
        <w:adjustRightInd w:val="0"/>
        <w:snapToGrid w:val="0"/>
        <w:spacing w:line="360" w:lineRule="auto"/>
        <w:outlineLvl w:val="1"/>
        <w:rPr>
          <w:rFonts w:ascii="宋体" w:hAnsi="宋体" w:cs="宋体"/>
          <w:b/>
          <w:sz w:val="32"/>
          <w:szCs w:val="32"/>
        </w:rPr>
      </w:pPr>
    </w:p>
    <w:p>
      <w:pPr>
        <w:adjustRightInd w:val="0"/>
        <w:snapToGrid w:val="0"/>
        <w:spacing w:line="360" w:lineRule="auto"/>
        <w:outlineLvl w:val="1"/>
        <w:rPr>
          <w:rFonts w:ascii="宋体" w:hAnsi="宋体" w:cs="宋体"/>
          <w:b/>
          <w:sz w:val="32"/>
          <w:szCs w:val="32"/>
        </w:rPr>
      </w:pPr>
    </w:p>
    <w:p>
      <w:pPr>
        <w:adjustRightInd w:val="0"/>
        <w:snapToGrid w:val="0"/>
        <w:spacing w:line="360" w:lineRule="auto"/>
        <w:outlineLvl w:val="1"/>
        <w:rPr>
          <w:rFonts w:ascii="宋体" w:hAnsi="宋体" w:cs="宋体"/>
          <w:b/>
          <w:sz w:val="32"/>
          <w:szCs w:val="32"/>
        </w:rPr>
      </w:pPr>
    </w:p>
    <w:p>
      <w:pPr>
        <w:adjustRightInd w:val="0"/>
        <w:snapToGrid w:val="0"/>
        <w:spacing w:line="360" w:lineRule="auto"/>
        <w:outlineLvl w:val="1"/>
        <w:rPr>
          <w:rFonts w:ascii="宋体" w:hAnsi="宋体" w:cs="宋体"/>
          <w:b/>
          <w:sz w:val="32"/>
          <w:szCs w:val="32"/>
        </w:rPr>
      </w:pPr>
    </w:p>
    <w:p>
      <w:pPr>
        <w:adjustRightInd w:val="0"/>
        <w:snapToGrid w:val="0"/>
        <w:spacing w:line="360" w:lineRule="auto"/>
        <w:outlineLvl w:val="1"/>
        <w:rPr>
          <w:rFonts w:ascii="宋体" w:hAnsi="宋体" w:cs="宋体"/>
          <w:b/>
          <w:sz w:val="32"/>
          <w:szCs w:val="32"/>
        </w:rPr>
      </w:pPr>
    </w:p>
    <w:p>
      <w:pPr>
        <w:adjustRightInd w:val="0"/>
        <w:snapToGrid w:val="0"/>
        <w:spacing w:line="360" w:lineRule="auto"/>
        <w:outlineLvl w:val="1"/>
        <w:rPr>
          <w:rFonts w:ascii="宋体" w:hAnsi="宋体" w:cs="宋体"/>
          <w:b/>
          <w:sz w:val="32"/>
          <w:szCs w:val="32"/>
        </w:rPr>
      </w:pPr>
    </w:p>
    <w:p>
      <w:pPr>
        <w:adjustRightInd w:val="0"/>
        <w:snapToGrid w:val="0"/>
        <w:spacing w:line="360" w:lineRule="auto"/>
        <w:outlineLvl w:val="1"/>
        <w:rPr>
          <w:rFonts w:ascii="宋体" w:hAnsi="宋体" w:cs="宋体"/>
          <w:b/>
          <w:sz w:val="32"/>
          <w:szCs w:val="32"/>
        </w:rPr>
      </w:pPr>
    </w:p>
    <w:p>
      <w:pPr>
        <w:adjustRightInd w:val="0"/>
        <w:snapToGrid w:val="0"/>
        <w:spacing w:line="360" w:lineRule="auto"/>
        <w:outlineLvl w:val="1"/>
        <w:rPr>
          <w:rFonts w:ascii="宋体" w:hAnsi="宋体" w:cs="宋体"/>
          <w:b/>
          <w:sz w:val="32"/>
          <w:szCs w:val="32"/>
        </w:rPr>
      </w:pPr>
    </w:p>
    <w:p>
      <w:pPr>
        <w:adjustRightInd w:val="0"/>
        <w:snapToGrid w:val="0"/>
        <w:spacing w:line="360" w:lineRule="auto"/>
        <w:outlineLvl w:val="1"/>
        <w:rPr>
          <w:rFonts w:ascii="宋体" w:hAnsi="宋体" w:cs="宋体"/>
          <w:b/>
          <w:sz w:val="32"/>
          <w:szCs w:val="32"/>
        </w:rPr>
      </w:pPr>
    </w:p>
    <w:p>
      <w:pPr>
        <w:adjustRightInd w:val="0"/>
        <w:snapToGrid w:val="0"/>
        <w:spacing w:line="360" w:lineRule="auto"/>
        <w:outlineLvl w:val="1"/>
        <w:rPr>
          <w:rFonts w:ascii="宋体" w:hAnsi="宋体" w:cs="宋体"/>
          <w:b/>
          <w:sz w:val="32"/>
          <w:szCs w:val="32"/>
        </w:rPr>
      </w:pPr>
    </w:p>
    <w:p>
      <w:pPr>
        <w:adjustRightInd w:val="0"/>
        <w:snapToGrid w:val="0"/>
        <w:spacing w:line="360" w:lineRule="auto"/>
        <w:outlineLvl w:val="1"/>
        <w:rPr>
          <w:rFonts w:ascii="宋体" w:hAnsi="宋体" w:cs="宋体"/>
          <w:b/>
          <w:sz w:val="32"/>
          <w:szCs w:val="32"/>
        </w:rPr>
      </w:pPr>
    </w:p>
    <w:p>
      <w:pPr>
        <w:adjustRightInd w:val="0"/>
        <w:snapToGrid w:val="0"/>
        <w:spacing w:line="360" w:lineRule="auto"/>
        <w:outlineLvl w:val="1"/>
        <w:rPr>
          <w:rFonts w:ascii="宋体" w:hAnsi="宋体" w:cs="宋体"/>
          <w:b/>
          <w:sz w:val="32"/>
          <w:szCs w:val="32"/>
        </w:rPr>
      </w:pPr>
    </w:p>
    <w:p>
      <w:pPr>
        <w:adjustRightInd w:val="0"/>
        <w:snapToGrid w:val="0"/>
        <w:spacing w:line="360" w:lineRule="auto"/>
        <w:outlineLvl w:val="1"/>
        <w:rPr>
          <w:rFonts w:ascii="宋体" w:hAnsi="宋体" w:cs="宋体"/>
          <w:b/>
          <w:sz w:val="32"/>
          <w:szCs w:val="32"/>
        </w:rPr>
      </w:pPr>
    </w:p>
    <w:p>
      <w:pPr>
        <w:adjustRightInd w:val="0"/>
        <w:snapToGrid w:val="0"/>
        <w:spacing w:line="360" w:lineRule="auto"/>
        <w:outlineLvl w:val="1"/>
        <w:rPr>
          <w:rFonts w:ascii="宋体" w:hAnsi="宋体" w:cs="宋体"/>
          <w:b/>
          <w:sz w:val="32"/>
          <w:szCs w:val="32"/>
        </w:rPr>
      </w:pPr>
    </w:p>
    <w:p>
      <w:pPr>
        <w:adjustRightInd w:val="0"/>
        <w:snapToGrid w:val="0"/>
        <w:spacing w:line="360" w:lineRule="auto"/>
        <w:outlineLvl w:val="1"/>
        <w:rPr>
          <w:rFonts w:ascii="宋体" w:hAnsi="宋体" w:cs="宋体"/>
          <w:b/>
          <w:sz w:val="32"/>
          <w:szCs w:val="32"/>
        </w:rPr>
      </w:pPr>
    </w:p>
    <w:p>
      <w:pPr>
        <w:adjustRightInd w:val="0"/>
        <w:snapToGrid w:val="0"/>
        <w:spacing w:line="360" w:lineRule="auto"/>
        <w:outlineLvl w:val="1"/>
        <w:rPr>
          <w:rFonts w:ascii="宋体" w:hAnsi="宋体" w:cs="宋体"/>
          <w:b/>
          <w:sz w:val="32"/>
          <w:szCs w:val="32"/>
        </w:rPr>
      </w:pPr>
    </w:p>
    <w:p>
      <w:pPr>
        <w:adjustRightInd w:val="0"/>
        <w:snapToGrid w:val="0"/>
        <w:spacing w:line="360" w:lineRule="auto"/>
        <w:outlineLvl w:val="1"/>
        <w:rPr>
          <w:rFonts w:ascii="宋体" w:hAnsi="宋体" w:cs="宋体"/>
          <w:b/>
          <w:sz w:val="32"/>
          <w:szCs w:val="32"/>
        </w:rPr>
      </w:pPr>
    </w:p>
    <w:p>
      <w:pPr>
        <w:adjustRightInd w:val="0"/>
        <w:snapToGrid w:val="0"/>
        <w:spacing w:line="360" w:lineRule="auto"/>
        <w:outlineLvl w:val="1"/>
        <w:rPr>
          <w:rFonts w:ascii="宋体" w:hAnsi="宋体" w:cs="宋体"/>
          <w:b/>
          <w:sz w:val="32"/>
          <w:szCs w:val="32"/>
        </w:rPr>
      </w:pPr>
      <w:bookmarkStart w:id="828" w:name="_Toc116314158"/>
      <w:r>
        <w:rPr>
          <w:rFonts w:hint="eastAsia" w:ascii="宋体" w:hAnsi="宋体" w:cs="宋体"/>
          <w:b/>
          <w:sz w:val="32"/>
          <w:szCs w:val="32"/>
        </w:rPr>
        <w:t>附件一：</w:t>
      </w:r>
      <w:bookmarkEnd w:id="827"/>
      <w:bookmarkEnd w:id="828"/>
    </w:p>
    <w:p>
      <w:pPr>
        <w:adjustRightInd w:val="0"/>
        <w:snapToGrid w:val="0"/>
        <w:spacing w:line="360" w:lineRule="auto"/>
        <w:jc w:val="center"/>
        <w:outlineLvl w:val="1"/>
        <w:rPr>
          <w:rFonts w:ascii="宋体" w:hAnsi="宋体" w:cs="宋体"/>
          <w:b/>
          <w:sz w:val="40"/>
          <w:szCs w:val="40"/>
        </w:rPr>
      </w:pPr>
      <w:bookmarkStart w:id="829" w:name="_Toc116314159"/>
      <w:bookmarkStart w:id="830" w:name="_Toc8090"/>
      <w:r>
        <w:rPr>
          <w:rFonts w:hint="eastAsia" w:ascii="宋体" w:hAnsi="宋体" w:cs="宋体"/>
          <w:b/>
          <w:bCs/>
          <w:spacing w:val="6"/>
          <w:kern w:val="0"/>
          <w:sz w:val="32"/>
          <w:szCs w:val="32"/>
        </w:rPr>
        <w:t>享受政府采购政策的证明材料</w:t>
      </w:r>
      <w:bookmarkEnd w:id="829"/>
      <w:bookmarkEnd w:id="830"/>
    </w:p>
    <w:p>
      <w:pPr>
        <w:pStyle w:val="11"/>
        <w:jc w:val="center"/>
        <w:rPr>
          <w:rFonts w:hAnsi="宋体"/>
          <w:b/>
          <w:bCs/>
          <w:color w:val="auto"/>
          <w:spacing w:val="6"/>
        </w:rPr>
      </w:pPr>
      <w:r>
        <w:rPr>
          <w:rFonts w:hint="eastAsia" w:hAnsi="宋体"/>
          <w:b/>
          <w:bCs/>
          <w:color w:val="auto"/>
          <w:spacing w:val="6"/>
        </w:rPr>
        <w:t>（如有时提供，若无时投标文件中可不提供）</w:t>
      </w:r>
    </w:p>
    <w:p>
      <w:pPr>
        <w:widowControl/>
        <w:adjustRightInd w:val="0"/>
        <w:snapToGrid w:val="0"/>
        <w:spacing w:before="156" w:beforeLines="50" w:line="360" w:lineRule="auto"/>
        <w:ind w:firstLine="444" w:firstLineChars="200"/>
        <w:jc w:val="left"/>
        <w:rPr>
          <w:rFonts w:ascii="宋体" w:hAnsi="宋体" w:cs="宋体"/>
          <w:spacing w:val="6"/>
          <w:kern w:val="0"/>
          <w:szCs w:val="21"/>
        </w:rPr>
      </w:pPr>
    </w:p>
    <w:p>
      <w:pPr>
        <w:pStyle w:val="18"/>
        <w:ind w:left="0" w:leftChars="0"/>
        <w:jc w:val="center"/>
        <w:rPr>
          <w:szCs w:val="21"/>
          <w:lang w:val="zh-CN"/>
        </w:rPr>
      </w:pPr>
      <w:r>
        <w:rPr>
          <w:rFonts w:hint="eastAsia"/>
          <w:szCs w:val="21"/>
        </w:rPr>
        <w:t>1、</w:t>
      </w:r>
      <w:r>
        <w:rPr>
          <w:rFonts w:hint="eastAsia"/>
          <w:szCs w:val="21"/>
          <w:lang w:val="zh-CN"/>
        </w:rPr>
        <w:t>中小企业声明函（工程、服务）</w:t>
      </w:r>
    </w:p>
    <w:p>
      <w:pPr>
        <w:pStyle w:val="18"/>
        <w:spacing w:line="360" w:lineRule="auto"/>
        <w:ind w:firstLine="461"/>
        <w:rPr>
          <w:szCs w:val="21"/>
          <w:lang w:val="zh-CN"/>
        </w:rPr>
      </w:pPr>
      <w:r>
        <w:rPr>
          <w:rFonts w:hint="eastAsia"/>
          <w:szCs w:val="21"/>
          <w:lang w:val="zh-CN"/>
        </w:rPr>
        <w:t>本公司（联合体）郑重声明，根据《政府采购促进中小企业发展管理办法》（财库[20</w:t>
      </w:r>
      <w:r>
        <w:rPr>
          <w:rFonts w:hint="eastAsia"/>
          <w:szCs w:val="21"/>
        </w:rPr>
        <w:t>20</w:t>
      </w:r>
      <w:r>
        <w:rPr>
          <w:rFonts w:hint="eastAsia"/>
          <w:szCs w:val="21"/>
          <w:lang w:val="zh-CN"/>
        </w:rPr>
        <w:t>]</w:t>
      </w:r>
      <w:r>
        <w:rPr>
          <w:rFonts w:hint="eastAsia"/>
          <w:szCs w:val="21"/>
        </w:rPr>
        <w:t>46</w:t>
      </w:r>
      <w:r>
        <w:rPr>
          <w:rFonts w:hint="eastAsia"/>
          <w:szCs w:val="21"/>
          <w:lang w:val="zh-CN"/>
        </w:rPr>
        <w:t>号）的规定，本公司（联合体）参加</w:t>
      </w:r>
      <w:r>
        <w:rPr>
          <w:rFonts w:hint="eastAsia"/>
          <w:szCs w:val="21"/>
          <w:u w:val="single"/>
          <w:lang w:val="zh-CN"/>
        </w:rPr>
        <w:t>（单位名称）</w:t>
      </w:r>
      <w:r>
        <w:rPr>
          <w:rFonts w:hint="eastAsia"/>
          <w:szCs w:val="21"/>
          <w:lang w:val="zh-CN"/>
        </w:rPr>
        <w:t>的</w:t>
      </w:r>
      <w:r>
        <w:rPr>
          <w:rFonts w:hint="eastAsia"/>
          <w:szCs w:val="21"/>
          <w:u w:val="single"/>
          <w:lang w:val="zh-CN"/>
        </w:rPr>
        <w:t>（项目名称及标段）</w:t>
      </w:r>
      <w:r>
        <w:rPr>
          <w:rFonts w:hint="eastAsia"/>
          <w:szCs w:val="21"/>
          <w:lang w:val="zh-CN"/>
        </w:rPr>
        <w:t>采购活动，工程的施工单位全部为符合政策要求的中小企业（或者：服务全部由符合政策要求的中小企业承接）。相关企业（含联合体中的中小企业、签订分包意向协议的中小企业）的具体情况如下：</w:t>
      </w:r>
    </w:p>
    <w:p>
      <w:pPr>
        <w:pStyle w:val="18"/>
        <w:numPr>
          <w:ilvl w:val="0"/>
          <w:numId w:val="7"/>
        </w:numPr>
        <w:spacing w:line="360" w:lineRule="auto"/>
        <w:ind w:firstLine="461"/>
        <w:rPr>
          <w:szCs w:val="21"/>
        </w:rPr>
      </w:pPr>
      <w:r>
        <w:rPr>
          <w:rFonts w:hint="eastAsia"/>
          <w:szCs w:val="21"/>
          <w:u w:val="single"/>
          <w:lang w:val="zh-CN"/>
        </w:rPr>
        <w:t>（标的名称）</w:t>
      </w:r>
      <w:r>
        <w:rPr>
          <w:rFonts w:hint="eastAsia"/>
          <w:szCs w:val="21"/>
          <w:lang w:val="zh-CN"/>
        </w:rPr>
        <w:t>，属于</w:t>
      </w:r>
      <w:r>
        <w:rPr>
          <w:rFonts w:hint="eastAsia"/>
          <w:szCs w:val="21"/>
          <w:u w:val="single"/>
          <w:lang w:val="zh-CN"/>
        </w:rPr>
        <w:t>（采购文件中明确的所属行业）</w:t>
      </w:r>
      <w:r>
        <w:rPr>
          <w:rFonts w:hint="eastAsia"/>
          <w:szCs w:val="21"/>
          <w:lang w:val="zh-CN"/>
        </w:rPr>
        <w:t>行业；承建（承接）企业为</w:t>
      </w:r>
      <w:r>
        <w:rPr>
          <w:rFonts w:hint="eastAsia"/>
          <w:szCs w:val="21"/>
          <w:u w:val="single"/>
          <w:lang w:val="zh-CN"/>
        </w:rPr>
        <w:t>（企业名称）</w:t>
      </w:r>
      <w:r>
        <w:rPr>
          <w:rFonts w:hint="eastAsia"/>
          <w:szCs w:val="21"/>
          <w:lang w:val="zh-CN"/>
        </w:rPr>
        <w:t>，从业人员</w:t>
      </w:r>
      <w:r>
        <w:rPr>
          <w:rFonts w:hint="eastAsia"/>
          <w:szCs w:val="21"/>
          <w:u w:val="single"/>
        </w:rPr>
        <w:t xml:space="preserve">   </w:t>
      </w:r>
      <w:r>
        <w:rPr>
          <w:rFonts w:hint="eastAsia"/>
          <w:szCs w:val="21"/>
        </w:rPr>
        <w:t>人，营业收入为</w:t>
      </w:r>
      <w:r>
        <w:rPr>
          <w:rFonts w:hint="eastAsia"/>
          <w:szCs w:val="21"/>
          <w:u w:val="single"/>
        </w:rPr>
        <w:t xml:space="preserve">     </w:t>
      </w:r>
      <w:r>
        <w:rPr>
          <w:rFonts w:hint="eastAsia"/>
          <w:szCs w:val="21"/>
        </w:rPr>
        <w:t>万元，资产总额为</w:t>
      </w:r>
      <w:r>
        <w:rPr>
          <w:rFonts w:hint="eastAsia"/>
          <w:szCs w:val="21"/>
          <w:u w:val="single"/>
        </w:rPr>
        <w:t xml:space="preserve">     </w:t>
      </w:r>
      <w:r>
        <w:rPr>
          <w:rFonts w:hint="eastAsia"/>
          <w:szCs w:val="21"/>
        </w:rPr>
        <w:t>万元，属于</w:t>
      </w:r>
      <w:r>
        <w:rPr>
          <w:rFonts w:hint="eastAsia"/>
          <w:szCs w:val="21"/>
          <w:u w:val="single"/>
        </w:rPr>
        <w:t>（中型企业、小型企业、微型企业）</w:t>
      </w:r>
      <w:r>
        <w:rPr>
          <w:rFonts w:hint="eastAsia"/>
          <w:szCs w:val="21"/>
        </w:rPr>
        <w:t>；</w:t>
      </w:r>
    </w:p>
    <w:p>
      <w:pPr>
        <w:pStyle w:val="18"/>
        <w:numPr>
          <w:ilvl w:val="0"/>
          <w:numId w:val="7"/>
        </w:numPr>
        <w:spacing w:line="360" w:lineRule="auto"/>
        <w:ind w:firstLine="461"/>
        <w:rPr>
          <w:szCs w:val="21"/>
        </w:rPr>
      </w:pPr>
      <w:r>
        <w:rPr>
          <w:rFonts w:hint="eastAsia"/>
          <w:szCs w:val="21"/>
          <w:u w:val="single"/>
        </w:rPr>
        <w:t>（标的名称）</w:t>
      </w:r>
      <w:r>
        <w:rPr>
          <w:rFonts w:hint="eastAsia"/>
          <w:szCs w:val="21"/>
        </w:rPr>
        <w:t>，属于</w:t>
      </w:r>
      <w:r>
        <w:rPr>
          <w:rFonts w:hint="eastAsia"/>
          <w:szCs w:val="21"/>
          <w:u w:val="single"/>
        </w:rPr>
        <w:t>（采购文件中明确的所属行业）</w:t>
      </w:r>
      <w:r>
        <w:rPr>
          <w:rFonts w:hint="eastAsia"/>
          <w:szCs w:val="21"/>
        </w:rPr>
        <w:t>行业；</w:t>
      </w:r>
      <w:r>
        <w:rPr>
          <w:rFonts w:hint="eastAsia"/>
          <w:szCs w:val="21"/>
          <w:lang w:val="zh-CN"/>
        </w:rPr>
        <w:t>承建（承接）企业</w:t>
      </w:r>
      <w:r>
        <w:rPr>
          <w:rFonts w:hint="eastAsia"/>
          <w:szCs w:val="21"/>
        </w:rPr>
        <w:t>为</w:t>
      </w:r>
      <w:r>
        <w:rPr>
          <w:rFonts w:hint="eastAsia"/>
          <w:szCs w:val="21"/>
          <w:u w:val="single"/>
        </w:rPr>
        <w:t>（企业名称）</w:t>
      </w:r>
      <w:r>
        <w:rPr>
          <w:rFonts w:hint="eastAsia"/>
          <w:szCs w:val="21"/>
        </w:rPr>
        <w:t>，从业人员</w:t>
      </w:r>
      <w:r>
        <w:rPr>
          <w:rFonts w:hint="eastAsia"/>
          <w:szCs w:val="21"/>
          <w:u w:val="single"/>
        </w:rPr>
        <w:t xml:space="preserve">   </w:t>
      </w:r>
      <w:r>
        <w:rPr>
          <w:rFonts w:hint="eastAsia"/>
          <w:szCs w:val="21"/>
        </w:rPr>
        <w:t>人，营业收入为</w:t>
      </w:r>
      <w:r>
        <w:rPr>
          <w:rFonts w:hint="eastAsia"/>
          <w:szCs w:val="21"/>
          <w:u w:val="single"/>
        </w:rPr>
        <w:t xml:space="preserve">    </w:t>
      </w:r>
      <w:r>
        <w:rPr>
          <w:rFonts w:hint="eastAsia"/>
          <w:szCs w:val="21"/>
        </w:rPr>
        <w:t>万元，资产总额为</w:t>
      </w:r>
      <w:r>
        <w:rPr>
          <w:rFonts w:hint="eastAsia"/>
          <w:szCs w:val="21"/>
          <w:u w:val="single"/>
        </w:rPr>
        <w:t xml:space="preserve">     </w:t>
      </w:r>
      <w:r>
        <w:rPr>
          <w:rFonts w:hint="eastAsia"/>
          <w:szCs w:val="21"/>
        </w:rPr>
        <w:t>万元，属于</w:t>
      </w:r>
      <w:r>
        <w:rPr>
          <w:rFonts w:hint="eastAsia"/>
          <w:szCs w:val="21"/>
          <w:u w:val="single"/>
        </w:rPr>
        <w:t>（中型企业、小型企业、微型企业）</w:t>
      </w:r>
      <w:r>
        <w:rPr>
          <w:rFonts w:hint="eastAsia"/>
          <w:szCs w:val="21"/>
        </w:rPr>
        <w:t>；</w:t>
      </w:r>
    </w:p>
    <w:p>
      <w:pPr>
        <w:pStyle w:val="18"/>
        <w:spacing w:line="360" w:lineRule="auto"/>
        <w:ind w:firstLine="480"/>
        <w:rPr>
          <w:szCs w:val="21"/>
        </w:rPr>
      </w:pPr>
      <w:r>
        <w:rPr>
          <w:rFonts w:hint="eastAsia"/>
          <w:szCs w:val="21"/>
        </w:rPr>
        <w:t>.......</w:t>
      </w:r>
    </w:p>
    <w:p>
      <w:pPr>
        <w:pStyle w:val="18"/>
        <w:spacing w:line="360" w:lineRule="auto"/>
        <w:ind w:firstLine="480"/>
        <w:rPr>
          <w:szCs w:val="21"/>
        </w:rPr>
      </w:pPr>
      <w:r>
        <w:rPr>
          <w:rFonts w:hint="eastAsia"/>
          <w:szCs w:val="21"/>
        </w:rPr>
        <w:t>以上企业，不属于大企业的分支机构，不存在控股股东为大企业的情形，也不存在与大企业的负责人为同一人的情形。</w:t>
      </w:r>
    </w:p>
    <w:p>
      <w:pPr>
        <w:pStyle w:val="18"/>
        <w:spacing w:line="360" w:lineRule="auto"/>
        <w:ind w:firstLine="480"/>
        <w:rPr>
          <w:szCs w:val="21"/>
        </w:rPr>
      </w:pPr>
      <w:r>
        <w:rPr>
          <w:rFonts w:hint="eastAsia"/>
          <w:szCs w:val="21"/>
        </w:rPr>
        <w:t>本企业对上述声明内容的真实性负责。如有虚假，将依法承担相应责任。</w:t>
      </w:r>
    </w:p>
    <w:p>
      <w:pPr>
        <w:pStyle w:val="18"/>
        <w:spacing w:line="360" w:lineRule="auto"/>
        <w:ind w:firstLine="461"/>
        <w:rPr>
          <w:szCs w:val="21"/>
          <w:lang w:val="zh-CN"/>
        </w:rPr>
      </w:pPr>
      <w:r>
        <w:rPr>
          <w:rFonts w:hint="eastAsia"/>
          <w:szCs w:val="21"/>
          <w:lang w:val="zh-CN"/>
        </w:rPr>
        <w:t>注：从业人员、营业收入、资产总额填报上一年度数据，无上一年度数据的新成立企业可不填报。</w:t>
      </w:r>
    </w:p>
    <w:p>
      <w:pPr>
        <w:spacing w:line="360" w:lineRule="auto"/>
        <w:ind w:firstLine="630" w:firstLineChars="300"/>
        <w:rPr>
          <w:szCs w:val="21"/>
          <w:lang w:val="zh-CN"/>
        </w:rPr>
      </w:pPr>
      <w:r>
        <w:rPr>
          <w:rFonts w:hint="eastAsia"/>
          <w:szCs w:val="21"/>
          <w:lang w:val="zh-CN"/>
        </w:rPr>
        <w:t xml:space="preserve">                      </w:t>
      </w:r>
      <w:r>
        <w:rPr>
          <w:rFonts w:hint="eastAsia"/>
          <w:szCs w:val="21"/>
        </w:rPr>
        <w:t xml:space="preserve"> </w:t>
      </w:r>
      <w:r>
        <w:rPr>
          <w:rFonts w:hint="eastAsia"/>
          <w:szCs w:val="21"/>
          <w:lang w:val="zh-CN"/>
        </w:rPr>
        <w:t>企业名称（盖章）：</w:t>
      </w:r>
      <w:r>
        <w:rPr>
          <w:rFonts w:hint="eastAsia"/>
          <w:szCs w:val="21"/>
          <w:u w:val="single"/>
          <w:lang w:val="zh-CN"/>
        </w:rPr>
        <w:t xml:space="preserve">            </w:t>
      </w:r>
      <w:r>
        <w:rPr>
          <w:rFonts w:hint="eastAsia"/>
          <w:szCs w:val="21"/>
          <w:lang w:val="zh-CN"/>
        </w:rPr>
        <w:t xml:space="preserve">           </w:t>
      </w:r>
    </w:p>
    <w:p>
      <w:pPr>
        <w:spacing w:line="360" w:lineRule="auto"/>
        <w:ind w:firstLine="2520" w:firstLineChars="1200"/>
        <w:rPr>
          <w:szCs w:val="21"/>
        </w:rPr>
      </w:pPr>
      <w:r>
        <w:rPr>
          <w:rFonts w:hint="eastAsia"/>
          <w:szCs w:val="21"/>
          <w:lang w:val="zh-CN"/>
        </w:rPr>
        <w:t xml:space="preserve">     </w:t>
      </w:r>
      <w:r>
        <w:rPr>
          <w:rFonts w:hint="eastAsia"/>
          <w:szCs w:val="21"/>
        </w:rPr>
        <w:t>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pStyle w:val="73"/>
        <w:rPr>
          <w:sz w:val="21"/>
          <w:szCs w:val="21"/>
        </w:rPr>
      </w:pPr>
    </w:p>
    <w:p>
      <w:pPr>
        <w:pStyle w:val="73"/>
        <w:rPr>
          <w:sz w:val="21"/>
          <w:szCs w:val="21"/>
        </w:rPr>
      </w:pPr>
    </w:p>
    <w:p>
      <w:pPr>
        <w:pStyle w:val="73"/>
        <w:rPr>
          <w:sz w:val="21"/>
          <w:szCs w:val="21"/>
        </w:rPr>
      </w:pPr>
    </w:p>
    <w:p>
      <w:pPr>
        <w:pStyle w:val="73"/>
        <w:rPr>
          <w:sz w:val="21"/>
          <w:szCs w:val="21"/>
        </w:rPr>
      </w:pPr>
    </w:p>
    <w:p>
      <w:pPr>
        <w:pStyle w:val="73"/>
        <w:rPr>
          <w:sz w:val="21"/>
          <w:szCs w:val="21"/>
        </w:rPr>
      </w:pPr>
    </w:p>
    <w:p>
      <w:pPr>
        <w:pStyle w:val="73"/>
        <w:rPr>
          <w:sz w:val="21"/>
          <w:szCs w:val="21"/>
        </w:rPr>
      </w:pPr>
    </w:p>
    <w:p>
      <w:pPr>
        <w:pStyle w:val="73"/>
        <w:rPr>
          <w:sz w:val="21"/>
          <w:szCs w:val="21"/>
        </w:rPr>
      </w:pPr>
    </w:p>
    <w:p>
      <w:pPr>
        <w:adjustRightInd w:val="0"/>
        <w:snapToGrid w:val="0"/>
        <w:jc w:val="center"/>
        <w:rPr>
          <w:szCs w:val="21"/>
          <w:lang w:val="zh-CN"/>
        </w:rPr>
      </w:pPr>
      <w:r>
        <w:rPr>
          <w:rFonts w:hint="eastAsia"/>
          <w:szCs w:val="21"/>
        </w:rPr>
        <w:t>2</w:t>
      </w:r>
      <w:r>
        <w:rPr>
          <w:rFonts w:hint="eastAsia"/>
          <w:szCs w:val="21"/>
          <w:lang w:val="zh-CN"/>
        </w:rPr>
        <w:t>、关于监狱企业（如有）</w:t>
      </w:r>
    </w:p>
    <w:p>
      <w:pPr>
        <w:pStyle w:val="73"/>
        <w:rPr>
          <w:sz w:val="21"/>
          <w:szCs w:val="21"/>
          <w:lang w:val="zh-CN"/>
        </w:rPr>
      </w:pPr>
    </w:p>
    <w:p>
      <w:pPr>
        <w:adjustRightInd w:val="0"/>
        <w:snapToGrid w:val="0"/>
        <w:spacing w:line="360" w:lineRule="auto"/>
        <w:rPr>
          <w:szCs w:val="21"/>
          <w:lang w:val="zh-CN"/>
        </w:rPr>
      </w:pPr>
      <w:bookmarkStart w:id="831" w:name="_Toc10807_WPSOffice_Level2"/>
      <w:r>
        <w:rPr>
          <w:rFonts w:hint="eastAsia"/>
          <w:szCs w:val="21"/>
          <w:lang w:val="zh-CN"/>
        </w:rPr>
        <w:t>1、政府采购政策</w:t>
      </w:r>
      <w:bookmarkEnd w:id="831"/>
    </w:p>
    <w:p>
      <w:pPr>
        <w:adjustRightInd w:val="0"/>
        <w:snapToGrid w:val="0"/>
        <w:spacing w:line="360" w:lineRule="auto"/>
        <w:ind w:firstLine="420" w:firstLineChars="200"/>
        <w:rPr>
          <w:szCs w:val="21"/>
          <w:lang w:val="zh-CN"/>
        </w:rPr>
      </w:pPr>
      <w:r>
        <w:rPr>
          <w:rFonts w:hint="eastAsia"/>
          <w:szCs w:val="21"/>
          <w:lang w:val="zh-CN"/>
        </w:rPr>
        <w:t>财政部、司法部关于政府采购支持监狱企业发展有关问题的通知（财库【2014】68 号）</w:t>
      </w:r>
    </w:p>
    <w:p>
      <w:pPr>
        <w:adjustRightInd w:val="0"/>
        <w:snapToGrid w:val="0"/>
        <w:spacing w:line="360" w:lineRule="auto"/>
        <w:rPr>
          <w:szCs w:val="21"/>
          <w:lang w:val="zh-CN"/>
        </w:rPr>
      </w:pPr>
      <w:bookmarkStart w:id="832" w:name="_Toc25753_WPSOffice_Level2"/>
      <w:r>
        <w:rPr>
          <w:rFonts w:hint="eastAsia"/>
          <w:szCs w:val="21"/>
          <w:lang w:val="zh-CN"/>
        </w:rPr>
        <w:t>2、附证明材料</w:t>
      </w:r>
      <w:bookmarkEnd w:id="832"/>
    </w:p>
    <w:p>
      <w:pPr>
        <w:adjustRightInd w:val="0"/>
        <w:snapToGrid w:val="0"/>
        <w:spacing w:line="360" w:lineRule="auto"/>
        <w:ind w:firstLine="420" w:firstLineChars="200"/>
        <w:rPr>
          <w:szCs w:val="21"/>
          <w:lang w:val="zh-CN"/>
        </w:rPr>
      </w:pPr>
      <w:r>
        <w:rPr>
          <w:rFonts w:hint="eastAsia"/>
          <w:szCs w:val="21"/>
          <w:lang w:val="zh-CN"/>
        </w:rPr>
        <w:t xml:space="preserve">提供由省级以上监狱管理局、戒毒管理局（含新疆生产建设兵团）出具的属于监狱企业的证明文件. </w:t>
      </w:r>
    </w:p>
    <w:p>
      <w:pPr>
        <w:adjustRightInd w:val="0"/>
        <w:snapToGrid w:val="0"/>
        <w:rPr>
          <w:szCs w:val="21"/>
          <w:lang w:val="zh-CN"/>
        </w:rPr>
      </w:pPr>
      <w:r>
        <w:rPr>
          <w:rFonts w:hint="eastAsia"/>
          <w:szCs w:val="21"/>
          <w:lang w:val="zh-CN"/>
        </w:rPr>
        <w:t xml:space="preserve"> </w:t>
      </w:r>
    </w:p>
    <w:p>
      <w:pPr>
        <w:pStyle w:val="73"/>
        <w:rPr>
          <w:sz w:val="21"/>
          <w:szCs w:val="21"/>
          <w:lang w:val="zh-CN"/>
        </w:rPr>
      </w:pPr>
    </w:p>
    <w:p>
      <w:pPr>
        <w:pStyle w:val="73"/>
        <w:rPr>
          <w:sz w:val="21"/>
          <w:szCs w:val="21"/>
          <w:lang w:val="zh-CN"/>
        </w:rPr>
      </w:pPr>
    </w:p>
    <w:p>
      <w:pPr>
        <w:adjustRightInd w:val="0"/>
        <w:snapToGrid w:val="0"/>
        <w:jc w:val="center"/>
        <w:rPr>
          <w:szCs w:val="21"/>
          <w:lang w:val="zh-CN"/>
        </w:rPr>
      </w:pPr>
      <w:bookmarkStart w:id="833" w:name="_Toc28195_WPSOffice_Level1"/>
      <w:r>
        <w:rPr>
          <w:rFonts w:hint="eastAsia"/>
          <w:szCs w:val="21"/>
        </w:rPr>
        <w:t>3</w:t>
      </w:r>
      <w:r>
        <w:rPr>
          <w:rFonts w:hint="eastAsia"/>
          <w:szCs w:val="21"/>
          <w:lang w:val="zh-CN"/>
        </w:rPr>
        <w:t>、关于促进残疾人就业的政府采购政策（如有）</w:t>
      </w:r>
      <w:bookmarkEnd w:id="833"/>
    </w:p>
    <w:p>
      <w:pPr>
        <w:pStyle w:val="73"/>
        <w:rPr>
          <w:sz w:val="21"/>
          <w:szCs w:val="21"/>
          <w:lang w:val="zh-CN"/>
        </w:rPr>
      </w:pPr>
    </w:p>
    <w:p>
      <w:pPr>
        <w:adjustRightInd w:val="0"/>
        <w:snapToGrid w:val="0"/>
        <w:spacing w:line="360" w:lineRule="auto"/>
        <w:rPr>
          <w:szCs w:val="21"/>
          <w:lang w:val="zh-CN"/>
        </w:rPr>
      </w:pPr>
      <w:bookmarkStart w:id="834" w:name="_Toc30502_WPSOffice_Level2"/>
      <w:r>
        <w:rPr>
          <w:rFonts w:hint="eastAsia"/>
          <w:szCs w:val="21"/>
          <w:lang w:val="zh-CN"/>
        </w:rPr>
        <w:t>1、政府采购政策</w:t>
      </w:r>
      <w:bookmarkEnd w:id="834"/>
    </w:p>
    <w:p>
      <w:pPr>
        <w:adjustRightInd w:val="0"/>
        <w:snapToGrid w:val="0"/>
        <w:spacing w:line="360" w:lineRule="auto"/>
        <w:ind w:firstLine="420" w:firstLineChars="200"/>
        <w:rPr>
          <w:szCs w:val="21"/>
          <w:lang w:val="zh-CN"/>
        </w:rPr>
      </w:pPr>
      <w:r>
        <w:rPr>
          <w:rFonts w:hint="eastAsia"/>
          <w:szCs w:val="21"/>
          <w:lang w:val="zh-CN"/>
        </w:rPr>
        <w:t>关于促进残疾人就业政府采购政策的通知（财库〔2017〕141 号）</w:t>
      </w:r>
    </w:p>
    <w:p>
      <w:pPr>
        <w:adjustRightInd w:val="0"/>
        <w:snapToGrid w:val="0"/>
        <w:spacing w:line="360" w:lineRule="auto"/>
        <w:rPr>
          <w:szCs w:val="21"/>
          <w:lang w:val="zh-CN"/>
        </w:rPr>
      </w:pPr>
      <w:bookmarkStart w:id="835" w:name="_Toc15406_WPSOffice_Level2"/>
      <w:r>
        <w:rPr>
          <w:rFonts w:hint="eastAsia"/>
          <w:szCs w:val="21"/>
          <w:lang w:val="zh-CN"/>
        </w:rPr>
        <w:t>2、附残疾人福利性单位声明函</w:t>
      </w:r>
      <w:bookmarkEnd w:id="835"/>
    </w:p>
    <w:p>
      <w:pPr>
        <w:adjustRightInd w:val="0"/>
        <w:snapToGrid w:val="0"/>
        <w:spacing w:line="360" w:lineRule="auto"/>
        <w:ind w:firstLine="420" w:firstLineChars="200"/>
        <w:rPr>
          <w:szCs w:val="21"/>
          <w:lang w:val="zh-CN"/>
        </w:rPr>
      </w:pPr>
      <w:r>
        <w:rPr>
          <w:rFonts w:hint="eastAsia"/>
          <w:szCs w:val="21"/>
          <w:lang w:val="zh-CN"/>
        </w:rPr>
        <w:t>本单位郑重声明，根据《财政部民政部中国残疾人联合会关于促进残疾人就业政府</w:t>
      </w:r>
    </w:p>
    <w:p>
      <w:pPr>
        <w:adjustRightInd w:val="0"/>
        <w:snapToGrid w:val="0"/>
        <w:spacing w:line="360" w:lineRule="auto"/>
        <w:ind w:firstLine="420" w:firstLineChars="200"/>
        <w:rPr>
          <w:szCs w:val="21"/>
          <w:lang w:val="zh-CN"/>
        </w:rPr>
      </w:pPr>
      <w:r>
        <w:rPr>
          <w:rFonts w:hint="eastAsia"/>
          <w:szCs w:val="21"/>
          <w:lang w:val="zh-CN"/>
        </w:rPr>
        <w:t>采购政策的通知》（财库〔2017〕141 号）的规定，本单位为符合条件的残疾人福利性单位，且本单位参加__________________单位的________________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firstLine="420" w:firstLineChars="200"/>
        <w:rPr>
          <w:szCs w:val="21"/>
          <w:lang w:val="zh-CN"/>
        </w:rPr>
      </w:pPr>
      <w:r>
        <w:rPr>
          <w:rFonts w:hint="eastAsia"/>
          <w:szCs w:val="21"/>
          <w:lang w:val="zh-CN"/>
        </w:rPr>
        <w:t>本单位对上述声明的真实性负责。如有虚假，将依法承担相应责任。</w:t>
      </w:r>
    </w:p>
    <w:p>
      <w:pPr>
        <w:adjustRightInd w:val="0"/>
        <w:snapToGrid w:val="0"/>
        <w:spacing w:line="360" w:lineRule="auto"/>
        <w:rPr>
          <w:szCs w:val="21"/>
          <w:lang w:val="zh-CN"/>
        </w:rPr>
      </w:pPr>
    </w:p>
    <w:p>
      <w:pPr>
        <w:adjustRightInd w:val="0"/>
        <w:snapToGrid w:val="0"/>
        <w:spacing w:line="360" w:lineRule="auto"/>
        <w:rPr>
          <w:szCs w:val="21"/>
          <w:lang w:val="zh-CN"/>
        </w:rPr>
      </w:pPr>
    </w:p>
    <w:p>
      <w:pPr>
        <w:adjustRightInd w:val="0"/>
        <w:snapToGrid w:val="0"/>
        <w:spacing w:line="360" w:lineRule="auto"/>
        <w:ind w:firstLine="420" w:firstLineChars="200"/>
        <w:rPr>
          <w:szCs w:val="21"/>
          <w:lang w:val="zh-CN"/>
        </w:rPr>
      </w:pPr>
      <w:r>
        <w:rPr>
          <w:rFonts w:hint="eastAsia"/>
          <w:szCs w:val="21"/>
          <w:lang w:val="zh-CN"/>
        </w:rPr>
        <w:t>投标人名称：          （盖单位公章）</w:t>
      </w:r>
    </w:p>
    <w:p>
      <w:pPr>
        <w:adjustRightInd w:val="0"/>
        <w:snapToGrid w:val="0"/>
        <w:spacing w:line="360" w:lineRule="auto"/>
        <w:rPr>
          <w:szCs w:val="21"/>
          <w:lang w:val="zh-CN" w:eastAsia="en-US"/>
        </w:rPr>
      </w:pPr>
    </w:p>
    <w:p>
      <w:pPr>
        <w:spacing w:line="480" w:lineRule="auto"/>
        <w:ind w:firstLine="630" w:firstLineChars="300"/>
        <w:rPr>
          <w:rFonts w:ascii="宋体" w:hAnsi="宋体" w:cs="宋体"/>
          <w:szCs w:val="21"/>
        </w:rPr>
      </w:pPr>
      <w:r>
        <w:rPr>
          <w:rFonts w:hint="eastAsia"/>
          <w:szCs w:val="21"/>
          <w:lang w:val="zh-CN"/>
        </w:rPr>
        <w:t>年    月    日</w:t>
      </w:r>
      <w:r>
        <w:rPr>
          <w:rFonts w:ascii="宋体" w:hAnsi="宋体" w:cs="宋体"/>
          <w:szCs w:val="21"/>
        </w:rPr>
        <w:t xml:space="preserve"> </w:t>
      </w:r>
    </w:p>
    <w:p>
      <w:pPr>
        <w:pStyle w:val="18"/>
        <w:ind w:left="0" w:leftChars="0"/>
        <w:rPr>
          <w:sz w:val="24"/>
        </w:rPr>
      </w:pPr>
      <w:r>
        <w:rPr>
          <w:rFonts w:ascii="宋体" w:hAnsi="宋体" w:cs="宋体"/>
          <w:szCs w:val="21"/>
        </w:rPr>
        <w:br w:type="page"/>
      </w:r>
      <w:r>
        <w:rPr>
          <w:b/>
          <w:sz w:val="24"/>
        </w:rPr>
        <w:t>附</w:t>
      </w:r>
      <w:r>
        <w:rPr>
          <w:rFonts w:hint="eastAsia"/>
          <w:b/>
          <w:sz w:val="24"/>
        </w:rPr>
        <w:t>件二</w:t>
      </w:r>
      <w:r>
        <w:rPr>
          <w:sz w:val="24"/>
        </w:rPr>
        <w:t xml:space="preserve">： </w:t>
      </w:r>
    </w:p>
    <w:p>
      <w:pPr>
        <w:spacing w:line="480" w:lineRule="auto"/>
        <w:jc w:val="center"/>
        <w:rPr>
          <w:rFonts w:ascii="宋体" w:hAnsi="宋体" w:cs="宋体"/>
          <w:b/>
          <w:bCs/>
          <w:sz w:val="24"/>
        </w:rPr>
      </w:pPr>
      <w:r>
        <w:rPr>
          <w:rFonts w:ascii="宋体" w:hAnsi="宋体" w:cs="宋体"/>
          <w:b/>
          <w:bCs/>
          <w:sz w:val="24"/>
        </w:rPr>
        <w:t>河南省政府采购合同融资政策告知函</w:t>
      </w:r>
    </w:p>
    <w:p>
      <w:pPr>
        <w:pStyle w:val="11"/>
        <w:jc w:val="center"/>
        <w:rPr>
          <w:rFonts w:hAnsi="宋体"/>
          <w:b/>
          <w:bCs/>
          <w:color w:val="auto"/>
          <w:spacing w:val="6"/>
        </w:rPr>
      </w:pPr>
      <w:r>
        <w:rPr>
          <w:rFonts w:hint="eastAsia" w:hAnsi="宋体"/>
          <w:b/>
          <w:bCs/>
          <w:color w:val="auto"/>
          <w:spacing w:val="6"/>
        </w:rPr>
        <w:t>（投标文件中不需提供）</w:t>
      </w:r>
    </w:p>
    <w:p>
      <w:pPr>
        <w:pStyle w:val="13"/>
        <w:ind w:left="840" w:hanging="420"/>
      </w:pPr>
    </w:p>
    <w:p>
      <w:pPr>
        <w:autoSpaceDE w:val="0"/>
        <w:autoSpaceDN w:val="0"/>
        <w:spacing w:line="360" w:lineRule="auto"/>
        <w:jc w:val="left"/>
        <w:rPr>
          <w:sz w:val="22"/>
          <w:szCs w:val="22"/>
        </w:rPr>
      </w:pPr>
      <w:r>
        <w:rPr>
          <w:rFonts w:hint="eastAsia"/>
          <w:sz w:val="22"/>
          <w:szCs w:val="22"/>
        </w:rPr>
        <w:t>各供应商:</w:t>
      </w:r>
    </w:p>
    <w:p>
      <w:pPr>
        <w:autoSpaceDE w:val="0"/>
        <w:autoSpaceDN w:val="0"/>
        <w:spacing w:line="360" w:lineRule="auto"/>
        <w:ind w:firstLine="440" w:firstLineChars="200"/>
        <w:rPr>
          <w:sz w:val="22"/>
          <w:szCs w:val="22"/>
        </w:rPr>
      </w:pPr>
      <w:r>
        <w:rPr>
          <w:rFonts w:hint="eastAsia"/>
          <w:sz w:val="22"/>
          <w:szCs w:val="22"/>
        </w:rPr>
        <w:t>欢迎贵公司参与河南省政府采购活动!</w:t>
      </w:r>
    </w:p>
    <w:p>
      <w:pPr>
        <w:autoSpaceDE w:val="0"/>
        <w:autoSpaceDN w:val="0"/>
        <w:spacing w:line="360" w:lineRule="auto"/>
        <w:ind w:firstLine="440" w:firstLineChars="200"/>
        <w:rPr>
          <w:sz w:val="22"/>
          <w:szCs w:val="22"/>
        </w:rPr>
      </w:pPr>
      <w:r>
        <w:rPr>
          <w:rFonts w:hint="eastAsia"/>
          <w:sz w:val="22"/>
          <w:szCs w:val="22"/>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财购[2017]10号),按照双方自愿的原则提供便捷、优惠的贷款服务。</w:t>
      </w:r>
    </w:p>
    <w:p>
      <w:pPr>
        <w:autoSpaceDE w:val="0"/>
        <w:autoSpaceDN w:val="0"/>
        <w:spacing w:line="360" w:lineRule="auto"/>
        <w:ind w:firstLine="440" w:firstLineChars="200"/>
        <w:rPr>
          <w:sz w:val="22"/>
          <w:szCs w:val="22"/>
        </w:rPr>
      </w:pPr>
      <w:r>
        <w:rPr>
          <w:rFonts w:hint="eastAsia"/>
          <w:sz w:val="22"/>
          <w:szCs w:val="22"/>
        </w:rPr>
        <w:t>贷款渠道和提供贷款的金融机构,可在河南省政府采购网“河南省政府采购合同融资平台”查询联系。</w:t>
      </w:r>
    </w:p>
    <w:p>
      <w:pPr>
        <w:spacing w:line="360" w:lineRule="auto"/>
        <w:ind w:left="420" w:leftChars="200"/>
        <w:rPr>
          <w:rFonts w:hint="eastAsia" w:ascii="宋体" w:hAnsi="宋体" w:cs="宋体"/>
          <w:b/>
          <w:spacing w:val="6"/>
          <w:sz w:val="22"/>
          <w:szCs w:val="22"/>
        </w:rPr>
      </w:pPr>
    </w:p>
    <w:p>
      <w:pPr>
        <w:spacing w:line="360" w:lineRule="auto"/>
        <w:ind w:left="420" w:leftChars="200"/>
        <w:rPr>
          <w:rFonts w:hint="eastAsia" w:ascii="宋体" w:hAnsi="宋体" w:cs="宋体"/>
          <w:b/>
          <w:spacing w:val="6"/>
          <w:sz w:val="22"/>
          <w:szCs w:val="22"/>
        </w:rPr>
      </w:pPr>
    </w:p>
    <w:p>
      <w:pPr>
        <w:spacing w:line="360" w:lineRule="auto"/>
        <w:ind w:left="420" w:leftChars="200"/>
        <w:rPr>
          <w:rFonts w:hint="eastAsia" w:ascii="宋体" w:hAnsi="宋体" w:cs="宋体"/>
          <w:b/>
          <w:spacing w:val="6"/>
          <w:sz w:val="22"/>
          <w:szCs w:val="22"/>
        </w:rPr>
      </w:pPr>
    </w:p>
    <w:p>
      <w:pPr>
        <w:spacing w:line="360" w:lineRule="auto"/>
        <w:ind w:left="420" w:leftChars="200"/>
        <w:rPr>
          <w:rFonts w:hint="eastAsia" w:ascii="宋体" w:hAnsi="宋体" w:cs="宋体"/>
          <w:b/>
          <w:spacing w:val="6"/>
          <w:sz w:val="22"/>
          <w:szCs w:val="22"/>
        </w:rPr>
      </w:pPr>
    </w:p>
    <w:p>
      <w:pPr>
        <w:spacing w:line="360" w:lineRule="auto"/>
        <w:ind w:left="420" w:leftChars="200"/>
        <w:rPr>
          <w:rFonts w:hint="eastAsia" w:ascii="宋体" w:hAnsi="宋体" w:cs="宋体"/>
          <w:b/>
          <w:spacing w:val="6"/>
          <w:sz w:val="22"/>
          <w:szCs w:val="22"/>
        </w:rPr>
      </w:pPr>
    </w:p>
    <w:p>
      <w:pPr>
        <w:spacing w:line="360" w:lineRule="auto"/>
        <w:ind w:left="420" w:leftChars="200"/>
        <w:rPr>
          <w:rFonts w:hint="eastAsia" w:ascii="宋体" w:hAnsi="宋体" w:cs="宋体"/>
          <w:b/>
          <w:spacing w:val="6"/>
          <w:sz w:val="22"/>
          <w:szCs w:val="22"/>
        </w:rPr>
      </w:pPr>
    </w:p>
    <w:p>
      <w:pPr>
        <w:spacing w:line="360" w:lineRule="auto"/>
        <w:ind w:left="420" w:leftChars="200"/>
        <w:rPr>
          <w:rFonts w:hint="eastAsia" w:ascii="宋体" w:hAnsi="宋体" w:cs="宋体"/>
          <w:b/>
          <w:spacing w:val="6"/>
          <w:sz w:val="22"/>
          <w:szCs w:val="22"/>
        </w:rPr>
      </w:pPr>
    </w:p>
    <w:p>
      <w:pPr>
        <w:spacing w:line="360" w:lineRule="auto"/>
        <w:ind w:left="420" w:leftChars="200"/>
        <w:rPr>
          <w:rFonts w:hint="eastAsia" w:ascii="宋体" w:hAnsi="宋体" w:cs="宋体"/>
          <w:b/>
          <w:spacing w:val="6"/>
          <w:sz w:val="22"/>
          <w:szCs w:val="22"/>
        </w:rPr>
      </w:pPr>
    </w:p>
    <w:p>
      <w:pPr>
        <w:spacing w:line="360" w:lineRule="auto"/>
        <w:ind w:left="420" w:leftChars="200"/>
        <w:rPr>
          <w:rFonts w:hint="eastAsia" w:ascii="宋体" w:hAnsi="宋体" w:cs="宋体"/>
          <w:b/>
          <w:spacing w:val="6"/>
          <w:sz w:val="22"/>
          <w:szCs w:val="22"/>
        </w:rPr>
      </w:pPr>
    </w:p>
    <w:p>
      <w:pPr>
        <w:spacing w:line="360" w:lineRule="auto"/>
        <w:ind w:left="420" w:leftChars="200"/>
        <w:rPr>
          <w:rFonts w:hint="eastAsia" w:ascii="宋体" w:hAnsi="宋体" w:cs="宋体"/>
          <w:b/>
          <w:spacing w:val="6"/>
          <w:sz w:val="22"/>
          <w:szCs w:val="22"/>
        </w:rPr>
      </w:pPr>
    </w:p>
    <w:p>
      <w:pPr>
        <w:spacing w:line="360" w:lineRule="auto"/>
        <w:ind w:left="420" w:leftChars="200"/>
        <w:rPr>
          <w:rFonts w:hint="eastAsia" w:ascii="宋体" w:hAnsi="宋体" w:cs="宋体"/>
          <w:b/>
          <w:spacing w:val="6"/>
          <w:sz w:val="22"/>
          <w:szCs w:val="22"/>
        </w:rPr>
      </w:pPr>
    </w:p>
    <w:p>
      <w:pPr>
        <w:spacing w:line="360" w:lineRule="auto"/>
        <w:ind w:left="420" w:leftChars="200"/>
        <w:rPr>
          <w:rFonts w:hint="eastAsia" w:ascii="宋体" w:hAnsi="宋体" w:cs="宋体"/>
          <w:b/>
          <w:spacing w:val="6"/>
          <w:sz w:val="22"/>
          <w:szCs w:val="22"/>
        </w:rPr>
      </w:pPr>
    </w:p>
    <w:p>
      <w:pPr>
        <w:spacing w:line="360" w:lineRule="auto"/>
        <w:ind w:left="420" w:leftChars="200"/>
        <w:rPr>
          <w:rFonts w:hint="eastAsia" w:ascii="宋体" w:hAnsi="宋体" w:cs="宋体"/>
          <w:b/>
          <w:spacing w:val="6"/>
          <w:sz w:val="22"/>
          <w:szCs w:val="22"/>
        </w:rPr>
      </w:pPr>
    </w:p>
    <w:p>
      <w:pPr>
        <w:spacing w:line="360" w:lineRule="auto"/>
        <w:ind w:left="420" w:leftChars="200"/>
        <w:rPr>
          <w:rFonts w:hint="eastAsia" w:ascii="宋体" w:hAnsi="宋体" w:cs="宋体"/>
          <w:b/>
          <w:spacing w:val="6"/>
          <w:sz w:val="22"/>
          <w:szCs w:val="22"/>
        </w:rPr>
      </w:pPr>
    </w:p>
    <w:p>
      <w:pPr>
        <w:spacing w:line="360" w:lineRule="auto"/>
        <w:ind w:left="420" w:leftChars="200"/>
        <w:rPr>
          <w:rFonts w:hint="eastAsia" w:ascii="宋体" w:hAnsi="宋体" w:cs="宋体"/>
          <w:b/>
          <w:spacing w:val="6"/>
          <w:sz w:val="22"/>
          <w:szCs w:val="22"/>
        </w:rPr>
      </w:pPr>
    </w:p>
    <w:p>
      <w:pPr>
        <w:spacing w:line="360" w:lineRule="auto"/>
        <w:ind w:left="420" w:leftChars="200"/>
        <w:rPr>
          <w:rFonts w:hint="eastAsia" w:ascii="宋体" w:hAnsi="宋体" w:cs="宋体"/>
          <w:b/>
          <w:spacing w:val="6"/>
          <w:sz w:val="22"/>
          <w:szCs w:val="22"/>
        </w:rPr>
      </w:pPr>
    </w:p>
    <w:p>
      <w:pPr>
        <w:spacing w:line="360" w:lineRule="auto"/>
        <w:ind w:left="420" w:leftChars="200"/>
        <w:rPr>
          <w:rFonts w:hint="eastAsia" w:ascii="宋体" w:hAnsi="宋体" w:cs="宋体"/>
          <w:b/>
          <w:spacing w:val="6"/>
          <w:sz w:val="22"/>
          <w:szCs w:val="22"/>
        </w:rPr>
      </w:pPr>
    </w:p>
    <w:p>
      <w:pPr>
        <w:spacing w:line="360" w:lineRule="auto"/>
        <w:ind w:left="420" w:leftChars="200"/>
        <w:rPr>
          <w:rFonts w:hint="eastAsia" w:ascii="宋体" w:hAnsi="宋体" w:cs="宋体"/>
          <w:b/>
          <w:spacing w:val="6"/>
          <w:sz w:val="22"/>
          <w:szCs w:val="22"/>
        </w:rPr>
      </w:pPr>
    </w:p>
    <w:p>
      <w:pPr>
        <w:spacing w:line="360" w:lineRule="auto"/>
        <w:ind w:left="420" w:leftChars="200"/>
        <w:rPr>
          <w:rFonts w:hint="eastAsia" w:ascii="宋体" w:hAnsi="宋体" w:cs="宋体"/>
          <w:b/>
          <w:sz w:val="22"/>
          <w:szCs w:val="22"/>
        </w:rPr>
      </w:pPr>
      <w:r>
        <w:rPr>
          <w:rFonts w:hint="eastAsia" w:ascii="宋体" w:hAnsi="宋体" w:cs="宋体"/>
          <w:b/>
          <w:spacing w:val="6"/>
          <w:sz w:val="22"/>
          <w:szCs w:val="22"/>
        </w:rPr>
        <w:t>附件三、中小企业划型标准规定（投标文件中不需提供）</w:t>
      </w:r>
    </w:p>
    <w:p>
      <w:pPr>
        <w:spacing w:line="360" w:lineRule="auto"/>
        <w:rPr>
          <w:sz w:val="24"/>
        </w:rPr>
      </w:pPr>
    </w:p>
    <w:p>
      <w:pPr>
        <w:pStyle w:val="10"/>
        <w:spacing w:line="360" w:lineRule="auto"/>
        <w:jc w:val="center"/>
        <w:rPr>
          <w:rFonts w:hint="eastAsia" w:ascii="宋体" w:hAnsi="宋体" w:cs="宋体"/>
          <w:b/>
          <w:bCs/>
          <w:sz w:val="22"/>
          <w:szCs w:val="22"/>
        </w:rPr>
      </w:pPr>
      <w:r>
        <w:rPr>
          <w:rFonts w:hint="eastAsia" w:ascii="宋体" w:hAnsi="宋体" w:cs="宋体"/>
          <w:b/>
          <w:bCs/>
          <w:sz w:val="22"/>
          <w:szCs w:val="22"/>
        </w:rPr>
        <w:t>关于印发中小企业划型标准规定的通知</w:t>
      </w:r>
    </w:p>
    <w:p>
      <w:pPr>
        <w:pStyle w:val="10"/>
        <w:spacing w:line="360" w:lineRule="auto"/>
        <w:ind w:left="420" w:leftChars="200"/>
        <w:rPr>
          <w:rFonts w:hint="eastAsia" w:ascii="宋体" w:hAnsi="宋体" w:cs="宋体"/>
          <w:sz w:val="22"/>
          <w:szCs w:val="22"/>
        </w:rPr>
      </w:pPr>
      <w:r>
        <w:rPr>
          <w:rFonts w:hint="eastAsia" w:ascii="宋体" w:hAnsi="宋体" w:cs="宋体"/>
          <w:sz w:val="22"/>
          <w:szCs w:val="22"/>
        </w:rPr>
        <w:t xml:space="preserve">工信部联企业[2011]300 号 </w:t>
      </w:r>
    </w:p>
    <w:p>
      <w:pPr>
        <w:pStyle w:val="10"/>
        <w:spacing w:line="360" w:lineRule="auto"/>
        <w:ind w:left="420" w:leftChars="200"/>
        <w:rPr>
          <w:rFonts w:hint="eastAsia" w:ascii="宋体" w:hAnsi="宋体" w:cs="宋体"/>
          <w:sz w:val="22"/>
          <w:szCs w:val="22"/>
        </w:rPr>
      </w:pPr>
      <w:r>
        <w:rPr>
          <w:rFonts w:hint="eastAsia" w:ascii="宋体" w:hAnsi="宋体" w:cs="宋体"/>
          <w:sz w:val="22"/>
          <w:szCs w:val="22"/>
        </w:rPr>
        <w:t xml:space="preserve">各省、自治区、直辖市人民政府，国务院各部委、各直属机构及有关单位： </w:t>
      </w:r>
    </w:p>
    <w:p>
      <w:pPr>
        <w:pStyle w:val="10"/>
        <w:spacing w:line="360" w:lineRule="auto"/>
        <w:ind w:left="420" w:leftChars="200" w:firstLine="314"/>
        <w:rPr>
          <w:rFonts w:hint="eastAsia" w:ascii="宋体" w:hAnsi="宋体" w:cs="宋体"/>
          <w:sz w:val="22"/>
          <w:szCs w:val="22"/>
        </w:rPr>
      </w:pPr>
      <w:r>
        <w:rPr>
          <w:rFonts w:hint="eastAsia" w:ascii="宋体" w:hAnsi="宋体" w:cs="宋体"/>
          <w:sz w:val="22"/>
          <w:szCs w:val="22"/>
        </w:rPr>
        <w:t xml:space="preserve">为贯彻落实《中华人民共和国中小企业促进法》和《国务院关于进一步促进中小企业发展的若干意见》（国发〔2009〕36 号），工业和信息化部、国家统计局、发展改革委、财政部研究制定了《中小企业划型标准规定》。经国务院同意，现印发给你们，请遵照执行。 </w:t>
      </w:r>
    </w:p>
    <w:p>
      <w:pPr>
        <w:pStyle w:val="10"/>
        <w:spacing w:line="360" w:lineRule="auto"/>
        <w:ind w:left="420" w:leftChars="200"/>
        <w:rPr>
          <w:rFonts w:hint="eastAsia" w:ascii="宋体" w:hAnsi="宋体" w:cs="宋体"/>
          <w:sz w:val="22"/>
          <w:szCs w:val="22"/>
        </w:rPr>
      </w:pPr>
      <w:r>
        <w:rPr>
          <w:rFonts w:hint="eastAsia" w:ascii="宋体" w:hAnsi="宋体" w:cs="宋体"/>
          <w:sz w:val="22"/>
          <w:szCs w:val="22"/>
        </w:rPr>
        <w:t xml:space="preserve">                                             工业和信息化部 国家统计局 </w:t>
      </w:r>
    </w:p>
    <w:p>
      <w:pPr>
        <w:pStyle w:val="10"/>
        <w:spacing w:line="360" w:lineRule="auto"/>
        <w:ind w:left="420" w:leftChars="200"/>
        <w:rPr>
          <w:rFonts w:hint="eastAsia" w:ascii="宋体" w:hAnsi="宋体" w:cs="宋体"/>
          <w:sz w:val="22"/>
          <w:szCs w:val="22"/>
        </w:rPr>
      </w:pPr>
      <w:r>
        <w:rPr>
          <w:rFonts w:hint="eastAsia" w:ascii="宋体" w:hAnsi="宋体" w:cs="宋体"/>
          <w:sz w:val="22"/>
          <w:szCs w:val="22"/>
        </w:rPr>
        <w:t xml:space="preserve">                                            国家发展和改革委员会 财政部 </w:t>
      </w:r>
    </w:p>
    <w:p>
      <w:pPr>
        <w:pStyle w:val="10"/>
        <w:spacing w:line="360" w:lineRule="auto"/>
        <w:ind w:left="420" w:leftChars="200"/>
        <w:rPr>
          <w:rFonts w:hint="eastAsia" w:ascii="宋体" w:hAnsi="宋体" w:cs="宋体"/>
          <w:sz w:val="22"/>
          <w:szCs w:val="22"/>
        </w:rPr>
      </w:pPr>
      <w:r>
        <w:rPr>
          <w:rFonts w:hint="eastAsia" w:ascii="宋体" w:hAnsi="宋体" w:cs="宋体"/>
          <w:sz w:val="22"/>
          <w:szCs w:val="22"/>
        </w:rPr>
        <w:t xml:space="preserve">                                                二〇一一年六月十八日 </w:t>
      </w:r>
    </w:p>
    <w:p>
      <w:pPr>
        <w:spacing w:line="360" w:lineRule="auto"/>
        <w:jc w:val="center"/>
        <w:rPr>
          <w:rFonts w:hint="eastAsia" w:ascii="宋体" w:hAnsi="宋体" w:cs="宋体"/>
          <w:b/>
          <w:spacing w:val="6"/>
          <w:sz w:val="22"/>
          <w:szCs w:val="22"/>
        </w:rPr>
      </w:pPr>
    </w:p>
    <w:p>
      <w:pPr>
        <w:adjustRightInd w:val="0"/>
        <w:spacing w:line="360" w:lineRule="auto"/>
        <w:ind w:firstLine="561"/>
        <w:rPr>
          <w:rFonts w:hint="eastAsia" w:ascii="宋体" w:hAnsi="宋体" w:cs="宋体"/>
          <w:sz w:val="22"/>
          <w:szCs w:val="22"/>
          <w:lang w:val="zh-CN"/>
        </w:rPr>
      </w:pPr>
      <w:r>
        <w:rPr>
          <w:rFonts w:hint="eastAsia" w:ascii="宋体" w:hAnsi="宋体" w:cs="宋体"/>
          <w:sz w:val="22"/>
          <w:szCs w:val="22"/>
          <w:lang w:val="zh-CN"/>
        </w:rPr>
        <w:t>一、根据《中华人民共和国中小企业促进法》和《国务院关于进一步促进中小企业发展的若干意见》(国发〔2009〕36号)，制定本规定。</w:t>
      </w:r>
    </w:p>
    <w:p>
      <w:pPr>
        <w:adjustRightInd w:val="0"/>
        <w:spacing w:line="360" w:lineRule="auto"/>
        <w:ind w:firstLine="561"/>
        <w:rPr>
          <w:rFonts w:hint="eastAsia" w:ascii="宋体" w:hAnsi="宋体" w:cs="宋体"/>
          <w:sz w:val="22"/>
          <w:szCs w:val="22"/>
          <w:lang w:val="zh-CN"/>
        </w:rPr>
      </w:pPr>
      <w:r>
        <w:rPr>
          <w:rFonts w:hint="eastAsia" w:ascii="宋体" w:hAnsi="宋体" w:cs="宋体"/>
          <w:sz w:val="22"/>
          <w:szCs w:val="22"/>
          <w:lang w:val="zh-CN"/>
        </w:rPr>
        <w:t>二、中小企业划分为中型、小型、微型三种类型，具体标准根据企业从业人员、营业收入、资产总额等指标，结合行业特点制定。</w:t>
      </w:r>
    </w:p>
    <w:p>
      <w:pPr>
        <w:adjustRightInd w:val="0"/>
        <w:spacing w:line="360" w:lineRule="auto"/>
        <w:ind w:firstLine="561"/>
        <w:rPr>
          <w:rFonts w:hint="eastAsia" w:ascii="宋体" w:hAnsi="宋体" w:cs="宋体"/>
          <w:sz w:val="22"/>
          <w:szCs w:val="22"/>
          <w:lang w:val="zh-CN"/>
        </w:rPr>
      </w:pPr>
      <w:r>
        <w:rPr>
          <w:rFonts w:hint="eastAsia" w:ascii="宋体" w:hAnsi="宋体" w:cs="宋体"/>
          <w:sz w:val="22"/>
          <w:szCs w:val="22"/>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adjustRightInd w:val="0"/>
        <w:spacing w:line="360" w:lineRule="auto"/>
        <w:ind w:firstLine="561"/>
        <w:rPr>
          <w:rFonts w:hint="eastAsia" w:ascii="宋体" w:hAnsi="宋体" w:cs="宋体"/>
          <w:sz w:val="22"/>
          <w:szCs w:val="22"/>
          <w:lang w:val="zh-CN"/>
        </w:rPr>
      </w:pPr>
      <w:r>
        <w:rPr>
          <w:rFonts w:hint="eastAsia" w:ascii="宋体" w:hAnsi="宋体" w:cs="宋体"/>
          <w:sz w:val="22"/>
          <w:szCs w:val="22"/>
          <w:lang w:val="zh-CN"/>
        </w:rPr>
        <w:t>四、各行业划型标准为：</w:t>
      </w:r>
    </w:p>
    <w:p>
      <w:pPr>
        <w:adjustRightInd w:val="0"/>
        <w:spacing w:line="360" w:lineRule="auto"/>
        <w:ind w:firstLine="561"/>
        <w:rPr>
          <w:rFonts w:hint="eastAsia" w:ascii="宋体" w:hAnsi="宋体" w:cs="宋体"/>
          <w:sz w:val="22"/>
          <w:szCs w:val="22"/>
          <w:lang w:val="zh-CN"/>
        </w:rPr>
      </w:pPr>
      <w:r>
        <w:rPr>
          <w:rFonts w:hint="eastAsia" w:ascii="宋体" w:hAnsi="宋体" w:cs="宋体"/>
          <w:sz w:val="22"/>
          <w:szCs w:val="22"/>
          <w:lang w:val="zh-CN"/>
        </w:rPr>
        <w:t xml:space="preserve">   （一）农、林、牧、渔业。营业收入20000万元以下的为中小微型企业。其中，营业收入500万元及以上的为中型企业，营业收入50万元及以上的为小型企业，营业收入50万元以下的为微型企业。</w:t>
      </w:r>
    </w:p>
    <w:p>
      <w:pPr>
        <w:adjustRightInd w:val="0"/>
        <w:spacing w:line="360" w:lineRule="auto"/>
        <w:ind w:firstLine="561"/>
        <w:rPr>
          <w:rFonts w:hint="eastAsia" w:ascii="宋体" w:hAnsi="宋体" w:cs="宋体"/>
          <w:sz w:val="22"/>
          <w:szCs w:val="22"/>
          <w:lang w:val="zh-CN"/>
        </w:rPr>
      </w:pPr>
      <w:r>
        <w:rPr>
          <w:rFonts w:hint="eastAsia" w:ascii="宋体" w:hAnsi="宋体" w:cs="宋体"/>
          <w:sz w:val="22"/>
          <w:szCs w:val="22"/>
          <w:lang w:val="zh-CN"/>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djustRightInd w:val="0"/>
        <w:spacing w:line="360" w:lineRule="auto"/>
        <w:ind w:firstLine="561"/>
        <w:rPr>
          <w:rFonts w:hint="eastAsia" w:ascii="宋体" w:hAnsi="宋体" w:cs="宋体"/>
          <w:sz w:val="22"/>
          <w:szCs w:val="22"/>
          <w:lang w:val="zh-CN"/>
        </w:rPr>
      </w:pPr>
      <w:r>
        <w:rPr>
          <w:rFonts w:hint="eastAsia" w:ascii="宋体" w:hAnsi="宋体" w:cs="宋体"/>
          <w:sz w:val="22"/>
          <w:szCs w:val="22"/>
          <w:lang w:val="zh-CN"/>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adjustRightInd w:val="0"/>
        <w:spacing w:line="360" w:lineRule="auto"/>
        <w:ind w:firstLine="561"/>
        <w:rPr>
          <w:rFonts w:hint="eastAsia" w:ascii="宋体" w:hAnsi="宋体" w:cs="宋体"/>
          <w:sz w:val="22"/>
          <w:szCs w:val="22"/>
          <w:lang w:val="zh-CN"/>
        </w:rPr>
      </w:pPr>
      <w:r>
        <w:rPr>
          <w:rFonts w:hint="eastAsia" w:ascii="宋体" w:hAnsi="宋体" w:cs="宋体"/>
          <w:sz w:val="22"/>
          <w:szCs w:val="22"/>
          <w:lang w:val="zh-CN"/>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adjustRightInd w:val="0"/>
        <w:spacing w:line="360" w:lineRule="auto"/>
        <w:ind w:firstLine="561"/>
        <w:rPr>
          <w:rFonts w:hint="eastAsia" w:ascii="宋体" w:hAnsi="宋体" w:cs="宋体"/>
          <w:sz w:val="22"/>
          <w:szCs w:val="22"/>
          <w:lang w:val="zh-CN"/>
        </w:rPr>
      </w:pPr>
      <w:r>
        <w:rPr>
          <w:rFonts w:hint="eastAsia" w:ascii="宋体" w:hAnsi="宋体" w:cs="宋体"/>
          <w:sz w:val="22"/>
          <w:szCs w:val="22"/>
          <w:lang w:val="zh-CN"/>
        </w:rP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adjustRightInd w:val="0"/>
        <w:spacing w:line="360" w:lineRule="auto"/>
        <w:ind w:firstLine="561"/>
        <w:rPr>
          <w:rFonts w:hint="eastAsia" w:ascii="宋体" w:hAnsi="宋体" w:cs="宋体"/>
          <w:sz w:val="22"/>
          <w:szCs w:val="22"/>
          <w:lang w:val="zh-CN"/>
        </w:rPr>
      </w:pPr>
      <w:r>
        <w:rPr>
          <w:rFonts w:hint="eastAsia" w:ascii="宋体" w:hAnsi="宋体" w:cs="宋体"/>
          <w:sz w:val="22"/>
          <w:szCs w:val="22"/>
          <w:lang w:val="zh-CN"/>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adjustRightInd w:val="0"/>
        <w:spacing w:line="360" w:lineRule="auto"/>
        <w:ind w:firstLine="561"/>
        <w:rPr>
          <w:rFonts w:hint="eastAsia" w:ascii="宋体" w:hAnsi="宋体" w:cs="宋体"/>
          <w:sz w:val="22"/>
          <w:szCs w:val="22"/>
          <w:lang w:val="zh-CN"/>
        </w:rPr>
      </w:pPr>
      <w:r>
        <w:rPr>
          <w:rFonts w:hint="eastAsia" w:ascii="宋体" w:hAnsi="宋体" w:cs="宋体"/>
          <w:sz w:val="22"/>
          <w:szCs w:val="22"/>
          <w:lang w:val="zh-CN"/>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adjustRightInd w:val="0"/>
        <w:spacing w:line="360" w:lineRule="auto"/>
        <w:ind w:firstLine="561"/>
        <w:rPr>
          <w:rFonts w:hint="eastAsia" w:ascii="宋体" w:hAnsi="宋体" w:cs="宋体"/>
          <w:sz w:val="22"/>
          <w:szCs w:val="22"/>
          <w:lang w:val="zh-CN"/>
        </w:rPr>
      </w:pPr>
      <w:r>
        <w:rPr>
          <w:rFonts w:hint="eastAsia" w:ascii="宋体" w:hAnsi="宋体" w:cs="宋体"/>
          <w:sz w:val="22"/>
          <w:szCs w:val="22"/>
          <w:lang w:val="zh-CN"/>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adjustRightInd w:val="0"/>
        <w:spacing w:line="360" w:lineRule="auto"/>
        <w:ind w:firstLine="561"/>
        <w:rPr>
          <w:rFonts w:hint="eastAsia" w:ascii="宋体" w:hAnsi="宋体" w:cs="宋体"/>
          <w:sz w:val="22"/>
          <w:szCs w:val="22"/>
          <w:lang w:val="zh-CN"/>
        </w:rPr>
      </w:pPr>
      <w:r>
        <w:rPr>
          <w:rFonts w:hint="eastAsia" w:ascii="宋体" w:hAnsi="宋体" w:cs="宋体"/>
          <w:sz w:val="22"/>
          <w:szCs w:val="22"/>
          <w:lang w:val="zh-CN"/>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adjustRightInd w:val="0"/>
        <w:spacing w:line="360" w:lineRule="auto"/>
        <w:ind w:firstLine="561"/>
        <w:rPr>
          <w:rFonts w:hint="eastAsia" w:ascii="宋体" w:hAnsi="宋体" w:cs="宋体"/>
          <w:sz w:val="22"/>
          <w:szCs w:val="22"/>
          <w:lang w:val="zh-CN"/>
        </w:rPr>
      </w:pPr>
      <w:r>
        <w:rPr>
          <w:rFonts w:hint="eastAsia" w:ascii="宋体" w:hAnsi="宋体" w:cs="宋体"/>
          <w:sz w:val="22"/>
          <w:szCs w:val="22"/>
          <w:lang w:val="zh-CN"/>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adjustRightInd w:val="0"/>
        <w:spacing w:line="360" w:lineRule="auto"/>
        <w:ind w:firstLine="561"/>
        <w:rPr>
          <w:rFonts w:hint="eastAsia" w:ascii="宋体" w:hAnsi="宋体" w:cs="宋体"/>
          <w:sz w:val="22"/>
          <w:szCs w:val="22"/>
          <w:lang w:val="zh-CN"/>
        </w:rPr>
      </w:pPr>
      <w:r>
        <w:rPr>
          <w:rFonts w:hint="eastAsia" w:ascii="宋体" w:hAnsi="宋体" w:cs="宋体"/>
          <w:sz w:val="22"/>
          <w:szCs w:val="22"/>
          <w:lang w:val="zh-CN"/>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adjustRightInd w:val="0"/>
        <w:spacing w:line="360" w:lineRule="auto"/>
        <w:ind w:firstLine="561"/>
        <w:rPr>
          <w:rFonts w:hint="eastAsia" w:ascii="宋体" w:hAnsi="宋体" w:cs="宋体"/>
          <w:sz w:val="22"/>
          <w:szCs w:val="22"/>
          <w:lang w:val="zh-CN"/>
        </w:rPr>
      </w:pPr>
      <w:r>
        <w:rPr>
          <w:rFonts w:hint="eastAsia" w:ascii="宋体" w:hAnsi="宋体" w:cs="宋体"/>
          <w:sz w:val="22"/>
          <w:szCs w:val="22"/>
          <w:lang w:val="zh-CN"/>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adjustRightInd w:val="0"/>
        <w:spacing w:line="360" w:lineRule="auto"/>
        <w:ind w:firstLine="561"/>
        <w:rPr>
          <w:rFonts w:hint="eastAsia" w:ascii="宋体" w:hAnsi="宋体" w:cs="宋体"/>
          <w:sz w:val="22"/>
          <w:szCs w:val="22"/>
          <w:lang w:val="zh-CN"/>
        </w:rPr>
      </w:pPr>
      <w:r>
        <w:rPr>
          <w:rFonts w:hint="eastAsia" w:ascii="宋体" w:hAnsi="宋体" w:cs="宋体"/>
          <w:sz w:val="22"/>
          <w:szCs w:val="22"/>
          <w:lang w:val="zh-CN"/>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adjustRightInd w:val="0"/>
        <w:spacing w:line="360" w:lineRule="auto"/>
        <w:ind w:firstLine="561"/>
        <w:rPr>
          <w:rFonts w:hint="eastAsia" w:ascii="宋体" w:hAnsi="宋体" w:cs="宋体"/>
          <w:sz w:val="22"/>
          <w:szCs w:val="22"/>
          <w:lang w:val="zh-CN"/>
        </w:rPr>
      </w:pPr>
      <w:r>
        <w:rPr>
          <w:rFonts w:hint="eastAsia" w:ascii="宋体" w:hAnsi="宋体" w:cs="宋体"/>
          <w:sz w:val="22"/>
          <w:szCs w:val="22"/>
          <w:lang w:val="zh-CN"/>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adjustRightInd w:val="0"/>
        <w:spacing w:line="360" w:lineRule="auto"/>
        <w:ind w:firstLine="561"/>
        <w:rPr>
          <w:rFonts w:hint="eastAsia" w:ascii="宋体" w:hAnsi="宋体" w:cs="宋体"/>
          <w:sz w:val="22"/>
          <w:szCs w:val="22"/>
          <w:lang w:val="zh-CN"/>
        </w:rPr>
      </w:pPr>
      <w:r>
        <w:rPr>
          <w:rFonts w:hint="eastAsia" w:ascii="宋体" w:hAnsi="宋体" w:cs="宋体"/>
          <w:sz w:val="22"/>
          <w:szCs w:val="22"/>
          <w:lang w:val="zh-CN"/>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adjustRightInd w:val="0"/>
        <w:spacing w:line="360" w:lineRule="auto"/>
        <w:ind w:firstLine="561"/>
        <w:rPr>
          <w:rFonts w:hint="eastAsia" w:ascii="宋体" w:hAnsi="宋体" w:cs="宋体"/>
          <w:sz w:val="22"/>
          <w:szCs w:val="22"/>
          <w:lang w:val="zh-CN"/>
        </w:rPr>
      </w:pPr>
      <w:r>
        <w:rPr>
          <w:rFonts w:hint="eastAsia" w:ascii="宋体" w:hAnsi="宋体" w:cs="宋体"/>
          <w:sz w:val="22"/>
          <w:szCs w:val="22"/>
          <w:lang w:val="zh-CN"/>
        </w:rPr>
        <w:t xml:space="preserve">   （十六）其他未列明行业。从业人员300人以下的为中小微型企业。其中，从业人员100人及以上的为中型企业；从业人员10人及以上的为小型企业；从业人员10人以下的为微型企业。</w:t>
      </w:r>
    </w:p>
    <w:p>
      <w:pPr>
        <w:adjustRightInd w:val="0"/>
        <w:spacing w:line="360" w:lineRule="auto"/>
        <w:ind w:firstLine="561"/>
        <w:rPr>
          <w:rFonts w:hint="eastAsia" w:ascii="宋体" w:hAnsi="宋体" w:cs="宋体"/>
          <w:sz w:val="22"/>
          <w:szCs w:val="22"/>
          <w:lang w:val="zh-CN"/>
        </w:rPr>
      </w:pPr>
      <w:r>
        <w:rPr>
          <w:rFonts w:hint="eastAsia" w:ascii="宋体" w:hAnsi="宋体" w:cs="宋体"/>
          <w:sz w:val="22"/>
          <w:szCs w:val="22"/>
          <w:lang w:val="zh-CN"/>
        </w:rPr>
        <w:t xml:space="preserve">    五、企业类型的划分以统计部门的统计数据为依据。</w:t>
      </w:r>
    </w:p>
    <w:p>
      <w:pPr>
        <w:adjustRightInd w:val="0"/>
        <w:spacing w:line="360" w:lineRule="auto"/>
        <w:ind w:firstLine="561"/>
        <w:rPr>
          <w:rFonts w:hint="eastAsia" w:ascii="宋体" w:hAnsi="宋体" w:cs="宋体"/>
          <w:sz w:val="22"/>
          <w:szCs w:val="22"/>
          <w:lang w:val="zh-CN"/>
        </w:rPr>
      </w:pPr>
      <w:r>
        <w:rPr>
          <w:rFonts w:hint="eastAsia" w:ascii="宋体" w:hAnsi="宋体" w:cs="宋体"/>
          <w:sz w:val="22"/>
          <w:szCs w:val="22"/>
          <w:lang w:val="zh-CN"/>
        </w:rPr>
        <w:t xml:space="preserve">    六、本规定适用于在中华人民共和国境内依法设立的各类所有制和各种组织形式的企业。个体工商户和本规定以外的行业，参照本规定进行划型。</w:t>
      </w:r>
    </w:p>
    <w:p>
      <w:pPr>
        <w:adjustRightInd w:val="0"/>
        <w:spacing w:line="360" w:lineRule="auto"/>
        <w:ind w:firstLine="561"/>
        <w:rPr>
          <w:rFonts w:hint="eastAsia" w:ascii="宋体" w:hAnsi="宋体" w:cs="宋体"/>
          <w:sz w:val="22"/>
          <w:szCs w:val="22"/>
          <w:lang w:val="zh-CN"/>
        </w:rPr>
      </w:pPr>
      <w:r>
        <w:rPr>
          <w:rFonts w:hint="eastAsia" w:ascii="宋体" w:hAnsi="宋体" w:cs="宋体"/>
          <w:sz w:val="22"/>
          <w:szCs w:val="22"/>
          <w:lang w:val="zh-CN"/>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pPr>
        <w:adjustRightInd w:val="0"/>
        <w:spacing w:line="360" w:lineRule="auto"/>
        <w:ind w:firstLine="561"/>
        <w:rPr>
          <w:rFonts w:hint="eastAsia" w:ascii="宋体" w:hAnsi="宋体" w:cs="宋体"/>
          <w:sz w:val="22"/>
          <w:szCs w:val="22"/>
          <w:lang w:val="zh-CN"/>
        </w:rPr>
      </w:pPr>
      <w:r>
        <w:rPr>
          <w:rFonts w:hint="eastAsia" w:ascii="宋体" w:hAnsi="宋体" w:cs="宋体"/>
          <w:sz w:val="22"/>
          <w:szCs w:val="22"/>
          <w:lang w:val="zh-CN"/>
        </w:rPr>
        <w:t xml:space="preserve">    八、本规定由工业和信息化部、国家统计局会同有关部门根据《国民经济行业分类》修订情况和企业发展变化情况适时修订。</w:t>
      </w:r>
    </w:p>
    <w:p>
      <w:pPr>
        <w:adjustRightInd w:val="0"/>
        <w:spacing w:line="360" w:lineRule="auto"/>
        <w:ind w:firstLine="561"/>
        <w:rPr>
          <w:rFonts w:hint="eastAsia" w:ascii="宋体" w:hAnsi="宋体" w:cs="宋体"/>
          <w:sz w:val="22"/>
          <w:szCs w:val="22"/>
          <w:lang w:val="zh-CN"/>
        </w:rPr>
      </w:pPr>
      <w:r>
        <w:rPr>
          <w:rFonts w:hint="eastAsia" w:ascii="宋体" w:hAnsi="宋体" w:cs="宋体"/>
          <w:sz w:val="22"/>
          <w:szCs w:val="22"/>
          <w:lang w:val="zh-CN"/>
        </w:rPr>
        <w:t xml:space="preserve">    九、本规定由工业和信息化部、国家统计局会同有关部门负责解释。</w:t>
      </w:r>
    </w:p>
    <w:p>
      <w:pPr>
        <w:adjustRightInd w:val="0"/>
        <w:spacing w:line="360" w:lineRule="auto"/>
        <w:ind w:firstLine="561"/>
        <w:rPr>
          <w:rFonts w:hint="eastAsia" w:ascii="宋体" w:hAnsi="宋体" w:cs="宋体"/>
          <w:sz w:val="22"/>
          <w:szCs w:val="22"/>
          <w:lang w:val="zh-CN"/>
        </w:rPr>
      </w:pPr>
      <w:r>
        <w:rPr>
          <w:rFonts w:hint="eastAsia" w:ascii="宋体" w:hAnsi="宋体" w:cs="宋体"/>
          <w:sz w:val="22"/>
          <w:szCs w:val="22"/>
          <w:lang w:val="zh-CN"/>
        </w:rPr>
        <w:t xml:space="preserve">    十、本规定自发布之日起执行，原国家经贸委、原国家计委、财政部和国家统计局2003年颁布的《中小企业标准暂行规定》同时废止。</w:t>
      </w:r>
    </w:p>
    <w:p/>
    <w:p>
      <w:pPr>
        <w:spacing w:line="360" w:lineRule="auto"/>
        <w:rPr>
          <w:rFonts w:ascii="宋体" w:hAnsi="宋体"/>
          <w:szCs w:val="21"/>
        </w:rPr>
      </w:pPr>
    </w:p>
    <w:sectPr>
      <w:pgSz w:w="11906" w:h="16838"/>
      <w:pgMar w:top="1440" w:right="1274"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015742"/>
    </w:sdtPr>
    <w:sdtContent>
      <w:p>
        <w:pPr>
          <w:pStyle w:val="20"/>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015745"/>
    </w:sdtPr>
    <w:sdtContent>
      <w:p>
        <w:pPr>
          <w:pStyle w:val="20"/>
          <w:jc w:val="center"/>
        </w:pPr>
        <w:r>
          <w:fldChar w:fldCharType="begin"/>
        </w:r>
        <w:r>
          <w:instrText xml:space="preserve"> PAGE   \* MERGEFORMAT </w:instrText>
        </w:r>
        <w:r>
          <w:fldChar w:fldCharType="separate"/>
        </w:r>
        <w:r>
          <w:rPr>
            <w:lang w:val="zh-CN"/>
          </w:rPr>
          <w:t>24</w:t>
        </w:r>
        <w:r>
          <w:rPr>
            <w:lang w:val="zh-CN"/>
          </w:rPr>
          <w:fldChar w:fldCharType="end"/>
        </w:r>
      </w:p>
    </w:sdtContent>
  </w:sdt>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4210A"/>
    <w:multiLevelType w:val="singleLevel"/>
    <w:tmpl w:val="BA84210A"/>
    <w:lvl w:ilvl="0" w:tentative="0">
      <w:start w:val="2"/>
      <w:numFmt w:val="chineseCounting"/>
      <w:suff w:val="nothing"/>
      <w:lvlText w:val="（%1）"/>
      <w:lvlJc w:val="left"/>
      <w:rPr>
        <w:rFonts w:hint="eastAsia"/>
      </w:rPr>
    </w:lvl>
  </w:abstractNum>
  <w:abstractNum w:abstractNumId="1">
    <w:nsid w:val="C838468F"/>
    <w:multiLevelType w:val="singleLevel"/>
    <w:tmpl w:val="C838468F"/>
    <w:lvl w:ilvl="0" w:tentative="0">
      <w:start w:val="1"/>
      <w:numFmt w:val="chineseCounting"/>
      <w:suff w:val="nothing"/>
      <w:lvlText w:val="%1、"/>
      <w:lvlJc w:val="left"/>
      <w:rPr>
        <w:rFonts w:hint="eastAsia"/>
      </w:rPr>
    </w:lvl>
  </w:abstractNum>
  <w:abstractNum w:abstractNumId="2">
    <w:nsid w:val="DB1C88D8"/>
    <w:multiLevelType w:val="singleLevel"/>
    <w:tmpl w:val="DB1C88D8"/>
    <w:lvl w:ilvl="0" w:tentative="0">
      <w:start w:val="1"/>
      <w:numFmt w:val="decimal"/>
      <w:lvlText w:val="%1."/>
      <w:lvlJc w:val="left"/>
      <w:pPr>
        <w:tabs>
          <w:tab w:val="left" w:pos="312"/>
        </w:tabs>
      </w:pPr>
    </w:lvl>
  </w:abstractNum>
  <w:abstractNum w:abstractNumId="3">
    <w:nsid w:val="00000001"/>
    <w:multiLevelType w:val="singleLevel"/>
    <w:tmpl w:val="00000001"/>
    <w:lvl w:ilvl="0" w:tentative="0">
      <w:start w:val="3"/>
      <w:numFmt w:val="decimal"/>
      <w:suff w:val="nothing"/>
      <w:lvlText w:val="%1."/>
      <w:lvlJc w:val="left"/>
      <w:rPr>
        <w:rFonts w:cs="Times New Roman"/>
      </w:rPr>
    </w:lvl>
  </w:abstractNum>
  <w:abstractNum w:abstractNumId="4">
    <w:nsid w:val="00000003"/>
    <w:multiLevelType w:val="singleLevel"/>
    <w:tmpl w:val="00000003"/>
    <w:lvl w:ilvl="0" w:tentative="0">
      <w:start w:val="1"/>
      <w:numFmt w:val="decimal"/>
      <w:suff w:val="nothing"/>
      <w:lvlText w:val="%1."/>
      <w:lvlJc w:val="left"/>
      <w:rPr>
        <w:rFonts w:cs="Times New Roman"/>
      </w:rPr>
    </w:lvl>
  </w:abstractNum>
  <w:abstractNum w:abstractNumId="5">
    <w:nsid w:val="4A720012"/>
    <w:multiLevelType w:val="singleLevel"/>
    <w:tmpl w:val="4A720012"/>
    <w:lvl w:ilvl="0" w:tentative="0">
      <w:start w:val="6"/>
      <w:numFmt w:val="decimal"/>
      <w:suff w:val="nothing"/>
      <w:lvlText w:val="%1、"/>
      <w:lvlJc w:val="left"/>
    </w:lvl>
  </w:abstractNum>
  <w:abstractNum w:abstractNumId="6">
    <w:nsid w:val="7C0F25CC"/>
    <w:multiLevelType w:val="multilevel"/>
    <w:tmpl w:val="7C0F25CC"/>
    <w:lvl w:ilvl="0" w:tentative="0">
      <w:start w:val="1"/>
      <w:numFmt w:val="decimal"/>
      <w:lvlText w:val="%1"/>
      <w:lvlJc w:val="left"/>
      <w:pPr>
        <w:ind w:left="600" w:hanging="600"/>
      </w:pPr>
      <w:rPr>
        <w:rFonts w:hint="default"/>
      </w:rPr>
    </w:lvl>
    <w:lvl w:ilvl="1" w:tentative="0">
      <w:start w:val="3"/>
      <w:numFmt w:val="decimal"/>
      <w:lvlText w:val="%1.%2"/>
      <w:lvlJc w:val="left"/>
      <w:pPr>
        <w:ind w:left="840" w:hanging="600"/>
      </w:pPr>
      <w:rPr>
        <w:rFonts w:hint="default"/>
      </w:rPr>
    </w:lvl>
    <w:lvl w:ilvl="2" w:tentative="0">
      <w:start w:val="2"/>
      <w:numFmt w:val="decimal"/>
      <w:lvlText w:val="%1.%2.%3"/>
      <w:lvlJc w:val="left"/>
      <w:pPr>
        <w:ind w:left="1200" w:hanging="720"/>
      </w:pPr>
      <w:rPr>
        <w:rFonts w:hint="default"/>
      </w:rPr>
    </w:lvl>
    <w:lvl w:ilvl="3" w:tentative="0">
      <w:start w:val="1"/>
      <w:numFmt w:val="decimal"/>
      <w:lvlText w:val="%1.%2.%3.%4"/>
      <w:lvlJc w:val="left"/>
      <w:pPr>
        <w:ind w:left="1800" w:hanging="1080"/>
      </w:pPr>
      <w:rPr>
        <w:rFonts w:hint="default"/>
      </w:rPr>
    </w:lvl>
    <w:lvl w:ilvl="4" w:tentative="0">
      <w:start w:val="1"/>
      <w:numFmt w:val="decimal"/>
      <w:lvlText w:val="%1.%2.%3.%4.%5"/>
      <w:lvlJc w:val="left"/>
      <w:pPr>
        <w:ind w:left="2040" w:hanging="1080"/>
      </w:pPr>
      <w:rPr>
        <w:rFonts w:hint="default"/>
      </w:rPr>
    </w:lvl>
    <w:lvl w:ilvl="5" w:tentative="0">
      <w:start w:val="1"/>
      <w:numFmt w:val="decimal"/>
      <w:lvlText w:val="%1.%2.%3.%4.%5.%6"/>
      <w:lvlJc w:val="left"/>
      <w:pPr>
        <w:ind w:left="2640" w:hanging="1440"/>
      </w:pPr>
      <w:rPr>
        <w:rFonts w:hint="default"/>
      </w:rPr>
    </w:lvl>
    <w:lvl w:ilvl="6" w:tentative="0">
      <w:start w:val="1"/>
      <w:numFmt w:val="decimal"/>
      <w:lvlText w:val="%1.%2.%3.%4.%5.%6.%7"/>
      <w:lvlJc w:val="left"/>
      <w:pPr>
        <w:ind w:left="3240" w:hanging="1800"/>
      </w:pPr>
      <w:rPr>
        <w:rFonts w:hint="default"/>
      </w:rPr>
    </w:lvl>
    <w:lvl w:ilvl="7" w:tentative="0">
      <w:start w:val="1"/>
      <w:numFmt w:val="decimal"/>
      <w:lvlText w:val="%1.%2.%3.%4.%5.%6.%7.%8"/>
      <w:lvlJc w:val="left"/>
      <w:pPr>
        <w:ind w:left="3480" w:hanging="1800"/>
      </w:pPr>
      <w:rPr>
        <w:rFonts w:hint="default"/>
      </w:rPr>
    </w:lvl>
    <w:lvl w:ilvl="8" w:tentative="0">
      <w:start w:val="1"/>
      <w:numFmt w:val="decimal"/>
      <w:lvlText w:val="%1.%2.%3.%4.%5.%6.%7.%8.%9"/>
      <w:lvlJc w:val="left"/>
      <w:pPr>
        <w:ind w:left="4080" w:hanging="2160"/>
      </w:pPr>
      <w:rPr>
        <w:rFonts w:hint="default"/>
      </w:rPr>
    </w:lvl>
  </w:abstractNum>
  <w:num w:numId="1">
    <w:abstractNumId w:val="5"/>
  </w:num>
  <w:num w:numId="2">
    <w:abstractNumId w:val="1"/>
  </w:num>
  <w:num w:numId="3">
    <w:abstractNumId w:val="6"/>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EzNjI5YjFmNTYxZmY2OTYyYzJkZDkxMGVjODRkNjcifQ=="/>
  </w:docVars>
  <w:rsids>
    <w:rsidRoot w:val="00101201"/>
    <w:rsid w:val="000052FF"/>
    <w:rsid w:val="0000625C"/>
    <w:rsid w:val="00006C91"/>
    <w:rsid w:val="00010BE7"/>
    <w:rsid w:val="000166A4"/>
    <w:rsid w:val="0002431B"/>
    <w:rsid w:val="000344C0"/>
    <w:rsid w:val="00037EFC"/>
    <w:rsid w:val="0004121B"/>
    <w:rsid w:val="00043142"/>
    <w:rsid w:val="00050BE1"/>
    <w:rsid w:val="00053CA9"/>
    <w:rsid w:val="000675BA"/>
    <w:rsid w:val="00094FE9"/>
    <w:rsid w:val="000A1F8D"/>
    <w:rsid w:val="000A58F9"/>
    <w:rsid w:val="000B09B3"/>
    <w:rsid w:val="000B32B0"/>
    <w:rsid w:val="000B7B2F"/>
    <w:rsid w:val="000C17AB"/>
    <w:rsid w:val="000C340C"/>
    <w:rsid w:val="000C490D"/>
    <w:rsid w:val="000C5A00"/>
    <w:rsid w:val="000C602A"/>
    <w:rsid w:val="000C6CA8"/>
    <w:rsid w:val="000D3ECA"/>
    <w:rsid w:val="000E7F9E"/>
    <w:rsid w:val="000F3CA9"/>
    <w:rsid w:val="000F4272"/>
    <w:rsid w:val="00101201"/>
    <w:rsid w:val="001014DA"/>
    <w:rsid w:val="00105AAA"/>
    <w:rsid w:val="0010783D"/>
    <w:rsid w:val="001306D6"/>
    <w:rsid w:val="001312D5"/>
    <w:rsid w:val="0014288D"/>
    <w:rsid w:val="00157EBA"/>
    <w:rsid w:val="001600D7"/>
    <w:rsid w:val="00163CE1"/>
    <w:rsid w:val="001646C2"/>
    <w:rsid w:val="00166A2A"/>
    <w:rsid w:val="00167EED"/>
    <w:rsid w:val="001709C9"/>
    <w:rsid w:val="001764A0"/>
    <w:rsid w:val="00176601"/>
    <w:rsid w:val="0018669A"/>
    <w:rsid w:val="001A1DA5"/>
    <w:rsid w:val="001C23A1"/>
    <w:rsid w:val="001E0B97"/>
    <w:rsid w:val="001E52A3"/>
    <w:rsid w:val="001E5A73"/>
    <w:rsid w:val="001F05F9"/>
    <w:rsid w:val="001F351F"/>
    <w:rsid w:val="001F3B11"/>
    <w:rsid w:val="001F5F39"/>
    <w:rsid w:val="00202623"/>
    <w:rsid w:val="00203A8A"/>
    <w:rsid w:val="00205BD6"/>
    <w:rsid w:val="00206FAD"/>
    <w:rsid w:val="002202E3"/>
    <w:rsid w:val="00231BE5"/>
    <w:rsid w:val="0023466F"/>
    <w:rsid w:val="00237F9D"/>
    <w:rsid w:val="00247ED4"/>
    <w:rsid w:val="002511BE"/>
    <w:rsid w:val="0025169F"/>
    <w:rsid w:val="0025267A"/>
    <w:rsid w:val="00257B21"/>
    <w:rsid w:val="002629A3"/>
    <w:rsid w:val="00271FD7"/>
    <w:rsid w:val="002727AF"/>
    <w:rsid w:val="0027652F"/>
    <w:rsid w:val="00280B81"/>
    <w:rsid w:val="00280E5C"/>
    <w:rsid w:val="00284C57"/>
    <w:rsid w:val="002C4129"/>
    <w:rsid w:val="002C60BB"/>
    <w:rsid w:val="002C6695"/>
    <w:rsid w:val="002E0F80"/>
    <w:rsid w:val="002E7BB7"/>
    <w:rsid w:val="002F2B4F"/>
    <w:rsid w:val="00312157"/>
    <w:rsid w:val="00315101"/>
    <w:rsid w:val="00320D1A"/>
    <w:rsid w:val="0033599E"/>
    <w:rsid w:val="00345BC0"/>
    <w:rsid w:val="00346469"/>
    <w:rsid w:val="00355B39"/>
    <w:rsid w:val="00356217"/>
    <w:rsid w:val="00362B31"/>
    <w:rsid w:val="00364723"/>
    <w:rsid w:val="00365C8B"/>
    <w:rsid w:val="00367DCE"/>
    <w:rsid w:val="00373F19"/>
    <w:rsid w:val="00385DC1"/>
    <w:rsid w:val="00386BA4"/>
    <w:rsid w:val="00387865"/>
    <w:rsid w:val="003924BE"/>
    <w:rsid w:val="003A7400"/>
    <w:rsid w:val="003B1F0D"/>
    <w:rsid w:val="003C72F9"/>
    <w:rsid w:val="003E00F9"/>
    <w:rsid w:val="003E3536"/>
    <w:rsid w:val="003E514A"/>
    <w:rsid w:val="004046C0"/>
    <w:rsid w:val="00407442"/>
    <w:rsid w:val="004264D8"/>
    <w:rsid w:val="00437B76"/>
    <w:rsid w:val="00443E3B"/>
    <w:rsid w:val="00443E8A"/>
    <w:rsid w:val="00453A86"/>
    <w:rsid w:val="004563E4"/>
    <w:rsid w:val="0046617C"/>
    <w:rsid w:val="00481867"/>
    <w:rsid w:val="00483C5F"/>
    <w:rsid w:val="00491047"/>
    <w:rsid w:val="004A595F"/>
    <w:rsid w:val="004A7875"/>
    <w:rsid w:val="004B34B0"/>
    <w:rsid w:val="004C223C"/>
    <w:rsid w:val="004C4F69"/>
    <w:rsid w:val="004D08A4"/>
    <w:rsid w:val="004D35B2"/>
    <w:rsid w:val="004E126C"/>
    <w:rsid w:val="004E5CC5"/>
    <w:rsid w:val="004F5F68"/>
    <w:rsid w:val="00500774"/>
    <w:rsid w:val="005023F5"/>
    <w:rsid w:val="00504650"/>
    <w:rsid w:val="00510241"/>
    <w:rsid w:val="005135ED"/>
    <w:rsid w:val="00534246"/>
    <w:rsid w:val="0053545F"/>
    <w:rsid w:val="005409DE"/>
    <w:rsid w:val="005437E2"/>
    <w:rsid w:val="00547007"/>
    <w:rsid w:val="00552396"/>
    <w:rsid w:val="0056043D"/>
    <w:rsid w:val="00560A25"/>
    <w:rsid w:val="0056594C"/>
    <w:rsid w:val="005710DD"/>
    <w:rsid w:val="005812AB"/>
    <w:rsid w:val="00583F57"/>
    <w:rsid w:val="00592105"/>
    <w:rsid w:val="005921F8"/>
    <w:rsid w:val="005966DC"/>
    <w:rsid w:val="00596C32"/>
    <w:rsid w:val="005A4976"/>
    <w:rsid w:val="005C49E5"/>
    <w:rsid w:val="005C6110"/>
    <w:rsid w:val="005D3AAD"/>
    <w:rsid w:val="005F248A"/>
    <w:rsid w:val="00607EF2"/>
    <w:rsid w:val="00613099"/>
    <w:rsid w:val="0061471C"/>
    <w:rsid w:val="00617978"/>
    <w:rsid w:val="0062278C"/>
    <w:rsid w:val="00623357"/>
    <w:rsid w:val="00624A17"/>
    <w:rsid w:val="0062678E"/>
    <w:rsid w:val="00632024"/>
    <w:rsid w:val="0063248A"/>
    <w:rsid w:val="00636FDA"/>
    <w:rsid w:val="006408C3"/>
    <w:rsid w:val="0064618B"/>
    <w:rsid w:val="00646458"/>
    <w:rsid w:val="00660EEB"/>
    <w:rsid w:val="00663D4E"/>
    <w:rsid w:val="00664474"/>
    <w:rsid w:val="006708D1"/>
    <w:rsid w:val="00673BAA"/>
    <w:rsid w:val="00674A0A"/>
    <w:rsid w:val="00681A8E"/>
    <w:rsid w:val="00686351"/>
    <w:rsid w:val="006922FA"/>
    <w:rsid w:val="006B1341"/>
    <w:rsid w:val="006B1D9A"/>
    <w:rsid w:val="006B360A"/>
    <w:rsid w:val="006D4385"/>
    <w:rsid w:val="006D43B7"/>
    <w:rsid w:val="006F3E89"/>
    <w:rsid w:val="006F56FB"/>
    <w:rsid w:val="00701092"/>
    <w:rsid w:val="00706EF5"/>
    <w:rsid w:val="00722E81"/>
    <w:rsid w:val="0073286C"/>
    <w:rsid w:val="00742AFD"/>
    <w:rsid w:val="0074438B"/>
    <w:rsid w:val="00751B5A"/>
    <w:rsid w:val="00752771"/>
    <w:rsid w:val="00753769"/>
    <w:rsid w:val="00757EF0"/>
    <w:rsid w:val="00761F97"/>
    <w:rsid w:val="00763A62"/>
    <w:rsid w:val="00766CD8"/>
    <w:rsid w:val="00773656"/>
    <w:rsid w:val="00775D33"/>
    <w:rsid w:val="00793DDB"/>
    <w:rsid w:val="007951A3"/>
    <w:rsid w:val="007A74B4"/>
    <w:rsid w:val="007C50A6"/>
    <w:rsid w:val="007D1982"/>
    <w:rsid w:val="007E445B"/>
    <w:rsid w:val="007E7823"/>
    <w:rsid w:val="007F0033"/>
    <w:rsid w:val="007F0872"/>
    <w:rsid w:val="007F3E9A"/>
    <w:rsid w:val="007F446F"/>
    <w:rsid w:val="00805E46"/>
    <w:rsid w:val="008106E6"/>
    <w:rsid w:val="00812AA6"/>
    <w:rsid w:val="00817E7E"/>
    <w:rsid w:val="008218AA"/>
    <w:rsid w:val="008321AC"/>
    <w:rsid w:val="008345F4"/>
    <w:rsid w:val="00844A72"/>
    <w:rsid w:val="00845319"/>
    <w:rsid w:val="00853ECF"/>
    <w:rsid w:val="00862832"/>
    <w:rsid w:val="00870F18"/>
    <w:rsid w:val="00873AD9"/>
    <w:rsid w:val="00875475"/>
    <w:rsid w:val="008807B5"/>
    <w:rsid w:val="00880F7C"/>
    <w:rsid w:val="008968B7"/>
    <w:rsid w:val="008A397A"/>
    <w:rsid w:val="008A5B64"/>
    <w:rsid w:val="008A696E"/>
    <w:rsid w:val="008B5F86"/>
    <w:rsid w:val="008C6B7B"/>
    <w:rsid w:val="008D059D"/>
    <w:rsid w:val="008E6255"/>
    <w:rsid w:val="008F2D82"/>
    <w:rsid w:val="00907230"/>
    <w:rsid w:val="0091486C"/>
    <w:rsid w:val="009226E1"/>
    <w:rsid w:val="00923034"/>
    <w:rsid w:val="00934465"/>
    <w:rsid w:val="0093529C"/>
    <w:rsid w:val="00940069"/>
    <w:rsid w:val="00946ED7"/>
    <w:rsid w:val="009527C4"/>
    <w:rsid w:val="00956C59"/>
    <w:rsid w:val="00970F45"/>
    <w:rsid w:val="00981FC2"/>
    <w:rsid w:val="0099158A"/>
    <w:rsid w:val="00993279"/>
    <w:rsid w:val="0099353F"/>
    <w:rsid w:val="009955FE"/>
    <w:rsid w:val="009970E1"/>
    <w:rsid w:val="009B2866"/>
    <w:rsid w:val="009B710A"/>
    <w:rsid w:val="009C2B82"/>
    <w:rsid w:val="009D1B90"/>
    <w:rsid w:val="009D1C5B"/>
    <w:rsid w:val="009D5116"/>
    <w:rsid w:val="009E1903"/>
    <w:rsid w:val="009E1E97"/>
    <w:rsid w:val="009E2869"/>
    <w:rsid w:val="009E565E"/>
    <w:rsid w:val="009F0669"/>
    <w:rsid w:val="009F6029"/>
    <w:rsid w:val="00A04170"/>
    <w:rsid w:val="00A0739F"/>
    <w:rsid w:val="00A1417E"/>
    <w:rsid w:val="00A1451C"/>
    <w:rsid w:val="00A146BE"/>
    <w:rsid w:val="00A164B7"/>
    <w:rsid w:val="00A24C11"/>
    <w:rsid w:val="00A341A6"/>
    <w:rsid w:val="00A364D3"/>
    <w:rsid w:val="00A5537D"/>
    <w:rsid w:val="00A653A0"/>
    <w:rsid w:val="00A70E0C"/>
    <w:rsid w:val="00A75F55"/>
    <w:rsid w:val="00A9010A"/>
    <w:rsid w:val="00A92688"/>
    <w:rsid w:val="00A9337F"/>
    <w:rsid w:val="00AA175D"/>
    <w:rsid w:val="00AC21CA"/>
    <w:rsid w:val="00AD44D4"/>
    <w:rsid w:val="00AD5A0A"/>
    <w:rsid w:val="00AE3243"/>
    <w:rsid w:val="00AF34DD"/>
    <w:rsid w:val="00B026C3"/>
    <w:rsid w:val="00B03E4B"/>
    <w:rsid w:val="00B12659"/>
    <w:rsid w:val="00B12D2E"/>
    <w:rsid w:val="00B13513"/>
    <w:rsid w:val="00B22676"/>
    <w:rsid w:val="00B27C0D"/>
    <w:rsid w:val="00B34BC3"/>
    <w:rsid w:val="00B41D4F"/>
    <w:rsid w:val="00B4201C"/>
    <w:rsid w:val="00B42EE0"/>
    <w:rsid w:val="00B4642D"/>
    <w:rsid w:val="00B477F7"/>
    <w:rsid w:val="00B6124C"/>
    <w:rsid w:val="00B62924"/>
    <w:rsid w:val="00B65951"/>
    <w:rsid w:val="00B66119"/>
    <w:rsid w:val="00B763D0"/>
    <w:rsid w:val="00B8108F"/>
    <w:rsid w:val="00B85343"/>
    <w:rsid w:val="00B91BFA"/>
    <w:rsid w:val="00BA2230"/>
    <w:rsid w:val="00BD51A2"/>
    <w:rsid w:val="00BD5792"/>
    <w:rsid w:val="00BE4D6B"/>
    <w:rsid w:val="00BE753D"/>
    <w:rsid w:val="00BF0E28"/>
    <w:rsid w:val="00BF1A67"/>
    <w:rsid w:val="00BF79F2"/>
    <w:rsid w:val="00C024DC"/>
    <w:rsid w:val="00C06AF3"/>
    <w:rsid w:val="00C073AD"/>
    <w:rsid w:val="00C31063"/>
    <w:rsid w:val="00C31E04"/>
    <w:rsid w:val="00C34058"/>
    <w:rsid w:val="00C35339"/>
    <w:rsid w:val="00C40B02"/>
    <w:rsid w:val="00C44C56"/>
    <w:rsid w:val="00C55F17"/>
    <w:rsid w:val="00C60025"/>
    <w:rsid w:val="00C60C49"/>
    <w:rsid w:val="00C64BFB"/>
    <w:rsid w:val="00C86F41"/>
    <w:rsid w:val="00C870D3"/>
    <w:rsid w:val="00C97BE7"/>
    <w:rsid w:val="00CA3F1C"/>
    <w:rsid w:val="00CB0825"/>
    <w:rsid w:val="00CB4F8C"/>
    <w:rsid w:val="00CC2015"/>
    <w:rsid w:val="00CC2D59"/>
    <w:rsid w:val="00CD39E4"/>
    <w:rsid w:val="00CD79DB"/>
    <w:rsid w:val="00CE15B9"/>
    <w:rsid w:val="00CF34C1"/>
    <w:rsid w:val="00D2080A"/>
    <w:rsid w:val="00D26287"/>
    <w:rsid w:val="00D27626"/>
    <w:rsid w:val="00D3623A"/>
    <w:rsid w:val="00D45937"/>
    <w:rsid w:val="00D45B4A"/>
    <w:rsid w:val="00D513FE"/>
    <w:rsid w:val="00D53F06"/>
    <w:rsid w:val="00D566E6"/>
    <w:rsid w:val="00D61DA0"/>
    <w:rsid w:val="00D6362E"/>
    <w:rsid w:val="00D64045"/>
    <w:rsid w:val="00D707B4"/>
    <w:rsid w:val="00D72C6F"/>
    <w:rsid w:val="00D762D9"/>
    <w:rsid w:val="00D76564"/>
    <w:rsid w:val="00D82A2F"/>
    <w:rsid w:val="00D83902"/>
    <w:rsid w:val="00D90C22"/>
    <w:rsid w:val="00D91EB7"/>
    <w:rsid w:val="00DA220B"/>
    <w:rsid w:val="00DA2285"/>
    <w:rsid w:val="00DA33BD"/>
    <w:rsid w:val="00DA456F"/>
    <w:rsid w:val="00DA71EB"/>
    <w:rsid w:val="00DB1D6B"/>
    <w:rsid w:val="00DC29D7"/>
    <w:rsid w:val="00DC3B5E"/>
    <w:rsid w:val="00DD3D29"/>
    <w:rsid w:val="00DF30D8"/>
    <w:rsid w:val="00DF4B8E"/>
    <w:rsid w:val="00DF6077"/>
    <w:rsid w:val="00DF6D56"/>
    <w:rsid w:val="00E06E54"/>
    <w:rsid w:val="00E16C98"/>
    <w:rsid w:val="00E27EDD"/>
    <w:rsid w:val="00E3072A"/>
    <w:rsid w:val="00E326EA"/>
    <w:rsid w:val="00E405F3"/>
    <w:rsid w:val="00E56385"/>
    <w:rsid w:val="00E615F1"/>
    <w:rsid w:val="00E800A9"/>
    <w:rsid w:val="00E85BE9"/>
    <w:rsid w:val="00E8687D"/>
    <w:rsid w:val="00E95AEC"/>
    <w:rsid w:val="00E96911"/>
    <w:rsid w:val="00EA0922"/>
    <w:rsid w:val="00EA43E8"/>
    <w:rsid w:val="00EA7494"/>
    <w:rsid w:val="00EB3249"/>
    <w:rsid w:val="00EB6478"/>
    <w:rsid w:val="00EB73E9"/>
    <w:rsid w:val="00EC4D82"/>
    <w:rsid w:val="00ED721A"/>
    <w:rsid w:val="00EE1EF9"/>
    <w:rsid w:val="00EF6D6D"/>
    <w:rsid w:val="00F03E53"/>
    <w:rsid w:val="00F1005E"/>
    <w:rsid w:val="00F100F2"/>
    <w:rsid w:val="00F14AF2"/>
    <w:rsid w:val="00F1584B"/>
    <w:rsid w:val="00F15EF0"/>
    <w:rsid w:val="00F24A0A"/>
    <w:rsid w:val="00F27D37"/>
    <w:rsid w:val="00F331C9"/>
    <w:rsid w:val="00F41B62"/>
    <w:rsid w:val="00F54E67"/>
    <w:rsid w:val="00F55953"/>
    <w:rsid w:val="00F55FD2"/>
    <w:rsid w:val="00F653DE"/>
    <w:rsid w:val="00F7010A"/>
    <w:rsid w:val="00F72B0C"/>
    <w:rsid w:val="00F75ABA"/>
    <w:rsid w:val="00F82BFF"/>
    <w:rsid w:val="00F8699D"/>
    <w:rsid w:val="00FA1E16"/>
    <w:rsid w:val="00FA50E3"/>
    <w:rsid w:val="00FB1B5A"/>
    <w:rsid w:val="00FB2D33"/>
    <w:rsid w:val="00FB4F13"/>
    <w:rsid w:val="00FD3FA4"/>
    <w:rsid w:val="00FE11AE"/>
    <w:rsid w:val="00FE1EDD"/>
    <w:rsid w:val="00FF104C"/>
    <w:rsid w:val="016A306B"/>
    <w:rsid w:val="021028E4"/>
    <w:rsid w:val="02452C60"/>
    <w:rsid w:val="025A657C"/>
    <w:rsid w:val="02756309"/>
    <w:rsid w:val="04585BCE"/>
    <w:rsid w:val="068E2270"/>
    <w:rsid w:val="06B225CD"/>
    <w:rsid w:val="06C5252E"/>
    <w:rsid w:val="0789151E"/>
    <w:rsid w:val="081962DD"/>
    <w:rsid w:val="08D4742C"/>
    <w:rsid w:val="08E422F1"/>
    <w:rsid w:val="091F2749"/>
    <w:rsid w:val="09785B04"/>
    <w:rsid w:val="0CA34B40"/>
    <w:rsid w:val="0D0C188A"/>
    <w:rsid w:val="0FA504C7"/>
    <w:rsid w:val="0FEC3771"/>
    <w:rsid w:val="10EE3247"/>
    <w:rsid w:val="11D942D9"/>
    <w:rsid w:val="13031039"/>
    <w:rsid w:val="13F407C4"/>
    <w:rsid w:val="15CE5491"/>
    <w:rsid w:val="15FF1F8C"/>
    <w:rsid w:val="16D708E9"/>
    <w:rsid w:val="18D107D8"/>
    <w:rsid w:val="1AFB726E"/>
    <w:rsid w:val="1E4329FD"/>
    <w:rsid w:val="1F394031"/>
    <w:rsid w:val="1FA063BC"/>
    <w:rsid w:val="203E659E"/>
    <w:rsid w:val="21B11883"/>
    <w:rsid w:val="233E23C8"/>
    <w:rsid w:val="23A4645B"/>
    <w:rsid w:val="23A73284"/>
    <w:rsid w:val="27605924"/>
    <w:rsid w:val="2B47667D"/>
    <w:rsid w:val="2BA85228"/>
    <w:rsid w:val="2CB74084"/>
    <w:rsid w:val="2D416F94"/>
    <w:rsid w:val="2D67679E"/>
    <w:rsid w:val="2F446E74"/>
    <w:rsid w:val="2F560A17"/>
    <w:rsid w:val="2F921579"/>
    <w:rsid w:val="2FF42B68"/>
    <w:rsid w:val="2FF54DCD"/>
    <w:rsid w:val="32774524"/>
    <w:rsid w:val="32A04D24"/>
    <w:rsid w:val="355C544B"/>
    <w:rsid w:val="356A7F17"/>
    <w:rsid w:val="35F13742"/>
    <w:rsid w:val="367D1B20"/>
    <w:rsid w:val="37436EFE"/>
    <w:rsid w:val="37DC7545"/>
    <w:rsid w:val="3A4F4C6B"/>
    <w:rsid w:val="3A504FDF"/>
    <w:rsid w:val="3B704EEF"/>
    <w:rsid w:val="3C385ED5"/>
    <w:rsid w:val="3E8F5404"/>
    <w:rsid w:val="3F99354C"/>
    <w:rsid w:val="40181962"/>
    <w:rsid w:val="40211E56"/>
    <w:rsid w:val="40A73CD0"/>
    <w:rsid w:val="41565D18"/>
    <w:rsid w:val="43B370E4"/>
    <w:rsid w:val="44DA6246"/>
    <w:rsid w:val="44ED7F3C"/>
    <w:rsid w:val="45080505"/>
    <w:rsid w:val="456D3E34"/>
    <w:rsid w:val="46656473"/>
    <w:rsid w:val="46B61BE6"/>
    <w:rsid w:val="46D33EEC"/>
    <w:rsid w:val="46F6167F"/>
    <w:rsid w:val="47662B0E"/>
    <w:rsid w:val="48F37122"/>
    <w:rsid w:val="494063F7"/>
    <w:rsid w:val="49813FED"/>
    <w:rsid w:val="4ABE4624"/>
    <w:rsid w:val="4BA138EB"/>
    <w:rsid w:val="4BC3334E"/>
    <w:rsid w:val="4C0D433D"/>
    <w:rsid w:val="4CB73104"/>
    <w:rsid w:val="4CB73F0F"/>
    <w:rsid w:val="4DC26178"/>
    <w:rsid w:val="4DC84FD2"/>
    <w:rsid w:val="4DEF1B92"/>
    <w:rsid w:val="4F45412D"/>
    <w:rsid w:val="4F5C2622"/>
    <w:rsid w:val="51234079"/>
    <w:rsid w:val="53035E61"/>
    <w:rsid w:val="53454A83"/>
    <w:rsid w:val="53671C06"/>
    <w:rsid w:val="544613ED"/>
    <w:rsid w:val="567D28EA"/>
    <w:rsid w:val="56A143BE"/>
    <w:rsid w:val="575473F4"/>
    <w:rsid w:val="584722A5"/>
    <w:rsid w:val="591E3AA4"/>
    <w:rsid w:val="5B1B27A8"/>
    <w:rsid w:val="5C8B4BE7"/>
    <w:rsid w:val="5D843631"/>
    <w:rsid w:val="5DF262C7"/>
    <w:rsid w:val="5F6A5DC5"/>
    <w:rsid w:val="613F4178"/>
    <w:rsid w:val="63E4086B"/>
    <w:rsid w:val="64EA487D"/>
    <w:rsid w:val="6518340C"/>
    <w:rsid w:val="65480958"/>
    <w:rsid w:val="66200896"/>
    <w:rsid w:val="68190258"/>
    <w:rsid w:val="68D569A8"/>
    <w:rsid w:val="6A384293"/>
    <w:rsid w:val="6B730A1F"/>
    <w:rsid w:val="6C2B3E9C"/>
    <w:rsid w:val="6ECF7E9E"/>
    <w:rsid w:val="6F352A93"/>
    <w:rsid w:val="6FFE030B"/>
    <w:rsid w:val="701A273B"/>
    <w:rsid w:val="716D03AD"/>
    <w:rsid w:val="718D5813"/>
    <w:rsid w:val="71B2120D"/>
    <w:rsid w:val="71CB30B1"/>
    <w:rsid w:val="72F56AC1"/>
    <w:rsid w:val="73362007"/>
    <w:rsid w:val="73D94D40"/>
    <w:rsid w:val="74307527"/>
    <w:rsid w:val="758C0C3B"/>
    <w:rsid w:val="76995C90"/>
    <w:rsid w:val="77842ECB"/>
    <w:rsid w:val="787D7839"/>
    <w:rsid w:val="7B9D3A44"/>
    <w:rsid w:val="7C7F11C2"/>
    <w:rsid w:val="7D430A52"/>
    <w:rsid w:val="7D9A1290"/>
    <w:rsid w:val="7DC52441"/>
    <w:rsid w:val="7E2B1D63"/>
    <w:rsid w:val="7EE64F80"/>
    <w:rsid w:val="7F602C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link w:val="37"/>
    <w:qFormat/>
    <w:uiPriority w:val="0"/>
    <w:pPr>
      <w:keepNext/>
      <w:keepLines/>
      <w:spacing w:before="280" w:after="290" w:line="376" w:lineRule="auto"/>
      <w:outlineLvl w:val="3"/>
    </w:pPr>
    <w:rPr>
      <w:rFonts w:ascii="Calibri Light" w:hAnsi="Calibri Light"/>
      <w:b/>
      <w:bCs/>
      <w:sz w:val="28"/>
      <w:szCs w:val="28"/>
    </w:rPr>
  </w:style>
  <w:style w:type="character" w:default="1" w:styleId="34">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customStyle="1" w:styleId="4">
    <w:name w:val="正文首行缩进2字符"/>
    <w:basedOn w:val="1"/>
    <w:qFormat/>
    <w:uiPriority w:val="0"/>
    <w:pPr>
      <w:widowControl/>
      <w:adjustRightInd w:val="0"/>
    </w:pPr>
  </w:style>
  <w:style w:type="paragraph" w:styleId="7">
    <w:name w:val="toc 7"/>
    <w:basedOn w:val="1"/>
    <w:next w:val="1"/>
    <w:qFormat/>
    <w:uiPriority w:val="0"/>
    <w:pPr>
      <w:ind w:left="2520" w:leftChars="1200"/>
    </w:pPr>
    <w:rPr>
      <w:szCs w:val="22"/>
    </w:rPr>
  </w:style>
  <w:style w:type="paragraph" w:styleId="8">
    <w:name w:val="Normal Indent"/>
    <w:basedOn w:val="1"/>
    <w:qFormat/>
    <w:uiPriority w:val="0"/>
    <w:pPr>
      <w:ind w:firstLine="420" w:firstLineChars="200"/>
    </w:pPr>
  </w:style>
  <w:style w:type="paragraph" w:styleId="9">
    <w:name w:val="annotation text"/>
    <w:basedOn w:val="1"/>
    <w:link w:val="39"/>
    <w:qFormat/>
    <w:uiPriority w:val="0"/>
    <w:pPr>
      <w:jc w:val="left"/>
    </w:pPr>
  </w:style>
  <w:style w:type="paragraph" w:styleId="10">
    <w:name w:val="Body Text"/>
    <w:basedOn w:val="1"/>
    <w:next w:val="11"/>
    <w:link w:val="71"/>
    <w:qFormat/>
    <w:uiPriority w:val="0"/>
    <w:rPr>
      <w:szCs w:val="20"/>
    </w:rPr>
  </w:style>
  <w:style w:type="paragraph" w:customStyle="1" w:styleId="11">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2">
    <w:name w:val="Body Text Indent"/>
    <w:basedOn w:val="1"/>
    <w:link w:val="77"/>
    <w:qFormat/>
    <w:uiPriority w:val="0"/>
    <w:pPr>
      <w:spacing w:after="120"/>
      <w:ind w:left="420" w:leftChars="200"/>
    </w:pPr>
  </w:style>
  <w:style w:type="paragraph" w:styleId="13">
    <w:name w:val="List 2"/>
    <w:basedOn w:val="1"/>
    <w:unhideWhenUsed/>
    <w:qFormat/>
    <w:uiPriority w:val="99"/>
    <w:pPr>
      <w:ind w:left="100" w:leftChars="200" w:hanging="200" w:hangingChars="200"/>
      <w:contextualSpacing/>
    </w:pPr>
  </w:style>
  <w:style w:type="paragraph" w:styleId="14">
    <w:name w:val="toc 5"/>
    <w:basedOn w:val="1"/>
    <w:next w:val="1"/>
    <w:qFormat/>
    <w:uiPriority w:val="0"/>
    <w:pPr>
      <w:ind w:left="1680" w:leftChars="800"/>
    </w:pPr>
    <w:rPr>
      <w:szCs w:val="22"/>
    </w:rPr>
  </w:style>
  <w:style w:type="paragraph" w:styleId="15">
    <w:name w:val="toc 3"/>
    <w:basedOn w:val="1"/>
    <w:next w:val="1"/>
    <w:qFormat/>
    <w:uiPriority w:val="39"/>
    <w:pPr>
      <w:ind w:left="840" w:leftChars="400"/>
    </w:pPr>
  </w:style>
  <w:style w:type="paragraph" w:styleId="16">
    <w:name w:val="Plain Text"/>
    <w:basedOn w:val="1"/>
    <w:next w:val="14"/>
    <w:qFormat/>
    <w:uiPriority w:val="0"/>
    <w:rPr>
      <w:rFonts w:ascii="Courier New" w:hAnsi="Courier New"/>
      <w:szCs w:val="20"/>
    </w:rPr>
  </w:style>
  <w:style w:type="paragraph" w:styleId="17">
    <w:name w:val="toc 8"/>
    <w:basedOn w:val="1"/>
    <w:next w:val="1"/>
    <w:qFormat/>
    <w:uiPriority w:val="0"/>
    <w:pPr>
      <w:ind w:left="2940" w:leftChars="1400"/>
    </w:pPr>
    <w:rPr>
      <w:szCs w:val="22"/>
    </w:rPr>
  </w:style>
  <w:style w:type="paragraph" w:styleId="18">
    <w:name w:val="Body Text Indent 2"/>
    <w:basedOn w:val="1"/>
    <w:qFormat/>
    <w:uiPriority w:val="0"/>
    <w:pPr>
      <w:spacing w:line="480" w:lineRule="auto"/>
      <w:ind w:left="420" w:leftChars="200"/>
    </w:pPr>
  </w:style>
  <w:style w:type="paragraph" w:styleId="19">
    <w:name w:val="Balloon Text"/>
    <w:basedOn w:val="1"/>
    <w:link w:val="74"/>
    <w:qFormat/>
    <w:uiPriority w:val="0"/>
    <w:rPr>
      <w:sz w:val="18"/>
      <w:szCs w:val="18"/>
    </w:rPr>
  </w:style>
  <w:style w:type="paragraph" w:styleId="20">
    <w:name w:val="footer"/>
    <w:basedOn w:val="1"/>
    <w:link w:val="75"/>
    <w:qFormat/>
    <w:uiPriority w:val="99"/>
    <w:pPr>
      <w:tabs>
        <w:tab w:val="center" w:pos="4153"/>
        <w:tab w:val="right" w:pos="8306"/>
      </w:tabs>
      <w:snapToGrid w:val="0"/>
      <w:jc w:val="left"/>
    </w:pPr>
    <w:rPr>
      <w:sz w:val="18"/>
      <w:szCs w:val="18"/>
    </w:rPr>
  </w:style>
  <w:style w:type="paragraph" w:styleId="21">
    <w:name w:val="header"/>
    <w:basedOn w:val="1"/>
    <w:link w:val="49"/>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line="440" w:lineRule="exact"/>
      <w:jc w:val="center"/>
    </w:pPr>
  </w:style>
  <w:style w:type="paragraph" w:styleId="23">
    <w:name w:val="toc 4"/>
    <w:basedOn w:val="1"/>
    <w:next w:val="1"/>
    <w:qFormat/>
    <w:uiPriority w:val="0"/>
    <w:pPr>
      <w:ind w:left="1260" w:leftChars="600"/>
    </w:pPr>
    <w:rPr>
      <w:szCs w:val="22"/>
    </w:rPr>
  </w:style>
  <w:style w:type="paragraph" w:styleId="24">
    <w:name w:val="toc 6"/>
    <w:basedOn w:val="1"/>
    <w:next w:val="1"/>
    <w:qFormat/>
    <w:uiPriority w:val="0"/>
    <w:pPr>
      <w:ind w:left="2100" w:leftChars="1000"/>
    </w:pPr>
    <w:rPr>
      <w:szCs w:val="22"/>
    </w:rPr>
  </w:style>
  <w:style w:type="paragraph" w:styleId="25">
    <w:name w:val="Body Text Indent 3"/>
    <w:basedOn w:val="1"/>
    <w:link w:val="70"/>
    <w:qFormat/>
    <w:uiPriority w:val="0"/>
    <w:pPr>
      <w:spacing w:after="120"/>
      <w:ind w:left="420" w:leftChars="200"/>
    </w:pPr>
    <w:rPr>
      <w:rFonts w:ascii="Times New Roman" w:hAnsi="Times New Roman" w:cs="Times New Roman"/>
      <w:sz w:val="16"/>
      <w:szCs w:val="16"/>
    </w:rPr>
  </w:style>
  <w:style w:type="paragraph" w:styleId="26">
    <w:name w:val="toc 2"/>
    <w:basedOn w:val="1"/>
    <w:next w:val="1"/>
    <w:qFormat/>
    <w:uiPriority w:val="39"/>
    <w:pPr>
      <w:ind w:left="420" w:leftChars="200"/>
    </w:pPr>
  </w:style>
  <w:style w:type="paragraph" w:styleId="27">
    <w:name w:val="toc 9"/>
    <w:basedOn w:val="1"/>
    <w:next w:val="1"/>
    <w:qFormat/>
    <w:uiPriority w:val="0"/>
    <w:pPr>
      <w:ind w:left="3360" w:leftChars="1600"/>
    </w:pPr>
    <w:rPr>
      <w:szCs w:val="22"/>
    </w:rPr>
  </w:style>
  <w:style w:type="paragraph" w:styleId="2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9">
    <w:name w:val="Normal (Web)"/>
    <w:basedOn w:val="1"/>
    <w:unhideWhenUsed/>
    <w:qFormat/>
    <w:uiPriority w:val="0"/>
    <w:pPr>
      <w:widowControl/>
      <w:spacing w:before="100" w:beforeAutospacing="1" w:after="100" w:afterAutospacing="1"/>
      <w:jc w:val="left"/>
    </w:pPr>
    <w:rPr>
      <w:rFonts w:ascii="宋体" w:hAnsi="宋体" w:eastAsia="楷体_GB2312" w:cs="宋体"/>
      <w:kern w:val="0"/>
      <w:sz w:val="24"/>
    </w:rPr>
  </w:style>
  <w:style w:type="paragraph" w:styleId="30">
    <w:name w:val="Title"/>
    <w:basedOn w:val="1"/>
    <w:next w:val="1"/>
    <w:link w:val="50"/>
    <w:qFormat/>
    <w:uiPriority w:val="0"/>
    <w:pPr>
      <w:spacing w:before="240" w:after="60"/>
      <w:jc w:val="center"/>
      <w:outlineLvl w:val="0"/>
    </w:pPr>
    <w:rPr>
      <w:rFonts w:ascii="Calibri Light" w:hAnsi="Calibri Light"/>
      <w:b/>
      <w:bCs/>
      <w:sz w:val="32"/>
      <w:szCs w:val="32"/>
    </w:rPr>
  </w:style>
  <w:style w:type="paragraph" w:styleId="31">
    <w:name w:val="Body Text First Indent"/>
    <w:basedOn w:val="10"/>
    <w:link w:val="72"/>
    <w:qFormat/>
    <w:uiPriority w:val="0"/>
    <w:pPr>
      <w:spacing w:after="120"/>
      <w:ind w:firstLine="420" w:firstLineChars="100"/>
    </w:pPr>
    <w:rPr>
      <w:szCs w:val="24"/>
    </w:rPr>
  </w:style>
  <w:style w:type="paragraph" w:styleId="32">
    <w:name w:val="Body Text First Indent 2"/>
    <w:basedOn w:val="12"/>
    <w:next w:val="8"/>
    <w:link w:val="78"/>
    <w:unhideWhenUsed/>
    <w:qFormat/>
    <w:uiPriority w:val="99"/>
    <w:pPr>
      <w:spacing w:before="100" w:beforeAutospacing="1" w:after="100" w:afterAutospacing="1" w:line="420" w:lineRule="exact"/>
      <w:ind w:left="1890" w:leftChars="0" w:firstLine="420" w:firstLineChars="200"/>
    </w:pPr>
    <w:rPr>
      <w:rFonts w:ascii="宋体" w:hAnsi="宋体" w:cs="宋体"/>
    </w:rPr>
  </w:style>
  <w:style w:type="character" w:styleId="35">
    <w:name w:val="FollowedHyperlink"/>
    <w:basedOn w:val="34"/>
    <w:qFormat/>
    <w:uiPriority w:val="0"/>
    <w:rPr>
      <w:color w:val="000000"/>
      <w:u w:val="none"/>
    </w:rPr>
  </w:style>
  <w:style w:type="character" w:styleId="36">
    <w:name w:val="Hyperlink"/>
    <w:basedOn w:val="34"/>
    <w:qFormat/>
    <w:uiPriority w:val="99"/>
    <w:rPr>
      <w:color w:val="000000"/>
      <w:u w:val="none"/>
    </w:rPr>
  </w:style>
  <w:style w:type="character" w:customStyle="1" w:styleId="37">
    <w:name w:val="标题 4 字符"/>
    <w:basedOn w:val="34"/>
    <w:link w:val="6"/>
    <w:semiHidden/>
    <w:qFormat/>
    <w:uiPriority w:val="0"/>
    <w:rPr>
      <w:rFonts w:ascii="Calibri Light" w:hAnsi="Calibri Light" w:eastAsia="宋体" w:cs="黑体"/>
      <w:b/>
      <w:bCs/>
      <w:kern w:val="2"/>
      <w:sz w:val="28"/>
      <w:szCs w:val="28"/>
    </w:rPr>
  </w:style>
  <w:style w:type="character" w:customStyle="1" w:styleId="38">
    <w:name w:val="批注主题 Char"/>
    <w:basedOn w:val="39"/>
    <w:link w:val="40"/>
    <w:semiHidden/>
    <w:qFormat/>
    <w:uiPriority w:val="0"/>
    <w:rPr>
      <w:b/>
      <w:bCs/>
      <w:kern w:val="2"/>
      <w:sz w:val="21"/>
      <w:szCs w:val="24"/>
    </w:rPr>
  </w:style>
  <w:style w:type="character" w:customStyle="1" w:styleId="39">
    <w:name w:val="批注文字 字符"/>
    <w:basedOn w:val="34"/>
    <w:link w:val="9"/>
    <w:semiHidden/>
    <w:qFormat/>
    <w:uiPriority w:val="0"/>
    <w:rPr>
      <w:kern w:val="2"/>
      <w:sz w:val="21"/>
      <w:szCs w:val="24"/>
    </w:rPr>
  </w:style>
  <w:style w:type="paragraph" w:customStyle="1" w:styleId="40">
    <w:name w:val="批注主题1"/>
    <w:basedOn w:val="9"/>
    <w:next w:val="9"/>
    <w:link w:val="38"/>
    <w:qFormat/>
    <w:uiPriority w:val="0"/>
    <w:rPr>
      <w:b/>
      <w:bCs/>
    </w:rPr>
  </w:style>
  <w:style w:type="character" w:customStyle="1" w:styleId="41">
    <w:name w:val="文档结构图 Char"/>
    <w:basedOn w:val="34"/>
    <w:link w:val="42"/>
    <w:semiHidden/>
    <w:qFormat/>
    <w:uiPriority w:val="0"/>
    <w:rPr>
      <w:rFonts w:ascii="宋体" w:eastAsia="宋体"/>
      <w:kern w:val="2"/>
      <w:sz w:val="18"/>
      <w:szCs w:val="18"/>
    </w:rPr>
  </w:style>
  <w:style w:type="paragraph" w:customStyle="1" w:styleId="42">
    <w:name w:val="文档结构图1"/>
    <w:basedOn w:val="1"/>
    <w:link w:val="41"/>
    <w:qFormat/>
    <w:uiPriority w:val="0"/>
    <w:rPr>
      <w:rFonts w:ascii="宋体"/>
      <w:sz w:val="18"/>
      <w:szCs w:val="18"/>
    </w:rPr>
  </w:style>
  <w:style w:type="character" w:customStyle="1" w:styleId="43">
    <w:name w:val="纯文本 Char"/>
    <w:link w:val="44"/>
    <w:semiHidden/>
    <w:qFormat/>
    <w:uiPriority w:val="0"/>
    <w:rPr>
      <w:rFonts w:ascii="宋体" w:hAnsi="Courier New" w:cs="Courier New"/>
      <w:kern w:val="2"/>
      <w:sz w:val="21"/>
      <w:szCs w:val="21"/>
    </w:rPr>
  </w:style>
  <w:style w:type="paragraph" w:customStyle="1" w:styleId="44">
    <w:name w:val="纯文本1"/>
    <w:basedOn w:val="1"/>
    <w:link w:val="43"/>
    <w:qFormat/>
    <w:uiPriority w:val="0"/>
    <w:rPr>
      <w:rFonts w:ascii="宋体" w:hAnsi="Courier New" w:cs="Times New Roman"/>
      <w:szCs w:val="21"/>
    </w:rPr>
  </w:style>
  <w:style w:type="character" w:customStyle="1" w:styleId="45">
    <w:name w:val="日期 Char"/>
    <w:semiHidden/>
    <w:qFormat/>
    <w:uiPriority w:val="0"/>
    <w:rPr>
      <w:kern w:val="2"/>
      <w:sz w:val="21"/>
      <w:szCs w:val="24"/>
    </w:rPr>
  </w:style>
  <w:style w:type="paragraph" w:customStyle="1" w:styleId="46">
    <w:name w:val="日期1"/>
    <w:basedOn w:val="1"/>
    <w:next w:val="1"/>
    <w:link w:val="64"/>
    <w:qFormat/>
    <w:uiPriority w:val="0"/>
    <w:pPr>
      <w:ind w:left="100" w:leftChars="2500"/>
    </w:pPr>
  </w:style>
  <w:style w:type="paragraph" w:customStyle="1" w:styleId="47">
    <w:name w:val="批注框文本1"/>
    <w:basedOn w:val="1"/>
    <w:link w:val="48"/>
    <w:qFormat/>
    <w:uiPriority w:val="0"/>
    <w:rPr>
      <w:sz w:val="18"/>
      <w:szCs w:val="18"/>
    </w:rPr>
  </w:style>
  <w:style w:type="character" w:customStyle="1" w:styleId="48">
    <w:name w:val="批注框文本 Char"/>
    <w:basedOn w:val="34"/>
    <w:link w:val="47"/>
    <w:semiHidden/>
    <w:qFormat/>
    <w:uiPriority w:val="0"/>
    <w:rPr>
      <w:kern w:val="2"/>
      <w:sz w:val="18"/>
      <w:szCs w:val="18"/>
    </w:rPr>
  </w:style>
  <w:style w:type="character" w:customStyle="1" w:styleId="49">
    <w:name w:val="页眉 字符"/>
    <w:basedOn w:val="34"/>
    <w:link w:val="21"/>
    <w:semiHidden/>
    <w:qFormat/>
    <w:uiPriority w:val="0"/>
    <w:rPr>
      <w:rFonts w:ascii="Calibri" w:hAnsi="Calibri" w:eastAsia="宋体" w:cs="黑体"/>
      <w:kern w:val="2"/>
      <w:sz w:val="18"/>
      <w:szCs w:val="18"/>
    </w:rPr>
  </w:style>
  <w:style w:type="character" w:customStyle="1" w:styleId="50">
    <w:name w:val="标题 字符"/>
    <w:basedOn w:val="34"/>
    <w:link w:val="30"/>
    <w:semiHidden/>
    <w:qFormat/>
    <w:uiPriority w:val="0"/>
    <w:rPr>
      <w:rFonts w:ascii="Calibri Light" w:hAnsi="Calibri Light" w:cs="黑体"/>
      <w:b/>
      <w:bCs/>
      <w:kern w:val="2"/>
      <w:sz w:val="32"/>
      <w:szCs w:val="32"/>
    </w:rPr>
  </w:style>
  <w:style w:type="paragraph" w:customStyle="1" w:styleId="51">
    <w:name w:val="正文文本缩进 21"/>
    <w:basedOn w:val="1"/>
    <w:qFormat/>
    <w:uiPriority w:val="0"/>
    <w:pPr>
      <w:spacing w:after="120" w:line="480" w:lineRule="auto"/>
      <w:ind w:left="420" w:leftChars="200"/>
    </w:pPr>
  </w:style>
  <w:style w:type="paragraph" w:customStyle="1" w:styleId="52">
    <w:name w:val="正文文本 31"/>
    <w:basedOn w:val="1"/>
    <w:qFormat/>
    <w:uiPriority w:val="0"/>
    <w:rPr>
      <w:rFonts w:ascii="宋体"/>
      <w:sz w:val="24"/>
      <w:szCs w:val="20"/>
    </w:rPr>
  </w:style>
  <w:style w:type="paragraph" w:customStyle="1" w:styleId="53">
    <w:name w:val="列表 21"/>
    <w:basedOn w:val="1"/>
    <w:qFormat/>
    <w:uiPriority w:val="0"/>
    <w:pPr>
      <w:ind w:left="100" w:leftChars="200" w:hanging="200" w:hangingChars="200"/>
    </w:pPr>
  </w:style>
  <w:style w:type="paragraph" w:customStyle="1" w:styleId="54">
    <w:name w:val="正文首行缩进1"/>
    <w:basedOn w:val="10"/>
    <w:qFormat/>
    <w:uiPriority w:val="0"/>
    <w:pPr>
      <w:spacing w:line="312" w:lineRule="auto"/>
      <w:ind w:firstLine="420"/>
    </w:pPr>
  </w:style>
  <w:style w:type="paragraph" w:customStyle="1" w:styleId="55">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5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57">
    <w:name w:val="p0"/>
    <w:basedOn w:val="1"/>
    <w:qFormat/>
    <w:uiPriority w:val="0"/>
    <w:pPr>
      <w:widowControl/>
    </w:pPr>
    <w:rPr>
      <w:kern w:val="0"/>
      <w:szCs w:val="21"/>
    </w:rPr>
  </w:style>
  <w:style w:type="paragraph" w:customStyle="1" w:styleId="58">
    <w:name w:val="列出段落1"/>
    <w:basedOn w:val="1"/>
    <w:qFormat/>
    <w:uiPriority w:val="0"/>
    <w:pPr>
      <w:ind w:firstLine="420" w:firstLineChars="200"/>
    </w:pPr>
  </w:style>
  <w:style w:type="paragraph" w:customStyle="1" w:styleId="59">
    <w:name w:val="样式1"/>
    <w:basedOn w:val="21"/>
    <w:link w:val="65"/>
    <w:qFormat/>
    <w:uiPriority w:val="0"/>
    <w:pPr>
      <w:pBdr>
        <w:bottom w:val="none" w:color="auto" w:sz="0" w:space="0"/>
      </w:pBdr>
    </w:pPr>
  </w:style>
  <w:style w:type="paragraph" w:customStyle="1" w:styleId="60">
    <w:name w:val="TOC 标题1"/>
    <w:basedOn w:val="2"/>
    <w:next w:val="1"/>
    <w:qFormat/>
    <w:uiPriority w:val="0"/>
    <w:pPr>
      <w:widowControl/>
      <w:spacing w:before="480" w:after="0" w:line="276" w:lineRule="auto"/>
      <w:jc w:val="left"/>
      <w:outlineLvl w:val="9"/>
    </w:pPr>
    <w:rPr>
      <w:rFonts w:ascii="Calibri Light" w:hAnsi="Calibri Light"/>
      <w:color w:val="2D73B3"/>
      <w:kern w:val="0"/>
      <w:sz w:val="28"/>
      <w:szCs w:val="28"/>
    </w:rPr>
  </w:style>
  <w:style w:type="paragraph" w:customStyle="1" w:styleId="61">
    <w:name w:val="样式2"/>
    <w:basedOn w:val="21"/>
    <w:link w:val="66"/>
    <w:qFormat/>
    <w:uiPriority w:val="0"/>
    <w:pPr>
      <w:pBdr>
        <w:bottom w:val="none" w:color="auto" w:sz="0" w:space="0"/>
      </w:pBdr>
    </w:pPr>
  </w:style>
  <w:style w:type="character" w:customStyle="1" w:styleId="62">
    <w:name w:val="页码1"/>
    <w:basedOn w:val="34"/>
    <w:qFormat/>
    <w:uiPriority w:val="0"/>
  </w:style>
  <w:style w:type="character" w:customStyle="1" w:styleId="63">
    <w:name w:val="批注引用1"/>
    <w:basedOn w:val="34"/>
    <w:qFormat/>
    <w:uiPriority w:val="0"/>
    <w:rPr>
      <w:sz w:val="21"/>
      <w:szCs w:val="21"/>
    </w:rPr>
  </w:style>
  <w:style w:type="character" w:customStyle="1" w:styleId="64">
    <w:name w:val="日期 Char1"/>
    <w:basedOn w:val="34"/>
    <w:link w:val="46"/>
    <w:semiHidden/>
    <w:qFormat/>
    <w:uiPriority w:val="0"/>
    <w:rPr>
      <w:kern w:val="2"/>
      <w:sz w:val="21"/>
      <w:szCs w:val="24"/>
    </w:rPr>
  </w:style>
  <w:style w:type="character" w:customStyle="1" w:styleId="65">
    <w:name w:val="样式1 Char Char"/>
    <w:basedOn w:val="49"/>
    <w:link w:val="59"/>
    <w:semiHidden/>
    <w:qFormat/>
    <w:uiPriority w:val="0"/>
    <w:rPr>
      <w:rFonts w:ascii="Calibri" w:hAnsi="Calibri" w:eastAsia="宋体" w:cs="黑体"/>
      <w:kern w:val="2"/>
      <w:sz w:val="18"/>
      <w:szCs w:val="18"/>
    </w:rPr>
  </w:style>
  <w:style w:type="character" w:customStyle="1" w:styleId="66">
    <w:name w:val="样式2 Char Char"/>
    <w:basedOn w:val="49"/>
    <w:link w:val="61"/>
    <w:semiHidden/>
    <w:qFormat/>
    <w:uiPriority w:val="0"/>
    <w:rPr>
      <w:rFonts w:ascii="Calibri" w:hAnsi="Calibri" w:eastAsia="宋体" w:cs="黑体"/>
      <w:kern w:val="2"/>
      <w:sz w:val="18"/>
      <w:szCs w:val="18"/>
    </w:rPr>
  </w:style>
  <w:style w:type="paragraph" w:customStyle="1" w:styleId="67">
    <w:name w:val="Table Paragraph"/>
    <w:basedOn w:val="1"/>
    <w:qFormat/>
    <w:uiPriority w:val="0"/>
    <w:rPr>
      <w:rFonts w:ascii="宋体" w:hAnsi="宋体" w:cs="宋体"/>
      <w:lang w:val="zh-CN" w:bidi="zh-CN"/>
    </w:rPr>
  </w:style>
  <w:style w:type="paragraph" w:styleId="68">
    <w:name w:val="List Paragraph"/>
    <w:basedOn w:val="1"/>
    <w:unhideWhenUsed/>
    <w:qFormat/>
    <w:uiPriority w:val="99"/>
    <w:pPr>
      <w:ind w:firstLine="420" w:firstLineChars="200"/>
    </w:pPr>
  </w:style>
  <w:style w:type="character" w:customStyle="1" w:styleId="69">
    <w:name w:val="正文文本缩进 3 Char"/>
    <w:qFormat/>
    <w:uiPriority w:val="0"/>
    <w:rPr>
      <w:rFonts w:ascii="Times New Roman" w:hAnsi="Times New Roman"/>
      <w:kern w:val="2"/>
      <w:sz w:val="16"/>
      <w:szCs w:val="16"/>
    </w:rPr>
  </w:style>
  <w:style w:type="character" w:customStyle="1" w:styleId="70">
    <w:name w:val="正文文本缩进 3 字符"/>
    <w:basedOn w:val="34"/>
    <w:link w:val="25"/>
    <w:qFormat/>
    <w:uiPriority w:val="0"/>
    <w:rPr>
      <w:rFonts w:cs="黑体"/>
      <w:kern w:val="2"/>
      <w:sz w:val="16"/>
      <w:szCs w:val="16"/>
    </w:rPr>
  </w:style>
  <w:style w:type="character" w:customStyle="1" w:styleId="71">
    <w:name w:val="正文文本 字符"/>
    <w:basedOn w:val="34"/>
    <w:link w:val="10"/>
    <w:qFormat/>
    <w:uiPriority w:val="0"/>
    <w:rPr>
      <w:rFonts w:cs="黑体"/>
      <w:kern w:val="2"/>
      <w:sz w:val="21"/>
    </w:rPr>
  </w:style>
  <w:style w:type="character" w:customStyle="1" w:styleId="72">
    <w:name w:val="正文首行缩进 字符"/>
    <w:basedOn w:val="71"/>
    <w:link w:val="31"/>
    <w:qFormat/>
    <w:uiPriority w:val="0"/>
    <w:rPr>
      <w:rFonts w:cs="黑体"/>
      <w:kern w:val="2"/>
      <w:sz w:val="21"/>
    </w:rPr>
  </w:style>
  <w:style w:type="paragraph" w:customStyle="1" w:styleId="73">
    <w:name w:val="无间隔1"/>
    <w:basedOn w:val="1"/>
    <w:qFormat/>
    <w:uiPriority w:val="0"/>
    <w:pPr>
      <w:spacing w:line="400" w:lineRule="exact"/>
    </w:pPr>
    <w:rPr>
      <w:rFonts w:ascii="Times New Roman" w:hAnsi="Times New Roman"/>
      <w:sz w:val="24"/>
    </w:rPr>
  </w:style>
  <w:style w:type="character" w:customStyle="1" w:styleId="74">
    <w:name w:val="批注框文本 字符"/>
    <w:basedOn w:val="34"/>
    <w:link w:val="19"/>
    <w:qFormat/>
    <w:uiPriority w:val="0"/>
    <w:rPr>
      <w:rFonts w:ascii="Calibri" w:hAnsi="Calibri" w:eastAsia="宋体" w:cs="黑体"/>
      <w:kern w:val="2"/>
      <w:sz w:val="18"/>
      <w:szCs w:val="18"/>
    </w:rPr>
  </w:style>
  <w:style w:type="character" w:customStyle="1" w:styleId="75">
    <w:name w:val="页脚 字符"/>
    <w:basedOn w:val="34"/>
    <w:link w:val="20"/>
    <w:qFormat/>
    <w:uiPriority w:val="99"/>
    <w:rPr>
      <w:rFonts w:ascii="Calibri" w:hAnsi="Calibri" w:eastAsia="宋体" w:cs="黑体"/>
      <w:kern w:val="2"/>
      <w:sz w:val="18"/>
      <w:szCs w:val="18"/>
    </w:rPr>
  </w:style>
  <w:style w:type="paragraph" w:customStyle="1" w:styleId="76">
    <w:name w:val="TOC 标题2"/>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77">
    <w:name w:val="正文文本缩进 字符"/>
    <w:basedOn w:val="34"/>
    <w:link w:val="12"/>
    <w:qFormat/>
    <w:uiPriority w:val="0"/>
    <w:rPr>
      <w:rFonts w:ascii="Calibri" w:hAnsi="Calibri" w:cs="黑体"/>
      <w:kern w:val="2"/>
      <w:sz w:val="21"/>
      <w:szCs w:val="24"/>
    </w:rPr>
  </w:style>
  <w:style w:type="character" w:customStyle="1" w:styleId="78">
    <w:name w:val="正文首行缩进 2 字符"/>
    <w:basedOn w:val="77"/>
    <w:link w:val="32"/>
    <w:qFormat/>
    <w:uiPriority w:val="99"/>
    <w:rPr>
      <w:rFonts w:ascii="宋体" w:hAnsi="宋体" w:cs="宋体"/>
      <w:kern w:val="2"/>
      <w:sz w:val="21"/>
      <w:szCs w:val="24"/>
    </w:rPr>
  </w:style>
  <w:style w:type="character" w:customStyle="1" w:styleId="79">
    <w:name w:val="fr"/>
    <w:basedOn w:val="34"/>
    <w:qFormat/>
    <w:uiPriority w:val="0"/>
  </w:style>
  <w:style w:type="character" w:customStyle="1" w:styleId="80">
    <w:name w:val="icon_ds"/>
    <w:basedOn w:val="34"/>
    <w:qFormat/>
    <w:uiPriority w:val="0"/>
  </w:style>
  <w:style w:type="character" w:customStyle="1" w:styleId="81">
    <w:name w:val="first-child"/>
    <w:basedOn w:val="34"/>
    <w:qFormat/>
    <w:uiPriority w:val="0"/>
    <w:rPr>
      <w:color w:val="1F3149"/>
      <w:sz w:val="24"/>
      <w:szCs w:val="24"/>
    </w:rPr>
  </w:style>
  <w:style w:type="character" w:customStyle="1" w:styleId="82">
    <w:name w:val="first-child1"/>
    <w:basedOn w:val="34"/>
    <w:qFormat/>
    <w:uiPriority w:val="0"/>
    <w:rPr>
      <w:color w:val="1F3149"/>
      <w:sz w:val="24"/>
      <w:szCs w:val="24"/>
    </w:rPr>
  </w:style>
  <w:style w:type="character" w:customStyle="1" w:styleId="83">
    <w:name w:val="xiadan"/>
    <w:basedOn w:val="34"/>
    <w:qFormat/>
    <w:uiPriority w:val="0"/>
    <w:rPr>
      <w:shd w:val="clear" w:fill="E4393C"/>
    </w:rPr>
  </w:style>
  <w:style w:type="character" w:customStyle="1" w:styleId="84">
    <w:name w:val="icon_gys"/>
    <w:basedOn w:val="34"/>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1525B12-EDED-442D-BEEE-BD5DEBBD735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55</Pages>
  <Words>4567</Words>
  <Characters>26036</Characters>
  <Lines>216</Lines>
  <Paragraphs>61</Paragraphs>
  <TotalTime>0</TotalTime>
  <ScaleCrop>false</ScaleCrop>
  <LinksUpToDate>false</LinksUpToDate>
  <CharactersWithSpaces>30542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2018-06-25T11:40:00Z</dcterms:created>
  <dc:creator>Administrator</dc:creator>
  <cp:lastModifiedBy>春暖花开</cp:lastModifiedBy>
  <cp:lastPrinted>2020-04-28T00:40:00Z</cp:lastPrinted>
  <dcterms:modified xsi:type="dcterms:W3CDTF">2023-12-04T08:43:40Z</dcterms:modified>
  <dc:title>HP</dc:title>
  <cp:revision>207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4D422FAD39CF4B4887CF68ADEFA5F25D</vt:lpwstr>
  </property>
</Properties>
</file>